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767C97">
      <w:pPr>
        <w:spacing w:line="360" w:lineRule="auto"/>
        <w:ind w:firstLine="723" w:firstLineChars="200"/>
        <w:jc w:val="center"/>
        <w:rPr>
          <w:rFonts w:hint="eastAsia" w:ascii="仿宋_GB2312" w:hAnsi="宋体" w:eastAsia="仿宋_GB2312" w:cs="Times New Roman"/>
          <w:b/>
          <w:bCs w:val="0"/>
          <w:color w:val="auto"/>
          <w:sz w:val="36"/>
          <w:szCs w:val="36"/>
          <w:highlight w:val="none"/>
        </w:rPr>
      </w:pPr>
    </w:p>
    <w:p w14:paraId="7F4330D7">
      <w:pPr>
        <w:pStyle w:val="12"/>
        <w:kinsoku w:val="0"/>
        <w:overflowPunct w:val="0"/>
        <w:ind w:left="0"/>
        <w:rPr>
          <w:rFonts w:hint="eastAsia" w:ascii="Times New Roman" w:hAnsi="Times New Roman" w:eastAsia="Times New Roman"/>
          <w:color w:val="auto"/>
          <w:sz w:val="20"/>
          <w:szCs w:val="24"/>
          <w:highlight w:val="none"/>
        </w:rPr>
      </w:pPr>
    </w:p>
    <w:p w14:paraId="0DA2D447">
      <w:pPr>
        <w:pStyle w:val="12"/>
        <w:kinsoku w:val="0"/>
        <w:overflowPunct w:val="0"/>
        <w:ind w:left="0"/>
        <w:rPr>
          <w:rFonts w:hint="eastAsia" w:ascii="Times New Roman" w:hAnsi="Times New Roman" w:eastAsia="Times New Roman"/>
          <w:color w:val="auto"/>
          <w:sz w:val="20"/>
          <w:szCs w:val="24"/>
          <w:highlight w:val="none"/>
        </w:rPr>
      </w:pPr>
    </w:p>
    <w:p w14:paraId="61A496A8">
      <w:pPr>
        <w:pStyle w:val="12"/>
        <w:kinsoku w:val="0"/>
        <w:overflowPunct w:val="0"/>
        <w:ind w:left="0"/>
        <w:rPr>
          <w:rFonts w:hint="eastAsia" w:ascii="Times New Roman" w:hAnsi="Times New Roman" w:eastAsia="Times New Roman"/>
          <w:color w:val="auto"/>
          <w:sz w:val="20"/>
          <w:szCs w:val="24"/>
          <w:highlight w:val="none"/>
        </w:rPr>
      </w:pPr>
    </w:p>
    <w:p w14:paraId="3ABD2ED1">
      <w:pPr>
        <w:pStyle w:val="12"/>
        <w:kinsoku w:val="0"/>
        <w:overflowPunct w:val="0"/>
        <w:ind w:left="0"/>
        <w:rPr>
          <w:rFonts w:hint="eastAsia" w:ascii="Times New Roman" w:hAnsi="Times New Roman" w:eastAsia="Times New Roman"/>
          <w:color w:val="auto"/>
          <w:sz w:val="20"/>
          <w:szCs w:val="24"/>
          <w:highlight w:val="none"/>
        </w:rPr>
      </w:pPr>
    </w:p>
    <w:p w14:paraId="2AAF4F70">
      <w:pPr>
        <w:jc w:val="center"/>
        <w:outlineLvl w:val="9"/>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lang w:eastAsia="zh-CN"/>
        </w:rPr>
        <w:t xml:space="preserve"> 广州市南沙区南沙污水处理厂项目工程监理 </w:t>
      </w:r>
    </w:p>
    <w:p w14:paraId="510418DB">
      <w:pPr>
        <w:pStyle w:val="12"/>
        <w:kinsoku w:val="0"/>
        <w:overflowPunct w:val="0"/>
        <w:spacing w:before="2"/>
        <w:ind w:left="0"/>
        <w:rPr>
          <w:rFonts w:hint="default"/>
          <w:color w:val="auto"/>
          <w:sz w:val="23"/>
          <w:szCs w:val="24"/>
          <w:highlight w:val="none"/>
        </w:rPr>
      </w:pPr>
    </w:p>
    <w:p w14:paraId="4A20A57C">
      <w:pPr>
        <w:pStyle w:val="12"/>
        <w:kinsoku w:val="0"/>
        <w:overflowPunct w:val="0"/>
        <w:ind w:left="0"/>
        <w:rPr>
          <w:rFonts w:hint="default"/>
          <w:color w:val="auto"/>
          <w:sz w:val="20"/>
          <w:szCs w:val="24"/>
          <w:highlight w:val="none"/>
        </w:rPr>
      </w:pPr>
    </w:p>
    <w:p w14:paraId="2FC2DDED">
      <w:pPr>
        <w:pStyle w:val="12"/>
        <w:kinsoku w:val="0"/>
        <w:overflowPunct w:val="0"/>
        <w:ind w:left="0"/>
        <w:rPr>
          <w:rFonts w:hint="default"/>
          <w:color w:val="auto"/>
          <w:sz w:val="20"/>
          <w:szCs w:val="24"/>
          <w:highlight w:val="none"/>
        </w:rPr>
      </w:pPr>
    </w:p>
    <w:p w14:paraId="50363A22">
      <w:pPr>
        <w:pStyle w:val="12"/>
        <w:kinsoku w:val="0"/>
        <w:overflowPunct w:val="0"/>
        <w:ind w:left="0"/>
        <w:rPr>
          <w:rFonts w:hint="default"/>
          <w:color w:val="auto"/>
          <w:sz w:val="20"/>
          <w:szCs w:val="24"/>
          <w:highlight w:val="none"/>
        </w:rPr>
      </w:pPr>
    </w:p>
    <w:p w14:paraId="2ADDF8B8">
      <w:pPr>
        <w:pStyle w:val="12"/>
        <w:kinsoku w:val="0"/>
        <w:overflowPunct w:val="0"/>
        <w:ind w:left="0"/>
        <w:rPr>
          <w:rFonts w:hint="default"/>
          <w:color w:val="auto"/>
          <w:sz w:val="20"/>
          <w:szCs w:val="24"/>
          <w:highlight w:val="none"/>
        </w:rPr>
      </w:pPr>
    </w:p>
    <w:p w14:paraId="70CF0AFF">
      <w:pPr>
        <w:pStyle w:val="12"/>
        <w:kinsoku w:val="0"/>
        <w:overflowPunct w:val="0"/>
        <w:ind w:left="0"/>
        <w:rPr>
          <w:rFonts w:hint="default"/>
          <w:color w:val="auto"/>
          <w:sz w:val="20"/>
          <w:szCs w:val="24"/>
          <w:highlight w:val="none"/>
        </w:rPr>
      </w:pPr>
    </w:p>
    <w:p w14:paraId="294C2D47">
      <w:pPr>
        <w:pStyle w:val="12"/>
        <w:kinsoku w:val="0"/>
        <w:overflowPunct w:val="0"/>
        <w:spacing w:before="106"/>
        <w:ind w:left="3" w:right="4"/>
        <w:jc w:val="center"/>
        <w:rPr>
          <w:rFonts w:hint="default"/>
          <w:color w:val="auto"/>
          <w:sz w:val="44"/>
          <w:szCs w:val="24"/>
          <w:highlight w:val="none"/>
        </w:rPr>
      </w:pPr>
      <w:r>
        <w:rPr>
          <w:rFonts w:hint="eastAsia" w:ascii="黑体" w:hAnsi="黑体" w:eastAsia="黑体"/>
          <w:color w:val="auto"/>
          <w:sz w:val="84"/>
          <w:szCs w:val="24"/>
          <w:highlight w:val="none"/>
        </w:rPr>
        <w:t>招标文件</w:t>
      </w:r>
    </w:p>
    <w:p w14:paraId="3037D855">
      <w:pPr>
        <w:pStyle w:val="12"/>
        <w:kinsoku w:val="0"/>
        <w:overflowPunct w:val="0"/>
        <w:ind w:left="0"/>
        <w:rPr>
          <w:rFonts w:hint="default"/>
          <w:color w:val="auto"/>
          <w:sz w:val="44"/>
          <w:szCs w:val="24"/>
          <w:highlight w:val="none"/>
        </w:rPr>
      </w:pPr>
    </w:p>
    <w:p w14:paraId="3ABD349E">
      <w:pPr>
        <w:pStyle w:val="12"/>
        <w:kinsoku w:val="0"/>
        <w:overflowPunct w:val="0"/>
        <w:ind w:left="0"/>
        <w:rPr>
          <w:rFonts w:hint="default"/>
          <w:color w:val="auto"/>
          <w:sz w:val="44"/>
          <w:szCs w:val="24"/>
          <w:highlight w:val="none"/>
        </w:rPr>
      </w:pPr>
    </w:p>
    <w:p w14:paraId="164869AB">
      <w:pPr>
        <w:pStyle w:val="12"/>
        <w:kinsoku w:val="0"/>
        <w:overflowPunct w:val="0"/>
        <w:ind w:left="0"/>
        <w:rPr>
          <w:rFonts w:hint="default"/>
          <w:color w:val="auto"/>
          <w:sz w:val="44"/>
          <w:szCs w:val="24"/>
          <w:highlight w:val="none"/>
        </w:rPr>
      </w:pPr>
    </w:p>
    <w:p w14:paraId="4B1673E9">
      <w:pPr>
        <w:pStyle w:val="12"/>
        <w:kinsoku w:val="0"/>
        <w:overflowPunct w:val="0"/>
        <w:ind w:left="0"/>
        <w:rPr>
          <w:rFonts w:hint="default"/>
          <w:color w:val="auto"/>
          <w:sz w:val="44"/>
          <w:szCs w:val="24"/>
          <w:highlight w:val="none"/>
        </w:rPr>
      </w:pPr>
    </w:p>
    <w:p w14:paraId="18AA5D86">
      <w:pPr>
        <w:pStyle w:val="12"/>
        <w:kinsoku w:val="0"/>
        <w:overflowPunct w:val="0"/>
        <w:ind w:left="0"/>
        <w:rPr>
          <w:rFonts w:hint="default"/>
          <w:color w:val="auto"/>
          <w:sz w:val="44"/>
          <w:szCs w:val="24"/>
          <w:highlight w:val="none"/>
        </w:rPr>
      </w:pPr>
    </w:p>
    <w:p w14:paraId="5E993DC7">
      <w:pPr>
        <w:pStyle w:val="12"/>
        <w:kinsoku w:val="0"/>
        <w:overflowPunct w:val="0"/>
        <w:ind w:left="0"/>
        <w:rPr>
          <w:rFonts w:hint="default"/>
          <w:color w:val="auto"/>
          <w:sz w:val="44"/>
          <w:szCs w:val="24"/>
          <w:highlight w:val="none"/>
        </w:rPr>
      </w:pPr>
    </w:p>
    <w:p w14:paraId="06855BF7">
      <w:pPr>
        <w:pStyle w:val="12"/>
        <w:kinsoku w:val="0"/>
        <w:overflowPunct w:val="0"/>
        <w:ind w:left="0"/>
        <w:rPr>
          <w:rFonts w:hint="default"/>
          <w:color w:val="auto"/>
          <w:sz w:val="44"/>
          <w:szCs w:val="24"/>
          <w:highlight w:val="none"/>
        </w:rPr>
      </w:pPr>
    </w:p>
    <w:p w14:paraId="7567AB84">
      <w:pPr>
        <w:pStyle w:val="12"/>
        <w:kinsoku w:val="0"/>
        <w:overflowPunct w:val="0"/>
        <w:ind w:left="0"/>
        <w:rPr>
          <w:rFonts w:hint="default"/>
          <w:color w:val="auto"/>
          <w:sz w:val="44"/>
          <w:szCs w:val="24"/>
          <w:highlight w:val="none"/>
        </w:rPr>
      </w:pPr>
    </w:p>
    <w:p w14:paraId="6F82C192">
      <w:pPr>
        <w:pStyle w:val="12"/>
        <w:kinsoku w:val="0"/>
        <w:overflowPunct w:val="0"/>
        <w:ind w:left="0"/>
        <w:rPr>
          <w:rFonts w:hint="default"/>
          <w:color w:val="auto"/>
          <w:sz w:val="44"/>
          <w:szCs w:val="24"/>
          <w:highlight w:val="none"/>
        </w:rPr>
      </w:pPr>
    </w:p>
    <w:p w14:paraId="532F6C17">
      <w:pPr>
        <w:pStyle w:val="12"/>
        <w:kinsoku w:val="0"/>
        <w:overflowPunct w:val="0"/>
        <w:spacing w:before="8"/>
        <w:ind w:left="0"/>
        <w:rPr>
          <w:rFonts w:hint="default"/>
          <w:color w:val="auto"/>
          <w:sz w:val="33"/>
          <w:szCs w:val="24"/>
          <w:highlight w:val="none"/>
        </w:rPr>
      </w:pPr>
    </w:p>
    <w:p w14:paraId="3529FD2F">
      <w:pPr>
        <w:shd w:val="clear"/>
        <w:spacing w:before="88" w:line="468" w:lineRule="auto"/>
        <w:ind w:left="2158"/>
        <w:rPr>
          <w:rFonts w:hint="eastAsia" w:ascii="仿宋" w:hAnsi="仿宋" w:eastAsia="仿宋" w:cs="仿宋"/>
          <w:color w:val="auto"/>
          <w:spacing w:val="-4"/>
          <w:sz w:val="27"/>
          <w:szCs w:val="27"/>
          <w:highlight w:val="none"/>
        </w:rPr>
      </w:pPr>
      <w:r>
        <w:rPr>
          <w:rFonts w:hint="eastAsia" w:ascii="仿宋" w:hAnsi="仿宋" w:eastAsia="仿宋" w:cs="仿宋"/>
          <w:color w:val="auto"/>
          <w:spacing w:val="-4"/>
          <w:sz w:val="27"/>
          <w:szCs w:val="27"/>
          <w:highlight w:val="none"/>
        </w:rPr>
        <w:t>招</w:t>
      </w:r>
      <w:r>
        <w:rPr>
          <w:rFonts w:hint="eastAsia" w:ascii="仿宋" w:hAnsi="仿宋" w:eastAsia="仿宋" w:cs="仿宋"/>
          <w:color w:val="auto"/>
          <w:spacing w:val="-4"/>
          <w:sz w:val="27"/>
          <w:szCs w:val="27"/>
          <w:highlight w:val="none"/>
          <w:lang w:val="en-US" w:eastAsia="zh-CN"/>
        </w:rPr>
        <w:t xml:space="preserve"> </w:t>
      </w:r>
      <w:r>
        <w:rPr>
          <w:rFonts w:hint="eastAsia" w:ascii="仿宋" w:hAnsi="仿宋" w:eastAsia="仿宋" w:cs="仿宋"/>
          <w:color w:val="auto"/>
          <w:spacing w:val="-4"/>
          <w:sz w:val="27"/>
          <w:szCs w:val="27"/>
          <w:highlight w:val="none"/>
        </w:rPr>
        <w:t>标</w:t>
      </w:r>
      <w:r>
        <w:rPr>
          <w:rFonts w:hint="eastAsia" w:ascii="仿宋" w:hAnsi="仿宋" w:eastAsia="仿宋" w:cs="仿宋"/>
          <w:color w:val="auto"/>
          <w:spacing w:val="-4"/>
          <w:sz w:val="27"/>
          <w:szCs w:val="27"/>
          <w:highlight w:val="none"/>
          <w:lang w:val="en-US" w:eastAsia="zh-CN"/>
        </w:rPr>
        <w:t xml:space="preserve"> </w:t>
      </w:r>
      <w:r>
        <w:rPr>
          <w:rFonts w:hint="eastAsia" w:ascii="仿宋" w:hAnsi="仿宋" w:eastAsia="仿宋" w:cs="仿宋"/>
          <w:color w:val="auto"/>
          <w:spacing w:val="-4"/>
          <w:sz w:val="27"/>
          <w:szCs w:val="27"/>
          <w:highlight w:val="none"/>
        </w:rPr>
        <w:t>人：</w:t>
      </w:r>
      <w:r>
        <w:rPr>
          <w:rFonts w:hint="eastAsia" w:ascii="仿宋" w:hAnsi="仿宋" w:eastAsia="仿宋" w:cs="仿宋"/>
          <w:color w:val="auto"/>
          <w:spacing w:val="-4"/>
          <w:sz w:val="27"/>
          <w:szCs w:val="27"/>
          <w:highlight w:val="none"/>
          <w:u w:val="single" w:color="auto"/>
          <w:lang w:eastAsia="zh-CN"/>
        </w:rPr>
        <w:t>广州南沙广业生态发展有限公司</w:t>
      </w:r>
      <w:r>
        <w:rPr>
          <w:rFonts w:hint="eastAsia" w:ascii="仿宋" w:hAnsi="仿宋" w:eastAsia="仿宋" w:cs="仿宋"/>
          <w:color w:val="auto"/>
          <w:spacing w:val="-4"/>
          <w:sz w:val="27"/>
          <w:szCs w:val="27"/>
          <w:highlight w:val="none"/>
        </w:rPr>
        <w:t>(盖单位章)</w:t>
      </w:r>
    </w:p>
    <w:p w14:paraId="0FC2FF4C">
      <w:pPr>
        <w:shd w:val="clear"/>
        <w:spacing w:before="88" w:line="468" w:lineRule="auto"/>
        <w:ind w:left="2158"/>
        <w:rPr>
          <w:rFonts w:hint="eastAsia" w:ascii="仿宋" w:hAnsi="仿宋" w:eastAsia="仿宋" w:cs="仿宋"/>
          <w:color w:val="auto"/>
          <w:spacing w:val="-4"/>
          <w:sz w:val="27"/>
          <w:szCs w:val="27"/>
          <w:highlight w:val="none"/>
        </w:rPr>
      </w:pPr>
      <w:r>
        <w:rPr>
          <w:rFonts w:hint="eastAsia" w:ascii="仿宋" w:hAnsi="仿宋" w:eastAsia="仿宋" w:cs="仿宋"/>
          <w:color w:val="auto"/>
          <w:spacing w:val="-4"/>
          <w:sz w:val="27"/>
          <w:szCs w:val="27"/>
          <w:highlight w:val="none"/>
          <w:lang w:val="en-US" w:eastAsia="zh-CN"/>
        </w:rPr>
        <w:t>招标代理：</w:t>
      </w:r>
      <w:r>
        <w:rPr>
          <w:rFonts w:hint="eastAsia" w:ascii="仿宋" w:hAnsi="仿宋" w:eastAsia="仿宋" w:cs="仿宋"/>
          <w:color w:val="auto"/>
          <w:spacing w:val="-4"/>
          <w:sz w:val="27"/>
          <w:szCs w:val="27"/>
          <w:highlight w:val="none"/>
          <w:u w:val="single"/>
          <w:lang w:val="en-US" w:eastAsia="zh-CN"/>
        </w:rPr>
        <w:t>广东省国际工程咨询有限公司</w:t>
      </w:r>
      <w:r>
        <w:rPr>
          <w:rFonts w:hint="eastAsia" w:ascii="仿宋" w:hAnsi="仿宋" w:eastAsia="仿宋" w:cs="仿宋"/>
          <w:color w:val="auto"/>
          <w:spacing w:val="-4"/>
          <w:sz w:val="27"/>
          <w:szCs w:val="27"/>
          <w:highlight w:val="none"/>
          <w:u w:val="single"/>
        </w:rPr>
        <w:t>(</w:t>
      </w:r>
      <w:r>
        <w:rPr>
          <w:rFonts w:hint="eastAsia" w:ascii="仿宋" w:hAnsi="仿宋" w:eastAsia="仿宋" w:cs="仿宋"/>
          <w:color w:val="auto"/>
          <w:spacing w:val="-4"/>
          <w:sz w:val="27"/>
          <w:szCs w:val="27"/>
          <w:highlight w:val="none"/>
        </w:rPr>
        <w:t>盖单位章)</w:t>
      </w:r>
    </w:p>
    <w:p w14:paraId="02EAD811">
      <w:pPr>
        <w:pStyle w:val="12"/>
        <w:shd w:val="clear"/>
        <w:tabs>
          <w:tab w:val="left" w:pos="3611"/>
          <w:tab w:val="left" w:pos="4626"/>
          <w:tab w:val="left" w:pos="5642"/>
        </w:tabs>
        <w:kinsoku/>
        <w:overflowPunct w:val="0"/>
        <w:spacing w:before="14"/>
        <w:ind w:left="0" w:right="175" w:firstLine="2160" w:firstLineChars="800"/>
        <w:rPr>
          <w:rFonts w:hint="eastAsia" w:ascii="仿宋" w:hAnsi="仿宋" w:eastAsia="仿宋" w:cs="仿宋"/>
          <w:color w:val="auto"/>
          <w:sz w:val="28"/>
          <w:szCs w:val="24"/>
          <w:highlight w:val="none"/>
        </w:rPr>
        <w:sectPr>
          <w:pgSz w:w="11905" w:h="16838"/>
          <w:pgMar w:top="1417" w:right="1417" w:bottom="1417" w:left="1417" w:header="737" w:footer="737" w:gutter="0"/>
          <w:lnNumType w:countBy="0" w:distance="360"/>
          <w:pgNumType w:fmt="decimal"/>
          <w:cols w:space="720" w:num="1"/>
        </w:sectPr>
      </w:pPr>
      <w:r>
        <w:rPr>
          <w:rFonts w:hint="eastAsia" w:ascii="仿宋" w:hAnsi="仿宋" w:eastAsia="仿宋" w:cs="仿宋"/>
          <w:color w:val="auto"/>
          <w:sz w:val="27"/>
          <w:szCs w:val="27"/>
          <w:highlight w:val="none"/>
          <w:u w:val="none" w:color="auto"/>
          <w:lang w:val="en-US" w:eastAsia="zh-CN"/>
        </w:rPr>
        <w:t xml:space="preserve">日    期： 2025 </w:t>
      </w:r>
      <w:r>
        <w:rPr>
          <w:rFonts w:hint="eastAsia" w:ascii="仿宋" w:hAnsi="仿宋" w:eastAsia="仿宋" w:cs="仿宋"/>
          <w:color w:val="auto"/>
          <w:spacing w:val="6"/>
          <w:sz w:val="27"/>
          <w:szCs w:val="27"/>
          <w:highlight w:val="none"/>
        </w:rPr>
        <w:t>年</w:t>
      </w:r>
      <w:r>
        <w:rPr>
          <w:rFonts w:hint="eastAsia" w:ascii="仿宋" w:hAnsi="仿宋" w:eastAsia="仿宋" w:cs="仿宋"/>
          <w:color w:val="auto"/>
          <w:spacing w:val="6"/>
          <w:sz w:val="27"/>
          <w:szCs w:val="27"/>
          <w:highlight w:val="none"/>
          <w:lang w:val="en-US" w:eastAsia="zh-CN"/>
        </w:rPr>
        <w:t>6</w:t>
      </w:r>
      <w:r>
        <w:rPr>
          <w:rFonts w:hint="eastAsia" w:ascii="仿宋" w:hAnsi="仿宋" w:eastAsia="仿宋" w:cs="仿宋"/>
          <w:color w:val="auto"/>
          <w:spacing w:val="3"/>
          <w:sz w:val="27"/>
          <w:szCs w:val="27"/>
          <w:highlight w:val="none"/>
        </w:rPr>
        <w:t>月</w:t>
      </w:r>
    </w:p>
    <w:p w14:paraId="6FDB3F94">
      <w:pPr>
        <w:spacing w:before="0" w:beforeLines="0" w:after="0" w:afterLines="0" w:line="360" w:lineRule="auto"/>
        <w:ind w:left="0" w:leftChars="0" w:right="0" w:rightChars="0" w:firstLine="0" w:firstLineChars="0"/>
        <w:jc w:val="center"/>
        <w:rPr>
          <w:b/>
          <w:bCs/>
          <w:color w:val="auto"/>
          <w:sz w:val="44"/>
          <w:szCs w:val="44"/>
          <w:highlight w:val="none"/>
        </w:rPr>
      </w:pPr>
      <w:r>
        <w:rPr>
          <w:rFonts w:ascii="宋体" w:hAnsi="宋体" w:eastAsia="宋体"/>
          <w:b/>
          <w:bCs/>
          <w:color w:val="auto"/>
          <w:sz w:val="36"/>
          <w:szCs w:val="44"/>
          <w:highlight w:val="none"/>
        </w:rPr>
        <w:t>目录</w:t>
      </w:r>
    </w:p>
    <w:p w14:paraId="1CB4E4C0">
      <w:pPr>
        <w:pStyle w:val="38"/>
        <w:tabs>
          <w:tab w:val="right" w:leader="dot" w:pos="9071"/>
        </w:tabs>
        <w:spacing w:line="360" w:lineRule="auto"/>
        <w:rPr>
          <w:rFonts w:hint="default" w:ascii="Times New Roman" w:hAnsi="Times New Roman" w:cs="Times New Roman"/>
          <w:b/>
          <w:bCs/>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"1-1" \h \u </w:instrText>
      </w:r>
      <w:r>
        <w:rPr>
          <w:rFonts w:hint="eastAsia" w:ascii="宋体" w:hAnsi="宋体" w:eastAsia="宋体" w:cs="宋体"/>
          <w:color w:val="auto"/>
          <w:sz w:val="24"/>
          <w:szCs w:val="24"/>
          <w:highlight w:val="none"/>
          <w:lang w:eastAsia="zh-CN"/>
        </w:rPr>
        <w:fldChar w:fldCharType="separate"/>
      </w:r>
      <w:r>
        <w:rPr>
          <w:rFonts w:hint="default" w:ascii="Times New Roman" w:hAnsi="Times New Roman" w:eastAsia="宋体" w:cs="Times New Roman"/>
          <w:b/>
          <w:bCs/>
          <w:color w:val="auto"/>
          <w:sz w:val="24"/>
          <w:szCs w:val="24"/>
          <w:highlight w:val="none"/>
          <w:lang w:eastAsia="zh-CN"/>
        </w:rPr>
        <w:fldChar w:fldCharType="begin"/>
      </w:r>
      <w:r>
        <w:rPr>
          <w:rFonts w:hint="default" w:ascii="Times New Roman" w:hAnsi="Times New Roman" w:eastAsia="宋体" w:cs="Times New Roman"/>
          <w:b/>
          <w:bCs/>
          <w:color w:val="auto"/>
          <w:sz w:val="24"/>
          <w:szCs w:val="24"/>
          <w:highlight w:val="none"/>
          <w:lang w:eastAsia="zh-CN"/>
        </w:rPr>
        <w:instrText xml:space="preserve"> HYPERLINK \l _Toc5659 </w:instrText>
      </w:r>
      <w:r>
        <w:rPr>
          <w:rFonts w:hint="default" w:ascii="Times New Roman" w:hAnsi="Times New Roman" w:eastAsia="宋体" w:cs="Times New Roman"/>
          <w:b/>
          <w:bCs/>
          <w:color w:val="auto"/>
          <w:sz w:val="24"/>
          <w:szCs w:val="24"/>
          <w:highlight w:val="none"/>
          <w:lang w:eastAsia="zh-CN"/>
        </w:rPr>
        <w:fldChar w:fldCharType="separate"/>
      </w:r>
      <w:r>
        <w:rPr>
          <w:rFonts w:hint="default" w:ascii="Times New Roman" w:hAnsi="Times New Roman" w:cs="Times New Roman"/>
          <w:b/>
          <w:bCs/>
          <w:color w:val="auto"/>
          <w:sz w:val="24"/>
          <w:szCs w:val="24"/>
          <w:highlight w:val="none"/>
        </w:rPr>
        <w:t>第一卷</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_Toc5659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2</w:t>
      </w:r>
      <w:r>
        <w:rPr>
          <w:rFonts w:hint="default" w:ascii="Times New Roman" w:hAnsi="Times New Roman"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lang w:eastAsia="zh-CN"/>
        </w:rPr>
        <w:fldChar w:fldCharType="end"/>
      </w:r>
    </w:p>
    <w:p w14:paraId="2B9A47A8">
      <w:pPr>
        <w:pStyle w:val="38"/>
        <w:tabs>
          <w:tab w:val="right" w:leader="dot" w:pos="9071"/>
        </w:tabs>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HYPERLINK \l _Toc11900 </w:instrText>
      </w:r>
      <w:r>
        <w:rPr>
          <w:rFonts w:hint="default" w:ascii="Times New Roman" w:hAnsi="Times New Roman" w:eastAsia="宋体" w:cs="Times New Roman"/>
          <w:color w:val="auto"/>
          <w:sz w:val="24"/>
          <w:szCs w:val="24"/>
          <w:highlight w:val="none"/>
          <w:lang w:eastAsia="zh-CN"/>
        </w:rPr>
        <w:fldChar w:fldCharType="separate"/>
      </w:r>
      <w:r>
        <w:rPr>
          <w:rFonts w:hint="default" w:ascii="Times New Roman" w:hAnsi="Times New Roman" w:cs="Times New Roman"/>
          <w:color w:val="auto"/>
          <w:sz w:val="24"/>
          <w:szCs w:val="24"/>
          <w:highlight w:val="none"/>
        </w:rPr>
        <w:t>第一章</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招标公告</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_Toc11900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lang w:eastAsia="zh-CN"/>
        </w:rPr>
        <w:fldChar w:fldCharType="end"/>
      </w:r>
    </w:p>
    <w:p w14:paraId="625317C0">
      <w:pPr>
        <w:pStyle w:val="38"/>
        <w:tabs>
          <w:tab w:val="right" w:leader="dot" w:pos="9071"/>
        </w:tabs>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HYPERLINK \l _Toc11515 </w:instrText>
      </w:r>
      <w:r>
        <w:rPr>
          <w:rFonts w:hint="default" w:ascii="Times New Roman" w:hAnsi="Times New Roman" w:eastAsia="宋体" w:cs="Times New Roman"/>
          <w:color w:val="auto"/>
          <w:sz w:val="24"/>
          <w:szCs w:val="24"/>
          <w:highlight w:val="none"/>
          <w:lang w:eastAsia="zh-CN"/>
        </w:rPr>
        <w:fldChar w:fldCharType="separate"/>
      </w:r>
      <w:r>
        <w:rPr>
          <w:rFonts w:hint="default" w:ascii="Times New Roman" w:hAnsi="Times New Roman" w:cs="Times New Roman"/>
          <w:color w:val="auto"/>
          <w:sz w:val="24"/>
          <w:szCs w:val="24"/>
          <w:highlight w:val="none"/>
        </w:rPr>
        <w:t>第二章</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投标人须知</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_Toc11515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lang w:eastAsia="zh-CN"/>
        </w:rPr>
        <w:fldChar w:fldCharType="end"/>
      </w:r>
    </w:p>
    <w:p w14:paraId="23B10487">
      <w:pPr>
        <w:pStyle w:val="38"/>
        <w:tabs>
          <w:tab w:val="right" w:leader="dot" w:pos="9071"/>
        </w:tabs>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HYPERLINK \l _Toc26859 </w:instrText>
      </w:r>
      <w:r>
        <w:rPr>
          <w:rFonts w:hint="default" w:ascii="Times New Roman" w:hAnsi="Times New Roman" w:eastAsia="宋体" w:cs="Times New Roman"/>
          <w:color w:val="auto"/>
          <w:sz w:val="24"/>
          <w:szCs w:val="24"/>
          <w:highlight w:val="none"/>
          <w:lang w:eastAsia="zh-CN"/>
        </w:rPr>
        <w:fldChar w:fldCharType="separate"/>
      </w:r>
      <w:r>
        <w:rPr>
          <w:rFonts w:hint="default" w:ascii="Times New Roman" w:hAnsi="Times New Roman" w:cs="Times New Roman"/>
          <w:color w:val="auto"/>
          <w:sz w:val="24"/>
          <w:szCs w:val="24"/>
          <w:highlight w:val="none"/>
        </w:rPr>
        <w:t>第三章</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评标办法（综合评估法）</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_Toc26859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31</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lang w:eastAsia="zh-CN"/>
        </w:rPr>
        <w:fldChar w:fldCharType="end"/>
      </w:r>
    </w:p>
    <w:p w14:paraId="05FC6C8C">
      <w:pPr>
        <w:pStyle w:val="38"/>
        <w:tabs>
          <w:tab w:val="right" w:leader="dot" w:pos="9071"/>
        </w:tabs>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HYPERLINK \l _Toc27798 </w:instrText>
      </w:r>
      <w:r>
        <w:rPr>
          <w:rFonts w:hint="default" w:ascii="Times New Roman" w:hAnsi="Times New Roman" w:eastAsia="宋体" w:cs="Times New Roman"/>
          <w:color w:val="auto"/>
          <w:sz w:val="24"/>
          <w:szCs w:val="24"/>
          <w:highlight w:val="none"/>
          <w:lang w:eastAsia="zh-CN"/>
        </w:rPr>
        <w:fldChar w:fldCharType="separate"/>
      </w:r>
      <w:r>
        <w:rPr>
          <w:rFonts w:hint="default" w:ascii="Times New Roman" w:hAnsi="Times New Roman" w:cs="Times New Roman"/>
          <w:color w:val="auto"/>
          <w:sz w:val="24"/>
          <w:szCs w:val="24"/>
          <w:highlight w:val="none"/>
        </w:rPr>
        <w:t>第四章</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合同条款及格式</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_Toc27798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41</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lang w:eastAsia="zh-CN"/>
        </w:rPr>
        <w:fldChar w:fldCharType="end"/>
      </w:r>
    </w:p>
    <w:p w14:paraId="11C0F73C">
      <w:pPr>
        <w:pStyle w:val="38"/>
        <w:tabs>
          <w:tab w:val="right" w:leader="dot" w:pos="9071"/>
        </w:tabs>
        <w:spacing w:line="360" w:lineRule="auto"/>
        <w:rPr>
          <w:rFonts w:hint="default" w:ascii="Times New Roman" w:hAnsi="Times New Roman"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fldChar w:fldCharType="begin"/>
      </w:r>
      <w:r>
        <w:rPr>
          <w:rFonts w:hint="default" w:ascii="Times New Roman" w:hAnsi="Times New Roman" w:eastAsia="宋体" w:cs="Times New Roman"/>
          <w:b/>
          <w:bCs/>
          <w:color w:val="auto"/>
          <w:sz w:val="24"/>
          <w:szCs w:val="24"/>
          <w:highlight w:val="none"/>
          <w:lang w:eastAsia="zh-CN"/>
        </w:rPr>
        <w:instrText xml:space="preserve"> HYPERLINK \l _Toc15759 </w:instrText>
      </w:r>
      <w:r>
        <w:rPr>
          <w:rFonts w:hint="default" w:ascii="Times New Roman" w:hAnsi="Times New Roman" w:eastAsia="宋体" w:cs="Times New Roman"/>
          <w:b/>
          <w:bCs/>
          <w:color w:val="auto"/>
          <w:sz w:val="24"/>
          <w:szCs w:val="24"/>
          <w:highlight w:val="none"/>
          <w:lang w:eastAsia="zh-CN"/>
        </w:rPr>
        <w:fldChar w:fldCharType="separate"/>
      </w:r>
      <w:r>
        <w:rPr>
          <w:rFonts w:hint="default" w:ascii="Times New Roman" w:hAnsi="Times New Roman" w:cs="Times New Roman"/>
          <w:b/>
          <w:bCs/>
          <w:color w:val="auto"/>
          <w:sz w:val="24"/>
          <w:szCs w:val="24"/>
          <w:highlight w:val="none"/>
        </w:rPr>
        <w:t>第二卷</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_Toc15759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42</w:t>
      </w:r>
      <w:r>
        <w:rPr>
          <w:rFonts w:hint="default" w:ascii="Times New Roman" w:hAnsi="Times New Roman"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lang w:eastAsia="zh-CN"/>
        </w:rPr>
        <w:fldChar w:fldCharType="end"/>
      </w:r>
    </w:p>
    <w:p w14:paraId="04806A40">
      <w:pPr>
        <w:pStyle w:val="38"/>
        <w:tabs>
          <w:tab w:val="right" w:leader="dot" w:pos="9071"/>
        </w:tabs>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HYPERLINK \l _Toc30626 </w:instrText>
      </w:r>
      <w:r>
        <w:rPr>
          <w:rFonts w:hint="default" w:ascii="Times New Roman" w:hAnsi="Times New Roman" w:eastAsia="宋体" w:cs="Times New Roman"/>
          <w:color w:val="auto"/>
          <w:sz w:val="24"/>
          <w:szCs w:val="24"/>
          <w:highlight w:val="none"/>
          <w:lang w:eastAsia="zh-CN"/>
        </w:rPr>
        <w:fldChar w:fldCharType="separate"/>
      </w:r>
      <w:r>
        <w:rPr>
          <w:rFonts w:hint="default" w:ascii="Times New Roman" w:hAnsi="Times New Roman" w:cs="Times New Roman"/>
          <w:color w:val="auto"/>
          <w:sz w:val="24"/>
          <w:szCs w:val="24"/>
          <w:highlight w:val="none"/>
        </w:rPr>
        <w:t>第五章</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委托人要求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_Toc30626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43</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lang w:eastAsia="zh-CN"/>
        </w:rPr>
        <w:fldChar w:fldCharType="end"/>
      </w:r>
    </w:p>
    <w:p w14:paraId="11C748E3">
      <w:pPr>
        <w:pStyle w:val="38"/>
        <w:tabs>
          <w:tab w:val="right" w:leader="dot" w:pos="9071"/>
        </w:tabs>
        <w:spacing w:line="360" w:lineRule="auto"/>
        <w:rPr>
          <w:rFonts w:hint="default" w:ascii="Times New Roman" w:hAnsi="Times New Roman"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fldChar w:fldCharType="begin"/>
      </w:r>
      <w:r>
        <w:rPr>
          <w:rFonts w:hint="default" w:ascii="Times New Roman" w:hAnsi="Times New Roman" w:eastAsia="宋体" w:cs="Times New Roman"/>
          <w:b/>
          <w:bCs/>
          <w:color w:val="auto"/>
          <w:sz w:val="24"/>
          <w:szCs w:val="24"/>
          <w:highlight w:val="none"/>
          <w:lang w:eastAsia="zh-CN"/>
        </w:rPr>
        <w:instrText xml:space="preserve"> HYPERLINK \l _Toc16291 </w:instrText>
      </w:r>
      <w:r>
        <w:rPr>
          <w:rFonts w:hint="default" w:ascii="Times New Roman" w:hAnsi="Times New Roman" w:eastAsia="宋体" w:cs="Times New Roman"/>
          <w:b/>
          <w:bCs/>
          <w:color w:val="auto"/>
          <w:sz w:val="24"/>
          <w:szCs w:val="24"/>
          <w:highlight w:val="none"/>
          <w:lang w:eastAsia="zh-CN"/>
        </w:rPr>
        <w:fldChar w:fldCharType="separate"/>
      </w:r>
      <w:r>
        <w:rPr>
          <w:rFonts w:hint="default" w:ascii="Times New Roman" w:hAnsi="Times New Roman" w:cs="Times New Roman"/>
          <w:b/>
          <w:bCs/>
          <w:color w:val="auto"/>
          <w:sz w:val="24"/>
          <w:szCs w:val="24"/>
          <w:highlight w:val="none"/>
        </w:rPr>
        <w:t>第三卷</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_Toc16291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50</w:t>
      </w:r>
      <w:r>
        <w:rPr>
          <w:rFonts w:hint="default" w:ascii="Times New Roman" w:hAnsi="Times New Roman"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lang w:eastAsia="zh-CN"/>
        </w:rPr>
        <w:fldChar w:fldCharType="end"/>
      </w:r>
    </w:p>
    <w:p w14:paraId="2495FDE8">
      <w:pPr>
        <w:pStyle w:val="38"/>
        <w:tabs>
          <w:tab w:val="right" w:leader="dot" w:pos="9071"/>
        </w:tabs>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HYPERLINK \l _Toc19817 </w:instrText>
      </w:r>
      <w:r>
        <w:rPr>
          <w:rFonts w:hint="default" w:ascii="Times New Roman" w:hAnsi="Times New Roman" w:eastAsia="宋体" w:cs="Times New Roman"/>
          <w:color w:val="auto"/>
          <w:sz w:val="24"/>
          <w:szCs w:val="24"/>
          <w:highlight w:val="none"/>
          <w:lang w:eastAsia="zh-CN"/>
        </w:rPr>
        <w:fldChar w:fldCharType="separate"/>
      </w:r>
      <w:r>
        <w:rPr>
          <w:rFonts w:hint="default" w:ascii="Times New Roman" w:hAnsi="Times New Roman" w:cs="Times New Roman"/>
          <w:color w:val="auto"/>
          <w:sz w:val="24"/>
          <w:szCs w:val="24"/>
          <w:highlight w:val="none"/>
        </w:rPr>
        <w:t>第六章</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投标文件格式</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_Toc19817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51</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lang w:eastAsia="zh-CN"/>
        </w:rPr>
        <w:fldChar w:fldCharType="end"/>
      </w:r>
    </w:p>
    <w:p w14:paraId="09349399">
      <w:pPr>
        <w:pStyle w:val="38"/>
        <w:tabs>
          <w:tab w:val="right" w:leader="dot" w:pos="9071"/>
        </w:tabs>
        <w:spacing w:line="360" w:lineRule="auto"/>
        <w:ind w:firstLine="480" w:firstLineChars="200"/>
        <w:rPr>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HYPERLINK \l _Toc22888 </w:instrText>
      </w:r>
      <w:r>
        <w:rPr>
          <w:rFonts w:hint="default" w:ascii="Times New Roman" w:hAnsi="Times New Roman" w:eastAsia="宋体" w:cs="Times New Roman"/>
          <w:color w:val="auto"/>
          <w:sz w:val="24"/>
          <w:szCs w:val="24"/>
          <w:highlight w:val="none"/>
          <w:lang w:eastAsia="zh-CN"/>
        </w:rPr>
        <w:fldChar w:fldCharType="separate"/>
      </w:r>
      <w:r>
        <w:rPr>
          <w:rFonts w:hint="default" w:ascii="Times New Roman" w:hAnsi="Times New Roman" w:cs="Times New Roman"/>
          <w:color w:val="auto"/>
          <w:sz w:val="24"/>
          <w:szCs w:val="24"/>
          <w:highlight w:val="none"/>
          <w:lang w:val="en-US" w:eastAsia="zh-CN"/>
        </w:rPr>
        <w:t xml:space="preserve">第七章 </w:t>
      </w:r>
      <w:r>
        <w:rPr>
          <w:rFonts w:hint="default" w:ascii="Times New Roman" w:hAnsi="Times New Roman" w:cs="Times New Roman"/>
          <w:color w:val="auto"/>
          <w:sz w:val="24"/>
          <w:szCs w:val="24"/>
          <w:highlight w:val="none"/>
        </w:rPr>
        <w:t>投标人须知前附表规定的其他资料。</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_Toc22888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72</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lang w:eastAsia="zh-CN"/>
        </w:rPr>
        <w:fldChar w:fldCharType="end"/>
      </w:r>
    </w:p>
    <w:p w14:paraId="165CCA83">
      <w:pPr>
        <w:pStyle w:val="40"/>
        <w:keepNext w:val="0"/>
        <w:keepLines w:val="0"/>
        <w:pageBreakBefore w:val="0"/>
        <w:widowControl/>
        <w:tabs>
          <w:tab w:val="right" w:leader="dot" w:pos="9071"/>
        </w:tabs>
        <w:kinsoku/>
        <w:wordWrap/>
        <w:overflowPunct/>
        <w:topLinePunct w:val="0"/>
        <w:autoSpaceDE/>
        <w:autoSpaceDN/>
        <w:bidi w:val="0"/>
        <w:adjustRightInd/>
        <w:snapToGrid/>
        <w:spacing w:line="360" w:lineRule="auto"/>
        <w:ind w:left="720" w:leftChars="300"/>
        <w:textAlignment w:val="auto"/>
        <w:rPr>
          <w:rFonts w:hint="eastAsia" w:ascii="宋体" w:hAnsi="宋体" w:eastAsia="宋体" w:cs="宋体"/>
          <w:color w:val="auto"/>
          <w:sz w:val="20"/>
          <w:szCs w:val="24"/>
          <w:highlight w:val="none"/>
          <w:lang w:eastAsia="zh-CN"/>
        </w:rPr>
      </w:pPr>
      <w:r>
        <w:rPr>
          <w:rFonts w:hint="eastAsia" w:ascii="宋体" w:hAnsi="宋体" w:eastAsia="宋体" w:cs="宋体"/>
          <w:color w:val="auto"/>
          <w:sz w:val="24"/>
          <w:szCs w:val="24"/>
          <w:highlight w:val="none"/>
          <w:lang w:eastAsia="zh-CN"/>
        </w:rPr>
        <w:fldChar w:fldCharType="end"/>
      </w:r>
    </w:p>
    <w:p w14:paraId="2377EC7B">
      <w:pPr>
        <w:pStyle w:val="40"/>
        <w:keepNext w:val="0"/>
        <w:keepLines w:val="0"/>
        <w:pageBreakBefore w:val="0"/>
        <w:widowControl/>
        <w:tabs>
          <w:tab w:val="right" w:leader="dot" w:pos="9071"/>
        </w:tabs>
        <w:kinsoku/>
        <w:wordWrap/>
        <w:overflowPunct/>
        <w:topLinePunct w:val="0"/>
        <w:autoSpaceDE/>
        <w:autoSpaceDN/>
        <w:bidi w:val="0"/>
        <w:adjustRightInd/>
        <w:snapToGrid/>
        <w:spacing w:line="360" w:lineRule="auto"/>
        <w:ind w:left="720" w:leftChars="300"/>
        <w:textAlignment w:val="auto"/>
        <w:rPr>
          <w:rFonts w:hint="eastAsia" w:ascii="宋体" w:hAnsi="宋体" w:eastAsia="宋体" w:cs="宋体"/>
          <w:color w:val="auto"/>
          <w:sz w:val="20"/>
          <w:szCs w:val="24"/>
          <w:highlight w:val="none"/>
          <w:lang w:eastAsia="zh-CN"/>
        </w:rPr>
      </w:pPr>
    </w:p>
    <w:p w14:paraId="7A2ABD24">
      <w:pPr>
        <w:pStyle w:val="12"/>
        <w:tabs>
          <w:tab w:val="right" w:leader="dot" w:pos="8714"/>
        </w:tabs>
        <w:kinsoku w:val="0"/>
        <w:overflowPunct w:val="0"/>
        <w:spacing w:line="288" w:lineRule="exact"/>
        <w:ind w:left="0"/>
        <w:jc w:val="center"/>
        <w:rPr>
          <w:rFonts w:hint="default" w:hAnsi="Calibri"/>
          <w:color w:val="auto"/>
          <w:sz w:val="21"/>
          <w:szCs w:val="24"/>
          <w:highlight w:val="none"/>
          <w:lang w:eastAsia="zh-CN"/>
        </w:rPr>
        <w:sectPr>
          <w:footerReference r:id="rId3" w:type="default"/>
          <w:pgSz w:w="11905" w:h="16838"/>
          <w:pgMar w:top="1417" w:right="1417" w:bottom="1417" w:left="1417" w:header="720" w:footer="720" w:gutter="0"/>
          <w:lnNumType w:countBy="0" w:distance="360"/>
          <w:pgNumType w:start="1"/>
          <w:cols w:space="720" w:num="1"/>
        </w:sectPr>
      </w:pPr>
    </w:p>
    <w:p w14:paraId="338A9380">
      <w:pPr>
        <w:pStyle w:val="12"/>
        <w:kinsoku w:val="0"/>
        <w:overflowPunct w:val="0"/>
        <w:ind w:left="0"/>
        <w:rPr>
          <w:rFonts w:hint="default" w:ascii="Calibri" w:hAnsi="Calibri" w:eastAsia="Calibri"/>
          <w:color w:val="auto"/>
          <w:sz w:val="44"/>
          <w:szCs w:val="24"/>
          <w:highlight w:val="none"/>
        </w:rPr>
      </w:pPr>
    </w:p>
    <w:p w14:paraId="7BED35FD">
      <w:pPr>
        <w:pStyle w:val="3"/>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color w:val="auto"/>
          <w:sz w:val="52"/>
          <w:szCs w:val="52"/>
          <w:highlight w:val="none"/>
        </w:rPr>
      </w:pPr>
      <w:r>
        <w:rPr>
          <w:rFonts w:hint="eastAsia"/>
          <w:color w:val="auto"/>
          <w:sz w:val="52"/>
          <w:szCs w:val="52"/>
          <w:highlight w:val="none"/>
        </w:rPr>
        <w:t>第一卷</w:t>
      </w:r>
    </w:p>
    <w:p w14:paraId="716A1B69">
      <w:pPr>
        <w:pStyle w:val="12"/>
        <w:kinsoku w:val="0"/>
        <w:overflowPunct w:val="0"/>
        <w:ind w:left="0"/>
        <w:rPr>
          <w:rFonts w:hint="eastAsia"/>
          <w:b w:val="0"/>
          <w:color w:val="auto"/>
          <w:sz w:val="44"/>
          <w:szCs w:val="24"/>
          <w:highlight w:val="none"/>
        </w:rPr>
        <w:sectPr>
          <w:footerReference r:id="rId4" w:type="default"/>
          <w:pgSz w:w="11905" w:h="16838"/>
          <w:pgMar w:top="1417" w:right="1417" w:bottom="1417" w:left="1417" w:header="720" w:footer="720" w:gutter="0"/>
          <w:lnNumType w:countBy="0" w:distance="360"/>
          <w:cols w:space="720" w:num="1"/>
        </w:sectPr>
      </w:pPr>
    </w:p>
    <w:p w14:paraId="2362BFC6">
      <w:pPr>
        <w:pStyle w:val="4"/>
        <w:outlineLvl w:val="0"/>
        <w:rPr>
          <w:rFonts w:hint="default" w:cs="宋体"/>
          <w:color w:val="auto"/>
          <w:sz w:val="44"/>
          <w:szCs w:val="24"/>
          <w:highlight w:val="none"/>
        </w:rPr>
      </w:pPr>
      <w:r>
        <w:rPr>
          <w:rFonts w:hint="default" w:cs="宋体"/>
          <w:color w:val="auto"/>
          <w:sz w:val="44"/>
          <w:szCs w:val="24"/>
          <w:highlight w:val="none"/>
        </w:rPr>
        <w:t>第一章</w:t>
      </w:r>
      <w:r>
        <w:rPr>
          <w:rFonts w:hint="default" w:cs="宋体"/>
          <w:color w:val="auto"/>
          <w:sz w:val="44"/>
          <w:szCs w:val="24"/>
          <w:highlight w:val="none"/>
          <w:lang w:val="en-US" w:eastAsia="zh-CN"/>
        </w:rPr>
        <w:t xml:space="preserve"> </w:t>
      </w:r>
      <w:r>
        <w:rPr>
          <w:rFonts w:hint="default" w:cs="宋体"/>
          <w:color w:val="auto"/>
          <w:sz w:val="44"/>
          <w:szCs w:val="24"/>
          <w:highlight w:val="none"/>
        </w:rPr>
        <w:t>招标公告</w:t>
      </w:r>
    </w:p>
    <w:p w14:paraId="2499C11E">
      <w:pPr>
        <w:jc w:val="center"/>
        <w:rPr>
          <w:rFonts w:hint="eastAsia" w:cs="宋体"/>
          <w:color w:val="auto"/>
          <w:sz w:val="44"/>
          <w:szCs w:val="24"/>
          <w:highlight w:val="none"/>
          <w:lang w:eastAsia="zh-CN"/>
        </w:rPr>
      </w:pPr>
    </w:p>
    <w:p w14:paraId="013B18EC">
      <w:pPr>
        <w:jc w:val="center"/>
        <w:rPr>
          <w:rFonts w:hint="eastAsia" w:eastAsia="宋体" w:cs="宋体"/>
          <w:color w:val="auto"/>
          <w:sz w:val="44"/>
          <w:szCs w:val="24"/>
          <w:highlight w:val="none"/>
          <w:lang w:eastAsia="zh-CN"/>
        </w:rPr>
      </w:pPr>
      <w:r>
        <w:rPr>
          <w:rFonts w:hint="eastAsia" w:cs="宋体"/>
          <w:color w:val="auto"/>
          <w:sz w:val="44"/>
          <w:szCs w:val="24"/>
          <w:highlight w:val="none"/>
          <w:lang w:eastAsia="zh-CN"/>
        </w:rPr>
        <w:t>另册</w:t>
      </w:r>
      <w:r>
        <w:rPr>
          <w:rFonts w:hint="default" w:cs="宋体"/>
          <w:color w:val="auto"/>
          <w:sz w:val="44"/>
          <w:szCs w:val="24"/>
          <w:highlight w:val="none"/>
        </w:rPr>
        <w:br w:type="page"/>
      </w:r>
    </w:p>
    <w:p w14:paraId="6A465871">
      <w:pPr>
        <w:pStyle w:val="4"/>
        <w:outlineLvl w:val="0"/>
        <w:rPr>
          <w:rFonts w:hint="eastAsia" w:ascii="Microsoft JhengHei" w:hAnsi="Microsoft JhengHei" w:eastAsia="Microsoft JhengHei"/>
          <w:b w:val="0"/>
          <w:color w:val="auto"/>
          <w:sz w:val="57"/>
          <w:szCs w:val="24"/>
          <w:highlight w:val="none"/>
        </w:rPr>
      </w:pPr>
      <w:r>
        <w:rPr>
          <w:rFonts w:hint="default" w:cs="宋体"/>
          <w:color w:val="auto"/>
          <w:sz w:val="44"/>
          <w:szCs w:val="24"/>
          <w:highlight w:val="none"/>
        </w:rPr>
        <w:t>第二章</w:t>
      </w:r>
      <w:r>
        <w:rPr>
          <w:rFonts w:hint="default" w:cs="宋体"/>
          <w:color w:val="auto"/>
          <w:sz w:val="44"/>
          <w:szCs w:val="24"/>
          <w:highlight w:val="none"/>
          <w:lang w:val="en-US" w:eastAsia="zh-CN"/>
        </w:rPr>
        <w:t xml:space="preserve"> </w:t>
      </w:r>
      <w:r>
        <w:rPr>
          <w:rFonts w:hint="default" w:cs="宋体"/>
          <w:color w:val="auto"/>
          <w:sz w:val="44"/>
          <w:szCs w:val="24"/>
          <w:highlight w:val="none"/>
        </w:rPr>
        <w:t>投标人须知</w:t>
      </w:r>
    </w:p>
    <w:p w14:paraId="07A0E53D">
      <w:pPr>
        <w:pStyle w:val="5"/>
        <w:kinsoku w:val="0"/>
        <w:overflowPunct w:val="0"/>
        <w:ind w:left="220"/>
        <w:jc w:val="center"/>
        <w:outlineLvl w:val="1"/>
        <w:rPr>
          <w:rFonts w:hint="eastAsia" w:ascii="Microsoft JhengHei" w:hAnsi="Microsoft JhengHei" w:eastAsia="Microsoft JhengHei"/>
          <w:b w:val="0"/>
          <w:color w:val="auto"/>
          <w:sz w:val="20"/>
          <w:szCs w:val="24"/>
          <w:highlight w:val="none"/>
        </w:rPr>
      </w:pPr>
      <w:r>
        <w:rPr>
          <w:rFonts w:hint="default"/>
          <w:color w:val="auto"/>
          <w:sz w:val="32"/>
          <w:szCs w:val="24"/>
          <w:highlight w:val="none"/>
        </w:rPr>
        <w:t>投标人须知前附表</w:t>
      </w:r>
    </w:p>
    <w:tbl>
      <w:tblPr>
        <w:tblStyle w:val="2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07"/>
        <w:gridCol w:w="5463"/>
      </w:tblGrid>
      <w:tr w14:paraId="378F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94F2704">
            <w:pPr>
              <w:pStyle w:val="29"/>
              <w:keepNext w:val="0"/>
              <w:keepLines w:val="0"/>
              <w:pageBreakBefore w:val="0"/>
              <w:widowControl w:val="0"/>
              <w:kinsoku w:val="0"/>
              <w:wordWrap/>
              <w:overflowPunct w:val="0"/>
              <w:topLinePunct w:val="0"/>
              <w:bidi w:val="0"/>
              <w:spacing w:before="41" w:line="312" w:lineRule="auto"/>
              <w:jc w:val="center"/>
              <w:textAlignment w:val="auto"/>
              <w:rPr>
                <w:rFonts w:hint="default"/>
                <w:color w:val="auto"/>
                <w:sz w:val="21"/>
                <w:szCs w:val="24"/>
                <w:highlight w:val="none"/>
              </w:rPr>
            </w:pPr>
            <w:r>
              <w:rPr>
                <w:rFonts w:hint="default" w:ascii="宋体" w:hAnsi="宋体" w:eastAsia="宋体" w:cs="宋体"/>
                <w:b/>
                <w:color w:val="auto"/>
                <w:sz w:val="21"/>
                <w:szCs w:val="21"/>
                <w:highlight w:val="none"/>
              </w:rPr>
              <w:t>条款号</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F76A861">
            <w:pPr>
              <w:pStyle w:val="29"/>
              <w:keepNext w:val="0"/>
              <w:keepLines w:val="0"/>
              <w:pageBreakBefore w:val="0"/>
              <w:widowControl w:val="0"/>
              <w:kinsoku w:val="0"/>
              <w:wordWrap/>
              <w:overflowPunct w:val="0"/>
              <w:topLinePunct w:val="0"/>
              <w:bidi w:val="0"/>
              <w:spacing w:before="41" w:line="312" w:lineRule="auto"/>
              <w:jc w:val="center"/>
              <w:textAlignment w:val="auto"/>
              <w:rPr>
                <w:rFonts w:hint="default"/>
                <w:color w:val="auto"/>
                <w:sz w:val="21"/>
                <w:szCs w:val="24"/>
                <w:highlight w:val="none"/>
              </w:rPr>
            </w:pPr>
            <w:r>
              <w:rPr>
                <w:rFonts w:hint="default" w:ascii="宋体" w:hAnsi="宋体" w:eastAsia="宋体" w:cs="宋体"/>
                <w:b/>
                <w:color w:val="auto"/>
                <w:sz w:val="21"/>
                <w:szCs w:val="21"/>
                <w:highlight w:val="none"/>
              </w:rPr>
              <w:t>条款名称</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0A89236">
            <w:pPr>
              <w:pStyle w:val="29"/>
              <w:keepNext w:val="0"/>
              <w:keepLines w:val="0"/>
              <w:pageBreakBefore w:val="0"/>
              <w:widowControl w:val="0"/>
              <w:kinsoku w:val="0"/>
              <w:wordWrap/>
              <w:overflowPunct w:val="0"/>
              <w:topLinePunct w:val="0"/>
              <w:bidi w:val="0"/>
              <w:spacing w:before="41" w:line="312" w:lineRule="auto"/>
              <w:jc w:val="center"/>
              <w:textAlignment w:val="auto"/>
              <w:rPr>
                <w:rFonts w:hint="default"/>
                <w:color w:val="auto"/>
                <w:sz w:val="21"/>
                <w:szCs w:val="24"/>
                <w:highlight w:val="none"/>
              </w:rPr>
            </w:pPr>
            <w:r>
              <w:rPr>
                <w:rFonts w:hint="default" w:ascii="宋体" w:hAnsi="宋体" w:eastAsia="宋体" w:cs="宋体"/>
                <w:b/>
                <w:color w:val="auto"/>
                <w:sz w:val="21"/>
                <w:szCs w:val="21"/>
                <w:highlight w:val="none"/>
              </w:rPr>
              <w:t>编列内容</w:t>
            </w:r>
          </w:p>
        </w:tc>
      </w:tr>
      <w:tr w14:paraId="6856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E64C324">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eastAsia" w:ascii="宋体" w:hAnsi="宋体" w:eastAsia="宋体"/>
                <w:color w:val="auto"/>
                <w:sz w:val="21"/>
                <w:szCs w:val="24"/>
                <w:highlight w:val="none"/>
              </w:rPr>
              <w:t>1.1.2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30944AC">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招标人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419B9D1">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lang w:val="en-US" w:eastAsia="zh-CN"/>
              </w:rPr>
            </w:pPr>
            <w:r>
              <w:rPr>
                <w:rFonts w:hint="default" w:ascii="宋体" w:hAnsi="宋体" w:eastAsia="宋体"/>
                <w:color w:val="auto"/>
                <w:sz w:val="21"/>
                <w:szCs w:val="24"/>
                <w:highlight w:val="none"/>
                <w:lang w:val="en-US" w:eastAsia="zh-CN"/>
              </w:rPr>
              <w:t>名称：</w:t>
            </w:r>
            <w:r>
              <w:rPr>
                <w:rFonts w:hint="eastAsia" w:ascii="宋体" w:hAnsi="宋体"/>
                <w:color w:val="auto"/>
                <w:sz w:val="21"/>
                <w:szCs w:val="24"/>
                <w:highlight w:val="none"/>
                <w:lang w:val="en-US" w:eastAsia="zh-CN"/>
              </w:rPr>
              <w:t>广州南沙广业生态发展有限公司</w:t>
            </w:r>
          </w:p>
          <w:p w14:paraId="418991C7">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lang w:val="en-US" w:eastAsia="zh-CN"/>
              </w:rPr>
            </w:pPr>
            <w:r>
              <w:rPr>
                <w:rFonts w:hint="default" w:ascii="宋体" w:hAnsi="宋体" w:eastAsia="宋体"/>
                <w:color w:val="auto"/>
                <w:sz w:val="21"/>
                <w:szCs w:val="24"/>
                <w:highlight w:val="none"/>
                <w:lang w:val="en-US" w:eastAsia="zh-CN"/>
              </w:rPr>
              <w:t>地址：</w:t>
            </w:r>
            <w:r>
              <w:rPr>
                <w:rFonts w:hint="eastAsia" w:ascii="宋体" w:hAnsi="宋体"/>
                <w:color w:val="auto"/>
                <w:sz w:val="21"/>
                <w:szCs w:val="24"/>
                <w:highlight w:val="none"/>
                <w:lang w:val="en-US" w:eastAsia="zh-CN"/>
              </w:rPr>
              <w:t>广州市南沙区万顷沙镇兴举二路1号</w:t>
            </w:r>
          </w:p>
          <w:p w14:paraId="43319D2C">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lang w:val="en-US" w:eastAsia="zh-CN"/>
              </w:rPr>
            </w:pPr>
            <w:r>
              <w:rPr>
                <w:rFonts w:hint="default" w:ascii="宋体" w:hAnsi="宋体" w:eastAsia="宋体"/>
                <w:color w:val="auto"/>
                <w:sz w:val="21"/>
                <w:szCs w:val="24"/>
                <w:highlight w:val="none"/>
                <w:lang w:val="en-US" w:eastAsia="zh-CN"/>
              </w:rPr>
              <w:t>联系人：李经理</w:t>
            </w:r>
          </w:p>
          <w:p w14:paraId="102D576A">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lang w:val="en-US" w:eastAsia="zh-CN"/>
              </w:rPr>
              <w:t>电话：020-22160079</w:t>
            </w:r>
          </w:p>
        </w:tc>
      </w:tr>
      <w:tr w14:paraId="07B0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FC5ACA3">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eastAsia" w:ascii="宋体" w:hAnsi="宋体" w:eastAsia="宋体"/>
                <w:color w:val="auto"/>
                <w:sz w:val="21"/>
                <w:szCs w:val="24"/>
                <w:highlight w:val="none"/>
              </w:rPr>
              <w:t>1.1.3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0DDBFB6">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招标代理机构</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14B140A">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名称：</w:t>
            </w:r>
            <w:r>
              <w:rPr>
                <w:rFonts w:hint="eastAsia" w:ascii="宋体" w:hAnsi="宋体"/>
                <w:color w:val="auto"/>
                <w:sz w:val="21"/>
                <w:szCs w:val="24"/>
                <w:highlight w:val="none"/>
                <w:lang w:eastAsia="zh-CN"/>
              </w:rPr>
              <w:t>广东省国际工程咨询有限公司</w:t>
            </w:r>
          </w:p>
          <w:p w14:paraId="51DA49EB">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地址：广州市越秀区环市中路316号金鹰大厦</w:t>
            </w:r>
            <w:r>
              <w:rPr>
                <w:rFonts w:hint="eastAsia" w:ascii="宋体" w:hAnsi="宋体"/>
                <w:color w:val="auto"/>
                <w:sz w:val="21"/>
                <w:szCs w:val="24"/>
                <w:highlight w:val="none"/>
                <w:lang w:val="en-US" w:eastAsia="zh-CN"/>
              </w:rPr>
              <w:t>9</w:t>
            </w:r>
            <w:r>
              <w:rPr>
                <w:rFonts w:hint="default" w:ascii="宋体" w:hAnsi="宋体" w:eastAsia="宋体"/>
                <w:color w:val="auto"/>
                <w:sz w:val="21"/>
                <w:szCs w:val="24"/>
                <w:highlight w:val="none"/>
              </w:rPr>
              <w:t>楼</w:t>
            </w:r>
          </w:p>
          <w:p w14:paraId="0B79A022">
            <w:pPr>
              <w:pStyle w:val="29"/>
              <w:keepNext w:val="0"/>
              <w:keepLines w:val="0"/>
              <w:pageBreakBefore w:val="0"/>
              <w:widowControl w:val="0"/>
              <w:kinsoku w:val="0"/>
              <w:wordWrap/>
              <w:overflowPunct w:val="0"/>
              <w:topLinePunct w:val="0"/>
              <w:bidi w:val="0"/>
              <w:spacing w:line="312" w:lineRule="auto"/>
              <w:jc w:val="both"/>
              <w:textAlignment w:val="auto"/>
              <w:rPr>
                <w:rFonts w:hint="eastAsia" w:ascii="宋体" w:hAnsi="宋体" w:eastAsia="宋体"/>
                <w:color w:val="auto"/>
                <w:sz w:val="21"/>
                <w:szCs w:val="24"/>
                <w:highlight w:val="none"/>
                <w:lang w:eastAsia="zh-CN"/>
              </w:rPr>
            </w:pPr>
            <w:r>
              <w:rPr>
                <w:rFonts w:hint="default" w:ascii="宋体" w:hAnsi="宋体" w:eastAsia="宋体"/>
                <w:color w:val="auto"/>
                <w:sz w:val="21"/>
                <w:szCs w:val="24"/>
                <w:highlight w:val="none"/>
              </w:rPr>
              <w:t>联系</w:t>
            </w:r>
            <w:r>
              <w:rPr>
                <w:rFonts w:hint="default" w:ascii="宋体" w:hAnsi="宋体" w:eastAsia="宋体"/>
                <w:color w:val="auto"/>
                <w:sz w:val="21"/>
                <w:szCs w:val="24"/>
                <w:highlight w:val="none"/>
                <w:lang w:val="en-US" w:eastAsia="zh-CN"/>
              </w:rPr>
              <w:t>人</w:t>
            </w:r>
            <w:r>
              <w:rPr>
                <w:rFonts w:hint="default" w:ascii="宋体" w:hAnsi="宋体" w:eastAsia="宋体"/>
                <w:color w:val="auto"/>
                <w:sz w:val="21"/>
                <w:szCs w:val="24"/>
                <w:highlight w:val="none"/>
              </w:rPr>
              <w:t>：</w:t>
            </w:r>
            <w:r>
              <w:rPr>
                <w:rFonts w:hint="eastAsia" w:ascii="宋体" w:hAnsi="宋体"/>
                <w:color w:val="auto"/>
                <w:sz w:val="21"/>
                <w:szCs w:val="24"/>
                <w:highlight w:val="none"/>
                <w:lang w:val="en-US" w:eastAsia="zh-CN"/>
              </w:rPr>
              <w:t>梁鸿茵、陈伟清、段湘萍</w:t>
            </w:r>
          </w:p>
          <w:p w14:paraId="102D3305">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电话：</w:t>
            </w:r>
            <w:r>
              <w:rPr>
                <w:rFonts w:hint="default" w:ascii="宋体" w:hAnsi="宋体" w:eastAsia="宋体"/>
                <w:color w:val="auto"/>
                <w:sz w:val="21"/>
                <w:szCs w:val="24"/>
                <w:highlight w:val="none"/>
                <w:lang w:val="en-US" w:eastAsia="zh-CN"/>
              </w:rPr>
              <w:t>020-83543598</w:t>
            </w:r>
          </w:p>
        </w:tc>
      </w:tr>
      <w:tr w14:paraId="5E1B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BF115E2">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eastAsia" w:ascii="宋体" w:hAnsi="宋体" w:eastAsia="宋体"/>
                <w:color w:val="auto"/>
                <w:sz w:val="21"/>
                <w:szCs w:val="24"/>
                <w:highlight w:val="none"/>
              </w:rPr>
              <w:t>1.1.4</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35DD9FC">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招标项目名称</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0F29847">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rPr>
            </w:pPr>
            <w:r>
              <w:rPr>
                <w:rFonts w:hint="eastAsia" w:ascii="宋体" w:hAnsi="宋体"/>
                <w:color w:val="auto"/>
                <w:sz w:val="21"/>
                <w:szCs w:val="24"/>
                <w:highlight w:val="none"/>
                <w:lang w:eastAsia="zh-CN"/>
              </w:rPr>
              <w:t>广州市南沙区南沙污水处理厂项目工程监理</w:t>
            </w:r>
          </w:p>
        </w:tc>
      </w:tr>
      <w:tr w14:paraId="2D1C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2497B32">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eastAsia" w:ascii="Times New Roman" w:hAnsi="Times New Roman" w:eastAsia="Times New Roman"/>
                <w:color w:val="auto"/>
                <w:sz w:val="21"/>
                <w:szCs w:val="24"/>
                <w:highlight w:val="none"/>
              </w:rPr>
              <w:t>1.1.5</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2D1CC07">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default" w:ascii="宋体" w:hAnsi="宋体" w:eastAsia="宋体"/>
                <w:color w:val="auto"/>
                <w:sz w:val="21"/>
                <w:szCs w:val="24"/>
                <w:highlight w:val="none"/>
              </w:rPr>
              <w:t>项目建设地点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8850FA9">
            <w:pPr>
              <w:keepNext w:val="0"/>
              <w:keepLines w:val="0"/>
              <w:pageBreakBefore w:val="0"/>
              <w:widowControl w:val="0"/>
              <w:wordWrap/>
              <w:topLinePunct w:val="0"/>
              <w:bidi w:val="0"/>
              <w:spacing w:line="312" w:lineRule="auto"/>
              <w:jc w:val="both"/>
              <w:textAlignment w:val="auto"/>
              <w:rPr>
                <w:rFonts w:hint="default"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详见招标公告</w:t>
            </w:r>
          </w:p>
        </w:tc>
      </w:tr>
      <w:tr w14:paraId="1293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C6CE80A">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eastAsia" w:ascii="Times New Roman" w:hAnsi="Times New Roman" w:eastAsia="Times New Roman"/>
                <w:color w:val="auto"/>
                <w:sz w:val="21"/>
                <w:szCs w:val="24"/>
                <w:highlight w:val="none"/>
              </w:rPr>
              <w:t>1.1.6</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2ACE4E6">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default" w:ascii="宋体" w:hAnsi="宋体" w:eastAsia="宋体"/>
                <w:color w:val="auto"/>
                <w:sz w:val="21"/>
                <w:szCs w:val="24"/>
                <w:highlight w:val="none"/>
              </w:rPr>
              <w:t>项目建设规模</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B57DB93">
            <w:pPr>
              <w:keepNext w:val="0"/>
              <w:keepLines w:val="0"/>
              <w:pageBreakBefore w:val="0"/>
              <w:widowControl w:val="0"/>
              <w:wordWrap/>
              <w:topLinePunct w:val="0"/>
              <w:bidi w:val="0"/>
              <w:spacing w:line="312" w:lineRule="auto"/>
              <w:jc w:val="both"/>
              <w:textAlignment w:val="auto"/>
              <w:rPr>
                <w:rFonts w:hint="default"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详见招标公告</w:t>
            </w:r>
          </w:p>
        </w:tc>
      </w:tr>
      <w:tr w14:paraId="4F1A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0F851C3">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eastAsia" w:ascii="Times New Roman" w:hAnsi="Times New Roman" w:eastAsia="Times New Roman"/>
                <w:color w:val="auto"/>
                <w:sz w:val="21"/>
                <w:szCs w:val="24"/>
                <w:highlight w:val="none"/>
              </w:rPr>
              <w:t>1.1.7</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A321C2B">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default" w:ascii="宋体" w:hAnsi="宋体" w:eastAsia="宋体"/>
                <w:color w:val="auto"/>
                <w:sz w:val="21"/>
                <w:szCs w:val="24"/>
                <w:highlight w:val="none"/>
              </w:rPr>
              <w:t>工程项目施工预计开工日期和建设周期</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5B6646D">
            <w:pPr>
              <w:keepNext w:val="0"/>
              <w:keepLines w:val="0"/>
              <w:pageBreakBefore w:val="0"/>
              <w:widowControl w:val="0"/>
              <w:wordWrap/>
              <w:topLinePunct w:val="0"/>
              <w:bidi w:val="0"/>
              <w:spacing w:line="312" w:lineRule="auto"/>
              <w:jc w:val="both"/>
              <w:textAlignment w:val="auto"/>
              <w:rPr>
                <w:rFonts w:hint="default"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具体以开工报告为准。</w:t>
            </w:r>
          </w:p>
        </w:tc>
      </w:tr>
      <w:tr w14:paraId="33F3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7BB003D">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eastAsia" w:ascii="Times New Roman" w:hAnsi="Times New Roman" w:eastAsia="Times New Roman"/>
                <w:color w:val="auto"/>
                <w:sz w:val="21"/>
                <w:szCs w:val="24"/>
                <w:highlight w:val="none"/>
              </w:rPr>
              <w:t>1.1.8</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82AF4DB">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default" w:ascii="宋体" w:hAnsi="宋体" w:eastAsia="宋体"/>
                <w:color w:val="auto"/>
                <w:sz w:val="21"/>
                <w:szCs w:val="24"/>
                <w:highlight w:val="none"/>
              </w:rPr>
              <w:t>建筑安装工程费</w:t>
            </w:r>
            <w:r>
              <w:rPr>
                <w:rFonts w:hint="eastAsia" w:ascii="Times New Roman" w:hAnsi="Times New Roman" w:eastAsia="Times New Roman"/>
                <w:color w:val="auto"/>
                <w:sz w:val="21"/>
                <w:szCs w:val="24"/>
                <w:highlight w:val="none"/>
              </w:rPr>
              <w:t>/</w:t>
            </w:r>
            <w:r>
              <w:rPr>
                <w:rFonts w:hint="default" w:ascii="宋体" w:hAnsi="宋体" w:eastAsia="宋体"/>
                <w:color w:val="auto"/>
                <w:sz w:val="21"/>
                <w:szCs w:val="24"/>
                <w:highlight w:val="none"/>
              </w:rPr>
              <w:t>工程概算</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D1B2BF3">
            <w:pPr>
              <w:keepNext w:val="0"/>
              <w:keepLines w:val="0"/>
              <w:pageBreakBefore w:val="0"/>
              <w:widowControl w:val="0"/>
              <w:wordWrap/>
              <w:topLinePunct w:val="0"/>
              <w:bidi w:val="0"/>
              <w:spacing w:line="312" w:lineRule="auto"/>
              <w:jc w:val="both"/>
              <w:textAlignment w:val="auto"/>
              <w:rPr>
                <w:rFonts w:hint="default"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lang w:val="en-US" w:eastAsia="zh-CN"/>
              </w:rPr>
              <w:t>本项目总投资140566.56万元，其中工程费用79343.96万元，工程建设其他费用11520.23万元，特许经营权出让价款41739.68万元。最终建设规模以批复的项目初步设计文件为准。</w:t>
            </w:r>
          </w:p>
        </w:tc>
      </w:tr>
      <w:tr w14:paraId="7D06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FD3D88A">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eastAsia" w:ascii="Times New Roman" w:hAnsi="Times New Roman" w:eastAsia="Times New Roman"/>
                <w:color w:val="auto"/>
                <w:sz w:val="21"/>
                <w:szCs w:val="24"/>
                <w:highlight w:val="none"/>
              </w:rPr>
              <w:t>1.2.1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BEB357C">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default" w:ascii="宋体" w:hAnsi="宋体" w:eastAsia="宋体"/>
                <w:color w:val="auto"/>
                <w:sz w:val="21"/>
                <w:szCs w:val="24"/>
                <w:highlight w:val="none"/>
              </w:rPr>
              <w:t>资金来源及比例</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72ECBFA">
            <w:pPr>
              <w:keepNext w:val="0"/>
              <w:keepLines w:val="0"/>
              <w:pageBreakBefore w:val="0"/>
              <w:widowControl w:val="0"/>
              <w:wordWrap/>
              <w:topLinePunct w:val="0"/>
              <w:bidi w:val="0"/>
              <w:spacing w:line="312" w:lineRule="auto"/>
              <w:jc w:val="both"/>
              <w:textAlignment w:val="auto"/>
              <w:rPr>
                <w:rFonts w:hint="default"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详见招标公告</w:t>
            </w:r>
          </w:p>
        </w:tc>
      </w:tr>
      <w:tr w14:paraId="2B1F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46D06C8">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eastAsia" w:ascii="Times New Roman" w:hAnsi="Times New Roman" w:eastAsia="Times New Roman"/>
                <w:color w:val="auto"/>
                <w:sz w:val="21"/>
                <w:szCs w:val="24"/>
                <w:highlight w:val="none"/>
              </w:rPr>
              <w:t>1.2.2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D92732F">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default" w:ascii="宋体" w:hAnsi="宋体" w:eastAsia="宋体"/>
                <w:color w:val="auto"/>
                <w:sz w:val="21"/>
                <w:szCs w:val="24"/>
                <w:highlight w:val="none"/>
              </w:rPr>
              <w:t>资金落实情况</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09B9292">
            <w:pPr>
              <w:keepNext w:val="0"/>
              <w:keepLines w:val="0"/>
              <w:pageBreakBefore w:val="0"/>
              <w:widowControl w:val="0"/>
              <w:wordWrap/>
              <w:topLinePunct w:val="0"/>
              <w:bidi w:val="0"/>
              <w:spacing w:line="312" w:lineRule="auto"/>
              <w:jc w:val="both"/>
              <w:textAlignment w:val="auto"/>
              <w:rPr>
                <w:rFonts w:hint="default"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lang w:val="en-US" w:eastAsia="zh-CN"/>
              </w:rPr>
              <w:t>已落实</w:t>
            </w:r>
          </w:p>
        </w:tc>
      </w:tr>
      <w:tr w14:paraId="5F64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EBD5658">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eastAsia" w:ascii="Times New Roman" w:hAnsi="Times New Roman" w:eastAsia="Times New Roman"/>
                <w:color w:val="auto"/>
                <w:sz w:val="21"/>
                <w:szCs w:val="24"/>
                <w:highlight w:val="none"/>
              </w:rPr>
              <w:t>1.3.1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146DDBF">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default" w:ascii="宋体" w:hAnsi="宋体" w:eastAsia="宋体"/>
                <w:color w:val="auto"/>
                <w:sz w:val="21"/>
                <w:szCs w:val="24"/>
                <w:highlight w:val="none"/>
              </w:rPr>
              <w:t>招标范围</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BD5B4B4">
            <w:pPr>
              <w:keepNext w:val="0"/>
              <w:keepLines w:val="0"/>
              <w:pageBreakBefore w:val="0"/>
              <w:widowControl w:val="0"/>
              <w:wordWrap/>
              <w:topLinePunct w:val="0"/>
              <w:bidi w:val="0"/>
              <w:spacing w:line="312" w:lineRule="auto"/>
              <w:jc w:val="both"/>
              <w:textAlignment w:val="auto"/>
              <w:rPr>
                <w:rFonts w:hint="default"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详见招标公告</w:t>
            </w:r>
          </w:p>
        </w:tc>
      </w:tr>
      <w:tr w14:paraId="3DF3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F319100">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eastAsia" w:ascii="Times New Roman" w:hAnsi="Times New Roman" w:eastAsia="Times New Roman"/>
                <w:color w:val="auto"/>
                <w:sz w:val="21"/>
                <w:szCs w:val="24"/>
                <w:highlight w:val="none"/>
              </w:rPr>
              <w:t>1.3.2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A5237A1">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default" w:ascii="宋体" w:hAnsi="宋体" w:eastAsia="宋体"/>
                <w:color w:val="auto"/>
                <w:sz w:val="21"/>
                <w:szCs w:val="24"/>
                <w:highlight w:val="none"/>
              </w:rPr>
              <w:t>监理服务期限</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8A555AC">
            <w:pPr>
              <w:keepNext w:val="0"/>
              <w:keepLines w:val="0"/>
              <w:pageBreakBefore w:val="0"/>
              <w:widowControl w:val="0"/>
              <w:wordWrap/>
              <w:topLinePunct w:val="0"/>
              <w:bidi w:val="0"/>
              <w:spacing w:line="312" w:lineRule="auto"/>
              <w:jc w:val="both"/>
              <w:textAlignment w:val="auto"/>
              <w:rPr>
                <w:rFonts w:hint="default"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详见招标公告</w:t>
            </w:r>
          </w:p>
        </w:tc>
      </w:tr>
      <w:tr w14:paraId="2AFB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D22DF4A">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eastAsia" w:ascii="Times New Roman" w:hAnsi="Times New Roman" w:eastAsia="Times New Roman"/>
                <w:color w:val="auto"/>
                <w:sz w:val="21"/>
                <w:szCs w:val="24"/>
                <w:highlight w:val="none"/>
              </w:rPr>
              <w:t>1.3.3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926E542">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default" w:ascii="宋体" w:hAnsi="宋体" w:eastAsia="宋体"/>
                <w:color w:val="auto"/>
                <w:sz w:val="21"/>
                <w:szCs w:val="24"/>
                <w:highlight w:val="none"/>
              </w:rPr>
              <w:t>质量标准</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34258DC">
            <w:pPr>
              <w:keepNext w:val="0"/>
              <w:keepLines w:val="0"/>
              <w:pageBreakBefore w:val="0"/>
              <w:widowControl w:val="0"/>
              <w:wordWrap/>
              <w:topLinePunct w:val="0"/>
              <w:bidi w:val="0"/>
              <w:spacing w:line="312" w:lineRule="auto"/>
              <w:jc w:val="both"/>
              <w:textAlignment w:val="auto"/>
              <w:rPr>
                <w:rFonts w:hint="default" w:ascii="宋体" w:hAnsi="宋体" w:eastAsia="宋体" w:cs="Times New Roman"/>
                <w:color w:val="auto"/>
                <w:sz w:val="21"/>
                <w:szCs w:val="24"/>
                <w:highlight w:val="none"/>
              </w:rPr>
            </w:pPr>
            <w:r>
              <w:rPr>
                <w:rFonts w:hint="default" w:ascii="宋体" w:hAnsi="宋体" w:eastAsia="宋体" w:cs="Times New Roman"/>
                <w:color w:val="auto"/>
                <w:sz w:val="21"/>
                <w:szCs w:val="24"/>
                <w:highlight w:val="none"/>
              </w:rPr>
              <w:t>达到施工合同确定的质量目标；一次性验收合格，符合国家现行质量验收标准。</w:t>
            </w:r>
          </w:p>
        </w:tc>
      </w:tr>
      <w:tr w14:paraId="15F0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A6BA61C">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eastAsia" w:ascii="Times New Roman" w:hAnsi="Times New Roman" w:eastAsia="Times New Roman"/>
                <w:color w:val="auto"/>
                <w:sz w:val="21"/>
                <w:szCs w:val="24"/>
                <w:highlight w:val="none"/>
              </w:rPr>
              <w:t>1.4.1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FF4EF3F">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default" w:ascii="宋体" w:hAnsi="宋体" w:eastAsia="宋体"/>
                <w:color w:val="auto"/>
                <w:sz w:val="21"/>
                <w:szCs w:val="24"/>
                <w:highlight w:val="none"/>
              </w:rPr>
              <w:t>投标人资质条件、能力、信誉</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9211D6C">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lang w:eastAsia="zh-CN"/>
              </w:rPr>
            </w:pPr>
            <w:r>
              <w:rPr>
                <w:rFonts w:hint="default" w:ascii="宋体" w:hAnsi="宋体" w:eastAsia="宋体"/>
                <w:color w:val="auto"/>
                <w:sz w:val="21"/>
                <w:szCs w:val="24"/>
                <w:highlight w:val="none"/>
                <w:lang w:eastAsia="zh-CN"/>
              </w:rPr>
              <w:t>详见本项目招标公告。</w:t>
            </w:r>
          </w:p>
        </w:tc>
      </w:tr>
      <w:tr w14:paraId="1F53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0A5431E">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eastAsia" w:ascii="Times New Roman" w:hAnsi="Times New Roman" w:eastAsia="Times New Roman"/>
                <w:color w:val="auto"/>
                <w:sz w:val="21"/>
                <w:szCs w:val="24"/>
                <w:highlight w:val="none"/>
              </w:rPr>
              <w:t>1.4.2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7857403">
            <w:pPr>
              <w:pStyle w:val="29"/>
              <w:keepNext w:val="0"/>
              <w:keepLines w:val="0"/>
              <w:pageBreakBefore w:val="0"/>
              <w:widowControl w:val="0"/>
              <w:kinsoku w:val="0"/>
              <w:wordWrap/>
              <w:overflowPunct w:val="0"/>
              <w:topLinePunct w:val="0"/>
              <w:bidi w:val="0"/>
              <w:spacing w:line="312" w:lineRule="auto"/>
              <w:jc w:val="center"/>
              <w:textAlignment w:val="auto"/>
              <w:rPr>
                <w:rFonts w:hint="default"/>
                <w:color w:val="auto"/>
                <w:sz w:val="21"/>
                <w:szCs w:val="24"/>
                <w:highlight w:val="none"/>
              </w:rPr>
            </w:pPr>
            <w:r>
              <w:rPr>
                <w:rFonts w:hint="default" w:ascii="宋体" w:hAnsi="宋体" w:eastAsia="宋体"/>
                <w:color w:val="auto"/>
                <w:sz w:val="21"/>
                <w:szCs w:val="24"/>
                <w:highlight w:val="none"/>
              </w:rPr>
              <w:t>是否接受联合体投标</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9F75C8A">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rPr>
            </w:pPr>
            <w:r>
              <w:rPr>
                <w:rFonts w:hint="eastAsia" w:ascii="仿宋" w:hAnsi="仿宋" w:eastAsia="仿宋" w:cs="仿宋"/>
                <w:color w:val="auto"/>
                <w:sz w:val="21"/>
                <w:szCs w:val="24"/>
                <w:highlight w:val="none"/>
              </w:rPr>
              <w:sym w:font="Wingdings 2" w:char="00A3"/>
            </w:r>
            <w:r>
              <w:rPr>
                <w:rFonts w:hint="default" w:ascii="宋体" w:hAnsi="宋体" w:eastAsia="宋体"/>
                <w:color w:val="auto"/>
                <w:sz w:val="21"/>
                <w:szCs w:val="24"/>
                <w:highlight w:val="none"/>
              </w:rPr>
              <w:t>不接受</w:t>
            </w:r>
          </w:p>
          <w:p w14:paraId="5080DF78">
            <w:pPr>
              <w:pStyle w:val="29"/>
              <w:keepNext w:val="0"/>
              <w:keepLines w:val="0"/>
              <w:pageBreakBefore w:val="0"/>
              <w:widowControl w:val="0"/>
              <w:kinsoku w:val="0"/>
              <w:wordWrap/>
              <w:overflowPunct w:val="0"/>
              <w:topLinePunct w:val="0"/>
              <w:bidi w:val="0"/>
              <w:spacing w:line="312" w:lineRule="auto"/>
              <w:jc w:val="both"/>
              <w:textAlignment w:val="auto"/>
              <w:rPr>
                <w:rFonts w:hint="default" w:eastAsia="宋体"/>
                <w:color w:val="auto"/>
                <w:sz w:val="21"/>
                <w:szCs w:val="24"/>
                <w:highlight w:val="none"/>
                <w:lang w:val="en-US" w:eastAsia="zh-CN"/>
              </w:rPr>
            </w:pPr>
            <w:r>
              <w:rPr>
                <w:rFonts w:hint="eastAsia" w:ascii="Times New Roman" w:hAnsi="Times New Roman" w:eastAsia="Times New Roman"/>
                <w:color w:val="auto"/>
                <w:sz w:val="21"/>
                <w:szCs w:val="24"/>
                <w:highlight w:val="none"/>
              </w:rPr>
              <w:sym w:font="Wingdings 2" w:char="0052"/>
            </w:r>
            <w:r>
              <w:rPr>
                <w:rFonts w:hint="default" w:ascii="宋体" w:hAnsi="宋体" w:eastAsia="宋体"/>
                <w:color w:val="auto"/>
                <w:sz w:val="21"/>
                <w:szCs w:val="24"/>
                <w:highlight w:val="none"/>
              </w:rPr>
              <w:t>接受，应满足下列要求：</w:t>
            </w:r>
            <w:r>
              <w:rPr>
                <w:rFonts w:hint="eastAsia" w:ascii="宋体" w:hAnsi="宋体"/>
                <w:color w:val="auto"/>
                <w:sz w:val="21"/>
                <w:szCs w:val="24"/>
                <w:highlight w:val="none"/>
                <w:lang w:val="en-US" w:eastAsia="zh-CN"/>
              </w:rPr>
              <w:t>详见本项目招标公告。</w:t>
            </w:r>
          </w:p>
        </w:tc>
      </w:tr>
      <w:tr w14:paraId="40B0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83D1DDB">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1.4.3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98B8730">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投标人不得存在的其他情形</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5499AC6">
            <w:pPr>
              <w:keepNext w:val="0"/>
              <w:keepLines w:val="0"/>
              <w:pageBreakBefore w:val="0"/>
              <w:widowControl w:val="0"/>
              <w:wordWrap/>
              <w:topLinePunct w:val="0"/>
              <w:bidi w:val="0"/>
              <w:spacing w:line="312" w:lineRule="auto"/>
              <w:jc w:val="both"/>
              <w:textAlignment w:val="auto"/>
              <w:rPr>
                <w:rFonts w:hint="default" w:ascii="宋体" w:hAnsi="宋体" w:eastAsia="宋体" w:cs="宋体"/>
                <w:b/>
                <w:color w:val="auto"/>
                <w:sz w:val="21"/>
                <w:szCs w:val="21"/>
                <w:highlight w:val="none"/>
              </w:rPr>
            </w:pPr>
            <w:r>
              <w:rPr>
                <w:rFonts w:hint="eastAsia" w:ascii="宋体" w:hAnsi="宋体"/>
                <w:color w:val="auto"/>
                <w:sz w:val="21"/>
                <w:highlight w:val="none"/>
              </w:rPr>
              <w:t>详见第二章“投标人须知”第</w:t>
            </w:r>
            <w:r>
              <w:rPr>
                <w:rFonts w:ascii="宋体" w:hAnsi="宋体"/>
                <w:color w:val="auto"/>
                <w:sz w:val="21"/>
                <w:highlight w:val="none"/>
              </w:rPr>
              <w:t>1.4.3项规定</w:t>
            </w:r>
            <w:r>
              <w:rPr>
                <w:rFonts w:hint="eastAsia" w:ascii="宋体" w:hAnsi="宋体"/>
                <w:color w:val="auto"/>
                <w:sz w:val="21"/>
                <w:highlight w:val="none"/>
              </w:rPr>
              <w:t>。</w:t>
            </w:r>
          </w:p>
        </w:tc>
      </w:tr>
      <w:tr w14:paraId="28D7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05139E0">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1.9.1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EAE0A67">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踏勘现场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3EA7DC6">
            <w:pPr>
              <w:keepNext w:val="0"/>
              <w:keepLines w:val="0"/>
              <w:pageBreakBefore w:val="0"/>
              <w:widowControl w:val="0"/>
              <w:wordWrap/>
              <w:topLinePunct w:val="0"/>
              <w:bidi w:val="0"/>
              <w:spacing w:line="312" w:lineRule="auto"/>
              <w:textAlignment w:val="auto"/>
              <w:rPr>
                <w:rFonts w:hint="default"/>
                <w:color w:val="auto"/>
                <w:sz w:val="21"/>
                <w:szCs w:val="24"/>
                <w:highlight w:val="none"/>
              </w:rPr>
            </w:pPr>
            <w:r>
              <w:rPr>
                <w:rFonts w:hint="default" w:ascii="宋体" w:hAnsi="Times New Roman" w:eastAsia="宋体"/>
                <w:color w:val="auto"/>
                <w:sz w:val="21"/>
                <w:szCs w:val="24"/>
                <w:highlight w:val="none"/>
              </w:rPr>
              <w:t>招标人不集中组织，由投标人自行踏勘；</w:t>
            </w:r>
          </w:p>
          <w:p w14:paraId="31E686DE">
            <w:pPr>
              <w:keepNext w:val="0"/>
              <w:keepLines w:val="0"/>
              <w:pageBreakBefore w:val="0"/>
              <w:widowControl w:val="0"/>
              <w:wordWrap/>
              <w:topLinePunct w:val="0"/>
              <w:bidi w:val="0"/>
              <w:spacing w:line="312" w:lineRule="auto"/>
              <w:textAlignment w:val="auto"/>
              <w:rPr>
                <w:rFonts w:hint="default"/>
                <w:color w:val="auto"/>
                <w:sz w:val="21"/>
                <w:szCs w:val="24"/>
                <w:highlight w:val="none"/>
              </w:rPr>
            </w:pPr>
            <w:r>
              <w:rPr>
                <w:rFonts w:hint="default" w:ascii="宋体" w:hAnsi="Times New Roman" w:eastAsia="宋体"/>
                <w:color w:val="auto"/>
                <w:sz w:val="21"/>
                <w:szCs w:val="24"/>
                <w:highlight w:val="none"/>
              </w:rPr>
              <w:t>时间：自公告发布之日起具备现场踏勘条件；</w:t>
            </w:r>
          </w:p>
          <w:p w14:paraId="468C8ACC">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s="宋体"/>
                <w:b/>
                <w:color w:val="auto"/>
                <w:sz w:val="21"/>
                <w:szCs w:val="21"/>
                <w:highlight w:val="none"/>
              </w:rPr>
            </w:pPr>
            <w:r>
              <w:rPr>
                <w:rFonts w:hint="default" w:ascii="宋体" w:hAnsi="Times New Roman" w:eastAsia="宋体"/>
                <w:color w:val="auto"/>
                <w:sz w:val="21"/>
                <w:szCs w:val="24"/>
                <w:highlight w:val="none"/>
              </w:rPr>
              <w:t>现场详细地点：</w:t>
            </w:r>
            <w:r>
              <w:rPr>
                <w:rFonts w:hint="default"/>
                <w:color w:val="auto"/>
                <w:sz w:val="21"/>
                <w:szCs w:val="24"/>
                <w:highlight w:val="none"/>
              </w:rPr>
              <w:t>详见招标公告工程建设地点；</w:t>
            </w:r>
          </w:p>
        </w:tc>
      </w:tr>
      <w:tr w14:paraId="4FD8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top"/>
          </w:tcPr>
          <w:p w14:paraId="59A3DA41">
            <w:pPr>
              <w:keepNext w:val="0"/>
              <w:keepLines w:val="0"/>
              <w:pageBreakBefore w:val="0"/>
              <w:widowControl w:val="0"/>
              <w:wordWrap/>
              <w:topLinePunct w:val="0"/>
              <w:bidi w:val="0"/>
              <w:spacing w:line="312" w:lineRule="auto"/>
              <w:jc w:val="center"/>
              <w:textAlignment w:val="auto"/>
              <w:rPr>
                <w:rFonts w:hint="default" w:ascii="Arial" w:hAnsi="Times New Roman" w:eastAsia="宋体"/>
                <w:color w:val="auto"/>
                <w:sz w:val="21"/>
                <w:szCs w:val="24"/>
                <w:highlight w:val="none"/>
              </w:rPr>
            </w:pPr>
          </w:p>
          <w:p w14:paraId="7BEC38EB">
            <w:pPr>
              <w:keepNext w:val="0"/>
              <w:keepLines w:val="0"/>
              <w:pageBreakBefore w:val="0"/>
              <w:widowControl w:val="0"/>
              <w:wordWrap/>
              <w:topLinePunct w:val="0"/>
              <w:bidi w:val="0"/>
              <w:spacing w:line="312" w:lineRule="auto"/>
              <w:jc w:val="center"/>
              <w:textAlignment w:val="auto"/>
              <w:rPr>
                <w:rFonts w:hint="default" w:ascii="Arial" w:hAnsi="Times New Roman" w:eastAsia="宋体"/>
                <w:color w:val="auto"/>
                <w:sz w:val="21"/>
                <w:szCs w:val="24"/>
                <w:highlight w:val="none"/>
              </w:rPr>
            </w:pPr>
          </w:p>
          <w:p w14:paraId="65D7DE03">
            <w:pPr>
              <w:keepNext w:val="0"/>
              <w:keepLines w:val="0"/>
              <w:pageBreakBefore w:val="0"/>
              <w:widowControl w:val="0"/>
              <w:wordWrap/>
              <w:topLinePunct w:val="0"/>
              <w:bidi w:val="0"/>
              <w:spacing w:before="60" w:line="312" w:lineRule="auto"/>
              <w:jc w:val="center"/>
              <w:textAlignment w:val="auto"/>
              <w:rPr>
                <w:rFonts w:hint="eastAsia" w:ascii="Times New Roman" w:hAnsi="Times New Roman" w:eastAsia="Times New Roman" w:cs="Times New Roman"/>
                <w:color w:val="auto"/>
                <w:sz w:val="21"/>
                <w:szCs w:val="21"/>
                <w:highlight w:val="none"/>
              </w:rPr>
            </w:pPr>
            <w:r>
              <w:rPr>
                <w:rFonts w:hint="eastAsia" w:ascii="Times New Roman" w:hAnsi="Times New Roman" w:eastAsia="Times New Roman" w:cs="Times New Roman"/>
                <w:color w:val="auto"/>
                <w:spacing w:val="-5"/>
                <w:sz w:val="21"/>
                <w:szCs w:val="21"/>
                <w:highlight w:val="none"/>
              </w:rPr>
              <w:t>1</w:t>
            </w:r>
            <w:r>
              <w:rPr>
                <w:rFonts w:hint="eastAsia" w:ascii="Times New Roman" w:hAnsi="Times New Roman" w:eastAsia="Times New Roman" w:cs="Times New Roman"/>
                <w:color w:val="auto"/>
                <w:spacing w:val="-4"/>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vAlign w:val="top"/>
          </w:tcPr>
          <w:p w14:paraId="349E8CBE">
            <w:pPr>
              <w:keepNext w:val="0"/>
              <w:keepLines w:val="0"/>
              <w:pageBreakBefore w:val="0"/>
              <w:widowControl w:val="0"/>
              <w:wordWrap/>
              <w:topLinePunct w:val="0"/>
              <w:bidi w:val="0"/>
              <w:spacing w:line="312" w:lineRule="auto"/>
              <w:jc w:val="center"/>
              <w:textAlignment w:val="auto"/>
              <w:rPr>
                <w:rFonts w:hint="default" w:ascii="Arial" w:hAnsi="Times New Roman" w:eastAsia="宋体"/>
                <w:color w:val="auto"/>
                <w:sz w:val="21"/>
                <w:szCs w:val="24"/>
                <w:highlight w:val="none"/>
              </w:rPr>
            </w:pPr>
          </w:p>
          <w:p w14:paraId="5546DBB6">
            <w:pPr>
              <w:keepNext w:val="0"/>
              <w:keepLines w:val="0"/>
              <w:pageBreakBefore w:val="0"/>
              <w:widowControl w:val="0"/>
              <w:wordWrap/>
              <w:topLinePunct w:val="0"/>
              <w:bidi w:val="0"/>
              <w:spacing w:line="312" w:lineRule="auto"/>
              <w:jc w:val="center"/>
              <w:textAlignment w:val="auto"/>
              <w:rPr>
                <w:rFonts w:hint="default" w:ascii="Arial" w:hAnsi="Times New Roman" w:eastAsia="宋体"/>
                <w:color w:val="auto"/>
                <w:sz w:val="21"/>
                <w:szCs w:val="24"/>
                <w:highlight w:val="none"/>
              </w:rPr>
            </w:pPr>
          </w:p>
          <w:p w14:paraId="53FFB82A">
            <w:pPr>
              <w:keepNext w:val="0"/>
              <w:keepLines w:val="0"/>
              <w:pageBreakBefore w:val="0"/>
              <w:widowControl w:val="0"/>
              <w:wordWrap/>
              <w:topLinePunct w:val="0"/>
              <w:bidi w:val="0"/>
              <w:spacing w:before="68" w:line="312" w:lineRule="auto"/>
              <w:jc w:val="center"/>
              <w:textAlignment w:val="auto"/>
              <w:rPr>
                <w:rFonts w:hint="default" w:ascii="宋体" w:hAnsi="宋体" w:eastAsia="宋体" w:cs="宋体"/>
                <w:color w:val="auto"/>
                <w:sz w:val="21"/>
                <w:szCs w:val="21"/>
                <w:highlight w:val="none"/>
              </w:rPr>
            </w:pPr>
            <w:r>
              <w:rPr>
                <w:rFonts w:hint="default" w:ascii="宋体" w:hAnsi="宋体" w:eastAsia="宋体" w:cs="Times New Roman"/>
                <w:color w:val="auto"/>
                <w:sz w:val="21"/>
                <w:szCs w:val="21"/>
                <w:highlight w:val="none"/>
              </w:rPr>
              <w:t>投标预备会</w:t>
            </w:r>
          </w:p>
        </w:tc>
        <w:tc>
          <w:tcPr>
            <w:tcW w:w="5463" w:type="dxa"/>
            <w:tcBorders>
              <w:top w:val="single" w:color="auto" w:sz="4" w:space="0"/>
              <w:left w:val="single" w:color="auto" w:sz="4" w:space="0"/>
              <w:bottom w:val="single" w:color="auto" w:sz="4" w:space="0"/>
              <w:right w:val="single" w:color="auto" w:sz="4" w:space="0"/>
              <w:tl2br w:val="nil"/>
              <w:tr2bl w:val="nil"/>
            </w:tcBorders>
            <w:vAlign w:val="top"/>
          </w:tcPr>
          <w:p w14:paraId="2A685169">
            <w:pPr>
              <w:pStyle w:val="11"/>
              <w:keepNext w:val="0"/>
              <w:keepLines w:val="0"/>
              <w:pageBreakBefore w:val="0"/>
              <w:widowControl w:val="0"/>
              <w:wordWrap/>
              <w:topLinePunct w:val="0"/>
              <w:bidi w:val="0"/>
              <w:spacing w:before="62" w:beforeLines="20" w:after="62" w:afterLines="20" w:line="312" w:lineRule="auto"/>
              <w:ind w:left="48" w:leftChars="20" w:right="48" w:rightChars="20"/>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☑不召开</w:t>
            </w:r>
          </w:p>
          <w:p w14:paraId="5F754158">
            <w:pPr>
              <w:keepNext w:val="0"/>
              <w:keepLines w:val="0"/>
              <w:pageBreakBefore w:val="0"/>
              <w:widowControl w:val="0"/>
              <w:wordWrap/>
              <w:topLinePunct w:val="0"/>
              <w:bidi w:val="0"/>
              <w:spacing w:before="62" w:beforeLines="20" w:after="62" w:afterLines="20" w:line="312" w:lineRule="auto"/>
              <w:ind w:left="48" w:leftChars="20" w:right="48" w:rightChars="20"/>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sym w:font="Wingdings 2" w:char="00A3"/>
            </w:r>
            <w:r>
              <w:rPr>
                <w:rFonts w:hint="default" w:ascii="宋体" w:hAnsi="宋体" w:eastAsia="宋体" w:cs="宋体"/>
                <w:color w:val="auto"/>
                <w:sz w:val="21"/>
                <w:szCs w:val="21"/>
                <w:highlight w:val="none"/>
              </w:rPr>
              <w:t>召开，召开时间：</w:t>
            </w:r>
          </w:p>
          <w:p w14:paraId="406324A7">
            <w:pPr>
              <w:keepNext w:val="0"/>
              <w:keepLines w:val="0"/>
              <w:pageBreakBefore w:val="0"/>
              <w:widowControl w:val="0"/>
              <w:wordWrap/>
              <w:topLinePunct w:val="0"/>
              <w:bidi w:val="0"/>
              <w:spacing w:before="173" w:line="312" w:lineRule="auto"/>
              <w:ind w:right="50" w:firstLine="840" w:firstLineChars="400"/>
              <w:textAlignment w:val="auto"/>
              <w:rPr>
                <w:rFonts w:hint="default" w:ascii="宋体" w:hAnsi="宋体" w:eastAsia="宋体"/>
                <w:color w:val="auto"/>
                <w:sz w:val="21"/>
                <w:szCs w:val="24"/>
                <w:highlight w:val="none"/>
              </w:rPr>
            </w:pPr>
            <w:r>
              <w:rPr>
                <w:rFonts w:hint="default" w:ascii="宋体" w:hAnsi="宋体" w:eastAsia="宋体" w:cs="宋体"/>
                <w:color w:val="auto"/>
                <w:sz w:val="21"/>
                <w:szCs w:val="21"/>
                <w:highlight w:val="none"/>
              </w:rPr>
              <w:t>召开地点：</w:t>
            </w:r>
          </w:p>
        </w:tc>
      </w:tr>
      <w:tr w14:paraId="11A0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88CCE49">
            <w:pPr>
              <w:keepNext w:val="0"/>
              <w:keepLines w:val="0"/>
              <w:pageBreakBefore w:val="0"/>
              <w:widowControl w:val="0"/>
              <w:wordWrap/>
              <w:topLinePunct w:val="0"/>
              <w:bidi w:val="0"/>
              <w:spacing w:before="60" w:line="312" w:lineRule="auto"/>
              <w:jc w:val="center"/>
              <w:textAlignment w:val="auto"/>
              <w:rPr>
                <w:rFonts w:hint="eastAsia" w:ascii="Times New Roman" w:hAnsi="Times New Roman" w:eastAsia="Times New Roman" w:cs="Times New Roman"/>
                <w:color w:val="auto"/>
                <w:spacing w:val="-5"/>
                <w:sz w:val="21"/>
                <w:szCs w:val="21"/>
                <w:highlight w:val="none"/>
              </w:rPr>
            </w:pPr>
            <w:r>
              <w:rPr>
                <w:rFonts w:hint="eastAsia" w:ascii="Times New Roman" w:hAnsi="Times New Roman" w:eastAsia="Times New Roman" w:cs="Times New Roman"/>
                <w:color w:val="auto"/>
                <w:spacing w:val="-5"/>
                <w:sz w:val="21"/>
                <w:szCs w:val="21"/>
                <w:highlight w:val="none"/>
              </w:rPr>
              <w:t>1.10.2</w:t>
            </w:r>
          </w:p>
        </w:tc>
        <w:tc>
          <w:tcPr>
            <w:tcW w:w="260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F34CD37">
            <w:pPr>
              <w:keepNext w:val="0"/>
              <w:keepLines w:val="0"/>
              <w:pageBreakBefore w:val="0"/>
              <w:widowControl w:val="0"/>
              <w:wordWrap/>
              <w:topLinePunct w:val="0"/>
              <w:bidi w:val="0"/>
              <w:spacing w:before="68" w:line="312" w:lineRule="auto"/>
              <w:jc w:val="center"/>
              <w:textAlignment w:val="auto"/>
              <w:rPr>
                <w:rFonts w:hint="default" w:ascii="宋体" w:hAnsi="宋体" w:eastAsia="宋体" w:cs="宋体"/>
                <w:color w:val="auto"/>
                <w:spacing w:val="-2"/>
                <w:sz w:val="21"/>
                <w:szCs w:val="21"/>
                <w:highlight w:val="none"/>
              </w:rPr>
            </w:pPr>
            <w:r>
              <w:rPr>
                <w:rFonts w:hint="default" w:ascii="宋体" w:hAnsi="宋体" w:eastAsia="宋体" w:cs="宋体"/>
                <w:color w:val="auto"/>
                <w:sz w:val="21"/>
                <w:szCs w:val="21"/>
                <w:highlight w:val="none"/>
              </w:rPr>
              <w:t>投标人在投标预备会前提出问题</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2D3293D">
            <w:pPr>
              <w:keepNext w:val="0"/>
              <w:keepLines w:val="0"/>
              <w:pageBreakBefore w:val="0"/>
              <w:widowControl w:val="0"/>
              <w:wordWrap/>
              <w:topLinePunct w:val="0"/>
              <w:autoSpaceDE/>
              <w:autoSpaceDN/>
              <w:bidi w:val="0"/>
              <w:adjustRightInd/>
              <w:spacing w:before="63" w:beforeLines="20" w:after="63" w:afterLines="20" w:line="312" w:lineRule="auto"/>
              <w:ind w:left="48" w:leftChars="20" w:right="48" w:rightChars="20"/>
              <w:textAlignment w:val="auto"/>
              <w:rPr>
                <w:rFonts w:hint="default" w:ascii="宋体" w:hAnsi="宋体" w:eastAsia="宋体" w:cs="宋体"/>
                <w:color w:val="auto"/>
                <w:sz w:val="21"/>
                <w:szCs w:val="21"/>
                <w:highlight w:val="none"/>
                <w:lang w:val="en-US"/>
              </w:rPr>
            </w:pPr>
            <w:r>
              <w:rPr>
                <w:rFonts w:hint="default" w:ascii="宋体" w:hAnsi="宋体" w:eastAsia="宋体" w:cs="宋体"/>
                <w:color w:val="auto"/>
                <w:sz w:val="21"/>
                <w:szCs w:val="21"/>
                <w:highlight w:val="none"/>
              </w:rPr>
              <w:t>时间：</w:t>
            </w:r>
            <w:r>
              <w:rPr>
                <w:rFonts w:hint="default" w:ascii="宋体" w:hAnsi="宋体" w:eastAsia="宋体" w:cs="宋体"/>
                <w:color w:val="auto"/>
                <w:sz w:val="21"/>
                <w:szCs w:val="21"/>
                <w:highlight w:val="none"/>
                <w:lang w:val="en-US" w:eastAsia="zh-CN"/>
              </w:rPr>
              <w:t xml:space="preserve"> /</w:t>
            </w:r>
          </w:p>
        </w:tc>
      </w:tr>
      <w:tr w14:paraId="13A2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D9D3AC2">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p>
        </w:tc>
        <w:tc>
          <w:tcPr>
            <w:tcW w:w="26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1F89672">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41A401E">
            <w:pPr>
              <w:keepNext w:val="0"/>
              <w:keepLines w:val="0"/>
              <w:pageBreakBefore w:val="0"/>
              <w:widowControl w:val="0"/>
              <w:wordWrap/>
              <w:topLinePunct w:val="0"/>
              <w:autoSpaceDE/>
              <w:autoSpaceDN/>
              <w:bidi w:val="0"/>
              <w:adjustRightInd/>
              <w:spacing w:before="63" w:beforeLines="20" w:after="63" w:afterLines="20" w:line="312" w:lineRule="auto"/>
              <w:ind w:left="48" w:leftChars="20" w:right="48" w:rightChars="20"/>
              <w:textAlignment w:val="auto"/>
              <w:rPr>
                <w:rFonts w:hint="default" w:ascii="宋体" w:hAnsi="宋体" w:eastAsia="宋体" w:cs="宋体"/>
                <w:color w:val="auto"/>
                <w:sz w:val="21"/>
                <w:szCs w:val="21"/>
                <w:highlight w:val="none"/>
                <w:lang w:val="en-US"/>
              </w:rPr>
            </w:pPr>
            <w:r>
              <w:rPr>
                <w:rFonts w:hint="default" w:ascii="宋体" w:hAnsi="宋体" w:eastAsia="宋体" w:cs="宋体"/>
                <w:color w:val="auto"/>
                <w:sz w:val="21"/>
                <w:szCs w:val="21"/>
                <w:highlight w:val="none"/>
              </w:rPr>
              <w:t>形式：</w:t>
            </w:r>
            <w:r>
              <w:rPr>
                <w:rFonts w:hint="default" w:ascii="宋体" w:hAnsi="宋体" w:eastAsia="宋体" w:cs="宋体"/>
                <w:color w:val="auto"/>
                <w:sz w:val="21"/>
                <w:szCs w:val="21"/>
                <w:highlight w:val="none"/>
                <w:lang w:val="en-US" w:eastAsia="zh-CN"/>
              </w:rPr>
              <w:t xml:space="preserve"> /</w:t>
            </w:r>
          </w:p>
        </w:tc>
      </w:tr>
      <w:tr w14:paraId="6C10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633E672">
            <w:pPr>
              <w:keepNext w:val="0"/>
              <w:keepLines w:val="0"/>
              <w:pageBreakBefore w:val="0"/>
              <w:widowControl w:val="0"/>
              <w:wordWrap/>
              <w:topLinePunct w:val="0"/>
              <w:bidi w:val="0"/>
              <w:spacing w:before="62" w:beforeLines="20" w:after="62" w:afterLines="20" w:line="312" w:lineRule="auto"/>
              <w:ind w:left="48" w:leftChars="20" w:right="48" w:rightChars="20"/>
              <w:jc w:val="center"/>
              <w:textAlignment w:val="auto"/>
              <w:rPr>
                <w:rFonts w:hint="default" w:ascii="Arial" w:hAnsi="宋体" w:eastAsia="宋体" w:cs="宋体"/>
                <w:snapToGrid w:val="0"/>
                <w:color w:val="auto"/>
                <w:sz w:val="21"/>
                <w:szCs w:val="21"/>
                <w:highlight w:val="none"/>
              </w:rPr>
            </w:pPr>
            <w:r>
              <w:rPr>
                <w:rFonts w:hint="eastAsia" w:ascii="Times New Roman" w:hAnsi="Times New Roman" w:eastAsia="Times New Roman" w:cs="Times New Roman"/>
                <w:color w:val="auto"/>
                <w:spacing w:val="-5"/>
                <w:sz w:val="21"/>
                <w:szCs w:val="21"/>
                <w:highlight w:val="none"/>
              </w:rPr>
              <w:t>1.10.3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DF87EDF">
            <w:pPr>
              <w:keepNext w:val="0"/>
              <w:keepLines w:val="0"/>
              <w:pageBreakBefore w:val="0"/>
              <w:widowControl w:val="0"/>
              <w:wordWrap/>
              <w:topLinePunct w:val="0"/>
              <w:bidi w:val="0"/>
              <w:spacing w:before="62" w:beforeLines="20" w:after="62" w:afterLines="20" w:line="312" w:lineRule="auto"/>
              <w:ind w:left="48" w:leftChars="20" w:right="48" w:rightChars="20"/>
              <w:jc w:val="center"/>
              <w:textAlignment w:val="auto"/>
              <w:rPr>
                <w:rFonts w:hint="default" w:ascii="宋体" w:hAnsi="宋体" w:eastAsia="宋体" w:cs="宋体"/>
                <w:snapToGrid w:val="0"/>
                <w:color w:val="auto"/>
                <w:sz w:val="21"/>
                <w:szCs w:val="21"/>
                <w:highlight w:val="none"/>
              </w:rPr>
            </w:pPr>
            <w:r>
              <w:rPr>
                <w:rFonts w:hint="default" w:ascii="宋体" w:hAnsi="宋体" w:eastAsia="宋体" w:cs="宋体"/>
                <w:color w:val="auto"/>
                <w:sz w:val="21"/>
                <w:szCs w:val="21"/>
                <w:highlight w:val="none"/>
              </w:rPr>
              <w:t>招标文件澄清发出的形式</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1D85B98">
            <w:pPr>
              <w:keepNext w:val="0"/>
              <w:keepLines w:val="0"/>
              <w:pageBreakBefore w:val="0"/>
              <w:widowControl w:val="0"/>
              <w:wordWrap/>
              <w:topLinePunct w:val="0"/>
              <w:autoSpaceDE/>
              <w:autoSpaceDN/>
              <w:bidi w:val="0"/>
              <w:adjustRightInd/>
              <w:spacing w:before="63" w:beforeLines="20" w:after="63" w:afterLines="20" w:line="312" w:lineRule="auto"/>
              <w:ind w:left="0" w:leftChars="0" w:right="48" w:rightChars="20" w:firstLine="0" w:firstLineChars="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招标文件的澄清均以广州交易集团有限公司（广州公共资源交易中心）网站发布的内容为准。当招标文件的澄清、修改在同一内容的表述不一致时，以广州交易集团有限公司（广州公共资源交易中心）网站最后发布的内容为准。</w:t>
            </w:r>
          </w:p>
        </w:tc>
      </w:tr>
      <w:tr w14:paraId="4440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00FE268">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1.12.1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3B390D3">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实质性要求和条件</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B068E79">
            <w:pPr>
              <w:keepNext w:val="0"/>
              <w:keepLines w:val="0"/>
              <w:pageBreakBefore w:val="0"/>
              <w:widowControl w:val="0"/>
              <w:wordWrap/>
              <w:topLinePunct w:val="0"/>
              <w:autoSpaceDE/>
              <w:autoSpaceDN/>
              <w:bidi w:val="0"/>
              <w:adjustRightInd/>
              <w:spacing w:before="63" w:beforeLines="20" w:after="63" w:afterLines="20" w:line="312" w:lineRule="auto"/>
              <w:ind w:right="48" w:rightChars="20" w:firstLine="0" w:firstLineChars="0"/>
              <w:jc w:val="left"/>
              <w:textAlignment w:val="auto"/>
              <w:rPr>
                <w:rFonts w:hint="default" w:ascii="宋体" w:hAnsi="宋体" w:eastAsia="宋体" w:cs="宋体"/>
                <w:b w:val="0"/>
                <w:color w:val="auto"/>
                <w:sz w:val="21"/>
                <w:szCs w:val="21"/>
                <w:highlight w:val="none"/>
                <w:lang w:eastAsia="zh-CN"/>
              </w:rPr>
            </w:pPr>
            <w:r>
              <w:rPr>
                <w:rFonts w:hint="default" w:ascii="宋体" w:hAnsi="宋体" w:eastAsia="宋体" w:cs="宋体"/>
                <w:b w:val="0"/>
                <w:color w:val="auto"/>
                <w:sz w:val="21"/>
                <w:szCs w:val="21"/>
                <w:highlight w:val="none"/>
                <w:lang w:eastAsia="zh-CN"/>
              </w:rPr>
              <w:t>详见评标办法前附表中2.1.1、2.1.2、2.1.3的评审标准。</w:t>
            </w:r>
          </w:p>
        </w:tc>
      </w:tr>
      <w:tr w14:paraId="7FCF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1E699A7">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1.12.3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707D5C0">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偏差</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10062D7">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52"/>
            </w:r>
            <w:r>
              <w:rPr>
                <w:rFonts w:hint="default" w:ascii="宋体" w:hAnsi="宋体" w:eastAsia="宋体"/>
                <w:color w:val="auto"/>
                <w:sz w:val="21"/>
                <w:szCs w:val="24"/>
                <w:highlight w:val="none"/>
              </w:rPr>
              <w:t>不允许</w:t>
            </w:r>
          </w:p>
          <w:p w14:paraId="187E2515">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允许，偏差范围：</w:t>
            </w:r>
          </w:p>
          <w:p w14:paraId="6064879D">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偏差幅度：</w:t>
            </w:r>
          </w:p>
        </w:tc>
      </w:tr>
      <w:tr w14:paraId="0B1A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92A223E">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88B6E3E">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构成招标文件的其他资料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1E4356D">
            <w:pPr>
              <w:keepNext w:val="0"/>
              <w:keepLines w:val="0"/>
              <w:pageBreakBefore w:val="0"/>
              <w:widowControl w:val="0"/>
              <w:wordWrap/>
              <w:topLinePunct w:val="0"/>
              <w:bidi w:val="0"/>
              <w:spacing w:line="312" w:lineRule="auto"/>
              <w:jc w:val="both"/>
              <w:textAlignment w:val="auto"/>
              <w:rPr>
                <w:rFonts w:hint="default" w:ascii="宋体" w:hAnsi="宋体" w:eastAsia="宋体" w:cs="宋体"/>
                <w:b/>
                <w:color w:val="auto"/>
                <w:sz w:val="21"/>
                <w:szCs w:val="21"/>
                <w:highlight w:val="none"/>
              </w:rPr>
            </w:pPr>
            <w:r>
              <w:rPr>
                <w:rFonts w:hint="default" w:ascii="宋体" w:hAnsi="宋体" w:cs="Times New Roman"/>
                <w:color w:val="auto"/>
                <w:sz w:val="21"/>
                <w:szCs w:val="24"/>
                <w:highlight w:val="none"/>
              </w:rPr>
              <w:t>对招标文件所作的澄清、修改</w:t>
            </w:r>
            <w:r>
              <w:rPr>
                <w:rFonts w:hint="default" w:ascii="宋体" w:hAnsi="宋体" w:eastAsia="宋体" w:cs="Times New Roman"/>
                <w:b w:val="0"/>
                <w:color w:val="auto"/>
                <w:sz w:val="21"/>
                <w:szCs w:val="24"/>
                <w:highlight w:val="none"/>
                <w:lang w:val="en-US" w:eastAsia="zh-CN"/>
              </w:rPr>
              <w:t>。</w:t>
            </w:r>
          </w:p>
        </w:tc>
      </w:tr>
      <w:tr w14:paraId="27F4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19EEB97">
            <w:pPr>
              <w:keepNext w:val="0"/>
              <w:keepLines w:val="0"/>
              <w:pageBreakBefore w:val="0"/>
              <w:widowControl w:val="0"/>
              <w:wordWrap/>
              <w:topLinePunct w:val="0"/>
              <w:bidi w:val="0"/>
              <w:spacing w:before="60" w:line="312" w:lineRule="auto"/>
              <w:jc w:val="center"/>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s="Times New Roman"/>
                <w:color w:val="auto"/>
                <w:spacing w:val="-1"/>
                <w:sz w:val="21"/>
                <w:szCs w:val="21"/>
                <w:highlight w:val="none"/>
              </w:rPr>
              <w:t>2.2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0A28A46">
            <w:pPr>
              <w:keepNext w:val="0"/>
              <w:keepLines w:val="0"/>
              <w:pageBreakBefore w:val="0"/>
              <w:widowControl w:val="0"/>
              <w:wordWrap/>
              <w:topLinePunct w:val="0"/>
              <w:bidi w:val="0"/>
              <w:spacing w:line="312" w:lineRule="auto"/>
              <w:jc w:val="center"/>
              <w:textAlignment w:val="auto"/>
              <w:rPr>
                <w:rFonts w:hint="default"/>
                <w:color w:val="auto"/>
                <w:sz w:val="21"/>
                <w:szCs w:val="24"/>
                <w:highlight w:val="none"/>
              </w:rPr>
            </w:pPr>
          </w:p>
          <w:p w14:paraId="3F587339">
            <w:pPr>
              <w:keepNext w:val="0"/>
              <w:keepLines w:val="0"/>
              <w:pageBreakBefore w:val="0"/>
              <w:widowControl w:val="0"/>
              <w:wordWrap/>
              <w:topLinePunct w:val="0"/>
              <w:bidi w:val="0"/>
              <w:spacing w:before="69" w:line="312" w:lineRule="auto"/>
              <w:jc w:val="center"/>
              <w:textAlignment w:val="auto"/>
              <w:rPr>
                <w:rFonts w:hint="default"/>
                <w:color w:val="auto"/>
                <w:sz w:val="21"/>
                <w:szCs w:val="24"/>
                <w:highlight w:val="none"/>
                <w:lang w:eastAsia="zh-CN"/>
              </w:rPr>
            </w:pPr>
            <w:r>
              <w:rPr>
                <w:rFonts w:hint="default" w:ascii="宋体" w:hAnsi="Times New Roman" w:eastAsia="宋体"/>
                <w:color w:val="auto"/>
                <w:sz w:val="21"/>
                <w:szCs w:val="24"/>
                <w:highlight w:val="none"/>
                <w:lang w:eastAsia="zh-CN"/>
              </w:rPr>
              <w:t>招标答疑</w:t>
            </w:r>
          </w:p>
          <w:p w14:paraId="7A6CF373">
            <w:pPr>
              <w:keepNext w:val="0"/>
              <w:keepLines w:val="0"/>
              <w:pageBreakBefore w:val="0"/>
              <w:widowControl w:val="0"/>
              <w:wordWrap/>
              <w:topLinePunct w:val="0"/>
              <w:bidi w:val="0"/>
              <w:spacing w:line="312" w:lineRule="auto"/>
              <w:jc w:val="center"/>
              <w:textAlignment w:val="auto"/>
              <w:rPr>
                <w:rFonts w:hint="default"/>
                <w:color w:val="auto"/>
                <w:sz w:val="21"/>
                <w:szCs w:val="24"/>
                <w:highlight w:val="none"/>
                <w:lang w:eastAsia="zh-CN"/>
              </w:rPr>
            </w:pPr>
          </w:p>
          <w:p w14:paraId="70A070EB">
            <w:pPr>
              <w:keepNext w:val="0"/>
              <w:keepLines w:val="0"/>
              <w:pageBreakBefore w:val="0"/>
              <w:widowControl w:val="0"/>
              <w:tabs>
                <w:tab w:val="left" w:pos="1103"/>
              </w:tabs>
              <w:wordWrap/>
              <w:topLinePunct w:val="0"/>
              <w:bidi w:val="0"/>
              <w:spacing w:line="312" w:lineRule="auto"/>
              <w:jc w:val="center"/>
              <w:textAlignment w:val="auto"/>
              <w:rPr>
                <w:rFonts w:hint="default" w:ascii="宋体" w:hAnsi="宋体" w:eastAsia="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vAlign w:val="top"/>
          </w:tcPr>
          <w:p w14:paraId="2927FA09">
            <w:pPr>
              <w:keepNext w:val="0"/>
              <w:keepLines w:val="0"/>
              <w:pageBreakBefore w:val="0"/>
              <w:widowControl w:val="0"/>
              <w:wordWrap/>
              <w:topLinePunct w:val="0"/>
              <w:autoSpaceDE/>
              <w:autoSpaceDN/>
              <w:bidi w:val="0"/>
              <w:adjustRightInd/>
              <w:snapToGrid w:val="0"/>
              <w:spacing w:line="312" w:lineRule="auto"/>
              <w:jc w:val="both"/>
              <w:textAlignment w:val="auto"/>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时间：在投标截止日期前18日</w:t>
            </w:r>
          </w:p>
          <w:p w14:paraId="0E4DFB36">
            <w:pPr>
              <w:keepNext w:val="0"/>
              <w:keepLines w:val="0"/>
              <w:pageBreakBefore w:val="0"/>
              <w:widowControl w:val="0"/>
              <w:wordWrap/>
              <w:topLinePunct w:val="0"/>
              <w:autoSpaceDE/>
              <w:autoSpaceDN/>
              <w:bidi w:val="0"/>
              <w:adjustRightInd/>
              <w:snapToGrid w:val="0"/>
              <w:spacing w:line="312" w:lineRule="auto"/>
              <w:jc w:val="both"/>
              <w:textAlignment w:val="auto"/>
              <w:outlineLvl w:val="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形式：1、招标答疑采用网上答疑方式进行。投标人若对招标文件有疑问的，可在规定的时间内通过广州公共资源交易中心网站进入提问区域将问题提交给招标人或招标代理人，提交问题时一律不得署名。</w:t>
            </w:r>
          </w:p>
          <w:p w14:paraId="0BEB8D09">
            <w:pPr>
              <w:keepNext w:val="0"/>
              <w:keepLines w:val="0"/>
              <w:pageBreakBefore w:val="0"/>
              <w:widowControl w:val="0"/>
              <w:wordWrap/>
              <w:topLinePunct w:val="0"/>
              <w:autoSpaceDE/>
              <w:autoSpaceDN/>
              <w:bidi w:val="0"/>
              <w:adjustRightInd/>
              <w:snapToGrid w:val="0"/>
              <w:spacing w:line="312" w:lineRule="auto"/>
              <w:ind w:firstLine="420" w:firstLineChars="200"/>
              <w:jc w:val="both"/>
              <w:textAlignment w:val="auto"/>
              <w:outlineLvl w:val="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网上答疑的操作指南为：网上答疑的操作指南为：登录广州公共资源交易中心网站→进入“我是投标人”→进入“新建设工程交易平台”→进入“我的投标”→进入“招标答疑提问”→通过项目编号或名称找到所需的项目→在下述的答疑时间内点击“答疑提问”进入到提问区域→无记名或匿名提出问题。</w:t>
            </w:r>
          </w:p>
          <w:p w14:paraId="2E49EA52">
            <w:pPr>
              <w:keepNext w:val="0"/>
              <w:keepLines w:val="0"/>
              <w:pageBreakBefore w:val="0"/>
              <w:widowControl w:val="0"/>
              <w:wordWrap/>
              <w:topLinePunct w:val="0"/>
              <w:autoSpaceDE/>
              <w:autoSpaceDN/>
              <w:bidi w:val="0"/>
              <w:adjustRightInd/>
              <w:snapToGrid w:val="0"/>
              <w:spacing w:line="312" w:lineRule="auto"/>
              <w:jc w:val="both"/>
              <w:textAlignment w:val="auto"/>
              <w:outlineLvl w:val="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2、投标人应在投标截止时间18日前停止质疑。招标人应在投标截止时间15日前解答投标人对招标文件提出的疑问，形成答疑纪要，并经招标监管机构备案后，方可在广州公共资源交易中心网站项目答疑专区发布。</w:t>
            </w:r>
          </w:p>
          <w:p w14:paraId="02A08F31">
            <w:pPr>
              <w:keepNext w:val="0"/>
              <w:keepLines w:val="0"/>
              <w:pageBreakBefore w:val="0"/>
              <w:widowControl w:val="0"/>
              <w:wordWrap/>
              <w:topLinePunct w:val="0"/>
              <w:autoSpaceDE/>
              <w:autoSpaceDN/>
              <w:bidi w:val="0"/>
              <w:adjustRightInd/>
              <w:snapToGrid w:val="0"/>
              <w:spacing w:line="312" w:lineRule="auto"/>
              <w:jc w:val="both"/>
              <w:textAlignment w:val="auto"/>
              <w:outlineLvl w:val="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3、招标答疑纪要一经在广州公共资源交易中心网站发布，视作已发放给所有投标人。</w:t>
            </w:r>
          </w:p>
          <w:p w14:paraId="5EB65770">
            <w:pPr>
              <w:keepNext w:val="0"/>
              <w:keepLines w:val="0"/>
              <w:pageBreakBefore w:val="0"/>
              <w:widowControl w:val="0"/>
              <w:wordWrap/>
              <w:topLinePunct w:val="0"/>
              <w:bidi w:val="0"/>
              <w:spacing w:before="156" w:beforeLines="50" w:line="312" w:lineRule="auto"/>
              <w:ind w:left="113" w:leftChars="47"/>
              <w:textAlignment w:val="auto"/>
              <w:rPr>
                <w:rFonts w:hint="default" w:ascii="宋体" w:hAnsi="宋体" w:eastAsia="宋体" w:cs="宋体"/>
                <w:b/>
                <w:color w:val="auto"/>
                <w:sz w:val="21"/>
                <w:szCs w:val="21"/>
                <w:highlight w:val="none"/>
              </w:rPr>
            </w:pPr>
            <w:r>
              <w:rPr>
                <w:rFonts w:hint="eastAsia" w:ascii="宋体" w:hAnsi="宋体" w:cs="宋体"/>
                <w:color w:val="auto"/>
                <w:kern w:val="2"/>
                <w:sz w:val="21"/>
                <w:szCs w:val="21"/>
                <w:highlight w:val="none"/>
                <w:u w:val="single"/>
              </w:rPr>
              <w:t>4、招标答疑纪要为招标文件的一部分。投标人可在广州</w:t>
            </w:r>
            <w:r>
              <w:rPr>
                <w:rFonts w:hint="eastAsia" w:ascii="宋体" w:hAnsi="宋体" w:cs="宋体"/>
                <w:color w:val="auto"/>
                <w:kern w:val="2"/>
                <w:sz w:val="21"/>
                <w:szCs w:val="21"/>
                <w:highlight w:val="none"/>
                <w:u w:val="single"/>
                <w:lang w:eastAsia="zh-CN"/>
              </w:rPr>
              <w:t>公共</w:t>
            </w:r>
            <w:r>
              <w:rPr>
                <w:rFonts w:hint="eastAsia" w:ascii="宋体" w:hAnsi="宋体" w:cs="宋体"/>
                <w:color w:val="auto"/>
                <w:kern w:val="2"/>
                <w:sz w:val="21"/>
                <w:szCs w:val="21"/>
                <w:highlight w:val="none"/>
                <w:u w:val="single"/>
              </w:rPr>
              <w:t>资源交易中心网站浏览、下载招标答疑纪要。</w:t>
            </w:r>
          </w:p>
        </w:tc>
      </w:tr>
      <w:tr w14:paraId="0DB3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42415C4">
            <w:pPr>
              <w:keepNext w:val="0"/>
              <w:keepLines w:val="0"/>
              <w:pageBreakBefore w:val="0"/>
              <w:widowControl w:val="0"/>
              <w:wordWrap/>
              <w:topLinePunct w:val="0"/>
              <w:bidi w:val="0"/>
              <w:spacing w:before="209" w:line="312" w:lineRule="auto"/>
              <w:jc w:val="center"/>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s="Times New Roman"/>
                <w:color w:val="auto"/>
                <w:spacing w:val="-1"/>
                <w:sz w:val="21"/>
                <w:szCs w:val="21"/>
                <w:highlight w:val="none"/>
              </w:rPr>
              <w:t>2.3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F7EF24F">
            <w:pPr>
              <w:keepNext w:val="0"/>
              <w:keepLines w:val="0"/>
              <w:pageBreakBefore w:val="0"/>
              <w:widowControl w:val="0"/>
              <w:wordWrap/>
              <w:topLinePunct w:val="0"/>
              <w:bidi w:val="0"/>
              <w:spacing w:before="170" w:line="312" w:lineRule="auto"/>
              <w:jc w:val="center"/>
              <w:textAlignment w:val="auto"/>
              <w:rPr>
                <w:rFonts w:hint="default" w:ascii="宋体" w:hAnsi="宋体" w:eastAsia="宋体"/>
                <w:color w:val="auto"/>
                <w:sz w:val="21"/>
                <w:szCs w:val="24"/>
                <w:highlight w:val="none"/>
              </w:rPr>
            </w:pPr>
            <w:r>
              <w:rPr>
                <w:rFonts w:hint="default" w:ascii="宋体" w:hAnsi="宋体" w:eastAsia="宋体" w:cs="宋体"/>
                <w:color w:val="auto"/>
                <w:spacing w:val="-1"/>
                <w:sz w:val="21"/>
                <w:szCs w:val="21"/>
                <w:highlight w:val="none"/>
              </w:rPr>
              <w:t>招标文件</w:t>
            </w:r>
            <w:r>
              <w:rPr>
                <w:rFonts w:hint="default" w:ascii="宋体" w:hAnsi="宋体" w:eastAsia="宋体" w:cs="宋体"/>
                <w:color w:val="auto"/>
                <w:spacing w:val="-1"/>
                <w:sz w:val="21"/>
                <w:szCs w:val="21"/>
                <w:highlight w:val="none"/>
                <w:lang w:eastAsia="zh-CN"/>
              </w:rPr>
              <w:t>的澄清和</w:t>
            </w:r>
            <w:r>
              <w:rPr>
                <w:rFonts w:hint="default" w:ascii="宋体" w:hAnsi="宋体" w:eastAsia="宋体" w:cs="宋体"/>
                <w:color w:val="auto"/>
                <w:spacing w:val="-1"/>
                <w:sz w:val="21"/>
                <w:szCs w:val="21"/>
                <w:highlight w:val="none"/>
              </w:rPr>
              <w:t>修改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922F169">
            <w:pPr>
              <w:keepNext w:val="0"/>
              <w:keepLines w:val="0"/>
              <w:pageBreakBefore w:val="0"/>
              <w:widowControl w:val="0"/>
              <w:wordWrap/>
              <w:topLinePunct w:val="0"/>
              <w:bidi w:val="0"/>
              <w:spacing w:line="312" w:lineRule="auto"/>
              <w:ind w:left="91" w:leftChars="38"/>
              <w:jc w:val="both"/>
              <w:textAlignment w:val="auto"/>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招标文件的修改期限：在投标截止时间</w:t>
            </w:r>
            <w:r>
              <w:rPr>
                <w:rFonts w:hint="default" w:ascii="宋体" w:hAnsi="宋体" w:eastAsia="宋体"/>
                <w:color w:val="auto"/>
                <w:sz w:val="21"/>
                <w:szCs w:val="24"/>
                <w:highlight w:val="none"/>
                <w:u w:val="single"/>
              </w:rPr>
              <w:t xml:space="preserve"> </w:t>
            </w:r>
            <w:r>
              <w:rPr>
                <w:rFonts w:hint="default" w:ascii="宋体" w:hAnsi="宋体" w:eastAsia="宋体"/>
                <w:color w:val="auto"/>
                <w:sz w:val="21"/>
                <w:szCs w:val="24"/>
                <w:highlight w:val="none"/>
                <w:u w:val="single"/>
                <w:lang w:val="en-US" w:eastAsia="zh-CN"/>
              </w:rPr>
              <w:t>15</w:t>
            </w:r>
            <w:r>
              <w:rPr>
                <w:rFonts w:hint="default" w:ascii="宋体" w:hAnsi="宋体" w:eastAsia="宋体"/>
                <w:color w:val="auto"/>
                <w:sz w:val="21"/>
                <w:szCs w:val="24"/>
                <w:highlight w:val="none"/>
                <w:u w:val="single"/>
              </w:rPr>
              <w:t xml:space="preserve"> </w:t>
            </w:r>
            <w:r>
              <w:rPr>
                <w:rFonts w:hint="default" w:ascii="宋体" w:hAnsi="宋体" w:eastAsia="宋体"/>
                <w:color w:val="auto"/>
                <w:sz w:val="21"/>
                <w:szCs w:val="24"/>
                <w:highlight w:val="none"/>
              </w:rPr>
              <w:t>天前</w:t>
            </w:r>
          </w:p>
        </w:tc>
      </w:tr>
      <w:tr w14:paraId="6C4A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36C850C">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3.1.1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9A9C6AF">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构成投标文件的其他资料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9AFD353">
            <w:pPr>
              <w:keepNext w:val="0"/>
              <w:keepLines w:val="0"/>
              <w:pageBreakBefore w:val="0"/>
              <w:widowControl w:val="0"/>
              <w:wordWrap/>
              <w:topLinePunct w:val="0"/>
              <w:bidi w:val="0"/>
              <w:spacing w:line="312" w:lineRule="auto"/>
              <w:jc w:val="both"/>
              <w:textAlignment w:val="auto"/>
              <w:rPr>
                <w:rFonts w:hint="default" w:ascii="宋体" w:hAnsi="宋体" w:eastAsia="宋体" w:cs="宋体"/>
                <w:b/>
                <w:color w:val="auto"/>
                <w:sz w:val="21"/>
                <w:szCs w:val="21"/>
                <w:highlight w:val="none"/>
              </w:rPr>
            </w:pPr>
            <w:r>
              <w:rPr>
                <w:rFonts w:hint="default" w:ascii="宋体" w:hAnsi="宋体" w:eastAsia="宋体" w:cs="宋体"/>
                <w:color w:val="auto"/>
                <w:spacing w:val="-1"/>
                <w:sz w:val="21"/>
                <w:szCs w:val="21"/>
                <w:highlight w:val="none"/>
                <w:lang w:val="en-US" w:eastAsia="zh-CN"/>
              </w:rPr>
              <w:t>满足本项目评审要求的其他资料。</w:t>
            </w:r>
          </w:p>
        </w:tc>
      </w:tr>
      <w:tr w14:paraId="2623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863372C">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3.2.1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531F62B">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增值税税金的计算方法</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A51A295">
            <w:pPr>
              <w:keepNext w:val="0"/>
              <w:keepLines w:val="0"/>
              <w:pageBreakBefore w:val="0"/>
              <w:widowControl w:val="0"/>
              <w:wordWrap/>
              <w:topLinePunct w:val="0"/>
              <w:bidi w:val="0"/>
              <w:spacing w:line="312" w:lineRule="auto"/>
              <w:jc w:val="both"/>
              <w:textAlignment w:val="auto"/>
              <w:rPr>
                <w:rFonts w:hint="default" w:ascii="宋体" w:hAnsi="宋体" w:eastAsia="宋体" w:cs="宋体"/>
                <w:b w:val="0"/>
                <w:color w:val="auto"/>
                <w:spacing w:val="-1"/>
                <w:sz w:val="21"/>
                <w:szCs w:val="21"/>
                <w:highlight w:val="none"/>
                <w:lang w:val="en-US" w:eastAsia="zh-CN"/>
              </w:rPr>
            </w:pPr>
            <w:r>
              <w:rPr>
                <w:rFonts w:hint="default" w:ascii="宋体" w:hAnsi="宋体" w:eastAsia="宋体" w:cs="宋体"/>
                <w:b w:val="0"/>
                <w:color w:val="auto"/>
                <w:spacing w:val="-1"/>
                <w:sz w:val="21"/>
                <w:szCs w:val="21"/>
                <w:highlight w:val="none"/>
                <w:lang w:val="en-US" w:eastAsia="zh-CN"/>
              </w:rPr>
              <w:t>按国家税务机关的规定执行。</w:t>
            </w:r>
          </w:p>
        </w:tc>
      </w:tr>
      <w:tr w14:paraId="6126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AFBCD87">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3.2.3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A74D1E0">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报价方式</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F91263A">
            <w:pPr>
              <w:keepNext w:val="0"/>
              <w:keepLines w:val="0"/>
              <w:pageBreakBefore w:val="0"/>
              <w:widowControl w:val="0"/>
              <w:wordWrap/>
              <w:topLinePunct w:val="0"/>
              <w:bidi w:val="0"/>
              <w:spacing w:line="312" w:lineRule="auto"/>
              <w:jc w:val="both"/>
              <w:textAlignment w:val="auto"/>
              <w:rPr>
                <w:rFonts w:hint="default" w:ascii="宋体" w:hAnsi="宋体" w:eastAsia="宋体" w:cs="宋体"/>
                <w:b w:val="0"/>
                <w:color w:val="auto"/>
                <w:spacing w:val="-1"/>
                <w:sz w:val="21"/>
                <w:szCs w:val="21"/>
                <w:highlight w:val="none"/>
                <w:lang w:val="en-US" w:eastAsia="zh-CN"/>
              </w:rPr>
            </w:pPr>
            <w:r>
              <w:rPr>
                <w:rFonts w:hint="default" w:ascii="宋体" w:hAnsi="宋体" w:eastAsia="宋体" w:cs="宋体"/>
                <w:b w:val="0"/>
                <w:color w:val="auto"/>
                <w:spacing w:val="-1"/>
                <w:sz w:val="21"/>
                <w:szCs w:val="21"/>
                <w:highlight w:val="none"/>
                <w:lang w:val="en-US" w:eastAsia="zh-CN"/>
              </w:rPr>
              <w:t>投标人自行填报投标下浮率，并依据所报下浮率列明投标报价。</w:t>
            </w:r>
          </w:p>
        </w:tc>
      </w:tr>
      <w:tr w14:paraId="7416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44C5D7B">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p>
          <w:p w14:paraId="7B88C912">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3.2.4</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2BC5E34">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最高投标限价</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33999ED">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无</w:t>
            </w:r>
          </w:p>
          <w:p w14:paraId="3E1B88D2">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rPr>
            </w:pPr>
            <w:r>
              <w:rPr>
                <w:rFonts w:hint="eastAsia" w:ascii="仿宋" w:hAnsi="仿宋" w:eastAsia="仿宋" w:cs="仿宋"/>
                <w:color w:val="auto"/>
                <w:sz w:val="21"/>
                <w:szCs w:val="24"/>
                <w:highlight w:val="none"/>
              </w:rPr>
              <w:sym w:font="Wingdings 2" w:char="0052"/>
            </w:r>
            <w:r>
              <w:rPr>
                <w:rFonts w:hint="default" w:ascii="宋体" w:hAnsi="宋体" w:eastAsia="宋体"/>
                <w:color w:val="auto"/>
                <w:sz w:val="21"/>
                <w:szCs w:val="24"/>
                <w:highlight w:val="none"/>
              </w:rPr>
              <w:t>有，最高投标限价：8475541.19元。</w:t>
            </w:r>
          </w:p>
          <w:p w14:paraId="5D779DE2">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s="宋体"/>
                <w:b/>
                <w:color w:val="auto"/>
                <w:sz w:val="21"/>
                <w:szCs w:val="21"/>
                <w:highlight w:val="none"/>
                <w:lang w:val="en-US"/>
              </w:rPr>
            </w:pPr>
            <w:r>
              <w:rPr>
                <w:rFonts w:hint="default" w:ascii="宋体" w:hAnsi="宋体" w:eastAsia="宋体"/>
                <w:color w:val="auto"/>
                <w:sz w:val="21"/>
                <w:szCs w:val="24"/>
                <w:highlight w:val="none"/>
              </w:rPr>
              <w:t>其中厂区部分监理服务投标报价限价4786242.48 元；管网部分监理服务投标报价限价3689298.71元；</w:t>
            </w:r>
          </w:p>
        </w:tc>
      </w:tr>
      <w:tr w14:paraId="41C7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74B9416">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3.2.5</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52E5692">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1"/>
                <w:highlight w:val="none"/>
              </w:rPr>
            </w:pPr>
            <w:r>
              <w:rPr>
                <w:rFonts w:hint="default" w:ascii="宋体" w:hAnsi="宋体" w:eastAsia="宋体"/>
                <w:color w:val="auto"/>
                <w:sz w:val="21"/>
                <w:szCs w:val="21"/>
                <w:highlight w:val="none"/>
              </w:rPr>
              <w:t>投标报价的其他要求</w:t>
            </w:r>
          </w:p>
        </w:tc>
        <w:tc>
          <w:tcPr>
            <w:tcW w:w="54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F0A2210">
            <w:pPr>
              <w:keepNext w:val="0"/>
              <w:keepLines w:val="0"/>
              <w:pageBreakBefore w:val="0"/>
              <w:widowControl w:val="0"/>
              <w:wordWrap/>
              <w:topLinePunct w:val="0"/>
              <w:bidi w:val="0"/>
              <w:spacing w:line="312" w:lineRule="auto"/>
              <w:jc w:val="both"/>
              <w:textAlignment w:val="auto"/>
              <w:rPr>
                <w:rFonts w:hint="eastAsia" w:ascii="宋体" w:hAnsi="宋体" w:eastAsia="宋体" w:cs="宋体"/>
                <w:b w:val="0"/>
                <w:color w:val="auto"/>
                <w:spacing w:val="-1"/>
                <w:sz w:val="21"/>
                <w:szCs w:val="21"/>
                <w:highlight w:val="none"/>
                <w:lang w:val="en-US" w:eastAsia="zh-CN"/>
              </w:rPr>
            </w:pPr>
            <w:r>
              <w:rPr>
                <w:rFonts w:hint="eastAsia" w:ascii="宋体" w:hAnsi="宋体" w:eastAsia="宋体" w:cs="宋体"/>
                <w:b w:val="0"/>
                <w:color w:val="auto"/>
                <w:spacing w:val="-1"/>
                <w:sz w:val="21"/>
                <w:szCs w:val="21"/>
                <w:highlight w:val="none"/>
                <w:lang w:val="en-US" w:eastAsia="zh-CN"/>
              </w:rPr>
              <w:t>（1）投标人必须详细审阅全部招标文件，充分考虑职责和义务，全面地理解招标文件对投标报价的要求，并按招标人提出的条件及内容进行报价。</w:t>
            </w:r>
          </w:p>
          <w:p w14:paraId="59D28855">
            <w:pPr>
              <w:keepNext w:val="0"/>
              <w:keepLines w:val="0"/>
              <w:pageBreakBefore w:val="0"/>
              <w:widowControl w:val="0"/>
              <w:wordWrap/>
              <w:topLinePunct w:val="0"/>
              <w:bidi w:val="0"/>
              <w:spacing w:line="312" w:lineRule="auto"/>
              <w:jc w:val="both"/>
              <w:textAlignment w:val="auto"/>
              <w:rPr>
                <w:rFonts w:hint="eastAsia" w:ascii="宋体" w:hAnsi="宋体" w:eastAsia="宋体" w:cs="宋体"/>
                <w:b w:val="0"/>
                <w:color w:val="auto"/>
                <w:spacing w:val="-1"/>
                <w:sz w:val="21"/>
                <w:szCs w:val="21"/>
                <w:highlight w:val="none"/>
                <w:lang w:val="en-US" w:eastAsia="zh-CN"/>
              </w:rPr>
            </w:pPr>
            <w:r>
              <w:rPr>
                <w:rFonts w:hint="eastAsia" w:ascii="宋体" w:hAnsi="宋体" w:eastAsia="宋体" w:cs="宋体"/>
                <w:b w:val="0"/>
                <w:color w:val="auto"/>
                <w:spacing w:val="-1"/>
                <w:sz w:val="21"/>
                <w:szCs w:val="21"/>
                <w:highlight w:val="none"/>
                <w:lang w:val="en-US" w:eastAsia="zh-CN"/>
              </w:rPr>
              <w:t>厂区部分监理服务投标报价=</w:t>
            </w:r>
            <w:r>
              <w:rPr>
                <w:rFonts w:hint="eastAsia" w:ascii="宋体" w:hAnsi="宋体" w:cs="宋体"/>
                <w:b w:val="0"/>
                <w:color w:val="auto"/>
                <w:spacing w:val="-1"/>
                <w:sz w:val="21"/>
                <w:szCs w:val="21"/>
                <w:highlight w:val="none"/>
                <w:lang w:val="en-US" w:eastAsia="zh-CN"/>
              </w:rPr>
              <w:t>对应的</w:t>
            </w:r>
            <w:r>
              <w:rPr>
                <w:rFonts w:hint="eastAsia" w:ascii="宋体" w:hAnsi="宋体" w:eastAsia="宋体" w:cs="宋体"/>
                <w:b w:val="0"/>
                <w:color w:val="auto"/>
                <w:spacing w:val="-1"/>
                <w:sz w:val="21"/>
                <w:szCs w:val="21"/>
                <w:highlight w:val="none"/>
                <w:lang w:val="en-US" w:eastAsia="zh-CN"/>
              </w:rPr>
              <w:t>投标</w:t>
            </w:r>
            <w:r>
              <w:rPr>
                <w:rFonts w:hint="eastAsia" w:ascii="宋体" w:hAnsi="宋体" w:cs="宋体"/>
                <w:b w:val="0"/>
                <w:color w:val="auto"/>
                <w:spacing w:val="-1"/>
                <w:sz w:val="21"/>
                <w:szCs w:val="21"/>
                <w:highlight w:val="none"/>
                <w:lang w:val="en-US" w:eastAsia="zh-CN"/>
              </w:rPr>
              <w:t>报价限价</w:t>
            </w:r>
            <w:r>
              <w:rPr>
                <w:rFonts w:hint="eastAsia" w:ascii="宋体" w:hAnsi="宋体" w:eastAsia="宋体" w:cs="宋体"/>
                <w:b w:val="0"/>
                <w:color w:val="auto"/>
                <w:spacing w:val="-1"/>
                <w:sz w:val="21"/>
                <w:szCs w:val="21"/>
                <w:highlight w:val="none"/>
                <w:lang w:val="en-US" w:eastAsia="zh-CN"/>
              </w:rPr>
              <w:t>*（1-投标下浮率）</w:t>
            </w:r>
          </w:p>
          <w:p w14:paraId="274C63E8">
            <w:pPr>
              <w:keepNext w:val="0"/>
              <w:keepLines w:val="0"/>
              <w:pageBreakBefore w:val="0"/>
              <w:widowControl w:val="0"/>
              <w:wordWrap/>
              <w:topLinePunct w:val="0"/>
              <w:bidi w:val="0"/>
              <w:spacing w:line="312" w:lineRule="auto"/>
              <w:jc w:val="both"/>
              <w:textAlignment w:val="auto"/>
              <w:rPr>
                <w:rFonts w:hint="eastAsia" w:ascii="宋体" w:hAnsi="宋体" w:eastAsia="宋体" w:cs="宋体"/>
                <w:b w:val="0"/>
                <w:color w:val="auto"/>
                <w:spacing w:val="-1"/>
                <w:sz w:val="21"/>
                <w:szCs w:val="21"/>
                <w:highlight w:val="none"/>
                <w:lang w:val="en-US" w:eastAsia="zh-CN"/>
              </w:rPr>
            </w:pPr>
            <w:r>
              <w:rPr>
                <w:rFonts w:hint="eastAsia" w:ascii="宋体" w:hAnsi="宋体" w:eastAsia="宋体" w:cs="宋体"/>
                <w:b w:val="0"/>
                <w:color w:val="auto"/>
                <w:spacing w:val="-1"/>
                <w:sz w:val="21"/>
                <w:szCs w:val="21"/>
                <w:highlight w:val="none"/>
                <w:lang w:val="en-US" w:eastAsia="zh-CN"/>
              </w:rPr>
              <w:t>管网部分监理服务投标报价=</w:t>
            </w:r>
            <w:r>
              <w:rPr>
                <w:rFonts w:hint="eastAsia" w:ascii="宋体" w:hAnsi="宋体" w:cs="宋体"/>
                <w:b w:val="0"/>
                <w:color w:val="auto"/>
                <w:spacing w:val="-1"/>
                <w:sz w:val="21"/>
                <w:szCs w:val="21"/>
                <w:highlight w:val="none"/>
                <w:lang w:val="en-US" w:eastAsia="zh-CN"/>
              </w:rPr>
              <w:t>对应的</w:t>
            </w:r>
            <w:r>
              <w:rPr>
                <w:rFonts w:hint="eastAsia" w:ascii="宋体" w:hAnsi="宋体" w:eastAsia="宋体" w:cs="宋体"/>
                <w:b w:val="0"/>
                <w:color w:val="auto"/>
                <w:spacing w:val="-1"/>
                <w:sz w:val="21"/>
                <w:szCs w:val="21"/>
                <w:highlight w:val="none"/>
                <w:lang w:val="en-US" w:eastAsia="zh-CN"/>
              </w:rPr>
              <w:t>投标</w:t>
            </w:r>
            <w:r>
              <w:rPr>
                <w:rFonts w:hint="eastAsia" w:ascii="宋体" w:hAnsi="宋体" w:cs="宋体"/>
                <w:b w:val="0"/>
                <w:color w:val="auto"/>
                <w:spacing w:val="-1"/>
                <w:sz w:val="21"/>
                <w:szCs w:val="21"/>
                <w:highlight w:val="none"/>
                <w:lang w:val="en-US" w:eastAsia="zh-CN"/>
              </w:rPr>
              <w:t>报价限价</w:t>
            </w:r>
            <w:r>
              <w:rPr>
                <w:rFonts w:hint="eastAsia" w:ascii="宋体" w:hAnsi="宋体" w:eastAsia="宋体" w:cs="宋体"/>
                <w:b w:val="0"/>
                <w:color w:val="auto"/>
                <w:spacing w:val="-1"/>
                <w:sz w:val="21"/>
                <w:szCs w:val="21"/>
                <w:highlight w:val="none"/>
                <w:lang w:val="en-US" w:eastAsia="zh-CN"/>
              </w:rPr>
              <w:t>*（1-投标下浮率）</w:t>
            </w:r>
          </w:p>
          <w:p w14:paraId="7E483C1B">
            <w:pPr>
              <w:keepNext w:val="0"/>
              <w:keepLines w:val="0"/>
              <w:pageBreakBefore w:val="0"/>
              <w:widowControl w:val="0"/>
              <w:wordWrap/>
              <w:topLinePunct w:val="0"/>
              <w:bidi w:val="0"/>
              <w:spacing w:line="312" w:lineRule="auto"/>
              <w:jc w:val="both"/>
              <w:textAlignment w:val="auto"/>
              <w:rPr>
                <w:rFonts w:hint="eastAsia" w:ascii="宋体" w:hAnsi="宋体" w:eastAsia="宋体" w:cs="宋体"/>
                <w:b w:val="0"/>
                <w:color w:val="auto"/>
                <w:spacing w:val="-1"/>
                <w:sz w:val="21"/>
                <w:szCs w:val="21"/>
                <w:highlight w:val="none"/>
                <w:lang w:val="en-US" w:eastAsia="zh-CN"/>
              </w:rPr>
            </w:pPr>
            <w:r>
              <w:rPr>
                <w:rFonts w:hint="eastAsia" w:ascii="宋体" w:hAnsi="宋体" w:eastAsia="宋体" w:cs="宋体"/>
                <w:b w:val="0"/>
                <w:color w:val="auto"/>
                <w:spacing w:val="-1"/>
                <w:sz w:val="21"/>
                <w:szCs w:val="21"/>
                <w:highlight w:val="none"/>
                <w:lang w:val="en-US" w:eastAsia="zh-CN"/>
              </w:rPr>
              <w:t>各投标人在投标限价自行下浮报价。</w:t>
            </w:r>
            <w:r>
              <w:rPr>
                <w:rFonts w:hint="eastAsia" w:ascii="宋体" w:hAnsi="宋体" w:cs="宋体"/>
                <w:b w:val="0"/>
                <w:color w:val="auto"/>
                <w:spacing w:val="-1"/>
                <w:sz w:val="21"/>
                <w:szCs w:val="21"/>
                <w:highlight w:val="none"/>
                <w:lang w:val="en-US" w:eastAsia="zh-CN"/>
              </w:rPr>
              <w:t>投标下浮率范围为0%至100%。</w:t>
            </w:r>
            <w:r>
              <w:rPr>
                <w:rFonts w:hint="eastAsia" w:ascii="宋体" w:hAnsi="宋体" w:cs="宋体"/>
                <w:color w:val="auto"/>
                <w:spacing w:val="-1"/>
                <w:sz w:val="21"/>
                <w:szCs w:val="21"/>
                <w:highlight w:val="none"/>
                <w:lang w:val="en-US" w:eastAsia="zh-CN"/>
              </w:rPr>
              <w:t>厂区部分监理服务投标下浮率应与管网部分监理服务投标下浮率相同。如出现两个不同的下浮率，按最高的下浮率修正投标报价。</w:t>
            </w:r>
          </w:p>
          <w:p w14:paraId="19C51499">
            <w:pPr>
              <w:keepNext w:val="0"/>
              <w:keepLines w:val="0"/>
              <w:pageBreakBefore w:val="0"/>
              <w:widowControl w:val="0"/>
              <w:wordWrap/>
              <w:topLinePunct w:val="0"/>
              <w:bidi w:val="0"/>
              <w:spacing w:line="312" w:lineRule="auto"/>
              <w:jc w:val="both"/>
              <w:textAlignment w:val="auto"/>
              <w:rPr>
                <w:rFonts w:hint="eastAsia" w:ascii="宋体" w:hAnsi="宋体" w:eastAsia="宋体" w:cs="宋体"/>
                <w:b w:val="0"/>
                <w:color w:val="auto"/>
                <w:spacing w:val="-1"/>
                <w:sz w:val="21"/>
                <w:szCs w:val="21"/>
                <w:highlight w:val="none"/>
                <w:lang w:val="en-US" w:eastAsia="zh-CN"/>
              </w:rPr>
            </w:pPr>
            <w:r>
              <w:rPr>
                <w:rFonts w:hint="eastAsia" w:ascii="宋体" w:hAnsi="宋体" w:eastAsia="宋体" w:cs="宋体"/>
                <w:b w:val="0"/>
                <w:color w:val="auto"/>
                <w:spacing w:val="-1"/>
                <w:sz w:val="21"/>
                <w:szCs w:val="21"/>
                <w:highlight w:val="none"/>
                <w:lang w:val="en-US" w:eastAsia="zh-CN"/>
              </w:rPr>
              <w:t>投标人的投标报价应是完成招标文件第2.2款和合同条款所列招标项目监理范围及工期的全部内容为计算投标报价基础。投标人应按招标文件中相关附表格式填写。</w:t>
            </w:r>
          </w:p>
          <w:p w14:paraId="1583CED9">
            <w:pPr>
              <w:keepNext w:val="0"/>
              <w:keepLines w:val="0"/>
              <w:pageBreakBefore w:val="0"/>
              <w:widowControl w:val="0"/>
              <w:wordWrap/>
              <w:topLinePunct w:val="0"/>
              <w:bidi w:val="0"/>
              <w:spacing w:line="312" w:lineRule="auto"/>
              <w:jc w:val="both"/>
              <w:textAlignment w:val="auto"/>
              <w:rPr>
                <w:rFonts w:hint="eastAsia" w:ascii="宋体" w:hAnsi="宋体" w:eastAsia="宋体" w:cs="宋体"/>
                <w:b w:val="0"/>
                <w:color w:val="auto"/>
                <w:spacing w:val="-1"/>
                <w:sz w:val="21"/>
                <w:szCs w:val="21"/>
                <w:highlight w:val="none"/>
                <w:lang w:val="en-US" w:eastAsia="zh-CN"/>
              </w:rPr>
            </w:pPr>
            <w:r>
              <w:rPr>
                <w:rFonts w:hint="eastAsia" w:ascii="宋体" w:hAnsi="宋体" w:eastAsia="宋体" w:cs="宋体"/>
                <w:b w:val="0"/>
                <w:color w:val="auto"/>
                <w:spacing w:val="-1"/>
                <w:sz w:val="21"/>
                <w:szCs w:val="21"/>
                <w:highlight w:val="none"/>
                <w:lang w:val="en-US" w:eastAsia="zh-CN"/>
              </w:rPr>
              <w:t>（3）除非合同另有规定，投标报价应已包括但不限于监理设备、劳务、管理、交通、维护、保险、利润、税金、政策性文件规定及合同包含的所有风险、责任等各项所有费用。</w:t>
            </w:r>
          </w:p>
          <w:p w14:paraId="77B975C8">
            <w:pPr>
              <w:keepNext w:val="0"/>
              <w:keepLines w:val="0"/>
              <w:pageBreakBefore w:val="0"/>
              <w:widowControl w:val="0"/>
              <w:wordWrap/>
              <w:topLinePunct w:val="0"/>
              <w:bidi w:val="0"/>
              <w:spacing w:line="312" w:lineRule="auto"/>
              <w:jc w:val="both"/>
              <w:textAlignment w:val="auto"/>
              <w:rPr>
                <w:rFonts w:hint="eastAsia" w:ascii="宋体" w:hAnsi="宋体" w:eastAsia="宋体" w:cs="宋体"/>
                <w:b w:val="0"/>
                <w:color w:val="auto"/>
                <w:spacing w:val="-1"/>
                <w:sz w:val="21"/>
                <w:szCs w:val="21"/>
                <w:highlight w:val="none"/>
                <w:lang w:val="en-US" w:eastAsia="zh-CN"/>
              </w:rPr>
            </w:pPr>
            <w:r>
              <w:rPr>
                <w:rFonts w:hint="eastAsia" w:ascii="宋体" w:hAnsi="宋体" w:eastAsia="宋体" w:cs="宋体"/>
                <w:b w:val="0"/>
                <w:color w:val="auto"/>
                <w:spacing w:val="-1"/>
                <w:sz w:val="21"/>
                <w:szCs w:val="21"/>
                <w:highlight w:val="none"/>
                <w:lang w:val="en-US" w:eastAsia="zh-CN"/>
              </w:rPr>
              <w:t>（4）监理费结算</w:t>
            </w:r>
            <w:r>
              <w:rPr>
                <w:rFonts w:hint="eastAsia" w:ascii="宋体" w:hAnsi="宋体" w:cs="宋体"/>
                <w:b w:val="0"/>
                <w:color w:val="auto"/>
                <w:spacing w:val="-1"/>
                <w:sz w:val="21"/>
                <w:szCs w:val="21"/>
                <w:highlight w:val="none"/>
                <w:lang w:val="en-US" w:eastAsia="zh-CN"/>
              </w:rPr>
              <w:t>内容详见合同条款</w:t>
            </w:r>
            <w:r>
              <w:rPr>
                <w:rFonts w:hint="eastAsia" w:ascii="宋体" w:hAnsi="宋体" w:eastAsia="宋体" w:cs="宋体"/>
                <w:b w:val="0"/>
                <w:color w:val="auto"/>
                <w:spacing w:val="-1"/>
                <w:sz w:val="21"/>
                <w:szCs w:val="21"/>
                <w:highlight w:val="none"/>
                <w:lang w:val="en-US" w:eastAsia="zh-CN"/>
              </w:rPr>
              <w:t>。</w:t>
            </w:r>
          </w:p>
          <w:p w14:paraId="0AE772DB">
            <w:pPr>
              <w:keepNext w:val="0"/>
              <w:keepLines w:val="0"/>
              <w:pageBreakBefore w:val="0"/>
              <w:widowControl w:val="0"/>
              <w:wordWrap/>
              <w:topLinePunct w:val="0"/>
              <w:bidi w:val="0"/>
              <w:spacing w:line="312" w:lineRule="auto"/>
              <w:jc w:val="both"/>
              <w:textAlignment w:val="auto"/>
              <w:rPr>
                <w:rFonts w:hint="eastAsia" w:ascii="宋体" w:hAnsi="宋体" w:eastAsia="宋体" w:cs="宋体"/>
                <w:b w:val="0"/>
                <w:color w:val="auto"/>
                <w:spacing w:val="-1"/>
                <w:sz w:val="21"/>
                <w:szCs w:val="21"/>
                <w:highlight w:val="none"/>
                <w:lang w:val="en-US" w:eastAsia="zh-CN"/>
              </w:rPr>
            </w:pPr>
            <w:r>
              <w:rPr>
                <w:rFonts w:hint="eastAsia" w:ascii="宋体" w:hAnsi="宋体" w:eastAsia="宋体" w:cs="宋体"/>
                <w:b w:val="0"/>
                <w:color w:val="auto"/>
                <w:spacing w:val="-1"/>
                <w:sz w:val="21"/>
                <w:szCs w:val="21"/>
                <w:highlight w:val="none"/>
                <w:lang w:val="en-US" w:eastAsia="zh-CN"/>
              </w:rPr>
              <w:t>（5）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30A64341">
            <w:pPr>
              <w:keepNext w:val="0"/>
              <w:keepLines w:val="0"/>
              <w:pageBreakBefore w:val="0"/>
              <w:widowControl w:val="0"/>
              <w:wordWrap/>
              <w:topLinePunct w:val="0"/>
              <w:bidi w:val="0"/>
              <w:spacing w:line="312" w:lineRule="auto"/>
              <w:jc w:val="both"/>
              <w:textAlignment w:val="auto"/>
              <w:rPr>
                <w:rFonts w:hint="eastAsia" w:ascii="宋体" w:hAnsi="宋体" w:eastAsia="宋体" w:cs="宋体"/>
                <w:b w:val="0"/>
                <w:color w:val="auto"/>
                <w:spacing w:val="-1"/>
                <w:sz w:val="21"/>
                <w:szCs w:val="21"/>
                <w:highlight w:val="none"/>
                <w:lang w:val="en-US" w:eastAsia="zh-CN"/>
              </w:rPr>
            </w:pPr>
            <w:r>
              <w:rPr>
                <w:rFonts w:hint="eastAsia" w:ascii="宋体" w:hAnsi="宋体" w:eastAsia="宋体" w:cs="宋体"/>
                <w:b w:val="0"/>
                <w:color w:val="auto"/>
                <w:spacing w:val="-1"/>
                <w:sz w:val="21"/>
                <w:szCs w:val="21"/>
                <w:highlight w:val="none"/>
                <w:lang w:val="en-US" w:eastAsia="zh-CN"/>
              </w:rPr>
              <w:t>（6）投标报价超过本项目最高投标限价的投标文件将被否决其投标。</w:t>
            </w:r>
          </w:p>
          <w:p w14:paraId="23E1872D">
            <w:pPr>
              <w:keepNext w:val="0"/>
              <w:keepLines w:val="0"/>
              <w:pageBreakBefore w:val="0"/>
              <w:widowControl w:val="0"/>
              <w:wordWrap/>
              <w:topLinePunct w:val="0"/>
              <w:bidi w:val="0"/>
              <w:spacing w:line="312" w:lineRule="auto"/>
              <w:jc w:val="both"/>
              <w:textAlignment w:val="auto"/>
              <w:rPr>
                <w:rFonts w:hint="eastAsia" w:ascii="宋体" w:hAnsi="宋体" w:eastAsia="宋体" w:cs="宋体"/>
                <w:b w:val="0"/>
                <w:color w:val="auto"/>
                <w:spacing w:val="-1"/>
                <w:sz w:val="21"/>
                <w:szCs w:val="21"/>
                <w:highlight w:val="none"/>
                <w:lang w:val="en-US" w:eastAsia="zh-CN"/>
              </w:rPr>
            </w:pPr>
            <w:r>
              <w:rPr>
                <w:rFonts w:hint="eastAsia" w:ascii="宋体" w:hAnsi="宋体" w:eastAsia="宋体" w:cs="宋体"/>
                <w:b w:val="0"/>
                <w:color w:val="auto"/>
                <w:spacing w:val="-1"/>
                <w:sz w:val="21"/>
                <w:szCs w:val="21"/>
                <w:highlight w:val="none"/>
                <w:lang w:val="en-US" w:eastAsia="zh-CN"/>
              </w:rPr>
              <w:t>（7）投标人必须详细审阅全部招标文件及招标相关资料,充分考虑职责和义务,全面地理解招标文件对投标报价的要求,并按招标人提出的条件及内容进行报价。</w:t>
            </w:r>
          </w:p>
        </w:tc>
      </w:tr>
      <w:tr w14:paraId="2FB3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FA3819E">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3.3.1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B1E2984">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投标有效期</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C7738D1">
            <w:pPr>
              <w:keepNext w:val="0"/>
              <w:keepLines w:val="0"/>
              <w:pageBreakBefore w:val="0"/>
              <w:widowControl w:val="0"/>
              <w:wordWrap/>
              <w:topLinePunct w:val="0"/>
              <w:bidi w:val="0"/>
              <w:spacing w:line="312" w:lineRule="auto"/>
              <w:jc w:val="both"/>
              <w:textAlignment w:val="auto"/>
              <w:rPr>
                <w:rFonts w:hint="eastAsia" w:ascii="Times New Roman" w:hAnsi="Times New Roman" w:eastAsia="Times New Roman"/>
                <w:color w:val="auto"/>
                <w:sz w:val="21"/>
                <w:szCs w:val="24"/>
                <w:highlight w:val="none"/>
              </w:rPr>
            </w:pPr>
            <w:r>
              <w:rPr>
                <w:rFonts w:hint="eastAsia"/>
                <w:color w:val="auto"/>
                <w:sz w:val="21"/>
                <w:szCs w:val="24"/>
                <w:highlight w:val="none"/>
                <w:u w:val="single"/>
                <w:lang w:val="en-US" w:eastAsia="zh-CN"/>
              </w:rPr>
              <w:t>90</w:t>
            </w:r>
            <w:r>
              <w:rPr>
                <w:rFonts w:hint="default" w:ascii="宋体" w:hAnsi="Times New Roman" w:eastAsia="宋体"/>
                <w:color w:val="auto"/>
                <w:sz w:val="21"/>
                <w:szCs w:val="24"/>
                <w:highlight w:val="none"/>
              </w:rPr>
              <w:t>日历天（从投标截止之日计起）</w:t>
            </w:r>
          </w:p>
        </w:tc>
      </w:tr>
      <w:tr w14:paraId="58E6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41A1D2E">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3.4.1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E2CCDB9">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投标保证金</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7F030F9">
            <w:pPr>
              <w:keepNext w:val="0"/>
              <w:keepLines w:val="0"/>
              <w:pageBreakBefore w:val="0"/>
              <w:widowControl w:val="0"/>
              <w:wordWrap/>
              <w:topLinePunct w:val="0"/>
              <w:bidi w:val="0"/>
              <w:spacing w:line="312" w:lineRule="auto"/>
              <w:textAlignment w:val="auto"/>
              <w:rPr>
                <w:rFonts w:hint="default"/>
                <w:color w:val="auto"/>
                <w:sz w:val="21"/>
                <w:szCs w:val="21"/>
                <w:highlight w:val="none"/>
              </w:rPr>
            </w:pPr>
            <w:r>
              <w:rPr>
                <w:rFonts w:hint="default"/>
                <w:color w:val="auto"/>
                <w:sz w:val="21"/>
                <w:szCs w:val="21"/>
                <w:highlight w:val="none"/>
              </w:rPr>
              <w:t>是否要求投标人递交投标保证金：</w:t>
            </w:r>
          </w:p>
          <w:p w14:paraId="410B264C">
            <w:pPr>
              <w:keepNext w:val="0"/>
              <w:keepLines w:val="0"/>
              <w:pageBreakBefore w:val="0"/>
              <w:widowControl w:val="0"/>
              <w:wordWrap/>
              <w:topLinePunct w:val="0"/>
              <w:bidi w:val="0"/>
              <w:spacing w:line="312" w:lineRule="auto"/>
              <w:textAlignment w:val="auto"/>
              <w:rPr>
                <w:rFonts w:hint="eastAsia"/>
                <w:color w:val="auto"/>
                <w:sz w:val="21"/>
                <w:szCs w:val="21"/>
                <w:highlight w:val="none"/>
              </w:rPr>
            </w:pPr>
            <w:r>
              <w:rPr>
                <w:rFonts w:hint="eastAsia"/>
                <w:color w:val="auto"/>
                <w:sz w:val="21"/>
                <w:szCs w:val="21"/>
                <w:highlight w:val="none"/>
              </w:rPr>
              <w:sym w:font="Wingdings 2" w:char="0052"/>
            </w:r>
            <w:r>
              <w:rPr>
                <w:rFonts w:hint="default"/>
                <w:color w:val="auto"/>
                <w:sz w:val="21"/>
                <w:szCs w:val="21"/>
                <w:highlight w:val="none"/>
              </w:rPr>
              <w:t>不要求</w:t>
            </w:r>
          </w:p>
          <w:p w14:paraId="36BDE455">
            <w:pPr>
              <w:keepNext w:val="0"/>
              <w:keepLines w:val="0"/>
              <w:pageBreakBefore w:val="0"/>
              <w:widowControl w:val="0"/>
              <w:wordWrap/>
              <w:topLinePunct w:val="0"/>
              <w:bidi w:val="0"/>
              <w:spacing w:line="312" w:lineRule="auto"/>
              <w:textAlignment w:val="auto"/>
              <w:rPr>
                <w:rFonts w:hint="eastAsia" w:eastAsia="宋体"/>
                <w:color w:val="auto"/>
                <w:sz w:val="21"/>
                <w:szCs w:val="21"/>
                <w:highlight w:val="none"/>
                <w:lang w:val="en-US" w:eastAsia="zh-CN"/>
              </w:rPr>
            </w:pPr>
            <w:r>
              <w:rPr>
                <w:rFonts w:hint="eastAsia"/>
                <w:color w:val="auto"/>
                <w:sz w:val="21"/>
                <w:szCs w:val="21"/>
                <w:highlight w:val="none"/>
              </w:rPr>
              <w:sym w:font="Wingdings 2" w:char="00A3"/>
            </w:r>
            <w:r>
              <w:rPr>
                <w:rFonts w:hint="default"/>
                <w:color w:val="auto"/>
                <w:sz w:val="21"/>
                <w:szCs w:val="21"/>
                <w:highlight w:val="none"/>
              </w:rPr>
              <w:t xml:space="preserve">要求，投标保证金的形式： </w:t>
            </w:r>
            <w:r>
              <w:rPr>
                <w:rFonts w:hint="eastAsia"/>
                <w:color w:val="auto"/>
                <w:sz w:val="21"/>
                <w:szCs w:val="21"/>
                <w:highlight w:val="none"/>
                <w:lang w:val="en-US" w:eastAsia="zh-CN"/>
              </w:rPr>
              <w:t>/</w:t>
            </w:r>
          </w:p>
          <w:p w14:paraId="44B8B24B">
            <w:pPr>
              <w:keepNext w:val="0"/>
              <w:keepLines w:val="0"/>
              <w:pageBreakBefore w:val="0"/>
              <w:widowControl w:val="0"/>
              <w:wordWrap/>
              <w:topLinePunct w:val="0"/>
              <w:bidi w:val="0"/>
              <w:spacing w:line="312" w:lineRule="auto"/>
              <w:textAlignment w:val="auto"/>
              <w:rPr>
                <w:rFonts w:hint="eastAsia" w:ascii="Times New Roman" w:hAnsi="Times New Roman" w:eastAsia="Times New Roman"/>
                <w:color w:val="auto"/>
                <w:sz w:val="21"/>
                <w:szCs w:val="24"/>
                <w:highlight w:val="none"/>
              </w:rPr>
            </w:pPr>
            <w:r>
              <w:rPr>
                <w:rFonts w:hint="default"/>
                <w:color w:val="auto"/>
                <w:sz w:val="21"/>
                <w:szCs w:val="21"/>
                <w:highlight w:val="none"/>
              </w:rPr>
              <w:t>投标保证金的金额：</w:t>
            </w:r>
            <w:r>
              <w:rPr>
                <w:rFonts w:hint="eastAsia"/>
                <w:color w:val="auto"/>
                <w:sz w:val="21"/>
                <w:szCs w:val="21"/>
                <w:highlight w:val="none"/>
                <w:lang w:val="en-US" w:eastAsia="zh-CN"/>
              </w:rPr>
              <w:t>/</w:t>
            </w:r>
          </w:p>
        </w:tc>
      </w:tr>
      <w:tr w14:paraId="4DEC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F03F376">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3.5</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AEFC863">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资格审查资料的特殊要求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7605B6D">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rPr>
            </w:pPr>
            <w:r>
              <w:rPr>
                <w:rFonts w:hint="eastAsia" w:ascii="仿宋" w:hAnsi="仿宋" w:eastAsia="仿宋" w:cs="仿宋"/>
                <w:color w:val="auto"/>
                <w:sz w:val="21"/>
                <w:szCs w:val="24"/>
                <w:highlight w:val="none"/>
              </w:rPr>
              <w:sym w:font="Wingdings 2" w:char="0052"/>
            </w:r>
            <w:r>
              <w:rPr>
                <w:rFonts w:hint="default" w:ascii="宋体" w:hAnsi="宋体" w:eastAsia="宋体"/>
                <w:color w:val="auto"/>
                <w:sz w:val="21"/>
                <w:szCs w:val="24"/>
                <w:highlight w:val="none"/>
              </w:rPr>
              <w:t>无</w:t>
            </w:r>
          </w:p>
          <w:p w14:paraId="35BDD709">
            <w:pPr>
              <w:pStyle w:val="29"/>
              <w:keepNext w:val="0"/>
              <w:keepLines w:val="0"/>
              <w:pageBreakBefore w:val="0"/>
              <w:widowControl w:val="0"/>
              <w:kinsoku w:val="0"/>
              <w:wordWrap/>
              <w:overflowPunct w:val="0"/>
              <w:topLinePunct w:val="0"/>
              <w:bidi w:val="0"/>
              <w:spacing w:line="312" w:lineRule="auto"/>
              <w:jc w:val="both"/>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有，具体要求：</w:t>
            </w:r>
          </w:p>
        </w:tc>
      </w:tr>
      <w:tr w14:paraId="7FFA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601C1DD">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3.5.3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82DAAD6">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近年完成的类似项目情况的时间要求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20A773A">
            <w:pPr>
              <w:pStyle w:val="29"/>
              <w:keepNext w:val="0"/>
              <w:keepLines w:val="0"/>
              <w:pageBreakBefore w:val="0"/>
              <w:widowControl w:val="0"/>
              <w:tabs>
                <w:tab w:val="left" w:pos="799"/>
                <w:tab w:val="left" w:pos="1569"/>
                <w:tab w:val="left" w:pos="2340"/>
              </w:tabs>
              <w:kinsoku w:val="0"/>
              <w:wordWrap/>
              <w:overflowPunct w:val="0"/>
              <w:topLinePunct w:val="0"/>
              <w:bidi w:val="0"/>
              <w:spacing w:line="312" w:lineRule="auto"/>
              <w:jc w:val="both"/>
              <w:textAlignment w:val="auto"/>
              <w:rPr>
                <w:rFonts w:hint="default" w:ascii="宋体" w:hAnsi="Times New Roman" w:eastAsia="宋体"/>
                <w:color w:val="auto"/>
                <w:sz w:val="21"/>
                <w:szCs w:val="24"/>
                <w:highlight w:val="none"/>
                <w:lang w:eastAsia="zh-CN"/>
              </w:rPr>
            </w:pPr>
            <w:r>
              <w:rPr>
                <w:rFonts w:hint="eastAsia" w:ascii="Times New Roman" w:hAnsi="Times New Roman" w:eastAsia="Times New Roman"/>
                <w:color w:val="auto"/>
                <w:sz w:val="21"/>
                <w:szCs w:val="24"/>
                <w:highlight w:val="none"/>
                <w:u w:val="single"/>
              </w:rPr>
              <w:t xml:space="preserve"> </w:t>
            </w:r>
            <w:r>
              <w:rPr>
                <w:rFonts w:hint="eastAsia" w:eastAsia="宋体"/>
                <w:color w:val="auto"/>
                <w:sz w:val="21"/>
                <w:szCs w:val="24"/>
                <w:highlight w:val="none"/>
                <w:u w:val="single"/>
                <w:lang w:val="en-US" w:eastAsia="zh-CN"/>
              </w:rPr>
              <w:t xml:space="preserve">/ </w:t>
            </w:r>
            <w:r>
              <w:rPr>
                <w:rFonts w:hint="default" w:ascii="宋体" w:hAnsi="宋体" w:eastAsia="宋体"/>
                <w:color w:val="auto"/>
                <w:sz w:val="21"/>
                <w:szCs w:val="24"/>
                <w:highlight w:val="none"/>
              </w:rPr>
              <w:t>年</w:t>
            </w:r>
            <w:r>
              <w:rPr>
                <w:rFonts w:hint="eastAsia" w:ascii="宋体" w:hAnsi="宋体"/>
                <w:color w:val="auto"/>
                <w:sz w:val="21"/>
                <w:szCs w:val="24"/>
                <w:highlight w:val="none"/>
                <w:lang w:val="en-US" w:eastAsia="zh-CN"/>
              </w:rPr>
              <w:t xml:space="preserve"> </w:t>
            </w:r>
            <w:r>
              <w:rPr>
                <w:rFonts w:hint="eastAsia" w:eastAsia="宋体"/>
                <w:color w:val="auto"/>
                <w:sz w:val="21"/>
                <w:szCs w:val="24"/>
                <w:highlight w:val="none"/>
                <w:u w:val="single"/>
                <w:lang w:val="en-US" w:eastAsia="zh-CN"/>
              </w:rPr>
              <w:t xml:space="preserve">/ </w:t>
            </w:r>
            <w:r>
              <w:rPr>
                <w:rFonts w:hint="default" w:ascii="宋体" w:hAnsi="宋体" w:eastAsia="宋体"/>
                <w:color w:val="auto"/>
                <w:sz w:val="21"/>
                <w:szCs w:val="24"/>
                <w:highlight w:val="none"/>
              </w:rPr>
              <w:t>月</w:t>
            </w:r>
            <w:r>
              <w:rPr>
                <w:rFonts w:hint="eastAsia" w:ascii="宋体" w:hAnsi="宋体"/>
                <w:color w:val="auto"/>
                <w:sz w:val="21"/>
                <w:szCs w:val="24"/>
                <w:highlight w:val="none"/>
                <w:lang w:val="en-US" w:eastAsia="zh-CN"/>
              </w:rPr>
              <w:t xml:space="preserve"> </w:t>
            </w:r>
            <w:r>
              <w:rPr>
                <w:rFonts w:hint="eastAsia" w:eastAsia="宋体"/>
                <w:color w:val="auto"/>
                <w:sz w:val="21"/>
                <w:szCs w:val="24"/>
                <w:highlight w:val="none"/>
                <w:u w:val="single"/>
                <w:lang w:val="en-US" w:eastAsia="zh-CN"/>
              </w:rPr>
              <w:t xml:space="preserve">/ </w:t>
            </w:r>
            <w:r>
              <w:rPr>
                <w:rFonts w:hint="default" w:ascii="宋体" w:hAnsi="宋体" w:eastAsia="宋体"/>
                <w:color w:val="auto"/>
                <w:sz w:val="21"/>
                <w:szCs w:val="24"/>
                <w:highlight w:val="none"/>
              </w:rPr>
              <w:t>日至</w:t>
            </w:r>
            <w:r>
              <w:rPr>
                <w:rFonts w:hint="default" w:ascii="宋体" w:hAnsi="宋体" w:eastAsia="宋体"/>
                <w:color w:val="auto"/>
                <w:sz w:val="21"/>
                <w:szCs w:val="24"/>
                <w:highlight w:val="none"/>
                <w:lang w:eastAsia="zh-CN"/>
              </w:rPr>
              <w:t>今</w:t>
            </w:r>
          </w:p>
        </w:tc>
      </w:tr>
      <w:tr w14:paraId="505F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854B6E4">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3.6.1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906F5A3">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是否允许递交备选投标方案</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52B4B5E">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rPr>
            </w:pPr>
            <w:r>
              <w:rPr>
                <w:rFonts w:hint="eastAsia" w:ascii="仿宋" w:hAnsi="仿宋" w:eastAsia="仿宋" w:cs="仿宋"/>
                <w:color w:val="auto"/>
                <w:sz w:val="21"/>
                <w:szCs w:val="24"/>
                <w:highlight w:val="none"/>
              </w:rPr>
              <w:sym w:font="Wingdings 2" w:char="0052"/>
            </w:r>
            <w:r>
              <w:rPr>
                <w:rFonts w:hint="default" w:ascii="宋体" w:hAnsi="宋体" w:eastAsia="宋体"/>
                <w:color w:val="auto"/>
                <w:sz w:val="21"/>
                <w:szCs w:val="24"/>
                <w:highlight w:val="none"/>
              </w:rPr>
              <w:t>不允许</w:t>
            </w:r>
          </w:p>
          <w:p w14:paraId="27D565A9">
            <w:pPr>
              <w:pStyle w:val="29"/>
              <w:keepNext w:val="0"/>
              <w:keepLines w:val="0"/>
              <w:pageBreakBefore w:val="0"/>
              <w:widowControl w:val="0"/>
              <w:kinsoku w:val="0"/>
              <w:wordWrap/>
              <w:overflowPunct w:val="0"/>
              <w:topLinePunct w:val="0"/>
              <w:bidi w:val="0"/>
              <w:spacing w:line="312" w:lineRule="auto"/>
              <w:jc w:val="both"/>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允许</w:t>
            </w:r>
          </w:p>
        </w:tc>
      </w:tr>
      <w:tr w14:paraId="629D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10CD27C">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3.7.3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11D6C69">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投标文件签字或盖章要求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F50D401">
            <w:pPr>
              <w:keepNext w:val="0"/>
              <w:keepLines w:val="0"/>
              <w:pageBreakBefore w:val="0"/>
              <w:widowControl w:val="0"/>
              <w:wordWrap/>
              <w:topLinePunct w:val="0"/>
              <w:bidi w:val="0"/>
              <w:spacing w:line="312" w:lineRule="auto"/>
              <w:jc w:val="both"/>
              <w:textAlignment w:val="auto"/>
              <w:rPr>
                <w:rFonts w:hint="eastAsia" w:ascii="宋体" w:hAnsi="宋体"/>
                <w:color w:val="auto"/>
                <w:sz w:val="21"/>
                <w:szCs w:val="24"/>
                <w:highlight w:val="none"/>
                <w:lang w:eastAsia="zh-CN"/>
              </w:rPr>
            </w:pPr>
            <w:r>
              <w:rPr>
                <w:rFonts w:hint="default" w:ascii="宋体" w:hAnsi="宋体" w:eastAsia="宋体"/>
                <w:color w:val="auto"/>
                <w:sz w:val="21"/>
                <w:szCs w:val="24"/>
                <w:highlight w:val="none"/>
              </w:rPr>
              <w:t>投标文件格式规定需个人签字的，应签字或签章后扫描上传</w:t>
            </w:r>
            <w:r>
              <w:rPr>
                <w:rFonts w:hint="eastAsia"/>
                <w:color w:val="auto"/>
                <w:kern w:val="2"/>
                <w:sz w:val="21"/>
                <w:szCs w:val="21"/>
                <w:highlight w:val="none"/>
                <w:lang w:val="en-US" w:eastAsia="zh-CN"/>
              </w:rPr>
              <w:t>（</w:t>
            </w:r>
            <w:r>
              <w:rPr>
                <w:rFonts w:hint="default" w:ascii="Calibri" w:hAnsi="Calibri" w:eastAsia="宋体" w:cs="Times New Roman"/>
                <w:color w:val="auto"/>
                <w:kern w:val="2"/>
                <w:sz w:val="21"/>
                <w:szCs w:val="24"/>
                <w:highlight w:val="none"/>
                <w:lang w:val="en-US" w:eastAsia="zh-CN" w:bidi="ar-SA"/>
              </w:rPr>
              <w:t>可靠的电子签名与手写签名或者盖章具有同等的法律效力</w:t>
            </w:r>
            <w:r>
              <w:rPr>
                <w:rFonts w:hint="eastAsia"/>
                <w:color w:val="auto"/>
                <w:kern w:val="2"/>
                <w:sz w:val="21"/>
                <w:szCs w:val="21"/>
                <w:highlight w:val="none"/>
                <w:lang w:val="en-US" w:eastAsia="zh-CN"/>
              </w:rPr>
              <w:t>）</w:t>
            </w:r>
            <w:r>
              <w:rPr>
                <w:rFonts w:hint="default" w:ascii="宋体" w:hAnsi="宋体" w:eastAsia="宋体"/>
                <w:color w:val="auto"/>
                <w:sz w:val="21"/>
                <w:szCs w:val="24"/>
                <w:highlight w:val="none"/>
              </w:rPr>
              <w:t>。投标文件格式规定盖单位公章的页面必须盖单位公章（公章与电子公章具有相同法律效力）</w:t>
            </w:r>
            <w:r>
              <w:rPr>
                <w:rFonts w:hint="eastAsia" w:ascii="宋体" w:hAnsi="宋体"/>
                <w:color w:val="auto"/>
                <w:sz w:val="21"/>
                <w:szCs w:val="24"/>
                <w:highlight w:val="none"/>
                <w:lang w:eastAsia="zh-CN"/>
              </w:rPr>
              <w:t>。电子招投标操作流程详见广州公共资源交易中心网站发布的最新版操作指引。</w:t>
            </w:r>
          </w:p>
          <w:p w14:paraId="7C941130">
            <w:pPr>
              <w:keepNext w:val="0"/>
              <w:keepLines w:val="0"/>
              <w:pageBreakBefore w:val="0"/>
              <w:widowControl w:val="0"/>
              <w:wordWrap/>
              <w:topLinePunct w:val="0"/>
              <w:bidi w:val="0"/>
              <w:spacing w:line="312" w:lineRule="auto"/>
              <w:jc w:val="both"/>
              <w:textAlignment w:val="auto"/>
              <w:rPr>
                <w:rFonts w:hint="eastAsia" w:ascii="Times New Roman" w:hAnsi="Times New Roman" w:eastAsia="宋体"/>
                <w:color w:val="auto"/>
                <w:sz w:val="21"/>
                <w:szCs w:val="24"/>
                <w:highlight w:val="none"/>
                <w:lang w:val="en-US" w:eastAsia="zh-CN"/>
              </w:rPr>
            </w:pPr>
            <w:r>
              <w:rPr>
                <w:rFonts w:hint="eastAsia" w:ascii="宋体" w:hAnsi="宋体"/>
                <w:color w:val="auto"/>
                <w:sz w:val="21"/>
                <w:szCs w:val="24"/>
                <w:highlight w:val="none"/>
                <w:lang w:eastAsia="zh-CN"/>
              </w:rPr>
              <w:t>备注：</w:t>
            </w:r>
            <w:r>
              <w:rPr>
                <w:rFonts w:hint="eastAsia" w:ascii="宋体" w:hAnsi="宋体"/>
                <w:color w:val="auto"/>
                <w:sz w:val="21"/>
                <w:highlight w:val="none"/>
                <w:lang w:eastAsia="zh-CN"/>
              </w:rPr>
              <w:t>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或盖章的电子投标文件需提供主办方法定代表人证明书，若由联合体主办方法定代表人授权签字的电子投标文件需提供法定代表人证明书及其授权委托书、授权委托人身份证扫描件。</w:t>
            </w:r>
          </w:p>
        </w:tc>
      </w:tr>
      <w:tr w14:paraId="00B8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CACD7B6">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4.2.1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93E1FC1">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投标截止时间</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BE6C538">
            <w:pPr>
              <w:keepNext w:val="0"/>
              <w:keepLines w:val="0"/>
              <w:pageBreakBefore w:val="0"/>
              <w:widowControl w:val="0"/>
              <w:wordWrap/>
              <w:topLinePunct w:val="0"/>
              <w:bidi w:val="0"/>
              <w:spacing w:before="62" w:beforeLines="20" w:after="62" w:afterLines="20" w:line="312" w:lineRule="auto"/>
              <w:ind w:left="48" w:leftChars="20" w:right="48" w:rightChars="20"/>
              <w:textAlignment w:val="auto"/>
              <w:rPr>
                <w:rFonts w:hint="eastAsia" w:ascii="Times New Roman" w:hAnsi="Times New Roman" w:eastAsia="Times New Roman"/>
                <w:color w:val="auto"/>
                <w:sz w:val="21"/>
                <w:szCs w:val="24"/>
                <w:highlight w:val="none"/>
              </w:rPr>
            </w:pPr>
            <w:r>
              <w:rPr>
                <w:rFonts w:hint="eastAsia" w:ascii="宋体"/>
                <w:color w:val="auto"/>
                <w:sz w:val="21"/>
                <w:highlight w:val="none"/>
              </w:rPr>
              <w:t>具体时间以广州公共资源交易中心公布的为准。</w:t>
            </w:r>
          </w:p>
        </w:tc>
      </w:tr>
      <w:tr w14:paraId="3C44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FF80A9F">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4.2.2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09FC5FF">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递交投标文件时间和地点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34BE1CD">
            <w:pPr>
              <w:keepNext w:val="0"/>
              <w:keepLines w:val="0"/>
              <w:pageBreakBefore w:val="0"/>
              <w:widowControl w:val="0"/>
              <w:numPr>
                <w:ilvl w:val="0"/>
                <w:numId w:val="1"/>
              </w:numPr>
              <w:wordWrap/>
              <w:topLinePunct w:val="0"/>
              <w:autoSpaceDE/>
              <w:autoSpaceDN/>
              <w:bidi w:val="0"/>
              <w:adjustRightInd/>
              <w:snapToGrid w:val="0"/>
              <w:spacing w:line="312" w:lineRule="auto"/>
              <w:textAlignment w:val="auto"/>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递交方式：网上递交投标文件</w:t>
            </w:r>
          </w:p>
          <w:p w14:paraId="7CD93B0E">
            <w:pPr>
              <w:keepNext w:val="0"/>
              <w:keepLines w:val="0"/>
              <w:pageBreakBefore w:val="0"/>
              <w:widowControl w:val="0"/>
              <w:numPr>
                <w:ilvl w:val="0"/>
                <w:numId w:val="1"/>
              </w:numPr>
              <w:wordWrap/>
              <w:topLinePunct w:val="0"/>
              <w:autoSpaceDE/>
              <w:autoSpaceDN/>
              <w:bidi w:val="0"/>
              <w:adjustRightInd/>
              <w:snapToGrid w:val="0"/>
              <w:spacing w:line="312" w:lineRule="auto"/>
              <w:textAlignment w:val="auto"/>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文件的递交截止时间：同投标截止时间。</w:t>
            </w:r>
          </w:p>
          <w:p w14:paraId="022239EA">
            <w:pPr>
              <w:keepNext w:val="0"/>
              <w:keepLines w:val="0"/>
              <w:pageBreakBefore w:val="0"/>
              <w:widowControl w:val="0"/>
              <w:numPr>
                <w:ilvl w:val="0"/>
                <w:numId w:val="1"/>
              </w:numPr>
              <w:wordWrap/>
              <w:topLinePunct w:val="0"/>
              <w:autoSpaceDE/>
              <w:autoSpaceDN/>
              <w:bidi w:val="0"/>
              <w:adjustRightInd/>
              <w:snapToGrid w:val="0"/>
              <w:spacing w:line="312" w:lineRule="auto"/>
              <w:textAlignment w:val="auto"/>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地点：广州公共资源交易中心网站</w:t>
            </w:r>
          </w:p>
          <w:p w14:paraId="23FAE7CF">
            <w:pPr>
              <w:keepNext w:val="0"/>
              <w:keepLines w:val="0"/>
              <w:pageBreakBefore w:val="0"/>
              <w:widowControl w:val="0"/>
              <w:wordWrap/>
              <w:topLinePunct w:val="0"/>
              <w:bidi w:val="0"/>
              <w:spacing w:before="48" w:beforeLines="20" w:after="48" w:afterLines="20" w:line="312" w:lineRule="auto"/>
              <w:ind w:left="48" w:leftChars="20" w:right="48" w:rightChars="20"/>
              <w:textAlignment w:val="auto"/>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上述时间及地点是否有改变，请密切留意招标答疑纪要或广州公共资源交易中心网站日程安排的相关信息。</w:t>
            </w:r>
          </w:p>
          <w:p w14:paraId="713ADC7F">
            <w:pPr>
              <w:keepNext w:val="0"/>
              <w:keepLines w:val="0"/>
              <w:pageBreakBefore w:val="0"/>
              <w:widowControl w:val="0"/>
              <w:wordWrap/>
              <w:topLinePunct w:val="0"/>
              <w:bidi w:val="0"/>
              <w:spacing w:before="48" w:beforeLines="20" w:after="48" w:afterLines="20" w:line="312" w:lineRule="auto"/>
              <w:ind w:left="48" w:leftChars="20" w:right="48" w:rightChars="20"/>
              <w:textAlignment w:val="auto"/>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4、上述时间及地点是否有改变，请密切留意招标答疑纪要或广州公共资源交易中心网站日程安排的相关信息。</w:t>
            </w:r>
          </w:p>
        </w:tc>
      </w:tr>
      <w:tr w14:paraId="6A85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C02C44D">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5.1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697D454">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开标时间和地点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2C4E731">
            <w:pPr>
              <w:keepNext w:val="0"/>
              <w:keepLines w:val="0"/>
              <w:pageBreakBefore w:val="0"/>
              <w:widowControl w:val="0"/>
              <w:wordWrap/>
              <w:topLinePunct w:val="0"/>
              <w:bidi w:val="0"/>
              <w:spacing w:before="120" w:beforeLines="50" w:line="312" w:lineRule="auto"/>
              <w:textAlignment w:val="auto"/>
              <w:rPr>
                <w:color w:val="auto"/>
                <w:sz w:val="21"/>
                <w:szCs w:val="21"/>
                <w:highlight w:val="none"/>
              </w:rPr>
            </w:pPr>
            <w:r>
              <w:rPr>
                <w:color w:val="auto"/>
                <w:sz w:val="21"/>
                <w:szCs w:val="21"/>
                <w:highlight w:val="none"/>
              </w:rPr>
              <w:t>1</w:t>
            </w:r>
            <w:r>
              <w:rPr>
                <w:rFonts w:ascii="宋体"/>
                <w:color w:val="auto"/>
                <w:sz w:val="21"/>
                <w:szCs w:val="21"/>
                <w:highlight w:val="none"/>
              </w:rPr>
              <w:t>、开标时间：同投标截止时间</w:t>
            </w:r>
          </w:p>
          <w:p w14:paraId="0BD06EE0">
            <w:pPr>
              <w:keepNext w:val="0"/>
              <w:keepLines w:val="0"/>
              <w:pageBreakBefore w:val="0"/>
              <w:widowControl w:val="0"/>
              <w:wordWrap/>
              <w:topLinePunct w:val="0"/>
              <w:bidi w:val="0"/>
              <w:spacing w:before="174" w:line="312" w:lineRule="auto"/>
              <w:textAlignment w:val="auto"/>
              <w:rPr>
                <w:rFonts w:ascii="宋体" w:hAnsi="宋体" w:cs="宋体"/>
                <w:color w:val="auto"/>
                <w:sz w:val="21"/>
                <w:szCs w:val="21"/>
                <w:highlight w:val="none"/>
              </w:rPr>
            </w:pPr>
            <w:r>
              <w:rPr>
                <w:rFonts w:ascii="宋体" w:hAnsi="宋体" w:cs="宋体"/>
                <w:color w:val="auto"/>
                <w:sz w:val="21"/>
                <w:szCs w:val="21"/>
                <w:highlight w:val="none"/>
              </w:rPr>
              <w:t>2、开标地点：</w:t>
            </w:r>
            <w:r>
              <w:rPr>
                <w:rFonts w:hint="eastAsia" w:ascii="宋体" w:hAnsi="宋体" w:cs="宋体"/>
                <w:color w:val="auto"/>
                <w:sz w:val="21"/>
                <w:szCs w:val="21"/>
                <w:highlight w:val="none"/>
              </w:rPr>
              <w:t>广州交易集团有限公司（广州公共资源交易中心）</w:t>
            </w:r>
            <w:r>
              <w:rPr>
                <w:rFonts w:hint="eastAsia" w:ascii="宋体" w:hAnsi="宋体" w:cs="宋体"/>
                <w:color w:val="auto"/>
                <w:sz w:val="21"/>
                <w:szCs w:val="21"/>
                <w:highlight w:val="none"/>
                <w:lang w:val="en-US" w:eastAsia="zh-CN"/>
              </w:rPr>
              <w:t>南沙</w:t>
            </w:r>
            <w:r>
              <w:rPr>
                <w:rFonts w:hint="eastAsia" w:ascii="宋体" w:hAnsi="宋体" w:cs="宋体"/>
                <w:color w:val="auto"/>
                <w:sz w:val="21"/>
                <w:szCs w:val="21"/>
                <w:highlight w:val="none"/>
                <w:lang w:eastAsia="zh-CN"/>
              </w:rPr>
              <w:t>交易部</w:t>
            </w:r>
            <w:r>
              <w:rPr>
                <w:rFonts w:ascii="宋体" w:hAnsi="宋体" w:cs="宋体"/>
                <w:color w:val="auto"/>
                <w:sz w:val="21"/>
                <w:szCs w:val="21"/>
                <w:highlight w:val="none"/>
              </w:rPr>
              <w:t>开标</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rPr>
              <w:t>室</w:t>
            </w:r>
          </w:p>
          <w:p w14:paraId="0AF3B03E">
            <w:pPr>
              <w:keepNext w:val="0"/>
              <w:keepLines w:val="0"/>
              <w:pageBreakBefore w:val="0"/>
              <w:widowControl w:val="0"/>
              <w:wordWrap/>
              <w:topLinePunct w:val="0"/>
              <w:bidi w:val="0"/>
              <w:spacing w:before="120" w:beforeLines="50" w:line="312" w:lineRule="auto"/>
              <w:contextualSpacing/>
              <w:textAlignment w:val="auto"/>
              <w:rPr>
                <w:color w:val="auto"/>
                <w:sz w:val="21"/>
                <w:szCs w:val="18"/>
                <w:highlight w:val="none"/>
              </w:rPr>
            </w:pPr>
            <w:r>
              <w:rPr>
                <w:rFonts w:hint="eastAsia"/>
                <w:color w:val="auto"/>
                <w:sz w:val="21"/>
                <w:szCs w:val="18"/>
                <w:highlight w:val="none"/>
              </w:rPr>
              <w:t>3、递交投标文件备用光盘时间：</w:t>
            </w:r>
            <w:r>
              <w:rPr>
                <w:rFonts w:hint="eastAsia"/>
                <w:color w:val="auto"/>
                <w:sz w:val="21"/>
                <w:szCs w:val="18"/>
                <w:highlight w:val="none"/>
                <w:lang w:val="en-US" w:eastAsia="zh-CN"/>
              </w:rPr>
              <w:t>2025</w:t>
            </w:r>
            <w:r>
              <w:rPr>
                <w:rFonts w:hint="eastAsia"/>
                <w:color w:val="auto"/>
                <w:sz w:val="21"/>
                <w:szCs w:val="18"/>
                <w:highlight w:val="none"/>
              </w:rPr>
              <w:t>年____月____日____时____分至</w:t>
            </w:r>
            <w:r>
              <w:rPr>
                <w:rFonts w:hint="eastAsia"/>
                <w:color w:val="auto"/>
                <w:sz w:val="21"/>
                <w:szCs w:val="18"/>
                <w:highlight w:val="none"/>
                <w:lang w:val="en-US" w:eastAsia="zh-CN"/>
              </w:rPr>
              <w:t>2025</w:t>
            </w:r>
            <w:r>
              <w:rPr>
                <w:rFonts w:hint="eastAsia"/>
                <w:color w:val="auto"/>
                <w:sz w:val="21"/>
                <w:szCs w:val="18"/>
                <w:highlight w:val="none"/>
              </w:rPr>
              <w:t>年____月____日____时____分；递交地点：</w:t>
            </w:r>
            <w:r>
              <w:rPr>
                <w:rFonts w:hint="eastAsia" w:ascii="宋体" w:hAnsi="宋体" w:cs="宋体"/>
                <w:color w:val="auto"/>
                <w:sz w:val="21"/>
                <w:szCs w:val="21"/>
                <w:highlight w:val="none"/>
              </w:rPr>
              <w:t>广州交易集团有限公司（广州公共资源交易中心）</w:t>
            </w:r>
            <w:r>
              <w:rPr>
                <w:rFonts w:hint="eastAsia" w:ascii="宋体" w:hAnsi="宋体" w:cs="宋体"/>
                <w:color w:val="auto"/>
                <w:sz w:val="21"/>
                <w:szCs w:val="21"/>
                <w:highlight w:val="none"/>
                <w:lang w:val="en-US" w:eastAsia="zh-CN"/>
              </w:rPr>
              <w:t>南沙</w:t>
            </w:r>
            <w:r>
              <w:rPr>
                <w:rFonts w:hint="eastAsia" w:ascii="宋体" w:hAnsi="宋体" w:cs="宋体"/>
                <w:color w:val="auto"/>
                <w:sz w:val="21"/>
                <w:szCs w:val="21"/>
                <w:highlight w:val="none"/>
                <w:lang w:eastAsia="zh-CN"/>
              </w:rPr>
              <w:t>交易部</w:t>
            </w:r>
            <w:r>
              <w:rPr>
                <w:rFonts w:ascii="宋体" w:hAnsi="宋体" w:cs="宋体"/>
                <w:color w:val="auto"/>
                <w:sz w:val="21"/>
                <w:szCs w:val="21"/>
                <w:highlight w:val="none"/>
              </w:rPr>
              <w:t>开标</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rPr>
              <w:t>室</w:t>
            </w:r>
            <w:r>
              <w:rPr>
                <w:rFonts w:hint="eastAsia"/>
                <w:color w:val="auto"/>
                <w:sz w:val="21"/>
                <w:szCs w:val="18"/>
                <w:highlight w:val="none"/>
              </w:rPr>
              <w:t>。(建议安排在投标文件截止时间前 15 分钟至投标文件截止时间）</w:t>
            </w:r>
          </w:p>
          <w:p w14:paraId="03A92778">
            <w:pPr>
              <w:keepNext w:val="0"/>
              <w:keepLines w:val="0"/>
              <w:pageBreakBefore w:val="0"/>
              <w:widowControl w:val="0"/>
              <w:wordWrap/>
              <w:topLinePunct w:val="0"/>
              <w:bidi w:val="0"/>
              <w:spacing w:before="120" w:beforeLines="50" w:line="312" w:lineRule="auto"/>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4、提交投标文件光盘备用</w:t>
            </w:r>
          </w:p>
          <w:p w14:paraId="2193E106">
            <w:pPr>
              <w:keepNext w:val="0"/>
              <w:keepLines w:val="0"/>
              <w:pageBreakBefore w:val="0"/>
              <w:widowControl w:val="0"/>
              <w:wordWrap/>
              <w:topLinePunct w:val="0"/>
              <w:bidi w:val="0"/>
              <w:spacing w:before="120" w:beforeLines="50" w:line="312" w:lineRule="auto"/>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投标人可制作非加密的电子投标文件（PDF 格式）刻入光盘（1份），在投标须知前附表规定的时间、地点</w:t>
            </w:r>
            <w:r>
              <w:rPr>
                <w:rFonts w:hint="eastAsia" w:ascii="宋体" w:hAnsi="宋体" w:cs="宋体"/>
                <w:color w:val="auto"/>
                <w:sz w:val="21"/>
                <w:szCs w:val="21"/>
                <w:highlight w:val="none"/>
                <w:u w:val="single"/>
              </w:rPr>
              <w:t>凭法定代表人证明书原件、法定代表人授权委托证明书原件（非法定代表人办理手续时提供）、本人身份证原件</w:t>
            </w:r>
            <w:r>
              <w:rPr>
                <w:rFonts w:hint="eastAsia" w:ascii="宋体" w:hAnsi="宋体" w:cs="宋体"/>
                <w:color w:val="auto"/>
                <w:sz w:val="21"/>
                <w:szCs w:val="21"/>
                <w:highlight w:val="none"/>
              </w:rPr>
              <w:t>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56248011">
            <w:pPr>
              <w:keepNext w:val="0"/>
              <w:keepLines w:val="0"/>
              <w:pageBreakBefore w:val="0"/>
              <w:widowControl w:val="0"/>
              <w:wordWrap/>
              <w:topLinePunct w:val="0"/>
              <w:bidi w:val="0"/>
              <w:spacing w:before="120" w:beforeLines="50" w:line="312" w:lineRule="auto"/>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5、补救方案</w:t>
            </w:r>
          </w:p>
          <w:p w14:paraId="44360295">
            <w:pPr>
              <w:keepNext w:val="0"/>
              <w:keepLines w:val="0"/>
              <w:pageBreakBefore w:val="0"/>
              <w:widowControl w:val="0"/>
              <w:wordWrap/>
              <w:topLinePunct w:val="0"/>
              <w:bidi w:val="0"/>
              <w:spacing w:before="120" w:beforeLines="50" w:line="312" w:lineRule="auto"/>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（1）投标文件解密失败的补救方案：</w:t>
            </w:r>
          </w:p>
          <w:p w14:paraId="2324A468">
            <w:pPr>
              <w:keepNext w:val="0"/>
              <w:keepLines w:val="0"/>
              <w:pageBreakBefore w:val="0"/>
              <w:widowControl w:val="0"/>
              <w:wordWrap/>
              <w:topLinePunct w:val="0"/>
              <w:bidi w:val="0"/>
              <w:spacing w:before="120" w:beforeLines="50" w:line="312" w:lineRule="auto"/>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FCFDFCB">
            <w:pPr>
              <w:keepNext w:val="0"/>
              <w:keepLines w:val="0"/>
              <w:pageBreakBefore w:val="0"/>
              <w:widowControl w:val="0"/>
              <w:wordWrap/>
              <w:topLinePunct w:val="0"/>
              <w:bidi w:val="0"/>
              <w:spacing w:before="120" w:beforeLines="50" w:line="312" w:lineRule="auto"/>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（2）评标时突发情况的补救方案</w:t>
            </w:r>
          </w:p>
          <w:p w14:paraId="66047F13">
            <w:pPr>
              <w:keepNext w:val="0"/>
              <w:keepLines w:val="0"/>
              <w:pageBreakBefore w:val="0"/>
              <w:widowControl w:val="0"/>
              <w:wordWrap/>
              <w:topLinePunct w:val="0"/>
              <w:bidi w:val="0"/>
              <w:spacing w:before="120" w:beforeLines="50" w:line="312" w:lineRule="auto"/>
              <w:contextualSpacing/>
              <w:textAlignment w:val="auto"/>
              <w:rPr>
                <w:rFonts w:ascii="宋体" w:hAnsi="宋体" w:cs="宋体"/>
                <w:color w:val="auto"/>
                <w:sz w:val="21"/>
                <w:szCs w:val="21"/>
                <w:highlight w:val="none"/>
              </w:rPr>
            </w:pPr>
            <w:r>
              <w:rPr>
                <w:rFonts w:hint="eastAsia" w:ascii="宋体" w:hAnsi="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14:paraId="23E5DA49">
            <w:pPr>
              <w:keepNext w:val="0"/>
              <w:keepLines w:val="0"/>
              <w:pageBreakBefore w:val="0"/>
              <w:widowControl w:val="0"/>
              <w:wordWrap/>
              <w:topLinePunct w:val="0"/>
              <w:bidi w:val="0"/>
              <w:spacing w:before="120" w:beforeLines="50" w:line="312" w:lineRule="auto"/>
              <w:contextualSpacing/>
              <w:textAlignment w:val="auto"/>
              <w:rPr>
                <w:rFonts w:ascii="Calibri" w:hAnsi="Calibri"/>
                <w:color w:val="auto"/>
                <w:kern w:val="2"/>
                <w:sz w:val="21"/>
                <w:szCs w:val="21"/>
                <w:highlight w:val="none"/>
              </w:rPr>
            </w:pPr>
            <w:r>
              <w:rPr>
                <w:rFonts w:hint="eastAsia" w:ascii="宋体" w:hAnsi="宋体" w:cs="宋体"/>
                <w:color w:val="auto"/>
                <w:sz w:val="21"/>
                <w:szCs w:val="21"/>
                <w:highlight w:val="none"/>
              </w:rPr>
              <w:t>（3）除发生上述情况外，开标评标均以投标人通过交易平台网上递交的电子投标文件为准。</w:t>
            </w:r>
          </w:p>
          <w:p w14:paraId="539E067A">
            <w:pPr>
              <w:keepNext w:val="0"/>
              <w:keepLines w:val="0"/>
              <w:pageBreakBefore w:val="0"/>
              <w:widowControl w:val="0"/>
              <w:wordWrap/>
              <w:topLinePunct w:val="0"/>
              <w:bidi w:val="0"/>
              <w:spacing w:before="174" w:line="312" w:lineRule="auto"/>
              <w:textAlignment w:val="auto"/>
              <w:rPr>
                <w:color w:val="auto"/>
                <w:sz w:val="21"/>
                <w:szCs w:val="21"/>
                <w:highlight w:val="none"/>
              </w:rPr>
            </w:pPr>
            <w:r>
              <w:rPr>
                <w:rFonts w:hint="eastAsia" w:ascii="Calibri" w:hAnsi="Calibri"/>
                <w:color w:val="auto"/>
                <w:kern w:val="2"/>
                <w:sz w:val="21"/>
                <w:szCs w:val="21"/>
                <w:highlight w:val="none"/>
              </w:rPr>
              <w:t>开标时，投标人代表有权参加现场开标或在线开标，也可以自主决定不参加开标</w:t>
            </w:r>
            <w:r>
              <w:rPr>
                <w:rFonts w:hint="eastAsia"/>
                <w:color w:val="auto"/>
                <w:kern w:val="2"/>
                <w:sz w:val="21"/>
                <w:szCs w:val="21"/>
                <w:highlight w:val="none"/>
              </w:rPr>
              <w:t>，</w:t>
            </w:r>
            <w:r>
              <w:rPr>
                <w:rFonts w:hint="eastAsia"/>
                <w:color w:val="auto"/>
                <w:sz w:val="21"/>
                <w:szCs w:val="21"/>
                <w:highlight w:val="none"/>
              </w:rPr>
              <w:t>投标人选择参加在线开标的，具体按照交易平台相关指南进行操作。</w:t>
            </w:r>
          </w:p>
          <w:p w14:paraId="79B97EF7">
            <w:pPr>
              <w:keepNext w:val="0"/>
              <w:keepLines w:val="0"/>
              <w:pageBreakBefore w:val="0"/>
              <w:widowControl w:val="0"/>
              <w:numPr>
                <w:ilvl w:val="0"/>
                <w:numId w:val="2"/>
              </w:numPr>
              <w:wordWrap/>
              <w:topLinePunct w:val="0"/>
              <w:bidi w:val="0"/>
              <w:spacing w:before="174" w:line="312" w:lineRule="auto"/>
              <w:textAlignment w:val="auto"/>
              <w:rPr>
                <w:rFonts w:hint="eastAsia"/>
                <w:color w:val="auto"/>
                <w:sz w:val="21"/>
                <w:szCs w:val="21"/>
                <w:highlight w:val="none"/>
              </w:rPr>
            </w:pPr>
            <w:r>
              <w:rPr>
                <w:rFonts w:hint="eastAsia"/>
                <w:color w:val="auto"/>
                <w:sz w:val="21"/>
                <w:szCs w:val="21"/>
                <w:highlight w:val="none"/>
              </w:rPr>
              <w:t>上述时</w:t>
            </w:r>
            <w:r>
              <w:rPr>
                <w:rFonts w:hint="eastAsia" w:ascii="宋体" w:hAnsi="宋体" w:cs="宋体"/>
                <w:color w:val="auto"/>
                <w:sz w:val="21"/>
                <w:szCs w:val="21"/>
                <w:highlight w:val="none"/>
              </w:rPr>
              <w:t>间</w:t>
            </w:r>
            <w:r>
              <w:rPr>
                <w:rFonts w:hint="eastAsia"/>
                <w:color w:val="auto"/>
                <w:sz w:val="21"/>
                <w:szCs w:val="21"/>
                <w:highlight w:val="none"/>
              </w:rPr>
              <w:t>及地点是否有改变，请密切留意补充公告或招标答疑纪要的相关信息。</w:t>
            </w:r>
          </w:p>
        </w:tc>
      </w:tr>
      <w:tr w14:paraId="0C4A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0C2B3F1">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6.1.1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E1B935C">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评标委员会的组建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D63AF2D">
            <w:pPr>
              <w:keepNext w:val="0"/>
              <w:keepLines w:val="0"/>
              <w:pageBreakBefore w:val="0"/>
              <w:widowControl w:val="0"/>
              <w:wordWrap/>
              <w:topLinePunct w:val="0"/>
              <w:bidi w:val="0"/>
              <w:spacing w:line="312" w:lineRule="auto"/>
              <w:textAlignment w:val="auto"/>
              <w:rPr>
                <w:rFonts w:hint="eastAsia" w:eastAsia="宋体"/>
                <w:color w:val="auto"/>
                <w:sz w:val="21"/>
                <w:szCs w:val="21"/>
                <w:highlight w:val="none"/>
              </w:rPr>
            </w:pPr>
            <w:r>
              <w:rPr>
                <w:rFonts w:hint="default" w:eastAsia="宋体"/>
                <w:color w:val="auto"/>
                <w:sz w:val="21"/>
                <w:szCs w:val="21"/>
                <w:highlight w:val="none"/>
                <w:lang w:eastAsia="zh-CN"/>
              </w:rPr>
              <w:t>由</w:t>
            </w:r>
            <w:r>
              <w:rPr>
                <w:rFonts w:hint="default" w:eastAsia="宋体"/>
                <w:color w:val="auto"/>
                <w:sz w:val="21"/>
                <w:szCs w:val="21"/>
                <w:highlight w:val="none"/>
              </w:rPr>
              <w:t>招标人依法组建</w:t>
            </w:r>
            <w:r>
              <w:rPr>
                <w:rFonts w:hint="default" w:eastAsia="宋体"/>
                <w:color w:val="auto"/>
                <w:sz w:val="21"/>
                <w:szCs w:val="21"/>
                <w:highlight w:val="none"/>
                <w:lang w:eastAsia="zh-CN"/>
              </w:rPr>
              <w:t>，</w:t>
            </w:r>
            <w:r>
              <w:rPr>
                <w:rFonts w:hint="default" w:eastAsia="宋体"/>
                <w:color w:val="auto"/>
                <w:sz w:val="21"/>
                <w:szCs w:val="21"/>
                <w:highlight w:val="none"/>
              </w:rPr>
              <w:t>从广东省综合评标专家库中随机抽取。</w:t>
            </w:r>
          </w:p>
        </w:tc>
      </w:tr>
      <w:tr w14:paraId="23D6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3886D45">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6.3.2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567A624">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评标委员会推荐中标候选人的人数</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C814201">
            <w:pPr>
              <w:keepNext w:val="0"/>
              <w:keepLines w:val="0"/>
              <w:pageBreakBefore w:val="0"/>
              <w:widowControl w:val="0"/>
              <w:wordWrap/>
              <w:topLinePunct w:val="0"/>
              <w:bidi w:val="0"/>
              <w:spacing w:line="312" w:lineRule="auto"/>
              <w:ind w:firstLine="210" w:firstLineChars="100"/>
              <w:jc w:val="both"/>
              <w:textAlignment w:val="auto"/>
              <w:rPr>
                <w:rFonts w:hint="default" w:ascii="Times New Roman" w:hAnsi="Times New Roman" w:eastAsia="Times New Roman"/>
                <w:color w:val="auto"/>
                <w:sz w:val="21"/>
                <w:szCs w:val="24"/>
                <w:highlight w:val="none"/>
                <w:lang w:val="en-US" w:eastAsia="zh-CN"/>
              </w:rPr>
            </w:pPr>
            <w:r>
              <w:rPr>
                <w:rFonts w:hint="eastAsia" w:eastAsia="Times New Roman"/>
                <w:color w:val="auto"/>
                <w:sz w:val="21"/>
                <w:szCs w:val="24"/>
                <w:highlight w:val="none"/>
                <w:lang w:val="en-US" w:eastAsia="zh-CN"/>
              </w:rPr>
              <w:t>3人</w:t>
            </w:r>
          </w:p>
        </w:tc>
      </w:tr>
      <w:tr w14:paraId="20CA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D247F99">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7.1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9715B8C">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中标候选人公示媒介及期限</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DDADB4C">
            <w:pPr>
              <w:keepNext w:val="0"/>
              <w:keepLines w:val="0"/>
              <w:pageBreakBefore w:val="0"/>
              <w:widowControl w:val="0"/>
              <w:wordWrap/>
              <w:topLinePunct w:val="0"/>
              <w:bidi w:val="0"/>
              <w:spacing w:line="312" w:lineRule="auto"/>
              <w:textAlignment w:val="auto"/>
              <w:rPr>
                <w:rFonts w:hint="default"/>
                <w:color w:val="auto"/>
                <w:sz w:val="21"/>
                <w:szCs w:val="21"/>
                <w:highlight w:val="none"/>
              </w:rPr>
            </w:pPr>
            <w:r>
              <w:rPr>
                <w:rFonts w:hint="default"/>
                <w:color w:val="auto"/>
                <w:sz w:val="21"/>
                <w:szCs w:val="21"/>
                <w:highlight w:val="none"/>
              </w:rPr>
              <w:t>公示媒介：广州交易集团有限公司（广州公共资源交易中心）网和广东省招标投标监管网和中国招标投标公共服务平台发布</w:t>
            </w:r>
          </w:p>
          <w:p w14:paraId="66BF43F6">
            <w:pPr>
              <w:keepNext w:val="0"/>
              <w:keepLines w:val="0"/>
              <w:pageBreakBefore w:val="0"/>
              <w:widowControl w:val="0"/>
              <w:wordWrap/>
              <w:topLinePunct w:val="0"/>
              <w:bidi w:val="0"/>
              <w:spacing w:line="312" w:lineRule="auto"/>
              <w:textAlignment w:val="auto"/>
              <w:rPr>
                <w:rFonts w:hint="eastAsia" w:ascii="Times New Roman" w:hAnsi="Times New Roman" w:eastAsia="Times New Roman"/>
                <w:color w:val="auto"/>
                <w:sz w:val="21"/>
                <w:szCs w:val="24"/>
                <w:highlight w:val="none"/>
              </w:rPr>
            </w:pPr>
            <w:r>
              <w:rPr>
                <w:rFonts w:hint="default"/>
                <w:color w:val="auto"/>
                <w:sz w:val="21"/>
                <w:szCs w:val="21"/>
                <w:highlight w:val="none"/>
              </w:rPr>
              <w:t>公示期限：</w:t>
            </w:r>
            <w:r>
              <w:rPr>
                <w:rFonts w:hint="default"/>
                <w:color w:val="auto"/>
                <w:sz w:val="21"/>
                <w:szCs w:val="21"/>
                <w:highlight w:val="none"/>
                <w:lang w:eastAsia="zh-CN"/>
              </w:rPr>
              <w:t>不少于</w:t>
            </w:r>
            <w:r>
              <w:rPr>
                <w:rFonts w:hint="default"/>
                <w:color w:val="auto"/>
                <w:sz w:val="21"/>
                <w:szCs w:val="21"/>
                <w:highlight w:val="none"/>
                <w:lang w:val="en-US" w:eastAsia="zh-CN"/>
              </w:rPr>
              <w:t>3</w:t>
            </w:r>
            <w:r>
              <w:rPr>
                <w:rFonts w:hint="default"/>
                <w:color w:val="auto"/>
                <w:sz w:val="21"/>
                <w:szCs w:val="21"/>
                <w:highlight w:val="none"/>
              </w:rPr>
              <w:t>日</w:t>
            </w:r>
            <w:r>
              <w:rPr>
                <w:rFonts w:hint="default"/>
                <w:color w:val="auto"/>
                <w:sz w:val="21"/>
                <w:szCs w:val="21"/>
                <w:highlight w:val="none"/>
                <w:lang w:eastAsia="zh-CN"/>
              </w:rPr>
              <w:t>（</w:t>
            </w:r>
            <w:r>
              <w:rPr>
                <w:rFonts w:hint="default"/>
                <w:color w:val="auto"/>
                <w:sz w:val="21"/>
                <w:szCs w:val="21"/>
                <w:highlight w:val="none"/>
              </w:rPr>
              <w:t>最后一天应为工作日</w:t>
            </w:r>
            <w:r>
              <w:rPr>
                <w:rFonts w:hint="default"/>
                <w:color w:val="auto"/>
                <w:sz w:val="21"/>
                <w:szCs w:val="21"/>
                <w:highlight w:val="none"/>
                <w:lang w:eastAsia="zh-CN"/>
              </w:rPr>
              <w:t>）</w:t>
            </w:r>
          </w:p>
        </w:tc>
      </w:tr>
      <w:tr w14:paraId="5144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9CB142A">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7.4</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D3D5425">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是否授权评标委员会确定中标人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BFB3960">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是</w:t>
            </w:r>
          </w:p>
          <w:p w14:paraId="4EA3F857">
            <w:pPr>
              <w:pStyle w:val="29"/>
              <w:keepNext w:val="0"/>
              <w:keepLines w:val="0"/>
              <w:pageBreakBefore w:val="0"/>
              <w:widowControl w:val="0"/>
              <w:kinsoku w:val="0"/>
              <w:wordWrap/>
              <w:overflowPunct w:val="0"/>
              <w:topLinePunct w:val="0"/>
              <w:bidi w:val="0"/>
              <w:spacing w:line="312" w:lineRule="auto"/>
              <w:jc w:val="both"/>
              <w:textAlignment w:val="auto"/>
              <w:rPr>
                <w:rFonts w:hint="eastAsia" w:ascii="Times New Roman" w:hAnsi="Times New Roman" w:eastAsia="Times New Roman"/>
                <w:color w:val="auto"/>
                <w:sz w:val="21"/>
                <w:szCs w:val="24"/>
                <w:highlight w:val="none"/>
              </w:rPr>
            </w:pPr>
            <w:r>
              <w:rPr>
                <w:rFonts w:hint="eastAsia" w:ascii="仿宋" w:hAnsi="仿宋" w:eastAsia="仿宋" w:cs="仿宋"/>
                <w:color w:val="auto"/>
                <w:sz w:val="21"/>
                <w:szCs w:val="24"/>
                <w:highlight w:val="none"/>
              </w:rPr>
              <w:sym w:font="Wingdings 2" w:char="0052"/>
            </w:r>
            <w:r>
              <w:rPr>
                <w:rFonts w:hint="default" w:ascii="宋体" w:hAnsi="宋体" w:eastAsia="宋体"/>
                <w:color w:val="auto"/>
                <w:sz w:val="21"/>
                <w:szCs w:val="24"/>
                <w:highlight w:val="none"/>
              </w:rPr>
              <w:t>否</w:t>
            </w:r>
          </w:p>
        </w:tc>
      </w:tr>
      <w:tr w14:paraId="1A19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50C00DA">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7.6.1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3CE74AA">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履约保证金</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4704000">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是否要求中标人提交履约保证金：</w:t>
            </w:r>
          </w:p>
          <w:p w14:paraId="2FF816F5">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不要求</w:t>
            </w:r>
          </w:p>
          <w:p w14:paraId="103AD156">
            <w:pPr>
              <w:pStyle w:val="29"/>
              <w:keepNext w:val="0"/>
              <w:keepLines w:val="0"/>
              <w:pageBreakBefore w:val="0"/>
              <w:widowControl w:val="0"/>
              <w:kinsoku w:val="0"/>
              <w:wordWrap/>
              <w:overflowPunct w:val="0"/>
              <w:topLinePunct w:val="0"/>
              <w:bidi w:val="0"/>
              <w:spacing w:line="312" w:lineRule="auto"/>
              <w:jc w:val="both"/>
              <w:textAlignment w:val="auto"/>
              <w:rPr>
                <w:rFonts w:hint="default" w:ascii="宋体" w:hAnsi="宋体" w:eastAsia="宋体"/>
                <w:color w:val="auto"/>
                <w:sz w:val="21"/>
                <w:szCs w:val="24"/>
                <w:highlight w:val="none"/>
              </w:rPr>
            </w:pPr>
            <w:r>
              <w:rPr>
                <w:rFonts w:hint="eastAsia" w:ascii="仿宋" w:hAnsi="仿宋" w:eastAsia="仿宋" w:cs="仿宋"/>
                <w:color w:val="auto"/>
                <w:sz w:val="21"/>
                <w:szCs w:val="24"/>
                <w:highlight w:val="none"/>
              </w:rPr>
              <w:sym w:font="Wingdings 2" w:char="0052"/>
            </w:r>
            <w:r>
              <w:rPr>
                <w:rFonts w:hint="default" w:ascii="宋体" w:hAnsi="宋体" w:eastAsia="宋体"/>
                <w:color w:val="auto"/>
                <w:sz w:val="21"/>
                <w:szCs w:val="24"/>
                <w:highlight w:val="none"/>
              </w:rPr>
              <w:t>要求，履约保证金的形式：中标人根据自身情况，自主选择提供履约保证金的形式。担保内容、担保范围、担保金额、担保要求等须按合同约定格式。</w:t>
            </w:r>
          </w:p>
          <w:p w14:paraId="15AC59AB">
            <w:pPr>
              <w:pStyle w:val="29"/>
              <w:keepNext w:val="0"/>
              <w:keepLines w:val="0"/>
              <w:pageBreakBefore w:val="0"/>
              <w:widowControl w:val="0"/>
              <w:kinsoku w:val="0"/>
              <w:wordWrap/>
              <w:overflowPunct w:val="0"/>
              <w:topLinePunct w:val="0"/>
              <w:bidi w:val="0"/>
              <w:spacing w:line="312" w:lineRule="auto"/>
              <w:jc w:val="both"/>
              <w:textAlignment w:val="auto"/>
              <w:rPr>
                <w:rFonts w:hint="eastAsia" w:ascii="Times New Roman" w:hAnsi="Times New Roman" w:eastAsia="Times New Roman"/>
                <w:color w:val="auto"/>
                <w:sz w:val="21"/>
                <w:szCs w:val="24"/>
                <w:highlight w:val="none"/>
              </w:rPr>
            </w:pPr>
            <w:r>
              <w:rPr>
                <w:rFonts w:hint="default" w:ascii="宋体" w:hAnsi="宋体" w:eastAsia="宋体"/>
                <w:color w:val="auto"/>
                <w:sz w:val="21"/>
                <w:szCs w:val="24"/>
                <w:highlight w:val="none"/>
              </w:rPr>
              <w:t>履约保证金的金额：中标价款的10%。</w:t>
            </w:r>
          </w:p>
        </w:tc>
      </w:tr>
      <w:tr w14:paraId="5DE7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7C72487">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10</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5955317">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default" w:ascii="宋体" w:hAnsi="宋体" w:eastAsia="宋体"/>
                <w:color w:val="auto"/>
                <w:sz w:val="21"/>
                <w:szCs w:val="24"/>
                <w:highlight w:val="none"/>
              </w:rPr>
              <w:t>需要补充的其他内容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6400AFC">
            <w:pPr>
              <w:keepNext w:val="0"/>
              <w:keepLines w:val="0"/>
              <w:pageBreakBefore w:val="0"/>
              <w:widowControl w:val="0"/>
              <w:wordWrap/>
              <w:topLinePunct w:val="0"/>
              <w:bidi w:val="0"/>
              <w:spacing w:line="312" w:lineRule="auto"/>
              <w:jc w:val="both"/>
              <w:textAlignment w:val="auto"/>
              <w:rPr>
                <w:rFonts w:hint="eastAsia" w:ascii="Times New Roman" w:hAnsi="Times New Roman" w:eastAsia="Times New Roman"/>
                <w:color w:val="auto"/>
                <w:sz w:val="21"/>
                <w:szCs w:val="24"/>
                <w:highlight w:val="none"/>
              </w:rPr>
            </w:pPr>
            <w:r>
              <w:rPr>
                <w:rFonts w:hint="eastAsia" w:ascii="仿宋" w:hAnsi="仿宋" w:eastAsia="仿宋" w:cs="仿宋"/>
                <w:color w:val="auto"/>
                <w:sz w:val="21"/>
                <w:szCs w:val="24"/>
                <w:highlight w:val="none"/>
                <w:lang w:val="en-US" w:eastAsia="zh-CN"/>
              </w:rPr>
              <w:t>/</w:t>
            </w:r>
          </w:p>
        </w:tc>
      </w:tr>
      <w:tr w14:paraId="2E52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8C63837">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eastAsia="Times New Roman"/>
                <w:color w:val="auto"/>
                <w:sz w:val="21"/>
                <w:highlight w:val="none"/>
              </w:rPr>
              <w:t>10.2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F0AE88D">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eastAsia" w:eastAsia="Times New Roman"/>
                <w:color w:val="auto"/>
                <w:sz w:val="21"/>
                <w:highlight w:val="none"/>
              </w:rPr>
              <w:t>其他费用</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C86C9A2">
            <w:pPr>
              <w:keepNext w:val="0"/>
              <w:keepLines w:val="0"/>
              <w:pageBreakBefore w:val="0"/>
              <w:widowControl w:val="0"/>
              <w:wordWrap/>
              <w:topLinePunct w:val="0"/>
              <w:bidi w:val="0"/>
              <w:spacing w:line="312" w:lineRule="auto"/>
              <w:jc w:val="both"/>
              <w:textAlignment w:val="auto"/>
              <w:rPr>
                <w:rFonts w:hint="eastAsia" w:eastAsia="Times New Roman"/>
                <w:color w:val="auto"/>
                <w:sz w:val="21"/>
                <w:highlight w:val="none"/>
              </w:rPr>
            </w:pPr>
            <w:r>
              <w:rPr>
                <w:rFonts w:hint="eastAsia" w:eastAsia="宋体"/>
                <w:color w:val="auto"/>
                <w:sz w:val="21"/>
                <w:highlight w:val="none"/>
                <w:lang w:val="en-US" w:eastAsia="zh-CN"/>
              </w:rPr>
              <w:t>1、</w:t>
            </w:r>
            <w:r>
              <w:rPr>
                <w:rFonts w:hint="eastAsia" w:eastAsia="Times New Roman"/>
                <w:color w:val="auto"/>
                <w:sz w:val="21"/>
                <w:highlight w:val="none"/>
              </w:rPr>
              <w:t>中标人按《广州市发展改革委转发省发展改革委关于规范公共资源交易服务收费及有关问题的通知》（穗发改〔2017〕811号）文件的规定，向广州公共资源交易中心代缴交易服务费，其费用包含在中标人投标报价中，招标人不另行支付。</w:t>
            </w:r>
          </w:p>
          <w:p w14:paraId="09F25910">
            <w:pPr>
              <w:keepNext w:val="0"/>
              <w:keepLines w:val="0"/>
              <w:pageBreakBefore w:val="0"/>
              <w:widowControl w:val="0"/>
              <w:wordWrap/>
              <w:topLinePunct w:val="0"/>
              <w:bidi w:val="0"/>
              <w:spacing w:line="312" w:lineRule="auto"/>
              <w:jc w:val="both"/>
              <w:textAlignment w:val="auto"/>
              <w:rPr>
                <w:rFonts w:hint="eastAsia" w:ascii="仿宋" w:hAnsi="仿宋" w:eastAsia="仿宋" w:cs="仿宋"/>
                <w:color w:val="auto"/>
                <w:sz w:val="21"/>
                <w:szCs w:val="24"/>
                <w:highlight w:val="none"/>
                <w:lang w:val="en-US" w:eastAsia="zh-CN"/>
              </w:rPr>
            </w:pPr>
            <w:r>
              <w:rPr>
                <w:rFonts w:hint="eastAsia" w:eastAsia="宋体"/>
                <w:color w:val="auto"/>
                <w:sz w:val="21"/>
                <w:highlight w:val="none"/>
                <w:lang w:val="en-US" w:eastAsia="zh-CN"/>
              </w:rPr>
              <w:t>2、</w:t>
            </w:r>
            <w:r>
              <w:rPr>
                <w:rFonts w:hint="eastAsia" w:eastAsia="Times New Roman"/>
                <w:color w:val="auto"/>
                <w:sz w:val="21"/>
                <w:highlight w:val="none"/>
              </w:rPr>
              <w:t>本项目招标代理费收费类型为</w:t>
            </w:r>
            <w:r>
              <w:rPr>
                <w:rFonts w:hint="eastAsia" w:eastAsia="Times New Roman"/>
                <w:color w:val="auto"/>
                <w:sz w:val="21"/>
                <w:highlight w:val="none"/>
                <w:lang w:val="en-US" w:eastAsia="zh-CN"/>
              </w:rPr>
              <w:t>服务</w:t>
            </w:r>
            <w:r>
              <w:rPr>
                <w:rFonts w:hint="eastAsia" w:eastAsia="Times New Roman"/>
                <w:color w:val="auto"/>
                <w:sz w:val="21"/>
                <w:highlight w:val="none"/>
              </w:rPr>
              <w:t>类，招标代理费用参照《国家计委&lt;关于印发招标代理服务收费管理暂行办法&gt;的通知》（计价格[2002]1980号）文件招标代理服务类的计价收费标准按招标代理合同规定的下浮率收取，招标代理服务费由中标单位在领取中标通知书前一次性支付给招标代理。</w:t>
            </w:r>
          </w:p>
        </w:tc>
      </w:tr>
      <w:tr w14:paraId="4E84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6A66DD9">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eastAsia="Times New Roman"/>
                <w:color w:val="auto"/>
                <w:sz w:val="21"/>
                <w:highlight w:val="none"/>
              </w:rPr>
              <w:t>10.3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8157CE6">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eastAsia" w:eastAsia="Times New Roman"/>
                <w:color w:val="auto"/>
                <w:sz w:val="21"/>
                <w:highlight w:val="none"/>
              </w:rPr>
              <w:t>潜在投标人或利害关系人对本招标公告及招标文件内容异议的，向招标人书面提出。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6750120">
            <w:pPr>
              <w:keepNext w:val="0"/>
              <w:keepLines w:val="0"/>
              <w:pageBreakBefore w:val="0"/>
              <w:widowControl w:val="0"/>
              <w:wordWrap/>
              <w:topLinePunct w:val="0"/>
              <w:bidi w:val="0"/>
              <w:snapToGrid w:val="0"/>
              <w:spacing w:line="312" w:lineRule="auto"/>
              <w:ind w:right="-31" w:rightChars="-13"/>
              <w:textAlignment w:val="auto"/>
              <w:rPr>
                <w:rFonts w:hint="eastAsia" w:eastAsia="Times New Roman"/>
                <w:color w:val="auto"/>
                <w:sz w:val="21"/>
                <w:highlight w:val="none"/>
              </w:rPr>
            </w:pPr>
            <w:r>
              <w:rPr>
                <w:rFonts w:eastAsia="Times New Roman"/>
                <w:color w:val="auto"/>
                <w:sz w:val="21"/>
                <w:highlight w:val="none"/>
              </w:rPr>
              <w:t>在投标人或利害关系人对本招标公告及招标文件内</w:t>
            </w:r>
            <w:r>
              <w:rPr>
                <w:rFonts w:hint="eastAsia" w:eastAsia="宋体"/>
                <w:color w:val="auto"/>
                <w:sz w:val="21"/>
                <w:highlight w:val="none"/>
                <w:lang w:eastAsia="zh-CN"/>
              </w:rPr>
              <w:t>容有</w:t>
            </w:r>
            <w:r>
              <w:rPr>
                <w:rFonts w:eastAsia="Times New Roman"/>
                <w:color w:val="auto"/>
                <w:sz w:val="21"/>
                <w:highlight w:val="none"/>
              </w:rPr>
              <w:t>异议的</w:t>
            </w:r>
            <w:r>
              <w:rPr>
                <w:rFonts w:hint="eastAsia" w:eastAsia="宋体"/>
                <w:color w:val="auto"/>
                <w:sz w:val="21"/>
                <w:highlight w:val="none"/>
                <w:lang w:eastAsia="zh-CN"/>
              </w:rPr>
              <w:t>。</w:t>
            </w:r>
            <w:r>
              <w:rPr>
                <w:rFonts w:hint="eastAsia" w:eastAsia="Times New Roman"/>
                <w:color w:val="auto"/>
                <w:sz w:val="21"/>
                <w:highlight w:val="none"/>
              </w:rPr>
              <w:t>可通过线下书面或线上的形式提出异议。</w:t>
            </w:r>
          </w:p>
          <w:p w14:paraId="7F37288C">
            <w:pPr>
              <w:keepNext w:val="0"/>
              <w:keepLines w:val="0"/>
              <w:pageBreakBefore w:val="0"/>
              <w:widowControl w:val="0"/>
              <w:wordWrap/>
              <w:topLinePunct w:val="0"/>
              <w:bidi w:val="0"/>
              <w:snapToGrid w:val="0"/>
              <w:spacing w:line="312" w:lineRule="auto"/>
              <w:ind w:right="-31" w:rightChars="-13"/>
              <w:textAlignment w:val="auto"/>
              <w:rPr>
                <w:rFonts w:hint="eastAsia" w:ascii="仿宋" w:hAnsi="仿宋" w:eastAsia="仿宋" w:cs="仿宋"/>
                <w:color w:val="auto"/>
                <w:sz w:val="21"/>
                <w:szCs w:val="24"/>
                <w:highlight w:val="none"/>
                <w:lang w:val="en-US" w:eastAsia="zh-CN"/>
              </w:rPr>
            </w:pPr>
            <w:r>
              <w:rPr>
                <w:rFonts w:hint="eastAsia" w:eastAsia="宋体"/>
                <w:color w:val="auto"/>
                <w:sz w:val="21"/>
                <w:highlight w:val="none"/>
                <w:lang w:eastAsia="zh-CN"/>
              </w:rPr>
              <w:t>注：</w:t>
            </w:r>
            <w:r>
              <w:rPr>
                <w:rFonts w:hint="eastAsia" w:eastAsia="Times New Roman"/>
                <w:color w:val="auto"/>
                <w:sz w:val="21"/>
                <w:highlight w:val="none"/>
              </w:rPr>
              <w:t>在线异议具体操作详见“广州交易集团有限公司（广州公共资源交易中心）门户网站首页-</w:t>
            </w:r>
            <w:r>
              <w:rPr>
                <w:rFonts w:eastAsia="Times New Roman"/>
                <w:color w:val="auto"/>
                <w:sz w:val="21"/>
                <w:highlight w:val="none"/>
              </w:rPr>
              <w:t>&gt;</w:t>
            </w:r>
            <w:r>
              <w:rPr>
                <w:rFonts w:hint="eastAsia" w:eastAsia="宋体"/>
                <w:color w:val="auto"/>
                <w:sz w:val="21"/>
                <w:highlight w:val="none"/>
                <w:lang w:eastAsia="zh-CN"/>
              </w:rPr>
              <w:t>服务指南</w:t>
            </w:r>
            <w:r>
              <w:rPr>
                <w:rFonts w:eastAsia="Times New Roman"/>
                <w:color w:val="auto"/>
                <w:sz w:val="21"/>
                <w:highlight w:val="none"/>
              </w:rPr>
              <w:t>&gt;</w:t>
            </w:r>
            <w:r>
              <w:rPr>
                <w:rFonts w:hint="eastAsia" w:eastAsia="Times New Roman"/>
                <w:color w:val="auto"/>
                <w:sz w:val="21"/>
                <w:highlight w:val="none"/>
              </w:rPr>
              <w:t>系统</w:t>
            </w:r>
            <w:r>
              <w:rPr>
                <w:rFonts w:hint="eastAsia" w:eastAsia="宋体"/>
                <w:color w:val="auto"/>
                <w:sz w:val="21"/>
                <w:highlight w:val="none"/>
                <w:lang w:eastAsia="zh-CN"/>
              </w:rPr>
              <w:t>帮助</w:t>
            </w:r>
            <w:r>
              <w:rPr>
                <w:rFonts w:eastAsia="Times New Roman"/>
                <w:color w:val="auto"/>
                <w:sz w:val="21"/>
                <w:highlight w:val="none"/>
              </w:rPr>
              <w:t>&gt;</w:t>
            </w:r>
            <w:r>
              <w:rPr>
                <w:rFonts w:hint="eastAsia" w:eastAsia="宋体"/>
                <w:color w:val="auto"/>
                <w:sz w:val="21"/>
                <w:highlight w:val="none"/>
                <w:lang w:eastAsia="zh-CN"/>
              </w:rPr>
              <w:t>操作手册</w:t>
            </w:r>
            <w:r>
              <w:rPr>
                <w:rFonts w:eastAsia="Times New Roman"/>
                <w:color w:val="auto"/>
                <w:sz w:val="21"/>
                <w:highlight w:val="none"/>
              </w:rPr>
              <w:t>&gt;</w:t>
            </w:r>
            <w:r>
              <w:rPr>
                <w:rFonts w:hint="eastAsia" w:eastAsia="Times New Roman"/>
                <w:color w:val="auto"/>
                <w:sz w:val="21"/>
                <w:highlight w:val="none"/>
              </w:rPr>
              <w:t>发起及受理异议操作指引”</w:t>
            </w:r>
          </w:p>
        </w:tc>
      </w:tr>
      <w:tr w14:paraId="5BF8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A425DB3">
            <w:pPr>
              <w:pStyle w:val="29"/>
              <w:keepNext w:val="0"/>
              <w:keepLines w:val="0"/>
              <w:pageBreakBefore w:val="0"/>
              <w:widowControl w:val="0"/>
              <w:kinsoku w:val="0"/>
              <w:wordWrap/>
              <w:overflowPunct w:val="0"/>
              <w:topLinePunct w:val="0"/>
              <w:bidi w:val="0"/>
              <w:spacing w:line="312" w:lineRule="auto"/>
              <w:jc w:val="center"/>
              <w:textAlignment w:val="auto"/>
              <w:rPr>
                <w:rFonts w:hint="eastAsia" w:ascii="Times New Roman" w:hAnsi="Times New Roman" w:eastAsia="Times New Roman"/>
                <w:color w:val="auto"/>
                <w:sz w:val="21"/>
                <w:szCs w:val="24"/>
                <w:highlight w:val="none"/>
              </w:rPr>
            </w:pPr>
            <w:r>
              <w:rPr>
                <w:rFonts w:eastAsia="Times New Roman"/>
                <w:color w:val="auto"/>
                <w:sz w:val="21"/>
                <w:highlight w:val="none"/>
              </w:rPr>
              <w:t>10.8</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B9D6E2F">
            <w:pPr>
              <w:pStyle w:val="29"/>
              <w:keepNext w:val="0"/>
              <w:keepLines w:val="0"/>
              <w:pageBreakBefore w:val="0"/>
              <w:widowControl w:val="0"/>
              <w:kinsoku w:val="0"/>
              <w:wordWrap/>
              <w:overflowPunct w:val="0"/>
              <w:topLinePunct w:val="0"/>
              <w:bidi w:val="0"/>
              <w:spacing w:line="312" w:lineRule="auto"/>
              <w:jc w:val="center"/>
              <w:textAlignment w:val="auto"/>
              <w:rPr>
                <w:rFonts w:hint="default" w:ascii="宋体" w:hAnsi="宋体" w:eastAsia="宋体"/>
                <w:color w:val="auto"/>
                <w:sz w:val="21"/>
                <w:szCs w:val="24"/>
                <w:highlight w:val="none"/>
              </w:rPr>
            </w:pPr>
            <w:r>
              <w:rPr>
                <w:rFonts w:hint="eastAsia" w:eastAsia="Times New Roman"/>
                <w:color w:val="auto"/>
                <w:sz w:val="21"/>
                <w:highlight w:val="none"/>
              </w:rPr>
              <w:t>其他</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444F005">
            <w:pPr>
              <w:keepNext w:val="0"/>
              <w:keepLines w:val="0"/>
              <w:pageBreakBefore w:val="0"/>
              <w:widowControl w:val="0"/>
              <w:wordWrap/>
              <w:topLinePunct w:val="0"/>
              <w:bidi w:val="0"/>
              <w:spacing w:line="312" w:lineRule="auto"/>
              <w:jc w:val="both"/>
              <w:textAlignment w:val="auto"/>
              <w:rPr>
                <w:rFonts w:hint="eastAsia" w:ascii="仿宋" w:hAnsi="仿宋" w:eastAsia="仿宋" w:cs="仿宋"/>
                <w:color w:val="auto"/>
                <w:sz w:val="21"/>
                <w:szCs w:val="24"/>
                <w:highlight w:val="none"/>
                <w:lang w:val="en-US" w:eastAsia="zh-CN"/>
              </w:rPr>
            </w:pPr>
            <w:r>
              <w:rPr>
                <w:rFonts w:hint="eastAsia" w:eastAsia="Times New Roman"/>
                <w:color w:val="auto"/>
                <w:sz w:val="21"/>
                <w:highlight w:val="none"/>
              </w:rPr>
              <w:t>在产生中标候选人后，招标人将中标候选人的投标文件商务部分的电子版（报价清单、监理大纲等涉及商业秘密的内容除外）在广州公共资源交易中心网站公开。</w:t>
            </w:r>
          </w:p>
        </w:tc>
      </w:tr>
    </w:tbl>
    <w:p w14:paraId="1C3ED1CD">
      <w:pPr>
        <w:rPr>
          <w:rFonts w:hint="default"/>
          <w:color w:val="auto"/>
          <w:sz w:val="24"/>
          <w:szCs w:val="24"/>
          <w:highlight w:val="none"/>
        </w:rPr>
      </w:pPr>
    </w:p>
    <w:p w14:paraId="2B2659BF">
      <w:pPr>
        <w:pStyle w:val="5"/>
        <w:outlineLvl w:val="9"/>
        <w:rPr>
          <w:rFonts w:hint="default" w:cs="宋体"/>
          <w:color w:val="auto"/>
          <w:sz w:val="24"/>
          <w:szCs w:val="24"/>
          <w:highlight w:val="none"/>
        </w:rPr>
        <w:sectPr>
          <w:footerReference r:id="rId5" w:type="default"/>
          <w:pgSz w:w="11905" w:h="16838"/>
          <w:pgMar w:top="1417" w:right="1417" w:bottom="1417" w:left="1417" w:header="992" w:footer="992" w:gutter="0"/>
          <w:lnNumType w:countBy="0" w:distance="360"/>
          <w:cols w:space="720" w:num="1"/>
        </w:sectPr>
      </w:pPr>
    </w:p>
    <w:p w14:paraId="0BC7E430">
      <w:pPr>
        <w:pStyle w:val="5"/>
        <w:jc w:val="center"/>
        <w:rPr>
          <w:rFonts w:hint="default"/>
          <w:color w:val="auto"/>
          <w:sz w:val="32"/>
          <w:szCs w:val="24"/>
          <w:highlight w:val="none"/>
        </w:rPr>
      </w:pPr>
      <w:r>
        <w:rPr>
          <w:rFonts w:hint="default"/>
          <w:color w:val="auto"/>
          <w:sz w:val="32"/>
          <w:szCs w:val="24"/>
          <w:highlight w:val="none"/>
        </w:rPr>
        <w:t>投标须知修改表</w:t>
      </w:r>
    </w:p>
    <w:p w14:paraId="68A04D4A">
      <w:pPr>
        <w:pStyle w:val="20"/>
        <w:spacing w:line="360" w:lineRule="auto"/>
        <w:rPr>
          <w:rFonts w:hint="default" w:ascii="宋体" w:hAnsi="宋体" w:eastAsia="宋体"/>
          <w:b/>
          <w:color w:val="auto"/>
          <w:sz w:val="24"/>
          <w:szCs w:val="24"/>
          <w:highlight w:val="none"/>
          <w:lang w:eastAsia="zh-CN"/>
        </w:rPr>
      </w:pPr>
      <w:r>
        <w:rPr>
          <w:rFonts w:hint="default" w:ascii="宋体" w:hAnsi="宋体" w:eastAsia="宋体"/>
          <w:b/>
          <w:color w:val="auto"/>
          <w:sz w:val="24"/>
          <w:szCs w:val="24"/>
          <w:highlight w:val="none"/>
        </w:rPr>
        <w:t>本投标须知使</w:t>
      </w:r>
      <w:r>
        <w:rPr>
          <w:rFonts w:hint="default" w:ascii="宋体" w:hAnsi="宋体" w:eastAsia="宋体" w:cs="Times New Roman"/>
          <w:b/>
          <w:color w:val="auto"/>
          <w:sz w:val="24"/>
          <w:szCs w:val="24"/>
          <w:highlight w:val="none"/>
        </w:rPr>
        <w:t>用</w:t>
      </w:r>
      <w:r>
        <w:rPr>
          <w:rFonts w:hint="eastAsia" w:ascii="宋体" w:hAnsi="宋体" w:eastAsia="宋体" w:cs="Times New Roman"/>
          <w:b/>
          <w:color w:val="auto"/>
          <w:sz w:val="24"/>
          <w:szCs w:val="24"/>
          <w:highlight w:val="none"/>
          <w:lang w:eastAsia="zh-CN"/>
        </w:rPr>
        <w:t>SWZB2024-05</w:t>
      </w:r>
      <w:r>
        <w:rPr>
          <w:rFonts w:hint="default" w:ascii="宋体" w:hAnsi="宋体" w:eastAsia="宋体" w:cs="Times New Roman"/>
          <w:b/>
          <w:color w:val="auto"/>
          <w:sz w:val="24"/>
          <w:szCs w:val="24"/>
          <w:highlight w:val="none"/>
        </w:rPr>
        <w:t>招标</w:t>
      </w:r>
      <w:r>
        <w:rPr>
          <w:rFonts w:hint="default" w:ascii="宋体" w:hAnsi="宋体" w:eastAsia="宋体"/>
          <w:b/>
          <w:color w:val="auto"/>
          <w:sz w:val="24"/>
          <w:szCs w:val="24"/>
          <w:highlight w:val="none"/>
        </w:rPr>
        <w:t>文件范本的投标须知通用条款，与该通用条款不同之处，均在本表中列明，并以现文为准，原文不再有效。</w:t>
      </w:r>
    </w:p>
    <w:p w14:paraId="4B72D8E2">
      <w:pPr>
        <w:spacing w:line="480" w:lineRule="auto"/>
        <w:ind w:firstLine="537" w:firstLineChars="224"/>
        <w:rPr>
          <w:rFonts w:hint="default" w:ascii="宋体" w:hAnsi="宋体" w:eastAsia="宋体"/>
          <w:color w:val="auto"/>
          <w:sz w:val="24"/>
          <w:szCs w:val="24"/>
          <w:highlight w:val="none"/>
        </w:rPr>
      </w:pPr>
      <w:r>
        <w:rPr>
          <w:color w:val="auto"/>
          <w:sz w:val="24"/>
          <w:highlight w:val="none"/>
        </w:rPr>
        <w:pict>
          <v:line id="_x0000_s2056" o:spid="_x0000_s2056" o:spt="20" style="position:absolute;left:0pt;margin-left:2.1pt;margin-top:6.9pt;height:0pt;width:468.75pt;z-index:251669504;mso-width-relative:page;mso-height-relative:page;" filled="f" stroked="t" coordsize="21600,21600" o:gfxdata="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4JnpF1gAAAAcBAAAPAAAAAAAAAAEAIAAAACIAAABkcnMvZG93bnJldi54&#10;bWxQSwECFAAUAAAACACHTuJAEuHcfMMBAABdAwAADgAAAAAAAAABACAAAAAlAQAAZHJzL2Uyb0Rv&#10;Yy54bWxQSwUGAAAAAAYABgBZAQAAWgUAAAAA&#10;">
            <v:path arrowok="t"/>
            <v:fill on="f" focussize="0,0"/>
            <v:stroke weight="1pt" color="#000000" joinstyle="round"/>
            <v:imagedata o:title=""/>
            <o:lock v:ext="edit" aspectratio="f"/>
          </v:line>
        </w:pict>
      </w:r>
    </w:p>
    <w:p w14:paraId="2C780AE8">
      <w:pPr>
        <w:spacing w:line="480" w:lineRule="auto"/>
        <w:ind w:firstLine="537" w:firstLineChars="224"/>
        <w:rPr>
          <w:rFonts w:hint="eastAsia" w:ascii="宋体" w:hAnsi="宋体" w:eastAsia="宋体"/>
          <w:color w:val="auto"/>
          <w:sz w:val="24"/>
          <w:szCs w:val="24"/>
          <w:highlight w:val="none"/>
          <w:lang w:val="en-US" w:eastAsia="zh-CN"/>
        </w:rPr>
      </w:pPr>
      <w:r>
        <w:rPr>
          <w:rFonts w:hint="default" w:ascii="宋体" w:hAnsi="宋体" w:eastAsia="宋体"/>
          <w:color w:val="auto"/>
          <w:sz w:val="24"/>
          <w:szCs w:val="24"/>
          <w:highlight w:val="none"/>
        </w:rPr>
        <w:t xml:space="preserve">条款号：  </w:t>
      </w:r>
      <w:r>
        <w:rPr>
          <w:rFonts w:hint="eastAsia" w:ascii="宋体" w:hAnsi="宋体"/>
          <w:color w:val="auto"/>
          <w:sz w:val="24"/>
          <w:szCs w:val="24"/>
          <w:highlight w:val="none"/>
          <w:lang w:val="en-US" w:eastAsia="zh-CN"/>
        </w:rPr>
        <w:t>3.1.1</w:t>
      </w:r>
      <w:r>
        <w:rPr>
          <w:rFonts w:hint="default" w:ascii="宋体" w:hAnsi="宋体" w:eastAsia="宋体"/>
          <w:color w:val="auto"/>
          <w:sz w:val="24"/>
          <w:szCs w:val="24"/>
          <w:highlight w:val="none"/>
        </w:rPr>
        <w:t xml:space="preserve">           修改类型：</w:t>
      </w:r>
      <w:r>
        <w:rPr>
          <w:rFonts w:hint="eastAsia" w:ascii="宋体" w:hAnsi="宋体" w:eastAsia="宋体"/>
          <w:color w:val="auto"/>
          <w:sz w:val="24"/>
          <w:szCs w:val="24"/>
          <w:highlight w:val="none"/>
          <w:lang w:eastAsia="zh-CN"/>
        </w:rPr>
        <w:t>修改</w:t>
      </w:r>
    </w:p>
    <w:p w14:paraId="0DCC955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ascii="宋体" w:hAnsi="宋体" w:eastAsia="宋体"/>
          <w:color w:val="auto"/>
          <w:sz w:val="24"/>
          <w:szCs w:val="24"/>
          <w:highlight w:val="none"/>
        </w:rPr>
        <w:t>原文：</w:t>
      </w:r>
      <w:r>
        <w:rPr>
          <w:rFonts w:hint="default" w:cs="Times New Roman"/>
          <w:color w:val="auto"/>
          <w:sz w:val="24"/>
          <w:szCs w:val="24"/>
          <w:highlight w:val="none"/>
        </w:rPr>
        <w:t>3.1.1 投标文件应包括下列内容：</w:t>
      </w:r>
    </w:p>
    <w:p w14:paraId="4B57D23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（1）投标函及投标函附录；</w:t>
      </w:r>
    </w:p>
    <w:p w14:paraId="1A212AB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（2）法定代表人身份证明或授权委托书；</w:t>
      </w:r>
    </w:p>
    <w:p w14:paraId="3AE7C1A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（3）联合体协议书；</w:t>
      </w:r>
    </w:p>
    <w:p w14:paraId="3062AD9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（4）投标保证金；</w:t>
      </w:r>
    </w:p>
    <w:p w14:paraId="277EDA2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（5）监理报酬清单；</w:t>
      </w:r>
    </w:p>
    <w:p w14:paraId="3284ECE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（6）资格审查资料；</w:t>
      </w:r>
    </w:p>
    <w:p w14:paraId="45C8778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（7）监理大纲；</w:t>
      </w:r>
    </w:p>
    <w:p w14:paraId="7D10ABB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（8）投标人须知前附表规定的其他资料。投标人在评标过程中作出的符合法律法规和招标文件规定的澄清确认，构成投标文件的组成部分。</w:t>
      </w:r>
    </w:p>
    <w:p w14:paraId="60830BA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eastAsia" w:ascii="宋体" w:hAnsi="宋体" w:eastAsia="宋体"/>
          <w:color w:val="auto"/>
          <w:sz w:val="24"/>
          <w:szCs w:val="24"/>
          <w:highlight w:val="none"/>
          <w:lang w:eastAsia="zh-CN"/>
        </w:rPr>
        <w:t>现文：</w:t>
      </w:r>
      <w:r>
        <w:rPr>
          <w:rFonts w:hint="default" w:cs="Times New Roman"/>
          <w:color w:val="auto"/>
          <w:sz w:val="24"/>
          <w:szCs w:val="24"/>
          <w:highlight w:val="none"/>
        </w:rPr>
        <w:t>3.1.1 投标文件应包括下列内容：</w:t>
      </w:r>
    </w:p>
    <w:p w14:paraId="3D75EDB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（1）投标函及投标函附录；</w:t>
      </w:r>
    </w:p>
    <w:p w14:paraId="2E81FEA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（2）法定代表人身份证明或授权委托书；</w:t>
      </w:r>
    </w:p>
    <w:p w14:paraId="076A6D9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val="0"/>
          <w:color w:val="auto"/>
          <w:sz w:val="24"/>
          <w:szCs w:val="24"/>
          <w:highlight w:val="none"/>
        </w:rPr>
        <w:t>（3）联合体协议书；</w:t>
      </w:r>
    </w:p>
    <w:p w14:paraId="3B107F3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（4）投标保证金；</w:t>
      </w:r>
    </w:p>
    <w:p w14:paraId="4824036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val="0"/>
          <w:color w:val="auto"/>
          <w:sz w:val="24"/>
          <w:szCs w:val="24"/>
          <w:highlight w:val="none"/>
        </w:rPr>
      </w:pPr>
      <w:r>
        <w:rPr>
          <w:rFonts w:hint="default" w:cs="Times New Roman"/>
          <w:strike w:val="0"/>
          <w:color w:val="auto"/>
          <w:sz w:val="24"/>
          <w:szCs w:val="24"/>
          <w:highlight w:val="none"/>
        </w:rPr>
        <w:t>（5）监理报酬清单；</w:t>
      </w:r>
    </w:p>
    <w:p w14:paraId="5503296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（6）资格审查资料；</w:t>
      </w:r>
    </w:p>
    <w:p w14:paraId="42F7A87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（7）监理大纲；</w:t>
      </w:r>
    </w:p>
    <w:p w14:paraId="33D33FF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（8）投标人须知前附表规定的其他资料。投标人在评标过程中作出的符合法律法规和招标文件规定的澄清确认，构成投标文件的组成部分。</w:t>
      </w:r>
    </w:p>
    <w:p w14:paraId="4DD93334">
      <w:pPr>
        <w:spacing w:line="240" w:lineRule="auto"/>
        <w:ind w:firstLine="0" w:firstLineChars="0"/>
        <w:rPr>
          <w:rFonts w:hint="default" w:ascii="宋体" w:hAnsi="宋体" w:eastAsia="宋体"/>
          <w:color w:val="auto"/>
          <w:sz w:val="24"/>
          <w:szCs w:val="24"/>
          <w:highlight w:val="none"/>
        </w:rPr>
      </w:pPr>
      <w:r>
        <w:rPr>
          <w:color w:val="auto"/>
          <w:sz w:val="24"/>
          <w:highlight w:val="none"/>
        </w:rPr>
        <w:pict>
          <v:line id="_x0000_s2057" o:spid="_x0000_s2057" o:spt="20" style="position:absolute;left:0pt;margin-left:1.2pt;margin-top:8.15pt;height:0pt;width:468.75pt;z-index:251661312;mso-width-relative:page;mso-height-relative:page;" filled="f" stroked="t" coordsize="21600,21600" o:gfxdata="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XgkDzVAAAABwEAAA8AAAAAAAAAAQAgAAAAIgAA&#10;AGRycy9kb3ducmV2LnhtbFBLAQIUABQAAAAIAIdO4kC40D/W0gEAAGgDAAAOAAAAAAAAAAEAIAAA&#10;ACQBAABkcnMvZTJvRG9jLnhtbFBLBQYAAAAABgAGAFkBAABoBQAAAAA=&#10;">
            <v:path arrowok="t"/>
            <v:fill on="f" focussize="0,0"/>
            <v:stroke weight="1pt" color="#000000" joinstyle="round"/>
            <v:imagedata o:title=""/>
            <o:lock v:ext="edit" aspectratio="f"/>
          </v:line>
        </w:pict>
      </w:r>
    </w:p>
    <w:p w14:paraId="3996ACAE">
      <w:pPr>
        <w:spacing w:line="240" w:lineRule="auto"/>
        <w:ind w:firstLine="0" w:firstLineChars="0"/>
        <w:rPr>
          <w:rFonts w:hint="default" w:ascii="宋体" w:hAnsi="宋体" w:eastAsia="宋体"/>
          <w:color w:val="auto"/>
          <w:sz w:val="24"/>
          <w:szCs w:val="24"/>
          <w:highlight w:val="none"/>
        </w:rPr>
      </w:pPr>
    </w:p>
    <w:p w14:paraId="334B1304">
      <w:pPr>
        <w:spacing w:line="480" w:lineRule="auto"/>
        <w:ind w:firstLine="537" w:firstLineChars="224"/>
        <w:rPr>
          <w:rFonts w:ascii="宋体" w:hAnsi="宋体"/>
          <w:color w:val="auto"/>
          <w:highlight w:val="none"/>
        </w:rPr>
      </w:pPr>
      <w:r>
        <w:rPr>
          <w:rFonts w:ascii="宋体" w:hAnsi="宋体"/>
          <w:color w:val="auto"/>
          <w:highlight w:val="none"/>
        </w:rPr>
        <w:t>条款号：3.</w:t>
      </w:r>
      <w:r>
        <w:rPr>
          <w:rFonts w:hint="eastAsia" w:ascii="宋体" w:hAnsi="宋体"/>
          <w:color w:val="auto"/>
          <w:highlight w:val="none"/>
        </w:rPr>
        <w:t>3.3</w:t>
      </w:r>
      <w:r>
        <w:rPr>
          <w:rFonts w:ascii="宋体" w:hAnsi="宋体"/>
          <w:color w:val="auto"/>
          <w:highlight w:val="none"/>
        </w:rPr>
        <w:t xml:space="preserve">             修改类型：修改</w:t>
      </w:r>
    </w:p>
    <w:p w14:paraId="686D1A2A">
      <w:pPr>
        <w:spacing w:line="480" w:lineRule="auto"/>
        <w:ind w:firstLine="537" w:firstLineChars="224"/>
        <w:rPr>
          <w:rFonts w:ascii="宋体" w:hAnsi="宋体"/>
          <w:color w:val="auto"/>
          <w:highlight w:val="none"/>
        </w:rPr>
      </w:pPr>
      <w:r>
        <w:rPr>
          <w:rFonts w:hint="eastAsia" w:ascii="宋体" w:hAnsi="宋体"/>
          <w:color w:val="auto"/>
          <w:highlight w:val="none"/>
        </w:rPr>
        <w:t>原文：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78BD54DF">
      <w:pPr>
        <w:pBdr>
          <w:bottom w:val="single" w:color="auto" w:sz="6" w:space="1"/>
        </w:pBdr>
        <w:spacing w:line="480" w:lineRule="auto"/>
        <w:ind w:firstLine="537" w:firstLineChars="224"/>
        <w:rPr>
          <w:rFonts w:ascii="宋体" w:hAnsi="宋体"/>
          <w:color w:val="auto"/>
          <w:highlight w:val="none"/>
        </w:rPr>
      </w:pPr>
      <w:r>
        <w:rPr>
          <w:rFonts w:hint="eastAsia" w:ascii="宋体" w:hAnsi="宋体"/>
          <w:color w:val="auto"/>
          <w:highlight w:val="none"/>
        </w:rPr>
        <w:t>现文：出现特殊情况需要延长投标有效期的，招标人以书面形式通知所有投标人延长投标有效期。投标人应予以书面答复，同意延长的，</w:t>
      </w:r>
      <w:r>
        <w:rPr>
          <w:rFonts w:hint="eastAsia" w:ascii="宋体" w:hAnsi="宋体"/>
          <w:strike/>
          <w:color w:val="auto"/>
          <w:highlight w:val="none"/>
        </w:rPr>
        <w:t>应相应延长其投标保证金的有效期，但</w:t>
      </w:r>
      <w:r>
        <w:rPr>
          <w:rFonts w:hint="eastAsia" w:ascii="宋体" w:hAnsi="宋体"/>
          <w:color w:val="auto"/>
          <w:highlight w:val="none"/>
        </w:rPr>
        <w:t>不得要求或被允许修改其投标文件；投标人拒绝延长的，其投标失效</w:t>
      </w:r>
      <w:r>
        <w:rPr>
          <w:rFonts w:hint="eastAsia" w:ascii="宋体" w:hAnsi="宋体"/>
          <w:strike/>
          <w:color w:val="auto"/>
          <w:highlight w:val="none"/>
        </w:rPr>
        <w:t>，但投标人有权收回其投标保证金及以现金或者支票形式递交的投标保证金的银行同期存款利息</w:t>
      </w:r>
      <w:r>
        <w:rPr>
          <w:rFonts w:hint="eastAsia" w:ascii="宋体" w:hAnsi="宋体"/>
          <w:color w:val="auto"/>
          <w:highlight w:val="none"/>
        </w:rPr>
        <w:t>。</w:t>
      </w:r>
    </w:p>
    <w:p w14:paraId="5BDBCE91">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 xml:space="preserve">条款号：  </w:t>
      </w:r>
      <w:r>
        <w:rPr>
          <w:rFonts w:hint="eastAsia" w:ascii="宋体" w:hAnsi="宋体"/>
          <w:color w:val="auto"/>
          <w:sz w:val="24"/>
          <w:szCs w:val="24"/>
          <w:highlight w:val="none"/>
          <w:lang w:val="en-US" w:eastAsia="zh-CN"/>
        </w:rPr>
        <w:t>3.4</w:t>
      </w:r>
      <w:r>
        <w:rPr>
          <w:rFonts w:hint="default" w:ascii="宋体" w:hAnsi="宋体" w:eastAsia="宋体"/>
          <w:color w:val="auto"/>
          <w:sz w:val="24"/>
          <w:szCs w:val="24"/>
          <w:highlight w:val="none"/>
        </w:rPr>
        <w:t xml:space="preserve">           修改类型：删除</w:t>
      </w:r>
    </w:p>
    <w:p w14:paraId="14AA4544">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原文：3.4  投标保证金</w:t>
      </w:r>
    </w:p>
    <w:p w14:paraId="2EEFE689">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6D13BF5A">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3.4.2 开标时投标人没有按要求提交投标保证金的，其投标文件将被否决。</w:t>
      </w:r>
    </w:p>
    <w:p w14:paraId="245049FC">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3.4.3 中标候选人以外的投标人的投标保证金将尽快退还，最迟不超过中标通知书发出之日起五日内；中标人和其他中标候选人的投标保证金，在书面合同订立之日起五日内予以退还。</w:t>
      </w:r>
    </w:p>
    <w:p w14:paraId="5F040885">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3.4.4 有下列情形之一的，投标保证金将不予退还：</w:t>
      </w:r>
    </w:p>
    <w:p w14:paraId="4FC264F8">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(1) 投标人在规定的投标有效期内撤销其投标文件；</w:t>
      </w:r>
    </w:p>
    <w:p w14:paraId="06F3E999">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(2) 中标人在收到中标通知书后，无正当理由不与招标人订立合同，在签订合同时向招标 人提出附加条件，或者不按照招标文件要求提交履约保证金。</w:t>
      </w:r>
    </w:p>
    <w:p w14:paraId="4B878ABD">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color w:val="auto"/>
          <w:sz w:val="24"/>
          <w:szCs w:val="24"/>
          <w:highlight w:val="none"/>
          <w:lang w:val="en-US" w:eastAsia="zh-CN"/>
        </w:rPr>
        <w:t>7.6.1</w:t>
      </w:r>
      <w:r>
        <w:rPr>
          <w:rFonts w:hint="default" w:ascii="宋体" w:hAnsi="宋体" w:eastAsia="宋体"/>
          <w:color w:val="auto"/>
          <w:sz w:val="24"/>
          <w:szCs w:val="24"/>
          <w:highlight w:val="none"/>
        </w:rPr>
        <w:t xml:space="preserve">             修改类型：修改</w:t>
      </w:r>
    </w:p>
    <w:p w14:paraId="32777682">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主办方的名义提交。</w:t>
      </w:r>
    </w:p>
    <w:p w14:paraId="05937F00">
      <w:pPr>
        <w:spacing w:line="480" w:lineRule="auto"/>
        <w:ind w:firstLine="537" w:firstLineChars="224"/>
        <w:rPr>
          <w:rFonts w:hint="default" w:ascii="宋体" w:hAnsi="宋体" w:eastAsia="宋体"/>
          <w:strike/>
          <w:color w:val="auto"/>
          <w:sz w:val="24"/>
          <w:szCs w:val="24"/>
          <w:highlight w:val="none"/>
        </w:rPr>
      </w:pPr>
      <w:r>
        <w:rPr>
          <w:color w:val="auto"/>
          <w:sz w:val="24"/>
          <w:highlight w:val="none"/>
        </w:rPr>
        <w:pict>
          <v:line id="_x0000_s2055" o:spid="_x0000_s2055" o:spt="20" style="position:absolute;left:0pt;flip:y;margin-left:-0.4pt;margin-top:155.45pt;height:1.1pt;width:444.65pt;z-index:251663360;mso-width-relative:page;mso-height-relative:page;" filled="f" stroked="t" coordsize="21600,21600" o:gfxdata="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ab0f52AAAAAkBAAAPAAAAAAAAAAEA&#10;IAAAACIAAABkcnMvZG93bnJldi54bWxQSwECFAAUAAAACACHTuJAFd1Ug9YBAABxAwAADgAAAAAA&#10;AAABACAAAAAnAQAAZHJzL2Uyb0RvYy54bWxQSwUGAAAAAAYABgBZAQAAbwUAAAAA&#10;">
            <v:path arrowok="t"/>
            <v:fill on="f" focussize="0,0"/>
            <v:stroke weight="0pt" color="#000000" joinstyle="round"/>
            <v:imagedata o:title=""/>
            <o:lock v:ext="edit" aspectratio="f"/>
          </v:line>
        </w:pict>
      </w:r>
      <w:r>
        <w:rPr>
          <w:rFonts w:hint="default" w:ascii="宋体" w:hAnsi="宋体" w:eastAsia="宋体"/>
          <w:color w:val="auto"/>
          <w:sz w:val="24"/>
          <w:szCs w:val="24"/>
          <w:highlight w:val="none"/>
        </w:rPr>
        <w:t>现文：7.6.1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Pr>
          <w:rFonts w:hint="default" w:ascii="宋体" w:hAnsi="宋体" w:eastAsia="宋体"/>
          <w:strike w:val="0"/>
          <w:color w:val="auto"/>
          <w:sz w:val="24"/>
          <w:szCs w:val="24"/>
          <w:highlight w:val="none"/>
        </w:rPr>
        <w:t>联合体中标的，其履约保证金以联合体各方或者联合体中主办方的名义提交。</w:t>
      </w:r>
    </w:p>
    <w:p w14:paraId="159D5E71">
      <w:pPr>
        <w:spacing w:line="480" w:lineRule="auto"/>
        <w:ind w:firstLine="537" w:firstLineChars="224"/>
        <w:rPr>
          <w:rFonts w:hint="default" w:ascii="宋体" w:hAnsi="宋体" w:eastAsia="宋体"/>
          <w:strike/>
          <w:color w:val="auto"/>
          <w:sz w:val="24"/>
          <w:szCs w:val="24"/>
          <w:highlight w:val="none"/>
        </w:rPr>
      </w:pPr>
    </w:p>
    <w:p w14:paraId="6BBE75C4">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color w:val="auto"/>
          <w:sz w:val="24"/>
          <w:szCs w:val="24"/>
          <w:highlight w:val="none"/>
          <w:lang w:val="en-US" w:eastAsia="zh-CN"/>
        </w:rPr>
        <w:t>7.6.2</w:t>
      </w:r>
      <w:r>
        <w:rPr>
          <w:rFonts w:hint="default" w:ascii="宋体" w:hAnsi="宋体" w:eastAsia="宋体"/>
          <w:color w:val="auto"/>
          <w:sz w:val="24"/>
          <w:szCs w:val="24"/>
          <w:highlight w:val="none"/>
        </w:rPr>
        <w:t xml:space="preserve">             修改类型：修改</w:t>
      </w:r>
    </w:p>
    <w:p w14:paraId="34B1C604">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w:t>
      </w:r>
      <w:r>
        <w:rPr>
          <w:rFonts w:hint="eastAsia" w:ascii="宋体" w:hAnsi="宋体"/>
          <w:color w:val="auto"/>
          <w:sz w:val="24"/>
          <w:szCs w:val="24"/>
          <w:highlight w:val="none"/>
          <w:lang w:val="en-US" w:eastAsia="zh-CN"/>
        </w:rPr>
        <w:t xml:space="preserve">7.6.2 </w:t>
      </w:r>
      <w:r>
        <w:rPr>
          <w:rFonts w:hint="default" w:ascii="宋体" w:hAnsi="宋体" w:eastAsia="宋体"/>
          <w:color w:val="auto"/>
          <w:sz w:val="24"/>
          <w:szCs w:val="24"/>
          <w:highlight w:val="none"/>
        </w:rPr>
        <w:t>中标人不能按本章第 7.6.1 项要求提交履约保证金的，视为放弃中标，其投标保证金不予退还，给招标人造成的损失超过投标保证金数额的，中标人还应当对超过部分予以赔偿。</w:t>
      </w:r>
    </w:p>
    <w:p w14:paraId="37500079">
      <w:pPr>
        <w:pBdr>
          <w:bottom w:val="none" w:color="auto" w:sz="0" w:space="0"/>
        </w:pBdr>
        <w:spacing w:line="480" w:lineRule="auto"/>
        <w:ind w:firstLine="537" w:firstLineChars="224"/>
        <w:rPr>
          <w:rFonts w:hint="default" w:ascii="宋体" w:hAnsi="宋体" w:eastAsia="宋体"/>
          <w:color w:val="auto"/>
          <w:sz w:val="24"/>
          <w:szCs w:val="24"/>
          <w:highlight w:val="none"/>
        </w:rPr>
      </w:pPr>
      <w:r>
        <w:rPr>
          <w:color w:val="auto"/>
          <w:sz w:val="24"/>
          <w:highlight w:val="none"/>
        </w:rPr>
        <w:pict>
          <v:line id="_x0000_s2058" o:spid="_x0000_s2058" o:spt="20" style="position:absolute;left:0pt;margin-left:-1.4pt;margin-top:86.3pt;height:0pt;width:446.7pt;z-index:251672576;mso-width-relative:page;mso-height-relative:page;" filled="f" stroked="t" coordsize="21600,21600" o:gfxdata="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gxNF/XAAAACgEAAA8AAAAAAAAAAQAgAAAAIgAAAGRy&#10;cy9kb3ducmV2LnhtbFBLAQIUABQAAAAIAIdO4kCGlmz9zQEAAGQDAAAOAAAAAAAAAAEAIAAAACYB&#10;AABkcnMvZTJvRG9jLnhtbFBLBQYAAAAABgAGAFkBAABlBQAAAAA=&#10;">
            <v:path arrowok="t"/>
            <v:fill on="f" focussize="0,0"/>
            <v:stroke weight="0pt" color="#000000" joinstyle="round"/>
            <v:imagedata o:title=""/>
            <o:lock v:ext="edit" aspectratio="f"/>
          </v:line>
        </w:pict>
      </w:r>
      <w:r>
        <w:rPr>
          <w:rFonts w:hint="default" w:ascii="宋体" w:hAnsi="宋体" w:eastAsia="宋体"/>
          <w:color w:val="auto"/>
          <w:sz w:val="24"/>
          <w:szCs w:val="24"/>
          <w:highlight w:val="none"/>
        </w:rPr>
        <w:t>现文：</w:t>
      </w:r>
      <w:r>
        <w:rPr>
          <w:rFonts w:hint="eastAsia" w:ascii="宋体" w:hAnsi="宋体"/>
          <w:color w:val="auto"/>
          <w:sz w:val="24"/>
          <w:szCs w:val="24"/>
          <w:highlight w:val="none"/>
          <w:lang w:val="en-US" w:eastAsia="zh-CN"/>
        </w:rPr>
        <w:t xml:space="preserve">7.6.2 </w:t>
      </w:r>
      <w:r>
        <w:rPr>
          <w:rFonts w:hint="default" w:ascii="宋体" w:hAnsi="宋体" w:eastAsia="宋体"/>
          <w:color w:val="auto"/>
          <w:sz w:val="24"/>
          <w:szCs w:val="24"/>
          <w:highlight w:val="none"/>
        </w:rPr>
        <w:t>中标人不能按本章第 7.6.1 项要求提交履约保证金的，视为放弃中标，</w:t>
      </w:r>
      <w:r>
        <w:rPr>
          <w:rFonts w:hint="default" w:ascii="宋体" w:hAnsi="宋体" w:eastAsia="宋体"/>
          <w:strike/>
          <w:color w:val="auto"/>
          <w:sz w:val="24"/>
          <w:szCs w:val="24"/>
          <w:highlight w:val="none"/>
        </w:rPr>
        <w:t>其投标保证金不予退还，</w:t>
      </w:r>
      <w:r>
        <w:rPr>
          <w:rFonts w:hint="default" w:ascii="宋体" w:hAnsi="宋体" w:eastAsia="宋体"/>
          <w:strike w:val="0"/>
          <w:color w:val="auto"/>
          <w:sz w:val="24"/>
          <w:szCs w:val="24"/>
          <w:highlight w:val="none"/>
        </w:rPr>
        <w:t>给招标人造成的损失</w:t>
      </w:r>
      <w:r>
        <w:rPr>
          <w:rFonts w:hint="default" w:ascii="宋体" w:hAnsi="宋体" w:eastAsia="宋体"/>
          <w:strike/>
          <w:color w:val="auto"/>
          <w:sz w:val="24"/>
          <w:szCs w:val="24"/>
          <w:highlight w:val="none"/>
        </w:rPr>
        <w:t>超过投标保证金数额</w:t>
      </w:r>
      <w:r>
        <w:rPr>
          <w:rFonts w:hint="default" w:ascii="宋体" w:hAnsi="宋体" w:eastAsia="宋体"/>
          <w:strike w:val="0"/>
          <w:color w:val="auto"/>
          <w:sz w:val="24"/>
          <w:szCs w:val="24"/>
          <w:highlight w:val="none"/>
        </w:rPr>
        <w:t>的</w:t>
      </w:r>
      <w:r>
        <w:rPr>
          <w:rFonts w:hint="default" w:ascii="宋体" w:hAnsi="宋体" w:eastAsia="宋体"/>
          <w:strike/>
          <w:color w:val="auto"/>
          <w:sz w:val="24"/>
          <w:szCs w:val="24"/>
          <w:highlight w:val="none"/>
        </w:rPr>
        <w:t>，</w:t>
      </w:r>
      <w:r>
        <w:rPr>
          <w:rFonts w:hint="default" w:ascii="宋体" w:hAnsi="宋体" w:eastAsia="宋体"/>
          <w:color w:val="auto"/>
          <w:sz w:val="24"/>
          <w:szCs w:val="24"/>
          <w:highlight w:val="none"/>
        </w:rPr>
        <w:t>中标人还应当对</w:t>
      </w:r>
      <w:r>
        <w:rPr>
          <w:rFonts w:hint="eastAsia" w:ascii="宋体" w:hAnsi="宋体" w:eastAsia="宋体"/>
          <w:color w:val="auto"/>
          <w:sz w:val="24"/>
          <w:szCs w:val="24"/>
          <w:highlight w:val="none"/>
          <w:lang w:eastAsia="zh-CN"/>
        </w:rPr>
        <w:t>造成损</w:t>
      </w:r>
      <w:r>
        <w:rPr>
          <w:rFonts w:hint="eastAsia" w:ascii="宋体" w:hAnsi="宋体"/>
          <w:color w:val="auto"/>
          <w:sz w:val="24"/>
          <w:szCs w:val="24"/>
          <w:highlight w:val="none"/>
          <w:lang w:eastAsia="zh-CN"/>
        </w:rPr>
        <w:t>失的</w:t>
      </w:r>
      <w:r>
        <w:rPr>
          <w:rFonts w:hint="default" w:ascii="宋体" w:hAnsi="宋体" w:eastAsia="宋体"/>
          <w:color w:val="auto"/>
          <w:sz w:val="24"/>
          <w:szCs w:val="24"/>
          <w:highlight w:val="none"/>
        </w:rPr>
        <w:t>部分予以赔偿。</w:t>
      </w:r>
    </w:p>
    <w:p w14:paraId="42876A3B">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color w:val="auto"/>
          <w:sz w:val="24"/>
          <w:szCs w:val="24"/>
          <w:highlight w:val="none"/>
          <w:lang w:val="en-US" w:eastAsia="zh-CN"/>
        </w:rPr>
        <w:t xml:space="preserve">7.7 </w:t>
      </w:r>
      <w:r>
        <w:rPr>
          <w:rFonts w:hint="default" w:ascii="宋体" w:hAnsi="宋体" w:eastAsia="宋体"/>
          <w:color w:val="auto"/>
          <w:sz w:val="24"/>
          <w:szCs w:val="24"/>
          <w:highlight w:val="none"/>
        </w:rPr>
        <w:t xml:space="preserve">            修改类型：修改</w:t>
      </w:r>
    </w:p>
    <w:p w14:paraId="6A45FB5F">
      <w:pPr>
        <w:pBdr>
          <w:bottom w:val="none" w:color="auto" w:sz="0" w:space="0"/>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原文：7.7 签订合同</w:t>
      </w:r>
    </w:p>
    <w:p w14:paraId="36257B2F">
      <w:pPr>
        <w:pBdr>
          <w:bottom w:val="none" w:color="auto" w:sz="0" w:space="0"/>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7.7.1 招标人和中标人应当在中标通知书发出之日起30日内，根据招标文件和中标人的投标文件订立书面合同，并通过电子交易系统与中标人在线签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23EC8DE">
      <w:pPr>
        <w:pBdr>
          <w:bottom w:val="none" w:color="auto" w:sz="0" w:space="0"/>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42F67E7E">
      <w:pPr>
        <w:pBdr>
          <w:bottom w:val="none" w:color="auto" w:sz="0" w:space="0"/>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7.7.3 联合体中标的，联合体各方应当共同与招标人签订合同，就中标项目向招标人承担连带责任。</w:t>
      </w:r>
    </w:p>
    <w:p w14:paraId="6CDB752A">
      <w:pPr>
        <w:pBdr>
          <w:bottom w:val="none" w:color="auto" w:sz="0" w:space="0"/>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现文：7.7 签订合同</w:t>
      </w:r>
    </w:p>
    <w:p w14:paraId="40317E0C">
      <w:pPr>
        <w:pBdr>
          <w:bottom w:val="none" w:color="auto" w:sz="0" w:space="0"/>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7.7.1 招标人和中标人应当在中标通知书发出之日起30日内，根据招标文件和中标人的投标文件订立书面合同，并通过电子交易系统与中标人在线签订合同。中标人无正当理由拒签合同，在签订合同时向招标人提出附加条件，或者不按照招标文件要求提交履约保证金的，招标人有权取消其中标资格，</w:t>
      </w:r>
      <w:r>
        <w:rPr>
          <w:rFonts w:hint="default" w:ascii="宋体" w:hAnsi="宋体" w:eastAsia="宋体"/>
          <w:strike/>
          <w:color w:val="auto"/>
          <w:sz w:val="24"/>
          <w:szCs w:val="24"/>
          <w:highlight w:val="none"/>
        </w:rPr>
        <w:t>其投标保证金不予退还；</w:t>
      </w:r>
      <w:r>
        <w:rPr>
          <w:rFonts w:hint="default" w:ascii="宋体" w:hAnsi="宋体" w:eastAsia="宋体"/>
          <w:color w:val="auto"/>
          <w:sz w:val="24"/>
          <w:szCs w:val="24"/>
          <w:highlight w:val="none"/>
        </w:rPr>
        <w:t>给招标人造成</w:t>
      </w:r>
      <w:r>
        <w:rPr>
          <w:rFonts w:hint="default" w:ascii="宋体" w:hAnsi="宋体" w:eastAsia="宋体"/>
          <w:strike/>
          <w:color w:val="auto"/>
          <w:sz w:val="24"/>
          <w:szCs w:val="24"/>
          <w:highlight w:val="none"/>
        </w:rPr>
        <w:t>的</w:t>
      </w:r>
      <w:r>
        <w:rPr>
          <w:rFonts w:hint="default" w:ascii="宋体" w:hAnsi="宋体" w:eastAsia="宋体"/>
          <w:color w:val="auto"/>
          <w:sz w:val="24"/>
          <w:szCs w:val="24"/>
          <w:highlight w:val="none"/>
        </w:rPr>
        <w:t>损失</w:t>
      </w:r>
      <w:r>
        <w:rPr>
          <w:rFonts w:hint="default" w:ascii="宋体" w:hAnsi="宋体" w:eastAsia="宋体"/>
          <w:strike/>
          <w:color w:val="auto"/>
          <w:sz w:val="24"/>
          <w:szCs w:val="24"/>
          <w:highlight w:val="none"/>
        </w:rPr>
        <w:t>超过投标保证金数额</w:t>
      </w:r>
      <w:r>
        <w:rPr>
          <w:rFonts w:hint="default" w:ascii="宋体" w:hAnsi="宋体" w:eastAsia="宋体"/>
          <w:color w:val="auto"/>
          <w:sz w:val="24"/>
          <w:szCs w:val="24"/>
          <w:highlight w:val="none"/>
        </w:rPr>
        <w:t>的，中标人还应当对</w:t>
      </w:r>
      <w:r>
        <w:rPr>
          <w:rFonts w:hint="eastAsia" w:ascii="宋体" w:hAnsi="宋体" w:eastAsia="宋体"/>
          <w:color w:val="auto"/>
          <w:sz w:val="24"/>
          <w:szCs w:val="24"/>
          <w:highlight w:val="none"/>
          <w:lang w:eastAsia="zh-CN"/>
        </w:rPr>
        <w:t>造成损</w:t>
      </w:r>
      <w:r>
        <w:rPr>
          <w:rFonts w:hint="eastAsia" w:ascii="宋体" w:hAnsi="宋体"/>
          <w:color w:val="auto"/>
          <w:sz w:val="24"/>
          <w:szCs w:val="24"/>
          <w:highlight w:val="none"/>
          <w:lang w:eastAsia="zh-CN"/>
        </w:rPr>
        <w:t>失的</w:t>
      </w:r>
      <w:r>
        <w:rPr>
          <w:rFonts w:hint="default" w:ascii="宋体" w:hAnsi="宋体" w:eastAsia="宋体"/>
          <w:color w:val="auto"/>
          <w:sz w:val="24"/>
          <w:szCs w:val="24"/>
          <w:highlight w:val="none"/>
        </w:rPr>
        <w:t>部分予以赔偿。</w:t>
      </w:r>
    </w:p>
    <w:p w14:paraId="36E74C4B">
      <w:pPr>
        <w:pBdr>
          <w:bottom w:val="none" w:color="auto" w:sz="0" w:space="0"/>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7.7.2 发出中标通知书后，招标人无正当理由拒签合同，或者在签订合同时向中标人提出附加条件的，</w:t>
      </w:r>
      <w:r>
        <w:rPr>
          <w:rFonts w:hint="default" w:ascii="宋体" w:hAnsi="宋体" w:eastAsia="宋体"/>
          <w:strike/>
          <w:color w:val="auto"/>
          <w:sz w:val="24"/>
          <w:szCs w:val="24"/>
          <w:highlight w:val="none"/>
        </w:rPr>
        <w:t>招标人向中标人退还投标保证金；</w:t>
      </w:r>
      <w:r>
        <w:rPr>
          <w:rFonts w:hint="default" w:ascii="宋体" w:hAnsi="宋体" w:eastAsia="宋体"/>
          <w:color w:val="auto"/>
          <w:sz w:val="24"/>
          <w:szCs w:val="24"/>
          <w:highlight w:val="none"/>
        </w:rPr>
        <w:t>给中标人造成损失的，还应当赔偿损失。</w:t>
      </w:r>
    </w:p>
    <w:p w14:paraId="4E870AEB">
      <w:pPr>
        <w:pBdr>
          <w:bottom w:val="none" w:color="auto" w:sz="0" w:space="0"/>
        </w:pBdr>
        <w:spacing w:line="480" w:lineRule="auto"/>
        <w:ind w:firstLine="537" w:firstLineChars="224"/>
        <w:rPr>
          <w:rFonts w:hint="default" w:ascii="宋体" w:hAnsi="宋体" w:eastAsia="宋体"/>
          <w:strike w:val="0"/>
          <w:color w:val="auto"/>
          <w:sz w:val="24"/>
          <w:szCs w:val="24"/>
          <w:highlight w:val="none"/>
        </w:rPr>
      </w:pPr>
      <w:r>
        <w:rPr>
          <w:rFonts w:hint="default" w:ascii="宋体" w:hAnsi="宋体" w:eastAsia="宋体"/>
          <w:strike w:val="0"/>
          <w:color w:val="auto"/>
          <w:sz w:val="24"/>
          <w:szCs w:val="24"/>
          <w:highlight w:val="none"/>
        </w:rPr>
        <w:t>7.7.3 联合体中标的，联合体各方应当共同与招标人签订合同，就中标项目向招标人承担连带责任。</w:t>
      </w:r>
    </w:p>
    <w:p w14:paraId="344F229C">
      <w:pPr>
        <w:pBdr>
          <w:bottom w:val="none" w:color="auto" w:sz="0" w:space="0"/>
        </w:pBdr>
        <w:spacing w:line="480" w:lineRule="auto"/>
        <w:ind w:firstLine="537" w:firstLineChars="224"/>
        <w:rPr>
          <w:rFonts w:hint="default" w:ascii="宋体" w:hAnsi="宋体" w:eastAsia="宋体"/>
          <w:color w:val="auto"/>
          <w:sz w:val="24"/>
          <w:szCs w:val="24"/>
          <w:highlight w:val="none"/>
        </w:rPr>
      </w:pPr>
      <w:r>
        <w:rPr>
          <w:color w:val="auto"/>
          <w:sz w:val="24"/>
          <w:highlight w:val="none"/>
        </w:rPr>
        <w:pict>
          <v:line id="_x0000_s2059" o:spid="_x0000_s2059" o:spt="20" style="position:absolute;left:0pt;margin-left:-0.15pt;margin-top:9.95pt;height:1.05pt;width:456.4pt;z-index:251664384;mso-width-relative:page;mso-height-relative:page;" filled="f" stroked="t" coordsize="21600,21600" o:gfxdata="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MteNv1gAAAAcBAAAPAAAAAAAAAAEAIAAAACIAAABk&#10;cnMvZG93bnJldi54bWxQSwECFAAUAAAACACHTuJAmpOGYc8BAABoAwAADgAAAAAAAAABACAAAAAl&#10;AQAAZHJzL2Uyb0RvYy54bWxQSwUGAAAAAAYABgBZAQAAZgUAAAAA&#10;">
            <v:path arrowok="t"/>
            <v:fill on="f" focussize="0,0"/>
            <v:stroke weight="0pt" color="#000000" joinstyle="round"/>
            <v:imagedata o:title=""/>
            <o:lock v:ext="edit" aspectratio="f"/>
          </v:line>
        </w:pict>
      </w:r>
    </w:p>
    <w:p w14:paraId="084EC27D">
      <w:pPr>
        <w:spacing w:line="360" w:lineRule="auto"/>
        <w:rPr>
          <w:rFonts w:hint="default" w:ascii="宋体" w:hAnsi="宋体" w:eastAsia="宋体"/>
          <w:color w:val="auto"/>
          <w:sz w:val="24"/>
          <w:szCs w:val="24"/>
          <w:highlight w:val="none"/>
        </w:rPr>
      </w:pPr>
      <w:r>
        <w:rPr>
          <w:rFonts w:hint="default" w:ascii="宋体" w:hAnsi="宋体" w:eastAsia="宋体"/>
          <w:color w:val="auto"/>
          <w:sz w:val="24"/>
          <w:szCs w:val="24"/>
          <w:highlight w:val="none"/>
        </w:rPr>
        <w:t>注：以上修改，仅限于本范本中有可供选择条款的情形。</w:t>
      </w:r>
    </w:p>
    <w:p w14:paraId="155B7FA5">
      <w:pPr>
        <w:spacing w:line="360" w:lineRule="auto"/>
        <w:rPr>
          <w:rFonts w:hint="default" w:ascii="宋体" w:hAnsi="宋体" w:eastAsia="宋体"/>
          <w:color w:val="auto"/>
          <w:sz w:val="24"/>
          <w:szCs w:val="24"/>
          <w:highlight w:val="none"/>
        </w:rPr>
      </w:pPr>
      <w:r>
        <w:rPr>
          <w:rFonts w:hint="default" w:ascii="宋体" w:hAnsi="宋体" w:eastAsia="宋体"/>
          <w:color w:val="auto"/>
          <w:sz w:val="24"/>
          <w:szCs w:val="24"/>
          <w:highlight w:val="none"/>
        </w:rPr>
        <w:t>（以下无正文）</w:t>
      </w:r>
    </w:p>
    <w:p w14:paraId="17982C11">
      <w:pPr>
        <w:pStyle w:val="5"/>
        <w:outlineLvl w:val="9"/>
        <w:rPr>
          <w:rFonts w:hint="default" w:cs="宋体"/>
          <w:color w:val="auto"/>
          <w:sz w:val="24"/>
          <w:szCs w:val="24"/>
          <w:highlight w:val="none"/>
        </w:rPr>
        <w:sectPr>
          <w:pgSz w:w="11905" w:h="16838"/>
          <w:pgMar w:top="1417" w:right="1417" w:bottom="1417" w:left="1417" w:header="992" w:footer="992" w:gutter="0"/>
          <w:lnNumType w:countBy="0" w:distance="360"/>
          <w:cols w:space="720" w:num="1"/>
        </w:sectPr>
      </w:pPr>
    </w:p>
    <w:p w14:paraId="6B12F891">
      <w:pPr>
        <w:pStyle w:val="5"/>
        <w:outlineLvl w:val="1"/>
        <w:rPr>
          <w:rFonts w:hint="default" w:cs="宋体"/>
          <w:b w:val="0"/>
          <w:color w:val="auto"/>
          <w:sz w:val="24"/>
          <w:szCs w:val="24"/>
          <w:highlight w:val="none"/>
        </w:rPr>
      </w:pPr>
      <w:r>
        <w:rPr>
          <w:rFonts w:hint="default" w:cs="宋体"/>
          <w:color w:val="auto"/>
          <w:sz w:val="24"/>
          <w:szCs w:val="24"/>
          <w:highlight w:val="none"/>
        </w:rPr>
        <w:t>1.总则</w:t>
      </w:r>
    </w:p>
    <w:p w14:paraId="29183FC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1.1 招标项目概况</w:t>
      </w:r>
    </w:p>
    <w:p w14:paraId="557A64B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1.1.1 根据《中华人民共和国招标投标法》、《中华人民共和国招标投标法实施条例》等有关</w:t>
      </w:r>
      <w:r>
        <w:rPr>
          <w:rFonts w:hint="eastAsia" w:cs="Times New Roman"/>
          <w:color w:val="auto"/>
          <w:sz w:val="24"/>
          <w:szCs w:val="24"/>
          <w:highlight w:val="none"/>
          <w:lang w:eastAsia="zh-CN"/>
        </w:rPr>
        <w:t>法律法规</w:t>
      </w:r>
      <w:r>
        <w:rPr>
          <w:rFonts w:hint="default" w:cs="Times New Roman"/>
          <w:color w:val="auto"/>
          <w:sz w:val="24"/>
          <w:szCs w:val="24"/>
          <w:highlight w:val="none"/>
        </w:rPr>
        <w:t>和规章的规定，本招标项目已具备招标条件，现对监理进行招标。</w:t>
      </w:r>
    </w:p>
    <w:p w14:paraId="4851A3BF">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1.1.2 招标人：见投标人须知前附表。</w:t>
      </w:r>
    </w:p>
    <w:p w14:paraId="3311AA5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1.1.3 招标代理机构：见投标人须知前附表。</w:t>
      </w:r>
    </w:p>
    <w:p w14:paraId="283FC6DF">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1.1.4 招标项目名称：见投标人须知前附表。</w:t>
      </w:r>
    </w:p>
    <w:p w14:paraId="1156984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1.1.5 项目建设地点：见投标人须知前附表。</w:t>
      </w:r>
    </w:p>
    <w:p w14:paraId="4FA8AD42">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1.1.6 项目建设规模：见投标人须知前附表。</w:t>
      </w:r>
    </w:p>
    <w:p w14:paraId="4EF4D9B4">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1.1.7 工程项目施工预计开工日期和建设周期：见投标人须知前附表。</w:t>
      </w:r>
    </w:p>
    <w:p w14:paraId="13FF81D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1.1.8 建筑安装工程费/工程概算：见投标人须知前附表。</w:t>
      </w:r>
    </w:p>
    <w:p w14:paraId="7BCD77E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1.2 招标项目的资金来源和落实情况</w:t>
      </w:r>
    </w:p>
    <w:p w14:paraId="7DA35B60">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1.2.1 资金来源及比例：见投标人须知前附表。</w:t>
      </w:r>
    </w:p>
    <w:p w14:paraId="5F1E905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1.2.2 资金落实情况：见投标人须知前附表。</w:t>
      </w:r>
    </w:p>
    <w:p w14:paraId="5D0856F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1.3 招标范围、监理服务期限和质量标准</w:t>
      </w:r>
    </w:p>
    <w:p w14:paraId="14502BD2">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1.3.1 招标范围：见投标人须知前附表。</w:t>
      </w:r>
    </w:p>
    <w:p w14:paraId="579E67D5">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1.3.2 监理服务期限：见投标人须知前附表。</w:t>
      </w:r>
    </w:p>
    <w:p w14:paraId="1EC1D1A0">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1.3.3 质量标准：见投标人须知前附表。</w:t>
      </w:r>
    </w:p>
    <w:p w14:paraId="6971C03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1.4 投标人资格要求</w:t>
      </w:r>
    </w:p>
    <w:p w14:paraId="6A18CECF">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1.4.1 投标人应具备承担本招标项目资质条件、能力和信誉：</w:t>
      </w:r>
    </w:p>
    <w:p w14:paraId="45FFA126">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（1）资质要求：见投标人须知前附表；</w:t>
      </w:r>
    </w:p>
    <w:p w14:paraId="6D29E760">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（2）财务要求：见投标人须知前附表；</w:t>
      </w:r>
    </w:p>
    <w:p w14:paraId="63F0132C">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（3）业绩要求：见投标人须知前附表；</w:t>
      </w:r>
    </w:p>
    <w:p w14:paraId="15393C29">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（4）信誉要求：见投标人须知前附表；</w:t>
      </w:r>
    </w:p>
    <w:p w14:paraId="0365E305">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（5）总监理工程师的资格要求：应当具备工程注册监理工程师执业资格，具体要求见投标人须知前附表；</w:t>
      </w:r>
    </w:p>
    <w:p w14:paraId="033C0844">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（6）其他主要人员要求：见投标人须知前附表。</w:t>
      </w:r>
    </w:p>
    <w:p w14:paraId="6151C6D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（7）试验检测仪器设备要求：见投标人须知前附表。</w:t>
      </w:r>
    </w:p>
    <w:p w14:paraId="7998CB96">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（8）其他要求：见投标人须知前附表。需要提交的相关证明材料见本章第 3.5 款的规定。</w:t>
      </w:r>
    </w:p>
    <w:p w14:paraId="236C509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val="0"/>
          <w:color w:val="auto"/>
          <w:sz w:val="24"/>
          <w:szCs w:val="24"/>
          <w:highlight w:val="none"/>
        </w:rPr>
      </w:pPr>
      <w:r>
        <w:rPr>
          <w:rFonts w:hint="default" w:cs="Times New Roman"/>
          <w:strike w:val="0"/>
          <w:color w:val="auto"/>
          <w:sz w:val="24"/>
          <w:szCs w:val="24"/>
          <w:highlight w:val="none"/>
        </w:rPr>
        <w:t>1.4.2 投标人须知前附表规定接受联合体投标的，联合体除应符合本章第 1.4.1 项和投标人须知前附表的要求外，还应遵守以下规定：</w:t>
      </w:r>
    </w:p>
    <w:p w14:paraId="318188A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val="0"/>
          <w:color w:val="auto"/>
          <w:sz w:val="24"/>
          <w:szCs w:val="24"/>
          <w:highlight w:val="none"/>
        </w:rPr>
      </w:pPr>
      <w:r>
        <w:rPr>
          <w:rFonts w:hint="default" w:cs="Times New Roman"/>
          <w:strike w:val="0"/>
          <w:color w:val="auto"/>
          <w:sz w:val="24"/>
          <w:szCs w:val="24"/>
          <w:highlight w:val="none"/>
        </w:rPr>
        <w:t>（1）联合体各方应按招标文件提供的格式签订联合体协议书，明确联合体</w:t>
      </w:r>
      <w:r>
        <w:rPr>
          <w:rFonts w:hint="default"/>
          <w:strike w:val="0"/>
          <w:color w:val="auto"/>
          <w:spacing w:val="-2"/>
          <w:sz w:val="24"/>
          <w:szCs w:val="24"/>
          <w:highlight w:val="none"/>
          <w:lang w:eastAsia="zh-CN"/>
        </w:rPr>
        <w:t>主办方</w:t>
      </w:r>
      <w:r>
        <w:rPr>
          <w:rFonts w:hint="default" w:cs="Times New Roman"/>
          <w:strike w:val="0"/>
          <w:color w:val="auto"/>
          <w:sz w:val="24"/>
          <w:szCs w:val="24"/>
          <w:highlight w:val="none"/>
        </w:rPr>
        <w:t>和各方权利义务，并承诺就中标项目向招标人承担连带责任；</w:t>
      </w:r>
    </w:p>
    <w:p w14:paraId="7FBFF5A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val="0"/>
          <w:color w:val="auto"/>
          <w:sz w:val="24"/>
          <w:szCs w:val="24"/>
          <w:highlight w:val="none"/>
        </w:rPr>
      </w:pPr>
      <w:r>
        <w:rPr>
          <w:rFonts w:hint="default" w:cs="Times New Roman"/>
          <w:strike w:val="0"/>
          <w:color w:val="auto"/>
          <w:sz w:val="24"/>
          <w:szCs w:val="24"/>
          <w:highlight w:val="none"/>
        </w:rPr>
        <w:t>（2）由同一专业的单位组成的联合体，按照资质等级较低的单位确定资质等级；</w:t>
      </w:r>
    </w:p>
    <w:p w14:paraId="144AB54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val="0"/>
          <w:color w:val="auto"/>
          <w:sz w:val="24"/>
          <w:szCs w:val="24"/>
          <w:highlight w:val="none"/>
        </w:rPr>
      </w:pPr>
      <w:r>
        <w:rPr>
          <w:rFonts w:hint="default" w:cs="Times New Roman"/>
          <w:strike w:val="0"/>
          <w:color w:val="auto"/>
          <w:sz w:val="24"/>
          <w:szCs w:val="24"/>
          <w:highlight w:val="none"/>
        </w:rPr>
        <w:t>（3）联合体各方不得再以自己名义单独或参加其他联合体在本招标项目中投标，否则各相关投标均无效。</w:t>
      </w:r>
    </w:p>
    <w:p w14:paraId="3BFB340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1.4.3 投标人不得存在下列情形之一：</w:t>
      </w:r>
    </w:p>
    <w:p w14:paraId="76E31D8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（1）为招标人不具有独立法人资格的附属机构（单位）；</w:t>
      </w:r>
    </w:p>
    <w:p w14:paraId="2530DC9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（2）与招标人存在利害关系且可能影响招标公正性；</w:t>
      </w:r>
    </w:p>
    <w:p w14:paraId="10B0651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（3）与本招标项目的其他投标人为同一个单位负责人；</w:t>
      </w:r>
    </w:p>
    <w:p w14:paraId="384BDB8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（4）与本招标项目的其他投标人存在控股、管理关系；</w:t>
      </w:r>
    </w:p>
    <w:p w14:paraId="0712F43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（5）为本招标项目的代建人；</w:t>
      </w:r>
    </w:p>
    <w:p w14:paraId="50AE8FC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（6）为本招标项目的招标代理机构；</w:t>
      </w:r>
    </w:p>
    <w:p w14:paraId="16A39AF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（7）与本招标项目的代建人或招标代理机构同为一个法定代表人；</w:t>
      </w:r>
    </w:p>
    <w:p w14:paraId="2D02420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（8）与本招标项目的代建人或招标代理机构存在控股或参股关系；</w:t>
      </w:r>
    </w:p>
    <w:p w14:paraId="6A84D6E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（9）与本招标项目的检测机构、建设</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施工</w:t>
      </w:r>
      <w:r>
        <w:rPr>
          <w:rFonts w:hint="default" w:cs="Times New Roman"/>
          <w:color w:val="auto"/>
          <w:sz w:val="24"/>
          <w:szCs w:val="24"/>
          <w:highlight w:val="none"/>
        </w:rPr>
        <w:t>单位以及建筑材料、建筑构配件和设备供应商</w:t>
      </w:r>
      <w:r>
        <w:rPr>
          <w:rFonts w:hint="eastAsia" w:cs="Times New Roman"/>
          <w:color w:val="auto"/>
          <w:sz w:val="24"/>
          <w:szCs w:val="24"/>
          <w:highlight w:val="none"/>
          <w:lang w:eastAsia="zh-CN"/>
        </w:rPr>
        <w:t>有隶属关系或者其他利害关系</w:t>
      </w:r>
      <w:r>
        <w:rPr>
          <w:rFonts w:hint="default" w:cs="Times New Roman"/>
          <w:color w:val="auto"/>
          <w:sz w:val="24"/>
          <w:szCs w:val="24"/>
          <w:highlight w:val="none"/>
        </w:rPr>
        <w:t>；</w:t>
      </w:r>
    </w:p>
    <w:p w14:paraId="6E9AE96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（10）被依法暂停或者取消投标资格；</w:t>
      </w:r>
    </w:p>
    <w:p w14:paraId="7129E96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1C3F5F1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5B15480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（13）进入清算程序，或被宣布破产，或其他丧失履约能力的情形；</w:t>
      </w:r>
    </w:p>
    <w:p w14:paraId="46895FB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C280E1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w:t>
      </w:r>
      <w:r>
        <w:rPr>
          <w:rFonts w:hint="eastAsia" w:cs="Times New Roman"/>
          <w:color w:val="auto"/>
          <w:sz w:val="24"/>
          <w:szCs w:val="24"/>
          <w:highlight w:val="none"/>
          <w:lang w:val="en-US" w:eastAsia="zh-CN"/>
        </w:rPr>
        <w:t>5</w:t>
      </w:r>
      <w:r>
        <w:rPr>
          <w:rFonts w:hint="default" w:cs="Times New Roman"/>
          <w:color w:val="auto"/>
          <w:sz w:val="24"/>
          <w:szCs w:val="24"/>
          <w:highlight w:val="none"/>
        </w:rPr>
        <w:t>）法律法规规定的其他情形。</w:t>
      </w:r>
    </w:p>
    <w:p w14:paraId="6EE5D0F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240" w:firstLineChars="100"/>
        <w:jc w:val="both"/>
        <w:rPr>
          <w:rFonts w:hint="default"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1.4.4 投标人未被列入“在一定期限内依法取消参加依法必须进行招标的项目的投标资格”，具体名单以递交投标文件截止时间“信用广州”公布的“黑名单”为准。</w:t>
      </w:r>
    </w:p>
    <w:p w14:paraId="5BFDB3D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1.5 费用承担</w:t>
      </w:r>
    </w:p>
    <w:p w14:paraId="5D4A089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投标人准备和参加投标活动发生的费用自理。</w:t>
      </w:r>
    </w:p>
    <w:p w14:paraId="49058D2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1.6 保密</w:t>
      </w:r>
    </w:p>
    <w:p w14:paraId="188B1EE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参与招标投标活动的各方应对招标文件和投标文件中的商业和技术等秘密保密，否则应承 担相应的法律责任。</w:t>
      </w:r>
    </w:p>
    <w:p w14:paraId="5D02879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1.7 语言文字</w:t>
      </w:r>
    </w:p>
    <w:p w14:paraId="6159E2E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招标投标文件使用的语言文字为中文。专用术语使用外文的，应附有中文注释。</w:t>
      </w:r>
    </w:p>
    <w:p w14:paraId="59B5014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1.8 计量单位</w:t>
      </w:r>
    </w:p>
    <w:p w14:paraId="443C3DE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所有计量均采用中华人民共和国法定计量单位。</w:t>
      </w:r>
    </w:p>
    <w:p w14:paraId="18730D8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1.9 踏勘现场</w:t>
      </w:r>
    </w:p>
    <w:p w14:paraId="648E31D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5B58618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1.9.2 投标人踏勘现场发生的费用自理。</w:t>
      </w:r>
    </w:p>
    <w:p w14:paraId="51D3704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1.9.3 除招标人的原因外，投标人自行负责在踏勘现场中所发生的人员伤亡和财产损失。</w:t>
      </w:r>
    </w:p>
    <w:p w14:paraId="7E8ED21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1.9.4 招标人在踏勘现场中介绍的工程场地和相关的周边环境情况，供投标人在编制投标文件时参考，招标人不对投标人据此作出的判断和决策负责。</w:t>
      </w:r>
    </w:p>
    <w:p w14:paraId="46015A7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1.10 投标预备会</w:t>
      </w:r>
    </w:p>
    <w:p w14:paraId="1787B40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default" w:cs="Times New Roman"/>
          <w:color w:val="auto"/>
          <w:sz w:val="24"/>
          <w:szCs w:val="24"/>
          <w:highlight w:val="none"/>
        </w:rPr>
      </w:pPr>
      <w:r>
        <w:rPr>
          <w:rFonts w:hint="default" w:cs="Times New Roman"/>
          <w:color w:val="auto"/>
          <w:sz w:val="24"/>
          <w:szCs w:val="24"/>
          <w:highlight w:val="none"/>
        </w:rPr>
        <w:t>1.10.1 投标人须知前附表规定召开投标预备会的，招标人按投标人须知前附表规定的时间和地点召开投标预备会，澄清投标人提出的问题。</w:t>
      </w:r>
    </w:p>
    <w:p w14:paraId="17D9C79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default" w:cs="Times New Roman"/>
          <w:color w:val="auto"/>
          <w:sz w:val="24"/>
          <w:szCs w:val="24"/>
          <w:highlight w:val="none"/>
        </w:rPr>
      </w:pPr>
      <w:r>
        <w:rPr>
          <w:rFonts w:hint="default" w:cs="Times New Roman"/>
          <w:color w:val="auto"/>
          <w:sz w:val="24"/>
          <w:szCs w:val="24"/>
          <w:highlight w:val="none"/>
        </w:rPr>
        <w:t>1.10.2 投标人应按投标人须知前附表规定的时间和形式将提出的问题送达招标人</w:t>
      </w:r>
      <w:r>
        <w:rPr>
          <w:rFonts w:hint="default" w:cs="Times New Roman"/>
          <w:color w:val="auto"/>
          <w:sz w:val="24"/>
          <w:szCs w:val="24"/>
          <w:highlight w:val="none"/>
          <w:lang w:eastAsia="zh-CN"/>
        </w:rPr>
        <w:t>，</w:t>
      </w:r>
      <w:r>
        <w:rPr>
          <w:rFonts w:hint="default" w:cs="Times New Roman"/>
          <w:color w:val="auto"/>
          <w:sz w:val="24"/>
          <w:szCs w:val="24"/>
          <w:highlight w:val="none"/>
        </w:rPr>
        <w:t>以便招标人在会议期间澄清。</w:t>
      </w:r>
    </w:p>
    <w:p w14:paraId="2BF0692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default" w:cs="Times New Roman"/>
          <w:color w:val="auto"/>
          <w:sz w:val="24"/>
          <w:szCs w:val="24"/>
          <w:highlight w:val="none"/>
        </w:rPr>
      </w:pPr>
      <w:r>
        <w:rPr>
          <w:rFonts w:hint="default" w:cs="Times New Roman"/>
          <w:color w:val="auto"/>
          <w:sz w:val="24"/>
          <w:szCs w:val="24"/>
          <w:highlight w:val="none"/>
        </w:rPr>
        <w:t>1.10.3 投标预备会后，招标人将对投标人所提问题的澄清，以投标人须知前附表规定的形式通知所有</w:t>
      </w:r>
      <w:r>
        <w:rPr>
          <w:rFonts w:hint="default" w:cs="Times New Roman"/>
          <w:color w:val="auto"/>
          <w:sz w:val="24"/>
          <w:szCs w:val="24"/>
          <w:highlight w:val="none"/>
          <w:lang w:eastAsia="zh-CN"/>
        </w:rPr>
        <w:t>潜在</w:t>
      </w:r>
      <w:r>
        <w:rPr>
          <w:rFonts w:hint="default" w:cs="Times New Roman"/>
          <w:color w:val="auto"/>
          <w:sz w:val="24"/>
          <w:szCs w:val="24"/>
          <w:highlight w:val="none"/>
        </w:rPr>
        <w:t>投标人。该澄清内容为招标文件的组成部分。</w:t>
      </w:r>
    </w:p>
    <w:p w14:paraId="2619990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1.11 分包</w:t>
      </w:r>
    </w:p>
    <w:p w14:paraId="24953B5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本项目严禁分包。</w:t>
      </w:r>
    </w:p>
    <w:p w14:paraId="2635310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1.12 响应和偏差</w:t>
      </w:r>
    </w:p>
    <w:p w14:paraId="5D95061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14:paraId="5DAB048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1.12.2 投标人应根据招标文件的要求提供投标监理大纲等内容以对招标文件作出响应。</w:t>
      </w:r>
    </w:p>
    <w:p w14:paraId="54643B6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1.12.3 投标人须知前附表允许投标文件偏离招标文件某些要求的，偏差应当符合招标文件规定的偏差范围和幅度。</w:t>
      </w:r>
    </w:p>
    <w:p w14:paraId="5F579AC5">
      <w:pPr>
        <w:pStyle w:val="5"/>
        <w:outlineLvl w:val="1"/>
        <w:rPr>
          <w:rFonts w:hint="default" w:cs="宋体"/>
          <w:color w:val="auto"/>
          <w:sz w:val="24"/>
          <w:szCs w:val="24"/>
          <w:highlight w:val="none"/>
        </w:rPr>
      </w:pPr>
      <w:r>
        <w:rPr>
          <w:rFonts w:hint="default" w:cs="宋体"/>
          <w:color w:val="auto"/>
          <w:sz w:val="24"/>
          <w:szCs w:val="24"/>
          <w:highlight w:val="none"/>
        </w:rPr>
        <w:t>2.招标文件</w:t>
      </w:r>
    </w:p>
    <w:p w14:paraId="0D8A046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2.1 招标文件的组成</w:t>
      </w:r>
    </w:p>
    <w:p w14:paraId="707F0D7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本招标文件包括：</w:t>
      </w:r>
    </w:p>
    <w:p w14:paraId="7AF8E40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（1）招标公告；</w:t>
      </w:r>
    </w:p>
    <w:p w14:paraId="6BAA681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（2）投标人须知；</w:t>
      </w:r>
    </w:p>
    <w:p w14:paraId="20CFAAD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（3）评标办法；</w:t>
      </w:r>
    </w:p>
    <w:p w14:paraId="543419B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（4）合同条款及格式；</w:t>
      </w:r>
    </w:p>
    <w:p w14:paraId="45A1CE0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（5）委托人要求；</w:t>
      </w:r>
    </w:p>
    <w:p w14:paraId="63C5B0E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（6）投标文件格式；</w:t>
      </w:r>
    </w:p>
    <w:p w14:paraId="2CF288E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（7）投标人须知前附表规定的其他资料。</w:t>
      </w:r>
    </w:p>
    <w:p w14:paraId="3C76093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根据本章第1.10款、第2.2款和第2.3款对招标文件所作的澄清、修改，构成招标文件的组成部分。</w:t>
      </w:r>
    </w:p>
    <w:p w14:paraId="2F3DD93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2.2  招标文件的</w:t>
      </w:r>
      <w:r>
        <w:rPr>
          <w:rFonts w:hint="default" w:ascii="宋体" w:hAnsi="宋体" w:eastAsia="宋体" w:cs="宋体"/>
          <w:color w:val="auto"/>
          <w:highlight w:val="none"/>
          <w:lang w:eastAsia="zh-CN"/>
        </w:rPr>
        <w:t>答疑</w:t>
      </w:r>
    </w:p>
    <w:p w14:paraId="347239E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2.2.1  投标人应仔细阅读和检查招标文件的全部内容。如有疑问，应按投标人须知前附表规定的时间和形式将提出的问题送达招标人，要求招标人对招标文件予以澄清。</w:t>
      </w:r>
    </w:p>
    <w:p w14:paraId="047F4DB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2.2.2</w:t>
      </w:r>
      <w:r>
        <w:rPr>
          <w:rFonts w:hint="eastAsia" w:cs="Times New Roman"/>
          <w:color w:val="auto"/>
          <w:sz w:val="24"/>
          <w:szCs w:val="24"/>
          <w:highlight w:val="none"/>
          <w:lang w:val="en-US" w:eastAsia="zh-CN"/>
        </w:rPr>
        <w:t xml:space="preserve">  </w:t>
      </w:r>
      <w:r>
        <w:rPr>
          <w:rFonts w:hint="default" w:cs="Times New Roman"/>
          <w:color w:val="auto"/>
          <w:sz w:val="24"/>
          <w:szCs w:val="24"/>
          <w:highlight w:val="none"/>
        </w:rPr>
        <w:t>招标答疑采用网上答疑方式进行。投标人若对招标文件有疑问的，</w:t>
      </w:r>
      <w:r>
        <w:rPr>
          <w:rFonts w:hint="default" w:cs="Times New Roman"/>
          <w:color w:val="auto"/>
          <w:sz w:val="24"/>
          <w:szCs w:val="24"/>
          <w:highlight w:val="none"/>
          <w:lang w:eastAsia="zh-CN"/>
        </w:rPr>
        <w:t>通过</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网站提交，</w:t>
      </w:r>
      <w:r>
        <w:rPr>
          <w:rFonts w:hint="default" w:cs="Times New Roman"/>
          <w:color w:val="auto"/>
          <w:sz w:val="24"/>
          <w:szCs w:val="24"/>
          <w:highlight w:val="none"/>
        </w:rPr>
        <w:t>应按照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网站关于全流程电子化项目的相关指南进行操作</w:t>
      </w:r>
      <w:r>
        <w:rPr>
          <w:rFonts w:hint="default" w:cs="Times New Roman"/>
          <w:color w:val="auto"/>
          <w:sz w:val="24"/>
          <w:szCs w:val="24"/>
          <w:highlight w:val="none"/>
        </w:rPr>
        <w:t>。提</w:t>
      </w:r>
      <w:r>
        <w:rPr>
          <w:rFonts w:hint="default" w:cs="Times New Roman"/>
          <w:color w:val="auto"/>
          <w:sz w:val="24"/>
          <w:szCs w:val="24"/>
          <w:highlight w:val="none"/>
          <w:lang w:eastAsia="zh-CN"/>
        </w:rPr>
        <w:t>问</w:t>
      </w:r>
      <w:r>
        <w:rPr>
          <w:rFonts w:hint="default" w:cs="Times New Roman"/>
          <w:color w:val="auto"/>
          <w:sz w:val="24"/>
          <w:szCs w:val="24"/>
          <w:highlight w:val="none"/>
        </w:rPr>
        <w:t>一律不得署名。</w:t>
      </w:r>
    </w:p>
    <w:p w14:paraId="452EDA7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2.2.3  招标答疑会会议纪要将在提交投标文件截止时间 15 日前在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“项目答疑纪要”专区公开发布。答疑纪要一经在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发布，视作已发放给所有投标人</w:t>
      </w:r>
      <w:r>
        <w:rPr>
          <w:rFonts w:hint="default" w:cs="Times New Roman"/>
          <w:color w:val="auto"/>
          <w:sz w:val="24"/>
          <w:szCs w:val="24"/>
          <w:highlight w:val="none"/>
          <w:lang w:eastAsia="zh-CN"/>
        </w:rPr>
        <w:t>。</w:t>
      </w:r>
    </w:p>
    <w:p w14:paraId="26E545A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lang w:val="en-US" w:eastAsia="zh-CN"/>
        </w:rPr>
        <w:t xml:space="preserve">2.2.4  </w:t>
      </w:r>
      <w:r>
        <w:rPr>
          <w:rFonts w:hint="default" w:cs="Times New Roman"/>
          <w:color w:val="auto"/>
          <w:sz w:val="24"/>
          <w:szCs w:val="24"/>
          <w:highlight w:val="none"/>
        </w:rPr>
        <w:t>招标答疑</w:t>
      </w:r>
      <w:r>
        <w:rPr>
          <w:rFonts w:hint="default" w:cs="Times New Roman"/>
          <w:color w:val="auto"/>
          <w:sz w:val="24"/>
          <w:szCs w:val="24"/>
          <w:highlight w:val="none"/>
          <w:lang w:eastAsia="zh-CN"/>
        </w:rPr>
        <w:t>会会议</w:t>
      </w:r>
      <w:r>
        <w:rPr>
          <w:rFonts w:hint="default" w:cs="Times New Roman"/>
          <w:color w:val="auto"/>
          <w:sz w:val="24"/>
          <w:szCs w:val="24"/>
          <w:highlight w:val="none"/>
        </w:rPr>
        <w:t>纪要</w:t>
      </w:r>
      <w:r>
        <w:rPr>
          <w:rFonts w:hint="default" w:cs="Times New Roman"/>
          <w:color w:val="auto"/>
          <w:sz w:val="24"/>
          <w:szCs w:val="24"/>
          <w:highlight w:val="none"/>
          <w:lang w:eastAsia="zh-CN"/>
        </w:rPr>
        <w:t>是</w:t>
      </w:r>
      <w:r>
        <w:rPr>
          <w:rFonts w:hint="default" w:cs="Times New Roman"/>
          <w:color w:val="auto"/>
          <w:sz w:val="24"/>
          <w:szCs w:val="24"/>
          <w:highlight w:val="none"/>
        </w:rPr>
        <w:t>招标文件的</w:t>
      </w:r>
      <w:r>
        <w:rPr>
          <w:rFonts w:hint="default" w:cs="Times New Roman"/>
          <w:color w:val="auto"/>
          <w:sz w:val="24"/>
          <w:szCs w:val="24"/>
          <w:highlight w:val="none"/>
          <w:lang w:eastAsia="zh-CN"/>
        </w:rPr>
        <w:t>组成</w:t>
      </w:r>
      <w:r>
        <w:rPr>
          <w:rFonts w:hint="default" w:cs="Times New Roman"/>
          <w:color w:val="auto"/>
          <w:sz w:val="24"/>
          <w:szCs w:val="24"/>
          <w:highlight w:val="none"/>
        </w:rPr>
        <w:t>部分</w:t>
      </w:r>
      <w:r>
        <w:rPr>
          <w:rFonts w:hint="default" w:cs="Times New Roman"/>
          <w:color w:val="auto"/>
          <w:sz w:val="24"/>
          <w:szCs w:val="24"/>
          <w:highlight w:val="none"/>
          <w:lang w:eastAsia="zh-CN"/>
        </w:rPr>
        <w:t>，对投标人起约束作用</w:t>
      </w:r>
      <w:r>
        <w:rPr>
          <w:rFonts w:hint="default" w:cs="Times New Roman"/>
          <w:color w:val="auto"/>
          <w:sz w:val="24"/>
          <w:szCs w:val="24"/>
          <w:highlight w:val="none"/>
        </w:rPr>
        <w:t>。</w:t>
      </w:r>
    </w:p>
    <w:p w14:paraId="51C8F4B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2.2.</w:t>
      </w:r>
      <w:r>
        <w:rPr>
          <w:rFonts w:hint="default" w:cs="Times New Roman"/>
          <w:color w:val="auto"/>
          <w:sz w:val="24"/>
          <w:szCs w:val="24"/>
          <w:highlight w:val="none"/>
          <w:lang w:val="en-US" w:eastAsia="zh-CN"/>
        </w:rPr>
        <w:t>5</w:t>
      </w:r>
      <w:r>
        <w:rPr>
          <w:rFonts w:hint="default" w:cs="Times New Roman"/>
          <w:color w:val="auto"/>
          <w:sz w:val="24"/>
          <w:szCs w:val="24"/>
          <w:highlight w:val="none"/>
        </w:rPr>
        <w:t xml:space="preserve">  若招标答疑</w:t>
      </w:r>
      <w:r>
        <w:rPr>
          <w:rFonts w:hint="default" w:cs="Times New Roman"/>
          <w:color w:val="auto"/>
          <w:sz w:val="24"/>
          <w:szCs w:val="24"/>
          <w:highlight w:val="none"/>
          <w:lang w:eastAsia="zh-CN"/>
        </w:rPr>
        <w:t>会会议</w:t>
      </w:r>
      <w:r>
        <w:rPr>
          <w:rFonts w:hint="default" w:cs="Times New Roman"/>
          <w:color w:val="auto"/>
          <w:sz w:val="24"/>
          <w:szCs w:val="24"/>
          <w:highlight w:val="none"/>
        </w:rPr>
        <w:t>纪要与招标文件有矛盾时，以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最后发布的答疑纪要为准</w:t>
      </w:r>
      <w:r>
        <w:rPr>
          <w:rFonts w:hint="default" w:cs="Times New Roman"/>
          <w:color w:val="auto"/>
          <w:sz w:val="24"/>
          <w:szCs w:val="24"/>
          <w:highlight w:val="none"/>
          <w:lang w:eastAsia="zh-CN"/>
        </w:rPr>
        <w:t>。</w:t>
      </w:r>
    </w:p>
    <w:p w14:paraId="70E16DE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color w:val="auto"/>
          <w:highlight w:val="none"/>
        </w:rPr>
      </w:pPr>
      <w:r>
        <w:rPr>
          <w:rFonts w:hint="default" w:ascii="宋体" w:hAnsi="宋体" w:eastAsia="宋体" w:cs="宋体"/>
          <w:color w:val="auto"/>
          <w:highlight w:val="none"/>
        </w:rPr>
        <w:t>2.3  招标文件的</w:t>
      </w:r>
      <w:r>
        <w:rPr>
          <w:rFonts w:hint="default" w:ascii="宋体" w:hAnsi="宋体" w:eastAsia="宋体" w:cs="宋体"/>
          <w:color w:val="auto"/>
          <w:highlight w:val="none"/>
          <w:lang w:eastAsia="zh-CN"/>
        </w:rPr>
        <w:t>澄清与</w:t>
      </w:r>
      <w:r>
        <w:rPr>
          <w:rFonts w:hint="default" w:ascii="宋体" w:hAnsi="宋体" w:eastAsia="宋体" w:cs="宋体"/>
          <w:color w:val="auto"/>
          <w:highlight w:val="none"/>
        </w:rPr>
        <w:t>修改</w:t>
      </w:r>
    </w:p>
    <w:p w14:paraId="5629098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p>
    <w:p w14:paraId="667B1BF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eastAsia="zh-CN"/>
        </w:rPr>
        <w:t xml:space="preserve">2.3.1 </w:t>
      </w:r>
      <w:r>
        <w:rPr>
          <w:rFonts w:hint="default" w:cs="Times New Roman"/>
          <w:color w:val="auto"/>
          <w:sz w:val="24"/>
          <w:szCs w:val="24"/>
          <w:highlight w:val="none"/>
          <w:lang w:val="en-US" w:eastAsia="zh-CN"/>
        </w:rPr>
        <w:t xml:space="preserve"> 招标文件发出后，在提交投标文件截止时间15日前，招标人可对招标文件进行必要的澄清或修改。</w:t>
      </w:r>
    </w:p>
    <w:p w14:paraId="056E3BA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 xml:space="preserve">2.3.2  </w:t>
      </w:r>
      <w:r>
        <w:rPr>
          <w:rFonts w:hint="default" w:cs="Times New Roman"/>
          <w:color w:val="auto"/>
          <w:sz w:val="24"/>
          <w:szCs w:val="24"/>
          <w:highlight w:val="none"/>
          <w:lang w:eastAsia="zh-CN"/>
        </w:rPr>
        <w:t>招标文件的澄清或修改将在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网站“项目答疑纪要”专区公开发布。招标文件的澄清或修改一经在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网站发布，视作已发放给所有投标人，以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val="en-US" w:eastAsia="zh-CN"/>
        </w:rPr>
        <w:t>网站发布时间作为送达时间。</w:t>
      </w:r>
    </w:p>
    <w:p w14:paraId="030C19F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 xml:space="preserve">2.3.3  </w:t>
      </w:r>
      <w:r>
        <w:rPr>
          <w:rFonts w:hint="default" w:cs="Times New Roman"/>
          <w:color w:val="auto"/>
          <w:sz w:val="24"/>
          <w:szCs w:val="24"/>
          <w:highlight w:val="none"/>
        </w:rPr>
        <w:t>招标</w:t>
      </w:r>
      <w:r>
        <w:rPr>
          <w:rFonts w:hint="default" w:cs="Times New Roman"/>
          <w:color w:val="auto"/>
          <w:sz w:val="24"/>
          <w:szCs w:val="24"/>
          <w:highlight w:val="none"/>
          <w:lang w:eastAsia="zh-CN"/>
        </w:rPr>
        <w:t>文件的澄清或修改是</w:t>
      </w:r>
      <w:r>
        <w:rPr>
          <w:rFonts w:hint="default" w:cs="Times New Roman"/>
          <w:color w:val="auto"/>
          <w:sz w:val="24"/>
          <w:szCs w:val="24"/>
          <w:highlight w:val="none"/>
        </w:rPr>
        <w:t>招标文件的</w:t>
      </w:r>
      <w:r>
        <w:rPr>
          <w:rFonts w:hint="default" w:cs="Times New Roman"/>
          <w:color w:val="auto"/>
          <w:sz w:val="24"/>
          <w:szCs w:val="24"/>
          <w:highlight w:val="none"/>
          <w:lang w:eastAsia="zh-CN"/>
        </w:rPr>
        <w:t>组成</w:t>
      </w:r>
      <w:r>
        <w:rPr>
          <w:rFonts w:hint="default" w:cs="Times New Roman"/>
          <w:color w:val="auto"/>
          <w:sz w:val="24"/>
          <w:szCs w:val="24"/>
          <w:highlight w:val="none"/>
        </w:rPr>
        <w:t>部分</w:t>
      </w:r>
      <w:r>
        <w:rPr>
          <w:rFonts w:hint="default" w:cs="Times New Roman"/>
          <w:color w:val="auto"/>
          <w:sz w:val="24"/>
          <w:szCs w:val="24"/>
          <w:highlight w:val="none"/>
          <w:lang w:eastAsia="zh-CN"/>
        </w:rPr>
        <w:t>，对投标人起约束作用</w:t>
      </w:r>
      <w:r>
        <w:rPr>
          <w:rFonts w:hint="default" w:cs="Times New Roman"/>
          <w:color w:val="auto"/>
          <w:sz w:val="24"/>
          <w:szCs w:val="24"/>
          <w:highlight w:val="none"/>
        </w:rPr>
        <w:t>。</w:t>
      </w:r>
    </w:p>
    <w:p w14:paraId="599061C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lang w:eastAsia="zh-CN"/>
        </w:rPr>
        <w:t>2.3.</w:t>
      </w:r>
      <w:r>
        <w:rPr>
          <w:rFonts w:hint="default" w:cs="Times New Roman"/>
          <w:color w:val="auto"/>
          <w:sz w:val="24"/>
          <w:szCs w:val="24"/>
          <w:highlight w:val="none"/>
          <w:lang w:val="en-US" w:eastAsia="zh-CN"/>
        </w:rPr>
        <w:t xml:space="preserve">4 </w:t>
      </w:r>
      <w:r>
        <w:rPr>
          <w:rFonts w:hint="default" w:cs="Times New Roman"/>
          <w:color w:val="auto"/>
          <w:sz w:val="24"/>
          <w:szCs w:val="24"/>
          <w:highlight w:val="none"/>
          <w:lang w:eastAsia="zh-CN"/>
        </w:rPr>
        <w:t xml:space="preserve"> 招标文件的澄清或修</w:t>
      </w:r>
      <w:r>
        <w:rPr>
          <w:rFonts w:hint="default" w:cs="Times New Roman"/>
          <w:color w:val="auto"/>
          <w:sz w:val="24"/>
          <w:szCs w:val="24"/>
          <w:highlight w:val="none"/>
        </w:rPr>
        <w:t>改均以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发布的内容为准。当招标文件的澄清、修改</w:t>
      </w:r>
      <w:r>
        <w:rPr>
          <w:rFonts w:hint="default" w:cs="Times New Roman"/>
          <w:color w:val="auto"/>
          <w:sz w:val="24"/>
          <w:szCs w:val="24"/>
          <w:highlight w:val="none"/>
          <w:lang w:eastAsia="zh-CN"/>
        </w:rPr>
        <w:t>、补充等</w:t>
      </w:r>
      <w:r>
        <w:rPr>
          <w:rFonts w:hint="default" w:cs="Times New Roman"/>
          <w:color w:val="auto"/>
          <w:sz w:val="24"/>
          <w:szCs w:val="24"/>
          <w:highlight w:val="none"/>
        </w:rPr>
        <w:t>在同一内容的表述不一致时，以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最后发布的内容为准。</w:t>
      </w:r>
    </w:p>
    <w:p w14:paraId="0B370B1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val="en-US" w:eastAsia="zh-CN"/>
        </w:rPr>
        <w:t xml:space="preserve">2.3.5  </w:t>
      </w:r>
      <w:r>
        <w:rPr>
          <w:rFonts w:hint="default" w:cs="Times New Roman"/>
          <w:color w:val="auto"/>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default" w:cs="Times New Roman"/>
          <w:color w:val="auto"/>
          <w:spacing w:val="-11"/>
          <w:sz w:val="24"/>
          <w:szCs w:val="24"/>
          <w:highlight w:val="none"/>
          <w:lang w:eastAsia="zh-CN"/>
        </w:rPr>
        <w:t>，即表示投标时间不延长。</w:t>
      </w:r>
    </w:p>
    <w:p w14:paraId="1B6E2EB8">
      <w:pPr>
        <w:pStyle w:val="5"/>
        <w:outlineLvl w:val="1"/>
        <w:rPr>
          <w:rFonts w:hint="default" w:cs="宋体"/>
          <w:color w:val="auto"/>
          <w:sz w:val="24"/>
          <w:szCs w:val="24"/>
          <w:highlight w:val="none"/>
        </w:rPr>
      </w:pPr>
      <w:r>
        <w:rPr>
          <w:rFonts w:hint="default" w:cs="宋体"/>
          <w:color w:val="auto"/>
          <w:sz w:val="24"/>
          <w:szCs w:val="24"/>
          <w:highlight w:val="none"/>
        </w:rPr>
        <w:t>3.投标文件</w:t>
      </w:r>
    </w:p>
    <w:p w14:paraId="2EE9C4F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3.1 投标文件的组成</w:t>
      </w:r>
    </w:p>
    <w:p w14:paraId="30B7F89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3.1.1 投标文件应包括下列内容：</w:t>
      </w:r>
    </w:p>
    <w:p w14:paraId="0885C4D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（1）投标函及投标函附录；</w:t>
      </w:r>
    </w:p>
    <w:p w14:paraId="2D2BC74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（2）法定代表人身份证明或授权委托书；</w:t>
      </w:r>
    </w:p>
    <w:p w14:paraId="5730B0A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val="0"/>
          <w:color w:val="auto"/>
          <w:sz w:val="24"/>
          <w:szCs w:val="24"/>
          <w:highlight w:val="none"/>
        </w:rPr>
      </w:pPr>
      <w:r>
        <w:rPr>
          <w:rFonts w:hint="default" w:cs="Times New Roman"/>
          <w:strike w:val="0"/>
          <w:color w:val="auto"/>
          <w:sz w:val="24"/>
          <w:szCs w:val="24"/>
          <w:highlight w:val="none"/>
        </w:rPr>
        <w:t>（3）联合体协议书；</w:t>
      </w:r>
    </w:p>
    <w:p w14:paraId="2D7A26A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（4）投标保证金；</w:t>
      </w:r>
    </w:p>
    <w:p w14:paraId="2E26568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val="0"/>
          <w:color w:val="auto"/>
          <w:sz w:val="24"/>
          <w:szCs w:val="24"/>
          <w:highlight w:val="none"/>
        </w:rPr>
      </w:pPr>
      <w:r>
        <w:rPr>
          <w:rFonts w:hint="default" w:cs="Times New Roman"/>
          <w:strike w:val="0"/>
          <w:color w:val="auto"/>
          <w:sz w:val="24"/>
          <w:szCs w:val="24"/>
          <w:highlight w:val="none"/>
        </w:rPr>
        <w:t>（5）监理报酬清单；</w:t>
      </w:r>
    </w:p>
    <w:p w14:paraId="303C377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（6）资格审查资料；</w:t>
      </w:r>
    </w:p>
    <w:p w14:paraId="4FEF3E0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（7）监理大纲；</w:t>
      </w:r>
    </w:p>
    <w:p w14:paraId="3DE78E1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（8）投标人须知前附表规定的其他资料。投标人在评标过程中作出的符合法律法规和招标文件规定的澄清确认，构成投标文件的组成部分。</w:t>
      </w:r>
    </w:p>
    <w:p w14:paraId="7617841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3.1.2 投标人须知前附表规定不接受联合体投标的，或投标人没有组成联合体的，投标文件不包括本章第 3.1.1（3）目所指的联合体协议书。</w:t>
      </w:r>
    </w:p>
    <w:p w14:paraId="2B98DE2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3.1.3 投标人须知前附表未要求提交投标保证金的，投标文件不包括本章第 3.1.1（4）目所指的投标保证金。</w:t>
      </w:r>
    </w:p>
    <w:p w14:paraId="730762D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3.2 投标报价</w:t>
      </w:r>
    </w:p>
    <w:p w14:paraId="5E8622E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37D583D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3.2.2 投标人应充分了解该项目的总体情况以及影响投标报价的其他要素。</w:t>
      </w:r>
    </w:p>
    <w:p w14:paraId="6C7CA9C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3.2.3 本项目的报价方式见投标人须知前附表。投标人在投标截止时间前修改投标函中的投标报价总额，应同时修改投标文件“监理报酬清单”中的相应报价。此修改须符合本章第4.3款的有关要求。</w:t>
      </w:r>
    </w:p>
    <w:p w14:paraId="2B97B45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3.2.4 招标人设有最高投标限价的，投标人的投标报价不得超过最高投标限价，最高投标限价在投标人须知前附表中载明。</w:t>
      </w:r>
    </w:p>
    <w:p w14:paraId="1A600DE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3.2.5 投标报价的其他要求见投标人须知前附表。</w:t>
      </w:r>
    </w:p>
    <w:p w14:paraId="290F673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3.3 投标有效期</w:t>
      </w:r>
    </w:p>
    <w:p w14:paraId="0389914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3.3.1 除投标人须知前附表另有规定外，投标有效期为 90 天。</w:t>
      </w:r>
    </w:p>
    <w:p w14:paraId="67B7A03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3.3.2 在投标有效期内，投标人撤销投标文件的，应承担招标文件和法律规定的责任。</w:t>
      </w:r>
    </w:p>
    <w:p w14:paraId="57E65E4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3.3.3 出现特殊情况需要延长投标有效期的，招标人以书面形式通知所有投标人延长投标有效期。投标人应予以书面答复，同意延长的，</w:t>
      </w:r>
      <w:r>
        <w:rPr>
          <w:rFonts w:hint="default" w:cs="Times New Roman"/>
          <w:strike/>
          <w:color w:val="auto"/>
          <w:sz w:val="24"/>
          <w:szCs w:val="24"/>
          <w:highlight w:val="none"/>
        </w:rPr>
        <w:t>应相应延长其投标保证金的有效期，但</w:t>
      </w:r>
      <w:r>
        <w:rPr>
          <w:rFonts w:hint="default" w:cs="Times New Roman"/>
          <w:color w:val="auto"/>
          <w:sz w:val="24"/>
          <w:szCs w:val="24"/>
          <w:highlight w:val="none"/>
        </w:rPr>
        <w:t>不得要求 或被允许修改其投标文件；投标人拒绝延长的，其投标失效</w:t>
      </w:r>
      <w:r>
        <w:rPr>
          <w:rFonts w:hint="default" w:cs="Times New Roman"/>
          <w:strike/>
          <w:color w:val="auto"/>
          <w:sz w:val="24"/>
          <w:szCs w:val="24"/>
          <w:highlight w:val="none"/>
        </w:rPr>
        <w:t>，但投标人有权收回其投标保证金及以现金或者支票形式递交的投标保证金的银行同期存款利息</w:t>
      </w:r>
      <w:r>
        <w:rPr>
          <w:rFonts w:hint="default" w:cs="Times New Roman"/>
          <w:color w:val="auto"/>
          <w:sz w:val="24"/>
          <w:szCs w:val="24"/>
          <w:highlight w:val="none"/>
        </w:rPr>
        <w:t>。</w:t>
      </w:r>
    </w:p>
    <w:p w14:paraId="3D0CE62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strike/>
          <w:color w:val="auto"/>
          <w:highlight w:val="none"/>
        </w:rPr>
      </w:pPr>
      <w:r>
        <w:rPr>
          <w:rFonts w:hint="default" w:ascii="宋体" w:hAnsi="宋体" w:eastAsia="宋体" w:cs="宋体"/>
          <w:strike/>
          <w:color w:val="auto"/>
          <w:highlight w:val="none"/>
        </w:rPr>
        <w:t>3.4  投标保证金</w:t>
      </w:r>
    </w:p>
    <w:p w14:paraId="45EEE51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lang w:eastAsia="zh-CN"/>
        </w:rPr>
      </w:pPr>
      <w:r>
        <w:rPr>
          <w:rFonts w:hint="default" w:cs="Times New Roman"/>
          <w:strike/>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default" w:cs="Times New Roman"/>
          <w:strike/>
          <w:color w:val="auto"/>
          <w:sz w:val="24"/>
          <w:szCs w:val="24"/>
          <w:highlight w:val="none"/>
          <w:lang w:eastAsia="zh-CN"/>
        </w:rPr>
        <w:t>采用现金或者支票形式提交的，投标保证金须从投标人的银行基本账户转出。</w:t>
      </w:r>
      <w:r>
        <w:rPr>
          <w:rFonts w:hint="default" w:cs="Times New Roman"/>
          <w:strike/>
          <w:color w:val="auto"/>
          <w:sz w:val="24"/>
          <w:szCs w:val="24"/>
          <w:highlight w:val="none"/>
        </w:rPr>
        <w:t>联合体投标的，其投标</w:t>
      </w:r>
      <w:r>
        <w:rPr>
          <w:rFonts w:hint="default" w:cs="Times New Roman"/>
          <w:strike/>
          <w:color w:val="auto"/>
          <w:sz w:val="24"/>
          <w:szCs w:val="24"/>
          <w:highlight w:val="none"/>
          <w:lang w:eastAsia="zh-CN"/>
        </w:rPr>
        <w:t>保证金</w:t>
      </w:r>
      <w:r>
        <w:rPr>
          <w:rFonts w:hint="default" w:cs="Times New Roman"/>
          <w:strike/>
          <w:color w:val="auto"/>
          <w:sz w:val="24"/>
          <w:szCs w:val="24"/>
          <w:highlight w:val="none"/>
        </w:rPr>
        <w:t>可以由</w:t>
      </w:r>
      <w:r>
        <w:rPr>
          <w:rFonts w:hint="default" w:cs="Times New Roman"/>
          <w:strike/>
          <w:color w:val="auto"/>
          <w:sz w:val="24"/>
          <w:szCs w:val="24"/>
          <w:highlight w:val="none"/>
          <w:lang w:eastAsia="zh-CN"/>
        </w:rPr>
        <w:t>主办方</w:t>
      </w:r>
      <w:r>
        <w:rPr>
          <w:rFonts w:hint="default" w:cs="Times New Roman"/>
          <w:strike/>
          <w:color w:val="auto"/>
          <w:sz w:val="24"/>
          <w:szCs w:val="24"/>
          <w:highlight w:val="none"/>
        </w:rPr>
        <w:t>递交，并应符合投标人须知前附表的规定</w:t>
      </w:r>
      <w:r>
        <w:rPr>
          <w:rFonts w:hint="default" w:cs="Times New Roman"/>
          <w:strike/>
          <w:color w:val="auto"/>
          <w:sz w:val="24"/>
          <w:szCs w:val="24"/>
          <w:highlight w:val="none"/>
          <w:lang w:eastAsia="zh-CN"/>
        </w:rPr>
        <w:t>。</w:t>
      </w:r>
    </w:p>
    <w:p w14:paraId="264EA8A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 xml:space="preserve">3.4.2 </w:t>
      </w:r>
      <w:r>
        <w:rPr>
          <w:rFonts w:hint="default" w:cs="Times New Roman"/>
          <w:strike/>
          <w:color w:val="auto"/>
          <w:sz w:val="24"/>
          <w:szCs w:val="24"/>
          <w:highlight w:val="none"/>
          <w:lang w:eastAsia="zh-CN"/>
        </w:rPr>
        <w:t>开标时投标人没有按</w:t>
      </w:r>
      <w:r>
        <w:rPr>
          <w:rFonts w:hint="default" w:cs="Times New Roman"/>
          <w:strike/>
          <w:color w:val="auto"/>
          <w:sz w:val="24"/>
          <w:szCs w:val="24"/>
          <w:highlight w:val="none"/>
        </w:rPr>
        <w:t>要求提交投标保证金的，</w:t>
      </w:r>
      <w:r>
        <w:rPr>
          <w:rFonts w:hint="default" w:cs="Times New Roman"/>
          <w:strike/>
          <w:color w:val="auto"/>
          <w:sz w:val="24"/>
          <w:szCs w:val="24"/>
          <w:highlight w:val="none"/>
          <w:lang w:eastAsia="zh-CN"/>
        </w:rPr>
        <w:t>其投标文件将被否决</w:t>
      </w:r>
      <w:r>
        <w:rPr>
          <w:rFonts w:hint="default" w:cs="Times New Roman"/>
          <w:strike/>
          <w:color w:val="auto"/>
          <w:sz w:val="24"/>
          <w:szCs w:val="24"/>
          <w:highlight w:val="none"/>
        </w:rPr>
        <w:t>。</w:t>
      </w:r>
    </w:p>
    <w:p w14:paraId="5B8220D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3.4.3 中标候选人以外的投标人的投标保证金将尽快退还，最迟不超过中标通知书发出之日起五日内</w:t>
      </w:r>
      <w:r>
        <w:rPr>
          <w:rFonts w:hint="default" w:cs="Times New Roman"/>
          <w:strike/>
          <w:color w:val="auto"/>
          <w:sz w:val="24"/>
          <w:szCs w:val="24"/>
          <w:highlight w:val="none"/>
          <w:lang w:eastAsia="zh-CN"/>
        </w:rPr>
        <w:t>；</w:t>
      </w:r>
      <w:r>
        <w:rPr>
          <w:rFonts w:hint="default" w:cs="Times New Roman"/>
          <w:strike/>
          <w:color w:val="auto"/>
          <w:sz w:val="24"/>
          <w:szCs w:val="24"/>
          <w:highlight w:val="none"/>
        </w:rPr>
        <w:t>中标人和其他中标候选人的投标保证金，在书面合同订立之日起五日内予以退还。</w:t>
      </w:r>
    </w:p>
    <w:p w14:paraId="098CCF2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3.4.4 有下列情形之一的，投标保证金将不予退还：</w:t>
      </w:r>
    </w:p>
    <w:p w14:paraId="3A2F08D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w:t>
      </w:r>
      <w:r>
        <w:rPr>
          <w:rFonts w:hint="eastAsia" w:cs="Times New Roman"/>
          <w:strike/>
          <w:color w:val="auto"/>
          <w:sz w:val="24"/>
          <w:szCs w:val="24"/>
          <w:highlight w:val="none"/>
          <w:lang w:val="en-US" w:eastAsia="zh-CN"/>
        </w:rPr>
        <w:t>1</w:t>
      </w:r>
      <w:r>
        <w:rPr>
          <w:rFonts w:hint="default" w:cs="Times New Roman"/>
          <w:strike/>
          <w:color w:val="auto"/>
          <w:sz w:val="24"/>
          <w:szCs w:val="24"/>
          <w:highlight w:val="none"/>
        </w:rPr>
        <w:t>)</w:t>
      </w:r>
      <w:r>
        <w:rPr>
          <w:rFonts w:hint="default" w:cs="Times New Roman"/>
          <w:strike/>
          <w:color w:val="auto"/>
          <w:sz w:val="24"/>
          <w:szCs w:val="24"/>
          <w:highlight w:val="none"/>
          <w:lang w:val="en-US" w:eastAsia="zh-CN"/>
        </w:rPr>
        <w:t xml:space="preserve"> </w:t>
      </w:r>
      <w:r>
        <w:rPr>
          <w:rFonts w:hint="default" w:cs="Times New Roman"/>
          <w:strike/>
          <w:color w:val="auto"/>
          <w:sz w:val="24"/>
          <w:szCs w:val="24"/>
          <w:highlight w:val="none"/>
        </w:rPr>
        <w:t>投标人在规定的投标有效期内撤</w:t>
      </w:r>
      <w:r>
        <w:rPr>
          <w:rFonts w:hint="default" w:cs="Times New Roman"/>
          <w:strike/>
          <w:color w:val="auto"/>
          <w:sz w:val="24"/>
          <w:szCs w:val="24"/>
          <w:highlight w:val="none"/>
          <w:lang w:eastAsia="zh-CN"/>
        </w:rPr>
        <w:t>销</w:t>
      </w:r>
      <w:r>
        <w:rPr>
          <w:rFonts w:hint="default" w:cs="Times New Roman"/>
          <w:strike/>
          <w:color w:val="auto"/>
          <w:sz w:val="24"/>
          <w:szCs w:val="24"/>
          <w:highlight w:val="none"/>
        </w:rPr>
        <w:t>其投标文件；</w:t>
      </w:r>
    </w:p>
    <w:p w14:paraId="6DE4E12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lang w:eastAsia="zh-CN"/>
        </w:rPr>
      </w:pPr>
      <w:r>
        <w:rPr>
          <w:rFonts w:hint="default" w:cs="Times New Roman"/>
          <w:strike/>
          <w:color w:val="auto"/>
          <w:sz w:val="24"/>
          <w:szCs w:val="24"/>
          <w:highlight w:val="none"/>
        </w:rPr>
        <w:t>(</w:t>
      </w:r>
      <w:r>
        <w:rPr>
          <w:rFonts w:hint="eastAsia" w:cs="Times New Roman"/>
          <w:strike/>
          <w:color w:val="auto"/>
          <w:sz w:val="24"/>
          <w:szCs w:val="24"/>
          <w:highlight w:val="none"/>
          <w:lang w:val="en-US" w:eastAsia="zh-CN"/>
        </w:rPr>
        <w:t>2</w:t>
      </w:r>
      <w:r>
        <w:rPr>
          <w:rFonts w:hint="default" w:cs="Times New Roman"/>
          <w:strike/>
          <w:color w:val="auto"/>
          <w:sz w:val="24"/>
          <w:szCs w:val="24"/>
          <w:highlight w:val="none"/>
        </w:rPr>
        <w:t>)</w:t>
      </w:r>
      <w:r>
        <w:rPr>
          <w:rFonts w:hint="default" w:cs="Times New Roman"/>
          <w:strike/>
          <w:color w:val="auto"/>
          <w:sz w:val="24"/>
          <w:szCs w:val="24"/>
          <w:highlight w:val="none"/>
          <w:lang w:val="en-US" w:eastAsia="zh-CN"/>
        </w:rPr>
        <w:t xml:space="preserve"> </w:t>
      </w:r>
      <w:r>
        <w:rPr>
          <w:rFonts w:hint="default" w:cs="Times New Roman"/>
          <w:strike/>
          <w:color w:val="auto"/>
          <w:sz w:val="24"/>
          <w:szCs w:val="24"/>
          <w:highlight w:val="none"/>
        </w:rPr>
        <w:t>中标人在收到中标通知书后，无正当理由不与招标人订立合同，在签订合同时向招标 人提出附加条件，或者不按照招标文件要求提交履约保证金</w:t>
      </w:r>
      <w:r>
        <w:rPr>
          <w:rFonts w:hint="default" w:cs="Times New Roman"/>
          <w:strike/>
          <w:color w:val="auto"/>
          <w:sz w:val="24"/>
          <w:szCs w:val="24"/>
          <w:highlight w:val="none"/>
          <w:lang w:eastAsia="zh-CN"/>
        </w:rPr>
        <w:t>。</w:t>
      </w:r>
    </w:p>
    <w:p w14:paraId="29D43E7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3.5 资格审查资料</w:t>
      </w:r>
    </w:p>
    <w:p w14:paraId="775C382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除投标人须知前附表另有规定外，投标人应按下列规定提供资格审查资料，以证明其满足本章第 1.4 款规定的资质、财务、业绩、信誉等要求。</w:t>
      </w:r>
    </w:p>
    <w:p w14:paraId="46E3890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3.5.1 “投标人基本情况表”应附投标人营业执照、投标人监理资质证书副本等材料的</w:t>
      </w:r>
      <w:r>
        <w:rPr>
          <w:rFonts w:hint="default" w:cs="Times New Roman"/>
          <w:color w:val="auto"/>
          <w:sz w:val="24"/>
          <w:szCs w:val="24"/>
          <w:highlight w:val="none"/>
          <w:lang w:eastAsia="zh-CN"/>
        </w:rPr>
        <w:t>扫描件</w:t>
      </w:r>
      <w:r>
        <w:rPr>
          <w:rFonts w:hint="default" w:cs="Times New Roman"/>
          <w:color w:val="auto"/>
          <w:sz w:val="24"/>
          <w:szCs w:val="24"/>
          <w:highlight w:val="none"/>
        </w:rPr>
        <w:t>。</w:t>
      </w:r>
    </w:p>
    <w:p w14:paraId="0A7F9EC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3.5.</w:t>
      </w:r>
      <w:r>
        <w:rPr>
          <w:rFonts w:hint="default" w:cs="Times New Roman"/>
          <w:color w:val="auto"/>
          <w:sz w:val="24"/>
          <w:szCs w:val="24"/>
          <w:highlight w:val="none"/>
          <w:lang w:val="en-US" w:eastAsia="zh-CN"/>
        </w:rPr>
        <w:t>2</w:t>
      </w:r>
      <w:r>
        <w:rPr>
          <w:rFonts w:hint="default" w:cs="Times New Roman"/>
          <w:color w:val="auto"/>
          <w:sz w:val="24"/>
          <w:szCs w:val="24"/>
          <w:highlight w:val="none"/>
        </w:rPr>
        <w:t xml:space="preserve"> “近年完成的类似监理项目情况表”应附中标通知书和（或）合同协议书、委托人出具的证明文件；具体时间要求见投标人须知前附表，每张表格只填写一个项目，并标明序号。</w:t>
      </w:r>
    </w:p>
    <w:p w14:paraId="222CD00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Times New Roman"/>
          <w:color w:val="auto"/>
          <w:sz w:val="24"/>
          <w:szCs w:val="24"/>
          <w:highlight w:val="none"/>
          <w:lang w:eastAsia="zh-CN"/>
        </w:rPr>
      </w:pPr>
      <w:r>
        <w:rPr>
          <w:rFonts w:hint="default" w:cs="Times New Roman"/>
          <w:color w:val="auto"/>
          <w:sz w:val="24"/>
          <w:szCs w:val="24"/>
          <w:highlight w:val="none"/>
        </w:rPr>
        <w:t>3.5.</w:t>
      </w:r>
      <w:r>
        <w:rPr>
          <w:rFonts w:hint="default" w:cs="Times New Roman"/>
          <w:color w:val="auto"/>
          <w:sz w:val="24"/>
          <w:szCs w:val="24"/>
          <w:highlight w:val="none"/>
          <w:lang w:val="en-US" w:eastAsia="zh-CN"/>
        </w:rPr>
        <w:t>3</w:t>
      </w:r>
      <w:r>
        <w:rPr>
          <w:rFonts w:hint="default" w:cs="Times New Roman"/>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default" w:cs="Times New Roman"/>
          <w:color w:val="auto"/>
          <w:sz w:val="24"/>
          <w:szCs w:val="24"/>
          <w:highlight w:val="none"/>
          <w:lang w:eastAsia="zh-CN"/>
        </w:rPr>
        <w:t>（若有）</w:t>
      </w:r>
      <w:r>
        <w:rPr>
          <w:rFonts w:hint="default" w:cs="Times New Roman"/>
          <w:color w:val="auto"/>
          <w:sz w:val="24"/>
          <w:szCs w:val="24"/>
          <w:highlight w:val="none"/>
        </w:rPr>
        <w:t>；其他主要人员应附身份证、学历证、职称证、有关证书和社保缴费证明</w:t>
      </w:r>
      <w:r>
        <w:rPr>
          <w:rFonts w:hint="default" w:cs="Times New Roman"/>
          <w:color w:val="auto"/>
          <w:sz w:val="24"/>
          <w:szCs w:val="24"/>
          <w:highlight w:val="none"/>
          <w:lang w:eastAsia="zh-CN"/>
        </w:rPr>
        <w:t>（若有）</w:t>
      </w:r>
      <w:r>
        <w:rPr>
          <w:rFonts w:hint="default" w:cs="Times New Roman"/>
          <w:color w:val="auto"/>
          <w:sz w:val="24"/>
          <w:szCs w:val="24"/>
          <w:highlight w:val="none"/>
        </w:rPr>
        <w:t>。</w:t>
      </w:r>
      <w:r>
        <w:rPr>
          <w:rFonts w:hint="eastAsia" w:cs="Times New Roman"/>
          <w:color w:val="auto"/>
          <w:sz w:val="24"/>
          <w:szCs w:val="24"/>
          <w:highlight w:val="none"/>
          <w:lang w:eastAsia="zh-CN"/>
        </w:rPr>
        <w:t>（注：以上人员社保要求：具有离投标截止时间最近</w:t>
      </w:r>
      <w:r>
        <w:rPr>
          <w:rFonts w:hint="eastAsia" w:cs="Times New Roman"/>
          <w:color w:val="auto"/>
          <w:sz w:val="24"/>
          <w:szCs w:val="24"/>
          <w:highlight w:val="none"/>
          <w:lang w:val="en-US" w:eastAsia="zh-CN"/>
        </w:rPr>
        <w:t>1</w:t>
      </w:r>
      <w:r>
        <w:rPr>
          <w:rFonts w:hint="eastAsia" w:cs="Times New Roman"/>
          <w:color w:val="auto"/>
          <w:sz w:val="24"/>
          <w:szCs w:val="24"/>
          <w:highlight w:val="none"/>
          <w:lang w:eastAsia="zh-CN"/>
        </w:rPr>
        <w:t>个月在本单位缴纳的社保证明文件。）</w:t>
      </w:r>
    </w:p>
    <w:p w14:paraId="3242233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val="0"/>
          <w:dstrike w:val="0"/>
          <w:color w:val="auto"/>
          <w:sz w:val="24"/>
          <w:szCs w:val="24"/>
          <w:highlight w:val="none"/>
        </w:rPr>
      </w:pPr>
      <w:r>
        <w:rPr>
          <w:rFonts w:hint="default" w:cs="Times New Roman"/>
          <w:strike w:val="0"/>
          <w:dstrike w:val="0"/>
          <w:color w:val="auto"/>
          <w:sz w:val="24"/>
          <w:szCs w:val="24"/>
          <w:highlight w:val="none"/>
        </w:rPr>
        <w:t>3.5.</w:t>
      </w:r>
      <w:r>
        <w:rPr>
          <w:rFonts w:hint="default" w:cs="Times New Roman"/>
          <w:strike w:val="0"/>
          <w:dstrike w:val="0"/>
          <w:color w:val="auto"/>
          <w:sz w:val="24"/>
          <w:szCs w:val="24"/>
          <w:highlight w:val="none"/>
          <w:lang w:val="en-US" w:eastAsia="zh-CN"/>
        </w:rPr>
        <w:t>4</w:t>
      </w:r>
      <w:r>
        <w:rPr>
          <w:rFonts w:hint="default" w:cs="Times New Roman"/>
          <w:strike w:val="0"/>
          <w:dstrike w:val="0"/>
          <w:color w:val="auto"/>
          <w:sz w:val="24"/>
          <w:szCs w:val="24"/>
          <w:highlight w:val="none"/>
        </w:rPr>
        <w:t xml:space="preserve"> 投标人须知前附表规定接受联合体投标的，本章第3.5.1 项至第3.5.</w:t>
      </w:r>
      <w:r>
        <w:rPr>
          <w:rFonts w:hint="default" w:cs="Times New Roman"/>
          <w:strike w:val="0"/>
          <w:dstrike w:val="0"/>
          <w:color w:val="auto"/>
          <w:sz w:val="24"/>
          <w:szCs w:val="24"/>
          <w:highlight w:val="none"/>
          <w:lang w:val="en-US" w:eastAsia="zh-CN"/>
        </w:rPr>
        <w:t>3</w:t>
      </w:r>
      <w:r>
        <w:rPr>
          <w:rFonts w:hint="default" w:cs="Times New Roman"/>
          <w:strike w:val="0"/>
          <w:dstrike w:val="0"/>
          <w:color w:val="auto"/>
          <w:sz w:val="24"/>
          <w:szCs w:val="24"/>
          <w:highlight w:val="none"/>
        </w:rPr>
        <w:t>项规定的表格和资料应包括联合体各方相关情况。</w:t>
      </w:r>
    </w:p>
    <w:p w14:paraId="4503DF7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3.6 备选投标方案</w:t>
      </w:r>
    </w:p>
    <w:p w14:paraId="73167CF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3.6.1 除投标人须知前附表规定允许外，投标人不得递交备选投标方案，否则其投标将被否决。</w:t>
      </w:r>
    </w:p>
    <w:p w14:paraId="4FD38FB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dstrike w:val="0"/>
          <w:color w:val="auto"/>
          <w:sz w:val="24"/>
          <w:szCs w:val="24"/>
          <w:highlight w:val="none"/>
        </w:rPr>
      </w:pPr>
      <w:r>
        <w:rPr>
          <w:rFonts w:hint="default" w:cs="Times New Roman"/>
          <w:strike/>
          <w:dstrike w:val="0"/>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89D585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3.6.3 投标人提供两个或两个以上投标报价，或者在投标文件中提供一个报价，但同时提供两个或两个以上监理方案的，视为提供备选方案。</w:t>
      </w:r>
    </w:p>
    <w:p w14:paraId="13E2574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3.7 投标文件的编制</w:t>
      </w:r>
    </w:p>
    <w:p w14:paraId="6CA0B82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3.7.1</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 xml:space="preserve"> 投标文件应按第六章“投标文件格式”进行编写， 如有必要，可以增加附页，作为投标文件的组成部分。其中，投标函附录在满足招标文件实质性要求的基础上，可以提出比招标文件要求更有利于招标人的承诺。</w:t>
      </w:r>
    </w:p>
    <w:p w14:paraId="256F351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3.7.2  投标文件应当对招标文件有关监理服务期限、投标有效期、委托人要求、招标范围等实质性内容作出响应。</w:t>
      </w:r>
    </w:p>
    <w:p w14:paraId="5BA04C4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w:t>
      </w:r>
      <w:r>
        <w:rPr>
          <w:rFonts w:hint="default" w:cs="Times New Roman"/>
          <w:color w:val="auto"/>
          <w:sz w:val="24"/>
          <w:szCs w:val="24"/>
          <w:highlight w:val="none"/>
          <w:lang w:val="en-US" w:eastAsia="zh-CN"/>
        </w:rPr>
        <w:t>7</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3  </w:t>
      </w:r>
      <w:r>
        <w:rPr>
          <w:rFonts w:hint="default" w:cs="Times New Roman"/>
          <w:color w:val="auto"/>
          <w:sz w:val="24"/>
          <w:szCs w:val="24"/>
          <w:highlight w:val="none"/>
        </w:rPr>
        <w:t>投标文件全部采用电子文档，投标文件所附证书证件均为原件扫描件</w:t>
      </w:r>
      <w:r>
        <w:rPr>
          <w:rFonts w:hint="default" w:cs="Times New Roman"/>
          <w:color w:val="auto"/>
          <w:sz w:val="24"/>
          <w:szCs w:val="24"/>
          <w:highlight w:val="none"/>
          <w:lang w:eastAsia="zh-CN"/>
        </w:rPr>
        <w:t>或电子证书</w:t>
      </w:r>
      <w:r>
        <w:rPr>
          <w:rFonts w:hint="default" w:cs="Times New Roman"/>
          <w:color w:val="auto"/>
          <w:sz w:val="24"/>
          <w:szCs w:val="24"/>
          <w:highlight w:val="none"/>
        </w:rPr>
        <w:t>，并采用单位数字证书，按招标文件要求在相应位置加盖电子印章。投标文件中需个人签字或盖章的，应加盖个人电子印章或在线下完成后扫描上传</w:t>
      </w:r>
      <w:r>
        <w:rPr>
          <w:rFonts w:hint="eastAsia"/>
          <w:color w:val="auto"/>
          <w:kern w:val="2"/>
          <w:sz w:val="24"/>
          <w:szCs w:val="24"/>
          <w:highlight w:val="none"/>
          <w:lang w:val="en-US" w:eastAsia="zh-CN"/>
        </w:rPr>
        <w:t>（</w:t>
      </w:r>
      <w:r>
        <w:rPr>
          <w:rFonts w:hint="default" w:ascii="Calibri" w:hAnsi="Calibri" w:eastAsia="宋体" w:cs="Times New Roman"/>
          <w:color w:val="auto"/>
          <w:kern w:val="2"/>
          <w:sz w:val="24"/>
          <w:szCs w:val="24"/>
          <w:highlight w:val="none"/>
          <w:lang w:val="en-US" w:eastAsia="zh-CN" w:bidi="ar-SA"/>
        </w:rPr>
        <w:t>可靠的电子签名与手写签名或者盖章具有同等的法律效力</w:t>
      </w:r>
      <w:r>
        <w:rPr>
          <w:rFonts w:hint="eastAsia"/>
          <w:color w:val="auto"/>
          <w:kern w:val="2"/>
          <w:sz w:val="24"/>
          <w:szCs w:val="24"/>
          <w:highlight w:val="none"/>
          <w:lang w:val="en-US" w:eastAsia="zh-CN"/>
        </w:rPr>
        <w:t>）</w:t>
      </w:r>
      <w:r>
        <w:rPr>
          <w:rFonts w:hint="default" w:cs="Times New Roman"/>
          <w:color w:val="auto"/>
          <w:sz w:val="24"/>
          <w:szCs w:val="24"/>
          <w:highlight w:val="none"/>
        </w:rPr>
        <w:t>。按照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网站关于全流程电子化项目的相关指南进行操作</w:t>
      </w:r>
      <w:r>
        <w:rPr>
          <w:rFonts w:hint="default" w:cs="Times New Roman"/>
          <w:color w:val="auto"/>
          <w:sz w:val="24"/>
          <w:szCs w:val="24"/>
          <w:highlight w:val="none"/>
        </w:rPr>
        <w:t>。</w:t>
      </w:r>
    </w:p>
    <w:p w14:paraId="7D83998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val="0"/>
          <w:color w:val="auto"/>
          <w:sz w:val="24"/>
          <w:szCs w:val="24"/>
          <w:highlight w:val="none"/>
        </w:rPr>
      </w:pPr>
      <w:r>
        <w:rPr>
          <w:rFonts w:hint="default" w:cs="Times New Roman"/>
          <w:strike w:val="0"/>
          <w:color w:val="auto"/>
          <w:sz w:val="24"/>
          <w:szCs w:val="24"/>
          <w:highlight w:val="none"/>
        </w:rPr>
        <w:t>3.</w:t>
      </w:r>
      <w:r>
        <w:rPr>
          <w:rFonts w:hint="default" w:cs="Times New Roman"/>
          <w:strike w:val="0"/>
          <w:color w:val="auto"/>
          <w:sz w:val="24"/>
          <w:szCs w:val="24"/>
          <w:highlight w:val="none"/>
          <w:lang w:val="en-US" w:eastAsia="zh-CN"/>
        </w:rPr>
        <w:t>7</w:t>
      </w:r>
      <w:r>
        <w:rPr>
          <w:rFonts w:hint="default" w:cs="Times New Roman"/>
          <w:strike w:val="0"/>
          <w:color w:val="auto"/>
          <w:sz w:val="24"/>
          <w:szCs w:val="24"/>
          <w:highlight w:val="none"/>
        </w:rPr>
        <w:t>.</w:t>
      </w:r>
      <w:r>
        <w:rPr>
          <w:rFonts w:hint="default" w:cs="Times New Roman"/>
          <w:strike w:val="0"/>
          <w:color w:val="auto"/>
          <w:sz w:val="24"/>
          <w:szCs w:val="24"/>
          <w:highlight w:val="none"/>
          <w:lang w:val="en-US" w:eastAsia="zh-CN"/>
        </w:rPr>
        <w:t xml:space="preserve">4  </w:t>
      </w:r>
      <w:r>
        <w:rPr>
          <w:rFonts w:hint="default" w:cs="Times New Roman"/>
          <w:strike w:val="0"/>
          <w:color w:val="auto"/>
          <w:sz w:val="24"/>
          <w:szCs w:val="24"/>
          <w:highlight w:val="none"/>
        </w:rPr>
        <w:t>联合体投标时，</w:t>
      </w:r>
      <w:r>
        <w:rPr>
          <w:rFonts w:hint="default" w:cs="Times New Roman"/>
          <w:strike w:val="0"/>
          <w:color w:val="auto"/>
          <w:sz w:val="24"/>
          <w:szCs w:val="24"/>
          <w:highlight w:val="none"/>
          <w:lang w:eastAsia="zh-CN"/>
        </w:rPr>
        <w:t>投标人封面及其他内容落款中的“投标人”应填写联合体各方的单位全称【格式为：（主）XXXX公司（成）XXXX公司】。除</w:t>
      </w:r>
      <w:r>
        <w:rPr>
          <w:rFonts w:hint="default" w:cs="Times New Roman"/>
          <w:strike w:val="0"/>
          <w:color w:val="auto"/>
          <w:sz w:val="24"/>
          <w:szCs w:val="24"/>
          <w:highlight w:val="none"/>
        </w:rPr>
        <w:t>联合体共同投标协议需联合体各方按要求共同盖章签字，其余可由联合体</w:t>
      </w:r>
      <w:r>
        <w:rPr>
          <w:rFonts w:hint="default" w:cs="Times New Roman"/>
          <w:strike w:val="0"/>
          <w:color w:val="auto"/>
          <w:sz w:val="24"/>
          <w:szCs w:val="24"/>
          <w:highlight w:val="none"/>
          <w:lang w:eastAsia="zh-CN"/>
        </w:rPr>
        <w:t>主办方</w:t>
      </w:r>
      <w:r>
        <w:rPr>
          <w:rFonts w:hint="default" w:cs="Times New Roman"/>
          <w:strike w:val="0"/>
          <w:color w:val="auto"/>
          <w:sz w:val="24"/>
          <w:szCs w:val="24"/>
          <w:highlight w:val="none"/>
        </w:rPr>
        <w:t>签字、盖章即可，</w:t>
      </w:r>
      <w:r>
        <w:rPr>
          <w:rFonts w:hint="eastAsia" w:cs="Times New Roman"/>
          <w:strike w:val="0"/>
          <w:color w:val="auto"/>
          <w:sz w:val="24"/>
          <w:szCs w:val="24"/>
          <w:highlight w:val="none"/>
          <w:lang w:eastAsia="zh-CN"/>
        </w:rPr>
        <w:t>由联合体主办方法人签字或盖章</w:t>
      </w:r>
      <w:r>
        <w:rPr>
          <w:rFonts w:hint="default" w:cs="Times New Roman"/>
          <w:strike w:val="0"/>
          <w:color w:val="auto"/>
          <w:sz w:val="24"/>
          <w:szCs w:val="24"/>
          <w:highlight w:val="none"/>
        </w:rPr>
        <w:t>的电子投标文件需提供</w:t>
      </w:r>
      <w:r>
        <w:rPr>
          <w:rFonts w:hint="default" w:cs="Times New Roman"/>
          <w:strike w:val="0"/>
          <w:color w:val="auto"/>
          <w:sz w:val="24"/>
          <w:szCs w:val="24"/>
          <w:highlight w:val="none"/>
          <w:lang w:eastAsia="zh-CN"/>
        </w:rPr>
        <w:t>主办方</w:t>
      </w:r>
      <w:r>
        <w:rPr>
          <w:rFonts w:hint="default" w:cs="Times New Roman"/>
          <w:strike w:val="0"/>
          <w:color w:val="auto"/>
          <w:sz w:val="24"/>
          <w:szCs w:val="24"/>
          <w:highlight w:val="none"/>
        </w:rPr>
        <w:t>法定代表人证明书，若由联合体</w:t>
      </w:r>
      <w:r>
        <w:rPr>
          <w:rFonts w:hint="default" w:cs="Times New Roman"/>
          <w:strike w:val="0"/>
          <w:color w:val="auto"/>
          <w:sz w:val="24"/>
          <w:szCs w:val="24"/>
          <w:highlight w:val="none"/>
          <w:lang w:eastAsia="zh-CN"/>
        </w:rPr>
        <w:t>主办方</w:t>
      </w:r>
      <w:r>
        <w:rPr>
          <w:rFonts w:hint="default" w:cs="Times New Roman"/>
          <w:strike w:val="0"/>
          <w:color w:val="auto"/>
          <w:sz w:val="24"/>
          <w:szCs w:val="24"/>
          <w:highlight w:val="none"/>
        </w:rPr>
        <w:t>法定代表人授权签字的电子投标文件需提供法定代表人证明书及其授权委托书、授权委托人身份证</w:t>
      </w:r>
      <w:r>
        <w:rPr>
          <w:rFonts w:hint="default" w:cs="Times New Roman"/>
          <w:strike w:val="0"/>
          <w:color w:val="auto"/>
          <w:sz w:val="24"/>
          <w:szCs w:val="24"/>
          <w:highlight w:val="none"/>
          <w:lang w:eastAsia="zh-CN"/>
        </w:rPr>
        <w:t>扫描</w:t>
      </w:r>
      <w:r>
        <w:rPr>
          <w:rFonts w:hint="default" w:cs="Times New Roman"/>
          <w:strike w:val="0"/>
          <w:color w:val="auto"/>
          <w:sz w:val="24"/>
          <w:szCs w:val="24"/>
          <w:highlight w:val="none"/>
        </w:rPr>
        <w:t>件。</w:t>
      </w:r>
    </w:p>
    <w:p w14:paraId="53AC304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w:t>
      </w:r>
      <w:r>
        <w:rPr>
          <w:rFonts w:hint="default" w:cs="Times New Roman"/>
          <w:color w:val="auto"/>
          <w:sz w:val="24"/>
          <w:szCs w:val="24"/>
          <w:highlight w:val="none"/>
          <w:lang w:val="en-US" w:eastAsia="zh-CN"/>
        </w:rPr>
        <w:t>7</w:t>
      </w:r>
      <w:r>
        <w:rPr>
          <w:rFonts w:hint="default" w:cs="Times New Roman"/>
          <w:color w:val="auto"/>
          <w:sz w:val="24"/>
          <w:szCs w:val="24"/>
          <w:highlight w:val="none"/>
          <w:lang w:eastAsia="zh-CN"/>
        </w:rPr>
        <w:t>.</w:t>
      </w:r>
      <w:r>
        <w:rPr>
          <w:rFonts w:hint="default" w:cs="Times New Roman"/>
          <w:color w:val="auto"/>
          <w:sz w:val="24"/>
          <w:szCs w:val="24"/>
          <w:highlight w:val="none"/>
          <w:lang w:val="en-US" w:eastAsia="zh-CN"/>
        </w:rPr>
        <w:t xml:space="preserve">5 </w:t>
      </w:r>
      <w:r>
        <w:rPr>
          <w:rFonts w:hint="eastAsia" w:cs="Times New Roman"/>
          <w:color w:val="auto"/>
          <w:sz w:val="24"/>
          <w:szCs w:val="24"/>
          <w:highlight w:val="none"/>
          <w:lang w:val="en-US" w:eastAsia="zh-CN"/>
        </w:rPr>
        <w:t xml:space="preserve"> </w:t>
      </w:r>
      <w:r>
        <w:rPr>
          <w:rFonts w:hint="default" w:cs="Times New Roman"/>
          <w:color w:val="auto"/>
          <w:sz w:val="24"/>
          <w:szCs w:val="24"/>
          <w:highlight w:val="none"/>
          <w:lang w:eastAsia="zh-CN"/>
        </w:rPr>
        <w:t>投标文件应按照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网站关于全流程电子化项目的相关指南进行编制。如因不按上述编排要求编制而所引起系统无法检索、读取相关信息时，其后果将由投标人自行承担。</w:t>
      </w:r>
    </w:p>
    <w:p w14:paraId="72CB66C4">
      <w:pPr>
        <w:pStyle w:val="5"/>
        <w:outlineLvl w:val="1"/>
        <w:rPr>
          <w:rFonts w:hint="default" w:cs="宋体"/>
          <w:color w:val="auto"/>
          <w:sz w:val="24"/>
          <w:szCs w:val="24"/>
          <w:highlight w:val="none"/>
        </w:rPr>
      </w:pPr>
      <w:r>
        <w:rPr>
          <w:rFonts w:hint="default" w:cs="宋体"/>
          <w:color w:val="auto"/>
          <w:sz w:val="24"/>
          <w:szCs w:val="24"/>
          <w:highlight w:val="none"/>
        </w:rPr>
        <w:t>4.投标</w:t>
      </w:r>
    </w:p>
    <w:p w14:paraId="68565BF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rPr>
        <w:t>4.1  投标文件的</w:t>
      </w:r>
      <w:r>
        <w:rPr>
          <w:rFonts w:hint="default" w:ascii="宋体" w:hAnsi="宋体" w:eastAsia="宋体" w:cs="宋体"/>
          <w:color w:val="auto"/>
          <w:highlight w:val="none"/>
          <w:lang w:val="en-US" w:eastAsia="zh-CN"/>
        </w:rPr>
        <w:t>加密</w:t>
      </w:r>
    </w:p>
    <w:p w14:paraId="699A448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4.1.1 </w:t>
      </w:r>
      <w:r>
        <w:rPr>
          <w:rFonts w:hint="eastAsia" w:cs="Times New Roman"/>
          <w:color w:val="auto"/>
          <w:sz w:val="24"/>
          <w:szCs w:val="24"/>
          <w:highlight w:val="none"/>
          <w:lang w:val="en-US" w:eastAsia="zh-CN"/>
        </w:rPr>
        <w:t xml:space="preserve"> </w:t>
      </w:r>
      <w:r>
        <w:rPr>
          <w:rFonts w:hint="default" w:cs="Times New Roman"/>
          <w:color w:val="auto"/>
          <w:sz w:val="24"/>
          <w:szCs w:val="24"/>
          <w:highlight w:val="none"/>
        </w:rPr>
        <w:t>递交的电子投标文件（不含备用光盘）必须进行加密。按照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关于全流程电子化项目的相关指南进行操作。</w:t>
      </w:r>
    </w:p>
    <w:p w14:paraId="3B7838A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4.1.2  未按要求加密的投标文件，</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网站交易</w:t>
      </w:r>
      <w:r>
        <w:rPr>
          <w:rFonts w:hint="default" w:cs="Times New Roman"/>
          <w:color w:val="auto"/>
          <w:sz w:val="24"/>
          <w:szCs w:val="24"/>
          <w:highlight w:val="none"/>
        </w:rPr>
        <w:t>平台将予以拒收。</w:t>
      </w:r>
    </w:p>
    <w:p w14:paraId="1CA45C7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4.2  投标文件的递交</w:t>
      </w:r>
    </w:p>
    <w:p w14:paraId="082D0DC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4.2.1</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w:t>
      </w:r>
      <w:r>
        <w:rPr>
          <w:rFonts w:hint="default" w:cs="Times New Roman"/>
          <w:color w:val="auto"/>
          <w:sz w:val="24"/>
          <w:szCs w:val="24"/>
          <w:highlight w:val="none"/>
          <w:lang w:eastAsia="zh-CN"/>
        </w:rPr>
        <w:t>应在投标人须知前附表规定的投标截止时间前，</w:t>
      </w:r>
      <w:r>
        <w:rPr>
          <w:rFonts w:hint="default" w:cs="Times New Roman"/>
          <w:color w:val="auto"/>
          <w:sz w:val="24"/>
          <w:szCs w:val="24"/>
          <w:highlight w:val="none"/>
        </w:rPr>
        <w:t>通过</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交易平台递交电子投标文件。</w:t>
      </w:r>
    </w:p>
    <w:p w14:paraId="5BEA640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4.2.2</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投标人完成电子投标文件上传后，</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交易平台即时向投标人发出递交回执通知。递交时间以递交回执通知载明的传输完成时间为准。</w:t>
      </w:r>
    </w:p>
    <w:p w14:paraId="75C38C5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4.2.3</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逾期送达的电子投标文件，</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交易平台将予以拒收。</w:t>
      </w:r>
    </w:p>
    <w:p w14:paraId="7472269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 xml:space="preserve">4.2.4 </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投标截止前，招标人拒绝接收符合条件的投标文件，投标人可向招标监督机构投诉</w:t>
      </w:r>
      <w:r>
        <w:rPr>
          <w:rFonts w:hint="default" w:cs="Times New Roman"/>
          <w:color w:val="auto"/>
          <w:sz w:val="24"/>
          <w:szCs w:val="24"/>
          <w:highlight w:val="none"/>
          <w:lang w:eastAsia="zh-CN"/>
        </w:rPr>
        <w:t>。</w:t>
      </w:r>
    </w:p>
    <w:p w14:paraId="2D61724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4.3  投标文件的修改与撤回</w:t>
      </w:r>
    </w:p>
    <w:p w14:paraId="745E537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4.3.1  在规定的投标截止时间前， 投标人可以修改或撤回已递交的投标文件， 但应以书面形式通知招标人。</w:t>
      </w:r>
    </w:p>
    <w:p w14:paraId="44A5E5F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4.3.2  投标人修改或撤回已递交投标文件</w:t>
      </w:r>
      <w:r>
        <w:rPr>
          <w:rFonts w:hint="default" w:cs="Times New Roman"/>
          <w:color w:val="auto"/>
          <w:sz w:val="24"/>
          <w:szCs w:val="24"/>
          <w:highlight w:val="none"/>
          <w:lang w:val="en-US" w:eastAsia="zh-CN"/>
        </w:rPr>
        <w:t>,</w:t>
      </w:r>
      <w:r>
        <w:rPr>
          <w:rFonts w:hint="default" w:cs="Times New Roman"/>
          <w:color w:val="auto"/>
          <w:sz w:val="24"/>
          <w:szCs w:val="24"/>
          <w:highlight w:val="none"/>
          <w:lang w:eastAsia="zh-CN"/>
        </w:rPr>
        <w:t>需在交易平台发出修改或撤回通知，并按要求加盖电子印章</w:t>
      </w:r>
      <w:r>
        <w:rPr>
          <w:rFonts w:hint="default" w:cs="Times New Roman"/>
          <w:color w:val="auto"/>
          <w:sz w:val="24"/>
          <w:szCs w:val="24"/>
          <w:highlight w:val="none"/>
        </w:rPr>
        <w:t>。电子招标投标交易平台收到通知后，即时向投标人发出确认回执通知。</w:t>
      </w:r>
    </w:p>
    <w:p w14:paraId="041E089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4.3.3 </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lang w:eastAsia="zh-CN"/>
        </w:rPr>
        <w:t>修改后再次递交的，按第</w:t>
      </w:r>
      <w:r>
        <w:rPr>
          <w:rFonts w:hint="default" w:cs="Times New Roman"/>
          <w:color w:val="auto"/>
          <w:sz w:val="24"/>
          <w:szCs w:val="24"/>
          <w:highlight w:val="none"/>
          <w:lang w:val="en-US" w:eastAsia="zh-CN"/>
        </w:rPr>
        <w:t>4.2项的规定执行</w:t>
      </w:r>
      <w:r>
        <w:rPr>
          <w:rFonts w:hint="default" w:cs="Times New Roman"/>
          <w:color w:val="auto"/>
          <w:sz w:val="24"/>
          <w:szCs w:val="24"/>
          <w:highlight w:val="none"/>
        </w:rPr>
        <w:t>。</w:t>
      </w:r>
    </w:p>
    <w:p w14:paraId="1FBE6A0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4.3.</w:t>
      </w:r>
      <w:r>
        <w:rPr>
          <w:rFonts w:hint="default" w:cs="Times New Roman"/>
          <w:color w:val="auto"/>
          <w:sz w:val="24"/>
          <w:szCs w:val="24"/>
          <w:highlight w:val="none"/>
          <w:lang w:val="en-US" w:eastAsia="zh-CN"/>
        </w:rPr>
        <w:t>4</w:t>
      </w:r>
      <w:r>
        <w:rPr>
          <w:rFonts w:hint="default" w:cs="Times New Roman"/>
          <w:color w:val="auto"/>
          <w:sz w:val="24"/>
          <w:szCs w:val="24"/>
          <w:highlight w:val="none"/>
        </w:rPr>
        <w:t xml:space="preserve"> </w:t>
      </w:r>
      <w:r>
        <w:rPr>
          <w:rFonts w:hint="default" w:cs="Times New Roman"/>
          <w:color w:val="auto"/>
          <w:sz w:val="24"/>
          <w:szCs w:val="24"/>
          <w:highlight w:val="none"/>
          <w:lang w:eastAsia="zh-CN"/>
        </w:rPr>
        <w:t xml:space="preserve"> 在投标截止时间之后，投标人不得补充、修改和更换投标文件。</w:t>
      </w:r>
    </w:p>
    <w:p w14:paraId="5E5CA117">
      <w:pPr>
        <w:pStyle w:val="5"/>
        <w:outlineLvl w:val="1"/>
        <w:rPr>
          <w:rFonts w:hint="default" w:cs="宋体"/>
          <w:color w:val="auto"/>
          <w:sz w:val="24"/>
          <w:szCs w:val="24"/>
          <w:highlight w:val="none"/>
        </w:rPr>
      </w:pPr>
      <w:r>
        <w:rPr>
          <w:rFonts w:hint="default" w:cs="宋体"/>
          <w:color w:val="auto"/>
          <w:sz w:val="24"/>
          <w:szCs w:val="24"/>
          <w:highlight w:val="none"/>
        </w:rPr>
        <w:t>5.开标</w:t>
      </w:r>
    </w:p>
    <w:p w14:paraId="4E02659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5.1 开标时间和地点</w:t>
      </w:r>
    </w:p>
    <w:p w14:paraId="22228EF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val="en-US" w:eastAsia="zh-CN"/>
        </w:rPr>
        <w:t xml:space="preserve">5.1.1  </w:t>
      </w:r>
      <w:r>
        <w:rPr>
          <w:rFonts w:hint="default" w:cs="Times New Roman"/>
          <w:color w:val="auto"/>
          <w:sz w:val="24"/>
          <w:szCs w:val="24"/>
          <w:highlight w:val="none"/>
          <w:lang w:eastAsia="zh-CN"/>
        </w:rPr>
        <w:t>招标人按投标须知前附表规定的时间和地点公开开标。截标后，开标开始时间因故推迟的，相关评标信息仍以原定的开标开始时间的信息为准。</w:t>
      </w:r>
    </w:p>
    <w:p w14:paraId="24E1FAA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val="en-US" w:eastAsia="zh-CN"/>
        </w:rPr>
        <w:t xml:space="preserve">5.1.2  </w:t>
      </w:r>
      <w:r>
        <w:rPr>
          <w:rFonts w:hint="default" w:cs="Times New Roman"/>
          <w:color w:val="auto"/>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10B542A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5.2 开标程序</w:t>
      </w:r>
    </w:p>
    <w:p w14:paraId="2033B25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5.2.1   在投标截止时间后</w:t>
      </w:r>
      <w:r>
        <w:rPr>
          <w:rFonts w:hint="eastAsia" w:cs="Times New Roman"/>
          <w:color w:val="auto"/>
          <w:sz w:val="24"/>
          <w:szCs w:val="24"/>
          <w:highlight w:val="none"/>
          <w:u w:val="single"/>
          <w:lang w:val="en-US" w:eastAsia="zh-CN"/>
        </w:rPr>
        <w:t>一</w:t>
      </w:r>
      <w:r>
        <w:rPr>
          <w:rFonts w:hint="default" w:cs="Times New Roman"/>
          <w:color w:val="auto"/>
          <w:sz w:val="24"/>
          <w:szCs w:val="24"/>
          <w:highlight w:val="none"/>
          <w:u w:val="single"/>
          <w:lang w:val="en-US" w:eastAsia="zh-CN"/>
        </w:rPr>
        <w:t>小时</w:t>
      </w:r>
      <w:r>
        <w:rPr>
          <w:rFonts w:hint="default" w:cs="Times New Roman"/>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6EB7FF8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5.2.2  按开标记录表规定的内容进行唱标。</w:t>
      </w:r>
    </w:p>
    <w:p w14:paraId="47C39D6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5.2.3  投标人代表、招标人代表、监标人、记录人等有关人员在开标记录上签字确认；若有关人员不签字的，不影响开标程序。</w:t>
      </w:r>
    </w:p>
    <w:p w14:paraId="119BF06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5.2.4  开标结束。</w:t>
      </w:r>
    </w:p>
    <w:p w14:paraId="696C502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1FC4B7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5.2.6  开标时，两个（含两个）以上的投标人加密打包投标文件电脑机器特征码一致的，不参与下一程序，并由评标委员会否决其投标。</w:t>
      </w:r>
    </w:p>
    <w:p w14:paraId="1CA9882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5.3 开标异议</w:t>
      </w:r>
    </w:p>
    <w:p w14:paraId="116A5D6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5.3.1  参加现场开标的投标人对开标结果有异议的，应当在开标现场提出，招标人应当当场作出答复，并制作记录。</w:t>
      </w:r>
    </w:p>
    <w:p w14:paraId="30FF2D8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373B130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5.3.3  投标人未参加开标或在规定的时间内未提出异议的，视为对开标无异议。</w:t>
      </w:r>
    </w:p>
    <w:p w14:paraId="617D5643">
      <w:pPr>
        <w:pStyle w:val="5"/>
        <w:outlineLvl w:val="1"/>
        <w:rPr>
          <w:rFonts w:hint="eastAsia" w:ascii="Microsoft JhengHei" w:hAnsi="Microsoft JhengHei" w:eastAsia="Microsoft JhengHei"/>
          <w:b w:val="0"/>
          <w:color w:val="auto"/>
          <w:sz w:val="30"/>
          <w:szCs w:val="24"/>
          <w:highlight w:val="none"/>
        </w:rPr>
      </w:pPr>
      <w:r>
        <w:rPr>
          <w:rFonts w:hint="default" w:cs="宋体"/>
          <w:color w:val="auto"/>
          <w:sz w:val="24"/>
          <w:szCs w:val="24"/>
          <w:highlight w:val="none"/>
        </w:rPr>
        <w:t>6.评标</w:t>
      </w:r>
    </w:p>
    <w:p w14:paraId="73E568B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6.1 评标委员会</w:t>
      </w:r>
    </w:p>
    <w:p w14:paraId="36CD9C4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6.1.1 </w:t>
      </w:r>
      <w:r>
        <w:rPr>
          <w:rFonts w:hint="default" w:cs="宋体"/>
          <w:color w:val="auto"/>
          <w:sz w:val="24"/>
          <w:szCs w:val="24"/>
          <w:highlight w:val="none"/>
        </w:rPr>
        <w:t>评标由招标人依法组建的评标委员会负责。评标委员会由有关技术、经济等方面的专家和招标人代表组成，专家</w:t>
      </w:r>
      <w:r>
        <w:rPr>
          <w:rFonts w:hint="default" w:cs="宋体"/>
          <w:color w:val="auto"/>
          <w:sz w:val="24"/>
          <w:szCs w:val="24"/>
          <w:highlight w:val="none"/>
          <w:lang w:eastAsia="zh-CN"/>
        </w:rPr>
        <w:t>从</w:t>
      </w:r>
      <w:r>
        <w:rPr>
          <w:rFonts w:hint="default" w:cs="宋体"/>
          <w:color w:val="auto"/>
          <w:sz w:val="24"/>
          <w:szCs w:val="24"/>
          <w:highlight w:val="none"/>
          <w:u w:val="single"/>
          <w:lang w:eastAsia="zh-CN"/>
        </w:rPr>
        <w:t>广东省综合评标评审</w:t>
      </w:r>
      <w:r>
        <w:rPr>
          <w:rFonts w:hint="default" w:cs="宋体"/>
          <w:color w:val="auto"/>
          <w:sz w:val="24"/>
          <w:szCs w:val="24"/>
          <w:highlight w:val="none"/>
          <w:u w:val="single"/>
        </w:rPr>
        <w:t>专家库</w:t>
      </w:r>
      <w:r>
        <w:rPr>
          <w:rFonts w:hint="default" w:cs="宋体"/>
          <w:color w:val="auto"/>
          <w:sz w:val="24"/>
          <w:szCs w:val="24"/>
          <w:highlight w:val="none"/>
        </w:rPr>
        <w:t>中抽取。评标委员会成员人数以及技术、经济等方面专家的确定方式见投标人须知前附表</w:t>
      </w:r>
      <w:r>
        <w:rPr>
          <w:rFonts w:hint="default" w:cs="Times New Roman"/>
          <w:color w:val="auto"/>
          <w:sz w:val="24"/>
          <w:szCs w:val="24"/>
          <w:highlight w:val="none"/>
        </w:rPr>
        <w:t>。</w:t>
      </w:r>
    </w:p>
    <w:p w14:paraId="6BFA3BE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6.1.2 评标委员会成员有下列情形之一的，应当回避：</w:t>
      </w:r>
    </w:p>
    <w:p w14:paraId="56A8E56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（1）投标人或投标人主要负责人的近亲属；</w:t>
      </w:r>
    </w:p>
    <w:p w14:paraId="734E28A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（2）项目主管部门或者行政监督部门的人员；</w:t>
      </w:r>
    </w:p>
    <w:p w14:paraId="62F92477">
      <w:pPr>
        <w:spacing w:line="360" w:lineRule="auto"/>
        <w:ind w:firstLine="480" w:firstLineChars="200"/>
        <w:jc w:val="left"/>
        <w:rPr>
          <w:rFonts w:hint="eastAsia"/>
          <w:color w:val="auto"/>
          <w:sz w:val="24"/>
          <w:highlight w:val="none"/>
        </w:rPr>
      </w:pPr>
      <w:r>
        <w:rPr>
          <w:rFonts w:hint="eastAsia"/>
          <w:color w:val="auto"/>
          <w:sz w:val="24"/>
          <w:highlight w:val="none"/>
        </w:rPr>
        <w:t>（3）招标人或投标人的工作人员、退休或离职未满3年的人员；</w:t>
      </w:r>
    </w:p>
    <w:p w14:paraId="4684B86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4</w:t>
      </w:r>
      <w:r>
        <w:rPr>
          <w:rFonts w:hint="default" w:cs="Times New Roman"/>
          <w:color w:val="auto"/>
          <w:sz w:val="24"/>
          <w:szCs w:val="24"/>
          <w:highlight w:val="none"/>
        </w:rPr>
        <w:t>）与投标人有经济利益关系，可能影响对投标公正评审的；</w:t>
      </w:r>
    </w:p>
    <w:p w14:paraId="7995D7E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5</w:t>
      </w:r>
      <w:r>
        <w:rPr>
          <w:rFonts w:hint="default" w:cs="Times New Roman"/>
          <w:color w:val="auto"/>
          <w:sz w:val="24"/>
          <w:szCs w:val="24"/>
          <w:highlight w:val="none"/>
        </w:rPr>
        <w:t>）曾因在招标、评标以及其他与招标投标有关活动中从事违法行为而受过行政处罚或刑事处罚的；</w:t>
      </w:r>
    </w:p>
    <w:p w14:paraId="44AFF54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6</w:t>
      </w:r>
      <w:r>
        <w:rPr>
          <w:rFonts w:hint="default" w:cs="Times New Roman"/>
          <w:color w:val="auto"/>
          <w:sz w:val="24"/>
          <w:szCs w:val="24"/>
          <w:highlight w:val="none"/>
        </w:rPr>
        <w:t>）与投标人有其他利害关系。</w:t>
      </w:r>
    </w:p>
    <w:p w14:paraId="160DBD8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7AD28E6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6.2 评标原则</w:t>
      </w:r>
    </w:p>
    <w:p w14:paraId="38412A8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评标活动遵循公平、公正、科学和择优的原则。</w:t>
      </w:r>
    </w:p>
    <w:p w14:paraId="2EA2FA4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6.3 评标</w:t>
      </w:r>
    </w:p>
    <w:p w14:paraId="10D8684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6.3.1 评标委员会按照第三章“评标办法”规定的方法、评审因素、标准和程序对投标文件进 行评审。第三章“评标办法”没有规定的方法、评审因素和标准，不作为评标依据。</w:t>
      </w:r>
    </w:p>
    <w:p w14:paraId="1E534A5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6.3.2 评标完成后，评标委员会应当向招标人提交书面评标报告和中标候选人名单。评标委员会推荐中标候选人的人数见投标人须知前附表。</w:t>
      </w:r>
    </w:p>
    <w:p w14:paraId="4DC97200">
      <w:pPr>
        <w:pStyle w:val="5"/>
        <w:outlineLvl w:val="1"/>
        <w:rPr>
          <w:rFonts w:hint="default" w:cs="宋体"/>
          <w:color w:val="auto"/>
          <w:sz w:val="24"/>
          <w:szCs w:val="24"/>
          <w:highlight w:val="none"/>
        </w:rPr>
      </w:pPr>
      <w:r>
        <w:rPr>
          <w:rFonts w:hint="default" w:cs="宋体"/>
          <w:color w:val="auto"/>
          <w:sz w:val="24"/>
          <w:szCs w:val="24"/>
          <w:highlight w:val="none"/>
        </w:rPr>
        <w:t>7.合同授予</w:t>
      </w:r>
    </w:p>
    <w:p w14:paraId="4710A3D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7.1 中标候选人公示</w:t>
      </w:r>
    </w:p>
    <w:p w14:paraId="40DCC81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招标人在收到评标报告之日起3日内，按照投标人须知前附表规定的公示媒介和期限公示中标候选人，公示期不得少于3天</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最后一天应为工作日</w:t>
      </w:r>
      <w:r>
        <w:rPr>
          <w:rFonts w:hint="default" w:cs="Times New Roman"/>
          <w:color w:val="auto"/>
          <w:sz w:val="24"/>
          <w:szCs w:val="24"/>
          <w:highlight w:val="none"/>
        </w:rPr>
        <w:t>。</w:t>
      </w:r>
    </w:p>
    <w:p w14:paraId="4A39E02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7.2 评标结果异议</w:t>
      </w:r>
    </w:p>
    <w:p w14:paraId="657FE54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14:paraId="6160B20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7.3 中标候选人履约能力审查</w:t>
      </w:r>
    </w:p>
    <w:p w14:paraId="2D1D5D9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B0B99B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7.4 定标</w:t>
      </w:r>
    </w:p>
    <w:p w14:paraId="13DBACA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按照投标人须知前附表的规定，招标人或招标人授权的评标委员会依法确定中标人。</w:t>
      </w:r>
    </w:p>
    <w:p w14:paraId="124D124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7.5 中标通知</w:t>
      </w:r>
    </w:p>
    <w:p w14:paraId="1908749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7.5.1  在法规规定的时间内，招标人以书面形式向中标人发出中标通知书。在</w:t>
      </w:r>
      <w:r>
        <w:rPr>
          <w:rFonts w:hint="eastAsia" w:cs="Times New Roman"/>
          <w:color w:val="auto"/>
          <w:sz w:val="24"/>
          <w:szCs w:val="24"/>
          <w:highlight w:val="none"/>
          <w:lang w:val="en-US" w:eastAsia="zh-CN"/>
        </w:rPr>
        <w:t>广州交易集团有限公司（广州公共资源交易中心）</w:t>
      </w:r>
      <w:r>
        <w:rPr>
          <w:rFonts w:hint="default" w:cs="Times New Roman"/>
          <w:color w:val="auto"/>
          <w:sz w:val="24"/>
          <w:szCs w:val="24"/>
          <w:highlight w:val="none"/>
          <w:lang w:val="en-US" w:eastAsia="zh-CN"/>
        </w:rPr>
        <w:t>网和广东省招标投标监管网发布中标信息，视同将中标结果通知未中标的投标人。</w:t>
      </w:r>
    </w:p>
    <w:p w14:paraId="65E80ED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7.5.2  中标通知书发出前，中标人应未被纳入失信联合惩戒名单，否则招标人将取消其中标资格。</w:t>
      </w:r>
    </w:p>
    <w:p w14:paraId="79F4609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7.6 履约保证金</w:t>
      </w:r>
    </w:p>
    <w:p w14:paraId="6B098F3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Pr>
          <w:rFonts w:hint="default" w:cs="Times New Roman"/>
          <w:strike w:val="0"/>
          <w:color w:val="auto"/>
          <w:sz w:val="24"/>
          <w:szCs w:val="24"/>
          <w:highlight w:val="none"/>
        </w:rPr>
        <w:t>联合体中标的，其履约保证金以联合体各方或者联合体中</w:t>
      </w:r>
      <w:r>
        <w:rPr>
          <w:rFonts w:hint="default"/>
          <w:strike w:val="0"/>
          <w:color w:val="auto"/>
          <w:spacing w:val="-2"/>
          <w:sz w:val="24"/>
          <w:szCs w:val="24"/>
          <w:highlight w:val="none"/>
          <w:lang w:eastAsia="zh-CN"/>
        </w:rPr>
        <w:t>主办方</w:t>
      </w:r>
      <w:r>
        <w:rPr>
          <w:rFonts w:hint="default" w:cs="Times New Roman"/>
          <w:strike w:val="0"/>
          <w:color w:val="auto"/>
          <w:sz w:val="24"/>
          <w:szCs w:val="24"/>
          <w:highlight w:val="none"/>
        </w:rPr>
        <w:t>的名义提交。</w:t>
      </w:r>
    </w:p>
    <w:p w14:paraId="1B206B7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7.6.2 中标人不能按本章第 7.6.1 项要求提交履约保证金的，视为放弃中标，</w:t>
      </w:r>
      <w:r>
        <w:rPr>
          <w:rFonts w:hint="default" w:cs="Times New Roman"/>
          <w:strike/>
          <w:color w:val="auto"/>
          <w:sz w:val="24"/>
          <w:szCs w:val="24"/>
          <w:highlight w:val="none"/>
        </w:rPr>
        <w:t>其投标保证金不予退还，</w:t>
      </w:r>
      <w:r>
        <w:rPr>
          <w:rFonts w:hint="default" w:cs="Times New Roman"/>
          <w:color w:val="auto"/>
          <w:sz w:val="24"/>
          <w:szCs w:val="24"/>
          <w:highlight w:val="none"/>
        </w:rPr>
        <w:t>给招标人造成的损失超过投标保证金数额的，中标人还应当对</w:t>
      </w:r>
      <w:r>
        <w:rPr>
          <w:rFonts w:hint="eastAsia" w:cs="Times New Roman"/>
          <w:color w:val="auto"/>
          <w:sz w:val="24"/>
          <w:szCs w:val="24"/>
          <w:highlight w:val="none"/>
          <w:lang w:eastAsia="zh-CN"/>
        </w:rPr>
        <w:t>造成损失部分</w:t>
      </w:r>
      <w:r>
        <w:rPr>
          <w:rFonts w:hint="default" w:cs="Times New Roman"/>
          <w:color w:val="auto"/>
          <w:sz w:val="24"/>
          <w:szCs w:val="24"/>
          <w:highlight w:val="none"/>
        </w:rPr>
        <w:t>予以赔偿。</w:t>
      </w:r>
    </w:p>
    <w:p w14:paraId="518CEFC3">
      <w:pPr>
        <w:pStyle w:val="12"/>
        <w:kinsoku w:val="0"/>
        <w:overflowPunct w:val="0"/>
        <w:spacing w:before="13"/>
        <w:ind w:left="0"/>
        <w:rPr>
          <w:rFonts w:hint="default"/>
          <w:color w:val="auto"/>
          <w:sz w:val="13"/>
          <w:szCs w:val="24"/>
          <w:highlight w:val="none"/>
        </w:rPr>
      </w:pPr>
    </w:p>
    <w:p w14:paraId="28134BA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7.7 签订合同</w:t>
      </w:r>
    </w:p>
    <w:p w14:paraId="70D6C3C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7.7.1 招标人和中标人应当在中标通知书发出之日起30日内，根据招标文件和中标人的投标文件订立书面合同</w:t>
      </w:r>
      <w:r>
        <w:rPr>
          <w:rFonts w:hint="eastAsia"/>
          <w:color w:val="auto"/>
          <w:sz w:val="24"/>
          <w:highlight w:val="none"/>
          <w:lang w:eastAsia="zh-CN"/>
        </w:rPr>
        <w:t>，并通过电子交易系统与中标人在线签订合同</w:t>
      </w:r>
      <w:r>
        <w:rPr>
          <w:rFonts w:hint="default" w:cs="Times New Roman"/>
          <w:color w:val="auto"/>
          <w:sz w:val="24"/>
          <w:szCs w:val="24"/>
          <w:highlight w:val="none"/>
        </w:rPr>
        <w:t>。中标人无正当理由拒签合同，在签订合同时向招标人提出附加条件，或者不按照招标文件要求提交履约保证金的，招标人有权取消其中标资格，</w:t>
      </w:r>
      <w:r>
        <w:rPr>
          <w:rFonts w:hint="default" w:cs="Times New Roman"/>
          <w:strike/>
          <w:color w:val="auto"/>
          <w:sz w:val="24"/>
          <w:szCs w:val="24"/>
          <w:highlight w:val="none"/>
        </w:rPr>
        <w:t>其投标保证金不予退还；</w:t>
      </w:r>
      <w:r>
        <w:rPr>
          <w:rFonts w:hint="default" w:cs="Times New Roman"/>
          <w:color w:val="auto"/>
          <w:sz w:val="24"/>
          <w:szCs w:val="24"/>
          <w:highlight w:val="none"/>
        </w:rPr>
        <w:t>给招标人造成</w:t>
      </w:r>
      <w:r>
        <w:rPr>
          <w:rFonts w:hint="default" w:cs="Times New Roman"/>
          <w:strike/>
          <w:color w:val="auto"/>
          <w:sz w:val="24"/>
          <w:szCs w:val="24"/>
          <w:highlight w:val="none"/>
        </w:rPr>
        <w:t>的</w:t>
      </w:r>
      <w:r>
        <w:rPr>
          <w:rFonts w:hint="default" w:cs="Times New Roman"/>
          <w:color w:val="auto"/>
          <w:sz w:val="24"/>
          <w:szCs w:val="24"/>
          <w:highlight w:val="none"/>
        </w:rPr>
        <w:t>损失</w:t>
      </w:r>
      <w:r>
        <w:rPr>
          <w:rFonts w:hint="default" w:cs="Times New Roman"/>
          <w:strike/>
          <w:color w:val="auto"/>
          <w:sz w:val="24"/>
          <w:szCs w:val="24"/>
          <w:highlight w:val="none"/>
        </w:rPr>
        <w:t>超过投标保证金数额</w:t>
      </w:r>
      <w:r>
        <w:rPr>
          <w:rFonts w:hint="default" w:cs="Times New Roman"/>
          <w:color w:val="auto"/>
          <w:sz w:val="24"/>
          <w:szCs w:val="24"/>
          <w:highlight w:val="none"/>
        </w:rPr>
        <w:t>的，</w:t>
      </w:r>
      <w:r>
        <w:rPr>
          <w:rFonts w:hint="default" w:ascii="宋体" w:hAnsi="宋体" w:eastAsia="宋体"/>
          <w:color w:val="auto"/>
          <w:sz w:val="24"/>
          <w:szCs w:val="24"/>
          <w:highlight w:val="none"/>
        </w:rPr>
        <w:t>中标人还应当对</w:t>
      </w:r>
      <w:r>
        <w:rPr>
          <w:rFonts w:hint="eastAsia" w:ascii="宋体" w:hAnsi="宋体" w:eastAsia="宋体"/>
          <w:color w:val="auto"/>
          <w:sz w:val="24"/>
          <w:szCs w:val="24"/>
          <w:highlight w:val="none"/>
          <w:lang w:eastAsia="zh-CN"/>
        </w:rPr>
        <w:t>造成损失</w:t>
      </w:r>
      <w:r>
        <w:rPr>
          <w:rFonts w:hint="default" w:ascii="宋体" w:hAnsi="宋体" w:eastAsia="宋体"/>
          <w:color w:val="auto"/>
          <w:sz w:val="24"/>
          <w:szCs w:val="24"/>
          <w:highlight w:val="none"/>
        </w:rPr>
        <w:t>部分予以赔偿</w:t>
      </w:r>
      <w:r>
        <w:rPr>
          <w:rFonts w:hint="default" w:cs="Times New Roman"/>
          <w:color w:val="auto"/>
          <w:sz w:val="24"/>
          <w:szCs w:val="24"/>
          <w:highlight w:val="none"/>
        </w:rPr>
        <w:t>。</w:t>
      </w:r>
    </w:p>
    <w:p w14:paraId="016E4AD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7.7.2 发出中标通知书后，招标人无正当理由拒签合同，或者在签订合同时向中标人提出附加条件的，</w:t>
      </w:r>
      <w:r>
        <w:rPr>
          <w:rFonts w:hint="default" w:cs="Times New Roman"/>
          <w:strike/>
          <w:color w:val="auto"/>
          <w:sz w:val="24"/>
          <w:szCs w:val="24"/>
          <w:highlight w:val="none"/>
        </w:rPr>
        <w:t>招标人向中标人退还投标保证金；</w:t>
      </w:r>
      <w:r>
        <w:rPr>
          <w:rFonts w:hint="default" w:cs="Times New Roman"/>
          <w:color w:val="auto"/>
          <w:sz w:val="24"/>
          <w:szCs w:val="24"/>
          <w:highlight w:val="none"/>
        </w:rPr>
        <w:t>给中标人造成损失的，还应当赔偿损失。</w:t>
      </w:r>
    </w:p>
    <w:p w14:paraId="4CEDF83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val="0"/>
          <w:color w:val="auto"/>
          <w:sz w:val="24"/>
          <w:szCs w:val="24"/>
          <w:highlight w:val="none"/>
        </w:rPr>
      </w:pPr>
      <w:r>
        <w:rPr>
          <w:rFonts w:hint="default" w:cs="Times New Roman"/>
          <w:strike w:val="0"/>
          <w:color w:val="auto"/>
          <w:sz w:val="24"/>
          <w:szCs w:val="24"/>
          <w:highlight w:val="none"/>
        </w:rPr>
        <w:t>7.7.3 联合体中标的，联合体各方应当共同与招标人签订合同，就中标项目向招标人承担连带责任。</w:t>
      </w:r>
    </w:p>
    <w:p w14:paraId="2AE4C606">
      <w:pPr>
        <w:pStyle w:val="5"/>
        <w:outlineLvl w:val="1"/>
        <w:rPr>
          <w:rFonts w:hint="eastAsia" w:ascii="Microsoft JhengHei" w:hAnsi="Microsoft JhengHei" w:eastAsia="Microsoft JhengHei"/>
          <w:b w:val="0"/>
          <w:color w:val="auto"/>
          <w:sz w:val="30"/>
          <w:szCs w:val="24"/>
          <w:highlight w:val="none"/>
        </w:rPr>
      </w:pPr>
      <w:r>
        <w:rPr>
          <w:rFonts w:hint="default" w:cs="宋体"/>
          <w:color w:val="auto"/>
          <w:sz w:val="24"/>
          <w:szCs w:val="24"/>
          <w:highlight w:val="none"/>
        </w:rPr>
        <w:t>8.纪律和监督</w:t>
      </w:r>
    </w:p>
    <w:p w14:paraId="65EB1EC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8.1 对招标人的纪律要求</w:t>
      </w:r>
    </w:p>
    <w:p w14:paraId="2943A6F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招标人不得泄露招标投标活动中应当保密的情况和资料，不得与投标人串通损害国家利益、社会公共利益或者他人合法权益。</w:t>
      </w:r>
    </w:p>
    <w:p w14:paraId="4605871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8.2 对投标人的纪律要求</w:t>
      </w:r>
    </w:p>
    <w:p w14:paraId="69C6F6B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686FF3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8.3 对评标委员会成员的纪律要求</w:t>
      </w:r>
    </w:p>
    <w:p w14:paraId="656E044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6567A2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8.4 对与评标活动有关的工作人员的纪律要求</w:t>
      </w:r>
    </w:p>
    <w:p w14:paraId="261BCB5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619A44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8.5 投诉</w:t>
      </w:r>
    </w:p>
    <w:p w14:paraId="36ADA44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0445BD3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3C99B7CB">
      <w:pPr>
        <w:pStyle w:val="5"/>
        <w:outlineLvl w:val="1"/>
        <w:rPr>
          <w:rFonts w:hint="eastAsia" w:ascii="Microsoft JhengHei" w:hAnsi="Microsoft JhengHei" w:eastAsia="Microsoft JhengHei"/>
          <w:b w:val="0"/>
          <w:color w:val="auto"/>
          <w:sz w:val="19"/>
          <w:szCs w:val="24"/>
          <w:highlight w:val="none"/>
        </w:rPr>
      </w:pPr>
      <w:r>
        <w:rPr>
          <w:rFonts w:hint="default" w:cs="宋体"/>
          <w:color w:val="auto"/>
          <w:sz w:val="24"/>
          <w:szCs w:val="24"/>
          <w:highlight w:val="none"/>
        </w:rPr>
        <w:t>9.采用电子招标投标</w:t>
      </w:r>
    </w:p>
    <w:p w14:paraId="211835C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hint="default" w:cs="宋体"/>
          <w:color w:val="auto"/>
          <w:sz w:val="24"/>
          <w:szCs w:val="24"/>
          <w:highlight w:val="none"/>
        </w:rPr>
      </w:pPr>
      <w:r>
        <w:rPr>
          <w:rFonts w:hint="eastAsia" w:ascii="Times New Roman" w:hAnsi="Times New Roman" w:eastAsia="Times New Roman" w:cs="Times New Roman"/>
          <w:color w:val="auto"/>
          <w:spacing w:val="-8"/>
          <w:sz w:val="24"/>
          <w:szCs w:val="24"/>
          <w:highlight w:val="none"/>
        </w:rPr>
        <w:t>本招标项目采用电子招标投标方式，</w:t>
      </w:r>
      <w:r>
        <w:rPr>
          <w:rFonts w:hint="eastAsia" w:ascii="Times New Roman" w:hAnsi="Times New Roman" w:eastAsia="Times New Roman" w:cs="Times New Roman"/>
          <w:color w:val="auto"/>
          <w:spacing w:val="-8"/>
          <w:sz w:val="24"/>
          <w:szCs w:val="24"/>
          <w:highlight w:val="none"/>
          <w:lang w:eastAsia="zh-CN"/>
        </w:rPr>
        <w:t>按照</w:t>
      </w:r>
      <w:r>
        <w:rPr>
          <w:rFonts w:hint="eastAsia" w:ascii="Times New Roman" w:hAnsi="Times New Roman" w:eastAsia="宋体" w:cs="Times New Roman"/>
          <w:color w:val="auto"/>
          <w:spacing w:val="-8"/>
          <w:sz w:val="24"/>
          <w:szCs w:val="24"/>
          <w:highlight w:val="none"/>
          <w:lang w:eastAsia="zh-CN"/>
        </w:rPr>
        <w:t>广州交易集团有限公司（广州公共资源交易中心）</w:t>
      </w:r>
      <w:r>
        <w:rPr>
          <w:rFonts w:hint="eastAsia" w:ascii="Times New Roman" w:hAnsi="Times New Roman" w:eastAsia="Times New Roman" w:cs="Times New Roman"/>
          <w:color w:val="auto"/>
          <w:spacing w:val="-8"/>
          <w:sz w:val="24"/>
          <w:szCs w:val="24"/>
          <w:highlight w:val="none"/>
          <w:lang w:eastAsia="zh-CN"/>
        </w:rPr>
        <w:t>网站关于全流程电子化项目的相关指南进行操作</w:t>
      </w:r>
      <w:r>
        <w:rPr>
          <w:rFonts w:hint="default" w:cs="宋体"/>
          <w:color w:val="auto"/>
          <w:sz w:val="24"/>
          <w:szCs w:val="24"/>
          <w:highlight w:val="none"/>
        </w:rPr>
        <w:t>。</w:t>
      </w:r>
    </w:p>
    <w:p w14:paraId="11975006">
      <w:pPr>
        <w:pStyle w:val="5"/>
        <w:outlineLvl w:val="1"/>
        <w:rPr>
          <w:rFonts w:hint="eastAsia" w:ascii="Microsoft JhengHei" w:hAnsi="Microsoft JhengHei" w:eastAsia="Microsoft JhengHei"/>
          <w:b w:val="0"/>
          <w:color w:val="auto"/>
          <w:sz w:val="19"/>
          <w:szCs w:val="24"/>
          <w:highlight w:val="none"/>
        </w:rPr>
      </w:pPr>
      <w:r>
        <w:rPr>
          <w:rFonts w:hint="default" w:cs="宋体"/>
          <w:color w:val="auto"/>
          <w:sz w:val="24"/>
          <w:szCs w:val="24"/>
          <w:highlight w:val="none"/>
        </w:rPr>
        <w:t>10.需要补充的其他内容</w:t>
      </w:r>
    </w:p>
    <w:p w14:paraId="4146CD4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宋体"/>
          <w:color w:val="auto"/>
          <w:sz w:val="24"/>
          <w:szCs w:val="24"/>
          <w:highlight w:val="none"/>
        </w:rPr>
      </w:pPr>
      <w:r>
        <w:rPr>
          <w:rFonts w:hint="default" w:cs="宋体"/>
          <w:color w:val="auto"/>
          <w:sz w:val="24"/>
          <w:szCs w:val="24"/>
          <w:highlight w:val="none"/>
        </w:rPr>
        <w:t>需要补充的其他内容：见投标人须知前附表。</w:t>
      </w:r>
    </w:p>
    <w:p w14:paraId="51776A5C">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sectPr>
          <w:pgSz w:w="11905" w:h="16838"/>
          <w:pgMar w:top="1417" w:right="1417" w:bottom="1417" w:left="1417" w:header="992" w:footer="992" w:gutter="0"/>
          <w:lnNumType w:countBy="0" w:distance="360"/>
          <w:cols w:space="720" w:num="1"/>
        </w:sectPr>
      </w:pPr>
    </w:p>
    <w:p w14:paraId="0D57151D">
      <w:pPr>
        <w:pStyle w:val="6"/>
        <w:outlineLvl w:val="0"/>
        <w:rPr>
          <w:rFonts w:hint="default"/>
          <w:color w:val="auto"/>
          <w:sz w:val="28"/>
          <w:szCs w:val="24"/>
          <w:highlight w:val="none"/>
        </w:rPr>
      </w:pPr>
      <w:r>
        <w:rPr>
          <w:rFonts w:hint="default"/>
          <w:color w:val="auto"/>
          <w:sz w:val="28"/>
          <w:szCs w:val="24"/>
          <w:highlight w:val="none"/>
        </w:rPr>
        <w:t>附件</w:t>
      </w:r>
      <w:r>
        <w:rPr>
          <w:rFonts w:hint="default"/>
          <w:color w:val="auto"/>
          <w:sz w:val="28"/>
          <w:szCs w:val="24"/>
          <w:highlight w:val="none"/>
          <w:lang w:eastAsia="zh-CN"/>
        </w:rPr>
        <w:t>一</w:t>
      </w:r>
      <w:r>
        <w:rPr>
          <w:rFonts w:hint="default"/>
          <w:color w:val="auto"/>
          <w:sz w:val="28"/>
          <w:szCs w:val="24"/>
          <w:highlight w:val="none"/>
        </w:rPr>
        <w:t>：问题澄清通知</w:t>
      </w:r>
    </w:p>
    <w:p w14:paraId="2E456F84">
      <w:pPr>
        <w:pStyle w:val="12"/>
        <w:kinsoku w:val="0"/>
        <w:overflowPunct w:val="0"/>
        <w:ind w:left="0"/>
        <w:rPr>
          <w:rFonts w:hint="default"/>
          <w:color w:val="auto"/>
          <w:sz w:val="20"/>
          <w:szCs w:val="24"/>
          <w:highlight w:val="none"/>
        </w:rPr>
      </w:pPr>
    </w:p>
    <w:p w14:paraId="6F06CA93">
      <w:pPr>
        <w:pStyle w:val="12"/>
        <w:kinsoku w:val="0"/>
        <w:overflowPunct w:val="0"/>
        <w:ind w:left="0"/>
        <w:rPr>
          <w:rFonts w:hint="default"/>
          <w:color w:val="auto"/>
          <w:sz w:val="20"/>
          <w:szCs w:val="24"/>
          <w:highlight w:val="none"/>
        </w:rPr>
      </w:pPr>
    </w:p>
    <w:p w14:paraId="2DD3F51C">
      <w:pPr>
        <w:pStyle w:val="12"/>
        <w:kinsoku w:val="0"/>
        <w:overflowPunct w:val="0"/>
        <w:ind w:left="0"/>
        <w:rPr>
          <w:rFonts w:hint="default"/>
          <w:color w:val="auto"/>
          <w:sz w:val="20"/>
          <w:szCs w:val="24"/>
          <w:highlight w:val="none"/>
        </w:rPr>
      </w:pPr>
    </w:p>
    <w:p w14:paraId="6C4033C5">
      <w:pPr>
        <w:pStyle w:val="12"/>
        <w:kinsoku w:val="0"/>
        <w:overflowPunct w:val="0"/>
        <w:spacing w:before="4"/>
        <w:ind w:left="0"/>
        <w:rPr>
          <w:rFonts w:hint="default"/>
          <w:color w:val="auto"/>
          <w:sz w:val="17"/>
          <w:szCs w:val="24"/>
          <w:highlight w:val="none"/>
        </w:rPr>
      </w:pPr>
    </w:p>
    <w:p w14:paraId="3E09C757">
      <w:pPr>
        <w:pStyle w:val="12"/>
        <w:kinsoku w:val="0"/>
        <w:overflowPunct w:val="0"/>
        <w:spacing w:before="14"/>
        <w:ind w:left="0" w:right="13"/>
        <w:jc w:val="center"/>
        <w:rPr>
          <w:rFonts w:hint="default"/>
          <w:color w:val="auto"/>
          <w:sz w:val="28"/>
          <w:szCs w:val="24"/>
          <w:highlight w:val="none"/>
        </w:rPr>
      </w:pPr>
      <w:r>
        <w:rPr>
          <w:rFonts w:hint="default"/>
          <w:color w:val="auto"/>
          <w:sz w:val="28"/>
          <w:szCs w:val="24"/>
          <w:highlight w:val="none"/>
        </w:rPr>
        <w:t>问题澄清通知</w:t>
      </w:r>
    </w:p>
    <w:p w14:paraId="462C3165">
      <w:pPr>
        <w:pStyle w:val="12"/>
        <w:tabs>
          <w:tab w:val="left" w:pos="2937"/>
        </w:tabs>
        <w:kinsoku w:val="0"/>
        <w:overflowPunct w:val="0"/>
        <w:spacing w:before="157"/>
        <w:ind w:left="0" w:right="20"/>
        <w:jc w:val="center"/>
        <w:rPr>
          <w:rFonts w:hint="default"/>
          <w:color w:val="auto"/>
          <w:sz w:val="21"/>
          <w:szCs w:val="24"/>
          <w:highlight w:val="none"/>
        </w:rPr>
      </w:pPr>
      <w:r>
        <w:rPr>
          <w:rFonts w:hint="default"/>
          <w:color w:val="auto"/>
          <w:spacing w:val="-1"/>
          <w:sz w:val="21"/>
          <w:szCs w:val="24"/>
          <w:highlight w:val="none"/>
        </w:rPr>
        <w:t>（编号：</w:t>
      </w:r>
      <w:r>
        <w:rPr>
          <w:rFonts w:hint="eastAsia" w:ascii="Times New Roman" w:hAnsi="Times New Roman" w:eastAsia="Times New Roman"/>
          <w:color w:val="auto"/>
          <w:spacing w:val="-1"/>
          <w:sz w:val="21"/>
          <w:szCs w:val="24"/>
          <w:highlight w:val="none"/>
          <w:u w:val="single"/>
        </w:rPr>
        <w:tab/>
      </w:r>
      <w:r>
        <w:rPr>
          <w:rFonts w:hint="default"/>
          <w:color w:val="auto"/>
          <w:sz w:val="21"/>
          <w:szCs w:val="24"/>
          <w:highlight w:val="none"/>
        </w:rPr>
        <w:t>）</w:t>
      </w:r>
    </w:p>
    <w:p w14:paraId="27EE37BF">
      <w:pPr>
        <w:pStyle w:val="12"/>
        <w:kinsoku w:val="0"/>
        <w:overflowPunct w:val="0"/>
        <w:ind w:left="0"/>
        <w:rPr>
          <w:rFonts w:hint="default"/>
          <w:color w:val="auto"/>
          <w:sz w:val="20"/>
          <w:szCs w:val="24"/>
          <w:highlight w:val="none"/>
        </w:rPr>
      </w:pPr>
    </w:p>
    <w:p w14:paraId="3F069B5B">
      <w:pPr>
        <w:pStyle w:val="12"/>
        <w:kinsoku w:val="0"/>
        <w:overflowPunct w:val="0"/>
        <w:spacing w:before="5"/>
        <w:ind w:left="0"/>
        <w:rPr>
          <w:rFonts w:hint="default"/>
          <w:color w:val="auto"/>
          <w:sz w:val="23"/>
          <w:szCs w:val="24"/>
          <w:highlight w:val="none"/>
        </w:rPr>
      </w:pPr>
    </w:p>
    <w:p w14:paraId="2A20FE5B">
      <w:pPr>
        <w:pStyle w:val="12"/>
        <w:tabs>
          <w:tab w:val="left" w:pos="2305"/>
        </w:tabs>
        <w:kinsoku w:val="0"/>
        <w:overflowPunct w:val="0"/>
        <w:spacing w:before="36"/>
        <w:ind w:left="100" w:right="113"/>
        <w:rPr>
          <w:rFonts w:hint="default"/>
          <w:color w:val="auto"/>
          <w:spacing w:val="-15"/>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15"/>
          <w:sz w:val="21"/>
          <w:szCs w:val="24"/>
          <w:highlight w:val="none"/>
        </w:rPr>
        <w:t>（投标人名称）：</w:t>
      </w:r>
    </w:p>
    <w:p w14:paraId="25386DDE">
      <w:pPr>
        <w:pStyle w:val="12"/>
        <w:kinsoku w:val="0"/>
        <w:overflowPunct w:val="0"/>
        <w:ind w:left="0"/>
        <w:rPr>
          <w:rFonts w:hint="default"/>
          <w:color w:val="auto"/>
          <w:sz w:val="20"/>
          <w:szCs w:val="24"/>
          <w:highlight w:val="none"/>
        </w:rPr>
      </w:pPr>
    </w:p>
    <w:p w14:paraId="35F5BE1C">
      <w:pPr>
        <w:pStyle w:val="12"/>
        <w:kinsoku w:val="0"/>
        <w:overflowPunct w:val="0"/>
        <w:spacing w:before="8"/>
        <w:ind w:left="0"/>
        <w:rPr>
          <w:rFonts w:hint="default"/>
          <w:color w:val="auto"/>
          <w:sz w:val="23"/>
          <w:szCs w:val="24"/>
          <w:highlight w:val="none"/>
        </w:rPr>
      </w:pPr>
    </w:p>
    <w:p w14:paraId="13A0DB49">
      <w:pPr>
        <w:pStyle w:val="12"/>
        <w:kinsoku w:val="0"/>
        <w:overflowPunct w:val="0"/>
        <w:spacing w:before="36" w:line="384" w:lineRule="auto"/>
        <w:ind w:left="100" w:right="113" w:firstLine="422"/>
        <w:rPr>
          <w:rFonts w:hint="default"/>
          <w:color w:val="auto"/>
          <w:sz w:val="21"/>
          <w:szCs w:val="24"/>
          <w:highlight w:val="none"/>
        </w:rPr>
      </w:pPr>
      <w:r>
        <w:rPr>
          <w:rFonts w:hint="default"/>
          <w:color w:val="auto"/>
          <w:spacing w:val="-1"/>
          <w:sz w:val="21"/>
          <w:szCs w:val="24"/>
          <w:highlight w:val="none"/>
        </w:rPr>
        <w:t>评标委员会对你方的投标文件进行了仔细的审查，现需你方对下列问题以书面形式予以澄</w:t>
      </w:r>
      <w:r>
        <w:rPr>
          <w:rFonts w:hint="default"/>
          <w:color w:val="auto"/>
          <w:sz w:val="21"/>
          <w:szCs w:val="24"/>
          <w:highlight w:val="none"/>
        </w:rPr>
        <w:t xml:space="preserve"> 清、说明或补正：</w:t>
      </w:r>
    </w:p>
    <w:p w14:paraId="590E1A18">
      <w:pPr>
        <w:pStyle w:val="12"/>
        <w:kinsoku w:val="0"/>
        <w:overflowPunct w:val="0"/>
        <w:ind w:left="0"/>
        <w:rPr>
          <w:rFonts w:hint="default"/>
          <w:color w:val="auto"/>
          <w:sz w:val="20"/>
          <w:szCs w:val="24"/>
          <w:highlight w:val="none"/>
        </w:rPr>
      </w:pPr>
    </w:p>
    <w:p w14:paraId="66176866">
      <w:pPr>
        <w:pStyle w:val="12"/>
        <w:kinsoku w:val="0"/>
        <w:overflowPunct w:val="0"/>
        <w:spacing w:before="6"/>
        <w:ind w:left="0"/>
        <w:rPr>
          <w:rFonts w:hint="default"/>
          <w:color w:val="auto"/>
          <w:sz w:val="20"/>
          <w:szCs w:val="24"/>
          <w:highlight w:val="none"/>
        </w:rPr>
      </w:pPr>
    </w:p>
    <w:p w14:paraId="74312736">
      <w:pPr>
        <w:pStyle w:val="12"/>
        <w:kinsoku w:val="0"/>
        <w:overflowPunct w:val="0"/>
        <w:ind w:left="522" w:right="113"/>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1.</w:t>
      </w:r>
    </w:p>
    <w:p w14:paraId="205C9582">
      <w:pPr>
        <w:pStyle w:val="12"/>
        <w:kinsoku w:val="0"/>
        <w:overflowPunct w:val="0"/>
        <w:spacing w:before="2"/>
        <w:ind w:left="0"/>
        <w:rPr>
          <w:rFonts w:hint="eastAsia" w:ascii="Times New Roman" w:hAnsi="Times New Roman" w:eastAsia="Times New Roman"/>
          <w:color w:val="auto"/>
          <w:sz w:val="17"/>
          <w:szCs w:val="24"/>
          <w:highlight w:val="none"/>
        </w:rPr>
      </w:pPr>
    </w:p>
    <w:p w14:paraId="7D6A1E6B">
      <w:pPr>
        <w:pStyle w:val="12"/>
        <w:kinsoku w:val="0"/>
        <w:overflowPunct w:val="0"/>
        <w:ind w:left="522" w:right="113"/>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2.</w:t>
      </w:r>
    </w:p>
    <w:p w14:paraId="725377A6">
      <w:pPr>
        <w:pStyle w:val="12"/>
        <w:kinsoku w:val="0"/>
        <w:overflowPunct w:val="0"/>
        <w:spacing w:before="5"/>
        <w:ind w:left="0"/>
        <w:rPr>
          <w:rFonts w:hint="eastAsia" w:ascii="Times New Roman" w:hAnsi="Times New Roman" w:eastAsia="Times New Roman"/>
          <w:color w:val="auto"/>
          <w:sz w:val="17"/>
          <w:szCs w:val="24"/>
          <w:highlight w:val="none"/>
        </w:rPr>
      </w:pPr>
    </w:p>
    <w:p w14:paraId="57335E5E">
      <w:pPr>
        <w:pStyle w:val="12"/>
        <w:kinsoku w:val="0"/>
        <w:overflowPunct w:val="0"/>
        <w:ind w:left="628" w:right="113"/>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w:t>
      </w:r>
    </w:p>
    <w:p w14:paraId="756D50BB">
      <w:pPr>
        <w:pStyle w:val="12"/>
        <w:kinsoku w:val="0"/>
        <w:overflowPunct w:val="0"/>
        <w:ind w:left="0"/>
        <w:rPr>
          <w:rFonts w:hint="eastAsia" w:ascii="Times New Roman" w:hAnsi="Times New Roman" w:eastAsia="Times New Roman"/>
          <w:color w:val="auto"/>
          <w:sz w:val="20"/>
          <w:szCs w:val="24"/>
          <w:highlight w:val="none"/>
        </w:rPr>
      </w:pPr>
    </w:p>
    <w:p w14:paraId="2DCE76F4">
      <w:pPr>
        <w:pStyle w:val="12"/>
        <w:kinsoku w:val="0"/>
        <w:overflowPunct w:val="0"/>
        <w:ind w:left="0"/>
        <w:rPr>
          <w:rFonts w:hint="eastAsia" w:ascii="Times New Roman" w:hAnsi="Times New Roman" w:eastAsia="Times New Roman"/>
          <w:color w:val="auto"/>
          <w:sz w:val="20"/>
          <w:szCs w:val="24"/>
          <w:highlight w:val="none"/>
        </w:rPr>
      </w:pPr>
    </w:p>
    <w:p w14:paraId="6254B195">
      <w:pPr>
        <w:pStyle w:val="12"/>
        <w:tabs>
          <w:tab w:val="left" w:pos="4603"/>
          <w:tab w:val="left" w:pos="5549"/>
          <w:tab w:val="left" w:pos="6494"/>
          <w:tab w:val="left" w:pos="7438"/>
        </w:tabs>
        <w:kinsoku w:val="0"/>
        <w:overflowPunct w:val="0"/>
        <w:spacing w:before="127"/>
        <w:ind w:left="505" w:right="113"/>
        <w:rPr>
          <w:rFonts w:hint="default"/>
          <w:color w:val="auto"/>
          <w:spacing w:val="-2"/>
          <w:sz w:val="21"/>
          <w:szCs w:val="24"/>
          <w:highlight w:val="none"/>
        </w:rPr>
      </w:pPr>
      <w:r>
        <w:rPr>
          <w:rFonts w:hint="default"/>
          <w:color w:val="auto"/>
          <w:spacing w:val="-2"/>
          <w:sz w:val="21"/>
          <w:szCs w:val="24"/>
          <w:highlight w:val="none"/>
        </w:rPr>
        <w:t>请将上述问题的澄清、说明或补正于</w:t>
      </w:r>
      <w:r>
        <w:rPr>
          <w:rFonts w:hint="eastAsia" w:ascii="Times New Roman" w:hAnsi="Times New Roman" w:eastAsia="Times New Roman"/>
          <w:color w:val="auto"/>
          <w:spacing w:val="-2"/>
          <w:sz w:val="21"/>
          <w:szCs w:val="24"/>
          <w:highlight w:val="none"/>
          <w:u w:val="single"/>
        </w:rPr>
        <w:tab/>
      </w:r>
      <w:r>
        <w:rPr>
          <w:rFonts w:hint="default"/>
          <w:color w:val="auto"/>
          <w:sz w:val="21"/>
          <w:szCs w:val="24"/>
          <w:highlight w:val="none"/>
        </w:rPr>
        <w:t>年</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月</w:t>
      </w:r>
      <w:r>
        <w:rPr>
          <w:rFonts w:hint="eastAsia" w:ascii="Times New Roman" w:hAnsi="Times New Roman" w:eastAsia="Times New Roman"/>
          <w:color w:val="auto"/>
          <w:sz w:val="21"/>
          <w:szCs w:val="24"/>
          <w:highlight w:val="none"/>
          <w:u w:val="single"/>
        </w:rPr>
        <w:tab/>
      </w:r>
      <w:r>
        <w:rPr>
          <w:rFonts w:hint="default"/>
          <w:color w:val="auto"/>
          <w:spacing w:val="-3"/>
          <w:sz w:val="21"/>
          <w:szCs w:val="24"/>
          <w:highlight w:val="none"/>
        </w:rPr>
        <w:t>日</w:t>
      </w:r>
      <w:r>
        <w:rPr>
          <w:rFonts w:hint="eastAsia" w:ascii="Times New Roman" w:hAnsi="Times New Roman" w:eastAsia="Times New Roman"/>
          <w:color w:val="auto"/>
          <w:spacing w:val="-3"/>
          <w:sz w:val="21"/>
          <w:szCs w:val="24"/>
          <w:highlight w:val="none"/>
          <w:u w:val="single"/>
        </w:rPr>
        <w:tab/>
      </w:r>
      <w:r>
        <w:rPr>
          <w:rFonts w:hint="default"/>
          <w:color w:val="auto"/>
          <w:spacing w:val="-2"/>
          <w:sz w:val="21"/>
          <w:szCs w:val="24"/>
          <w:highlight w:val="none"/>
        </w:rPr>
        <w:t>时前递交至</w:t>
      </w:r>
    </w:p>
    <w:p w14:paraId="1EB26920">
      <w:pPr>
        <w:pStyle w:val="12"/>
        <w:kinsoku w:val="0"/>
        <w:overflowPunct w:val="0"/>
        <w:spacing w:before="13"/>
        <w:ind w:left="0"/>
        <w:rPr>
          <w:rFonts w:hint="default"/>
          <w:color w:val="auto"/>
          <w:sz w:val="9"/>
          <w:szCs w:val="24"/>
          <w:highlight w:val="none"/>
        </w:rPr>
      </w:pPr>
    </w:p>
    <w:p w14:paraId="793C3A5F">
      <w:pPr>
        <w:pStyle w:val="12"/>
        <w:tabs>
          <w:tab w:val="left" w:pos="3040"/>
          <w:tab w:val="left" w:pos="7296"/>
        </w:tabs>
        <w:kinsoku w:val="0"/>
        <w:overflowPunct w:val="0"/>
        <w:spacing w:before="36"/>
        <w:ind w:left="100"/>
        <w:rPr>
          <w:rFonts w:hint="default"/>
          <w:color w:val="auto"/>
          <w:spacing w:val="-5"/>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5"/>
          <w:sz w:val="21"/>
          <w:szCs w:val="24"/>
          <w:highlight w:val="none"/>
        </w:rPr>
        <w:t>（详细地址）或传真至</w:t>
      </w:r>
      <w:r>
        <w:rPr>
          <w:rFonts w:hint="eastAsia" w:ascii="Times New Roman" w:hAnsi="Times New Roman" w:eastAsia="Times New Roman"/>
          <w:color w:val="auto"/>
          <w:spacing w:val="-5"/>
          <w:sz w:val="21"/>
          <w:szCs w:val="24"/>
          <w:highlight w:val="none"/>
          <w:u w:val="single"/>
        </w:rPr>
        <w:tab/>
      </w:r>
      <w:r>
        <w:rPr>
          <w:rFonts w:hint="default"/>
          <w:color w:val="auto"/>
          <w:spacing w:val="-5"/>
          <w:sz w:val="21"/>
          <w:szCs w:val="24"/>
          <w:highlight w:val="none"/>
        </w:rPr>
        <w:t>（传真号码）或</w:t>
      </w:r>
    </w:p>
    <w:p w14:paraId="79258A35">
      <w:pPr>
        <w:pStyle w:val="12"/>
        <w:kinsoku w:val="0"/>
        <w:overflowPunct w:val="0"/>
        <w:spacing w:before="10"/>
        <w:ind w:left="0"/>
        <w:rPr>
          <w:rFonts w:hint="default"/>
          <w:color w:val="auto"/>
          <w:sz w:val="9"/>
          <w:szCs w:val="24"/>
          <w:highlight w:val="none"/>
        </w:rPr>
      </w:pPr>
    </w:p>
    <w:p w14:paraId="220A832A">
      <w:pPr>
        <w:pStyle w:val="12"/>
        <w:tabs>
          <w:tab w:val="left" w:pos="7138"/>
          <w:tab w:val="left" w:pos="8084"/>
        </w:tabs>
        <w:kinsoku w:val="0"/>
        <w:overflowPunct w:val="0"/>
        <w:spacing w:before="36"/>
        <w:ind w:left="100" w:right="113"/>
        <w:rPr>
          <w:rFonts w:hint="default"/>
          <w:color w:val="auto"/>
          <w:sz w:val="21"/>
          <w:szCs w:val="24"/>
          <w:highlight w:val="none"/>
        </w:rPr>
      </w:pPr>
      <w:r>
        <w:rPr>
          <w:rFonts w:hint="default"/>
          <w:color w:val="auto"/>
          <w:spacing w:val="-2"/>
          <w:sz w:val="21"/>
          <w:szCs w:val="24"/>
          <w:highlight w:val="none"/>
        </w:rPr>
        <w:t>通过下载招标文件的电子招标交易平台上传。采用传真方式的，应在</w:t>
      </w:r>
      <w:r>
        <w:rPr>
          <w:rFonts w:hint="eastAsia" w:ascii="Times New Roman" w:hAnsi="Times New Roman" w:eastAsia="Times New Roman"/>
          <w:color w:val="auto"/>
          <w:spacing w:val="-2"/>
          <w:sz w:val="21"/>
          <w:szCs w:val="24"/>
          <w:highlight w:val="none"/>
          <w:u w:val="single"/>
        </w:rPr>
        <w:tab/>
      </w:r>
      <w:r>
        <w:rPr>
          <w:rFonts w:hint="default"/>
          <w:color w:val="auto"/>
          <w:sz w:val="21"/>
          <w:szCs w:val="24"/>
          <w:highlight w:val="none"/>
        </w:rPr>
        <w:t>年</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月</w:t>
      </w:r>
    </w:p>
    <w:p w14:paraId="79C37C33">
      <w:pPr>
        <w:pStyle w:val="12"/>
        <w:kinsoku w:val="0"/>
        <w:overflowPunct w:val="0"/>
        <w:spacing w:before="10"/>
        <w:ind w:left="0"/>
        <w:rPr>
          <w:rFonts w:hint="default"/>
          <w:color w:val="auto"/>
          <w:sz w:val="9"/>
          <w:szCs w:val="24"/>
          <w:highlight w:val="none"/>
        </w:rPr>
      </w:pPr>
    </w:p>
    <w:p w14:paraId="4B7676DB">
      <w:pPr>
        <w:pStyle w:val="12"/>
        <w:tabs>
          <w:tab w:val="left" w:pos="837"/>
          <w:tab w:val="left" w:pos="1782"/>
          <w:tab w:val="left" w:pos="5669"/>
        </w:tabs>
        <w:kinsoku w:val="0"/>
        <w:overflowPunct w:val="0"/>
        <w:spacing w:before="36"/>
        <w:ind w:left="100" w:right="113"/>
        <w:rPr>
          <w:rFonts w:hint="default"/>
          <w:color w:val="auto"/>
          <w:spacing w:val="-17"/>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日</w:t>
      </w:r>
      <w:r>
        <w:rPr>
          <w:rFonts w:hint="eastAsia" w:ascii="Times New Roman" w:hAnsi="Times New Roman" w:eastAsia="Times New Roman"/>
          <w:color w:val="auto"/>
          <w:sz w:val="21"/>
          <w:szCs w:val="24"/>
          <w:highlight w:val="none"/>
          <w:u w:val="single"/>
        </w:rPr>
        <w:tab/>
      </w:r>
      <w:r>
        <w:rPr>
          <w:rFonts w:hint="default"/>
          <w:color w:val="auto"/>
          <w:spacing w:val="-2"/>
          <w:sz w:val="21"/>
          <w:szCs w:val="24"/>
          <w:highlight w:val="none"/>
        </w:rPr>
        <w:t>时前将原件递交至</w:t>
      </w:r>
      <w:r>
        <w:rPr>
          <w:rFonts w:hint="eastAsia" w:ascii="Times New Roman" w:hAnsi="Times New Roman" w:eastAsia="Times New Roman"/>
          <w:color w:val="auto"/>
          <w:spacing w:val="-2"/>
          <w:sz w:val="21"/>
          <w:szCs w:val="24"/>
          <w:highlight w:val="none"/>
          <w:u w:val="single"/>
        </w:rPr>
        <w:tab/>
      </w:r>
      <w:r>
        <w:rPr>
          <w:rFonts w:hint="default"/>
          <w:color w:val="auto"/>
          <w:spacing w:val="-17"/>
          <w:sz w:val="21"/>
          <w:szCs w:val="24"/>
          <w:highlight w:val="none"/>
        </w:rPr>
        <w:t>（详细地址）。</w:t>
      </w:r>
    </w:p>
    <w:p w14:paraId="0765A2C9">
      <w:pPr>
        <w:pStyle w:val="12"/>
        <w:kinsoku w:val="0"/>
        <w:overflowPunct w:val="0"/>
        <w:ind w:left="0"/>
        <w:rPr>
          <w:rFonts w:hint="default"/>
          <w:color w:val="auto"/>
          <w:sz w:val="20"/>
          <w:szCs w:val="24"/>
          <w:highlight w:val="none"/>
        </w:rPr>
      </w:pPr>
    </w:p>
    <w:p w14:paraId="61C4FE8A">
      <w:pPr>
        <w:pStyle w:val="12"/>
        <w:kinsoku w:val="0"/>
        <w:overflowPunct w:val="0"/>
        <w:ind w:left="0"/>
        <w:rPr>
          <w:rFonts w:hint="default"/>
          <w:color w:val="auto"/>
          <w:sz w:val="20"/>
          <w:szCs w:val="24"/>
          <w:highlight w:val="none"/>
        </w:rPr>
      </w:pPr>
    </w:p>
    <w:p w14:paraId="7082B4D2">
      <w:pPr>
        <w:pStyle w:val="12"/>
        <w:kinsoku w:val="0"/>
        <w:overflowPunct w:val="0"/>
        <w:ind w:left="0"/>
        <w:rPr>
          <w:rFonts w:hint="default"/>
          <w:color w:val="auto"/>
          <w:sz w:val="20"/>
          <w:szCs w:val="24"/>
          <w:highlight w:val="none"/>
        </w:rPr>
      </w:pPr>
    </w:p>
    <w:p w14:paraId="632072B3">
      <w:pPr>
        <w:pStyle w:val="12"/>
        <w:kinsoku w:val="0"/>
        <w:overflowPunct w:val="0"/>
        <w:spacing w:before="2"/>
        <w:ind w:left="0"/>
        <w:rPr>
          <w:rFonts w:hint="default"/>
          <w:color w:val="auto"/>
          <w:sz w:val="17"/>
          <w:szCs w:val="24"/>
          <w:highlight w:val="none"/>
        </w:rPr>
      </w:pPr>
    </w:p>
    <w:p w14:paraId="17207946">
      <w:pPr>
        <w:pStyle w:val="12"/>
        <w:tabs>
          <w:tab w:val="left" w:pos="7032"/>
        </w:tabs>
        <w:kinsoku w:val="0"/>
        <w:overflowPunct w:val="0"/>
        <w:spacing w:before="36"/>
        <w:ind w:left="2200" w:right="113"/>
        <w:rPr>
          <w:rFonts w:hint="default"/>
          <w:color w:val="auto"/>
          <w:spacing w:val="-1"/>
          <w:sz w:val="21"/>
          <w:szCs w:val="24"/>
          <w:highlight w:val="none"/>
        </w:rPr>
      </w:pPr>
      <w:r>
        <w:rPr>
          <w:rFonts w:hint="default"/>
          <w:color w:val="auto"/>
          <w:spacing w:val="-2"/>
          <w:sz w:val="21"/>
          <w:szCs w:val="24"/>
          <w:highlight w:val="none"/>
        </w:rPr>
        <w:t>评标委员会</w:t>
      </w:r>
      <w:r>
        <w:rPr>
          <w:rFonts w:hint="eastAsia"/>
          <w:color w:val="auto"/>
          <w:spacing w:val="-2"/>
          <w:sz w:val="21"/>
          <w:szCs w:val="24"/>
          <w:highlight w:val="none"/>
          <w:lang w:eastAsia="zh-CN"/>
        </w:rPr>
        <w:t>签字</w:t>
      </w:r>
      <w:r>
        <w:rPr>
          <w:rFonts w:hint="default"/>
          <w:color w:val="auto"/>
          <w:spacing w:val="-2"/>
          <w:sz w:val="21"/>
          <w:szCs w:val="24"/>
          <w:highlight w:val="none"/>
        </w:rPr>
        <w:t>：</w:t>
      </w:r>
      <w:r>
        <w:rPr>
          <w:rFonts w:hint="eastAsia" w:ascii="Times New Roman" w:hAnsi="Times New Roman" w:eastAsia="Times New Roman"/>
          <w:color w:val="auto"/>
          <w:spacing w:val="-2"/>
          <w:sz w:val="21"/>
          <w:szCs w:val="24"/>
          <w:highlight w:val="none"/>
          <w:u w:val="single"/>
        </w:rPr>
        <w:tab/>
      </w:r>
    </w:p>
    <w:p w14:paraId="0E8E04B0">
      <w:pPr>
        <w:pStyle w:val="12"/>
        <w:kinsoku w:val="0"/>
        <w:overflowPunct w:val="0"/>
        <w:ind w:left="0"/>
        <w:rPr>
          <w:rFonts w:hint="default"/>
          <w:color w:val="auto"/>
          <w:sz w:val="20"/>
          <w:szCs w:val="24"/>
          <w:highlight w:val="none"/>
        </w:rPr>
      </w:pPr>
    </w:p>
    <w:p w14:paraId="57C38894">
      <w:pPr>
        <w:pStyle w:val="12"/>
        <w:kinsoku w:val="0"/>
        <w:overflowPunct w:val="0"/>
        <w:spacing w:before="7"/>
        <w:ind w:left="0"/>
        <w:rPr>
          <w:rFonts w:hint="default"/>
          <w:color w:val="auto"/>
          <w:sz w:val="23"/>
          <w:szCs w:val="24"/>
          <w:highlight w:val="none"/>
        </w:rPr>
      </w:pPr>
    </w:p>
    <w:p w14:paraId="4D9E9E3D">
      <w:pPr>
        <w:pStyle w:val="12"/>
        <w:tabs>
          <w:tab w:val="left" w:pos="5803"/>
          <w:tab w:val="left" w:pos="6746"/>
          <w:tab w:val="left" w:pos="7692"/>
        </w:tabs>
        <w:kinsoku w:val="0"/>
        <w:overflowPunct w:val="0"/>
        <w:spacing w:before="36"/>
        <w:ind w:left="4961" w:right="113"/>
        <w:rPr>
          <w:rFonts w:hint="default"/>
          <w:color w:val="auto"/>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3"/>
          <w:sz w:val="21"/>
          <w:szCs w:val="24"/>
          <w:highlight w:val="none"/>
        </w:rPr>
        <w:t>年</w:t>
      </w:r>
      <w:r>
        <w:rPr>
          <w:rFonts w:hint="eastAsia" w:ascii="Times New Roman" w:hAnsi="Times New Roman" w:eastAsia="Times New Roman"/>
          <w:color w:val="auto"/>
          <w:spacing w:val="-3"/>
          <w:sz w:val="21"/>
          <w:szCs w:val="24"/>
          <w:highlight w:val="none"/>
          <w:u w:val="single"/>
        </w:rPr>
        <w:tab/>
      </w:r>
      <w:r>
        <w:rPr>
          <w:rFonts w:hint="default"/>
          <w:color w:val="auto"/>
          <w:sz w:val="21"/>
          <w:szCs w:val="24"/>
          <w:highlight w:val="none"/>
        </w:rPr>
        <w:t>月</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日</w:t>
      </w:r>
    </w:p>
    <w:p w14:paraId="5727E63D">
      <w:pPr>
        <w:pStyle w:val="12"/>
        <w:tabs>
          <w:tab w:val="left" w:pos="5803"/>
          <w:tab w:val="left" w:pos="6746"/>
          <w:tab w:val="left" w:pos="7692"/>
        </w:tabs>
        <w:kinsoku w:val="0"/>
        <w:overflowPunct w:val="0"/>
        <w:spacing w:before="36"/>
        <w:ind w:left="4961" w:right="113"/>
        <w:rPr>
          <w:rFonts w:hint="default"/>
          <w:color w:val="auto"/>
          <w:sz w:val="21"/>
          <w:szCs w:val="24"/>
          <w:highlight w:val="none"/>
        </w:rPr>
        <w:sectPr>
          <w:pgSz w:w="11905" w:h="16838"/>
          <w:pgMar w:top="1417" w:right="1417" w:bottom="1417" w:left="1417" w:header="992" w:footer="992" w:gutter="0"/>
          <w:lnNumType w:countBy="0" w:distance="360"/>
          <w:cols w:space="720" w:num="1"/>
        </w:sectPr>
      </w:pPr>
    </w:p>
    <w:p w14:paraId="3E102C71">
      <w:pPr>
        <w:pStyle w:val="6"/>
        <w:rPr>
          <w:rFonts w:hint="default"/>
          <w:color w:val="auto"/>
          <w:sz w:val="28"/>
          <w:szCs w:val="24"/>
          <w:highlight w:val="none"/>
        </w:rPr>
      </w:pPr>
      <w:r>
        <w:rPr>
          <w:rFonts w:hint="default"/>
          <w:color w:val="auto"/>
          <w:sz w:val="28"/>
          <w:szCs w:val="24"/>
          <w:highlight w:val="none"/>
        </w:rPr>
        <w:t>附件</w:t>
      </w:r>
      <w:r>
        <w:rPr>
          <w:rFonts w:hint="default"/>
          <w:color w:val="auto"/>
          <w:sz w:val="28"/>
          <w:szCs w:val="24"/>
          <w:highlight w:val="none"/>
          <w:lang w:eastAsia="zh-CN"/>
        </w:rPr>
        <w:t>二</w:t>
      </w:r>
      <w:r>
        <w:rPr>
          <w:rFonts w:hint="default"/>
          <w:color w:val="auto"/>
          <w:sz w:val="28"/>
          <w:szCs w:val="24"/>
          <w:highlight w:val="none"/>
        </w:rPr>
        <w:t>：问题的澄清</w:t>
      </w:r>
    </w:p>
    <w:p w14:paraId="7E5E03A2">
      <w:pPr>
        <w:pStyle w:val="12"/>
        <w:kinsoku w:val="0"/>
        <w:overflowPunct w:val="0"/>
        <w:ind w:left="0"/>
        <w:rPr>
          <w:rFonts w:hint="default"/>
          <w:color w:val="auto"/>
          <w:sz w:val="20"/>
          <w:szCs w:val="24"/>
          <w:highlight w:val="none"/>
        </w:rPr>
      </w:pPr>
    </w:p>
    <w:p w14:paraId="5C4EC07F">
      <w:pPr>
        <w:pStyle w:val="12"/>
        <w:kinsoku w:val="0"/>
        <w:overflowPunct w:val="0"/>
        <w:ind w:left="0"/>
        <w:rPr>
          <w:rFonts w:hint="default"/>
          <w:color w:val="auto"/>
          <w:sz w:val="20"/>
          <w:szCs w:val="24"/>
          <w:highlight w:val="none"/>
        </w:rPr>
      </w:pPr>
    </w:p>
    <w:p w14:paraId="6C865ACB">
      <w:pPr>
        <w:pStyle w:val="12"/>
        <w:kinsoku w:val="0"/>
        <w:overflowPunct w:val="0"/>
        <w:ind w:left="0"/>
        <w:rPr>
          <w:rFonts w:hint="default"/>
          <w:color w:val="auto"/>
          <w:sz w:val="20"/>
          <w:szCs w:val="24"/>
          <w:highlight w:val="none"/>
        </w:rPr>
      </w:pPr>
    </w:p>
    <w:p w14:paraId="023A425F">
      <w:pPr>
        <w:pStyle w:val="12"/>
        <w:kinsoku w:val="0"/>
        <w:overflowPunct w:val="0"/>
        <w:spacing w:before="168"/>
        <w:ind w:left="0" w:right="16"/>
        <w:jc w:val="center"/>
        <w:rPr>
          <w:rFonts w:hint="default"/>
          <w:color w:val="auto"/>
          <w:sz w:val="28"/>
          <w:szCs w:val="24"/>
          <w:highlight w:val="none"/>
        </w:rPr>
      </w:pPr>
      <w:r>
        <w:rPr>
          <w:rFonts w:hint="default"/>
          <w:color w:val="auto"/>
          <w:sz w:val="28"/>
          <w:szCs w:val="24"/>
          <w:highlight w:val="none"/>
        </w:rPr>
        <w:t>问题的澄清</w:t>
      </w:r>
    </w:p>
    <w:p w14:paraId="0F477FC7">
      <w:pPr>
        <w:pStyle w:val="12"/>
        <w:tabs>
          <w:tab w:val="left" w:pos="5947"/>
        </w:tabs>
        <w:kinsoku w:val="0"/>
        <w:overflowPunct w:val="0"/>
        <w:spacing w:before="113"/>
        <w:ind w:left="3566" w:right="113"/>
        <w:rPr>
          <w:rFonts w:hint="default"/>
          <w:color w:val="auto"/>
          <w:sz w:val="21"/>
          <w:szCs w:val="24"/>
          <w:highlight w:val="none"/>
        </w:rPr>
      </w:pPr>
      <w:r>
        <w:rPr>
          <w:rFonts w:hint="default"/>
          <w:color w:val="auto"/>
          <w:spacing w:val="-1"/>
          <w:sz w:val="21"/>
          <w:szCs w:val="24"/>
          <w:highlight w:val="none"/>
        </w:rPr>
        <w:t>（编号：</w:t>
      </w:r>
      <w:r>
        <w:rPr>
          <w:rFonts w:hint="eastAsia" w:ascii="Times New Roman" w:hAnsi="Times New Roman" w:eastAsia="Times New Roman"/>
          <w:color w:val="auto"/>
          <w:spacing w:val="-1"/>
          <w:sz w:val="21"/>
          <w:szCs w:val="24"/>
          <w:highlight w:val="none"/>
          <w:u w:val="single"/>
        </w:rPr>
        <w:tab/>
      </w:r>
      <w:r>
        <w:rPr>
          <w:rFonts w:hint="default"/>
          <w:color w:val="auto"/>
          <w:sz w:val="21"/>
          <w:szCs w:val="24"/>
          <w:highlight w:val="none"/>
        </w:rPr>
        <w:t>）</w:t>
      </w:r>
    </w:p>
    <w:p w14:paraId="6AFE9ECA">
      <w:pPr>
        <w:pStyle w:val="12"/>
        <w:kinsoku w:val="0"/>
        <w:overflowPunct w:val="0"/>
        <w:ind w:left="0"/>
        <w:rPr>
          <w:rFonts w:hint="default"/>
          <w:color w:val="auto"/>
          <w:sz w:val="20"/>
          <w:szCs w:val="24"/>
          <w:highlight w:val="none"/>
        </w:rPr>
      </w:pPr>
    </w:p>
    <w:p w14:paraId="42271315">
      <w:pPr>
        <w:pStyle w:val="12"/>
        <w:kinsoku w:val="0"/>
        <w:overflowPunct w:val="0"/>
        <w:spacing w:before="1"/>
        <w:ind w:left="0"/>
        <w:rPr>
          <w:rFonts w:hint="default"/>
          <w:color w:val="auto"/>
          <w:sz w:val="20"/>
          <w:szCs w:val="24"/>
          <w:highlight w:val="none"/>
        </w:rPr>
      </w:pPr>
    </w:p>
    <w:p w14:paraId="03F5F960">
      <w:pPr>
        <w:pStyle w:val="12"/>
        <w:kinsoku w:val="0"/>
        <w:overflowPunct w:val="0"/>
        <w:spacing w:before="36"/>
        <w:ind w:left="100" w:right="113"/>
        <w:rPr>
          <w:rFonts w:hint="default"/>
          <w:color w:val="auto"/>
          <w:sz w:val="21"/>
          <w:szCs w:val="24"/>
          <w:highlight w:val="none"/>
        </w:rPr>
      </w:pPr>
      <w:r>
        <w:rPr>
          <w:rFonts w:hint="default"/>
          <w:color w:val="auto"/>
          <w:sz w:val="21"/>
          <w:szCs w:val="24"/>
          <w:highlight w:val="none"/>
        </w:rPr>
        <w:t>评标委员会：</w:t>
      </w:r>
    </w:p>
    <w:p w14:paraId="09E31921">
      <w:pPr>
        <w:pStyle w:val="12"/>
        <w:kinsoku w:val="0"/>
        <w:overflowPunct w:val="0"/>
        <w:ind w:left="0"/>
        <w:rPr>
          <w:rFonts w:hint="default"/>
          <w:color w:val="auto"/>
          <w:sz w:val="20"/>
          <w:szCs w:val="24"/>
          <w:highlight w:val="none"/>
        </w:rPr>
      </w:pPr>
    </w:p>
    <w:p w14:paraId="69B403FD">
      <w:pPr>
        <w:pStyle w:val="12"/>
        <w:kinsoku w:val="0"/>
        <w:overflowPunct w:val="0"/>
        <w:spacing w:before="2"/>
        <w:ind w:left="0"/>
        <w:rPr>
          <w:rFonts w:hint="default"/>
          <w:color w:val="auto"/>
          <w:sz w:val="26"/>
          <w:szCs w:val="24"/>
          <w:highlight w:val="none"/>
        </w:rPr>
      </w:pPr>
    </w:p>
    <w:p w14:paraId="041A3346">
      <w:pPr>
        <w:pStyle w:val="12"/>
        <w:tabs>
          <w:tab w:val="left" w:pos="3460"/>
        </w:tabs>
        <w:kinsoku w:val="0"/>
        <w:overflowPunct w:val="0"/>
        <w:ind w:left="522" w:right="113"/>
        <w:rPr>
          <w:rFonts w:hint="default"/>
          <w:color w:val="auto"/>
          <w:spacing w:val="-2"/>
          <w:sz w:val="21"/>
          <w:szCs w:val="24"/>
          <w:highlight w:val="none"/>
        </w:rPr>
      </w:pPr>
      <w:r>
        <w:rPr>
          <w:rFonts w:hint="default"/>
          <w:color w:val="auto"/>
          <w:spacing w:val="-2"/>
          <w:sz w:val="21"/>
          <w:szCs w:val="24"/>
          <w:highlight w:val="none"/>
        </w:rPr>
        <w:t>问题澄清通知（编号：</w:t>
      </w:r>
      <w:r>
        <w:rPr>
          <w:rFonts w:hint="eastAsia" w:ascii="Times New Roman" w:hAnsi="Times New Roman" w:eastAsia="Times New Roman"/>
          <w:color w:val="auto"/>
          <w:spacing w:val="-2"/>
          <w:sz w:val="21"/>
          <w:szCs w:val="24"/>
          <w:highlight w:val="none"/>
          <w:u w:val="single"/>
        </w:rPr>
        <w:tab/>
      </w:r>
      <w:r>
        <w:rPr>
          <w:rFonts w:hint="default"/>
          <w:color w:val="auto"/>
          <w:spacing w:val="-2"/>
          <w:sz w:val="21"/>
          <w:szCs w:val="24"/>
          <w:highlight w:val="none"/>
        </w:rPr>
        <w:t>）已收悉，现澄清、说明或补正如下：</w:t>
      </w:r>
    </w:p>
    <w:p w14:paraId="64E498FB">
      <w:pPr>
        <w:pStyle w:val="12"/>
        <w:kinsoku w:val="0"/>
        <w:overflowPunct w:val="0"/>
        <w:spacing w:before="11"/>
        <w:ind w:left="0"/>
        <w:rPr>
          <w:rFonts w:hint="default"/>
          <w:color w:val="auto"/>
          <w:sz w:val="10"/>
          <w:szCs w:val="24"/>
          <w:highlight w:val="none"/>
        </w:rPr>
      </w:pPr>
    </w:p>
    <w:p w14:paraId="7A92216B">
      <w:pPr>
        <w:pStyle w:val="12"/>
        <w:kinsoku w:val="0"/>
        <w:overflowPunct w:val="0"/>
        <w:spacing w:before="74"/>
        <w:ind w:left="0" w:right="7025"/>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1.</w:t>
      </w:r>
    </w:p>
    <w:p w14:paraId="7A59C531">
      <w:pPr>
        <w:pStyle w:val="12"/>
        <w:kinsoku w:val="0"/>
        <w:overflowPunct w:val="0"/>
        <w:spacing w:before="2"/>
        <w:ind w:left="0"/>
        <w:rPr>
          <w:rFonts w:hint="eastAsia" w:ascii="Times New Roman" w:hAnsi="Times New Roman" w:eastAsia="Times New Roman"/>
          <w:color w:val="auto"/>
          <w:sz w:val="17"/>
          <w:szCs w:val="24"/>
          <w:highlight w:val="none"/>
        </w:rPr>
      </w:pPr>
    </w:p>
    <w:p w14:paraId="4DDA34B6">
      <w:pPr>
        <w:pStyle w:val="12"/>
        <w:kinsoku w:val="0"/>
        <w:overflowPunct w:val="0"/>
        <w:ind w:left="0" w:right="7025"/>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2.</w:t>
      </w:r>
    </w:p>
    <w:p w14:paraId="55EA651B">
      <w:pPr>
        <w:pStyle w:val="12"/>
        <w:kinsoku w:val="0"/>
        <w:overflowPunct w:val="0"/>
        <w:spacing w:before="2"/>
        <w:ind w:left="0"/>
        <w:rPr>
          <w:rFonts w:hint="eastAsia" w:ascii="Times New Roman" w:hAnsi="Times New Roman" w:eastAsia="Times New Roman"/>
          <w:color w:val="auto"/>
          <w:sz w:val="17"/>
          <w:szCs w:val="24"/>
          <w:highlight w:val="none"/>
        </w:rPr>
      </w:pPr>
    </w:p>
    <w:p w14:paraId="6D707D77">
      <w:pPr>
        <w:pStyle w:val="12"/>
        <w:kinsoku w:val="0"/>
        <w:overflowPunct w:val="0"/>
        <w:ind w:left="0" w:right="713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w:t>
      </w:r>
    </w:p>
    <w:p w14:paraId="18EC9C27">
      <w:pPr>
        <w:pStyle w:val="12"/>
        <w:kinsoku w:val="0"/>
        <w:overflowPunct w:val="0"/>
        <w:ind w:left="0"/>
        <w:rPr>
          <w:rFonts w:hint="eastAsia" w:ascii="Times New Roman" w:hAnsi="Times New Roman" w:eastAsia="Times New Roman"/>
          <w:color w:val="auto"/>
          <w:sz w:val="20"/>
          <w:szCs w:val="24"/>
          <w:highlight w:val="none"/>
        </w:rPr>
      </w:pPr>
    </w:p>
    <w:p w14:paraId="254962D9">
      <w:pPr>
        <w:pStyle w:val="12"/>
        <w:kinsoku w:val="0"/>
        <w:overflowPunct w:val="0"/>
        <w:ind w:left="0"/>
        <w:rPr>
          <w:rFonts w:hint="eastAsia" w:ascii="Times New Roman" w:hAnsi="Times New Roman" w:eastAsia="Times New Roman"/>
          <w:color w:val="auto"/>
          <w:sz w:val="20"/>
          <w:szCs w:val="24"/>
          <w:highlight w:val="none"/>
        </w:rPr>
      </w:pPr>
    </w:p>
    <w:p w14:paraId="0B7AB314">
      <w:pPr>
        <w:pStyle w:val="12"/>
        <w:kinsoku w:val="0"/>
        <w:overflowPunct w:val="0"/>
        <w:ind w:left="0"/>
        <w:rPr>
          <w:rFonts w:hint="eastAsia" w:ascii="Times New Roman" w:hAnsi="Times New Roman" w:eastAsia="Times New Roman"/>
          <w:color w:val="auto"/>
          <w:sz w:val="20"/>
          <w:szCs w:val="24"/>
          <w:highlight w:val="none"/>
        </w:rPr>
      </w:pPr>
    </w:p>
    <w:p w14:paraId="43FE7DC1">
      <w:pPr>
        <w:pStyle w:val="12"/>
        <w:kinsoku w:val="0"/>
        <w:overflowPunct w:val="0"/>
        <w:ind w:left="0"/>
        <w:rPr>
          <w:rFonts w:hint="eastAsia" w:ascii="Times New Roman" w:hAnsi="Times New Roman" w:eastAsia="Times New Roman"/>
          <w:color w:val="auto"/>
          <w:sz w:val="20"/>
          <w:szCs w:val="24"/>
          <w:highlight w:val="none"/>
        </w:rPr>
      </w:pPr>
    </w:p>
    <w:p w14:paraId="26BD2268">
      <w:pPr>
        <w:pStyle w:val="12"/>
        <w:kinsoku w:val="0"/>
        <w:overflowPunct w:val="0"/>
        <w:ind w:left="0"/>
        <w:rPr>
          <w:rFonts w:hint="eastAsia" w:ascii="Times New Roman" w:hAnsi="Times New Roman" w:eastAsia="Times New Roman"/>
          <w:color w:val="auto"/>
          <w:sz w:val="20"/>
          <w:szCs w:val="24"/>
          <w:highlight w:val="none"/>
        </w:rPr>
      </w:pPr>
    </w:p>
    <w:p w14:paraId="1A0383BD">
      <w:pPr>
        <w:pStyle w:val="12"/>
        <w:kinsoku w:val="0"/>
        <w:overflowPunct w:val="0"/>
        <w:spacing w:before="11"/>
        <w:ind w:left="0"/>
        <w:rPr>
          <w:rFonts w:hint="eastAsia" w:ascii="Times New Roman" w:hAnsi="Times New Roman" w:eastAsia="Times New Roman"/>
          <w:color w:val="auto"/>
          <w:sz w:val="27"/>
          <w:szCs w:val="24"/>
          <w:highlight w:val="none"/>
        </w:rPr>
      </w:pPr>
    </w:p>
    <w:p w14:paraId="7DFB7DFD">
      <w:pPr>
        <w:pStyle w:val="12"/>
        <w:kinsoku w:val="0"/>
        <w:overflowPunct w:val="0"/>
        <w:spacing w:line="384" w:lineRule="auto"/>
        <w:ind w:left="100" w:right="113" w:firstLine="419"/>
        <w:rPr>
          <w:rFonts w:hint="default"/>
          <w:color w:val="auto"/>
          <w:sz w:val="21"/>
          <w:szCs w:val="24"/>
          <w:highlight w:val="none"/>
        </w:rPr>
      </w:pPr>
      <w:r>
        <w:rPr>
          <w:rFonts w:hint="default"/>
          <w:color w:val="auto"/>
          <w:spacing w:val="-1"/>
          <w:sz w:val="21"/>
          <w:szCs w:val="24"/>
          <w:highlight w:val="none"/>
        </w:rPr>
        <w:t>上述问题澄清、说明或补正，不改变我方投标文件的实质性内容，构成我方投标文件的组</w:t>
      </w:r>
      <w:r>
        <w:rPr>
          <w:rFonts w:hint="default"/>
          <w:color w:val="auto"/>
          <w:sz w:val="21"/>
          <w:szCs w:val="24"/>
          <w:highlight w:val="none"/>
        </w:rPr>
        <w:t xml:space="preserve"> 成部分。</w:t>
      </w:r>
    </w:p>
    <w:p w14:paraId="1572389E">
      <w:pPr>
        <w:pStyle w:val="12"/>
        <w:kinsoku w:val="0"/>
        <w:overflowPunct w:val="0"/>
        <w:ind w:left="0"/>
        <w:rPr>
          <w:rFonts w:hint="default"/>
          <w:color w:val="auto"/>
          <w:sz w:val="20"/>
          <w:szCs w:val="24"/>
          <w:highlight w:val="none"/>
        </w:rPr>
      </w:pPr>
    </w:p>
    <w:p w14:paraId="3C0B8538">
      <w:pPr>
        <w:pStyle w:val="12"/>
        <w:kinsoku w:val="0"/>
        <w:overflowPunct w:val="0"/>
        <w:ind w:left="0"/>
        <w:rPr>
          <w:rFonts w:hint="default"/>
          <w:color w:val="auto"/>
          <w:sz w:val="20"/>
          <w:szCs w:val="24"/>
          <w:highlight w:val="none"/>
        </w:rPr>
      </w:pPr>
    </w:p>
    <w:p w14:paraId="62EE40A0">
      <w:pPr>
        <w:pStyle w:val="12"/>
        <w:kinsoku w:val="0"/>
        <w:overflowPunct w:val="0"/>
        <w:spacing w:before="6"/>
        <w:ind w:left="0"/>
        <w:rPr>
          <w:rFonts w:hint="default"/>
          <w:color w:val="auto"/>
          <w:sz w:val="19"/>
          <w:szCs w:val="24"/>
          <w:highlight w:val="none"/>
        </w:rPr>
      </w:pPr>
    </w:p>
    <w:p w14:paraId="16FB330B">
      <w:pPr>
        <w:pStyle w:val="12"/>
        <w:tabs>
          <w:tab w:val="left" w:pos="7382"/>
        </w:tabs>
        <w:kinsoku w:val="0"/>
        <w:overflowPunct w:val="0"/>
        <w:ind w:left="3043" w:right="113"/>
        <w:rPr>
          <w:rFonts w:hint="default"/>
          <w:color w:val="auto"/>
          <w:spacing w:val="-1"/>
          <w:sz w:val="21"/>
          <w:szCs w:val="24"/>
          <w:highlight w:val="none"/>
        </w:rPr>
      </w:pPr>
      <w:r>
        <w:rPr>
          <w:rFonts w:hint="default"/>
          <w:color w:val="auto"/>
          <w:spacing w:val="-1"/>
          <w:sz w:val="21"/>
          <w:szCs w:val="24"/>
          <w:highlight w:val="none"/>
        </w:rPr>
        <w:t>投标人：</w:t>
      </w:r>
      <w:r>
        <w:rPr>
          <w:rFonts w:hint="eastAsia" w:ascii="Times New Roman" w:hAnsi="Times New Roman" w:eastAsia="Times New Roman"/>
          <w:color w:val="auto"/>
          <w:spacing w:val="-1"/>
          <w:sz w:val="21"/>
          <w:szCs w:val="24"/>
          <w:highlight w:val="none"/>
          <w:u w:val="single"/>
        </w:rPr>
        <w:tab/>
      </w:r>
      <w:r>
        <w:rPr>
          <w:rFonts w:hint="default"/>
          <w:color w:val="auto"/>
          <w:spacing w:val="-1"/>
          <w:sz w:val="21"/>
          <w:szCs w:val="24"/>
          <w:highlight w:val="none"/>
        </w:rPr>
        <w:t>（盖单位章）</w:t>
      </w:r>
    </w:p>
    <w:p w14:paraId="21F47FF3">
      <w:pPr>
        <w:pStyle w:val="12"/>
        <w:kinsoku w:val="0"/>
        <w:overflowPunct w:val="0"/>
        <w:spacing w:before="11"/>
        <w:ind w:left="0"/>
        <w:rPr>
          <w:rFonts w:hint="default"/>
          <w:color w:val="auto"/>
          <w:sz w:val="17"/>
          <w:szCs w:val="24"/>
          <w:highlight w:val="none"/>
        </w:rPr>
      </w:pPr>
    </w:p>
    <w:p w14:paraId="295CD02E">
      <w:pPr>
        <w:pStyle w:val="12"/>
        <w:tabs>
          <w:tab w:val="left" w:pos="6612"/>
        </w:tabs>
        <w:kinsoku w:val="0"/>
        <w:overflowPunct w:val="0"/>
        <w:spacing w:before="36"/>
        <w:ind w:left="3041" w:right="113"/>
        <w:rPr>
          <w:rFonts w:hint="default"/>
          <w:color w:val="auto"/>
          <w:spacing w:val="-2"/>
          <w:sz w:val="21"/>
          <w:szCs w:val="24"/>
          <w:highlight w:val="none"/>
        </w:rPr>
      </w:pPr>
      <w:r>
        <w:rPr>
          <w:rFonts w:hint="default"/>
          <w:color w:val="auto"/>
          <w:spacing w:val="-2"/>
          <w:sz w:val="21"/>
          <w:szCs w:val="24"/>
          <w:highlight w:val="none"/>
        </w:rPr>
        <w:t>法定代表人或其委托代理人：</w:t>
      </w:r>
      <w:r>
        <w:rPr>
          <w:rFonts w:hint="eastAsia" w:ascii="Times New Roman" w:hAnsi="Times New Roman" w:eastAsia="Times New Roman"/>
          <w:color w:val="auto"/>
          <w:spacing w:val="-2"/>
          <w:sz w:val="21"/>
          <w:szCs w:val="24"/>
          <w:highlight w:val="none"/>
          <w:u w:val="single"/>
        </w:rPr>
        <w:tab/>
      </w:r>
      <w:r>
        <w:rPr>
          <w:rFonts w:hint="default"/>
          <w:color w:val="auto"/>
          <w:spacing w:val="-2"/>
          <w:sz w:val="21"/>
          <w:szCs w:val="24"/>
          <w:highlight w:val="none"/>
        </w:rPr>
        <w:t>（签字</w:t>
      </w:r>
      <w:r>
        <w:rPr>
          <w:rFonts w:hint="eastAsia"/>
          <w:color w:val="auto"/>
          <w:spacing w:val="-2"/>
          <w:sz w:val="21"/>
          <w:szCs w:val="24"/>
          <w:highlight w:val="none"/>
          <w:lang w:val="en-US" w:eastAsia="zh-CN"/>
        </w:rPr>
        <w:t>或盖章</w:t>
      </w:r>
      <w:r>
        <w:rPr>
          <w:rFonts w:hint="default"/>
          <w:color w:val="auto"/>
          <w:spacing w:val="-2"/>
          <w:sz w:val="21"/>
          <w:szCs w:val="24"/>
          <w:highlight w:val="none"/>
        </w:rPr>
        <w:t>）</w:t>
      </w:r>
    </w:p>
    <w:p w14:paraId="3C8DD26C">
      <w:pPr>
        <w:pStyle w:val="12"/>
        <w:kinsoku w:val="0"/>
        <w:overflowPunct w:val="0"/>
        <w:ind w:left="0"/>
        <w:rPr>
          <w:rFonts w:hint="default"/>
          <w:color w:val="auto"/>
          <w:sz w:val="20"/>
          <w:szCs w:val="24"/>
          <w:highlight w:val="none"/>
        </w:rPr>
      </w:pPr>
    </w:p>
    <w:p w14:paraId="7E94CB5F">
      <w:pPr>
        <w:pStyle w:val="12"/>
        <w:kinsoku w:val="0"/>
        <w:overflowPunct w:val="0"/>
        <w:ind w:left="0"/>
        <w:rPr>
          <w:rFonts w:hint="default"/>
          <w:color w:val="auto"/>
          <w:sz w:val="20"/>
          <w:szCs w:val="24"/>
          <w:highlight w:val="none"/>
        </w:rPr>
      </w:pPr>
    </w:p>
    <w:p w14:paraId="56E26815">
      <w:pPr>
        <w:pStyle w:val="12"/>
        <w:kinsoku w:val="0"/>
        <w:overflowPunct w:val="0"/>
        <w:spacing w:before="4"/>
        <w:ind w:left="0"/>
        <w:rPr>
          <w:rFonts w:hint="default"/>
          <w:color w:val="auto"/>
          <w:sz w:val="22"/>
          <w:szCs w:val="24"/>
          <w:highlight w:val="none"/>
        </w:rPr>
      </w:pPr>
    </w:p>
    <w:p w14:paraId="2B965780">
      <w:pPr>
        <w:pStyle w:val="12"/>
        <w:tabs>
          <w:tab w:val="left" w:pos="6434"/>
          <w:tab w:val="left" w:pos="7483"/>
          <w:tab w:val="left" w:pos="8533"/>
        </w:tabs>
        <w:kinsoku w:val="0"/>
        <w:overflowPunct w:val="0"/>
        <w:spacing w:before="36"/>
        <w:ind w:left="5595"/>
        <w:rPr>
          <w:rFonts w:hint="default"/>
          <w:color w:val="auto"/>
          <w:sz w:val="21"/>
          <w:szCs w:val="24"/>
          <w:highlight w:val="none"/>
        </w:rPr>
        <w:sectPr>
          <w:pgSz w:w="11905" w:h="16838"/>
          <w:pgMar w:top="1417" w:right="1417" w:bottom="1417" w:left="1417" w:header="992" w:footer="992" w:gutter="0"/>
          <w:lnNumType w:countBy="0" w:distance="360"/>
          <w:cols w:space="720" w:num="1"/>
        </w:sect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3"/>
          <w:sz w:val="21"/>
          <w:szCs w:val="24"/>
          <w:highlight w:val="none"/>
        </w:rPr>
        <w:t>年</w:t>
      </w:r>
      <w:r>
        <w:rPr>
          <w:rFonts w:hint="eastAsia" w:ascii="Times New Roman" w:hAnsi="Times New Roman" w:eastAsia="Times New Roman"/>
          <w:color w:val="auto"/>
          <w:spacing w:val="-3"/>
          <w:sz w:val="21"/>
          <w:szCs w:val="24"/>
          <w:highlight w:val="none"/>
          <w:u w:val="single"/>
        </w:rPr>
        <w:tab/>
      </w:r>
      <w:r>
        <w:rPr>
          <w:rFonts w:hint="default"/>
          <w:color w:val="auto"/>
          <w:sz w:val="21"/>
          <w:szCs w:val="24"/>
          <w:highlight w:val="none"/>
        </w:rPr>
        <w:t>月</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日</w:t>
      </w:r>
    </w:p>
    <w:p w14:paraId="0A258897">
      <w:pPr>
        <w:pStyle w:val="4"/>
        <w:outlineLvl w:val="0"/>
        <w:rPr>
          <w:rFonts w:hint="default"/>
          <w:b w:val="0"/>
          <w:color w:val="auto"/>
          <w:sz w:val="57"/>
          <w:szCs w:val="24"/>
          <w:highlight w:val="none"/>
        </w:rPr>
      </w:pPr>
      <w:r>
        <w:rPr>
          <w:rFonts w:hint="default" w:cs="宋体"/>
          <w:color w:val="auto"/>
          <w:sz w:val="44"/>
          <w:szCs w:val="24"/>
          <w:highlight w:val="none"/>
        </w:rPr>
        <w:t>第三章</w:t>
      </w:r>
      <w:r>
        <w:rPr>
          <w:rFonts w:hint="default" w:cs="宋体"/>
          <w:color w:val="auto"/>
          <w:sz w:val="44"/>
          <w:szCs w:val="24"/>
          <w:highlight w:val="none"/>
          <w:lang w:val="en-US" w:eastAsia="zh-CN"/>
        </w:rPr>
        <w:t xml:space="preserve"> </w:t>
      </w:r>
      <w:r>
        <w:rPr>
          <w:rFonts w:hint="default" w:cs="宋体"/>
          <w:color w:val="auto"/>
          <w:sz w:val="44"/>
          <w:szCs w:val="24"/>
          <w:highlight w:val="none"/>
        </w:rPr>
        <w:t>评标办法（综合评估法）</w:t>
      </w:r>
    </w:p>
    <w:p w14:paraId="6E777639">
      <w:pPr>
        <w:pStyle w:val="5"/>
        <w:kinsoku w:val="0"/>
        <w:overflowPunct w:val="0"/>
        <w:ind w:left="120"/>
        <w:jc w:val="center"/>
        <w:outlineLvl w:val="1"/>
        <w:rPr>
          <w:rFonts w:hint="default"/>
          <w:color w:val="auto"/>
          <w:sz w:val="32"/>
          <w:szCs w:val="24"/>
          <w:highlight w:val="none"/>
        </w:rPr>
      </w:pPr>
      <w:r>
        <w:rPr>
          <w:rFonts w:hint="default"/>
          <w:color w:val="auto"/>
          <w:sz w:val="32"/>
          <w:szCs w:val="24"/>
          <w:highlight w:val="none"/>
        </w:rPr>
        <w:t>评标办法前附表</w:t>
      </w:r>
    </w:p>
    <w:tbl>
      <w:tblPr>
        <w:tblStyle w:val="22"/>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422"/>
        <w:gridCol w:w="2092"/>
        <w:gridCol w:w="4952"/>
      </w:tblGrid>
      <w:tr w14:paraId="2E11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gridSpan w:val="2"/>
            <w:noWrap w:val="0"/>
            <w:vAlign w:val="center"/>
          </w:tcPr>
          <w:p w14:paraId="55159556">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条款号</w:t>
            </w:r>
          </w:p>
        </w:tc>
        <w:tc>
          <w:tcPr>
            <w:tcW w:w="2092" w:type="dxa"/>
            <w:noWrap w:val="0"/>
            <w:tcMar>
              <w:top w:w="0" w:type="dxa"/>
              <w:left w:w="57" w:type="dxa"/>
              <w:bottom w:w="0" w:type="dxa"/>
              <w:right w:w="57" w:type="dxa"/>
            </w:tcMar>
            <w:vAlign w:val="center"/>
          </w:tcPr>
          <w:p w14:paraId="6956ACD0">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评审因素</w:t>
            </w:r>
          </w:p>
        </w:tc>
        <w:tc>
          <w:tcPr>
            <w:tcW w:w="4952" w:type="dxa"/>
            <w:noWrap w:val="0"/>
            <w:tcMar>
              <w:top w:w="0" w:type="dxa"/>
              <w:left w:w="57" w:type="dxa"/>
              <w:bottom w:w="0" w:type="dxa"/>
              <w:right w:w="57" w:type="dxa"/>
            </w:tcMar>
            <w:vAlign w:val="center"/>
          </w:tcPr>
          <w:p w14:paraId="1015BF57">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评审标准</w:t>
            </w:r>
          </w:p>
        </w:tc>
      </w:tr>
      <w:tr w14:paraId="6D71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14:paraId="5AA5D748">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1422" w:type="dxa"/>
            <w:noWrap w:val="0"/>
            <w:vAlign w:val="center"/>
          </w:tcPr>
          <w:p w14:paraId="07FAAF3D">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评标方法</w:t>
            </w:r>
          </w:p>
        </w:tc>
        <w:tc>
          <w:tcPr>
            <w:tcW w:w="2092" w:type="dxa"/>
            <w:noWrap w:val="0"/>
            <w:tcMar>
              <w:top w:w="0" w:type="dxa"/>
              <w:left w:w="57" w:type="dxa"/>
              <w:bottom w:w="0" w:type="dxa"/>
              <w:right w:w="57" w:type="dxa"/>
            </w:tcMar>
            <w:vAlign w:val="center"/>
          </w:tcPr>
          <w:p w14:paraId="3B242180">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中标候选人排序方法</w:t>
            </w:r>
          </w:p>
        </w:tc>
        <w:tc>
          <w:tcPr>
            <w:tcW w:w="4952" w:type="dxa"/>
            <w:noWrap w:val="0"/>
            <w:tcMar>
              <w:top w:w="0" w:type="dxa"/>
              <w:left w:w="57" w:type="dxa"/>
              <w:bottom w:w="0" w:type="dxa"/>
              <w:right w:w="57" w:type="dxa"/>
            </w:tcMar>
            <w:vAlign w:val="center"/>
          </w:tcPr>
          <w:p w14:paraId="7A191436">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本次评标采用综合评估法。</w:t>
            </w:r>
          </w:p>
          <w:p w14:paraId="65FB2D73">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评标委员会对满足招标文件实质性要求的投标文件，按照本章规定的评分标准进行打分，并按得分由高到低顺序推荐前三名作为中标候选人。</w:t>
            </w:r>
          </w:p>
          <w:p w14:paraId="1341689F">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综合评分相等的，以资信业绩部分得分高的优先；资信业绩部分得分高也相等的，以投标报价低的优先；如果投标报价也相等，由评标委员会采用记名投票方式，以得票多的优先，确定相等得分的中标候选人的排序。</w:t>
            </w:r>
          </w:p>
        </w:tc>
      </w:tr>
      <w:tr w14:paraId="4D0F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restart"/>
            <w:noWrap w:val="0"/>
            <w:tcMar>
              <w:top w:w="0" w:type="dxa"/>
              <w:left w:w="57" w:type="dxa"/>
              <w:bottom w:w="0" w:type="dxa"/>
              <w:right w:w="57" w:type="dxa"/>
            </w:tcMar>
            <w:vAlign w:val="center"/>
          </w:tcPr>
          <w:p w14:paraId="73B7744C">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w:t>
            </w:r>
          </w:p>
        </w:tc>
        <w:tc>
          <w:tcPr>
            <w:tcW w:w="1422" w:type="dxa"/>
            <w:vMerge w:val="restart"/>
            <w:noWrap w:val="0"/>
            <w:tcMar>
              <w:top w:w="0" w:type="dxa"/>
              <w:left w:w="57" w:type="dxa"/>
              <w:bottom w:w="0" w:type="dxa"/>
              <w:right w:w="57" w:type="dxa"/>
            </w:tcMar>
            <w:vAlign w:val="center"/>
          </w:tcPr>
          <w:p w14:paraId="66695019">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形式评审标准</w:t>
            </w:r>
          </w:p>
        </w:tc>
        <w:tc>
          <w:tcPr>
            <w:tcW w:w="2092" w:type="dxa"/>
            <w:noWrap w:val="0"/>
            <w:tcMar>
              <w:top w:w="0" w:type="dxa"/>
              <w:left w:w="57" w:type="dxa"/>
              <w:bottom w:w="0" w:type="dxa"/>
              <w:right w:w="57" w:type="dxa"/>
            </w:tcMar>
            <w:vAlign w:val="center"/>
          </w:tcPr>
          <w:p w14:paraId="7B95160B">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投标人名称</w:t>
            </w:r>
          </w:p>
        </w:tc>
        <w:tc>
          <w:tcPr>
            <w:tcW w:w="4952" w:type="dxa"/>
            <w:noWrap w:val="0"/>
            <w:vAlign w:val="center"/>
          </w:tcPr>
          <w:p w14:paraId="22AEFAFE">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与营业执照、资质证书一致。</w:t>
            </w:r>
          </w:p>
        </w:tc>
      </w:tr>
      <w:tr w14:paraId="6CB6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tcMar>
              <w:top w:w="0" w:type="dxa"/>
              <w:left w:w="57" w:type="dxa"/>
              <w:bottom w:w="0" w:type="dxa"/>
              <w:right w:w="57" w:type="dxa"/>
            </w:tcMar>
            <w:vAlign w:val="center"/>
          </w:tcPr>
          <w:p w14:paraId="098642D1">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1422" w:type="dxa"/>
            <w:vMerge w:val="continue"/>
            <w:noWrap w:val="0"/>
            <w:tcMar>
              <w:top w:w="0" w:type="dxa"/>
              <w:left w:w="57" w:type="dxa"/>
              <w:bottom w:w="0" w:type="dxa"/>
              <w:right w:w="57" w:type="dxa"/>
            </w:tcMar>
            <w:vAlign w:val="center"/>
          </w:tcPr>
          <w:p w14:paraId="78F8A35E">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65C3BA9D">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投标函及投标函附录签字盖章</w:t>
            </w:r>
          </w:p>
        </w:tc>
        <w:tc>
          <w:tcPr>
            <w:tcW w:w="4952" w:type="dxa"/>
            <w:noWrap w:val="0"/>
            <w:vAlign w:val="center"/>
          </w:tcPr>
          <w:p w14:paraId="5FA63F10">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有法定代表人或其委托代理人签字</w:t>
            </w:r>
            <w:r>
              <w:rPr>
                <w:rFonts w:hint="eastAsia" w:ascii="宋体" w:hAnsi="宋体" w:eastAsia="宋体" w:cs="宋体"/>
                <w:kern w:val="2"/>
                <w:sz w:val="24"/>
                <w:szCs w:val="24"/>
                <w:highlight w:val="none"/>
                <w:u w:val="single"/>
                <w:lang w:val="en-US" w:eastAsia="zh-CN" w:bidi="ar-SA"/>
              </w:rPr>
              <w:t>（或盖章）</w:t>
            </w:r>
            <w:r>
              <w:rPr>
                <w:rFonts w:hint="eastAsia" w:ascii="宋体" w:hAnsi="宋体" w:eastAsia="宋体" w:cs="宋体"/>
                <w:kern w:val="2"/>
                <w:sz w:val="24"/>
                <w:szCs w:val="24"/>
                <w:highlight w:val="none"/>
                <w:lang w:val="en-US" w:eastAsia="zh-CN" w:bidi="ar-SA"/>
              </w:rPr>
              <w:t>或加盖单位公章。由法定代表人签字</w:t>
            </w:r>
            <w:r>
              <w:rPr>
                <w:rFonts w:hint="eastAsia" w:ascii="宋体" w:hAnsi="宋体" w:eastAsia="宋体" w:cs="宋体"/>
                <w:kern w:val="2"/>
                <w:sz w:val="24"/>
                <w:szCs w:val="24"/>
                <w:highlight w:val="none"/>
                <w:u w:val="single"/>
                <w:lang w:val="en-US" w:eastAsia="zh-CN" w:bidi="ar-SA"/>
              </w:rPr>
              <w:t>（或盖章）</w:t>
            </w:r>
            <w:r>
              <w:rPr>
                <w:rFonts w:hint="eastAsia" w:ascii="宋体" w:hAnsi="宋体" w:eastAsia="宋体" w:cs="宋体"/>
                <w:kern w:val="2"/>
                <w:sz w:val="24"/>
                <w:szCs w:val="24"/>
                <w:highlight w:val="none"/>
                <w:lang w:val="en-US" w:eastAsia="zh-CN" w:bidi="ar-SA"/>
              </w:rPr>
              <w:t>的，应附法定代表人身份证明书，由代理人签字</w:t>
            </w:r>
            <w:r>
              <w:rPr>
                <w:rFonts w:hint="eastAsia" w:ascii="宋体" w:hAnsi="宋体" w:eastAsia="宋体" w:cs="宋体"/>
                <w:kern w:val="2"/>
                <w:sz w:val="24"/>
                <w:szCs w:val="24"/>
                <w:highlight w:val="none"/>
                <w:u w:val="single"/>
                <w:lang w:val="en-US" w:eastAsia="zh-CN" w:bidi="ar-SA"/>
              </w:rPr>
              <w:t>（或盖章）</w:t>
            </w:r>
            <w:r>
              <w:rPr>
                <w:rFonts w:hint="eastAsia" w:ascii="宋体" w:hAnsi="宋体" w:eastAsia="宋体" w:cs="宋体"/>
                <w:kern w:val="2"/>
                <w:sz w:val="24"/>
                <w:szCs w:val="24"/>
                <w:highlight w:val="none"/>
                <w:lang w:val="en-US" w:eastAsia="zh-CN" w:bidi="ar-SA"/>
              </w:rPr>
              <w:t>的，应附授权委托书，身份证明或授权委托书应符合第六章“投标文件格式”的规定</w:t>
            </w:r>
          </w:p>
        </w:tc>
      </w:tr>
      <w:tr w14:paraId="60EE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tcMar>
              <w:top w:w="0" w:type="dxa"/>
              <w:left w:w="57" w:type="dxa"/>
              <w:bottom w:w="0" w:type="dxa"/>
              <w:right w:w="57" w:type="dxa"/>
            </w:tcMar>
            <w:vAlign w:val="center"/>
          </w:tcPr>
          <w:p w14:paraId="633D60C0">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1422" w:type="dxa"/>
            <w:vMerge w:val="continue"/>
            <w:noWrap w:val="0"/>
            <w:tcMar>
              <w:top w:w="0" w:type="dxa"/>
              <w:left w:w="57" w:type="dxa"/>
              <w:bottom w:w="0" w:type="dxa"/>
              <w:right w:w="57" w:type="dxa"/>
            </w:tcMar>
            <w:vAlign w:val="center"/>
          </w:tcPr>
          <w:p w14:paraId="20CA967F">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17A66092">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投标文件格式</w:t>
            </w:r>
          </w:p>
        </w:tc>
        <w:tc>
          <w:tcPr>
            <w:tcW w:w="4952" w:type="dxa"/>
            <w:noWrap w:val="0"/>
            <w:vAlign w:val="center"/>
          </w:tcPr>
          <w:p w14:paraId="17A1DDAC">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u w:val="single"/>
                <w:lang w:val="en-US" w:eastAsia="zh-CN" w:bidi="ar-SA"/>
              </w:rPr>
              <w:t>符合第六章“投标文件格式一《投标函及投标函附录》”的规定</w:t>
            </w:r>
          </w:p>
        </w:tc>
      </w:tr>
      <w:tr w14:paraId="0116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tcMar>
              <w:top w:w="0" w:type="dxa"/>
              <w:left w:w="57" w:type="dxa"/>
              <w:bottom w:w="0" w:type="dxa"/>
              <w:right w:w="57" w:type="dxa"/>
            </w:tcMar>
            <w:vAlign w:val="center"/>
          </w:tcPr>
          <w:p w14:paraId="3F997310">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1422" w:type="dxa"/>
            <w:vMerge w:val="continue"/>
            <w:noWrap w:val="0"/>
            <w:tcMar>
              <w:top w:w="0" w:type="dxa"/>
              <w:left w:w="57" w:type="dxa"/>
              <w:bottom w:w="0" w:type="dxa"/>
              <w:right w:w="57" w:type="dxa"/>
            </w:tcMar>
            <w:vAlign w:val="center"/>
          </w:tcPr>
          <w:p w14:paraId="5D9ABABF">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7215B5A8">
            <w:pPr>
              <w:keepNext w:val="0"/>
              <w:keepLines w:val="0"/>
              <w:pageBreakBefore w:val="0"/>
              <w:wordWrap/>
              <w:overflowPunct/>
              <w:topLinePunct w:val="0"/>
              <w:autoSpaceDE w:val="0"/>
              <w:autoSpaceDN w:val="0"/>
              <w:bidi w:val="0"/>
              <w:adjustRightInd/>
              <w:spacing w:line="312" w:lineRule="auto"/>
              <w:ind w:left="-6" w:right="-20"/>
              <w:jc w:val="both"/>
              <w:rPr>
                <w:rFonts w:hint="eastAsia" w:ascii="宋体" w:hAnsi="宋体" w:eastAsia="宋体" w:cs="宋体"/>
                <w:strike/>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联合体投标人</w:t>
            </w:r>
          </w:p>
        </w:tc>
        <w:tc>
          <w:tcPr>
            <w:tcW w:w="4952" w:type="dxa"/>
            <w:noWrap w:val="0"/>
            <w:vAlign w:val="center"/>
          </w:tcPr>
          <w:p w14:paraId="562D9BF7">
            <w:pPr>
              <w:keepNext w:val="0"/>
              <w:keepLines w:val="0"/>
              <w:pageBreakBefore w:val="0"/>
              <w:wordWrap/>
              <w:overflowPunct/>
              <w:topLinePunct w:val="0"/>
              <w:autoSpaceDE w:val="0"/>
              <w:autoSpaceDN w:val="0"/>
              <w:bidi w:val="0"/>
              <w:adjustRightInd w:val="0"/>
              <w:snapToGrid w:val="0"/>
              <w:spacing w:line="312" w:lineRule="auto"/>
              <w:jc w:val="left"/>
              <w:rPr>
                <w:rFonts w:hint="default" w:ascii="宋体" w:hAnsi="宋体" w:eastAsia="宋体" w:cs="宋体"/>
                <w:strike/>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接受</w:t>
            </w:r>
            <w:bookmarkStart w:id="0" w:name="_GoBack"/>
            <w:bookmarkEnd w:id="0"/>
          </w:p>
        </w:tc>
      </w:tr>
      <w:tr w14:paraId="49AA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tcMar>
              <w:top w:w="0" w:type="dxa"/>
              <w:left w:w="57" w:type="dxa"/>
              <w:bottom w:w="0" w:type="dxa"/>
              <w:right w:w="57" w:type="dxa"/>
            </w:tcMar>
            <w:vAlign w:val="center"/>
          </w:tcPr>
          <w:p w14:paraId="3CB3F5B2">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1422" w:type="dxa"/>
            <w:vMerge w:val="continue"/>
            <w:noWrap w:val="0"/>
            <w:tcMar>
              <w:top w:w="0" w:type="dxa"/>
              <w:left w:w="57" w:type="dxa"/>
              <w:bottom w:w="0" w:type="dxa"/>
              <w:right w:w="57" w:type="dxa"/>
            </w:tcMar>
            <w:vAlign w:val="center"/>
          </w:tcPr>
          <w:p w14:paraId="671F03B4">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6E552887">
            <w:pPr>
              <w:keepNext w:val="0"/>
              <w:keepLines w:val="0"/>
              <w:pageBreakBefore w:val="0"/>
              <w:wordWrap/>
              <w:overflowPunct/>
              <w:topLinePunct w:val="0"/>
              <w:autoSpaceDE w:val="0"/>
              <w:autoSpaceDN w:val="0"/>
              <w:bidi w:val="0"/>
              <w:adjustRightInd/>
              <w:spacing w:line="312" w:lineRule="auto"/>
              <w:ind w:left="-6" w:right="-2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备选投标方案</w:t>
            </w:r>
          </w:p>
        </w:tc>
        <w:tc>
          <w:tcPr>
            <w:tcW w:w="4952" w:type="dxa"/>
            <w:noWrap w:val="0"/>
            <w:vAlign w:val="center"/>
          </w:tcPr>
          <w:p w14:paraId="1BAF8AC8">
            <w:pPr>
              <w:keepNext w:val="0"/>
              <w:keepLines w:val="0"/>
              <w:pageBreakBefore w:val="0"/>
              <w:wordWrap/>
              <w:overflowPunct/>
              <w:topLinePunct w:val="0"/>
              <w:autoSpaceDE w:val="0"/>
              <w:autoSpaceDN w:val="0"/>
              <w:bidi w:val="0"/>
              <w:adjustRightInd/>
              <w:spacing w:line="312" w:lineRule="auto"/>
              <w:ind w:left="-6" w:right="-2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不允许</w:t>
            </w:r>
          </w:p>
        </w:tc>
      </w:tr>
      <w:tr w14:paraId="636E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tcMar>
              <w:top w:w="0" w:type="dxa"/>
              <w:left w:w="57" w:type="dxa"/>
              <w:bottom w:w="0" w:type="dxa"/>
              <w:right w:w="57" w:type="dxa"/>
            </w:tcMar>
            <w:vAlign w:val="center"/>
          </w:tcPr>
          <w:p w14:paraId="3F70716F">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1422" w:type="dxa"/>
            <w:vMerge w:val="continue"/>
            <w:noWrap w:val="0"/>
            <w:tcMar>
              <w:top w:w="0" w:type="dxa"/>
              <w:left w:w="57" w:type="dxa"/>
              <w:bottom w:w="0" w:type="dxa"/>
              <w:right w:w="57" w:type="dxa"/>
            </w:tcMar>
            <w:vAlign w:val="center"/>
          </w:tcPr>
          <w:p w14:paraId="758B601A">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46DFE3AE">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投标人机器码</w:t>
            </w:r>
          </w:p>
        </w:tc>
        <w:tc>
          <w:tcPr>
            <w:tcW w:w="4952" w:type="dxa"/>
            <w:noWrap w:val="0"/>
            <w:vAlign w:val="center"/>
          </w:tcPr>
          <w:p w14:paraId="13DBE456">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u w:val="single"/>
                <w:lang w:val="en-US" w:eastAsia="zh-CN" w:bidi="ar-SA"/>
              </w:rPr>
              <w:t>投标人与其他投标人加密打包投标文件电脑机器特征码一致的(以广州公共资源交易中心评标系统的检索信息为准),其投标将被否决。</w:t>
            </w:r>
          </w:p>
        </w:tc>
      </w:tr>
      <w:tr w14:paraId="3D78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restart"/>
            <w:noWrap w:val="0"/>
            <w:tcMar>
              <w:top w:w="0" w:type="dxa"/>
              <w:left w:w="57" w:type="dxa"/>
              <w:bottom w:w="0" w:type="dxa"/>
              <w:right w:w="57" w:type="dxa"/>
            </w:tcMar>
            <w:vAlign w:val="center"/>
          </w:tcPr>
          <w:p w14:paraId="21535BDE">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2.1.2</w:t>
            </w:r>
          </w:p>
        </w:tc>
        <w:tc>
          <w:tcPr>
            <w:tcW w:w="1422" w:type="dxa"/>
            <w:vMerge w:val="restart"/>
            <w:noWrap w:val="0"/>
            <w:tcMar>
              <w:top w:w="0" w:type="dxa"/>
              <w:left w:w="57" w:type="dxa"/>
              <w:bottom w:w="0" w:type="dxa"/>
              <w:right w:w="57" w:type="dxa"/>
            </w:tcMar>
            <w:vAlign w:val="center"/>
          </w:tcPr>
          <w:p w14:paraId="5F447BF6">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资格评审</w:t>
            </w:r>
          </w:p>
          <w:p w14:paraId="51DECA11">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标准</w:t>
            </w:r>
          </w:p>
        </w:tc>
        <w:tc>
          <w:tcPr>
            <w:tcW w:w="2092" w:type="dxa"/>
            <w:noWrap w:val="0"/>
            <w:tcMar>
              <w:top w:w="0" w:type="dxa"/>
              <w:left w:w="57" w:type="dxa"/>
              <w:bottom w:w="0" w:type="dxa"/>
              <w:right w:w="57" w:type="dxa"/>
            </w:tcMar>
            <w:vAlign w:val="center"/>
          </w:tcPr>
          <w:p w14:paraId="69A6A8DA">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营业执照或事业单位法人证书</w:t>
            </w:r>
          </w:p>
        </w:tc>
        <w:tc>
          <w:tcPr>
            <w:tcW w:w="4952" w:type="dxa"/>
            <w:noWrap w:val="0"/>
            <w:vAlign w:val="center"/>
          </w:tcPr>
          <w:p w14:paraId="6018F765">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符合第二章</w:t>
            </w:r>
            <w:r>
              <w:rPr>
                <w:rFonts w:hint="eastAsia" w:ascii="宋体" w:hAnsi="宋体" w:eastAsia="宋体" w:cs="宋体"/>
                <w:kern w:val="2"/>
                <w:sz w:val="24"/>
                <w:szCs w:val="24"/>
                <w:highlight w:val="none"/>
                <w:lang w:val="zh-CN" w:eastAsia="zh-CN" w:bidi="ar-SA"/>
              </w:rPr>
              <w:t>“投</w:t>
            </w:r>
            <w:r>
              <w:rPr>
                <w:rFonts w:hint="eastAsia" w:ascii="宋体" w:hAnsi="宋体" w:eastAsia="宋体" w:cs="宋体"/>
                <w:kern w:val="2"/>
                <w:sz w:val="24"/>
                <w:szCs w:val="24"/>
                <w:highlight w:val="none"/>
                <w:lang w:val="en-US" w:eastAsia="zh-CN" w:bidi="ar-SA"/>
              </w:rPr>
              <w:t>标人须知”第 1.4.1 项规定</w:t>
            </w:r>
          </w:p>
        </w:tc>
      </w:tr>
      <w:tr w14:paraId="6C60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tcMar>
              <w:top w:w="0" w:type="dxa"/>
              <w:left w:w="57" w:type="dxa"/>
              <w:bottom w:w="0" w:type="dxa"/>
              <w:right w:w="57" w:type="dxa"/>
            </w:tcMar>
            <w:vAlign w:val="center"/>
          </w:tcPr>
          <w:p w14:paraId="51E04E88">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1422" w:type="dxa"/>
            <w:vMerge w:val="continue"/>
            <w:noWrap w:val="0"/>
            <w:tcMar>
              <w:top w:w="0" w:type="dxa"/>
              <w:left w:w="57" w:type="dxa"/>
              <w:bottom w:w="0" w:type="dxa"/>
              <w:right w:w="57" w:type="dxa"/>
            </w:tcMar>
            <w:vAlign w:val="center"/>
          </w:tcPr>
          <w:p w14:paraId="322F5850">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2C8A0DB0">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资质要求</w:t>
            </w:r>
          </w:p>
        </w:tc>
        <w:tc>
          <w:tcPr>
            <w:tcW w:w="4952" w:type="dxa"/>
            <w:noWrap w:val="0"/>
            <w:vAlign w:val="center"/>
          </w:tcPr>
          <w:p w14:paraId="0A4BEEBF">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符合第二章“投标人须知”第 1.4.1 项规定</w:t>
            </w:r>
          </w:p>
        </w:tc>
      </w:tr>
      <w:tr w14:paraId="29D6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tcMar>
              <w:top w:w="0" w:type="dxa"/>
              <w:left w:w="57" w:type="dxa"/>
              <w:bottom w:w="0" w:type="dxa"/>
              <w:right w:w="57" w:type="dxa"/>
            </w:tcMar>
            <w:vAlign w:val="center"/>
          </w:tcPr>
          <w:p w14:paraId="4C10B173">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1422" w:type="dxa"/>
            <w:vMerge w:val="continue"/>
            <w:noWrap w:val="0"/>
            <w:tcMar>
              <w:top w:w="0" w:type="dxa"/>
              <w:left w:w="57" w:type="dxa"/>
              <w:bottom w:w="0" w:type="dxa"/>
              <w:right w:w="57" w:type="dxa"/>
            </w:tcMar>
            <w:vAlign w:val="center"/>
          </w:tcPr>
          <w:p w14:paraId="7D3EDA76">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45B710A0">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财务要求</w:t>
            </w:r>
          </w:p>
        </w:tc>
        <w:tc>
          <w:tcPr>
            <w:tcW w:w="4952" w:type="dxa"/>
            <w:noWrap w:val="0"/>
            <w:vAlign w:val="center"/>
          </w:tcPr>
          <w:p w14:paraId="5D9DE8D9">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r>
      <w:tr w14:paraId="58B3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tcMar>
              <w:top w:w="0" w:type="dxa"/>
              <w:left w:w="57" w:type="dxa"/>
              <w:bottom w:w="0" w:type="dxa"/>
              <w:right w:w="57" w:type="dxa"/>
            </w:tcMar>
            <w:vAlign w:val="center"/>
          </w:tcPr>
          <w:p w14:paraId="2C7D49B0">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1422" w:type="dxa"/>
            <w:vMerge w:val="continue"/>
            <w:noWrap w:val="0"/>
            <w:tcMar>
              <w:top w:w="0" w:type="dxa"/>
              <w:left w:w="57" w:type="dxa"/>
              <w:bottom w:w="0" w:type="dxa"/>
              <w:right w:w="57" w:type="dxa"/>
            </w:tcMar>
            <w:vAlign w:val="center"/>
          </w:tcPr>
          <w:p w14:paraId="63701914">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76806416">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业绩要求</w:t>
            </w:r>
          </w:p>
        </w:tc>
        <w:tc>
          <w:tcPr>
            <w:tcW w:w="4952" w:type="dxa"/>
            <w:noWrap w:val="0"/>
            <w:vAlign w:val="center"/>
          </w:tcPr>
          <w:p w14:paraId="7584CBD5">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符合第二章“投标人须知”第 1.4.1 项规定</w:t>
            </w:r>
          </w:p>
        </w:tc>
      </w:tr>
      <w:tr w14:paraId="0FE1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tcMar>
              <w:top w:w="0" w:type="dxa"/>
              <w:left w:w="57" w:type="dxa"/>
              <w:bottom w:w="0" w:type="dxa"/>
              <w:right w:w="57" w:type="dxa"/>
            </w:tcMar>
            <w:vAlign w:val="center"/>
          </w:tcPr>
          <w:p w14:paraId="0525B0A1">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1422" w:type="dxa"/>
            <w:vMerge w:val="continue"/>
            <w:noWrap w:val="0"/>
            <w:tcMar>
              <w:top w:w="0" w:type="dxa"/>
              <w:left w:w="57" w:type="dxa"/>
              <w:bottom w:w="0" w:type="dxa"/>
              <w:right w:w="57" w:type="dxa"/>
            </w:tcMar>
            <w:vAlign w:val="center"/>
          </w:tcPr>
          <w:p w14:paraId="3B010D9F">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6BBD6370">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信誉要求</w:t>
            </w:r>
          </w:p>
        </w:tc>
        <w:tc>
          <w:tcPr>
            <w:tcW w:w="4952" w:type="dxa"/>
            <w:noWrap w:val="0"/>
            <w:vAlign w:val="center"/>
          </w:tcPr>
          <w:p w14:paraId="173FB6F2">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r>
      <w:tr w14:paraId="6CC0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vAlign w:val="center"/>
          </w:tcPr>
          <w:p w14:paraId="251FB815">
            <w:pPr>
              <w:keepNext w:val="0"/>
              <w:keepLines w:val="0"/>
              <w:pageBreakBefore w:val="0"/>
              <w:widowControl/>
              <w:wordWrap/>
              <w:overflowPunct/>
              <w:topLinePunct w:val="0"/>
              <w:autoSpaceDE/>
              <w:autoSpaceDN/>
              <w:bidi w:val="0"/>
              <w:adjustRightInd/>
              <w:spacing w:line="312" w:lineRule="auto"/>
              <w:jc w:val="left"/>
              <w:rPr>
                <w:rFonts w:hint="eastAsia" w:ascii="宋体" w:hAnsi="宋体" w:eastAsia="宋体" w:cs="宋体"/>
                <w:kern w:val="2"/>
                <w:sz w:val="24"/>
                <w:szCs w:val="24"/>
                <w:highlight w:val="none"/>
                <w:lang w:val="en-US" w:eastAsia="zh-CN" w:bidi="ar-SA"/>
              </w:rPr>
            </w:pPr>
          </w:p>
        </w:tc>
        <w:tc>
          <w:tcPr>
            <w:tcW w:w="1422" w:type="dxa"/>
            <w:vMerge w:val="continue"/>
            <w:noWrap w:val="0"/>
            <w:vAlign w:val="center"/>
          </w:tcPr>
          <w:p w14:paraId="49FBC200">
            <w:pPr>
              <w:keepNext w:val="0"/>
              <w:keepLines w:val="0"/>
              <w:pageBreakBefore w:val="0"/>
              <w:widowControl/>
              <w:wordWrap/>
              <w:overflowPunct/>
              <w:topLinePunct w:val="0"/>
              <w:autoSpaceDE/>
              <w:autoSpaceDN/>
              <w:bidi w:val="0"/>
              <w:adjustRightInd/>
              <w:spacing w:line="312" w:lineRule="auto"/>
              <w:jc w:val="left"/>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3E274A34">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总监理工程师</w:t>
            </w:r>
          </w:p>
        </w:tc>
        <w:tc>
          <w:tcPr>
            <w:tcW w:w="4952" w:type="dxa"/>
            <w:noWrap w:val="0"/>
            <w:vAlign w:val="center"/>
          </w:tcPr>
          <w:p w14:paraId="5E868E99">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符合第二章“投标人须知”第 1.4.1 项规定</w:t>
            </w:r>
          </w:p>
        </w:tc>
      </w:tr>
      <w:tr w14:paraId="3B9B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vAlign w:val="center"/>
          </w:tcPr>
          <w:p w14:paraId="6BEC8648">
            <w:pPr>
              <w:keepNext w:val="0"/>
              <w:keepLines w:val="0"/>
              <w:pageBreakBefore w:val="0"/>
              <w:widowControl/>
              <w:wordWrap/>
              <w:overflowPunct/>
              <w:topLinePunct w:val="0"/>
              <w:autoSpaceDE/>
              <w:autoSpaceDN/>
              <w:bidi w:val="0"/>
              <w:adjustRightInd/>
              <w:spacing w:line="312" w:lineRule="auto"/>
              <w:jc w:val="left"/>
              <w:rPr>
                <w:rFonts w:hint="eastAsia" w:ascii="宋体" w:hAnsi="宋体" w:eastAsia="宋体" w:cs="宋体"/>
                <w:kern w:val="2"/>
                <w:sz w:val="24"/>
                <w:szCs w:val="24"/>
                <w:highlight w:val="none"/>
                <w:lang w:val="en-US" w:eastAsia="zh-CN" w:bidi="ar-SA"/>
              </w:rPr>
            </w:pPr>
          </w:p>
        </w:tc>
        <w:tc>
          <w:tcPr>
            <w:tcW w:w="1422" w:type="dxa"/>
            <w:vMerge w:val="continue"/>
            <w:noWrap w:val="0"/>
            <w:vAlign w:val="center"/>
          </w:tcPr>
          <w:p w14:paraId="1B62A2C3">
            <w:pPr>
              <w:keepNext w:val="0"/>
              <w:keepLines w:val="0"/>
              <w:pageBreakBefore w:val="0"/>
              <w:widowControl/>
              <w:wordWrap/>
              <w:overflowPunct/>
              <w:topLinePunct w:val="0"/>
              <w:autoSpaceDE/>
              <w:autoSpaceDN/>
              <w:bidi w:val="0"/>
              <w:adjustRightInd/>
              <w:spacing w:line="312" w:lineRule="auto"/>
              <w:jc w:val="left"/>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39791DB5">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其他主要人员</w:t>
            </w:r>
          </w:p>
        </w:tc>
        <w:tc>
          <w:tcPr>
            <w:tcW w:w="4952" w:type="dxa"/>
            <w:noWrap w:val="0"/>
            <w:vAlign w:val="center"/>
          </w:tcPr>
          <w:p w14:paraId="2708141C">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r>
      <w:tr w14:paraId="0E52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vAlign w:val="center"/>
          </w:tcPr>
          <w:p w14:paraId="3DCBABF8">
            <w:pPr>
              <w:keepNext w:val="0"/>
              <w:keepLines w:val="0"/>
              <w:pageBreakBefore w:val="0"/>
              <w:widowControl/>
              <w:wordWrap/>
              <w:overflowPunct/>
              <w:topLinePunct w:val="0"/>
              <w:autoSpaceDE/>
              <w:autoSpaceDN/>
              <w:bidi w:val="0"/>
              <w:adjustRightInd/>
              <w:spacing w:line="312" w:lineRule="auto"/>
              <w:jc w:val="left"/>
              <w:rPr>
                <w:rFonts w:hint="eastAsia" w:ascii="宋体" w:hAnsi="宋体" w:eastAsia="宋体" w:cs="宋体"/>
                <w:kern w:val="2"/>
                <w:sz w:val="24"/>
                <w:szCs w:val="24"/>
                <w:highlight w:val="none"/>
                <w:lang w:val="en-US" w:eastAsia="zh-CN" w:bidi="ar-SA"/>
              </w:rPr>
            </w:pPr>
          </w:p>
        </w:tc>
        <w:tc>
          <w:tcPr>
            <w:tcW w:w="1422" w:type="dxa"/>
            <w:vMerge w:val="continue"/>
            <w:noWrap w:val="0"/>
            <w:vAlign w:val="center"/>
          </w:tcPr>
          <w:p w14:paraId="6725B58F">
            <w:pPr>
              <w:keepNext w:val="0"/>
              <w:keepLines w:val="0"/>
              <w:pageBreakBefore w:val="0"/>
              <w:widowControl/>
              <w:wordWrap/>
              <w:overflowPunct/>
              <w:topLinePunct w:val="0"/>
              <w:autoSpaceDE/>
              <w:autoSpaceDN/>
              <w:bidi w:val="0"/>
              <w:adjustRightInd/>
              <w:spacing w:line="312" w:lineRule="auto"/>
              <w:jc w:val="left"/>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5C830C63">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试验检测仪器设备要求</w:t>
            </w:r>
          </w:p>
        </w:tc>
        <w:tc>
          <w:tcPr>
            <w:tcW w:w="4952" w:type="dxa"/>
            <w:noWrap w:val="0"/>
            <w:vAlign w:val="center"/>
          </w:tcPr>
          <w:p w14:paraId="5CC64330">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r>
      <w:tr w14:paraId="26D8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vAlign w:val="center"/>
          </w:tcPr>
          <w:p w14:paraId="6B613BB8">
            <w:pPr>
              <w:keepNext w:val="0"/>
              <w:keepLines w:val="0"/>
              <w:pageBreakBefore w:val="0"/>
              <w:widowControl/>
              <w:wordWrap/>
              <w:overflowPunct/>
              <w:topLinePunct w:val="0"/>
              <w:autoSpaceDE/>
              <w:autoSpaceDN/>
              <w:bidi w:val="0"/>
              <w:adjustRightInd/>
              <w:spacing w:line="312" w:lineRule="auto"/>
              <w:jc w:val="left"/>
              <w:rPr>
                <w:rFonts w:hint="eastAsia" w:ascii="宋体" w:hAnsi="宋体" w:eastAsia="宋体" w:cs="宋体"/>
                <w:kern w:val="2"/>
                <w:sz w:val="24"/>
                <w:szCs w:val="24"/>
                <w:highlight w:val="none"/>
                <w:lang w:val="en-US" w:eastAsia="zh-CN" w:bidi="ar-SA"/>
              </w:rPr>
            </w:pPr>
          </w:p>
        </w:tc>
        <w:tc>
          <w:tcPr>
            <w:tcW w:w="1422" w:type="dxa"/>
            <w:vMerge w:val="continue"/>
            <w:noWrap w:val="0"/>
            <w:vAlign w:val="center"/>
          </w:tcPr>
          <w:p w14:paraId="4DEC9C77">
            <w:pPr>
              <w:keepNext w:val="0"/>
              <w:keepLines w:val="0"/>
              <w:pageBreakBefore w:val="0"/>
              <w:widowControl/>
              <w:wordWrap/>
              <w:overflowPunct/>
              <w:topLinePunct w:val="0"/>
              <w:autoSpaceDE/>
              <w:autoSpaceDN/>
              <w:bidi w:val="0"/>
              <w:adjustRightInd/>
              <w:spacing w:line="312" w:lineRule="auto"/>
              <w:jc w:val="left"/>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547DA7EE">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其他要求</w:t>
            </w:r>
          </w:p>
        </w:tc>
        <w:tc>
          <w:tcPr>
            <w:tcW w:w="4952" w:type="dxa"/>
            <w:noWrap w:val="0"/>
            <w:vAlign w:val="center"/>
          </w:tcPr>
          <w:p w14:paraId="08545268">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符合第二章“投标人须知”第 1.4.1 项规定</w:t>
            </w:r>
          </w:p>
        </w:tc>
      </w:tr>
      <w:tr w14:paraId="36B9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vAlign w:val="center"/>
          </w:tcPr>
          <w:p w14:paraId="5FCFC14F">
            <w:pPr>
              <w:keepNext w:val="0"/>
              <w:keepLines w:val="0"/>
              <w:pageBreakBefore w:val="0"/>
              <w:widowControl/>
              <w:wordWrap/>
              <w:overflowPunct/>
              <w:topLinePunct w:val="0"/>
              <w:autoSpaceDE/>
              <w:autoSpaceDN/>
              <w:bidi w:val="0"/>
              <w:adjustRightInd/>
              <w:spacing w:line="312" w:lineRule="auto"/>
              <w:jc w:val="left"/>
              <w:rPr>
                <w:rFonts w:hint="eastAsia" w:ascii="宋体" w:hAnsi="宋体" w:eastAsia="宋体" w:cs="宋体"/>
                <w:kern w:val="2"/>
                <w:sz w:val="24"/>
                <w:szCs w:val="24"/>
                <w:highlight w:val="none"/>
                <w:lang w:val="en-US" w:eastAsia="zh-CN" w:bidi="ar-SA"/>
              </w:rPr>
            </w:pPr>
          </w:p>
        </w:tc>
        <w:tc>
          <w:tcPr>
            <w:tcW w:w="1422" w:type="dxa"/>
            <w:vMerge w:val="continue"/>
            <w:noWrap w:val="0"/>
            <w:vAlign w:val="center"/>
          </w:tcPr>
          <w:p w14:paraId="1306E24B">
            <w:pPr>
              <w:keepNext w:val="0"/>
              <w:keepLines w:val="0"/>
              <w:pageBreakBefore w:val="0"/>
              <w:widowControl/>
              <w:wordWrap/>
              <w:overflowPunct/>
              <w:topLinePunct w:val="0"/>
              <w:autoSpaceDE/>
              <w:autoSpaceDN/>
              <w:bidi w:val="0"/>
              <w:adjustRightInd/>
              <w:spacing w:line="312" w:lineRule="auto"/>
              <w:jc w:val="left"/>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18F47036">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联合体投标人</w:t>
            </w:r>
          </w:p>
        </w:tc>
        <w:tc>
          <w:tcPr>
            <w:tcW w:w="4952" w:type="dxa"/>
            <w:noWrap w:val="0"/>
            <w:vAlign w:val="center"/>
          </w:tcPr>
          <w:p w14:paraId="0EF249B3">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符合第二章“投标人须知”第 1.4.2 项规定</w:t>
            </w:r>
          </w:p>
        </w:tc>
      </w:tr>
      <w:tr w14:paraId="1334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vAlign w:val="top"/>
          </w:tcPr>
          <w:p w14:paraId="54801C8A">
            <w:pPr>
              <w:keepNext w:val="0"/>
              <w:keepLines w:val="0"/>
              <w:pageBreakBefore w:val="0"/>
              <w:widowControl/>
              <w:wordWrap/>
              <w:overflowPunct/>
              <w:topLinePunct w:val="0"/>
              <w:autoSpaceDE/>
              <w:autoSpaceDN/>
              <w:bidi w:val="0"/>
              <w:adjustRightInd/>
              <w:spacing w:line="312" w:lineRule="auto"/>
              <w:jc w:val="left"/>
              <w:rPr>
                <w:rFonts w:hint="eastAsia" w:ascii="宋体" w:hAnsi="宋体" w:eastAsia="宋体" w:cs="宋体"/>
                <w:kern w:val="2"/>
                <w:sz w:val="24"/>
                <w:szCs w:val="24"/>
                <w:highlight w:val="none"/>
                <w:lang w:val="en-US" w:eastAsia="zh-CN" w:bidi="ar-SA"/>
              </w:rPr>
            </w:pPr>
          </w:p>
        </w:tc>
        <w:tc>
          <w:tcPr>
            <w:tcW w:w="1422" w:type="dxa"/>
            <w:vMerge w:val="continue"/>
            <w:noWrap w:val="0"/>
            <w:vAlign w:val="top"/>
          </w:tcPr>
          <w:p w14:paraId="30FC8E63">
            <w:pPr>
              <w:keepNext w:val="0"/>
              <w:keepLines w:val="0"/>
              <w:pageBreakBefore w:val="0"/>
              <w:widowControl/>
              <w:wordWrap/>
              <w:overflowPunct/>
              <w:topLinePunct w:val="0"/>
              <w:autoSpaceDE/>
              <w:autoSpaceDN/>
              <w:bidi w:val="0"/>
              <w:adjustRightInd/>
              <w:spacing w:line="312" w:lineRule="auto"/>
              <w:jc w:val="left"/>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6141414D">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不存在禁止投标的情形</w:t>
            </w:r>
          </w:p>
        </w:tc>
        <w:tc>
          <w:tcPr>
            <w:tcW w:w="4952" w:type="dxa"/>
            <w:noWrap w:val="0"/>
            <w:vAlign w:val="center"/>
          </w:tcPr>
          <w:p w14:paraId="3D99BA39">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不存在第二章“投标人须知”第 1.4.3 项规定的任何一种情形（以《投标人声明》为准）</w:t>
            </w:r>
          </w:p>
        </w:tc>
      </w:tr>
      <w:tr w14:paraId="4526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restart"/>
            <w:noWrap w:val="0"/>
            <w:tcMar>
              <w:top w:w="0" w:type="dxa"/>
              <w:left w:w="57" w:type="dxa"/>
              <w:bottom w:w="0" w:type="dxa"/>
              <w:right w:w="57" w:type="dxa"/>
            </w:tcMar>
            <w:vAlign w:val="center"/>
          </w:tcPr>
          <w:p w14:paraId="1EFC19B5">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2.1.3</w:t>
            </w:r>
          </w:p>
        </w:tc>
        <w:tc>
          <w:tcPr>
            <w:tcW w:w="1422" w:type="dxa"/>
            <w:vMerge w:val="restart"/>
            <w:noWrap w:val="0"/>
            <w:tcMar>
              <w:top w:w="0" w:type="dxa"/>
              <w:left w:w="57" w:type="dxa"/>
              <w:bottom w:w="0" w:type="dxa"/>
              <w:right w:w="57" w:type="dxa"/>
            </w:tcMar>
            <w:vAlign w:val="center"/>
          </w:tcPr>
          <w:p w14:paraId="4B2C0E32">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响应性评审标准</w:t>
            </w:r>
          </w:p>
        </w:tc>
        <w:tc>
          <w:tcPr>
            <w:tcW w:w="2092" w:type="dxa"/>
            <w:noWrap w:val="0"/>
            <w:tcMar>
              <w:top w:w="0" w:type="dxa"/>
              <w:left w:w="57" w:type="dxa"/>
              <w:bottom w:w="0" w:type="dxa"/>
              <w:right w:w="57" w:type="dxa"/>
            </w:tcMar>
            <w:vAlign w:val="center"/>
          </w:tcPr>
          <w:p w14:paraId="1BAD3049">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投标报价</w:t>
            </w:r>
          </w:p>
        </w:tc>
        <w:tc>
          <w:tcPr>
            <w:tcW w:w="4952" w:type="dxa"/>
            <w:noWrap w:val="0"/>
            <w:vAlign w:val="center"/>
          </w:tcPr>
          <w:p w14:paraId="1B939FDD">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符合第二章“投标人须知”第 3.2 款规定</w:t>
            </w:r>
          </w:p>
        </w:tc>
      </w:tr>
      <w:tr w14:paraId="1C3C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tcMar>
              <w:top w:w="0" w:type="dxa"/>
              <w:left w:w="57" w:type="dxa"/>
              <w:bottom w:w="0" w:type="dxa"/>
              <w:right w:w="57" w:type="dxa"/>
            </w:tcMar>
            <w:vAlign w:val="center"/>
          </w:tcPr>
          <w:p w14:paraId="24C120AD">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1422" w:type="dxa"/>
            <w:vMerge w:val="continue"/>
            <w:noWrap w:val="0"/>
            <w:tcMar>
              <w:top w:w="0" w:type="dxa"/>
              <w:left w:w="57" w:type="dxa"/>
              <w:bottom w:w="0" w:type="dxa"/>
              <w:right w:w="57" w:type="dxa"/>
            </w:tcMar>
            <w:vAlign w:val="center"/>
          </w:tcPr>
          <w:p w14:paraId="3E528533">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04C518E8">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投标内容</w:t>
            </w:r>
          </w:p>
        </w:tc>
        <w:tc>
          <w:tcPr>
            <w:tcW w:w="4952" w:type="dxa"/>
            <w:noWrap w:val="0"/>
            <w:vAlign w:val="center"/>
          </w:tcPr>
          <w:p w14:paraId="742D2A71">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符合第二章“投标人须知”第 1.3.1 项规定</w:t>
            </w:r>
          </w:p>
        </w:tc>
      </w:tr>
      <w:tr w14:paraId="0B51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tcMar>
              <w:top w:w="0" w:type="dxa"/>
              <w:left w:w="57" w:type="dxa"/>
              <w:bottom w:w="0" w:type="dxa"/>
              <w:right w:w="57" w:type="dxa"/>
            </w:tcMar>
            <w:vAlign w:val="center"/>
          </w:tcPr>
          <w:p w14:paraId="6B098417">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1422" w:type="dxa"/>
            <w:vMerge w:val="continue"/>
            <w:noWrap w:val="0"/>
            <w:tcMar>
              <w:top w:w="0" w:type="dxa"/>
              <w:left w:w="57" w:type="dxa"/>
              <w:bottom w:w="0" w:type="dxa"/>
              <w:right w:w="57" w:type="dxa"/>
            </w:tcMar>
            <w:vAlign w:val="center"/>
          </w:tcPr>
          <w:p w14:paraId="112F082D">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3D155BC8">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监理服务期限</w:t>
            </w:r>
          </w:p>
        </w:tc>
        <w:tc>
          <w:tcPr>
            <w:tcW w:w="4952" w:type="dxa"/>
            <w:noWrap w:val="0"/>
            <w:vAlign w:val="center"/>
          </w:tcPr>
          <w:p w14:paraId="342B9391">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符合第二章“投标人须知”第 1.3.2 项规定</w:t>
            </w:r>
          </w:p>
        </w:tc>
      </w:tr>
      <w:tr w14:paraId="0B2D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tcMar>
              <w:top w:w="0" w:type="dxa"/>
              <w:left w:w="57" w:type="dxa"/>
              <w:bottom w:w="0" w:type="dxa"/>
              <w:right w:w="57" w:type="dxa"/>
            </w:tcMar>
            <w:vAlign w:val="center"/>
          </w:tcPr>
          <w:p w14:paraId="66190E51">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1422" w:type="dxa"/>
            <w:vMerge w:val="continue"/>
            <w:noWrap w:val="0"/>
            <w:tcMar>
              <w:top w:w="0" w:type="dxa"/>
              <w:left w:w="57" w:type="dxa"/>
              <w:bottom w:w="0" w:type="dxa"/>
              <w:right w:w="57" w:type="dxa"/>
            </w:tcMar>
            <w:vAlign w:val="center"/>
          </w:tcPr>
          <w:p w14:paraId="41CA78EF">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3BFED5D4">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质量标准</w:t>
            </w:r>
          </w:p>
        </w:tc>
        <w:tc>
          <w:tcPr>
            <w:tcW w:w="4952" w:type="dxa"/>
            <w:noWrap w:val="0"/>
            <w:vAlign w:val="center"/>
          </w:tcPr>
          <w:p w14:paraId="0C3979F6">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符合第二章“投标人须知”第 1.3.3 项规定</w:t>
            </w:r>
          </w:p>
        </w:tc>
      </w:tr>
      <w:tr w14:paraId="23F8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tcMar>
              <w:top w:w="0" w:type="dxa"/>
              <w:left w:w="57" w:type="dxa"/>
              <w:bottom w:w="0" w:type="dxa"/>
              <w:right w:w="57" w:type="dxa"/>
            </w:tcMar>
            <w:vAlign w:val="center"/>
          </w:tcPr>
          <w:p w14:paraId="4E1C325C">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1422" w:type="dxa"/>
            <w:vMerge w:val="continue"/>
            <w:noWrap w:val="0"/>
            <w:tcMar>
              <w:top w:w="0" w:type="dxa"/>
              <w:left w:w="57" w:type="dxa"/>
              <w:bottom w:w="0" w:type="dxa"/>
              <w:right w:w="57" w:type="dxa"/>
            </w:tcMar>
            <w:vAlign w:val="center"/>
          </w:tcPr>
          <w:p w14:paraId="71BBAFD1">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4935B844">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投标有效期</w:t>
            </w:r>
          </w:p>
        </w:tc>
        <w:tc>
          <w:tcPr>
            <w:tcW w:w="4952" w:type="dxa"/>
            <w:noWrap w:val="0"/>
            <w:vAlign w:val="center"/>
          </w:tcPr>
          <w:p w14:paraId="7EDEB18A">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符合第二章“投标人须知”第 3.3.1 项规定</w:t>
            </w:r>
          </w:p>
        </w:tc>
      </w:tr>
      <w:tr w14:paraId="1D97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tcMar>
              <w:top w:w="0" w:type="dxa"/>
              <w:left w:w="57" w:type="dxa"/>
              <w:bottom w:w="0" w:type="dxa"/>
              <w:right w:w="57" w:type="dxa"/>
            </w:tcMar>
            <w:vAlign w:val="center"/>
          </w:tcPr>
          <w:p w14:paraId="60A16AA9">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1422" w:type="dxa"/>
            <w:vMerge w:val="continue"/>
            <w:noWrap w:val="0"/>
            <w:tcMar>
              <w:top w:w="0" w:type="dxa"/>
              <w:left w:w="57" w:type="dxa"/>
              <w:bottom w:w="0" w:type="dxa"/>
              <w:right w:w="57" w:type="dxa"/>
            </w:tcMar>
            <w:vAlign w:val="center"/>
          </w:tcPr>
          <w:p w14:paraId="24323F9B">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47AD439C">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投标保证金</w:t>
            </w:r>
          </w:p>
        </w:tc>
        <w:tc>
          <w:tcPr>
            <w:tcW w:w="4952" w:type="dxa"/>
            <w:noWrap w:val="0"/>
            <w:vAlign w:val="center"/>
          </w:tcPr>
          <w:p w14:paraId="089701F0">
            <w:pPr>
              <w:keepNext w:val="0"/>
              <w:keepLines w:val="0"/>
              <w:pageBreakBefore w:val="0"/>
              <w:wordWrap/>
              <w:overflowPunct/>
              <w:topLinePunct w:val="0"/>
              <w:autoSpaceDE/>
              <w:autoSpaceDN/>
              <w:bidi w:val="0"/>
              <w:adjustRightInd/>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符合第二章“投标人须知”第 3.4.1 项规定</w:t>
            </w:r>
          </w:p>
        </w:tc>
      </w:tr>
      <w:tr w14:paraId="053A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noWrap w:val="0"/>
            <w:tcMar>
              <w:top w:w="0" w:type="dxa"/>
              <w:left w:w="57" w:type="dxa"/>
              <w:bottom w:w="0" w:type="dxa"/>
              <w:right w:w="57" w:type="dxa"/>
            </w:tcMar>
            <w:vAlign w:val="center"/>
          </w:tcPr>
          <w:p w14:paraId="265C7572">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1422" w:type="dxa"/>
            <w:vMerge w:val="continue"/>
            <w:noWrap w:val="0"/>
            <w:tcMar>
              <w:top w:w="0" w:type="dxa"/>
              <w:left w:w="57" w:type="dxa"/>
              <w:bottom w:w="0" w:type="dxa"/>
              <w:right w:w="57" w:type="dxa"/>
            </w:tcMar>
            <w:vAlign w:val="center"/>
          </w:tcPr>
          <w:p w14:paraId="708B4993">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kern w:val="2"/>
                <w:sz w:val="24"/>
                <w:szCs w:val="24"/>
                <w:highlight w:val="none"/>
                <w:lang w:val="en-US" w:eastAsia="zh-CN" w:bidi="ar-SA"/>
              </w:rPr>
            </w:pPr>
          </w:p>
        </w:tc>
        <w:tc>
          <w:tcPr>
            <w:tcW w:w="2092" w:type="dxa"/>
            <w:noWrap w:val="0"/>
            <w:tcMar>
              <w:top w:w="0" w:type="dxa"/>
              <w:left w:w="57" w:type="dxa"/>
              <w:bottom w:w="0" w:type="dxa"/>
              <w:right w:w="57" w:type="dxa"/>
            </w:tcMar>
            <w:vAlign w:val="center"/>
          </w:tcPr>
          <w:p w14:paraId="4957C82D">
            <w:pPr>
              <w:keepNext w:val="0"/>
              <w:keepLines w:val="0"/>
              <w:pageBreakBefore w:val="0"/>
              <w:wordWrap/>
              <w:overflowPunct/>
              <w:topLinePunct w:val="0"/>
              <w:autoSpaceDE w:val="0"/>
              <w:autoSpaceDN w:val="0"/>
              <w:bidi w:val="0"/>
              <w:adjustRightInd/>
              <w:spacing w:before="44" w:line="312" w:lineRule="auto"/>
              <w:ind w:left="-5" w:leftChars="-2"/>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串通投标情形</w:t>
            </w:r>
          </w:p>
        </w:tc>
        <w:tc>
          <w:tcPr>
            <w:tcW w:w="4952" w:type="dxa"/>
            <w:noWrap w:val="0"/>
            <w:vAlign w:val="center"/>
          </w:tcPr>
          <w:p w14:paraId="5AE33C56">
            <w:pPr>
              <w:keepNext w:val="0"/>
              <w:keepLines w:val="0"/>
              <w:pageBreakBefore w:val="0"/>
              <w:wordWrap/>
              <w:overflowPunct/>
              <w:topLinePunct w:val="0"/>
              <w:autoSpaceDE w:val="0"/>
              <w:autoSpaceDN w:val="0"/>
              <w:bidi w:val="0"/>
              <w:adjustRightInd w:val="0"/>
              <w:snapToGrid w:val="0"/>
              <w:spacing w:line="312"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不存在串通投标情形（串通投标情形以《中华人民共和国招标投标法实施条例》的规定为准）</w:t>
            </w:r>
          </w:p>
        </w:tc>
      </w:tr>
      <w:tr w14:paraId="44C2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gridSpan w:val="2"/>
            <w:noWrap w:val="0"/>
            <w:tcMar>
              <w:top w:w="0" w:type="dxa"/>
              <w:left w:w="57" w:type="dxa"/>
              <w:bottom w:w="0" w:type="dxa"/>
              <w:right w:w="57" w:type="dxa"/>
            </w:tcMar>
            <w:vAlign w:val="center"/>
          </w:tcPr>
          <w:p w14:paraId="149FED3E">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条款号</w:t>
            </w:r>
          </w:p>
        </w:tc>
        <w:tc>
          <w:tcPr>
            <w:tcW w:w="2092" w:type="dxa"/>
            <w:noWrap w:val="0"/>
            <w:tcMar>
              <w:top w:w="0" w:type="dxa"/>
              <w:left w:w="57" w:type="dxa"/>
              <w:bottom w:w="0" w:type="dxa"/>
              <w:right w:w="57" w:type="dxa"/>
            </w:tcMar>
            <w:vAlign w:val="center"/>
          </w:tcPr>
          <w:p w14:paraId="55970F11">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条款内容</w:t>
            </w:r>
          </w:p>
        </w:tc>
        <w:tc>
          <w:tcPr>
            <w:tcW w:w="4952" w:type="dxa"/>
            <w:noWrap w:val="0"/>
            <w:vAlign w:val="center"/>
          </w:tcPr>
          <w:p w14:paraId="6915F354">
            <w:pPr>
              <w:keepNext w:val="0"/>
              <w:keepLines w:val="0"/>
              <w:pageBreakBefore w:val="0"/>
              <w:wordWrap/>
              <w:overflowPunct/>
              <w:topLinePunct w:val="0"/>
              <w:autoSpaceDE/>
              <w:autoSpaceDN/>
              <w:bidi w:val="0"/>
              <w:adjustRightInd/>
              <w:spacing w:line="312" w:lineRule="auto"/>
              <w:jc w:val="center"/>
              <w:rPr>
                <w:rFonts w:hint="eastAsia" w:ascii="宋体" w:hAnsi="宋体" w:eastAsia="宋体" w:cs="宋体"/>
                <w:b/>
                <w:bCs/>
                <w:kern w:val="2"/>
                <w:sz w:val="24"/>
                <w:szCs w:val="24"/>
                <w:highlight w:val="none"/>
                <w:u w:val="single"/>
                <w:lang w:val="en-US" w:eastAsia="zh-CN" w:bidi="ar-SA"/>
              </w:rPr>
            </w:pPr>
            <w:r>
              <w:rPr>
                <w:rFonts w:hint="eastAsia" w:ascii="宋体" w:hAnsi="宋体" w:eastAsia="宋体" w:cs="宋体"/>
                <w:b/>
                <w:bCs/>
                <w:kern w:val="2"/>
                <w:sz w:val="24"/>
                <w:szCs w:val="24"/>
                <w:highlight w:val="none"/>
                <w:u w:val="single"/>
                <w:lang w:val="en-US" w:eastAsia="zh-CN" w:bidi="ar-SA"/>
              </w:rPr>
              <w:t>编列内容</w:t>
            </w:r>
          </w:p>
        </w:tc>
      </w:tr>
      <w:tr w14:paraId="30B8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gridSpan w:val="2"/>
            <w:noWrap w:val="0"/>
            <w:tcMar>
              <w:top w:w="0" w:type="dxa"/>
              <w:left w:w="57" w:type="dxa"/>
              <w:bottom w:w="0" w:type="dxa"/>
              <w:right w:w="57" w:type="dxa"/>
            </w:tcMar>
            <w:vAlign w:val="center"/>
          </w:tcPr>
          <w:p w14:paraId="7DE21AA4">
            <w:pPr>
              <w:keepNext w:val="0"/>
              <w:keepLines w:val="0"/>
              <w:pageBreakBefore w:val="0"/>
              <w:wordWrap/>
              <w:overflowPunct/>
              <w:topLinePunct w:val="0"/>
              <w:autoSpaceDE w:val="0"/>
              <w:autoSpaceDN w:val="0"/>
              <w:bidi w:val="0"/>
              <w:adjustRightInd/>
              <w:spacing w:before="44" w:line="312" w:lineRule="auto"/>
              <w:ind w:left="-5" w:leftChars="-2"/>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2.2.1</w:t>
            </w:r>
          </w:p>
        </w:tc>
        <w:tc>
          <w:tcPr>
            <w:tcW w:w="2092" w:type="dxa"/>
            <w:noWrap w:val="0"/>
            <w:tcMar>
              <w:top w:w="0" w:type="dxa"/>
              <w:left w:w="57" w:type="dxa"/>
              <w:bottom w:w="0" w:type="dxa"/>
              <w:right w:w="57" w:type="dxa"/>
            </w:tcMar>
            <w:vAlign w:val="center"/>
          </w:tcPr>
          <w:p w14:paraId="62F09D12">
            <w:pPr>
              <w:pStyle w:val="41"/>
              <w:spacing w:before="44" w:line="312" w:lineRule="auto"/>
              <w:ind w:left="-5" w:leftChars="-2"/>
              <w:jc w:val="center"/>
              <w:rPr>
                <w:snapToGrid/>
                <w:color w:val="auto"/>
                <w:kern w:val="2"/>
                <w:sz w:val="24"/>
                <w:szCs w:val="24"/>
                <w:highlight w:val="none"/>
                <w:lang w:eastAsia="zh-CN"/>
              </w:rPr>
            </w:pPr>
            <w:r>
              <w:rPr>
                <w:rFonts w:hint="eastAsia"/>
                <w:snapToGrid/>
                <w:color w:val="auto"/>
                <w:kern w:val="2"/>
                <w:sz w:val="24"/>
                <w:szCs w:val="24"/>
                <w:highlight w:val="none"/>
                <w:lang w:eastAsia="zh-CN"/>
              </w:rPr>
              <w:t>分值构成</w:t>
            </w:r>
          </w:p>
          <w:p w14:paraId="6067CE69">
            <w:pPr>
              <w:adjustRightInd/>
              <w:spacing w:before="44" w:line="312" w:lineRule="auto"/>
              <w:ind w:left="-5" w:leftChars="-2"/>
              <w:jc w:val="center"/>
              <w:rPr>
                <w:rFonts w:hint="eastAsia" w:ascii="宋体" w:hAnsi="宋体" w:eastAsia="宋体" w:cs="宋体"/>
                <w:kern w:val="2"/>
                <w:sz w:val="24"/>
                <w:szCs w:val="24"/>
                <w:highlight w:val="none"/>
                <w:lang w:val="en-US" w:eastAsia="zh-CN" w:bidi="ar-SA"/>
              </w:rPr>
            </w:pPr>
            <w:r>
              <w:rPr>
                <w:rFonts w:hint="eastAsia" w:ascii="宋体" w:hAnsi="宋体" w:cs="宋体"/>
                <w:snapToGrid/>
                <w:color w:val="auto"/>
                <w:kern w:val="2"/>
                <w:sz w:val="24"/>
                <w:szCs w:val="24"/>
                <w:highlight w:val="none"/>
                <w:lang w:eastAsia="zh-CN"/>
              </w:rPr>
              <w:t>(总分100分)</w:t>
            </w:r>
          </w:p>
        </w:tc>
        <w:tc>
          <w:tcPr>
            <w:tcW w:w="4952" w:type="dxa"/>
            <w:noWrap w:val="0"/>
            <w:vAlign w:val="center"/>
          </w:tcPr>
          <w:p w14:paraId="0A157DFC">
            <w:pPr>
              <w:pStyle w:val="41"/>
              <w:spacing w:before="44" w:line="312" w:lineRule="auto"/>
              <w:ind w:left="-5" w:leftChars="-2"/>
              <w:rPr>
                <w:snapToGrid/>
                <w:color w:val="auto"/>
                <w:kern w:val="2"/>
                <w:sz w:val="24"/>
                <w:szCs w:val="24"/>
                <w:highlight w:val="none"/>
                <w:lang w:eastAsia="zh-CN"/>
              </w:rPr>
            </w:pPr>
            <w:r>
              <w:rPr>
                <w:rFonts w:hint="eastAsia"/>
                <w:snapToGrid/>
                <w:color w:val="auto"/>
                <w:kern w:val="2"/>
                <w:sz w:val="24"/>
                <w:szCs w:val="24"/>
                <w:highlight w:val="none"/>
                <w:lang w:eastAsia="zh-CN"/>
              </w:rPr>
              <w:t>1、资信业绩部分：</w:t>
            </w:r>
            <w:r>
              <w:rPr>
                <w:snapToGrid/>
                <w:color w:val="auto"/>
                <w:kern w:val="2"/>
                <w:sz w:val="24"/>
                <w:szCs w:val="24"/>
                <w:highlight w:val="none"/>
                <w:lang w:eastAsia="zh-CN"/>
              </w:rPr>
              <w:t>35</w:t>
            </w:r>
            <w:r>
              <w:rPr>
                <w:rFonts w:hint="eastAsia"/>
                <w:snapToGrid/>
                <w:color w:val="auto"/>
                <w:kern w:val="2"/>
                <w:sz w:val="24"/>
                <w:szCs w:val="24"/>
                <w:highlight w:val="none"/>
                <w:lang w:eastAsia="zh-CN"/>
              </w:rPr>
              <w:t>分</w:t>
            </w:r>
          </w:p>
          <w:p w14:paraId="67B8E437">
            <w:pPr>
              <w:pStyle w:val="41"/>
              <w:spacing w:before="44" w:line="312" w:lineRule="auto"/>
              <w:ind w:left="-5" w:leftChars="-2"/>
              <w:rPr>
                <w:snapToGrid/>
                <w:color w:val="auto"/>
                <w:kern w:val="2"/>
                <w:sz w:val="24"/>
                <w:szCs w:val="24"/>
                <w:highlight w:val="none"/>
                <w:lang w:eastAsia="zh-CN"/>
              </w:rPr>
            </w:pPr>
            <w:r>
              <w:rPr>
                <w:rFonts w:hint="eastAsia"/>
                <w:snapToGrid/>
                <w:color w:val="auto"/>
                <w:kern w:val="2"/>
                <w:sz w:val="24"/>
                <w:szCs w:val="24"/>
                <w:highlight w:val="none"/>
                <w:lang w:eastAsia="zh-CN"/>
              </w:rPr>
              <w:t>2、监理大纲部分：</w:t>
            </w:r>
            <w:r>
              <w:rPr>
                <w:snapToGrid/>
                <w:color w:val="auto"/>
                <w:kern w:val="2"/>
                <w:sz w:val="24"/>
                <w:szCs w:val="24"/>
                <w:highlight w:val="none"/>
                <w:lang w:eastAsia="zh-CN"/>
              </w:rPr>
              <w:t>25</w:t>
            </w:r>
            <w:r>
              <w:rPr>
                <w:rFonts w:hint="eastAsia"/>
                <w:snapToGrid/>
                <w:color w:val="auto"/>
                <w:kern w:val="2"/>
                <w:sz w:val="24"/>
                <w:szCs w:val="24"/>
                <w:highlight w:val="none"/>
                <w:lang w:eastAsia="zh-CN"/>
              </w:rPr>
              <w:t>分</w:t>
            </w:r>
          </w:p>
          <w:p w14:paraId="57DF449F">
            <w:pPr>
              <w:pStyle w:val="41"/>
              <w:spacing w:before="44" w:line="312" w:lineRule="auto"/>
              <w:ind w:left="-5" w:leftChars="-2"/>
              <w:rPr>
                <w:snapToGrid/>
                <w:color w:val="auto"/>
                <w:kern w:val="2"/>
                <w:sz w:val="24"/>
                <w:szCs w:val="24"/>
                <w:highlight w:val="none"/>
                <w:lang w:eastAsia="zh-CN"/>
              </w:rPr>
            </w:pPr>
            <w:r>
              <w:rPr>
                <w:rFonts w:hint="eastAsia"/>
                <w:snapToGrid/>
                <w:color w:val="auto"/>
                <w:kern w:val="2"/>
                <w:sz w:val="24"/>
                <w:szCs w:val="24"/>
                <w:highlight w:val="none"/>
                <w:lang w:eastAsia="zh-CN"/>
              </w:rPr>
              <w:t>3、投标报价：</w:t>
            </w:r>
            <w:r>
              <w:rPr>
                <w:snapToGrid/>
                <w:color w:val="auto"/>
                <w:kern w:val="2"/>
                <w:sz w:val="24"/>
                <w:szCs w:val="24"/>
                <w:highlight w:val="none"/>
                <w:lang w:eastAsia="zh-CN"/>
              </w:rPr>
              <w:t>40</w:t>
            </w:r>
            <w:r>
              <w:rPr>
                <w:rFonts w:hint="eastAsia"/>
                <w:snapToGrid/>
                <w:color w:val="auto"/>
                <w:kern w:val="2"/>
                <w:sz w:val="24"/>
                <w:szCs w:val="24"/>
                <w:highlight w:val="none"/>
                <w:lang w:eastAsia="zh-CN"/>
              </w:rPr>
              <w:t>分</w:t>
            </w:r>
          </w:p>
          <w:p w14:paraId="4AE27F78">
            <w:pPr>
              <w:widowControl/>
              <w:adjustRightInd/>
              <w:spacing w:before="44" w:line="312" w:lineRule="auto"/>
              <w:ind w:left="-5" w:leftChars="-2"/>
              <w:rPr>
                <w:rFonts w:hint="eastAsia" w:ascii="宋体" w:hAnsi="宋体" w:eastAsia="宋体" w:cs="宋体"/>
                <w:kern w:val="2"/>
                <w:sz w:val="24"/>
                <w:szCs w:val="24"/>
                <w:highlight w:val="none"/>
                <w:lang w:val="en-US" w:eastAsia="zh-CN" w:bidi="ar-SA"/>
              </w:rPr>
            </w:pPr>
            <w:r>
              <w:rPr>
                <w:rFonts w:hint="eastAsia"/>
                <w:kern w:val="2"/>
                <w:sz w:val="24"/>
                <w:szCs w:val="24"/>
                <w:highlight w:val="none"/>
                <w:lang w:eastAsia="zh-CN"/>
              </w:rPr>
              <w:t>注</w:t>
            </w:r>
            <w:r>
              <w:rPr>
                <w:kern w:val="2"/>
                <w:sz w:val="24"/>
                <w:szCs w:val="24"/>
                <w:highlight w:val="none"/>
                <w:lang w:eastAsia="zh-CN"/>
              </w:rPr>
              <w:t>:投标人总得分=资信业绩得分+监理大纲得分+投标报价得分。</w:t>
            </w:r>
          </w:p>
        </w:tc>
      </w:tr>
      <w:tr w14:paraId="5C40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gridSpan w:val="2"/>
            <w:noWrap w:val="0"/>
            <w:tcMar>
              <w:top w:w="0" w:type="dxa"/>
              <w:left w:w="57" w:type="dxa"/>
              <w:bottom w:w="0" w:type="dxa"/>
              <w:right w:w="57" w:type="dxa"/>
            </w:tcMar>
            <w:vAlign w:val="center"/>
          </w:tcPr>
          <w:p w14:paraId="53A34280">
            <w:pPr>
              <w:keepNext w:val="0"/>
              <w:keepLines w:val="0"/>
              <w:pageBreakBefore w:val="0"/>
              <w:wordWrap/>
              <w:overflowPunct/>
              <w:topLinePunct w:val="0"/>
              <w:autoSpaceDE w:val="0"/>
              <w:autoSpaceDN w:val="0"/>
              <w:bidi w:val="0"/>
              <w:adjustRightInd/>
              <w:spacing w:before="44" w:line="312" w:lineRule="auto"/>
              <w:ind w:left="-5" w:leftChars="-2"/>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2.2.2</w:t>
            </w:r>
          </w:p>
        </w:tc>
        <w:tc>
          <w:tcPr>
            <w:tcW w:w="2092" w:type="dxa"/>
            <w:noWrap w:val="0"/>
            <w:tcMar>
              <w:top w:w="0" w:type="dxa"/>
              <w:left w:w="57" w:type="dxa"/>
              <w:bottom w:w="0" w:type="dxa"/>
              <w:right w:w="57" w:type="dxa"/>
            </w:tcMar>
            <w:vAlign w:val="center"/>
          </w:tcPr>
          <w:p w14:paraId="39AE3628">
            <w:pPr>
              <w:keepNext w:val="0"/>
              <w:keepLines w:val="0"/>
              <w:pageBreakBefore w:val="0"/>
              <w:wordWrap/>
              <w:overflowPunct/>
              <w:topLinePunct w:val="0"/>
              <w:autoSpaceDE w:val="0"/>
              <w:autoSpaceDN w:val="0"/>
              <w:bidi w:val="0"/>
              <w:adjustRightInd/>
              <w:spacing w:before="44" w:line="312" w:lineRule="auto"/>
              <w:ind w:left="-5" w:leftChars="-2"/>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评标基准价计算 方法</w:t>
            </w:r>
          </w:p>
        </w:tc>
        <w:tc>
          <w:tcPr>
            <w:tcW w:w="4952" w:type="dxa"/>
            <w:noWrap w:val="0"/>
            <w:vAlign w:val="center"/>
          </w:tcPr>
          <w:p w14:paraId="11A0D20A">
            <w:pPr>
              <w:keepNext w:val="0"/>
              <w:keepLines w:val="0"/>
              <w:pageBreakBefore w:val="0"/>
              <w:widowControl/>
              <w:wordWrap/>
              <w:overflowPunct/>
              <w:topLinePunct w:val="0"/>
              <w:autoSpaceDE w:val="0"/>
              <w:autoSpaceDN w:val="0"/>
              <w:bidi w:val="0"/>
              <w:adjustRightInd/>
              <w:spacing w:before="44" w:line="312" w:lineRule="auto"/>
              <w:ind w:left="-5" w:leftChars="-2"/>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当通过初步评审在位于[招标控制价×90%，招标控制价] 区间的投标价中的有效投标人大于 5 名时，去掉一个最高价和一个最低价，取余下有效投标价的算术平均值作为评标基准价。</w:t>
            </w:r>
            <w:r>
              <w:rPr>
                <w:rFonts w:hint="eastAsia" w:ascii="宋体" w:hAnsi="宋体" w:eastAsia="宋体" w:cs="宋体"/>
                <w:strike w:val="0"/>
                <w:kern w:val="2"/>
                <w:sz w:val="24"/>
                <w:szCs w:val="24"/>
                <w:highlight w:val="none"/>
                <w:lang w:val="en-US" w:eastAsia="zh-CN" w:bidi="ar-SA"/>
              </w:rPr>
              <w:t>当通过初步评审在位于[招标控制价×90%，招标控制价]区间的投标价中的有效投标人小于或等于 5 名时，取所有入围的有效投标价的算术平均值作为评标基准价。若当通过初步评审没有投标价位于[招标控制价×90%，招标控制价]区间的有效投标人，取最高投标限价*90%作为评标基准价。</w:t>
            </w:r>
          </w:p>
        </w:tc>
      </w:tr>
      <w:tr w14:paraId="22FE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gridSpan w:val="2"/>
            <w:noWrap w:val="0"/>
            <w:tcMar>
              <w:top w:w="0" w:type="dxa"/>
              <w:left w:w="57" w:type="dxa"/>
              <w:bottom w:w="0" w:type="dxa"/>
              <w:right w:w="57" w:type="dxa"/>
            </w:tcMar>
            <w:vAlign w:val="center"/>
          </w:tcPr>
          <w:p w14:paraId="0EF0CC30">
            <w:pPr>
              <w:keepNext w:val="0"/>
              <w:keepLines w:val="0"/>
              <w:pageBreakBefore w:val="0"/>
              <w:wordWrap/>
              <w:overflowPunct/>
              <w:topLinePunct w:val="0"/>
              <w:autoSpaceDE w:val="0"/>
              <w:autoSpaceDN w:val="0"/>
              <w:bidi w:val="0"/>
              <w:adjustRightInd/>
              <w:spacing w:before="44" w:line="312" w:lineRule="auto"/>
              <w:ind w:left="-5" w:leftChars="-2"/>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2.2.3</w:t>
            </w:r>
          </w:p>
        </w:tc>
        <w:tc>
          <w:tcPr>
            <w:tcW w:w="2092" w:type="dxa"/>
            <w:noWrap w:val="0"/>
            <w:tcMar>
              <w:top w:w="0" w:type="dxa"/>
              <w:left w:w="57" w:type="dxa"/>
              <w:bottom w:w="0" w:type="dxa"/>
              <w:right w:w="57" w:type="dxa"/>
            </w:tcMar>
            <w:vAlign w:val="center"/>
          </w:tcPr>
          <w:p w14:paraId="5BE4F543">
            <w:pPr>
              <w:pStyle w:val="41"/>
              <w:keepNext w:val="0"/>
              <w:keepLines w:val="0"/>
              <w:pageBreakBefore w:val="0"/>
              <w:wordWrap/>
              <w:overflowPunct/>
              <w:topLinePunct w:val="0"/>
              <w:bidi w:val="0"/>
              <w:spacing w:before="44" w:line="312" w:lineRule="auto"/>
              <w:ind w:left="-5" w:leftChars="-2"/>
              <w:jc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投标报价的偏差</w:t>
            </w:r>
          </w:p>
          <w:p w14:paraId="358498A8">
            <w:pPr>
              <w:pStyle w:val="41"/>
              <w:keepNext w:val="0"/>
              <w:keepLines w:val="0"/>
              <w:pageBreakBefore w:val="0"/>
              <w:wordWrap/>
              <w:overflowPunct/>
              <w:topLinePunct w:val="0"/>
              <w:bidi w:val="0"/>
              <w:spacing w:before="44" w:line="312" w:lineRule="auto"/>
              <w:ind w:left="-5" w:leftChars="-2"/>
              <w:jc w:val="center"/>
              <w:rPr>
                <w:rFonts w:hint="eastAsia" w:ascii="宋体" w:hAnsi="宋体" w:eastAsia="宋体" w:cs="宋体"/>
                <w:sz w:val="24"/>
                <w:szCs w:val="24"/>
                <w:highlight w:val="none"/>
                <w:lang w:eastAsia="zh-CN"/>
              </w:rPr>
            </w:pPr>
            <w:r>
              <w:rPr>
                <w:rFonts w:hint="eastAsia" w:ascii="宋体" w:hAnsi="宋体" w:eastAsia="宋体" w:cs="宋体"/>
                <w:snapToGrid/>
                <w:color w:val="auto"/>
                <w:kern w:val="2"/>
                <w:sz w:val="24"/>
                <w:szCs w:val="24"/>
                <w:highlight w:val="none"/>
                <w:lang w:eastAsia="zh-CN"/>
              </w:rPr>
              <w:t>率</w:t>
            </w:r>
            <w:r>
              <w:rPr>
                <w:rFonts w:hint="eastAsia" w:ascii="宋体" w:hAnsi="宋体" w:eastAsia="宋体" w:cs="宋体"/>
                <w:sz w:val="24"/>
                <w:szCs w:val="24"/>
                <w:highlight w:val="none"/>
                <w:lang w:eastAsia="zh-CN"/>
              </w:rPr>
              <w:t>计算公式</w:t>
            </w:r>
          </w:p>
        </w:tc>
        <w:tc>
          <w:tcPr>
            <w:tcW w:w="4952" w:type="dxa"/>
            <w:noWrap w:val="0"/>
            <w:vAlign w:val="center"/>
          </w:tcPr>
          <w:p w14:paraId="52FDD6FB">
            <w:pPr>
              <w:keepNext w:val="0"/>
              <w:keepLines w:val="0"/>
              <w:pageBreakBefore w:val="0"/>
              <w:wordWrap/>
              <w:overflowPunct/>
              <w:topLinePunct w:val="0"/>
              <w:autoSpaceDE w:val="0"/>
              <w:autoSpaceDN w:val="0"/>
              <w:bidi w:val="0"/>
              <w:adjustRightInd/>
              <w:spacing w:before="44" w:line="312" w:lineRule="auto"/>
              <w:ind w:left="-5" w:leftChars="-2"/>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偏差率= ∣投标报价 — 评标基准价∣ / 评标基准价*100% （偏差率以四舍五入保留2位小数点，报价偏差率不足1%的，按直线内插法计算投标报价得分）</w:t>
            </w:r>
          </w:p>
        </w:tc>
      </w:tr>
    </w:tbl>
    <w:p w14:paraId="3B7CCEC7">
      <w:pPr>
        <w:widowControl/>
        <w:autoSpaceDE/>
        <w:autoSpaceDN/>
        <w:adjustRightInd/>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br w:type="page"/>
      </w:r>
    </w:p>
    <w:p w14:paraId="5C50B44D">
      <w:pPr>
        <w:autoSpaceDE/>
        <w:autoSpaceDN/>
        <w:adjustRightInd/>
        <w:jc w:val="center"/>
        <w:rPr>
          <w:rFonts w:hint="default" w:ascii="Times New Roman" w:hAnsi="Times New Roman" w:eastAsia="宋体" w:cs="Times New Roman"/>
          <w:kern w:val="2"/>
          <w:sz w:val="22"/>
          <w:szCs w:val="28"/>
          <w:highlight w:val="none"/>
          <w:lang w:val="en-US" w:eastAsia="zh-CN" w:bidi="ar-SA"/>
        </w:rPr>
      </w:pPr>
      <w:r>
        <w:rPr>
          <w:rFonts w:hint="eastAsia" w:ascii="宋体" w:hAnsi="宋体" w:eastAsia="宋体" w:cs="Times New Roman"/>
          <w:b/>
          <w:bCs/>
          <w:kern w:val="2"/>
          <w:sz w:val="32"/>
          <w:szCs w:val="32"/>
          <w:highlight w:val="none"/>
          <w:lang w:val="en-US" w:eastAsia="zh-CN" w:bidi="ar-SA"/>
        </w:rPr>
        <w:t>综合评分表</w:t>
      </w:r>
    </w:p>
    <w:tbl>
      <w:tblPr>
        <w:tblStyle w:val="22"/>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96"/>
        <w:gridCol w:w="1056"/>
        <w:gridCol w:w="1414"/>
        <w:gridCol w:w="5075"/>
      </w:tblGrid>
      <w:tr w14:paraId="3147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gridSpan w:val="2"/>
            <w:noWrap w:val="0"/>
            <w:tcMar>
              <w:top w:w="0" w:type="dxa"/>
              <w:left w:w="57" w:type="dxa"/>
              <w:bottom w:w="0" w:type="dxa"/>
              <w:right w:w="57" w:type="dxa"/>
            </w:tcMar>
            <w:vAlign w:val="center"/>
          </w:tcPr>
          <w:p w14:paraId="3E07C842">
            <w:pPr>
              <w:keepNext w:val="0"/>
              <w:keepLines w:val="0"/>
              <w:pageBreakBefore w:val="0"/>
              <w:kinsoku/>
              <w:wordWrap/>
              <w:overflowPunct/>
              <w:topLinePunct w:val="0"/>
              <w:autoSpaceDE w:val="0"/>
              <w:autoSpaceDN w:val="0"/>
              <w:bidi w:val="0"/>
              <w:adjustRightInd/>
              <w:snapToGrid/>
              <w:spacing w:line="312" w:lineRule="auto"/>
              <w:ind w:right="6"/>
              <w:jc w:val="center"/>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条款号</w:t>
            </w:r>
          </w:p>
        </w:tc>
        <w:tc>
          <w:tcPr>
            <w:tcW w:w="2470" w:type="dxa"/>
            <w:gridSpan w:val="2"/>
            <w:noWrap w:val="0"/>
            <w:tcMar>
              <w:top w:w="0" w:type="dxa"/>
              <w:left w:w="57" w:type="dxa"/>
              <w:bottom w:w="0" w:type="dxa"/>
              <w:right w:w="57" w:type="dxa"/>
            </w:tcMar>
            <w:vAlign w:val="center"/>
          </w:tcPr>
          <w:p w14:paraId="2C52D7F3">
            <w:pPr>
              <w:keepNext w:val="0"/>
              <w:keepLines w:val="0"/>
              <w:pageBreakBefore w:val="0"/>
              <w:kinsoku/>
              <w:wordWrap/>
              <w:overflowPunct/>
              <w:topLinePunct w:val="0"/>
              <w:autoSpaceDE w:val="0"/>
              <w:autoSpaceDN w:val="0"/>
              <w:bidi w:val="0"/>
              <w:adjustRightInd/>
              <w:snapToGrid/>
              <w:spacing w:line="312" w:lineRule="auto"/>
              <w:ind w:left="154" w:leftChars="64" w:right="84" w:rightChars="35"/>
              <w:jc w:val="center"/>
              <w:textAlignment w:val="auto"/>
              <w:rPr>
                <w:rFonts w:hint="eastAsia" w:ascii="宋体" w:hAnsi="宋体" w:eastAsia="宋体" w:cs="宋体"/>
                <w:b/>
                <w:bCs/>
                <w:kern w:val="2"/>
                <w:positio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评分因素</w:t>
            </w:r>
          </w:p>
        </w:tc>
        <w:tc>
          <w:tcPr>
            <w:tcW w:w="5075" w:type="dxa"/>
            <w:noWrap w:val="0"/>
            <w:vAlign w:val="center"/>
          </w:tcPr>
          <w:p w14:paraId="38EF1A8B">
            <w:pPr>
              <w:keepNext w:val="0"/>
              <w:keepLines w:val="0"/>
              <w:pageBreakBefore w:val="0"/>
              <w:kinsoku/>
              <w:wordWrap/>
              <w:overflowPunct/>
              <w:topLinePunct w:val="0"/>
              <w:autoSpaceDE w:val="0"/>
              <w:autoSpaceDN w:val="0"/>
              <w:bidi w:val="0"/>
              <w:adjustRightInd/>
              <w:snapToGrid/>
              <w:spacing w:line="312" w:lineRule="auto"/>
              <w:ind w:left="77" w:leftChars="32" w:right="86" w:rightChars="36"/>
              <w:jc w:val="center"/>
              <w:textAlignment w:val="auto"/>
              <w:rPr>
                <w:rFonts w:hint="default" w:ascii="宋体" w:hAnsi="宋体" w:eastAsia="宋体" w:cs="宋体"/>
                <w:b/>
                <w:bCs/>
                <w:color w:val="00000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评分标准</w:t>
            </w:r>
          </w:p>
        </w:tc>
      </w:tr>
      <w:tr w14:paraId="5142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restart"/>
            <w:noWrap w:val="0"/>
            <w:tcMar>
              <w:top w:w="0" w:type="dxa"/>
              <w:left w:w="57" w:type="dxa"/>
              <w:bottom w:w="0" w:type="dxa"/>
              <w:right w:w="57" w:type="dxa"/>
            </w:tcMar>
            <w:vAlign w:val="center"/>
          </w:tcPr>
          <w:p w14:paraId="5B7CD5DB">
            <w:pPr>
              <w:keepNext w:val="0"/>
              <w:keepLines w:val="0"/>
              <w:pageBreakBefore w:val="0"/>
              <w:kinsoku/>
              <w:wordWrap/>
              <w:overflowPunct/>
              <w:topLinePunct w:val="0"/>
              <w:autoSpaceDE w:val="0"/>
              <w:autoSpaceDN w:val="0"/>
              <w:bidi w:val="0"/>
              <w:adjustRightInd/>
              <w:snapToGrid/>
              <w:spacing w:line="312" w:lineRule="auto"/>
              <w:ind w:right="-20"/>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2.2.4</w:t>
            </w:r>
          </w:p>
          <w:p w14:paraId="3C3F28C3">
            <w:pPr>
              <w:keepNext w:val="0"/>
              <w:keepLines w:val="0"/>
              <w:pageBreakBefore w:val="0"/>
              <w:kinsoku/>
              <w:wordWrap/>
              <w:overflowPunct/>
              <w:topLinePunct w:val="0"/>
              <w:autoSpaceDE w:val="0"/>
              <w:autoSpaceDN w:val="0"/>
              <w:bidi w:val="0"/>
              <w:adjustRightInd/>
              <w:snapToGrid/>
              <w:spacing w:before="88" w:line="312" w:lineRule="auto"/>
              <w:ind w:right="-20"/>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1096" w:type="dxa"/>
            <w:vMerge w:val="restart"/>
            <w:noWrap w:val="0"/>
            <w:tcMar>
              <w:top w:w="0" w:type="dxa"/>
              <w:left w:w="57" w:type="dxa"/>
              <w:bottom w:w="0" w:type="dxa"/>
              <w:right w:w="57" w:type="dxa"/>
            </w:tcMar>
            <w:vAlign w:val="center"/>
          </w:tcPr>
          <w:p w14:paraId="18B3BF2C">
            <w:pPr>
              <w:keepNext w:val="0"/>
              <w:keepLines w:val="0"/>
              <w:pageBreakBefore w:val="0"/>
              <w:kinsoku/>
              <w:wordWrap/>
              <w:overflowPunct/>
              <w:topLinePunct w:val="0"/>
              <w:autoSpaceDE w:val="0"/>
              <w:autoSpaceDN w:val="0"/>
              <w:bidi w:val="0"/>
              <w:adjustRightInd/>
              <w:snapToGrid/>
              <w:spacing w:line="312" w:lineRule="auto"/>
              <w:ind w:right="6"/>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资信</w:t>
            </w:r>
          </w:p>
          <w:p w14:paraId="0D96DBD7">
            <w:pPr>
              <w:keepNext w:val="0"/>
              <w:keepLines w:val="0"/>
              <w:pageBreakBefore w:val="0"/>
              <w:kinsoku/>
              <w:wordWrap/>
              <w:overflowPunct/>
              <w:topLinePunct w:val="0"/>
              <w:autoSpaceDE w:val="0"/>
              <w:autoSpaceDN w:val="0"/>
              <w:bidi w:val="0"/>
              <w:adjustRightInd/>
              <w:snapToGrid/>
              <w:spacing w:line="312" w:lineRule="auto"/>
              <w:ind w:right="6"/>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业</w:t>
            </w:r>
            <w:r>
              <w:rPr>
                <w:rFonts w:hint="eastAsia" w:ascii="宋体" w:hAnsi="宋体" w:eastAsia="宋体" w:cs="宋体"/>
                <w:kern w:val="2"/>
                <w:sz w:val="24"/>
                <w:szCs w:val="24"/>
                <w:highlight w:val="none"/>
                <w:lang w:val="en-US" w:eastAsia="zh-CN" w:bidi="ar-SA"/>
              </w:rPr>
              <w:t>绩</w:t>
            </w:r>
          </w:p>
          <w:p w14:paraId="371091EA">
            <w:pPr>
              <w:keepNext w:val="0"/>
              <w:keepLines w:val="0"/>
              <w:pageBreakBefore w:val="0"/>
              <w:kinsoku/>
              <w:wordWrap/>
              <w:overflowPunct/>
              <w:topLinePunct w:val="0"/>
              <w:autoSpaceDE w:val="0"/>
              <w:autoSpaceDN w:val="0"/>
              <w:bidi w:val="0"/>
              <w:adjustRightInd/>
              <w:snapToGrid/>
              <w:spacing w:line="312" w:lineRule="auto"/>
              <w:ind w:right="6"/>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评分</w:t>
            </w:r>
          </w:p>
          <w:p w14:paraId="6EE240C3">
            <w:pPr>
              <w:keepNext w:val="0"/>
              <w:keepLines w:val="0"/>
              <w:pageBreakBefore w:val="0"/>
              <w:kinsoku/>
              <w:wordWrap/>
              <w:overflowPunct/>
              <w:topLinePunct w:val="0"/>
              <w:autoSpaceDE w:val="0"/>
              <w:autoSpaceDN w:val="0"/>
              <w:bidi w:val="0"/>
              <w:adjustRightInd/>
              <w:snapToGrid/>
              <w:spacing w:line="312" w:lineRule="auto"/>
              <w:ind w:right="6"/>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标</w:t>
            </w:r>
            <w:r>
              <w:rPr>
                <w:rFonts w:hint="eastAsia" w:ascii="宋体" w:hAnsi="宋体" w:eastAsia="宋体" w:cs="宋体"/>
                <w:kern w:val="2"/>
                <w:sz w:val="24"/>
                <w:szCs w:val="24"/>
                <w:highlight w:val="none"/>
                <w:lang w:val="en-US" w:eastAsia="zh-CN" w:bidi="ar-SA"/>
              </w:rPr>
              <w:t>准</w:t>
            </w:r>
          </w:p>
          <w:p w14:paraId="5E8C85C5">
            <w:pPr>
              <w:keepNext w:val="0"/>
              <w:keepLines w:val="0"/>
              <w:pageBreakBefore w:val="0"/>
              <w:kinsoku/>
              <w:wordWrap/>
              <w:overflowPunct/>
              <w:topLinePunct w:val="0"/>
              <w:autoSpaceDE w:val="0"/>
              <w:autoSpaceDN w:val="0"/>
              <w:bidi w:val="0"/>
              <w:adjustRightInd/>
              <w:snapToGrid/>
              <w:spacing w:line="312" w:lineRule="auto"/>
              <w:ind w:right="6"/>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35</w:t>
            </w:r>
            <w:r>
              <w:rPr>
                <w:rFonts w:hint="eastAsia" w:ascii="宋体" w:hAnsi="宋体" w:eastAsia="宋体" w:cs="宋体"/>
                <w:kern w:val="2"/>
                <w:sz w:val="24"/>
                <w:szCs w:val="24"/>
                <w:highlight w:val="none"/>
                <w:lang w:val="en-US" w:eastAsia="zh-CN" w:bidi="ar-SA"/>
              </w:rPr>
              <w:t>分）</w:t>
            </w:r>
          </w:p>
        </w:tc>
        <w:tc>
          <w:tcPr>
            <w:tcW w:w="1056" w:type="dxa"/>
            <w:vMerge w:val="restart"/>
            <w:noWrap w:val="0"/>
            <w:tcMar>
              <w:top w:w="0" w:type="dxa"/>
              <w:left w:w="57" w:type="dxa"/>
              <w:bottom w:w="0" w:type="dxa"/>
              <w:right w:w="57" w:type="dxa"/>
            </w:tcMar>
            <w:vAlign w:val="center"/>
          </w:tcPr>
          <w:p w14:paraId="5E74D69F">
            <w:pPr>
              <w:adjustRightInd/>
              <w:spacing w:line="312" w:lineRule="auto"/>
              <w:ind w:left="154" w:leftChars="64" w:right="84" w:rightChars="35"/>
              <w:jc w:val="center"/>
              <w:rPr>
                <w:rFonts w:hint="default" w:ascii="宋体" w:hAnsi="宋体" w:eastAsia="宋体" w:cs="宋体"/>
                <w:kern w:val="2"/>
                <w:sz w:val="24"/>
                <w:szCs w:val="24"/>
                <w:highlight w:val="none"/>
                <w:lang w:val="en-US" w:eastAsia="zh-CN" w:bidi="ar-SA"/>
              </w:rPr>
            </w:pPr>
            <w:r>
              <w:rPr>
                <w:rFonts w:hint="eastAsia" w:ascii="宋体" w:hAnsi="宋体" w:cs="宋体"/>
                <w:kern w:val="2"/>
                <w:position w:val="-2"/>
                <w:highlight w:val="none"/>
              </w:rPr>
              <w:t>监理业绩（</w:t>
            </w:r>
            <w:r>
              <w:rPr>
                <w:rFonts w:ascii="宋体" w:hAnsi="宋体" w:cs="宋体"/>
                <w:kern w:val="2"/>
                <w:position w:val="-2"/>
                <w:highlight w:val="none"/>
              </w:rPr>
              <w:t>8</w:t>
            </w:r>
            <w:r>
              <w:rPr>
                <w:rFonts w:hint="eastAsia" w:ascii="宋体" w:hAnsi="宋体" w:cs="宋体"/>
                <w:kern w:val="2"/>
                <w:position w:val="-2"/>
                <w:highlight w:val="none"/>
              </w:rPr>
              <w:t>分）</w:t>
            </w:r>
          </w:p>
        </w:tc>
        <w:tc>
          <w:tcPr>
            <w:tcW w:w="1414" w:type="dxa"/>
            <w:noWrap w:val="0"/>
            <w:tcMar>
              <w:top w:w="0" w:type="dxa"/>
              <w:left w:w="57" w:type="dxa"/>
              <w:bottom w:w="0" w:type="dxa"/>
              <w:right w:w="57" w:type="dxa"/>
            </w:tcMar>
            <w:vAlign w:val="center"/>
          </w:tcPr>
          <w:p w14:paraId="62EC9D39">
            <w:pPr>
              <w:bidi/>
              <w:adjustRightInd/>
              <w:spacing w:line="240" w:lineRule="auto"/>
              <w:ind w:left="0" w:leftChars="0" w:right="0" w:rightChars="0" w:firstLine="0" w:firstLineChars="0"/>
              <w:jc w:val="right"/>
              <w:rPr>
                <w:rFonts w:ascii="宋体" w:hAnsi="宋体" w:cs="宋体"/>
                <w:kern w:val="2"/>
                <w:position w:val="-2"/>
                <w:highlight w:val="none"/>
              </w:rPr>
            </w:pPr>
            <w:r>
              <w:rPr>
                <w:rFonts w:hint="eastAsia" w:ascii="宋体" w:hAnsi="宋体" w:cs="宋体"/>
                <w:kern w:val="2"/>
                <w:position w:val="-2"/>
                <w:highlight w:val="none"/>
              </w:rPr>
              <w:t>类似工程监理业绩</w:t>
            </w:r>
          </w:p>
          <w:p w14:paraId="382F5C46">
            <w:pPr>
              <w:bidi/>
              <w:spacing w:line="240" w:lineRule="auto"/>
              <w:ind w:firstLine="0" w:firstLineChars="0"/>
              <w:jc w:val="right"/>
              <w:rPr>
                <w:highlight w:val="none"/>
              </w:rPr>
            </w:pPr>
            <w:r>
              <w:rPr>
                <w:rFonts w:hint="eastAsia" w:ascii="宋体" w:hAnsi="宋体" w:cs="宋体"/>
                <w:kern w:val="2"/>
                <w:position w:val="-2"/>
                <w:highlight w:val="none"/>
              </w:rPr>
              <w:t>（</w:t>
            </w:r>
            <w:r>
              <w:rPr>
                <w:rFonts w:ascii="宋体" w:hAnsi="宋体" w:cs="宋体"/>
                <w:kern w:val="2"/>
                <w:position w:val="-2"/>
                <w:highlight w:val="none"/>
              </w:rPr>
              <w:t>4</w:t>
            </w:r>
            <w:r>
              <w:rPr>
                <w:rFonts w:hint="eastAsia" w:ascii="宋体" w:hAnsi="宋体" w:cs="宋体"/>
                <w:kern w:val="2"/>
                <w:position w:val="-2"/>
                <w:highlight w:val="none"/>
              </w:rPr>
              <w:t>分）</w:t>
            </w:r>
          </w:p>
          <w:p w14:paraId="003549F0">
            <w:pPr>
              <w:adjustRightInd/>
              <w:spacing w:line="312" w:lineRule="auto"/>
              <w:ind w:left="154" w:leftChars="64" w:right="84" w:rightChars="35"/>
              <w:jc w:val="center"/>
              <w:rPr>
                <w:rFonts w:hint="default" w:ascii="宋体" w:hAnsi="宋体" w:eastAsia="宋体" w:cs="宋体"/>
                <w:kern w:val="2"/>
                <w:sz w:val="24"/>
                <w:szCs w:val="24"/>
                <w:highlight w:val="none"/>
                <w:lang w:val="en-US" w:eastAsia="zh-CN" w:bidi="ar-SA"/>
              </w:rPr>
            </w:pPr>
          </w:p>
        </w:tc>
        <w:tc>
          <w:tcPr>
            <w:tcW w:w="5075" w:type="dxa"/>
            <w:noWrap w:val="0"/>
            <w:vAlign w:val="center"/>
          </w:tcPr>
          <w:p w14:paraId="42DCEA0C">
            <w:pPr>
              <w:adjustRightInd/>
              <w:spacing w:line="312" w:lineRule="auto"/>
              <w:ind w:left="77" w:leftChars="32" w:right="86" w:rightChars="36"/>
              <w:jc w:val="both"/>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highlight w:val="none"/>
              </w:rPr>
              <w:t>投标人（若为联合体投标，指联合体主办方）自20</w:t>
            </w:r>
            <w:r>
              <w:rPr>
                <w:rFonts w:ascii="宋体" w:hAnsi="宋体" w:cs="宋体"/>
                <w:color w:val="000000"/>
                <w:kern w:val="2"/>
                <w:highlight w:val="none"/>
              </w:rPr>
              <w:t>2</w:t>
            </w:r>
            <w:r>
              <w:rPr>
                <w:rFonts w:hint="eastAsia" w:ascii="宋体" w:hAnsi="宋体" w:cs="宋体"/>
                <w:color w:val="000000"/>
                <w:kern w:val="2"/>
                <w:highlight w:val="none"/>
              </w:rPr>
              <w:t>2年6月1日至今，投标人独立完成过质量合格的类似工程监理业绩的，每项得</w:t>
            </w:r>
            <w:r>
              <w:rPr>
                <w:rFonts w:ascii="宋体" w:hAnsi="宋体" w:cs="宋体"/>
                <w:color w:val="000000"/>
                <w:kern w:val="2"/>
                <w:highlight w:val="none"/>
              </w:rPr>
              <w:t>0.5</w:t>
            </w:r>
            <w:r>
              <w:rPr>
                <w:rFonts w:hint="eastAsia" w:ascii="宋体" w:hAnsi="宋体" w:cs="宋体"/>
                <w:color w:val="000000"/>
                <w:kern w:val="2"/>
                <w:highlight w:val="none"/>
              </w:rPr>
              <w:t>分，最高得</w:t>
            </w:r>
            <w:r>
              <w:rPr>
                <w:rFonts w:ascii="宋体" w:hAnsi="宋体" w:cs="宋体"/>
                <w:color w:val="000000"/>
                <w:kern w:val="2"/>
                <w:highlight w:val="none"/>
              </w:rPr>
              <w:t>4</w:t>
            </w:r>
            <w:r>
              <w:rPr>
                <w:rFonts w:hint="eastAsia" w:ascii="宋体" w:hAnsi="宋体" w:cs="宋体"/>
                <w:color w:val="000000"/>
                <w:kern w:val="2"/>
                <w:highlight w:val="none"/>
              </w:rPr>
              <w:t>分。</w:t>
            </w:r>
          </w:p>
        </w:tc>
      </w:tr>
      <w:tr w14:paraId="05B0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noWrap w:val="0"/>
            <w:tcMar>
              <w:top w:w="0" w:type="dxa"/>
              <w:left w:w="57" w:type="dxa"/>
              <w:bottom w:w="0" w:type="dxa"/>
              <w:right w:w="57" w:type="dxa"/>
            </w:tcMar>
            <w:vAlign w:val="center"/>
          </w:tcPr>
          <w:p w14:paraId="4930C95D">
            <w:pPr>
              <w:keepNext w:val="0"/>
              <w:keepLines w:val="0"/>
              <w:pageBreakBefore w:val="0"/>
              <w:kinsoku/>
              <w:wordWrap/>
              <w:overflowPunct/>
              <w:topLinePunct w:val="0"/>
              <w:autoSpaceDE w:val="0"/>
              <w:autoSpaceDN w:val="0"/>
              <w:bidi w:val="0"/>
              <w:adjustRightInd/>
              <w:snapToGrid/>
              <w:spacing w:line="312" w:lineRule="auto"/>
              <w:ind w:right="-20"/>
              <w:jc w:val="center"/>
              <w:textAlignment w:val="auto"/>
              <w:rPr>
                <w:rFonts w:hint="default" w:ascii="宋体" w:hAnsi="宋体" w:eastAsia="宋体" w:cs="宋体"/>
                <w:kern w:val="2"/>
                <w:sz w:val="24"/>
                <w:szCs w:val="24"/>
                <w:highlight w:val="none"/>
                <w:lang w:val="en-US" w:eastAsia="zh-CN" w:bidi="ar-SA"/>
              </w:rPr>
            </w:pPr>
          </w:p>
        </w:tc>
        <w:tc>
          <w:tcPr>
            <w:tcW w:w="1096" w:type="dxa"/>
            <w:vMerge w:val="continue"/>
            <w:noWrap w:val="0"/>
            <w:tcMar>
              <w:top w:w="0" w:type="dxa"/>
              <w:left w:w="57" w:type="dxa"/>
              <w:bottom w:w="0" w:type="dxa"/>
              <w:right w:w="57" w:type="dxa"/>
            </w:tcMar>
            <w:vAlign w:val="center"/>
          </w:tcPr>
          <w:p w14:paraId="43BC3043">
            <w:pPr>
              <w:keepNext w:val="0"/>
              <w:keepLines w:val="0"/>
              <w:pageBreakBefore w:val="0"/>
              <w:kinsoku/>
              <w:wordWrap/>
              <w:overflowPunct/>
              <w:topLinePunct w:val="0"/>
              <w:autoSpaceDE w:val="0"/>
              <w:autoSpaceDN w:val="0"/>
              <w:bidi w:val="0"/>
              <w:adjustRightInd/>
              <w:snapToGrid/>
              <w:spacing w:line="312" w:lineRule="auto"/>
              <w:ind w:right="6"/>
              <w:jc w:val="center"/>
              <w:textAlignment w:val="auto"/>
              <w:rPr>
                <w:rFonts w:hint="default" w:ascii="宋体" w:hAnsi="宋体" w:eastAsia="宋体" w:cs="宋体"/>
                <w:kern w:val="2"/>
                <w:sz w:val="24"/>
                <w:szCs w:val="24"/>
                <w:highlight w:val="none"/>
                <w:lang w:val="en-US" w:eastAsia="zh-CN" w:bidi="ar-SA"/>
              </w:rPr>
            </w:pPr>
          </w:p>
        </w:tc>
        <w:tc>
          <w:tcPr>
            <w:tcW w:w="1056" w:type="dxa"/>
            <w:vMerge w:val="continue"/>
            <w:noWrap w:val="0"/>
            <w:tcMar>
              <w:top w:w="0" w:type="dxa"/>
              <w:left w:w="57" w:type="dxa"/>
              <w:bottom w:w="0" w:type="dxa"/>
              <w:right w:w="57" w:type="dxa"/>
            </w:tcMar>
            <w:vAlign w:val="center"/>
          </w:tcPr>
          <w:p w14:paraId="0E677D3B">
            <w:pPr>
              <w:widowControl/>
              <w:autoSpaceDE/>
              <w:autoSpaceDN/>
              <w:adjustRightInd/>
              <w:spacing w:line="312" w:lineRule="auto"/>
              <w:rPr>
                <w:rFonts w:hint="default" w:ascii="宋体" w:hAnsi="宋体" w:eastAsia="宋体" w:cs="宋体"/>
                <w:kern w:val="2"/>
                <w:sz w:val="24"/>
                <w:szCs w:val="24"/>
                <w:highlight w:val="none"/>
                <w:lang w:val="en-US" w:eastAsia="zh-CN" w:bidi="ar-SA"/>
              </w:rPr>
            </w:pPr>
          </w:p>
        </w:tc>
        <w:tc>
          <w:tcPr>
            <w:tcW w:w="1414" w:type="dxa"/>
            <w:noWrap w:val="0"/>
            <w:tcMar>
              <w:top w:w="0" w:type="dxa"/>
              <w:left w:w="57" w:type="dxa"/>
              <w:bottom w:w="0" w:type="dxa"/>
              <w:right w:w="57" w:type="dxa"/>
            </w:tcMar>
            <w:vAlign w:val="center"/>
          </w:tcPr>
          <w:p w14:paraId="155D52A3">
            <w:pPr>
              <w:adjustRightInd/>
              <w:spacing w:line="312" w:lineRule="auto"/>
              <w:ind w:left="154" w:leftChars="64" w:right="84" w:rightChars="35"/>
              <w:jc w:val="center"/>
              <w:rPr>
                <w:rFonts w:hint="eastAsia" w:ascii="宋体" w:hAnsi="宋体" w:cs="宋体"/>
                <w:kern w:val="2"/>
                <w:position w:val="-2"/>
                <w:highlight w:val="none"/>
              </w:rPr>
            </w:pPr>
            <w:r>
              <w:rPr>
                <w:rFonts w:hint="eastAsia" w:ascii="宋体" w:hAnsi="宋体" w:cs="宋体"/>
                <w:kern w:val="2"/>
                <w:position w:val="-2"/>
                <w:highlight w:val="none"/>
              </w:rPr>
              <w:t>获奖监理业绩</w:t>
            </w:r>
          </w:p>
          <w:p w14:paraId="5CD45E51">
            <w:pPr>
              <w:adjustRightInd/>
              <w:spacing w:line="312" w:lineRule="auto"/>
              <w:ind w:left="154" w:leftChars="64" w:right="84" w:rightChars="35"/>
              <w:jc w:val="center"/>
              <w:rPr>
                <w:highlight w:val="none"/>
              </w:rPr>
            </w:pPr>
            <w:r>
              <w:rPr>
                <w:rFonts w:hint="eastAsia" w:ascii="宋体" w:hAnsi="宋体" w:cs="宋体"/>
                <w:kern w:val="2"/>
                <w:position w:val="-2"/>
                <w:highlight w:val="none"/>
              </w:rPr>
              <w:t>（</w:t>
            </w:r>
            <w:r>
              <w:rPr>
                <w:rFonts w:ascii="宋体" w:hAnsi="宋体" w:cs="宋体"/>
                <w:kern w:val="2"/>
                <w:position w:val="-2"/>
                <w:highlight w:val="none"/>
              </w:rPr>
              <w:t>4</w:t>
            </w:r>
            <w:r>
              <w:rPr>
                <w:rFonts w:hint="eastAsia" w:ascii="宋体" w:hAnsi="宋体" w:cs="宋体"/>
                <w:kern w:val="2"/>
                <w:position w:val="-2"/>
                <w:highlight w:val="none"/>
              </w:rPr>
              <w:t>分）</w:t>
            </w:r>
          </w:p>
          <w:p w14:paraId="79CB2FEB">
            <w:pPr>
              <w:adjustRightInd/>
              <w:spacing w:line="312" w:lineRule="auto"/>
              <w:ind w:left="154" w:leftChars="64" w:right="84" w:rightChars="35"/>
              <w:jc w:val="center"/>
              <w:rPr>
                <w:rFonts w:hint="eastAsia" w:ascii="宋体" w:hAnsi="宋体" w:eastAsia="宋体" w:cs="宋体"/>
                <w:kern w:val="2"/>
                <w:position w:val="-2"/>
                <w:sz w:val="24"/>
                <w:szCs w:val="24"/>
                <w:highlight w:val="none"/>
                <w:lang w:val="en-US" w:eastAsia="zh-CN" w:bidi="ar-SA"/>
              </w:rPr>
            </w:pPr>
          </w:p>
        </w:tc>
        <w:tc>
          <w:tcPr>
            <w:tcW w:w="5075" w:type="dxa"/>
            <w:noWrap w:val="0"/>
            <w:vAlign w:val="center"/>
          </w:tcPr>
          <w:p w14:paraId="55C636F7">
            <w:pPr>
              <w:adjustRightInd/>
              <w:spacing w:line="312" w:lineRule="auto"/>
              <w:ind w:left="77" w:leftChars="32" w:right="86" w:rightChars="36"/>
              <w:jc w:val="both"/>
              <w:rPr>
                <w:rFonts w:ascii="宋体" w:hAnsi="宋体" w:cs="宋体"/>
                <w:kern w:val="2"/>
                <w:highlight w:val="none"/>
              </w:rPr>
            </w:pPr>
            <w:r>
              <w:rPr>
                <w:rFonts w:hint="eastAsia" w:ascii="宋体" w:hAnsi="宋体" w:cs="宋体"/>
                <w:kern w:val="2"/>
                <w:highlight w:val="none"/>
              </w:rPr>
              <w:t>投标人</w:t>
            </w:r>
            <w:r>
              <w:rPr>
                <w:rFonts w:hint="eastAsia" w:ascii="宋体" w:hAnsi="宋体" w:cs="宋体"/>
                <w:color w:val="000000"/>
                <w:kern w:val="2"/>
                <w:highlight w:val="none"/>
              </w:rPr>
              <w:t>（若为联合体投标，指联合体主办方）自</w:t>
            </w:r>
            <w:r>
              <w:rPr>
                <w:rFonts w:hint="eastAsia" w:ascii="宋体" w:hAnsi="宋体" w:cs="宋体"/>
                <w:kern w:val="2"/>
                <w:highlight w:val="none"/>
              </w:rPr>
              <w:t>20</w:t>
            </w:r>
            <w:r>
              <w:rPr>
                <w:rFonts w:ascii="宋体" w:hAnsi="宋体" w:cs="宋体"/>
                <w:kern w:val="2"/>
                <w:highlight w:val="none"/>
              </w:rPr>
              <w:t>2</w:t>
            </w:r>
            <w:r>
              <w:rPr>
                <w:rFonts w:hint="eastAsia" w:ascii="宋体" w:hAnsi="宋体" w:cs="宋体"/>
                <w:kern w:val="2"/>
                <w:highlight w:val="none"/>
              </w:rPr>
              <w:t>2年6月1日至今完成过质量合格的类似工程监理项目：</w:t>
            </w:r>
          </w:p>
          <w:p w14:paraId="25B8B5CD">
            <w:pPr>
              <w:adjustRightInd/>
              <w:spacing w:line="312" w:lineRule="auto"/>
              <w:ind w:left="77" w:leftChars="32" w:right="86" w:rightChars="36"/>
              <w:jc w:val="both"/>
              <w:rPr>
                <w:rFonts w:ascii="宋体" w:hAnsi="宋体" w:cs="宋体"/>
                <w:kern w:val="2"/>
                <w:highlight w:val="none"/>
              </w:rPr>
            </w:pPr>
            <w:r>
              <w:rPr>
                <w:rFonts w:hint="eastAsia" w:ascii="宋体" w:hAnsi="宋体" w:cs="宋体"/>
                <w:kern w:val="2"/>
                <w:highlight w:val="none"/>
              </w:rPr>
              <w:t>获得国家级奖项的，每项得</w:t>
            </w:r>
            <w:r>
              <w:rPr>
                <w:rFonts w:ascii="宋体" w:hAnsi="宋体" w:cs="宋体"/>
                <w:kern w:val="2"/>
                <w:highlight w:val="none"/>
              </w:rPr>
              <w:t>2</w:t>
            </w:r>
            <w:r>
              <w:rPr>
                <w:rFonts w:hint="eastAsia" w:ascii="宋体" w:hAnsi="宋体" w:cs="宋体"/>
                <w:kern w:val="2"/>
                <w:highlight w:val="none"/>
              </w:rPr>
              <w:t>分；</w:t>
            </w:r>
          </w:p>
          <w:p w14:paraId="36E60282">
            <w:pPr>
              <w:adjustRightInd/>
              <w:spacing w:line="312" w:lineRule="auto"/>
              <w:ind w:left="77" w:leftChars="32" w:right="86" w:rightChars="36"/>
              <w:jc w:val="both"/>
              <w:rPr>
                <w:rFonts w:ascii="宋体" w:hAnsi="宋体" w:cs="宋体"/>
                <w:kern w:val="2"/>
                <w:highlight w:val="none"/>
              </w:rPr>
            </w:pPr>
            <w:r>
              <w:rPr>
                <w:rFonts w:hint="eastAsia" w:ascii="宋体" w:hAnsi="宋体" w:cs="宋体"/>
                <w:kern w:val="2"/>
                <w:highlight w:val="none"/>
              </w:rPr>
              <w:t>获得省级奖项的，每项得1分；</w:t>
            </w:r>
          </w:p>
          <w:p w14:paraId="34349BCC">
            <w:pPr>
              <w:adjustRightInd/>
              <w:spacing w:line="312" w:lineRule="auto"/>
              <w:ind w:left="77" w:leftChars="32" w:right="86" w:rightChars="36"/>
              <w:jc w:val="both"/>
              <w:rPr>
                <w:rFonts w:ascii="宋体" w:hAnsi="宋体" w:cs="宋体"/>
                <w:kern w:val="2"/>
                <w:highlight w:val="none"/>
              </w:rPr>
            </w:pPr>
            <w:r>
              <w:rPr>
                <w:rFonts w:hint="eastAsia" w:ascii="宋体" w:hAnsi="宋体" w:cs="宋体"/>
                <w:kern w:val="2"/>
                <w:highlight w:val="none"/>
              </w:rPr>
              <w:t>获得市级奖项的，每项得0.5分；</w:t>
            </w:r>
          </w:p>
          <w:p w14:paraId="13D978EC">
            <w:pPr>
              <w:adjustRightInd/>
              <w:spacing w:line="312" w:lineRule="auto"/>
              <w:ind w:left="77" w:leftChars="32" w:right="86" w:rightChars="36"/>
              <w:jc w:val="both"/>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本项最多得</w:t>
            </w:r>
            <w:r>
              <w:rPr>
                <w:rFonts w:hint="eastAsia" w:ascii="宋体" w:hAnsi="宋体" w:cs="宋体"/>
                <w:kern w:val="2"/>
                <w:highlight w:val="none"/>
                <w:lang w:val="en-US" w:eastAsia="zh-CN"/>
              </w:rPr>
              <w:t>4</w:t>
            </w:r>
            <w:r>
              <w:rPr>
                <w:rFonts w:hint="eastAsia" w:ascii="宋体" w:hAnsi="宋体" w:cs="宋体"/>
                <w:kern w:val="2"/>
                <w:highlight w:val="none"/>
              </w:rPr>
              <w:t>分。</w:t>
            </w:r>
          </w:p>
        </w:tc>
      </w:tr>
      <w:tr w14:paraId="0F4A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noWrap w:val="0"/>
            <w:tcMar>
              <w:top w:w="0" w:type="dxa"/>
              <w:left w:w="57" w:type="dxa"/>
              <w:bottom w:w="0" w:type="dxa"/>
              <w:right w:w="57" w:type="dxa"/>
            </w:tcMar>
            <w:vAlign w:val="center"/>
          </w:tcPr>
          <w:p w14:paraId="1DEE9684">
            <w:pPr>
              <w:keepNext w:val="0"/>
              <w:keepLines w:val="0"/>
              <w:pageBreakBefore w:val="0"/>
              <w:kinsoku/>
              <w:wordWrap/>
              <w:overflowPunct/>
              <w:topLinePunct w:val="0"/>
              <w:autoSpaceDE w:val="0"/>
              <w:autoSpaceDN w:val="0"/>
              <w:bidi w:val="0"/>
              <w:adjustRightInd/>
              <w:snapToGrid/>
              <w:spacing w:line="312" w:lineRule="auto"/>
              <w:ind w:right="-20"/>
              <w:jc w:val="center"/>
              <w:textAlignment w:val="auto"/>
              <w:rPr>
                <w:rFonts w:hint="default" w:ascii="宋体" w:hAnsi="宋体" w:eastAsia="宋体" w:cs="宋体"/>
                <w:kern w:val="2"/>
                <w:sz w:val="24"/>
                <w:szCs w:val="24"/>
                <w:highlight w:val="none"/>
                <w:lang w:val="en-US" w:eastAsia="zh-CN" w:bidi="ar-SA"/>
              </w:rPr>
            </w:pPr>
          </w:p>
        </w:tc>
        <w:tc>
          <w:tcPr>
            <w:tcW w:w="1096" w:type="dxa"/>
            <w:vMerge w:val="continue"/>
            <w:noWrap w:val="0"/>
            <w:tcMar>
              <w:top w:w="0" w:type="dxa"/>
              <w:left w:w="57" w:type="dxa"/>
              <w:bottom w:w="0" w:type="dxa"/>
              <w:right w:w="57" w:type="dxa"/>
            </w:tcMar>
            <w:vAlign w:val="center"/>
          </w:tcPr>
          <w:p w14:paraId="5B3BDA1B">
            <w:pPr>
              <w:keepNext w:val="0"/>
              <w:keepLines w:val="0"/>
              <w:pageBreakBefore w:val="0"/>
              <w:kinsoku/>
              <w:wordWrap/>
              <w:overflowPunct/>
              <w:topLinePunct w:val="0"/>
              <w:autoSpaceDE w:val="0"/>
              <w:autoSpaceDN w:val="0"/>
              <w:bidi w:val="0"/>
              <w:adjustRightInd/>
              <w:snapToGrid/>
              <w:spacing w:line="312" w:lineRule="auto"/>
              <w:ind w:right="6"/>
              <w:jc w:val="center"/>
              <w:textAlignment w:val="auto"/>
              <w:rPr>
                <w:rFonts w:hint="default" w:ascii="宋体" w:hAnsi="宋体" w:eastAsia="宋体" w:cs="宋体"/>
                <w:kern w:val="2"/>
                <w:sz w:val="24"/>
                <w:szCs w:val="24"/>
                <w:highlight w:val="none"/>
                <w:lang w:val="en-US" w:eastAsia="zh-CN" w:bidi="ar-SA"/>
              </w:rPr>
            </w:pPr>
          </w:p>
        </w:tc>
        <w:tc>
          <w:tcPr>
            <w:tcW w:w="2470" w:type="dxa"/>
            <w:gridSpan w:val="2"/>
            <w:noWrap w:val="0"/>
            <w:tcMar>
              <w:top w:w="0" w:type="dxa"/>
              <w:left w:w="57" w:type="dxa"/>
              <w:bottom w:w="0" w:type="dxa"/>
              <w:right w:w="57" w:type="dxa"/>
            </w:tcMar>
            <w:vAlign w:val="center"/>
          </w:tcPr>
          <w:p w14:paraId="06C90A09">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总监理工程师</w:t>
            </w:r>
          </w:p>
          <w:p w14:paraId="1FD5A7DD">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w:t>
            </w:r>
          </w:p>
        </w:tc>
        <w:tc>
          <w:tcPr>
            <w:tcW w:w="5075" w:type="dxa"/>
            <w:noWrap w:val="0"/>
            <w:vAlign w:val="center"/>
          </w:tcPr>
          <w:p w14:paraId="27723718">
            <w:pPr>
              <w:keepNext w:val="0"/>
              <w:keepLines w:val="0"/>
              <w:pageBreakBefore w:val="0"/>
              <w:kinsoku/>
              <w:wordWrap/>
              <w:overflowPunct/>
              <w:topLinePunct w:val="0"/>
              <w:autoSpaceDE/>
              <w:autoSpaceDN/>
              <w:bidi w:val="0"/>
              <w:adjustRightInd/>
              <w:snapToGrid/>
              <w:spacing w:line="312" w:lineRule="auto"/>
              <w:ind w:left="48" w:leftChars="20"/>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满足招标公告要求，具有工程类专业高级或以上技术职称的得</w:t>
            </w:r>
            <w:r>
              <w:rPr>
                <w:rFonts w:hint="default"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分,具有工程类专业中级技术职称的得</w:t>
            </w:r>
            <w:r>
              <w:rPr>
                <w:rFonts w:hint="eastAsia" w:ascii="宋体" w:hAnsi="宋体" w:cs="宋体"/>
                <w:kern w:val="2"/>
                <w:sz w:val="24"/>
                <w:szCs w:val="24"/>
                <w:highlight w:val="none"/>
                <w:lang w:val="en-US" w:eastAsia="zh-CN" w:bidi="ar-SA"/>
              </w:rPr>
              <w:t>0.5</w:t>
            </w:r>
            <w:r>
              <w:rPr>
                <w:rFonts w:hint="eastAsia" w:ascii="宋体" w:hAnsi="宋体" w:eastAsia="宋体" w:cs="宋体"/>
                <w:kern w:val="2"/>
                <w:sz w:val="24"/>
                <w:szCs w:val="24"/>
                <w:highlight w:val="none"/>
                <w:lang w:val="en-US" w:eastAsia="zh-CN" w:bidi="ar-SA"/>
              </w:rPr>
              <w:t>分。</w:t>
            </w:r>
          </w:p>
        </w:tc>
      </w:tr>
      <w:tr w14:paraId="2E4C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noWrap w:val="0"/>
            <w:tcMar>
              <w:top w:w="0" w:type="dxa"/>
              <w:left w:w="57" w:type="dxa"/>
              <w:bottom w:w="0" w:type="dxa"/>
              <w:right w:w="57" w:type="dxa"/>
            </w:tcMar>
            <w:vAlign w:val="center"/>
          </w:tcPr>
          <w:p w14:paraId="3F9DD7DD">
            <w:pPr>
              <w:keepNext w:val="0"/>
              <w:keepLines w:val="0"/>
              <w:pageBreakBefore w:val="0"/>
              <w:kinsoku/>
              <w:wordWrap/>
              <w:overflowPunct/>
              <w:topLinePunct w:val="0"/>
              <w:autoSpaceDE w:val="0"/>
              <w:autoSpaceDN w:val="0"/>
              <w:bidi w:val="0"/>
              <w:adjustRightInd/>
              <w:snapToGrid/>
              <w:spacing w:line="312" w:lineRule="auto"/>
              <w:ind w:right="-20"/>
              <w:jc w:val="center"/>
              <w:textAlignment w:val="auto"/>
              <w:rPr>
                <w:rFonts w:hint="default" w:ascii="宋体" w:hAnsi="宋体" w:eastAsia="宋体" w:cs="宋体"/>
                <w:kern w:val="2"/>
                <w:sz w:val="24"/>
                <w:szCs w:val="24"/>
                <w:highlight w:val="none"/>
                <w:lang w:val="en-US" w:eastAsia="zh-CN" w:bidi="ar-SA"/>
              </w:rPr>
            </w:pPr>
          </w:p>
        </w:tc>
        <w:tc>
          <w:tcPr>
            <w:tcW w:w="1096" w:type="dxa"/>
            <w:vMerge w:val="continue"/>
            <w:noWrap w:val="0"/>
            <w:tcMar>
              <w:top w:w="0" w:type="dxa"/>
              <w:left w:w="57" w:type="dxa"/>
              <w:bottom w:w="0" w:type="dxa"/>
              <w:right w:w="57" w:type="dxa"/>
            </w:tcMar>
            <w:vAlign w:val="center"/>
          </w:tcPr>
          <w:p w14:paraId="659C0B7A">
            <w:pPr>
              <w:keepNext w:val="0"/>
              <w:keepLines w:val="0"/>
              <w:pageBreakBefore w:val="0"/>
              <w:kinsoku/>
              <w:wordWrap/>
              <w:overflowPunct/>
              <w:topLinePunct w:val="0"/>
              <w:autoSpaceDE w:val="0"/>
              <w:autoSpaceDN w:val="0"/>
              <w:bidi w:val="0"/>
              <w:adjustRightInd/>
              <w:snapToGrid/>
              <w:spacing w:line="312" w:lineRule="auto"/>
              <w:ind w:right="6"/>
              <w:jc w:val="center"/>
              <w:textAlignment w:val="auto"/>
              <w:rPr>
                <w:rFonts w:hint="default" w:ascii="宋体" w:hAnsi="宋体" w:eastAsia="宋体" w:cs="宋体"/>
                <w:kern w:val="2"/>
                <w:sz w:val="24"/>
                <w:szCs w:val="24"/>
                <w:highlight w:val="none"/>
                <w:lang w:val="en-US" w:eastAsia="zh-CN" w:bidi="ar-SA"/>
              </w:rPr>
            </w:pPr>
          </w:p>
        </w:tc>
        <w:tc>
          <w:tcPr>
            <w:tcW w:w="2470" w:type="dxa"/>
            <w:gridSpan w:val="2"/>
            <w:noWrap w:val="0"/>
            <w:tcMar>
              <w:top w:w="0" w:type="dxa"/>
              <w:left w:w="57" w:type="dxa"/>
              <w:bottom w:w="0" w:type="dxa"/>
              <w:right w:w="57" w:type="dxa"/>
            </w:tcMar>
            <w:vAlign w:val="center"/>
          </w:tcPr>
          <w:p w14:paraId="219BADC0">
            <w:pPr>
              <w:adjustRightInd/>
              <w:spacing w:line="312" w:lineRule="auto"/>
              <w:ind w:left="154" w:leftChars="64" w:right="74"/>
              <w:jc w:val="center"/>
              <w:rPr>
                <w:rFonts w:ascii="宋体" w:hAnsi="宋体" w:cs="宋体"/>
                <w:kern w:val="2"/>
                <w:highlight w:val="none"/>
              </w:rPr>
            </w:pPr>
            <w:r>
              <w:rPr>
                <w:rFonts w:hint="eastAsia" w:ascii="宋体" w:hAnsi="宋体" w:cs="宋体"/>
                <w:kern w:val="2"/>
                <w:highlight w:val="none"/>
              </w:rPr>
              <w:t>人员配备及相应专业的满足程度</w:t>
            </w:r>
          </w:p>
          <w:p w14:paraId="1F636F2F">
            <w:pPr>
              <w:adjustRightInd/>
              <w:spacing w:line="312" w:lineRule="auto"/>
              <w:ind w:left="154" w:leftChars="64" w:right="74" w:rightChars="0"/>
              <w:jc w:val="center"/>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w:t>
            </w:r>
            <w:r>
              <w:rPr>
                <w:rFonts w:ascii="宋体" w:hAnsi="宋体" w:cs="宋体"/>
                <w:kern w:val="2"/>
                <w:highlight w:val="none"/>
              </w:rPr>
              <w:t>5</w:t>
            </w:r>
            <w:r>
              <w:rPr>
                <w:rFonts w:hint="eastAsia" w:ascii="宋体" w:hAnsi="宋体" w:cs="宋体"/>
                <w:kern w:val="2"/>
                <w:highlight w:val="none"/>
              </w:rPr>
              <w:t>分）</w:t>
            </w:r>
          </w:p>
        </w:tc>
        <w:tc>
          <w:tcPr>
            <w:tcW w:w="5075" w:type="dxa"/>
            <w:noWrap w:val="0"/>
            <w:vAlign w:val="center"/>
          </w:tcPr>
          <w:p w14:paraId="48BE2508">
            <w:pPr>
              <w:autoSpaceDE/>
              <w:autoSpaceDN/>
              <w:adjustRightInd/>
              <w:spacing w:line="312" w:lineRule="auto"/>
              <w:ind w:left="48" w:leftChars="20"/>
              <w:jc w:val="both"/>
              <w:rPr>
                <w:rFonts w:ascii="宋体" w:hAnsi="宋体" w:cs="宋体"/>
                <w:kern w:val="2"/>
                <w:highlight w:val="none"/>
              </w:rPr>
            </w:pPr>
            <w:r>
              <w:rPr>
                <w:rFonts w:ascii="宋体" w:hAnsi="宋体" w:cs="宋体"/>
                <w:kern w:val="2"/>
                <w:highlight w:val="none"/>
              </w:rPr>
              <w:t>1、满足本项目《项目监理人员组成配备要求表》的专业和人数要求的得3分；不满足《项目监理人员组成配备要求表》数量及基本要求的，不予得分。</w:t>
            </w:r>
          </w:p>
          <w:p w14:paraId="0EF7645B">
            <w:pPr>
              <w:autoSpaceDE/>
              <w:autoSpaceDN/>
              <w:adjustRightInd/>
              <w:spacing w:line="312" w:lineRule="auto"/>
              <w:ind w:left="48" w:leftChars="20"/>
              <w:jc w:val="both"/>
              <w:rPr>
                <w:rFonts w:ascii="宋体" w:hAnsi="宋体" w:cs="宋体"/>
                <w:kern w:val="2"/>
                <w:highlight w:val="none"/>
              </w:rPr>
            </w:pPr>
            <w:r>
              <w:rPr>
                <w:rFonts w:ascii="宋体" w:hAnsi="宋体" w:cs="宋体"/>
                <w:kern w:val="2"/>
                <w:highlight w:val="none"/>
              </w:rPr>
              <w:t>2、在满足《项目监理人员组成配备要求表》专业和人数</w:t>
            </w:r>
            <w:r>
              <w:rPr>
                <w:rFonts w:hint="eastAsia" w:ascii="宋体" w:hAnsi="宋体" w:cs="宋体"/>
                <w:kern w:val="2"/>
                <w:highlight w:val="none"/>
              </w:rPr>
              <w:t>要求</w:t>
            </w:r>
            <w:r>
              <w:rPr>
                <w:rFonts w:ascii="宋体" w:hAnsi="宋体" w:cs="宋体"/>
                <w:kern w:val="2"/>
                <w:highlight w:val="none"/>
              </w:rPr>
              <w:t>的基础上（总监理工程师</w:t>
            </w:r>
            <w:r>
              <w:rPr>
                <w:rFonts w:hint="eastAsia" w:ascii="宋体" w:hAnsi="宋体" w:cs="宋体"/>
                <w:kern w:val="2"/>
                <w:highlight w:val="none"/>
              </w:rPr>
              <w:t>、总监代表</w:t>
            </w:r>
            <w:r>
              <w:rPr>
                <w:rFonts w:ascii="宋体" w:hAnsi="宋体" w:cs="宋体"/>
                <w:kern w:val="2"/>
                <w:highlight w:val="none"/>
              </w:rPr>
              <w:t>除外），其中具有</w:t>
            </w:r>
            <w:r>
              <w:rPr>
                <w:rFonts w:hint="eastAsia" w:ascii="宋体" w:hAnsi="宋体" w:cs="宋体"/>
                <w:kern w:val="2"/>
                <w:highlight w:val="none"/>
              </w:rPr>
              <w:t>工程类</w:t>
            </w:r>
            <w:r>
              <w:rPr>
                <w:rFonts w:ascii="宋体" w:hAnsi="宋体" w:cs="宋体"/>
                <w:kern w:val="2"/>
                <w:highlight w:val="none"/>
              </w:rPr>
              <w:t>高级工程师</w:t>
            </w:r>
            <w:r>
              <w:rPr>
                <w:rFonts w:hint="eastAsia" w:ascii="宋体" w:hAnsi="宋体" w:cs="宋体"/>
                <w:kern w:val="2"/>
                <w:highlight w:val="none"/>
              </w:rPr>
              <w:t>（或以上）</w:t>
            </w:r>
            <w:r>
              <w:rPr>
                <w:rFonts w:ascii="宋体" w:hAnsi="宋体" w:cs="宋体"/>
                <w:kern w:val="2"/>
                <w:highlight w:val="none"/>
              </w:rPr>
              <w:t>职称的，每人加1分，最多加2分。</w:t>
            </w:r>
          </w:p>
          <w:p w14:paraId="6886BCB0">
            <w:pPr>
              <w:autoSpaceDE/>
              <w:autoSpaceDN/>
              <w:adjustRightInd/>
              <w:spacing w:line="312" w:lineRule="auto"/>
              <w:ind w:left="48" w:leftChars="20"/>
              <w:jc w:val="both"/>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注：《项目监理人员组成配备要求表》详见委托人要求。</w:t>
            </w:r>
          </w:p>
        </w:tc>
      </w:tr>
      <w:tr w14:paraId="060F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noWrap w:val="0"/>
            <w:tcMar>
              <w:top w:w="0" w:type="dxa"/>
              <w:left w:w="57" w:type="dxa"/>
              <w:bottom w:w="0" w:type="dxa"/>
              <w:right w:w="57" w:type="dxa"/>
            </w:tcMar>
            <w:vAlign w:val="top"/>
          </w:tcPr>
          <w:p w14:paraId="2C108470">
            <w:pPr>
              <w:keepNext w:val="0"/>
              <w:keepLines w:val="0"/>
              <w:pageBreakBefore w:val="0"/>
              <w:kinsoku/>
              <w:wordWrap/>
              <w:overflowPunct/>
              <w:topLinePunct w:val="0"/>
              <w:autoSpaceDE w:val="0"/>
              <w:autoSpaceDN w:val="0"/>
              <w:bidi w:val="0"/>
              <w:adjustRightInd/>
              <w:snapToGrid/>
              <w:spacing w:line="312" w:lineRule="auto"/>
              <w:ind w:left="2082" w:right="2063"/>
              <w:jc w:val="center"/>
              <w:textAlignment w:val="auto"/>
              <w:rPr>
                <w:rFonts w:hint="default" w:ascii="宋体" w:hAnsi="宋体" w:eastAsia="宋体" w:cs="宋体"/>
                <w:kern w:val="2"/>
                <w:sz w:val="24"/>
                <w:szCs w:val="24"/>
                <w:highlight w:val="none"/>
                <w:lang w:val="en-US" w:eastAsia="zh-CN" w:bidi="ar-SA"/>
              </w:rPr>
            </w:pPr>
          </w:p>
        </w:tc>
        <w:tc>
          <w:tcPr>
            <w:tcW w:w="1096" w:type="dxa"/>
            <w:vMerge w:val="continue"/>
            <w:noWrap w:val="0"/>
            <w:tcMar>
              <w:top w:w="0" w:type="dxa"/>
              <w:left w:w="57" w:type="dxa"/>
              <w:bottom w:w="0" w:type="dxa"/>
              <w:right w:w="57" w:type="dxa"/>
            </w:tcMar>
            <w:vAlign w:val="top"/>
          </w:tcPr>
          <w:p w14:paraId="06847908">
            <w:pPr>
              <w:keepNext w:val="0"/>
              <w:keepLines w:val="0"/>
              <w:pageBreakBefore w:val="0"/>
              <w:kinsoku/>
              <w:wordWrap/>
              <w:overflowPunct/>
              <w:topLinePunct w:val="0"/>
              <w:autoSpaceDE w:val="0"/>
              <w:autoSpaceDN w:val="0"/>
              <w:bidi w:val="0"/>
              <w:adjustRightInd/>
              <w:snapToGrid/>
              <w:spacing w:line="312" w:lineRule="auto"/>
              <w:ind w:left="2082" w:right="2063"/>
              <w:jc w:val="center"/>
              <w:textAlignment w:val="auto"/>
              <w:rPr>
                <w:rFonts w:hint="default" w:ascii="宋体" w:hAnsi="宋体" w:eastAsia="宋体" w:cs="宋体"/>
                <w:kern w:val="2"/>
                <w:sz w:val="24"/>
                <w:szCs w:val="24"/>
                <w:highlight w:val="none"/>
                <w:lang w:val="en-US" w:eastAsia="zh-CN" w:bidi="ar-SA"/>
              </w:rPr>
            </w:pPr>
          </w:p>
        </w:tc>
        <w:tc>
          <w:tcPr>
            <w:tcW w:w="2470" w:type="dxa"/>
            <w:gridSpan w:val="2"/>
            <w:noWrap w:val="0"/>
            <w:tcMar>
              <w:top w:w="0" w:type="dxa"/>
              <w:left w:w="57" w:type="dxa"/>
              <w:bottom w:w="0" w:type="dxa"/>
              <w:right w:w="57" w:type="dxa"/>
            </w:tcMar>
            <w:vAlign w:val="center"/>
          </w:tcPr>
          <w:p w14:paraId="47DA7839">
            <w:pPr>
              <w:keepNext w:val="0"/>
              <w:keepLines w:val="0"/>
              <w:pageBreakBefore w:val="0"/>
              <w:kinsoku/>
              <w:wordWrap/>
              <w:overflowPunct/>
              <w:topLinePunct w:val="0"/>
              <w:autoSpaceDE/>
              <w:autoSpaceDN/>
              <w:bidi w:val="0"/>
              <w:adjustRightInd/>
              <w:snapToGrid/>
              <w:spacing w:after="120" w:line="312"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企业综合能力</w:t>
            </w:r>
          </w:p>
          <w:p w14:paraId="67019D42">
            <w:pPr>
              <w:keepNext w:val="0"/>
              <w:keepLines w:val="0"/>
              <w:pageBreakBefore w:val="0"/>
              <w:kinsoku/>
              <w:wordWrap/>
              <w:overflowPunct/>
              <w:topLinePunct w:val="0"/>
              <w:autoSpaceDE/>
              <w:autoSpaceDN/>
              <w:bidi w:val="0"/>
              <w:adjustRightInd/>
              <w:snapToGrid/>
              <w:spacing w:after="120" w:line="312"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8</w:t>
            </w:r>
            <w:r>
              <w:rPr>
                <w:rFonts w:hint="eastAsia" w:ascii="宋体" w:hAnsi="宋体" w:eastAsia="宋体" w:cs="宋体"/>
                <w:kern w:val="2"/>
                <w:sz w:val="24"/>
                <w:szCs w:val="24"/>
                <w:highlight w:val="none"/>
                <w:lang w:val="en-US" w:eastAsia="zh-CN" w:bidi="ar-SA"/>
              </w:rPr>
              <w:t>分）</w:t>
            </w:r>
          </w:p>
        </w:tc>
        <w:tc>
          <w:tcPr>
            <w:tcW w:w="5075" w:type="dxa"/>
            <w:noWrap w:val="0"/>
            <w:vAlign w:val="center"/>
          </w:tcPr>
          <w:p w14:paraId="51A5E7A9">
            <w:pPr>
              <w:keepNext w:val="0"/>
              <w:keepLines w:val="0"/>
              <w:pageBreakBefore w:val="0"/>
              <w:kinsoku/>
              <w:wordWrap/>
              <w:overflowPunct/>
              <w:topLinePunct w:val="0"/>
              <w:autoSpaceDE w:val="0"/>
              <w:autoSpaceDN w:val="0"/>
              <w:bidi w:val="0"/>
              <w:adjustRightInd/>
              <w:snapToGrid/>
              <w:spacing w:line="312" w:lineRule="auto"/>
              <w:ind w:left="77" w:leftChars="32" w:right="79"/>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20</w:t>
            </w:r>
            <w:r>
              <w:rPr>
                <w:rFonts w:hint="default" w:ascii="宋体" w:hAnsi="宋体" w:eastAsia="宋体" w:cs="宋体"/>
                <w:color w:val="000000"/>
                <w:kern w:val="2"/>
                <w:sz w:val="24"/>
                <w:szCs w:val="24"/>
                <w:highlight w:val="none"/>
                <w:lang w:val="en-US" w:eastAsia="zh-CN" w:bidi="ar-SA"/>
              </w:rPr>
              <w:t>2</w:t>
            </w:r>
            <w:r>
              <w:rPr>
                <w:rFonts w:hint="eastAsia" w:ascii="宋体" w:hAnsi="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年</w:t>
            </w:r>
            <w:r>
              <w:rPr>
                <w:rFonts w:hint="eastAsia" w:ascii="宋体" w:hAnsi="宋体" w:cs="宋体"/>
                <w:color w:val="000000"/>
                <w:kern w:val="2"/>
                <w:sz w:val="24"/>
                <w:szCs w:val="24"/>
                <w:highlight w:val="none"/>
                <w:lang w:val="en-US" w:eastAsia="zh-CN" w:bidi="ar-SA"/>
              </w:rPr>
              <w:t>6</w:t>
            </w:r>
            <w:r>
              <w:rPr>
                <w:rFonts w:hint="eastAsia" w:ascii="宋体" w:hAnsi="宋体" w:eastAsia="宋体" w:cs="宋体"/>
                <w:color w:val="000000"/>
                <w:kern w:val="2"/>
                <w:sz w:val="24"/>
                <w:szCs w:val="24"/>
                <w:highlight w:val="none"/>
                <w:lang w:val="en-US" w:eastAsia="zh-CN" w:bidi="ar-SA"/>
              </w:rPr>
              <w:t>月1日</w:t>
            </w:r>
            <w:r>
              <w:rPr>
                <w:rFonts w:hint="eastAsia" w:ascii="宋体" w:hAnsi="宋体" w:eastAsia="宋体" w:cs="宋体"/>
                <w:kern w:val="2"/>
                <w:sz w:val="24"/>
                <w:szCs w:val="24"/>
                <w:highlight w:val="none"/>
                <w:lang w:val="en-US" w:eastAsia="zh-CN" w:bidi="ar-SA"/>
              </w:rPr>
              <w:t>至今，投标人</w:t>
            </w:r>
            <w:r>
              <w:rPr>
                <w:rFonts w:hint="eastAsia" w:ascii="宋体" w:hAnsi="宋体" w:eastAsia="宋体" w:cs="宋体"/>
                <w:color w:val="000000"/>
                <w:kern w:val="2"/>
                <w:sz w:val="24"/>
                <w:szCs w:val="24"/>
                <w:highlight w:val="none"/>
                <w:lang w:val="en-US" w:eastAsia="zh-CN" w:bidi="ar-SA"/>
              </w:rPr>
              <w:t>（若为联合体投标，指联合体主办方）</w:t>
            </w:r>
            <w:r>
              <w:rPr>
                <w:rFonts w:hint="eastAsia" w:ascii="宋体" w:hAnsi="宋体" w:eastAsia="宋体" w:cs="宋体"/>
                <w:kern w:val="2"/>
                <w:sz w:val="24"/>
                <w:szCs w:val="24"/>
                <w:highlight w:val="none"/>
                <w:lang w:val="en-US" w:eastAsia="zh-CN" w:bidi="ar-SA"/>
              </w:rPr>
              <w:t>获得过省级或以上政府部门或行业协会（学会）颁发的工程类科学技术进步奖或科学技术奖的，每项得1分；投标人获得过市级政府部门或行业协会（学会）颁发的工程类科学技术进步奖或科学技术奖的，每项得0.5分。</w:t>
            </w:r>
          </w:p>
          <w:p w14:paraId="40455410">
            <w:pPr>
              <w:keepNext w:val="0"/>
              <w:keepLines w:val="0"/>
              <w:pageBreakBefore w:val="0"/>
              <w:kinsoku/>
              <w:wordWrap/>
              <w:overflowPunct/>
              <w:topLinePunct w:val="0"/>
              <w:autoSpaceDE w:val="0"/>
              <w:autoSpaceDN w:val="0"/>
              <w:bidi w:val="0"/>
              <w:adjustRightInd/>
              <w:snapToGrid/>
              <w:spacing w:line="312" w:lineRule="auto"/>
              <w:ind w:left="77" w:leftChars="32" w:right="79"/>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本项最多得</w:t>
            </w:r>
            <w:r>
              <w:rPr>
                <w:rFonts w:hint="eastAsia" w:ascii="宋体" w:hAnsi="宋体" w:cs="宋体"/>
                <w:kern w:val="2"/>
                <w:sz w:val="24"/>
                <w:szCs w:val="24"/>
                <w:highlight w:val="none"/>
                <w:lang w:val="en-US" w:eastAsia="zh-CN" w:bidi="ar-SA"/>
              </w:rPr>
              <w:t>8</w:t>
            </w:r>
            <w:r>
              <w:rPr>
                <w:rFonts w:hint="eastAsia" w:ascii="宋体" w:hAnsi="宋体" w:eastAsia="宋体" w:cs="宋体"/>
                <w:kern w:val="2"/>
                <w:sz w:val="24"/>
                <w:szCs w:val="24"/>
                <w:highlight w:val="none"/>
                <w:lang w:val="en-US" w:eastAsia="zh-CN" w:bidi="ar-SA"/>
              </w:rPr>
              <w:t>分。</w:t>
            </w:r>
          </w:p>
        </w:tc>
      </w:tr>
      <w:tr w14:paraId="11D7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noWrap w:val="0"/>
            <w:tcMar>
              <w:top w:w="0" w:type="dxa"/>
              <w:left w:w="57" w:type="dxa"/>
              <w:bottom w:w="0" w:type="dxa"/>
              <w:right w:w="57" w:type="dxa"/>
            </w:tcMar>
            <w:vAlign w:val="top"/>
          </w:tcPr>
          <w:p w14:paraId="69052157">
            <w:pPr>
              <w:keepNext w:val="0"/>
              <w:keepLines w:val="0"/>
              <w:pageBreakBefore w:val="0"/>
              <w:kinsoku/>
              <w:wordWrap/>
              <w:overflowPunct/>
              <w:topLinePunct w:val="0"/>
              <w:autoSpaceDE w:val="0"/>
              <w:autoSpaceDN w:val="0"/>
              <w:bidi w:val="0"/>
              <w:adjustRightInd/>
              <w:snapToGrid/>
              <w:spacing w:line="312" w:lineRule="auto"/>
              <w:ind w:left="2082" w:right="2063"/>
              <w:jc w:val="center"/>
              <w:textAlignment w:val="auto"/>
              <w:rPr>
                <w:rFonts w:hint="default" w:ascii="宋体" w:hAnsi="宋体" w:eastAsia="宋体" w:cs="宋体"/>
                <w:kern w:val="2"/>
                <w:sz w:val="24"/>
                <w:szCs w:val="24"/>
                <w:highlight w:val="none"/>
                <w:lang w:val="en-US" w:eastAsia="zh-CN" w:bidi="ar-SA"/>
              </w:rPr>
            </w:pPr>
          </w:p>
        </w:tc>
        <w:tc>
          <w:tcPr>
            <w:tcW w:w="1096" w:type="dxa"/>
            <w:vMerge w:val="continue"/>
            <w:noWrap w:val="0"/>
            <w:tcMar>
              <w:top w:w="0" w:type="dxa"/>
              <w:left w:w="57" w:type="dxa"/>
              <w:bottom w:w="0" w:type="dxa"/>
              <w:right w:w="57" w:type="dxa"/>
            </w:tcMar>
            <w:vAlign w:val="top"/>
          </w:tcPr>
          <w:p w14:paraId="1B4ADE42">
            <w:pPr>
              <w:keepNext w:val="0"/>
              <w:keepLines w:val="0"/>
              <w:pageBreakBefore w:val="0"/>
              <w:kinsoku/>
              <w:wordWrap/>
              <w:overflowPunct/>
              <w:topLinePunct w:val="0"/>
              <w:autoSpaceDE w:val="0"/>
              <w:autoSpaceDN w:val="0"/>
              <w:bidi w:val="0"/>
              <w:adjustRightInd/>
              <w:snapToGrid/>
              <w:spacing w:line="312" w:lineRule="auto"/>
              <w:ind w:left="2082" w:right="2063"/>
              <w:jc w:val="center"/>
              <w:textAlignment w:val="auto"/>
              <w:rPr>
                <w:rFonts w:hint="default" w:ascii="宋体" w:hAnsi="宋体" w:eastAsia="宋体" w:cs="宋体"/>
                <w:kern w:val="2"/>
                <w:sz w:val="24"/>
                <w:szCs w:val="24"/>
                <w:highlight w:val="none"/>
                <w:lang w:val="en-US" w:eastAsia="zh-CN" w:bidi="ar-SA"/>
              </w:rPr>
            </w:pPr>
          </w:p>
        </w:tc>
        <w:tc>
          <w:tcPr>
            <w:tcW w:w="2470" w:type="dxa"/>
            <w:gridSpan w:val="2"/>
            <w:noWrap w:val="0"/>
            <w:tcMar>
              <w:top w:w="0" w:type="dxa"/>
              <w:left w:w="57" w:type="dxa"/>
              <w:bottom w:w="0" w:type="dxa"/>
              <w:right w:w="57" w:type="dxa"/>
            </w:tcMar>
            <w:vAlign w:val="center"/>
          </w:tcPr>
          <w:p w14:paraId="4AF3E598">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管理体系认证</w:t>
            </w:r>
          </w:p>
          <w:p w14:paraId="0DB2776C">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分）</w:t>
            </w:r>
          </w:p>
        </w:tc>
        <w:tc>
          <w:tcPr>
            <w:tcW w:w="5075" w:type="dxa"/>
            <w:noWrap w:val="0"/>
            <w:vAlign w:val="center"/>
          </w:tcPr>
          <w:p w14:paraId="4D91275B">
            <w:pPr>
              <w:keepNext w:val="0"/>
              <w:keepLines w:val="0"/>
              <w:pageBreakBefore w:val="0"/>
              <w:kinsoku/>
              <w:wordWrap/>
              <w:overflowPunct/>
              <w:topLinePunct w:val="0"/>
              <w:autoSpaceDE w:val="0"/>
              <w:autoSpaceDN w:val="0"/>
              <w:bidi w:val="0"/>
              <w:adjustRightInd/>
              <w:snapToGrid/>
              <w:spacing w:line="312" w:lineRule="auto"/>
              <w:ind w:left="77" w:leftChars="32" w:right="79"/>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w:t>
            </w:r>
            <w:r>
              <w:rPr>
                <w:rFonts w:hint="eastAsia" w:ascii="宋体" w:hAnsi="宋体" w:eastAsia="宋体" w:cs="宋体"/>
                <w:color w:val="000000"/>
                <w:kern w:val="2"/>
                <w:sz w:val="24"/>
                <w:szCs w:val="24"/>
                <w:highlight w:val="none"/>
                <w:lang w:val="en-US" w:eastAsia="zh-CN" w:bidi="ar-SA"/>
              </w:rPr>
              <w:t>（若为联合体投标，指联合体主办方）</w:t>
            </w:r>
            <w:r>
              <w:rPr>
                <w:rFonts w:hint="eastAsia" w:ascii="宋体" w:hAnsi="宋体" w:eastAsia="宋体" w:cs="宋体"/>
                <w:kern w:val="2"/>
                <w:sz w:val="24"/>
                <w:szCs w:val="24"/>
                <w:highlight w:val="none"/>
                <w:lang w:val="en-US" w:eastAsia="zh-CN" w:bidi="ar-SA"/>
              </w:rPr>
              <w:t>同时具有有效期内的环境管理体系认证、职业健康安全管理体系认证、质量管理体系认证和</w:t>
            </w:r>
            <w:r>
              <w:rPr>
                <w:rFonts w:hint="eastAsia" w:ascii="宋体" w:hAnsi="宋体" w:cs="宋体"/>
                <w:kern w:val="2"/>
                <w:highlight w:val="none"/>
              </w:rPr>
              <w:t>企业诚信管理体系认证证书</w:t>
            </w:r>
            <w:r>
              <w:rPr>
                <w:rFonts w:hint="eastAsia" w:ascii="宋体" w:hAnsi="宋体" w:eastAsia="宋体" w:cs="宋体"/>
                <w:kern w:val="2"/>
                <w:sz w:val="24"/>
                <w:szCs w:val="24"/>
                <w:highlight w:val="none"/>
                <w:lang w:val="en-US" w:eastAsia="zh-CN" w:bidi="ar-SA"/>
              </w:rPr>
              <w:t>的得</w:t>
            </w: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分，具有以上认证证书中任意</w:t>
            </w:r>
            <w:r>
              <w:rPr>
                <w:rFonts w:hint="default" w:ascii="宋体" w:hAnsi="宋体" w:eastAsia="宋体" w:cs="宋体"/>
                <w:kern w:val="2"/>
                <w:sz w:val="24"/>
                <w:szCs w:val="24"/>
                <w:highlight w:val="none"/>
                <w:lang w:val="en-US" w:eastAsia="zh-CN" w:bidi="ar-SA"/>
              </w:rPr>
              <w:t>2-3</w:t>
            </w:r>
            <w:r>
              <w:rPr>
                <w:rFonts w:hint="eastAsia" w:ascii="宋体" w:hAnsi="宋体" w:eastAsia="宋体" w:cs="宋体"/>
                <w:kern w:val="2"/>
                <w:sz w:val="24"/>
                <w:szCs w:val="24"/>
                <w:highlight w:val="none"/>
                <w:lang w:val="en-US" w:eastAsia="zh-CN" w:bidi="ar-SA"/>
              </w:rPr>
              <w:t>项的得</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分；具有以上认证证书中任意1项的得1分。</w:t>
            </w:r>
          </w:p>
          <w:p w14:paraId="0ACCB66A">
            <w:pPr>
              <w:keepNext w:val="0"/>
              <w:keepLines w:val="0"/>
              <w:pageBreakBefore w:val="0"/>
              <w:kinsoku/>
              <w:wordWrap/>
              <w:overflowPunct/>
              <w:topLinePunct w:val="0"/>
              <w:autoSpaceDE w:val="0"/>
              <w:autoSpaceDN w:val="0"/>
              <w:bidi w:val="0"/>
              <w:adjustRightInd/>
              <w:snapToGrid/>
              <w:spacing w:line="312" w:lineRule="auto"/>
              <w:ind w:left="77" w:leftChars="32" w:right="79"/>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本项最多得</w:t>
            </w: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分。</w:t>
            </w:r>
          </w:p>
        </w:tc>
      </w:tr>
      <w:tr w14:paraId="1E55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noWrap w:val="0"/>
            <w:tcMar>
              <w:top w:w="0" w:type="dxa"/>
              <w:left w:w="57" w:type="dxa"/>
              <w:bottom w:w="0" w:type="dxa"/>
              <w:right w:w="57" w:type="dxa"/>
            </w:tcMar>
            <w:vAlign w:val="top"/>
          </w:tcPr>
          <w:p w14:paraId="49DE5DED">
            <w:pPr>
              <w:keepNext w:val="0"/>
              <w:keepLines w:val="0"/>
              <w:pageBreakBefore w:val="0"/>
              <w:kinsoku/>
              <w:wordWrap/>
              <w:overflowPunct/>
              <w:topLinePunct w:val="0"/>
              <w:autoSpaceDE w:val="0"/>
              <w:autoSpaceDN w:val="0"/>
              <w:bidi w:val="0"/>
              <w:adjustRightInd/>
              <w:snapToGrid/>
              <w:spacing w:line="312" w:lineRule="auto"/>
              <w:ind w:left="2083" w:right="2063"/>
              <w:jc w:val="center"/>
              <w:textAlignment w:val="auto"/>
              <w:rPr>
                <w:rFonts w:hint="default" w:ascii="宋体" w:hAnsi="宋体" w:eastAsia="宋体" w:cs="宋体"/>
                <w:kern w:val="2"/>
                <w:sz w:val="24"/>
                <w:szCs w:val="24"/>
                <w:highlight w:val="none"/>
                <w:lang w:val="en-US" w:eastAsia="zh-CN" w:bidi="ar-SA"/>
              </w:rPr>
            </w:pPr>
          </w:p>
        </w:tc>
        <w:tc>
          <w:tcPr>
            <w:tcW w:w="1096" w:type="dxa"/>
            <w:vMerge w:val="continue"/>
            <w:noWrap w:val="0"/>
            <w:tcMar>
              <w:top w:w="0" w:type="dxa"/>
              <w:left w:w="57" w:type="dxa"/>
              <w:bottom w:w="0" w:type="dxa"/>
              <w:right w:w="57" w:type="dxa"/>
            </w:tcMar>
            <w:vAlign w:val="top"/>
          </w:tcPr>
          <w:p w14:paraId="40C68612">
            <w:pPr>
              <w:keepNext w:val="0"/>
              <w:keepLines w:val="0"/>
              <w:pageBreakBefore w:val="0"/>
              <w:kinsoku/>
              <w:wordWrap/>
              <w:overflowPunct/>
              <w:topLinePunct w:val="0"/>
              <w:autoSpaceDE w:val="0"/>
              <w:autoSpaceDN w:val="0"/>
              <w:bidi w:val="0"/>
              <w:adjustRightInd/>
              <w:snapToGrid/>
              <w:spacing w:line="312" w:lineRule="auto"/>
              <w:ind w:left="2083" w:right="2063"/>
              <w:jc w:val="center"/>
              <w:textAlignment w:val="auto"/>
              <w:rPr>
                <w:rFonts w:hint="default" w:ascii="宋体" w:hAnsi="宋体" w:eastAsia="宋体" w:cs="宋体"/>
                <w:kern w:val="2"/>
                <w:sz w:val="24"/>
                <w:szCs w:val="24"/>
                <w:highlight w:val="none"/>
                <w:lang w:val="en-US" w:eastAsia="zh-CN" w:bidi="ar-SA"/>
              </w:rPr>
            </w:pPr>
          </w:p>
        </w:tc>
        <w:tc>
          <w:tcPr>
            <w:tcW w:w="2470" w:type="dxa"/>
            <w:gridSpan w:val="2"/>
            <w:noWrap w:val="0"/>
            <w:tcMar>
              <w:top w:w="0" w:type="dxa"/>
              <w:left w:w="57" w:type="dxa"/>
              <w:bottom w:w="0" w:type="dxa"/>
              <w:right w:w="57" w:type="dxa"/>
            </w:tcMar>
            <w:vAlign w:val="center"/>
          </w:tcPr>
          <w:p w14:paraId="619FD076">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纳税信用等级</w:t>
            </w:r>
          </w:p>
          <w:p w14:paraId="5248C7FB">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分）</w:t>
            </w:r>
          </w:p>
        </w:tc>
        <w:tc>
          <w:tcPr>
            <w:tcW w:w="5075" w:type="dxa"/>
            <w:noWrap w:val="0"/>
            <w:vAlign w:val="center"/>
          </w:tcPr>
          <w:p w14:paraId="243F7EDE">
            <w:pPr>
              <w:keepNext w:val="0"/>
              <w:keepLines w:val="0"/>
              <w:pageBreakBefore w:val="0"/>
              <w:kinsoku/>
              <w:wordWrap/>
              <w:overflowPunct/>
              <w:topLinePunct w:val="0"/>
              <w:autoSpaceDE w:val="0"/>
              <w:autoSpaceDN w:val="0"/>
              <w:bidi w:val="0"/>
              <w:adjustRightInd/>
              <w:snapToGrid/>
              <w:spacing w:line="312" w:lineRule="auto"/>
              <w:ind w:left="77" w:leftChars="32" w:right="79"/>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w:t>
            </w:r>
            <w:r>
              <w:rPr>
                <w:rFonts w:hint="eastAsia" w:ascii="宋体" w:hAnsi="宋体" w:eastAsia="宋体" w:cs="宋体"/>
                <w:color w:val="000000"/>
                <w:kern w:val="2"/>
                <w:sz w:val="24"/>
                <w:szCs w:val="24"/>
                <w:highlight w:val="none"/>
                <w:lang w:val="en-US" w:eastAsia="zh-CN" w:bidi="ar-SA"/>
              </w:rPr>
              <w:t>（若为联合体投标，指联合体主办方）</w:t>
            </w:r>
            <w:r>
              <w:rPr>
                <w:rFonts w:hint="eastAsia" w:ascii="宋体" w:hAnsi="宋体" w:eastAsia="宋体" w:cs="宋体"/>
                <w:kern w:val="2"/>
                <w:sz w:val="24"/>
                <w:szCs w:val="24"/>
                <w:highlight w:val="none"/>
                <w:lang w:val="en-US" w:eastAsia="zh-CN" w:bidi="ar-SA"/>
              </w:rPr>
              <w:t>连续获得“纳税信用</w:t>
            </w:r>
            <w:r>
              <w:rPr>
                <w:rFonts w:hint="default" w:ascii="宋体" w:hAnsi="宋体" w:eastAsia="宋体" w:cs="宋体"/>
                <w:kern w:val="2"/>
                <w:sz w:val="24"/>
                <w:szCs w:val="24"/>
                <w:highlight w:val="none"/>
                <w:lang w:val="en-US" w:eastAsia="zh-CN" w:bidi="ar-SA"/>
              </w:rPr>
              <w:t>A级纳税人”</w:t>
            </w:r>
            <w:r>
              <w:rPr>
                <w:rFonts w:hint="eastAsia" w:ascii="宋体" w:hAnsi="宋体" w:eastAsia="宋体" w:cs="宋体"/>
                <w:kern w:val="2"/>
                <w:sz w:val="24"/>
                <w:szCs w:val="24"/>
                <w:highlight w:val="none"/>
                <w:lang w:val="en-US" w:eastAsia="zh-CN" w:bidi="ar-SA"/>
              </w:rPr>
              <w:t>（须含最新评审年度202</w:t>
            </w:r>
            <w:r>
              <w:rPr>
                <w:rFonts w:hint="default"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年）称号的：</w:t>
            </w:r>
          </w:p>
          <w:p w14:paraId="3FF06D30">
            <w:pPr>
              <w:keepNext w:val="0"/>
              <w:keepLines w:val="0"/>
              <w:pageBreakBefore w:val="0"/>
              <w:kinsoku/>
              <w:wordWrap/>
              <w:overflowPunct/>
              <w:topLinePunct w:val="0"/>
              <w:autoSpaceDE w:val="0"/>
              <w:autoSpaceDN w:val="0"/>
              <w:bidi w:val="0"/>
              <w:adjustRightInd/>
              <w:snapToGrid/>
              <w:spacing w:line="312" w:lineRule="auto"/>
              <w:ind w:left="77" w:leftChars="32" w:right="79"/>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（1）连续获得5年或以上的，得</w:t>
            </w:r>
            <w:r>
              <w:rPr>
                <w:rFonts w:hint="default" w:ascii="宋体" w:hAnsi="宋体" w:eastAsia="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分；</w:t>
            </w:r>
          </w:p>
          <w:p w14:paraId="4934C43C">
            <w:pPr>
              <w:keepNext w:val="0"/>
              <w:keepLines w:val="0"/>
              <w:pageBreakBefore w:val="0"/>
              <w:kinsoku/>
              <w:wordWrap/>
              <w:overflowPunct/>
              <w:topLinePunct w:val="0"/>
              <w:autoSpaceDE w:val="0"/>
              <w:autoSpaceDN w:val="0"/>
              <w:bidi w:val="0"/>
              <w:adjustRightInd/>
              <w:snapToGrid/>
              <w:spacing w:line="312" w:lineRule="auto"/>
              <w:ind w:left="77" w:leftChars="32" w:right="79"/>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（2）连续获得4年的，得</w:t>
            </w:r>
            <w:r>
              <w:rPr>
                <w:rFonts w:hint="default"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分；</w:t>
            </w:r>
          </w:p>
          <w:p w14:paraId="588B1E29">
            <w:pPr>
              <w:keepNext w:val="0"/>
              <w:keepLines w:val="0"/>
              <w:pageBreakBefore w:val="0"/>
              <w:kinsoku/>
              <w:wordWrap/>
              <w:overflowPunct/>
              <w:topLinePunct w:val="0"/>
              <w:autoSpaceDE w:val="0"/>
              <w:autoSpaceDN w:val="0"/>
              <w:bidi w:val="0"/>
              <w:adjustRightInd/>
              <w:snapToGrid/>
              <w:spacing w:line="312" w:lineRule="auto"/>
              <w:ind w:left="77" w:leftChars="32" w:right="79"/>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（3）连续获得3年的，得</w:t>
            </w:r>
            <w:r>
              <w:rPr>
                <w:rFonts w:hint="default"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w:t>
            </w:r>
          </w:p>
          <w:p w14:paraId="5D214205">
            <w:pPr>
              <w:keepNext w:val="0"/>
              <w:keepLines w:val="0"/>
              <w:pageBreakBefore w:val="0"/>
              <w:kinsoku/>
              <w:wordWrap/>
              <w:overflowPunct/>
              <w:topLinePunct w:val="0"/>
              <w:autoSpaceDE w:val="0"/>
              <w:autoSpaceDN w:val="0"/>
              <w:bidi w:val="0"/>
              <w:adjustRightInd/>
              <w:snapToGrid/>
              <w:spacing w:line="312" w:lineRule="auto"/>
              <w:ind w:left="77" w:leftChars="32" w:right="79"/>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（4）连续获得2年或以下的，得1分。</w:t>
            </w:r>
          </w:p>
          <w:p w14:paraId="0E0FD44F">
            <w:pPr>
              <w:keepNext w:val="0"/>
              <w:keepLines w:val="0"/>
              <w:pageBreakBefore w:val="0"/>
              <w:kinsoku/>
              <w:wordWrap/>
              <w:overflowPunct/>
              <w:topLinePunct w:val="0"/>
              <w:autoSpaceDE w:val="0"/>
              <w:autoSpaceDN w:val="0"/>
              <w:bidi w:val="0"/>
              <w:adjustRightInd/>
              <w:snapToGrid/>
              <w:spacing w:line="312" w:lineRule="auto"/>
              <w:ind w:left="77" w:leftChars="32" w:right="79"/>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没有的不得分。本项最多得</w:t>
            </w:r>
            <w:r>
              <w:rPr>
                <w:rFonts w:hint="default" w:ascii="宋体" w:hAnsi="宋体" w:eastAsia="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分。</w:t>
            </w:r>
          </w:p>
          <w:p w14:paraId="0C82A29C">
            <w:pPr>
              <w:keepNext w:val="0"/>
              <w:keepLines w:val="0"/>
              <w:pageBreakBefore w:val="0"/>
              <w:kinsoku/>
              <w:wordWrap/>
              <w:overflowPunct/>
              <w:topLinePunct w:val="0"/>
              <w:autoSpaceDE w:val="0"/>
              <w:autoSpaceDN w:val="0"/>
              <w:bidi w:val="0"/>
              <w:adjustRightInd/>
              <w:snapToGrid/>
              <w:spacing w:line="312" w:lineRule="auto"/>
              <w:ind w:left="77" w:leftChars="32" w:right="79"/>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注：须提供税务部门官网的查询结果网页截图（打印页）或税务部门提供的相关证明文件。被评价单位必须为投标单位，且关联公司（含上级公司、子公司、分公司、控股及管理关系）的评价结果不予认可。</w:t>
            </w:r>
          </w:p>
        </w:tc>
      </w:tr>
      <w:tr w14:paraId="4FA7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restart"/>
            <w:noWrap w:val="0"/>
            <w:tcMar>
              <w:top w:w="0" w:type="dxa"/>
              <w:left w:w="57" w:type="dxa"/>
              <w:bottom w:w="0" w:type="dxa"/>
              <w:right w:w="57" w:type="dxa"/>
            </w:tcMar>
            <w:vAlign w:val="center"/>
          </w:tcPr>
          <w:p w14:paraId="09BABA25">
            <w:pPr>
              <w:keepNext w:val="0"/>
              <w:keepLines w:val="0"/>
              <w:pageBreakBefore w:val="0"/>
              <w:kinsoku/>
              <w:wordWrap/>
              <w:overflowPunct/>
              <w:topLinePunct w:val="0"/>
              <w:autoSpaceDE w:val="0"/>
              <w:autoSpaceDN w:val="0"/>
              <w:bidi w:val="0"/>
              <w:adjustRightInd/>
              <w:snapToGrid/>
              <w:spacing w:line="312" w:lineRule="auto"/>
              <w:ind w:right="17"/>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2.2.4</w:t>
            </w:r>
          </w:p>
          <w:p w14:paraId="5CB10E15">
            <w:pPr>
              <w:keepNext w:val="0"/>
              <w:keepLines w:val="0"/>
              <w:pageBreakBefore w:val="0"/>
              <w:kinsoku/>
              <w:wordWrap/>
              <w:overflowPunct/>
              <w:topLinePunct w:val="0"/>
              <w:autoSpaceDE w:val="0"/>
              <w:autoSpaceDN w:val="0"/>
              <w:bidi w:val="0"/>
              <w:adjustRightInd/>
              <w:snapToGrid/>
              <w:spacing w:before="86" w:line="312" w:lineRule="auto"/>
              <w:ind w:right="17"/>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p>
        </w:tc>
        <w:tc>
          <w:tcPr>
            <w:tcW w:w="1096" w:type="dxa"/>
            <w:vMerge w:val="restart"/>
            <w:noWrap w:val="0"/>
            <w:tcMar>
              <w:top w:w="0" w:type="dxa"/>
              <w:left w:w="57" w:type="dxa"/>
              <w:bottom w:w="0" w:type="dxa"/>
              <w:right w:w="57" w:type="dxa"/>
            </w:tcMar>
            <w:vAlign w:val="center"/>
          </w:tcPr>
          <w:p w14:paraId="794E82EC">
            <w:pPr>
              <w:adjustRightInd/>
              <w:spacing w:line="240" w:lineRule="auto"/>
              <w:ind w:right="0"/>
              <w:jc w:val="left"/>
              <w:rPr>
                <w:rFonts w:ascii="宋体" w:hAnsi="宋体" w:cs="宋体"/>
                <w:kern w:val="2"/>
                <w:highlight w:val="none"/>
              </w:rPr>
            </w:pPr>
            <w:r>
              <w:rPr>
                <w:rFonts w:hint="eastAsia" w:ascii="宋体" w:hAnsi="宋体" w:cs="宋体"/>
                <w:kern w:val="2"/>
                <w:highlight w:val="none"/>
              </w:rPr>
              <w:t>监理</w:t>
            </w:r>
          </w:p>
          <w:p w14:paraId="3E6C4EF3">
            <w:pPr>
              <w:adjustRightInd/>
              <w:spacing w:line="240" w:lineRule="auto"/>
              <w:ind w:right="0"/>
              <w:jc w:val="left"/>
              <w:rPr>
                <w:rFonts w:ascii="宋体" w:hAnsi="宋体" w:cs="宋体"/>
                <w:kern w:val="2"/>
                <w:highlight w:val="none"/>
              </w:rPr>
            </w:pPr>
            <w:r>
              <w:rPr>
                <w:rFonts w:hint="eastAsia" w:ascii="宋体" w:hAnsi="宋体" w:cs="宋体"/>
                <w:spacing w:val="-2"/>
                <w:kern w:val="2"/>
                <w:highlight w:val="none"/>
              </w:rPr>
              <w:t>大</w:t>
            </w:r>
            <w:r>
              <w:rPr>
                <w:rFonts w:hint="eastAsia" w:ascii="宋体" w:hAnsi="宋体" w:cs="宋体"/>
                <w:kern w:val="2"/>
                <w:highlight w:val="none"/>
              </w:rPr>
              <w:t>纲</w:t>
            </w:r>
          </w:p>
          <w:p w14:paraId="1D09508E">
            <w:pPr>
              <w:adjustRightInd/>
              <w:spacing w:line="240" w:lineRule="auto"/>
              <w:ind w:right="0"/>
              <w:jc w:val="left"/>
              <w:rPr>
                <w:rFonts w:ascii="宋体" w:hAnsi="宋体" w:cs="宋体"/>
                <w:kern w:val="2"/>
                <w:highlight w:val="none"/>
              </w:rPr>
            </w:pPr>
            <w:r>
              <w:rPr>
                <w:rFonts w:hint="eastAsia" w:ascii="宋体" w:hAnsi="宋体" w:cs="宋体"/>
                <w:kern w:val="2"/>
                <w:highlight w:val="none"/>
              </w:rPr>
              <w:t>评分</w:t>
            </w:r>
          </w:p>
          <w:p w14:paraId="2AE5177F">
            <w:pPr>
              <w:adjustRightInd/>
              <w:spacing w:line="240" w:lineRule="auto"/>
              <w:ind w:right="0"/>
              <w:jc w:val="left"/>
              <w:rPr>
                <w:rFonts w:ascii="宋体" w:hAnsi="宋体" w:cs="宋体"/>
                <w:kern w:val="2"/>
                <w:highlight w:val="none"/>
              </w:rPr>
            </w:pPr>
            <w:r>
              <w:rPr>
                <w:rFonts w:hint="eastAsia" w:ascii="宋体" w:hAnsi="宋体" w:cs="宋体"/>
                <w:spacing w:val="-2"/>
                <w:kern w:val="2"/>
                <w:highlight w:val="none"/>
              </w:rPr>
              <w:t>标</w:t>
            </w:r>
            <w:r>
              <w:rPr>
                <w:rFonts w:hint="eastAsia" w:ascii="宋体" w:hAnsi="宋体" w:cs="宋体"/>
                <w:kern w:val="2"/>
                <w:highlight w:val="none"/>
              </w:rPr>
              <w:t>准</w:t>
            </w:r>
          </w:p>
          <w:p w14:paraId="038E5C6C">
            <w:pPr>
              <w:rPr>
                <w:highlight w:val="none"/>
              </w:rPr>
            </w:pPr>
            <w:r>
              <w:rPr>
                <w:rFonts w:hint="eastAsia" w:ascii="宋体" w:hAnsi="宋体" w:cs="宋体"/>
                <w:kern w:val="2"/>
                <w:highlight w:val="none"/>
              </w:rPr>
              <w:t>（</w:t>
            </w:r>
            <w:r>
              <w:rPr>
                <w:rFonts w:ascii="宋体" w:hAnsi="宋体" w:cs="宋体"/>
                <w:kern w:val="2"/>
                <w:highlight w:val="none"/>
              </w:rPr>
              <w:t>25</w:t>
            </w:r>
            <w:r>
              <w:rPr>
                <w:rFonts w:hint="eastAsia" w:ascii="宋体" w:hAnsi="宋体" w:cs="宋体"/>
                <w:kern w:val="2"/>
                <w:highlight w:val="none"/>
              </w:rPr>
              <w:t>分）</w:t>
            </w:r>
          </w:p>
          <w:p w14:paraId="14299D2F">
            <w:pPr>
              <w:rPr>
                <w:highlight w:val="none"/>
              </w:rPr>
            </w:pPr>
          </w:p>
          <w:p w14:paraId="650D0768">
            <w:pPr>
              <w:rPr>
                <w:highlight w:val="none"/>
              </w:rPr>
            </w:pPr>
          </w:p>
          <w:p w14:paraId="1FF4E09B">
            <w:pPr>
              <w:rPr>
                <w:highlight w:val="none"/>
              </w:rPr>
            </w:pPr>
          </w:p>
          <w:p w14:paraId="3C94A338">
            <w:pPr>
              <w:adjustRightInd/>
              <w:spacing w:line="240" w:lineRule="auto"/>
              <w:ind w:right="0" w:rightChars="0"/>
              <w:jc w:val="left"/>
              <w:rPr>
                <w:rFonts w:hint="default" w:ascii="宋体" w:hAnsi="宋体" w:eastAsia="宋体" w:cs="宋体"/>
                <w:kern w:val="2"/>
                <w:sz w:val="24"/>
                <w:szCs w:val="24"/>
                <w:highlight w:val="none"/>
                <w:lang w:val="en-US" w:eastAsia="zh-CN" w:bidi="ar-SA"/>
              </w:rPr>
            </w:pPr>
          </w:p>
        </w:tc>
        <w:tc>
          <w:tcPr>
            <w:tcW w:w="2470" w:type="dxa"/>
            <w:gridSpan w:val="2"/>
            <w:noWrap w:val="0"/>
            <w:tcMar>
              <w:top w:w="0" w:type="dxa"/>
              <w:left w:w="57" w:type="dxa"/>
              <w:bottom w:w="0" w:type="dxa"/>
              <w:right w:w="57" w:type="dxa"/>
            </w:tcMar>
            <w:vAlign w:val="center"/>
          </w:tcPr>
          <w:p w14:paraId="5B309F14">
            <w:pPr>
              <w:autoSpaceDE/>
              <w:autoSpaceDN/>
              <w:adjustRightInd/>
              <w:spacing w:line="240" w:lineRule="auto"/>
              <w:jc w:val="left"/>
              <w:rPr>
                <w:rFonts w:ascii="宋体" w:hAnsi="宋体" w:cs="宋体"/>
                <w:kern w:val="2"/>
                <w:highlight w:val="none"/>
              </w:rPr>
            </w:pPr>
            <w:r>
              <w:rPr>
                <w:rFonts w:hint="eastAsia" w:ascii="宋体" w:hAnsi="宋体" w:cs="宋体"/>
                <w:kern w:val="2"/>
                <w:highlight w:val="none"/>
              </w:rPr>
              <w:t>投资控制方案</w:t>
            </w:r>
          </w:p>
          <w:p w14:paraId="3DB070B2">
            <w:pPr>
              <w:rPr>
                <w:highlight w:val="none"/>
              </w:rPr>
            </w:pPr>
            <w:r>
              <w:rPr>
                <w:rFonts w:hint="eastAsia" w:ascii="宋体" w:hAnsi="宋体" w:cs="宋体"/>
                <w:kern w:val="2"/>
                <w:highlight w:val="none"/>
              </w:rPr>
              <w:t>（</w:t>
            </w:r>
            <w:r>
              <w:rPr>
                <w:rFonts w:ascii="宋体" w:hAnsi="宋体" w:cs="宋体"/>
                <w:kern w:val="2"/>
                <w:highlight w:val="none"/>
              </w:rPr>
              <w:t>3</w:t>
            </w:r>
            <w:r>
              <w:rPr>
                <w:rFonts w:hint="eastAsia" w:ascii="宋体" w:hAnsi="宋体" w:cs="宋体"/>
                <w:kern w:val="2"/>
                <w:highlight w:val="none"/>
              </w:rPr>
              <w:t>分）</w:t>
            </w:r>
          </w:p>
          <w:p w14:paraId="1550F08F">
            <w:pPr>
              <w:autoSpaceDE/>
              <w:autoSpaceDN/>
              <w:adjustRightInd/>
              <w:spacing w:line="240" w:lineRule="auto"/>
              <w:jc w:val="left"/>
              <w:rPr>
                <w:rFonts w:hint="default" w:ascii="宋体" w:hAnsi="宋体" w:eastAsia="宋体" w:cs="宋体"/>
                <w:kern w:val="2"/>
                <w:sz w:val="24"/>
                <w:szCs w:val="24"/>
                <w:highlight w:val="none"/>
                <w:lang w:val="en-US" w:eastAsia="zh-CN" w:bidi="ar-SA"/>
              </w:rPr>
            </w:pPr>
          </w:p>
        </w:tc>
        <w:tc>
          <w:tcPr>
            <w:tcW w:w="5075" w:type="dxa"/>
            <w:noWrap w:val="0"/>
            <w:vAlign w:val="center"/>
          </w:tcPr>
          <w:p w14:paraId="47FD7EAD">
            <w:pPr>
              <w:autoSpaceDE/>
              <w:autoSpaceDN/>
              <w:adjustRightInd/>
              <w:spacing w:line="240" w:lineRule="auto"/>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要求目标明确、方法合理可行、措施具体、针对性强。方案为优得(</w:t>
            </w:r>
            <w:r>
              <w:rPr>
                <w:rFonts w:ascii="宋体" w:hAnsi="宋体" w:cs="宋体"/>
                <w:kern w:val="2"/>
                <w:highlight w:val="none"/>
              </w:rPr>
              <w:t>2</w:t>
            </w:r>
            <w:r>
              <w:rPr>
                <w:rFonts w:hint="eastAsia" w:ascii="宋体" w:hAnsi="宋体" w:cs="宋体"/>
                <w:kern w:val="2"/>
                <w:highlight w:val="none"/>
              </w:rPr>
              <w:t>-</w:t>
            </w:r>
            <w:r>
              <w:rPr>
                <w:rFonts w:ascii="宋体" w:hAnsi="宋体" w:cs="宋体"/>
                <w:kern w:val="2"/>
                <w:highlight w:val="none"/>
              </w:rPr>
              <w:t>3</w:t>
            </w:r>
            <w:r>
              <w:rPr>
                <w:rFonts w:hint="eastAsia" w:ascii="宋体" w:hAnsi="宋体" w:cs="宋体"/>
                <w:kern w:val="2"/>
                <w:highlight w:val="none"/>
              </w:rPr>
              <w:t>]分；良得(1-</w:t>
            </w:r>
            <w:r>
              <w:rPr>
                <w:rFonts w:ascii="宋体" w:hAnsi="宋体" w:cs="宋体"/>
                <w:kern w:val="2"/>
                <w:highlight w:val="none"/>
              </w:rPr>
              <w:t>2</w:t>
            </w:r>
            <w:r>
              <w:rPr>
                <w:rFonts w:hint="eastAsia" w:ascii="宋体" w:hAnsi="宋体" w:cs="宋体"/>
                <w:kern w:val="2"/>
                <w:highlight w:val="none"/>
              </w:rPr>
              <w:t>]分；一般得（0-1]分。没有不得分。</w:t>
            </w:r>
          </w:p>
        </w:tc>
      </w:tr>
      <w:tr w14:paraId="31D0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noWrap w:val="0"/>
            <w:tcMar>
              <w:top w:w="0" w:type="dxa"/>
              <w:left w:w="57" w:type="dxa"/>
              <w:bottom w:w="0" w:type="dxa"/>
              <w:right w:w="57" w:type="dxa"/>
            </w:tcMar>
            <w:vAlign w:val="center"/>
          </w:tcPr>
          <w:p w14:paraId="222065FF">
            <w:pPr>
              <w:keepNext w:val="0"/>
              <w:keepLines w:val="0"/>
              <w:pageBreakBefore w:val="0"/>
              <w:kinsoku/>
              <w:wordWrap/>
              <w:overflowPunct/>
              <w:topLinePunct w:val="0"/>
              <w:autoSpaceDE w:val="0"/>
              <w:autoSpaceDN w:val="0"/>
              <w:bidi w:val="0"/>
              <w:adjustRightInd/>
              <w:snapToGrid/>
              <w:spacing w:before="86" w:line="312" w:lineRule="auto"/>
              <w:ind w:right="17"/>
              <w:jc w:val="center"/>
              <w:textAlignment w:val="auto"/>
              <w:rPr>
                <w:rFonts w:hint="default" w:ascii="宋体" w:hAnsi="宋体" w:eastAsia="宋体" w:cs="宋体"/>
                <w:kern w:val="2"/>
                <w:sz w:val="24"/>
                <w:szCs w:val="24"/>
                <w:highlight w:val="none"/>
                <w:lang w:val="en-US" w:eastAsia="zh-CN" w:bidi="ar-SA"/>
              </w:rPr>
            </w:pPr>
          </w:p>
        </w:tc>
        <w:tc>
          <w:tcPr>
            <w:tcW w:w="1096" w:type="dxa"/>
            <w:vMerge w:val="continue"/>
            <w:noWrap w:val="0"/>
            <w:tcMar>
              <w:top w:w="0" w:type="dxa"/>
              <w:left w:w="57" w:type="dxa"/>
              <w:bottom w:w="0" w:type="dxa"/>
              <w:right w:w="57" w:type="dxa"/>
            </w:tcMar>
            <w:vAlign w:val="center"/>
          </w:tcPr>
          <w:p w14:paraId="3482CE7C">
            <w:pPr>
              <w:adjustRightInd/>
              <w:spacing w:line="240" w:lineRule="auto"/>
              <w:ind w:right="0" w:rightChars="0"/>
              <w:jc w:val="left"/>
              <w:rPr>
                <w:rFonts w:hint="default" w:ascii="宋体" w:hAnsi="宋体" w:eastAsia="宋体" w:cs="宋体"/>
                <w:kern w:val="2"/>
                <w:sz w:val="24"/>
                <w:szCs w:val="24"/>
                <w:highlight w:val="none"/>
                <w:lang w:val="en-US" w:eastAsia="zh-CN" w:bidi="ar-SA"/>
              </w:rPr>
            </w:pPr>
          </w:p>
        </w:tc>
        <w:tc>
          <w:tcPr>
            <w:tcW w:w="2470" w:type="dxa"/>
            <w:gridSpan w:val="2"/>
            <w:noWrap w:val="0"/>
            <w:tcMar>
              <w:top w:w="0" w:type="dxa"/>
              <w:left w:w="57" w:type="dxa"/>
              <w:bottom w:w="0" w:type="dxa"/>
              <w:right w:w="57" w:type="dxa"/>
            </w:tcMar>
            <w:vAlign w:val="center"/>
          </w:tcPr>
          <w:p w14:paraId="79E16B56">
            <w:pPr>
              <w:autoSpaceDE/>
              <w:autoSpaceDN/>
              <w:adjustRightInd/>
              <w:spacing w:line="240" w:lineRule="auto"/>
              <w:jc w:val="left"/>
              <w:rPr>
                <w:rFonts w:ascii="宋体" w:hAnsi="宋体" w:cs="宋体"/>
                <w:kern w:val="2"/>
                <w:highlight w:val="none"/>
              </w:rPr>
            </w:pPr>
            <w:r>
              <w:rPr>
                <w:rFonts w:hint="eastAsia" w:ascii="宋体" w:hAnsi="宋体" w:cs="宋体"/>
                <w:kern w:val="2"/>
                <w:highlight w:val="none"/>
              </w:rPr>
              <w:t>进度控制方案</w:t>
            </w:r>
          </w:p>
          <w:p w14:paraId="28BA0F10">
            <w:pPr>
              <w:rPr>
                <w:highlight w:val="none"/>
              </w:rPr>
            </w:pPr>
            <w:r>
              <w:rPr>
                <w:rFonts w:hint="eastAsia" w:ascii="宋体" w:hAnsi="宋体" w:cs="宋体"/>
                <w:kern w:val="2"/>
                <w:highlight w:val="none"/>
              </w:rPr>
              <w:t>（</w:t>
            </w:r>
            <w:r>
              <w:rPr>
                <w:rFonts w:ascii="宋体" w:hAnsi="宋体" w:cs="宋体"/>
                <w:kern w:val="2"/>
                <w:highlight w:val="none"/>
              </w:rPr>
              <w:t>3</w:t>
            </w:r>
            <w:r>
              <w:rPr>
                <w:rFonts w:hint="eastAsia" w:ascii="宋体" w:hAnsi="宋体" w:cs="宋体"/>
                <w:kern w:val="2"/>
                <w:highlight w:val="none"/>
              </w:rPr>
              <w:t>分）</w:t>
            </w:r>
          </w:p>
          <w:p w14:paraId="02750C6E">
            <w:pPr>
              <w:autoSpaceDE/>
              <w:autoSpaceDN/>
              <w:adjustRightInd/>
              <w:spacing w:line="240" w:lineRule="auto"/>
              <w:jc w:val="left"/>
              <w:rPr>
                <w:rFonts w:hint="default" w:ascii="宋体" w:hAnsi="宋体" w:eastAsia="宋体" w:cs="宋体"/>
                <w:kern w:val="2"/>
                <w:position w:val="-2"/>
                <w:sz w:val="24"/>
                <w:szCs w:val="24"/>
                <w:highlight w:val="none"/>
                <w:lang w:val="en-US" w:eastAsia="zh-CN" w:bidi="ar-SA"/>
              </w:rPr>
            </w:pPr>
          </w:p>
        </w:tc>
        <w:tc>
          <w:tcPr>
            <w:tcW w:w="5075" w:type="dxa"/>
            <w:noWrap w:val="0"/>
            <w:vAlign w:val="center"/>
          </w:tcPr>
          <w:p w14:paraId="13EEDFBE">
            <w:pPr>
              <w:autoSpaceDE/>
              <w:autoSpaceDN/>
              <w:adjustRightInd/>
              <w:spacing w:line="240" w:lineRule="auto"/>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要求目标明确、方法合理可行、措施具体、针对性强。方案为优得(</w:t>
            </w:r>
            <w:r>
              <w:rPr>
                <w:rFonts w:ascii="宋体" w:hAnsi="宋体" w:cs="宋体"/>
                <w:kern w:val="2"/>
                <w:highlight w:val="none"/>
              </w:rPr>
              <w:t>2</w:t>
            </w:r>
            <w:r>
              <w:rPr>
                <w:rFonts w:hint="eastAsia" w:ascii="宋体" w:hAnsi="宋体" w:cs="宋体"/>
                <w:kern w:val="2"/>
                <w:highlight w:val="none"/>
              </w:rPr>
              <w:t>-</w:t>
            </w:r>
            <w:r>
              <w:rPr>
                <w:rFonts w:ascii="宋体" w:hAnsi="宋体" w:cs="宋体"/>
                <w:kern w:val="2"/>
                <w:highlight w:val="none"/>
              </w:rPr>
              <w:t>3</w:t>
            </w:r>
            <w:r>
              <w:rPr>
                <w:rFonts w:hint="eastAsia" w:ascii="宋体" w:hAnsi="宋体" w:cs="宋体"/>
                <w:kern w:val="2"/>
                <w:highlight w:val="none"/>
              </w:rPr>
              <w:t>]分；良得(1-</w:t>
            </w:r>
            <w:r>
              <w:rPr>
                <w:rFonts w:ascii="宋体" w:hAnsi="宋体" w:cs="宋体"/>
                <w:kern w:val="2"/>
                <w:highlight w:val="none"/>
              </w:rPr>
              <w:t>2</w:t>
            </w:r>
            <w:r>
              <w:rPr>
                <w:rFonts w:hint="eastAsia" w:ascii="宋体" w:hAnsi="宋体" w:cs="宋体"/>
                <w:kern w:val="2"/>
                <w:highlight w:val="none"/>
              </w:rPr>
              <w:t>]分；一般得（0-1]分。没有不得分。</w:t>
            </w:r>
          </w:p>
        </w:tc>
      </w:tr>
      <w:tr w14:paraId="61C8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noWrap w:val="0"/>
            <w:tcMar>
              <w:top w:w="0" w:type="dxa"/>
              <w:left w:w="57" w:type="dxa"/>
              <w:bottom w:w="0" w:type="dxa"/>
              <w:right w:w="57" w:type="dxa"/>
            </w:tcMar>
            <w:vAlign w:val="center"/>
          </w:tcPr>
          <w:p w14:paraId="414EE8C4">
            <w:pPr>
              <w:keepNext w:val="0"/>
              <w:keepLines w:val="0"/>
              <w:pageBreakBefore w:val="0"/>
              <w:kinsoku/>
              <w:wordWrap/>
              <w:overflowPunct/>
              <w:topLinePunct w:val="0"/>
              <w:autoSpaceDE w:val="0"/>
              <w:autoSpaceDN w:val="0"/>
              <w:bidi w:val="0"/>
              <w:adjustRightInd/>
              <w:snapToGrid/>
              <w:spacing w:before="86" w:line="312" w:lineRule="auto"/>
              <w:ind w:right="17"/>
              <w:jc w:val="center"/>
              <w:textAlignment w:val="auto"/>
              <w:rPr>
                <w:rFonts w:hint="default" w:ascii="宋体" w:hAnsi="宋体" w:eastAsia="宋体" w:cs="宋体"/>
                <w:kern w:val="2"/>
                <w:sz w:val="24"/>
                <w:szCs w:val="24"/>
                <w:highlight w:val="none"/>
                <w:lang w:val="en-US" w:eastAsia="zh-CN" w:bidi="ar-SA"/>
              </w:rPr>
            </w:pPr>
          </w:p>
        </w:tc>
        <w:tc>
          <w:tcPr>
            <w:tcW w:w="1096" w:type="dxa"/>
            <w:vMerge w:val="continue"/>
            <w:noWrap w:val="0"/>
            <w:tcMar>
              <w:top w:w="0" w:type="dxa"/>
              <w:left w:w="57" w:type="dxa"/>
              <w:bottom w:w="0" w:type="dxa"/>
              <w:right w:w="57" w:type="dxa"/>
            </w:tcMar>
            <w:vAlign w:val="center"/>
          </w:tcPr>
          <w:p w14:paraId="115F2DE9">
            <w:pPr>
              <w:adjustRightInd/>
              <w:spacing w:line="240" w:lineRule="auto"/>
              <w:ind w:right="0" w:rightChars="0"/>
              <w:jc w:val="left"/>
              <w:rPr>
                <w:rFonts w:hint="default" w:ascii="宋体" w:hAnsi="宋体" w:eastAsia="宋体" w:cs="宋体"/>
                <w:kern w:val="2"/>
                <w:sz w:val="24"/>
                <w:szCs w:val="24"/>
                <w:highlight w:val="none"/>
                <w:lang w:val="en-US" w:eastAsia="zh-CN" w:bidi="ar-SA"/>
              </w:rPr>
            </w:pPr>
          </w:p>
        </w:tc>
        <w:tc>
          <w:tcPr>
            <w:tcW w:w="2470" w:type="dxa"/>
            <w:gridSpan w:val="2"/>
            <w:noWrap w:val="0"/>
            <w:tcMar>
              <w:top w:w="0" w:type="dxa"/>
              <w:left w:w="57" w:type="dxa"/>
              <w:bottom w:w="0" w:type="dxa"/>
              <w:right w:w="57" w:type="dxa"/>
            </w:tcMar>
            <w:vAlign w:val="center"/>
          </w:tcPr>
          <w:p w14:paraId="6042C455">
            <w:pPr>
              <w:autoSpaceDE/>
              <w:autoSpaceDN/>
              <w:adjustRightInd/>
              <w:spacing w:line="240" w:lineRule="auto"/>
              <w:jc w:val="left"/>
              <w:rPr>
                <w:rFonts w:ascii="宋体" w:hAnsi="宋体" w:cs="宋体"/>
                <w:kern w:val="2"/>
                <w:highlight w:val="none"/>
              </w:rPr>
            </w:pPr>
            <w:r>
              <w:rPr>
                <w:rFonts w:hint="eastAsia" w:ascii="宋体" w:hAnsi="宋体" w:cs="宋体"/>
                <w:kern w:val="2"/>
                <w:highlight w:val="none"/>
              </w:rPr>
              <w:t>质量控制方案</w:t>
            </w:r>
          </w:p>
          <w:p w14:paraId="70D68726">
            <w:pPr>
              <w:rPr>
                <w:highlight w:val="none"/>
              </w:rPr>
            </w:pPr>
            <w:r>
              <w:rPr>
                <w:rFonts w:hint="eastAsia" w:ascii="宋体" w:hAnsi="宋体" w:cs="宋体"/>
                <w:kern w:val="2"/>
                <w:highlight w:val="none"/>
              </w:rPr>
              <w:t>（</w:t>
            </w:r>
            <w:r>
              <w:rPr>
                <w:rFonts w:ascii="宋体" w:hAnsi="宋体" w:cs="宋体"/>
                <w:kern w:val="2"/>
                <w:highlight w:val="none"/>
              </w:rPr>
              <w:t>3</w:t>
            </w:r>
            <w:r>
              <w:rPr>
                <w:rFonts w:hint="eastAsia" w:ascii="宋体" w:hAnsi="宋体" w:cs="宋体"/>
                <w:kern w:val="2"/>
                <w:highlight w:val="none"/>
              </w:rPr>
              <w:t>分）</w:t>
            </w:r>
          </w:p>
          <w:p w14:paraId="20E9265C">
            <w:pPr>
              <w:autoSpaceDE/>
              <w:autoSpaceDN/>
              <w:adjustRightInd/>
              <w:spacing w:line="240" w:lineRule="auto"/>
              <w:jc w:val="left"/>
              <w:rPr>
                <w:rFonts w:hint="default" w:ascii="宋体" w:hAnsi="宋体" w:eastAsia="宋体" w:cs="宋体"/>
                <w:kern w:val="2"/>
                <w:position w:val="-2"/>
                <w:sz w:val="24"/>
                <w:szCs w:val="24"/>
                <w:highlight w:val="none"/>
                <w:lang w:val="en-US" w:eastAsia="zh-CN" w:bidi="ar-SA"/>
              </w:rPr>
            </w:pPr>
          </w:p>
        </w:tc>
        <w:tc>
          <w:tcPr>
            <w:tcW w:w="5075" w:type="dxa"/>
            <w:noWrap w:val="0"/>
            <w:vAlign w:val="center"/>
          </w:tcPr>
          <w:p w14:paraId="26B9DDBE">
            <w:pPr>
              <w:autoSpaceDE/>
              <w:autoSpaceDN/>
              <w:adjustRightInd/>
              <w:spacing w:line="240" w:lineRule="auto"/>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要求目标明确、方法合理可行、措施具体、针对性强。方案为优得(</w:t>
            </w:r>
            <w:r>
              <w:rPr>
                <w:rFonts w:ascii="宋体" w:hAnsi="宋体" w:cs="宋体"/>
                <w:kern w:val="2"/>
                <w:highlight w:val="none"/>
              </w:rPr>
              <w:t>2</w:t>
            </w:r>
            <w:r>
              <w:rPr>
                <w:rFonts w:hint="eastAsia" w:ascii="宋体" w:hAnsi="宋体" w:cs="宋体"/>
                <w:kern w:val="2"/>
                <w:highlight w:val="none"/>
              </w:rPr>
              <w:t>-</w:t>
            </w:r>
            <w:r>
              <w:rPr>
                <w:rFonts w:ascii="宋体" w:hAnsi="宋体" w:cs="宋体"/>
                <w:kern w:val="2"/>
                <w:highlight w:val="none"/>
              </w:rPr>
              <w:t>3</w:t>
            </w:r>
            <w:r>
              <w:rPr>
                <w:rFonts w:hint="eastAsia" w:ascii="宋体" w:hAnsi="宋体" w:cs="宋体"/>
                <w:kern w:val="2"/>
                <w:highlight w:val="none"/>
              </w:rPr>
              <w:t>]分；良得(1-</w:t>
            </w:r>
            <w:r>
              <w:rPr>
                <w:rFonts w:ascii="宋体" w:hAnsi="宋体" w:cs="宋体"/>
                <w:kern w:val="2"/>
                <w:highlight w:val="none"/>
              </w:rPr>
              <w:t>2</w:t>
            </w:r>
            <w:r>
              <w:rPr>
                <w:rFonts w:hint="eastAsia" w:ascii="宋体" w:hAnsi="宋体" w:cs="宋体"/>
                <w:kern w:val="2"/>
                <w:highlight w:val="none"/>
              </w:rPr>
              <w:t>]分；一般得（0-1]分。没有不得分。</w:t>
            </w:r>
          </w:p>
        </w:tc>
      </w:tr>
      <w:tr w14:paraId="6D2F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noWrap w:val="0"/>
            <w:tcMar>
              <w:top w:w="0" w:type="dxa"/>
              <w:left w:w="57" w:type="dxa"/>
              <w:bottom w:w="0" w:type="dxa"/>
              <w:right w:w="57" w:type="dxa"/>
            </w:tcMar>
            <w:vAlign w:val="center"/>
          </w:tcPr>
          <w:p w14:paraId="235C1A90">
            <w:pPr>
              <w:keepNext w:val="0"/>
              <w:keepLines w:val="0"/>
              <w:pageBreakBefore w:val="0"/>
              <w:kinsoku/>
              <w:wordWrap/>
              <w:overflowPunct/>
              <w:topLinePunct w:val="0"/>
              <w:autoSpaceDE w:val="0"/>
              <w:autoSpaceDN w:val="0"/>
              <w:bidi w:val="0"/>
              <w:adjustRightInd/>
              <w:snapToGrid/>
              <w:spacing w:before="86" w:line="312" w:lineRule="auto"/>
              <w:ind w:right="17"/>
              <w:jc w:val="center"/>
              <w:textAlignment w:val="auto"/>
              <w:rPr>
                <w:rFonts w:hint="default" w:ascii="宋体" w:hAnsi="宋体" w:eastAsia="宋体" w:cs="宋体"/>
                <w:kern w:val="2"/>
                <w:sz w:val="24"/>
                <w:szCs w:val="24"/>
                <w:highlight w:val="none"/>
                <w:lang w:val="en-US" w:eastAsia="zh-CN" w:bidi="ar-SA"/>
              </w:rPr>
            </w:pPr>
          </w:p>
        </w:tc>
        <w:tc>
          <w:tcPr>
            <w:tcW w:w="1096" w:type="dxa"/>
            <w:vMerge w:val="continue"/>
            <w:noWrap w:val="0"/>
            <w:tcMar>
              <w:top w:w="0" w:type="dxa"/>
              <w:left w:w="57" w:type="dxa"/>
              <w:bottom w:w="0" w:type="dxa"/>
              <w:right w:w="57" w:type="dxa"/>
            </w:tcMar>
            <w:vAlign w:val="center"/>
          </w:tcPr>
          <w:p w14:paraId="5C9491B2">
            <w:pPr>
              <w:adjustRightInd/>
              <w:spacing w:line="240" w:lineRule="auto"/>
              <w:ind w:right="0" w:rightChars="0"/>
              <w:jc w:val="left"/>
              <w:rPr>
                <w:rFonts w:hint="default" w:ascii="宋体" w:hAnsi="宋体" w:eastAsia="宋体" w:cs="宋体"/>
                <w:kern w:val="2"/>
                <w:sz w:val="24"/>
                <w:szCs w:val="24"/>
                <w:highlight w:val="none"/>
                <w:lang w:val="en-US" w:eastAsia="zh-CN" w:bidi="ar-SA"/>
              </w:rPr>
            </w:pPr>
          </w:p>
        </w:tc>
        <w:tc>
          <w:tcPr>
            <w:tcW w:w="2470" w:type="dxa"/>
            <w:gridSpan w:val="2"/>
            <w:noWrap w:val="0"/>
            <w:tcMar>
              <w:top w:w="0" w:type="dxa"/>
              <w:left w:w="57" w:type="dxa"/>
              <w:bottom w:w="0" w:type="dxa"/>
              <w:right w:w="57" w:type="dxa"/>
            </w:tcMar>
            <w:vAlign w:val="center"/>
          </w:tcPr>
          <w:p w14:paraId="285E8E31">
            <w:pPr>
              <w:autoSpaceDE/>
              <w:autoSpaceDN/>
              <w:adjustRightInd/>
              <w:spacing w:line="240" w:lineRule="auto"/>
              <w:jc w:val="left"/>
              <w:rPr>
                <w:rFonts w:ascii="宋体" w:hAnsi="宋体" w:cs="宋体"/>
                <w:kern w:val="2"/>
                <w:highlight w:val="none"/>
              </w:rPr>
            </w:pPr>
            <w:r>
              <w:rPr>
                <w:rFonts w:hint="eastAsia" w:ascii="宋体" w:hAnsi="宋体" w:cs="宋体"/>
                <w:kern w:val="2"/>
                <w:highlight w:val="none"/>
              </w:rPr>
              <w:t>合同管理、信息管理（含BIM管理、ESG管理）</w:t>
            </w:r>
          </w:p>
          <w:p w14:paraId="1EE59D6A">
            <w:pPr>
              <w:rPr>
                <w:highlight w:val="none"/>
              </w:rPr>
            </w:pPr>
            <w:r>
              <w:rPr>
                <w:rFonts w:hint="eastAsia" w:ascii="宋体" w:hAnsi="宋体" w:cs="宋体"/>
                <w:kern w:val="2"/>
                <w:highlight w:val="none"/>
              </w:rPr>
              <w:t>（</w:t>
            </w:r>
            <w:r>
              <w:rPr>
                <w:rFonts w:ascii="宋体" w:hAnsi="宋体" w:cs="宋体"/>
                <w:kern w:val="2"/>
                <w:highlight w:val="none"/>
              </w:rPr>
              <w:t>2</w:t>
            </w:r>
            <w:r>
              <w:rPr>
                <w:rFonts w:hint="eastAsia" w:ascii="宋体" w:hAnsi="宋体" w:cs="宋体"/>
                <w:kern w:val="2"/>
                <w:highlight w:val="none"/>
              </w:rPr>
              <w:t>分）</w:t>
            </w:r>
          </w:p>
          <w:p w14:paraId="1E43DF2A">
            <w:pPr>
              <w:autoSpaceDE/>
              <w:autoSpaceDN/>
              <w:adjustRightInd/>
              <w:spacing w:line="240" w:lineRule="auto"/>
              <w:jc w:val="left"/>
              <w:rPr>
                <w:rFonts w:hint="default" w:ascii="宋体" w:hAnsi="宋体" w:eastAsia="宋体" w:cs="宋体"/>
                <w:kern w:val="2"/>
                <w:position w:val="-2"/>
                <w:sz w:val="24"/>
                <w:szCs w:val="24"/>
                <w:highlight w:val="none"/>
                <w:lang w:val="en-US" w:eastAsia="zh-CN" w:bidi="ar-SA"/>
              </w:rPr>
            </w:pPr>
          </w:p>
        </w:tc>
        <w:tc>
          <w:tcPr>
            <w:tcW w:w="5075" w:type="dxa"/>
            <w:noWrap w:val="0"/>
            <w:vAlign w:val="center"/>
          </w:tcPr>
          <w:p w14:paraId="50A21CC4">
            <w:pPr>
              <w:autoSpaceDE/>
              <w:autoSpaceDN/>
              <w:adjustRightInd/>
              <w:spacing w:line="240" w:lineRule="auto"/>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合同管理、信息管理（含BIM管理、ESG管理）方法针对性强、措施具体得(</w:t>
            </w:r>
            <w:r>
              <w:rPr>
                <w:rFonts w:ascii="宋体" w:hAnsi="宋体" w:cs="宋体"/>
                <w:kern w:val="2"/>
                <w:highlight w:val="none"/>
              </w:rPr>
              <w:t>1</w:t>
            </w:r>
            <w:r>
              <w:rPr>
                <w:rFonts w:hint="eastAsia" w:ascii="宋体" w:hAnsi="宋体" w:cs="宋体"/>
                <w:kern w:val="2"/>
                <w:highlight w:val="none"/>
              </w:rPr>
              <w:t>-</w:t>
            </w:r>
            <w:r>
              <w:rPr>
                <w:rFonts w:ascii="宋体" w:hAnsi="宋体" w:cs="宋体"/>
                <w:kern w:val="2"/>
                <w:highlight w:val="none"/>
              </w:rPr>
              <w:t>2</w:t>
            </w:r>
            <w:r>
              <w:rPr>
                <w:rFonts w:hint="eastAsia" w:ascii="宋体" w:hAnsi="宋体" w:cs="宋体"/>
                <w:kern w:val="2"/>
                <w:highlight w:val="none"/>
              </w:rPr>
              <w:t>]分；基本可行得(</w:t>
            </w:r>
            <w:r>
              <w:rPr>
                <w:rFonts w:ascii="宋体" w:hAnsi="宋体" w:cs="宋体"/>
                <w:kern w:val="2"/>
                <w:highlight w:val="none"/>
              </w:rPr>
              <w:t>0.5</w:t>
            </w:r>
            <w:r>
              <w:rPr>
                <w:rFonts w:hint="eastAsia" w:ascii="宋体" w:hAnsi="宋体" w:cs="宋体"/>
                <w:kern w:val="2"/>
                <w:highlight w:val="none"/>
              </w:rPr>
              <w:t>-</w:t>
            </w:r>
            <w:r>
              <w:rPr>
                <w:rFonts w:ascii="宋体" w:hAnsi="宋体" w:cs="宋体"/>
                <w:kern w:val="2"/>
                <w:highlight w:val="none"/>
              </w:rPr>
              <w:t>1</w:t>
            </w:r>
            <w:r>
              <w:rPr>
                <w:rFonts w:hint="eastAsia" w:ascii="宋体" w:hAnsi="宋体" w:cs="宋体"/>
                <w:kern w:val="2"/>
                <w:highlight w:val="none"/>
              </w:rPr>
              <w:t>]分；措施不得力得(0-</w:t>
            </w:r>
            <w:r>
              <w:rPr>
                <w:rFonts w:ascii="宋体" w:hAnsi="宋体" w:cs="宋体"/>
                <w:kern w:val="2"/>
                <w:highlight w:val="none"/>
              </w:rPr>
              <w:t>0.5</w:t>
            </w:r>
            <w:r>
              <w:rPr>
                <w:rFonts w:hint="eastAsia" w:ascii="宋体" w:hAnsi="宋体" w:cs="宋体"/>
                <w:kern w:val="2"/>
                <w:highlight w:val="none"/>
              </w:rPr>
              <w:t>]分。没有不得分。</w:t>
            </w:r>
          </w:p>
        </w:tc>
      </w:tr>
      <w:tr w14:paraId="1FC7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noWrap w:val="0"/>
            <w:tcMar>
              <w:top w:w="0" w:type="dxa"/>
              <w:left w:w="57" w:type="dxa"/>
              <w:bottom w:w="0" w:type="dxa"/>
              <w:right w:w="57" w:type="dxa"/>
            </w:tcMar>
            <w:vAlign w:val="center"/>
          </w:tcPr>
          <w:p w14:paraId="600950FE">
            <w:pPr>
              <w:keepNext w:val="0"/>
              <w:keepLines w:val="0"/>
              <w:pageBreakBefore w:val="0"/>
              <w:kinsoku/>
              <w:wordWrap/>
              <w:overflowPunct/>
              <w:topLinePunct w:val="0"/>
              <w:autoSpaceDE w:val="0"/>
              <w:autoSpaceDN w:val="0"/>
              <w:bidi w:val="0"/>
              <w:adjustRightInd/>
              <w:snapToGrid/>
              <w:spacing w:before="86" w:line="312" w:lineRule="auto"/>
              <w:ind w:right="17"/>
              <w:jc w:val="center"/>
              <w:textAlignment w:val="auto"/>
              <w:rPr>
                <w:rFonts w:hint="default" w:ascii="宋体" w:hAnsi="宋体" w:eastAsia="宋体" w:cs="宋体"/>
                <w:kern w:val="2"/>
                <w:sz w:val="24"/>
                <w:szCs w:val="24"/>
                <w:highlight w:val="none"/>
                <w:lang w:val="en-US" w:eastAsia="zh-CN" w:bidi="ar-SA"/>
              </w:rPr>
            </w:pPr>
          </w:p>
        </w:tc>
        <w:tc>
          <w:tcPr>
            <w:tcW w:w="1096" w:type="dxa"/>
            <w:vMerge w:val="continue"/>
            <w:noWrap w:val="0"/>
            <w:tcMar>
              <w:top w:w="0" w:type="dxa"/>
              <w:left w:w="57" w:type="dxa"/>
              <w:bottom w:w="0" w:type="dxa"/>
              <w:right w:w="57" w:type="dxa"/>
            </w:tcMar>
            <w:vAlign w:val="center"/>
          </w:tcPr>
          <w:p w14:paraId="239F0EB3">
            <w:pPr>
              <w:adjustRightInd/>
              <w:spacing w:line="240" w:lineRule="auto"/>
              <w:ind w:right="0" w:rightChars="0"/>
              <w:jc w:val="left"/>
              <w:rPr>
                <w:rFonts w:hint="default" w:ascii="宋体" w:hAnsi="宋体" w:eastAsia="宋体" w:cs="宋体"/>
                <w:kern w:val="2"/>
                <w:sz w:val="24"/>
                <w:szCs w:val="24"/>
                <w:highlight w:val="none"/>
                <w:lang w:val="en-US" w:eastAsia="zh-CN" w:bidi="ar-SA"/>
              </w:rPr>
            </w:pPr>
          </w:p>
        </w:tc>
        <w:tc>
          <w:tcPr>
            <w:tcW w:w="2470" w:type="dxa"/>
            <w:gridSpan w:val="2"/>
            <w:noWrap w:val="0"/>
            <w:tcMar>
              <w:top w:w="0" w:type="dxa"/>
              <w:left w:w="57" w:type="dxa"/>
              <w:bottom w:w="0" w:type="dxa"/>
              <w:right w:w="57" w:type="dxa"/>
            </w:tcMar>
            <w:vAlign w:val="center"/>
          </w:tcPr>
          <w:p w14:paraId="090D1269">
            <w:pPr>
              <w:autoSpaceDE/>
              <w:autoSpaceDN/>
              <w:adjustRightInd/>
              <w:spacing w:line="240" w:lineRule="auto"/>
              <w:jc w:val="left"/>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组织协调（</w:t>
            </w:r>
            <w:r>
              <w:rPr>
                <w:rFonts w:ascii="宋体" w:hAnsi="宋体" w:cs="宋体"/>
                <w:kern w:val="2"/>
                <w:highlight w:val="none"/>
              </w:rPr>
              <w:t>2</w:t>
            </w:r>
            <w:r>
              <w:rPr>
                <w:rFonts w:hint="eastAsia" w:ascii="宋体" w:hAnsi="宋体" w:cs="宋体"/>
                <w:kern w:val="2"/>
                <w:highlight w:val="none"/>
              </w:rPr>
              <w:t>分）</w:t>
            </w:r>
          </w:p>
        </w:tc>
        <w:tc>
          <w:tcPr>
            <w:tcW w:w="5075" w:type="dxa"/>
            <w:noWrap w:val="0"/>
            <w:vAlign w:val="center"/>
          </w:tcPr>
          <w:p w14:paraId="62D3DF87">
            <w:pPr>
              <w:autoSpaceDE/>
              <w:autoSpaceDN/>
              <w:adjustRightInd/>
              <w:spacing w:line="240" w:lineRule="auto"/>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协调方法清晰合理，有具体措施。优得(</w:t>
            </w:r>
            <w:r>
              <w:rPr>
                <w:rFonts w:ascii="宋体" w:hAnsi="宋体" w:cs="宋体"/>
                <w:kern w:val="2"/>
                <w:highlight w:val="none"/>
              </w:rPr>
              <w:t>1</w:t>
            </w:r>
            <w:r>
              <w:rPr>
                <w:rFonts w:hint="eastAsia" w:ascii="宋体" w:hAnsi="宋体" w:cs="宋体"/>
                <w:kern w:val="2"/>
                <w:highlight w:val="none"/>
              </w:rPr>
              <w:t>-</w:t>
            </w:r>
            <w:r>
              <w:rPr>
                <w:rFonts w:ascii="宋体" w:hAnsi="宋体" w:cs="宋体"/>
                <w:kern w:val="2"/>
                <w:highlight w:val="none"/>
              </w:rPr>
              <w:t>2</w:t>
            </w:r>
            <w:r>
              <w:rPr>
                <w:rFonts w:hint="eastAsia" w:ascii="宋体" w:hAnsi="宋体" w:cs="宋体"/>
                <w:kern w:val="2"/>
                <w:highlight w:val="none"/>
              </w:rPr>
              <w:t>]分；良得(</w:t>
            </w:r>
            <w:r>
              <w:rPr>
                <w:rFonts w:ascii="宋体" w:hAnsi="宋体" w:cs="宋体"/>
                <w:kern w:val="2"/>
                <w:highlight w:val="none"/>
              </w:rPr>
              <w:t>0.5</w:t>
            </w:r>
            <w:r>
              <w:rPr>
                <w:rFonts w:hint="eastAsia" w:ascii="宋体" w:hAnsi="宋体" w:cs="宋体"/>
                <w:kern w:val="2"/>
                <w:highlight w:val="none"/>
              </w:rPr>
              <w:t>-</w:t>
            </w:r>
            <w:r>
              <w:rPr>
                <w:rFonts w:ascii="宋体" w:hAnsi="宋体" w:cs="宋体"/>
                <w:kern w:val="2"/>
                <w:highlight w:val="none"/>
              </w:rPr>
              <w:t>1</w:t>
            </w:r>
            <w:r>
              <w:rPr>
                <w:rFonts w:hint="eastAsia" w:ascii="宋体" w:hAnsi="宋体" w:cs="宋体"/>
                <w:kern w:val="2"/>
                <w:highlight w:val="none"/>
              </w:rPr>
              <w:t>]分；一般得(0-</w:t>
            </w:r>
            <w:r>
              <w:rPr>
                <w:rFonts w:ascii="宋体" w:hAnsi="宋体" w:cs="宋体"/>
                <w:kern w:val="2"/>
                <w:highlight w:val="none"/>
              </w:rPr>
              <w:t>0.5</w:t>
            </w:r>
            <w:r>
              <w:rPr>
                <w:rFonts w:hint="eastAsia" w:ascii="宋体" w:hAnsi="宋体" w:cs="宋体"/>
                <w:kern w:val="2"/>
                <w:highlight w:val="none"/>
              </w:rPr>
              <w:t>]分。没有不得分。</w:t>
            </w:r>
          </w:p>
        </w:tc>
      </w:tr>
      <w:tr w14:paraId="7496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noWrap w:val="0"/>
            <w:tcMar>
              <w:top w:w="0" w:type="dxa"/>
              <w:left w:w="57" w:type="dxa"/>
              <w:bottom w:w="0" w:type="dxa"/>
              <w:right w:w="57" w:type="dxa"/>
            </w:tcMar>
            <w:vAlign w:val="top"/>
          </w:tcPr>
          <w:p w14:paraId="2EBBDA58">
            <w:pPr>
              <w:keepNext w:val="0"/>
              <w:keepLines w:val="0"/>
              <w:pageBreakBefore w:val="0"/>
              <w:kinsoku/>
              <w:wordWrap/>
              <w:overflowPunct/>
              <w:topLinePunct w:val="0"/>
              <w:autoSpaceDE w:val="0"/>
              <w:autoSpaceDN w:val="0"/>
              <w:bidi w:val="0"/>
              <w:adjustRightInd/>
              <w:snapToGrid/>
              <w:spacing w:line="312" w:lineRule="auto"/>
              <w:ind w:left="2085" w:right="2060"/>
              <w:jc w:val="center"/>
              <w:textAlignment w:val="auto"/>
              <w:rPr>
                <w:rFonts w:hint="default" w:ascii="宋体" w:hAnsi="宋体" w:eastAsia="宋体" w:cs="宋体"/>
                <w:kern w:val="2"/>
                <w:sz w:val="24"/>
                <w:szCs w:val="24"/>
                <w:highlight w:val="none"/>
                <w:lang w:val="en-US" w:eastAsia="zh-CN" w:bidi="ar-SA"/>
              </w:rPr>
            </w:pPr>
          </w:p>
        </w:tc>
        <w:tc>
          <w:tcPr>
            <w:tcW w:w="1096" w:type="dxa"/>
            <w:vMerge w:val="continue"/>
            <w:noWrap w:val="0"/>
            <w:tcMar>
              <w:top w:w="0" w:type="dxa"/>
              <w:left w:w="57" w:type="dxa"/>
              <w:bottom w:w="0" w:type="dxa"/>
              <w:right w:w="57" w:type="dxa"/>
            </w:tcMar>
            <w:vAlign w:val="top"/>
          </w:tcPr>
          <w:p w14:paraId="4FF59D33">
            <w:pPr>
              <w:adjustRightInd/>
              <w:spacing w:line="240" w:lineRule="auto"/>
              <w:ind w:left="2085" w:leftChars="0" w:right="0" w:rightChars="0"/>
              <w:jc w:val="left"/>
              <w:rPr>
                <w:rFonts w:hint="default" w:ascii="宋体" w:hAnsi="宋体" w:eastAsia="宋体" w:cs="宋体"/>
                <w:kern w:val="2"/>
                <w:sz w:val="24"/>
                <w:szCs w:val="24"/>
                <w:highlight w:val="none"/>
                <w:lang w:val="en-US" w:eastAsia="zh-CN" w:bidi="ar-SA"/>
              </w:rPr>
            </w:pPr>
          </w:p>
        </w:tc>
        <w:tc>
          <w:tcPr>
            <w:tcW w:w="2470" w:type="dxa"/>
            <w:gridSpan w:val="2"/>
            <w:noWrap w:val="0"/>
            <w:tcMar>
              <w:top w:w="0" w:type="dxa"/>
              <w:left w:w="57" w:type="dxa"/>
              <w:bottom w:w="0" w:type="dxa"/>
              <w:right w:w="57" w:type="dxa"/>
            </w:tcMar>
            <w:vAlign w:val="center"/>
          </w:tcPr>
          <w:p w14:paraId="6CC3C936">
            <w:pPr>
              <w:autoSpaceDE/>
              <w:autoSpaceDN/>
              <w:adjustRightInd/>
              <w:spacing w:line="240" w:lineRule="auto"/>
              <w:jc w:val="left"/>
              <w:rPr>
                <w:rFonts w:ascii="宋体" w:hAnsi="宋体" w:cs="宋体"/>
                <w:kern w:val="2"/>
                <w:highlight w:val="none"/>
              </w:rPr>
            </w:pPr>
            <w:r>
              <w:rPr>
                <w:rFonts w:hint="eastAsia" w:ascii="宋体" w:hAnsi="宋体" w:cs="宋体"/>
                <w:kern w:val="2"/>
                <w:highlight w:val="none"/>
              </w:rPr>
              <w:t>监理工作程序</w:t>
            </w:r>
          </w:p>
          <w:p w14:paraId="093020B0">
            <w:pPr>
              <w:rPr>
                <w:highlight w:val="none"/>
              </w:rPr>
            </w:pPr>
            <w:r>
              <w:rPr>
                <w:rFonts w:hint="eastAsia" w:ascii="宋体" w:hAnsi="宋体" w:cs="宋体"/>
                <w:kern w:val="2"/>
                <w:highlight w:val="none"/>
              </w:rPr>
              <w:t>（</w:t>
            </w:r>
            <w:r>
              <w:rPr>
                <w:rFonts w:ascii="宋体" w:hAnsi="宋体" w:cs="宋体"/>
                <w:kern w:val="2"/>
                <w:highlight w:val="none"/>
              </w:rPr>
              <w:t>2</w:t>
            </w:r>
            <w:r>
              <w:rPr>
                <w:rFonts w:hint="eastAsia" w:ascii="宋体" w:hAnsi="宋体" w:cs="宋体"/>
                <w:kern w:val="2"/>
                <w:highlight w:val="none"/>
              </w:rPr>
              <w:t>分）</w:t>
            </w:r>
          </w:p>
          <w:p w14:paraId="5CC754C0">
            <w:pPr>
              <w:autoSpaceDE/>
              <w:autoSpaceDN/>
              <w:adjustRightInd/>
              <w:spacing w:line="240" w:lineRule="auto"/>
              <w:jc w:val="left"/>
              <w:rPr>
                <w:rFonts w:hint="default" w:ascii="宋体" w:hAnsi="宋体" w:eastAsia="宋体" w:cs="宋体"/>
                <w:kern w:val="2"/>
                <w:sz w:val="24"/>
                <w:szCs w:val="24"/>
                <w:highlight w:val="none"/>
                <w:lang w:val="en-US" w:eastAsia="zh-CN" w:bidi="ar-SA"/>
              </w:rPr>
            </w:pPr>
          </w:p>
        </w:tc>
        <w:tc>
          <w:tcPr>
            <w:tcW w:w="5075" w:type="dxa"/>
            <w:noWrap w:val="0"/>
            <w:vAlign w:val="center"/>
          </w:tcPr>
          <w:p w14:paraId="74F4B933">
            <w:pPr>
              <w:autoSpaceDE/>
              <w:autoSpaceDN/>
              <w:adjustRightInd/>
              <w:spacing w:line="240" w:lineRule="auto"/>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有清晰的工作流程图、工作准则。优得(</w:t>
            </w:r>
            <w:r>
              <w:rPr>
                <w:rFonts w:ascii="宋体" w:hAnsi="宋体" w:cs="宋体"/>
                <w:kern w:val="2"/>
                <w:highlight w:val="none"/>
              </w:rPr>
              <w:t>1</w:t>
            </w:r>
            <w:r>
              <w:rPr>
                <w:rFonts w:hint="eastAsia" w:ascii="宋体" w:hAnsi="宋体" w:cs="宋体"/>
                <w:kern w:val="2"/>
                <w:highlight w:val="none"/>
              </w:rPr>
              <w:t>-</w:t>
            </w:r>
            <w:r>
              <w:rPr>
                <w:rFonts w:ascii="宋体" w:hAnsi="宋体" w:cs="宋体"/>
                <w:kern w:val="2"/>
                <w:highlight w:val="none"/>
              </w:rPr>
              <w:t>2</w:t>
            </w:r>
            <w:r>
              <w:rPr>
                <w:rFonts w:hint="eastAsia" w:ascii="宋体" w:hAnsi="宋体" w:cs="宋体"/>
                <w:kern w:val="2"/>
                <w:highlight w:val="none"/>
              </w:rPr>
              <w:t>]分；良得(</w:t>
            </w:r>
            <w:r>
              <w:rPr>
                <w:rFonts w:ascii="宋体" w:hAnsi="宋体" w:cs="宋体"/>
                <w:kern w:val="2"/>
                <w:highlight w:val="none"/>
              </w:rPr>
              <w:t>0.5</w:t>
            </w:r>
            <w:r>
              <w:rPr>
                <w:rFonts w:hint="eastAsia" w:ascii="宋体" w:hAnsi="宋体" w:cs="宋体"/>
                <w:kern w:val="2"/>
                <w:highlight w:val="none"/>
              </w:rPr>
              <w:t>-</w:t>
            </w:r>
            <w:r>
              <w:rPr>
                <w:rFonts w:ascii="宋体" w:hAnsi="宋体" w:cs="宋体"/>
                <w:kern w:val="2"/>
                <w:highlight w:val="none"/>
              </w:rPr>
              <w:t>1</w:t>
            </w:r>
            <w:r>
              <w:rPr>
                <w:rFonts w:hint="eastAsia" w:ascii="宋体" w:hAnsi="宋体" w:cs="宋体"/>
                <w:kern w:val="2"/>
                <w:highlight w:val="none"/>
              </w:rPr>
              <w:t>]分；一般得(0-</w:t>
            </w:r>
            <w:r>
              <w:rPr>
                <w:rFonts w:ascii="宋体" w:hAnsi="宋体" w:cs="宋体"/>
                <w:kern w:val="2"/>
                <w:highlight w:val="none"/>
              </w:rPr>
              <w:t>0.5</w:t>
            </w:r>
            <w:r>
              <w:rPr>
                <w:rFonts w:hint="eastAsia" w:ascii="宋体" w:hAnsi="宋体" w:cs="宋体"/>
                <w:kern w:val="2"/>
                <w:highlight w:val="none"/>
              </w:rPr>
              <w:t>]分。没有不得分。</w:t>
            </w:r>
          </w:p>
        </w:tc>
      </w:tr>
      <w:tr w14:paraId="1CCC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noWrap w:val="0"/>
            <w:tcMar>
              <w:top w:w="0" w:type="dxa"/>
              <w:left w:w="57" w:type="dxa"/>
              <w:bottom w:w="0" w:type="dxa"/>
              <w:right w:w="57" w:type="dxa"/>
            </w:tcMar>
            <w:vAlign w:val="top"/>
          </w:tcPr>
          <w:p w14:paraId="0634BAA7">
            <w:pPr>
              <w:keepNext w:val="0"/>
              <w:keepLines w:val="0"/>
              <w:pageBreakBefore w:val="0"/>
              <w:kinsoku/>
              <w:wordWrap/>
              <w:overflowPunct/>
              <w:topLinePunct w:val="0"/>
              <w:autoSpaceDE w:val="0"/>
              <w:autoSpaceDN w:val="0"/>
              <w:bidi w:val="0"/>
              <w:adjustRightInd/>
              <w:snapToGrid/>
              <w:spacing w:line="312" w:lineRule="auto"/>
              <w:ind w:left="2081" w:right="2056"/>
              <w:jc w:val="center"/>
              <w:textAlignment w:val="auto"/>
              <w:rPr>
                <w:rFonts w:hint="default" w:ascii="宋体" w:hAnsi="宋体" w:eastAsia="宋体" w:cs="宋体"/>
                <w:kern w:val="2"/>
                <w:sz w:val="24"/>
                <w:szCs w:val="24"/>
                <w:highlight w:val="none"/>
                <w:lang w:val="en-US" w:eastAsia="zh-CN" w:bidi="ar-SA"/>
              </w:rPr>
            </w:pPr>
          </w:p>
        </w:tc>
        <w:tc>
          <w:tcPr>
            <w:tcW w:w="1096" w:type="dxa"/>
            <w:vMerge w:val="continue"/>
            <w:noWrap w:val="0"/>
            <w:tcMar>
              <w:top w:w="0" w:type="dxa"/>
              <w:left w:w="57" w:type="dxa"/>
              <w:bottom w:w="0" w:type="dxa"/>
              <w:right w:w="57" w:type="dxa"/>
            </w:tcMar>
            <w:vAlign w:val="top"/>
          </w:tcPr>
          <w:p w14:paraId="66DA50FC">
            <w:pPr>
              <w:adjustRightInd/>
              <w:spacing w:line="240" w:lineRule="auto"/>
              <w:ind w:left="2081" w:leftChars="0" w:right="0" w:rightChars="0"/>
              <w:jc w:val="left"/>
              <w:rPr>
                <w:rFonts w:hint="default" w:ascii="宋体" w:hAnsi="宋体" w:eastAsia="宋体" w:cs="宋体"/>
                <w:kern w:val="2"/>
                <w:sz w:val="24"/>
                <w:szCs w:val="24"/>
                <w:highlight w:val="none"/>
                <w:lang w:val="en-US" w:eastAsia="zh-CN" w:bidi="ar-SA"/>
              </w:rPr>
            </w:pPr>
          </w:p>
        </w:tc>
        <w:tc>
          <w:tcPr>
            <w:tcW w:w="2470" w:type="dxa"/>
            <w:gridSpan w:val="2"/>
            <w:noWrap w:val="0"/>
            <w:tcMar>
              <w:top w:w="0" w:type="dxa"/>
              <w:left w:w="57" w:type="dxa"/>
              <w:bottom w:w="0" w:type="dxa"/>
              <w:right w:w="57" w:type="dxa"/>
            </w:tcMar>
            <w:vAlign w:val="center"/>
          </w:tcPr>
          <w:p w14:paraId="47E2504B">
            <w:pPr>
              <w:autoSpaceDE/>
              <w:autoSpaceDN/>
              <w:adjustRightInd/>
              <w:spacing w:line="240" w:lineRule="auto"/>
              <w:jc w:val="left"/>
              <w:rPr>
                <w:rFonts w:ascii="宋体" w:hAnsi="宋体" w:cs="宋体"/>
                <w:kern w:val="2"/>
                <w:highlight w:val="none"/>
              </w:rPr>
            </w:pPr>
            <w:r>
              <w:rPr>
                <w:rFonts w:hint="eastAsia" w:ascii="宋体" w:hAnsi="宋体" w:cs="宋体"/>
                <w:kern w:val="2"/>
                <w:highlight w:val="none"/>
              </w:rPr>
              <w:t>安全、文明施工管理与环保监理措施</w:t>
            </w:r>
          </w:p>
          <w:p w14:paraId="11A8E90A">
            <w:pPr>
              <w:rPr>
                <w:highlight w:val="none"/>
              </w:rPr>
            </w:pPr>
            <w:r>
              <w:rPr>
                <w:rFonts w:hint="eastAsia" w:ascii="宋体" w:hAnsi="宋体" w:cs="宋体"/>
                <w:kern w:val="2"/>
                <w:highlight w:val="none"/>
              </w:rPr>
              <w:t>（</w:t>
            </w:r>
            <w:r>
              <w:rPr>
                <w:rFonts w:hint="eastAsia" w:ascii="宋体" w:hAnsi="宋体" w:cs="宋体"/>
                <w:kern w:val="2"/>
                <w:highlight w:val="none"/>
                <w:lang w:val="en-US" w:eastAsia="zh-CN"/>
              </w:rPr>
              <w:t>3</w:t>
            </w:r>
            <w:r>
              <w:rPr>
                <w:rFonts w:hint="eastAsia" w:ascii="宋体" w:hAnsi="宋体" w:cs="宋体"/>
                <w:kern w:val="2"/>
                <w:highlight w:val="none"/>
              </w:rPr>
              <w:t>分）</w:t>
            </w:r>
          </w:p>
          <w:p w14:paraId="1B191A5C">
            <w:pPr>
              <w:autoSpaceDE/>
              <w:autoSpaceDN/>
              <w:adjustRightInd/>
              <w:spacing w:line="240" w:lineRule="auto"/>
              <w:jc w:val="left"/>
              <w:rPr>
                <w:rFonts w:hint="default" w:ascii="宋体" w:hAnsi="宋体" w:eastAsia="宋体" w:cs="宋体"/>
                <w:kern w:val="2"/>
                <w:sz w:val="24"/>
                <w:szCs w:val="24"/>
                <w:highlight w:val="none"/>
                <w:lang w:val="en-US" w:eastAsia="zh-CN" w:bidi="ar-SA"/>
              </w:rPr>
            </w:pPr>
          </w:p>
        </w:tc>
        <w:tc>
          <w:tcPr>
            <w:tcW w:w="5075" w:type="dxa"/>
            <w:noWrap w:val="0"/>
            <w:vAlign w:val="center"/>
          </w:tcPr>
          <w:p w14:paraId="3ACBC69C">
            <w:pPr>
              <w:autoSpaceDE/>
              <w:autoSpaceDN/>
              <w:adjustRightInd/>
              <w:spacing w:line="240" w:lineRule="auto"/>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安全、文明施工管理与环保监理措施。优得(</w:t>
            </w:r>
            <w:r>
              <w:rPr>
                <w:rFonts w:hint="eastAsia" w:ascii="宋体" w:hAnsi="宋体" w:cs="宋体"/>
                <w:kern w:val="2"/>
                <w:highlight w:val="none"/>
                <w:lang w:val="en-US" w:eastAsia="zh-CN"/>
              </w:rPr>
              <w:t>2</w:t>
            </w:r>
            <w:r>
              <w:rPr>
                <w:rFonts w:hint="eastAsia" w:ascii="宋体" w:hAnsi="宋体" w:cs="宋体"/>
                <w:kern w:val="2"/>
                <w:highlight w:val="none"/>
              </w:rPr>
              <w:t>-</w:t>
            </w:r>
            <w:r>
              <w:rPr>
                <w:rFonts w:hint="eastAsia" w:ascii="宋体" w:hAnsi="宋体" w:cs="宋体"/>
                <w:kern w:val="2"/>
                <w:highlight w:val="none"/>
                <w:lang w:val="en-US" w:eastAsia="zh-CN"/>
              </w:rPr>
              <w:t>3</w:t>
            </w:r>
            <w:r>
              <w:rPr>
                <w:rFonts w:hint="eastAsia" w:ascii="宋体" w:hAnsi="宋体" w:cs="宋体"/>
                <w:kern w:val="2"/>
                <w:highlight w:val="none"/>
              </w:rPr>
              <w:t>]分；良得(</w:t>
            </w:r>
            <w:r>
              <w:rPr>
                <w:rFonts w:hint="eastAsia" w:ascii="宋体" w:hAnsi="宋体" w:cs="宋体"/>
                <w:kern w:val="2"/>
                <w:highlight w:val="none"/>
                <w:lang w:val="en-US" w:eastAsia="zh-CN"/>
              </w:rPr>
              <w:t>1</w:t>
            </w:r>
            <w:r>
              <w:rPr>
                <w:rFonts w:hint="eastAsia" w:ascii="宋体" w:hAnsi="宋体" w:cs="宋体"/>
                <w:kern w:val="2"/>
                <w:highlight w:val="none"/>
              </w:rPr>
              <w:t>-</w:t>
            </w:r>
            <w:r>
              <w:rPr>
                <w:rFonts w:hint="eastAsia" w:ascii="宋体" w:hAnsi="宋体" w:cs="宋体"/>
                <w:kern w:val="2"/>
                <w:highlight w:val="none"/>
                <w:lang w:val="en-US" w:eastAsia="zh-CN"/>
              </w:rPr>
              <w:t>2</w:t>
            </w:r>
            <w:r>
              <w:rPr>
                <w:rFonts w:hint="eastAsia" w:ascii="宋体" w:hAnsi="宋体" w:cs="宋体"/>
                <w:kern w:val="2"/>
                <w:highlight w:val="none"/>
              </w:rPr>
              <w:t>]分；一般得(0-</w:t>
            </w:r>
            <w:r>
              <w:rPr>
                <w:rFonts w:hint="eastAsia" w:ascii="宋体" w:hAnsi="宋体" w:cs="宋体"/>
                <w:kern w:val="2"/>
                <w:highlight w:val="none"/>
                <w:lang w:val="en-US" w:eastAsia="zh-CN"/>
              </w:rPr>
              <w:t>1</w:t>
            </w:r>
            <w:r>
              <w:rPr>
                <w:rFonts w:hint="eastAsia" w:ascii="宋体" w:hAnsi="宋体" w:cs="宋体"/>
                <w:kern w:val="2"/>
                <w:highlight w:val="none"/>
              </w:rPr>
              <w:t>]分。没有不得分。</w:t>
            </w:r>
          </w:p>
        </w:tc>
      </w:tr>
      <w:tr w14:paraId="1C51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noWrap w:val="0"/>
            <w:tcMar>
              <w:top w:w="0" w:type="dxa"/>
              <w:left w:w="57" w:type="dxa"/>
              <w:bottom w:w="0" w:type="dxa"/>
              <w:right w:w="57" w:type="dxa"/>
            </w:tcMar>
            <w:vAlign w:val="top"/>
          </w:tcPr>
          <w:p w14:paraId="7BD29348">
            <w:pPr>
              <w:keepNext w:val="0"/>
              <w:keepLines w:val="0"/>
              <w:pageBreakBefore w:val="0"/>
              <w:kinsoku/>
              <w:wordWrap/>
              <w:overflowPunct/>
              <w:topLinePunct w:val="0"/>
              <w:autoSpaceDE w:val="0"/>
              <w:autoSpaceDN w:val="0"/>
              <w:bidi w:val="0"/>
              <w:adjustRightInd/>
              <w:snapToGrid/>
              <w:spacing w:line="312" w:lineRule="auto"/>
              <w:ind w:left="2090" w:right="2065"/>
              <w:jc w:val="center"/>
              <w:textAlignment w:val="auto"/>
              <w:rPr>
                <w:rFonts w:hint="default" w:ascii="宋体" w:hAnsi="宋体" w:eastAsia="宋体" w:cs="宋体"/>
                <w:kern w:val="2"/>
                <w:sz w:val="24"/>
                <w:szCs w:val="24"/>
                <w:highlight w:val="none"/>
                <w:lang w:val="en-US" w:eastAsia="zh-CN" w:bidi="ar-SA"/>
              </w:rPr>
            </w:pPr>
          </w:p>
        </w:tc>
        <w:tc>
          <w:tcPr>
            <w:tcW w:w="1096" w:type="dxa"/>
            <w:vMerge w:val="continue"/>
            <w:noWrap w:val="0"/>
            <w:tcMar>
              <w:top w:w="0" w:type="dxa"/>
              <w:left w:w="57" w:type="dxa"/>
              <w:bottom w:w="0" w:type="dxa"/>
              <w:right w:w="57" w:type="dxa"/>
            </w:tcMar>
            <w:vAlign w:val="top"/>
          </w:tcPr>
          <w:p w14:paraId="3156D24A">
            <w:pPr>
              <w:adjustRightInd/>
              <w:spacing w:line="240" w:lineRule="auto"/>
              <w:ind w:left="2090" w:leftChars="0" w:right="0" w:rightChars="0"/>
              <w:jc w:val="left"/>
              <w:rPr>
                <w:rFonts w:hint="default" w:ascii="宋体" w:hAnsi="宋体" w:eastAsia="宋体" w:cs="宋体"/>
                <w:kern w:val="2"/>
                <w:sz w:val="24"/>
                <w:szCs w:val="24"/>
                <w:highlight w:val="none"/>
                <w:lang w:val="en-US" w:eastAsia="zh-CN" w:bidi="ar-SA"/>
              </w:rPr>
            </w:pPr>
          </w:p>
        </w:tc>
        <w:tc>
          <w:tcPr>
            <w:tcW w:w="2470" w:type="dxa"/>
            <w:gridSpan w:val="2"/>
            <w:noWrap w:val="0"/>
            <w:tcMar>
              <w:top w:w="0" w:type="dxa"/>
              <w:left w:w="57" w:type="dxa"/>
              <w:bottom w:w="0" w:type="dxa"/>
              <w:right w:w="57" w:type="dxa"/>
            </w:tcMar>
            <w:vAlign w:val="center"/>
          </w:tcPr>
          <w:p w14:paraId="76A9F6E7">
            <w:pPr>
              <w:autoSpaceDE/>
              <w:autoSpaceDN/>
              <w:adjustRightInd/>
              <w:spacing w:line="240" w:lineRule="auto"/>
              <w:jc w:val="left"/>
              <w:rPr>
                <w:rFonts w:ascii="宋体" w:hAnsi="宋体" w:cs="宋体"/>
                <w:kern w:val="2"/>
                <w:highlight w:val="none"/>
              </w:rPr>
            </w:pPr>
            <w:r>
              <w:rPr>
                <w:rFonts w:hint="eastAsia" w:ascii="宋体" w:hAnsi="宋体" w:cs="宋体"/>
                <w:kern w:val="2"/>
                <w:highlight w:val="none"/>
              </w:rPr>
              <w:t>重点难点监控措施</w:t>
            </w:r>
          </w:p>
          <w:p w14:paraId="12D00FD7">
            <w:pPr>
              <w:rPr>
                <w:highlight w:val="none"/>
              </w:rPr>
            </w:pPr>
            <w:r>
              <w:rPr>
                <w:rFonts w:hint="eastAsia" w:ascii="宋体" w:hAnsi="宋体" w:cs="宋体"/>
                <w:kern w:val="2"/>
                <w:highlight w:val="none"/>
              </w:rPr>
              <w:t>（</w:t>
            </w:r>
            <w:r>
              <w:rPr>
                <w:rFonts w:ascii="宋体" w:hAnsi="宋体" w:cs="宋体"/>
                <w:kern w:val="2"/>
                <w:highlight w:val="none"/>
              </w:rPr>
              <w:t>3</w:t>
            </w:r>
            <w:r>
              <w:rPr>
                <w:rFonts w:hint="eastAsia" w:ascii="宋体" w:hAnsi="宋体" w:cs="宋体"/>
                <w:kern w:val="2"/>
                <w:highlight w:val="none"/>
              </w:rPr>
              <w:t>分）</w:t>
            </w:r>
          </w:p>
          <w:p w14:paraId="0BC9CF2B">
            <w:pPr>
              <w:autoSpaceDE/>
              <w:autoSpaceDN/>
              <w:adjustRightInd/>
              <w:spacing w:line="240" w:lineRule="auto"/>
              <w:jc w:val="left"/>
              <w:rPr>
                <w:rFonts w:hint="default" w:ascii="宋体" w:hAnsi="宋体" w:eastAsia="宋体" w:cs="宋体"/>
                <w:kern w:val="2"/>
                <w:sz w:val="24"/>
                <w:szCs w:val="24"/>
                <w:highlight w:val="none"/>
                <w:lang w:val="en-US" w:eastAsia="zh-CN" w:bidi="ar-SA"/>
              </w:rPr>
            </w:pPr>
          </w:p>
        </w:tc>
        <w:tc>
          <w:tcPr>
            <w:tcW w:w="5075" w:type="dxa"/>
            <w:noWrap w:val="0"/>
            <w:vAlign w:val="center"/>
          </w:tcPr>
          <w:p w14:paraId="63A7D197">
            <w:pPr>
              <w:autoSpaceDE/>
              <w:autoSpaceDN/>
              <w:adjustRightInd/>
              <w:spacing w:line="240" w:lineRule="auto"/>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要求针对性强、措施具体、可操作。优得(</w:t>
            </w:r>
            <w:r>
              <w:rPr>
                <w:rFonts w:ascii="宋体" w:hAnsi="宋体" w:cs="宋体"/>
                <w:kern w:val="2"/>
                <w:highlight w:val="none"/>
              </w:rPr>
              <w:t>2</w:t>
            </w:r>
            <w:r>
              <w:rPr>
                <w:rFonts w:hint="eastAsia" w:ascii="宋体" w:hAnsi="宋体" w:cs="宋体"/>
                <w:kern w:val="2"/>
                <w:highlight w:val="none"/>
              </w:rPr>
              <w:t>-</w:t>
            </w:r>
            <w:r>
              <w:rPr>
                <w:rFonts w:ascii="宋体" w:hAnsi="宋体" w:cs="宋体"/>
                <w:kern w:val="2"/>
                <w:highlight w:val="none"/>
              </w:rPr>
              <w:t>3</w:t>
            </w:r>
            <w:r>
              <w:rPr>
                <w:rFonts w:hint="eastAsia" w:ascii="宋体" w:hAnsi="宋体" w:cs="宋体"/>
                <w:kern w:val="2"/>
                <w:highlight w:val="none"/>
              </w:rPr>
              <w:t>]分；良得(1-</w:t>
            </w:r>
            <w:r>
              <w:rPr>
                <w:rFonts w:ascii="宋体" w:hAnsi="宋体" w:cs="宋体"/>
                <w:kern w:val="2"/>
                <w:highlight w:val="none"/>
              </w:rPr>
              <w:t>2</w:t>
            </w:r>
            <w:r>
              <w:rPr>
                <w:rFonts w:hint="eastAsia" w:ascii="宋体" w:hAnsi="宋体" w:cs="宋体"/>
                <w:kern w:val="2"/>
                <w:highlight w:val="none"/>
              </w:rPr>
              <w:t>]分；一般得(0-1]分。没有不得分。</w:t>
            </w:r>
          </w:p>
        </w:tc>
      </w:tr>
      <w:tr w14:paraId="7ED3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noWrap w:val="0"/>
            <w:tcMar>
              <w:top w:w="0" w:type="dxa"/>
              <w:left w:w="57" w:type="dxa"/>
              <w:bottom w:w="0" w:type="dxa"/>
              <w:right w:w="57" w:type="dxa"/>
            </w:tcMar>
            <w:vAlign w:val="top"/>
          </w:tcPr>
          <w:p w14:paraId="0BF437ED">
            <w:pPr>
              <w:keepNext w:val="0"/>
              <w:keepLines w:val="0"/>
              <w:pageBreakBefore w:val="0"/>
              <w:kinsoku/>
              <w:wordWrap/>
              <w:overflowPunct/>
              <w:topLinePunct w:val="0"/>
              <w:autoSpaceDE w:val="0"/>
              <w:autoSpaceDN w:val="0"/>
              <w:bidi w:val="0"/>
              <w:adjustRightInd/>
              <w:snapToGrid/>
              <w:spacing w:line="312" w:lineRule="auto"/>
              <w:ind w:left="2080" w:right="2055"/>
              <w:jc w:val="center"/>
              <w:textAlignment w:val="auto"/>
              <w:rPr>
                <w:rFonts w:hint="default" w:ascii="宋体" w:hAnsi="宋体" w:eastAsia="宋体" w:cs="宋体"/>
                <w:kern w:val="2"/>
                <w:sz w:val="24"/>
                <w:szCs w:val="24"/>
                <w:highlight w:val="none"/>
                <w:lang w:val="en-US" w:eastAsia="zh-CN" w:bidi="ar-SA"/>
              </w:rPr>
            </w:pPr>
          </w:p>
        </w:tc>
        <w:tc>
          <w:tcPr>
            <w:tcW w:w="1096" w:type="dxa"/>
            <w:vMerge w:val="continue"/>
            <w:noWrap w:val="0"/>
            <w:tcMar>
              <w:top w:w="0" w:type="dxa"/>
              <w:left w:w="57" w:type="dxa"/>
              <w:bottom w:w="0" w:type="dxa"/>
              <w:right w:w="57" w:type="dxa"/>
            </w:tcMar>
            <w:vAlign w:val="top"/>
          </w:tcPr>
          <w:p w14:paraId="2E39D233">
            <w:pPr>
              <w:adjustRightInd/>
              <w:spacing w:line="240" w:lineRule="auto"/>
              <w:ind w:left="2080" w:leftChars="0" w:right="0" w:rightChars="0"/>
              <w:jc w:val="left"/>
              <w:rPr>
                <w:rFonts w:hint="default" w:ascii="宋体" w:hAnsi="宋体" w:eastAsia="宋体" w:cs="宋体"/>
                <w:kern w:val="2"/>
                <w:sz w:val="24"/>
                <w:szCs w:val="24"/>
                <w:highlight w:val="none"/>
                <w:lang w:val="en-US" w:eastAsia="zh-CN" w:bidi="ar-SA"/>
              </w:rPr>
            </w:pPr>
          </w:p>
        </w:tc>
        <w:tc>
          <w:tcPr>
            <w:tcW w:w="2470" w:type="dxa"/>
            <w:gridSpan w:val="2"/>
            <w:noWrap w:val="0"/>
            <w:tcMar>
              <w:top w:w="0" w:type="dxa"/>
              <w:left w:w="57" w:type="dxa"/>
              <w:bottom w:w="0" w:type="dxa"/>
              <w:right w:w="57" w:type="dxa"/>
            </w:tcMar>
            <w:vAlign w:val="center"/>
          </w:tcPr>
          <w:p w14:paraId="321E778A">
            <w:pPr>
              <w:autoSpaceDE/>
              <w:autoSpaceDN/>
              <w:adjustRightInd/>
              <w:spacing w:line="240" w:lineRule="auto"/>
              <w:jc w:val="left"/>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工程进度与工程结算的管理（</w:t>
            </w:r>
            <w:r>
              <w:rPr>
                <w:rFonts w:ascii="宋体" w:hAnsi="宋体" w:cs="宋体"/>
                <w:kern w:val="2"/>
                <w:highlight w:val="none"/>
              </w:rPr>
              <w:t>1</w:t>
            </w:r>
            <w:r>
              <w:rPr>
                <w:rFonts w:hint="eastAsia" w:ascii="宋体" w:hAnsi="宋体" w:cs="宋体"/>
                <w:kern w:val="2"/>
                <w:highlight w:val="none"/>
              </w:rPr>
              <w:t>分）</w:t>
            </w:r>
          </w:p>
        </w:tc>
        <w:tc>
          <w:tcPr>
            <w:tcW w:w="5075" w:type="dxa"/>
            <w:noWrap w:val="0"/>
            <w:vAlign w:val="center"/>
          </w:tcPr>
          <w:p w14:paraId="4D859126">
            <w:pPr>
              <w:autoSpaceDE/>
              <w:autoSpaceDN/>
              <w:adjustRightInd/>
              <w:spacing w:line="240" w:lineRule="auto"/>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管理方法合理有效、有具体措施。优得（</w:t>
            </w:r>
            <w:r>
              <w:rPr>
                <w:rFonts w:ascii="宋体" w:hAnsi="宋体" w:cs="宋体"/>
                <w:kern w:val="2"/>
                <w:highlight w:val="none"/>
              </w:rPr>
              <w:t>0.5</w:t>
            </w:r>
            <w:r>
              <w:rPr>
                <w:rFonts w:hint="eastAsia" w:ascii="宋体" w:hAnsi="宋体" w:cs="宋体"/>
                <w:kern w:val="2"/>
                <w:highlight w:val="none"/>
              </w:rPr>
              <w:t>-</w:t>
            </w:r>
            <w:r>
              <w:rPr>
                <w:rFonts w:ascii="宋体" w:hAnsi="宋体" w:cs="宋体"/>
                <w:kern w:val="2"/>
                <w:highlight w:val="none"/>
              </w:rPr>
              <w:t>1</w:t>
            </w:r>
            <w:r>
              <w:rPr>
                <w:rFonts w:hint="eastAsia" w:ascii="宋体" w:hAnsi="宋体" w:cs="宋体"/>
                <w:kern w:val="2"/>
                <w:highlight w:val="none"/>
              </w:rPr>
              <w:t>]分；一般、措施不具体得(0-</w:t>
            </w:r>
            <w:r>
              <w:rPr>
                <w:rFonts w:ascii="宋体" w:hAnsi="宋体" w:cs="宋体"/>
                <w:kern w:val="2"/>
                <w:highlight w:val="none"/>
              </w:rPr>
              <w:t>0.5</w:t>
            </w:r>
            <w:r>
              <w:rPr>
                <w:rFonts w:hint="eastAsia" w:ascii="宋体" w:hAnsi="宋体" w:cs="宋体"/>
                <w:kern w:val="2"/>
                <w:highlight w:val="none"/>
              </w:rPr>
              <w:t>] 分；无管理方法和措施的不得分。</w:t>
            </w:r>
          </w:p>
        </w:tc>
      </w:tr>
      <w:tr w14:paraId="15E9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noWrap w:val="0"/>
            <w:tcMar>
              <w:top w:w="0" w:type="dxa"/>
              <w:left w:w="57" w:type="dxa"/>
              <w:bottom w:w="0" w:type="dxa"/>
              <w:right w:w="57" w:type="dxa"/>
            </w:tcMar>
            <w:vAlign w:val="top"/>
          </w:tcPr>
          <w:p w14:paraId="49AB8BA5">
            <w:pPr>
              <w:keepNext w:val="0"/>
              <w:keepLines w:val="0"/>
              <w:pageBreakBefore w:val="0"/>
              <w:kinsoku/>
              <w:wordWrap/>
              <w:overflowPunct/>
              <w:topLinePunct w:val="0"/>
              <w:autoSpaceDE w:val="0"/>
              <w:autoSpaceDN w:val="0"/>
              <w:bidi w:val="0"/>
              <w:adjustRightInd/>
              <w:snapToGrid/>
              <w:spacing w:line="312" w:lineRule="auto"/>
              <w:ind w:left="2080" w:right="2055"/>
              <w:jc w:val="center"/>
              <w:textAlignment w:val="auto"/>
              <w:rPr>
                <w:rFonts w:hint="default" w:ascii="宋体" w:hAnsi="宋体" w:eastAsia="宋体" w:cs="宋体"/>
                <w:kern w:val="2"/>
                <w:sz w:val="24"/>
                <w:szCs w:val="24"/>
                <w:highlight w:val="none"/>
                <w:lang w:val="en-US" w:eastAsia="zh-CN" w:bidi="ar-SA"/>
              </w:rPr>
            </w:pPr>
          </w:p>
        </w:tc>
        <w:tc>
          <w:tcPr>
            <w:tcW w:w="1096" w:type="dxa"/>
            <w:vMerge w:val="continue"/>
            <w:noWrap w:val="0"/>
            <w:tcMar>
              <w:top w:w="0" w:type="dxa"/>
              <w:left w:w="57" w:type="dxa"/>
              <w:bottom w:w="0" w:type="dxa"/>
              <w:right w:w="57" w:type="dxa"/>
            </w:tcMar>
            <w:vAlign w:val="top"/>
          </w:tcPr>
          <w:p w14:paraId="70CA95B5">
            <w:pPr>
              <w:adjustRightInd/>
              <w:spacing w:line="240" w:lineRule="auto"/>
              <w:ind w:left="2080" w:leftChars="0" w:right="0" w:rightChars="0"/>
              <w:jc w:val="left"/>
              <w:rPr>
                <w:rFonts w:hint="default" w:ascii="宋体" w:hAnsi="宋体" w:eastAsia="宋体" w:cs="宋体"/>
                <w:kern w:val="2"/>
                <w:sz w:val="24"/>
                <w:szCs w:val="24"/>
                <w:highlight w:val="none"/>
                <w:lang w:val="en-US" w:eastAsia="zh-CN" w:bidi="ar-SA"/>
              </w:rPr>
            </w:pPr>
          </w:p>
        </w:tc>
        <w:tc>
          <w:tcPr>
            <w:tcW w:w="2470" w:type="dxa"/>
            <w:gridSpan w:val="2"/>
            <w:noWrap w:val="0"/>
            <w:tcMar>
              <w:top w:w="0" w:type="dxa"/>
              <w:left w:w="57" w:type="dxa"/>
              <w:bottom w:w="0" w:type="dxa"/>
              <w:right w:w="57" w:type="dxa"/>
            </w:tcMar>
            <w:vAlign w:val="center"/>
          </w:tcPr>
          <w:p w14:paraId="7F981773">
            <w:pPr>
              <w:autoSpaceDE/>
              <w:autoSpaceDN/>
              <w:adjustRightInd/>
              <w:spacing w:line="240" w:lineRule="auto"/>
              <w:jc w:val="left"/>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会议制度（</w:t>
            </w:r>
            <w:r>
              <w:rPr>
                <w:rFonts w:ascii="宋体" w:hAnsi="宋体" w:cs="宋体"/>
                <w:kern w:val="2"/>
                <w:highlight w:val="none"/>
              </w:rPr>
              <w:t>1</w:t>
            </w:r>
            <w:r>
              <w:rPr>
                <w:rFonts w:hint="eastAsia" w:ascii="宋体" w:hAnsi="宋体" w:cs="宋体"/>
                <w:kern w:val="2"/>
                <w:highlight w:val="none"/>
              </w:rPr>
              <w:t>分）</w:t>
            </w:r>
          </w:p>
        </w:tc>
        <w:tc>
          <w:tcPr>
            <w:tcW w:w="5075" w:type="dxa"/>
            <w:noWrap w:val="0"/>
            <w:vAlign w:val="center"/>
          </w:tcPr>
          <w:p w14:paraId="6D52E395">
            <w:pPr>
              <w:autoSpaceDE/>
              <w:autoSpaceDN/>
              <w:adjustRightInd/>
              <w:spacing w:line="240" w:lineRule="auto"/>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建立完善的工地会议制度。满足要求得(1-</w:t>
            </w:r>
            <w:r>
              <w:rPr>
                <w:rFonts w:ascii="宋体" w:hAnsi="宋体" w:cs="宋体"/>
                <w:kern w:val="2"/>
                <w:highlight w:val="none"/>
              </w:rPr>
              <w:t>1</w:t>
            </w:r>
            <w:r>
              <w:rPr>
                <w:rFonts w:hint="eastAsia" w:ascii="宋体" w:hAnsi="宋体" w:cs="宋体"/>
                <w:kern w:val="2"/>
                <w:highlight w:val="none"/>
              </w:rPr>
              <w:t>]分；基本满足要求得(0-</w:t>
            </w:r>
            <w:r>
              <w:rPr>
                <w:rFonts w:ascii="宋体" w:hAnsi="宋体" w:cs="宋体"/>
                <w:kern w:val="2"/>
                <w:highlight w:val="none"/>
              </w:rPr>
              <w:t>0.5</w:t>
            </w:r>
            <w:r>
              <w:rPr>
                <w:rFonts w:hint="eastAsia" w:ascii="宋体" w:hAnsi="宋体" w:cs="宋体"/>
                <w:kern w:val="2"/>
                <w:highlight w:val="none"/>
              </w:rPr>
              <w:t>]分；不满足要求不得分。</w:t>
            </w:r>
          </w:p>
        </w:tc>
      </w:tr>
      <w:tr w14:paraId="5F9C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noWrap w:val="0"/>
            <w:tcMar>
              <w:top w:w="0" w:type="dxa"/>
              <w:left w:w="57" w:type="dxa"/>
              <w:bottom w:w="0" w:type="dxa"/>
              <w:right w:w="57" w:type="dxa"/>
            </w:tcMar>
            <w:vAlign w:val="top"/>
          </w:tcPr>
          <w:p w14:paraId="26EFF2C9">
            <w:pPr>
              <w:keepNext w:val="0"/>
              <w:keepLines w:val="0"/>
              <w:pageBreakBefore w:val="0"/>
              <w:kinsoku/>
              <w:wordWrap/>
              <w:overflowPunct/>
              <w:topLinePunct w:val="0"/>
              <w:autoSpaceDE w:val="0"/>
              <w:autoSpaceDN w:val="0"/>
              <w:bidi w:val="0"/>
              <w:adjustRightInd/>
              <w:snapToGrid/>
              <w:spacing w:line="312" w:lineRule="auto"/>
              <w:ind w:left="2080" w:right="2055"/>
              <w:jc w:val="center"/>
              <w:textAlignment w:val="auto"/>
              <w:rPr>
                <w:rFonts w:hint="default" w:ascii="宋体" w:hAnsi="宋体" w:eastAsia="宋体" w:cs="宋体"/>
                <w:kern w:val="2"/>
                <w:sz w:val="24"/>
                <w:szCs w:val="24"/>
                <w:highlight w:val="none"/>
                <w:lang w:val="en-US" w:eastAsia="zh-CN" w:bidi="ar-SA"/>
              </w:rPr>
            </w:pPr>
          </w:p>
        </w:tc>
        <w:tc>
          <w:tcPr>
            <w:tcW w:w="1096" w:type="dxa"/>
            <w:vMerge w:val="continue"/>
            <w:noWrap w:val="0"/>
            <w:tcMar>
              <w:top w:w="0" w:type="dxa"/>
              <w:left w:w="57" w:type="dxa"/>
              <w:bottom w:w="0" w:type="dxa"/>
              <w:right w:w="57" w:type="dxa"/>
            </w:tcMar>
            <w:vAlign w:val="top"/>
          </w:tcPr>
          <w:p w14:paraId="4280F4E0">
            <w:pPr>
              <w:adjustRightInd/>
              <w:spacing w:line="240" w:lineRule="auto"/>
              <w:ind w:left="2080" w:leftChars="0" w:right="0" w:rightChars="0"/>
              <w:jc w:val="left"/>
              <w:rPr>
                <w:rFonts w:hint="default" w:ascii="宋体" w:hAnsi="宋体" w:eastAsia="宋体" w:cs="宋体"/>
                <w:kern w:val="2"/>
                <w:sz w:val="24"/>
                <w:szCs w:val="24"/>
                <w:highlight w:val="none"/>
                <w:lang w:val="en-US" w:eastAsia="zh-CN" w:bidi="ar-SA"/>
              </w:rPr>
            </w:pPr>
          </w:p>
        </w:tc>
        <w:tc>
          <w:tcPr>
            <w:tcW w:w="2470" w:type="dxa"/>
            <w:gridSpan w:val="2"/>
            <w:noWrap w:val="0"/>
            <w:tcMar>
              <w:top w:w="0" w:type="dxa"/>
              <w:left w:w="57" w:type="dxa"/>
              <w:bottom w:w="0" w:type="dxa"/>
              <w:right w:w="57" w:type="dxa"/>
            </w:tcMar>
            <w:vAlign w:val="center"/>
          </w:tcPr>
          <w:p w14:paraId="60C24010">
            <w:pPr>
              <w:autoSpaceDE/>
              <w:autoSpaceDN/>
              <w:adjustRightInd/>
              <w:spacing w:line="240" w:lineRule="auto"/>
              <w:jc w:val="left"/>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合理化建议（</w:t>
            </w:r>
            <w:r>
              <w:rPr>
                <w:rFonts w:hint="eastAsia" w:ascii="宋体" w:hAnsi="宋体" w:cs="宋体"/>
                <w:kern w:val="2"/>
                <w:highlight w:val="none"/>
                <w:lang w:val="en-US" w:eastAsia="zh-CN"/>
              </w:rPr>
              <w:t>2</w:t>
            </w:r>
            <w:r>
              <w:rPr>
                <w:rFonts w:hint="eastAsia" w:ascii="宋体" w:hAnsi="宋体" w:cs="宋体"/>
                <w:kern w:val="2"/>
                <w:highlight w:val="none"/>
              </w:rPr>
              <w:t>分）</w:t>
            </w:r>
          </w:p>
        </w:tc>
        <w:tc>
          <w:tcPr>
            <w:tcW w:w="5075" w:type="dxa"/>
            <w:noWrap w:val="0"/>
            <w:vAlign w:val="center"/>
          </w:tcPr>
          <w:p w14:paraId="1AC4457F">
            <w:pPr>
              <w:tabs>
                <w:tab w:val="left" w:pos="720"/>
              </w:tabs>
              <w:autoSpaceDE/>
              <w:autoSpaceDN/>
              <w:adjustRightInd/>
              <w:spacing w:line="240" w:lineRule="auto"/>
              <w:rPr>
                <w:rFonts w:hint="default" w:ascii="宋体" w:hAnsi="宋体" w:eastAsia="宋体" w:cs="宋体"/>
                <w:kern w:val="2"/>
                <w:sz w:val="24"/>
                <w:szCs w:val="24"/>
                <w:highlight w:val="none"/>
                <w:lang w:val="en-US" w:eastAsia="zh-CN" w:bidi="ar-SA"/>
              </w:rPr>
            </w:pPr>
            <w:r>
              <w:rPr>
                <w:rFonts w:hint="eastAsia" w:ascii="宋体" w:hAnsi="宋体" w:cs="宋体"/>
                <w:kern w:val="2"/>
                <w:highlight w:val="none"/>
              </w:rPr>
              <w:t>具有科学、合理、可行及具体措施的建议并经评委分析论证认同的。优得(</w:t>
            </w:r>
            <w:r>
              <w:rPr>
                <w:rFonts w:hint="eastAsia" w:ascii="宋体" w:hAnsi="宋体" w:cs="宋体"/>
                <w:kern w:val="2"/>
                <w:highlight w:val="none"/>
                <w:lang w:val="en-US" w:eastAsia="zh-CN"/>
              </w:rPr>
              <w:t>1</w:t>
            </w:r>
            <w:r>
              <w:rPr>
                <w:rFonts w:hint="eastAsia" w:ascii="宋体" w:hAnsi="宋体" w:cs="宋体"/>
                <w:kern w:val="2"/>
                <w:highlight w:val="none"/>
              </w:rPr>
              <w:t>-</w:t>
            </w:r>
            <w:r>
              <w:rPr>
                <w:rFonts w:hint="eastAsia" w:ascii="宋体" w:hAnsi="宋体" w:cs="宋体"/>
                <w:kern w:val="2"/>
                <w:highlight w:val="none"/>
                <w:lang w:val="en-US" w:eastAsia="zh-CN"/>
              </w:rPr>
              <w:t>2</w:t>
            </w:r>
            <w:r>
              <w:rPr>
                <w:rFonts w:hint="eastAsia" w:ascii="宋体" w:hAnsi="宋体" w:cs="宋体"/>
                <w:kern w:val="2"/>
                <w:highlight w:val="none"/>
              </w:rPr>
              <w:t>]分；良得(</w:t>
            </w:r>
            <w:r>
              <w:rPr>
                <w:rFonts w:hint="eastAsia" w:ascii="宋体" w:hAnsi="宋体" w:cs="宋体"/>
                <w:kern w:val="2"/>
                <w:highlight w:val="none"/>
                <w:lang w:val="en-US" w:eastAsia="zh-CN"/>
              </w:rPr>
              <w:t>0.5</w:t>
            </w:r>
            <w:r>
              <w:rPr>
                <w:rFonts w:hint="eastAsia" w:ascii="宋体" w:hAnsi="宋体" w:cs="宋体"/>
                <w:kern w:val="2"/>
                <w:highlight w:val="none"/>
              </w:rPr>
              <w:t>-</w:t>
            </w:r>
            <w:r>
              <w:rPr>
                <w:rFonts w:hint="eastAsia" w:ascii="宋体" w:hAnsi="宋体" w:cs="宋体"/>
                <w:kern w:val="2"/>
                <w:highlight w:val="none"/>
                <w:lang w:val="en-US" w:eastAsia="zh-CN"/>
              </w:rPr>
              <w:t>1</w:t>
            </w:r>
            <w:r>
              <w:rPr>
                <w:rFonts w:hint="eastAsia" w:ascii="宋体" w:hAnsi="宋体" w:cs="宋体"/>
                <w:kern w:val="2"/>
                <w:highlight w:val="none"/>
              </w:rPr>
              <w:t>]分；一般得(0-</w:t>
            </w:r>
            <w:r>
              <w:rPr>
                <w:rFonts w:hint="eastAsia" w:ascii="宋体" w:hAnsi="宋体" w:cs="宋体"/>
                <w:kern w:val="2"/>
                <w:highlight w:val="none"/>
                <w:lang w:val="en-US" w:eastAsia="zh-CN"/>
              </w:rPr>
              <w:t>0.5</w:t>
            </w:r>
            <w:r>
              <w:rPr>
                <w:rFonts w:hint="eastAsia" w:ascii="宋体" w:hAnsi="宋体" w:cs="宋体"/>
                <w:kern w:val="2"/>
                <w:highlight w:val="none"/>
              </w:rPr>
              <w:t>]分。没有不得分。</w:t>
            </w:r>
          </w:p>
        </w:tc>
      </w:tr>
      <w:tr w14:paraId="06CB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noWrap w:val="0"/>
            <w:tcMar>
              <w:top w:w="0" w:type="dxa"/>
              <w:left w:w="57" w:type="dxa"/>
              <w:bottom w:w="0" w:type="dxa"/>
              <w:right w:w="57" w:type="dxa"/>
            </w:tcMar>
            <w:vAlign w:val="center"/>
          </w:tcPr>
          <w:p w14:paraId="29E98464">
            <w:pPr>
              <w:keepNext w:val="0"/>
              <w:keepLines w:val="0"/>
              <w:pageBreakBefore w:val="0"/>
              <w:kinsoku/>
              <w:wordWrap/>
              <w:overflowPunct/>
              <w:topLinePunct w:val="0"/>
              <w:autoSpaceDE w:val="0"/>
              <w:autoSpaceDN w:val="0"/>
              <w:bidi w:val="0"/>
              <w:adjustRightInd/>
              <w:snapToGrid/>
              <w:spacing w:line="312" w:lineRule="auto"/>
              <w:ind w:right="-20"/>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2.2.4</w:t>
            </w:r>
          </w:p>
          <w:p w14:paraId="062D4680">
            <w:pPr>
              <w:keepNext w:val="0"/>
              <w:keepLines w:val="0"/>
              <w:pageBreakBefore w:val="0"/>
              <w:kinsoku/>
              <w:wordWrap/>
              <w:overflowPunct/>
              <w:topLinePunct w:val="0"/>
              <w:autoSpaceDE w:val="0"/>
              <w:autoSpaceDN w:val="0"/>
              <w:bidi w:val="0"/>
              <w:adjustRightInd/>
              <w:snapToGrid/>
              <w:spacing w:before="88" w:line="312" w:lineRule="auto"/>
              <w:ind w:right="-20"/>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w:t>
            </w:r>
          </w:p>
        </w:tc>
        <w:tc>
          <w:tcPr>
            <w:tcW w:w="3566" w:type="dxa"/>
            <w:gridSpan w:val="3"/>
            <w:noWrap w:val="0"/>
            <w:tcMar>
              <w:top w:w="0" w:type="dxa"/>
              <w:left w:w="57" w:type="dxa"/>
              <w:bottom w:w="0" w:type="dxa"/>
              <w:right w:w="57" w:type="dxa"/>
            </w:tcMar>
            <w:vAlign w:val="center"/>
          </w:tcPr>
          <w:p w14:paraId="49031727">
            <w:pPr>
              <w:keepNext w:val="0"/>
              <w:keepLines w:val="0"/>
              <w:pageBreakBefore w:val="0"/>
              <w:tabs>
                <w:tab w:val="left" w:pos="3385"/>
              </w:tabs>
              <w:kinsoku/>
              <w:wordWrap/>
              <w:overflowPunct/>
              <w:topLinePunct w:val="0"/>
              <w:autoSpaceDE w:val="0"/>
              <w:autoSpaceDN w:val="0"/>
              <w:bidi w:val="0"/>
              <w:adjustRightInd/>
              <w:snapToGrid/>
              <w:spacing w:before="61" w:line="312"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投标报价得分（</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0分）</w:t>
            </w:r>
          </w:p>
        </w:tc>
        <w:tc>
          <w:tcPr>
            <w:tcW w:w="5075" w:type="dxa"/>
            <w:noWrap w:val="0"/>
            <w:vAlign w:val="center"/>
          </w:tcPr>
          <w:p w14:paraId="36FE8712">
            <w:pPr>
              <w:keepNext w:val="0"/>
              <w:keepLines w:val="0"/>
              <w:pageBreakBefore w:val="0"/>
              <w:kinsoku/>
              <w:wordWrap/>
              <w:overflowPunct/>
              <w:topLinePunct w:val="0"/>
              <w:autoSpaceDE w:val="0"/>
              <w:autoSpaceDN w:val="0"/>
              <w:bidi w:val="0"/>
              <w:adjustRightInd/>
              <w:snapToGrid/>
              <w:spacing w:line="312" w:lineRule="auto"/>
              <w:ind w:left="68" w:right="77"/>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以评标基准价作为计算各有效投标价得分的基础，当有效投标报价等于评标基准价时得</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0分；其余有效报价与评标基准价相比，每高1%的扣</w:t>
            </w:r>
            <w:r>
              <w:rPr>
                <w:rFonts w:hint="default"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分，每低1%的扣0.</w:t>
            </w:r>
            <w:r>
              <w:rPr>
                <w:rFonts w:hint="default" w:ascii="宋体" w:hAnsi="宋体" w:eastAsia="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分，最多扣</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0分。</w:t>
            </w:r>
          </w:p>
        </w:tc>
      </w:tr>
      <w:tr w14:paraId="7703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noWrap w:val="0"/>
            <w:tcMar>
              <w:top w:w="0" w:type="dxa"/>
              <w:left w:w="57" w:type="dxa"/>
              <w:bottom w:w="0" w:type="dxa"/>
              <w:right w:w="57" w:type="dxa"/>
            </w:tcMar>
            <w:vAlign w:val="center"/>
          </w:tcPr>
          <w:p w14:paraId="60A594DB">
            <w:pPr>
              <w:keepNext w:val="0"/>
              <w:keepLines w:val="0"/>
              <w:pageBreakBefore w:val="0"/>
              <w:kinsoku/>
              <w:wordWrap/>
              <w:overflowPunct/>
              <w:topLinePunct w:val="0"/>
              <w:autoSpaceDE w:val="0"/>
              <w:autoSpaceDN w:val="0"/>
              <w:bidi w:val="0"/>
              <w:adjustRightInd/>
              <w:snapToGrid/>
              <w:spacing w:line="312" w:lineRule="auto"/>
              <w:ind w:right="-20"/>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w:t>
            </w:r>
            <w:r>
              <w:rPr>
                <w:rFonts w:hint="default" w:ascii="宋体" w:hAnsi="宋体" w:eastAsia="宋体" w:cs="宋体"/>
                <w:kern w:val="2"/>
                <w:sz w:val="24"/>
                <w:szCs w:val="24"/>
                <w:highlight w:val="none"/>
                <w:lang w:val="en-US" w:eastAsia="zh-CN" w:bidi="ar-SA"/>
              </w:rPr>
              <w:t>5</w:t>
            </w:r>
          </w:p>
          <w:p w14:paraId="68B015FE">
            <w:pPr>
              <w:keepNext w:val="0"/>
              <w:keepLines w:val="0"/>
              <w:pageBreakBefore w:val="0"/>
              <w:kinsoku/>
              <w:wordWrap/>
              <w:overflowPunct/>
              <w:topLinePunct w:val="0"/>
              <w:autoSpaceDE w:val="0"/>
              <w:autoSpaceDN w:val="0"/>
              <w:bidi w:val="0"/>
              <w:adjustRightInd/>
              <w:snapToGrid/>
              <w:spacing w:line="312" w:lineRule="auto"/>
              <w:ind w:right="-20"/>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说明</w:t>
            </w:r>
          </w:p>
        </w:tc>
        <w:tc>
          <w:tcPr>
            <w:tcW w:w="8641" w:type="dxa"/>
            <w:gridSpan w:val="4"/>
            <w:noWrap w:val="0"/>
            <w:tcMar>
              <w:top w:w="0" w:type="dxa"/>
              <w:left w:w="57" w:type="dxa"/>
              <w:bottom w:w="0" w:type="dxa"/>
              <w:right w:w="57" w:type="dxa"/>
            </w:tcMar>
            <w:vAlign w:val="center"/>
          </w:tcPr>
          <w:p w14:paraId="1A2575D5">
            <w:pPr>
              <w:keepNext w:val="0"/>
              <w:keepLines w:val="0"/>
              <w:pageBreakBefore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说明：</w:t>
            </w:r>
          </w:p>
          <w:p w14:paraId="3F423E9F">
            <w:pPr>
              <w:keepNext w:val="0"/>
              <w:keepLines w:val="0"/>
              <w:pageBreakBefore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1、类似工程监理业绩是指：指</w:t>
            </w:r>
            <w:r>
              <w:rPr>
                <w:rFonts w:hint="eastAsia" w:ascii="宋体" w:hAnsi="宋体" w:cs="宋体"/>
                <w:kern w:val="2"/>
                <w:sz w:val="24"/>
                <w:szCs w:val="24"/>
                <w:highlight w:val="none"/>
                <w:lang w:val="en-US" w:eastAsia="zh-CN" w:bidi="ar-SA"/>
              </w:rPr>
              <w:t>仅能由</w:t>
            </w:r>
            <w:r>
              <w:rPr>
                <w:rFonts w:hint="eastAsia" w:ascii="宋体" w:hAnsi="宋体" w:eastAsia="宋体" w:cs="宋体"/>
                <w:kern w:val="2"/>
                <w:sz w:val="24"/>
                <w:szCs w:val="24"/>
                <w:highlight w:val="none"/>
                <w:lang w:val="en-US" w:eastAsia="zh-CN" w:bidi="ar-SA"/>
              </w:rPr>
              <w:t>工程监理综合资质或工程监理市政公用工程专业甲级资质方能承接的市政公用工程</w:t>
            </w:r>
            <w:r>
              <w:rPr>
                <w:rFonts w:hint="eastAsia" w:ascii="宋体" w:hAnsi="宋体" w:cs="宋体"/>
                <w:kern w:val="2"/>
                <w:sz w:val="24"/>
                <w:szCs w:val="24"/>
                <w:highlight w:val="none"/>
                <w:lang w:val="en-US" w:eastAsia="zh-CN" w:bidi="ar-SA"/>
              </w:rPr>
              <w:t>监理</w:t>
            </w:r>
            <w:r>
              <w:rPr>
                <w:rFonts w:hint="eastAsia" w:ascii="宋体" w:hAnsi="宋体" w:eastAsia="宋体" w:cs="宋体"/>
                <w:kern w:val="2"/>
                <w:sz w:val="24"/>
                <w:szCs w:val="24"/>
                <w:highlight w:val="none"/>
                <w:lang w:val="en-US" w:eastAsia="zh-CN" w:bidi="ar-SA"/>
              </w:rPr>
              <w:t>业绩</w:t>
            </w:r>
            <w:r>
              <w:rPr>
                <w:rFonts w:hint="eastAsia" w:ascii="宋体" w:hAnsi="宋体" w:cs="宋体"/>
                <w:kern w:val="2"/>
                <w:sz w:val="24"/>
                <w:szCs w:val="24"/>
                <w:highlight w:val="none"/>
                <w:lang w:val="en-US" w:eastAsia="zh-CN" w:bidi="ar-SA"/>
              </w:rPr>
              <w:t>（即《工程监理企业资质管理规定》附表中的工程类别为市政公用工程，等级为一等的项目）</w:t>
            </w:r>
            <w:r>
              <w:rPr>
                <w:rFonts w:hint="eastAsia" w:ascii="宋体" w:hAnsi="宋体" w:eastAsia="宋体" w:cs="宋体"/>
                <w:kern w:val="2"/>
                <w:sz w:val="24"/>
                <w:szCs w:val="24"/>
                <w:highlight w:val="none"/>
                <w:lang w:val="en-US" w:eastAsia="zh-CN" w:bidi="ar-SA"/>
              </w:rPr>
              <w:t>。需同时提供中标通知书或免招标的相关证明、施工监理合同、竣工验收报告或竣工验收证明，业绩时间以竣工验收报告或竣工验收证明为准。</w:t>
            </w:r>
          </w:p>
          <w:p w14:paraId="7F623E2C">
            <w:pPr>
              <w:keepNext w:val="0"/>
              <w:keepLines w:val="0"/>
              <w:pageBreakBefore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获奖监理业绩：须提供获奖证书，获奖时间以获奖证书颁发时间为准，同一工程按其获得的最高奖项计取。国家级奖指詹天佑大奖、国家优质工程奖（含银质奖和金质奖）、鲁班奖；省级奖指省优良样板工程、省建设工程金匠奖、省建设工程优质奖、优质结构奖；市级奖指市优良样板工程、市建设工程优质奖；非质量类获奖不予计算。同一工程项目获得多个奖项的，按最高奖项计取，不重复计算。须提供获奖证书或获奖通报证明材料的清晰扫描件并加盖投标人电子印章、时间以获奖证书或获奖通报发出日期为准。</w:t>
            </w:r>
          </w:p>
          <w:p w14:paraId="501DC35B">
            <w:pPr>
              <w:keepNext w:val="0"/>
              <w:keepLines w:val="0"/>
              <w:pageBreakBefore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拟派的项目总监必须是投标单位的正式员工，联合体投标的，必须是联合体主办方的正式员工。拟派人员（除总监外）可以由联合体成员各方委派并可以合并计算，并需根据评审得分要求附身份证、毕业证、职称证、执业资格证（如有）、执业注册证（如有）及近期（扣除发布招标公告当月往前顺推近1个月，即</w:t>
            </w:r>
            <w:r>
              <w:rPr>
                <w:rFonts w:hint="eastAsia" w:ascii="宋体" w:hAnsi="宋体" w:eastAsia="宋体" w:cs="宋体"/>
                <w:kern w:val="2"/>
                <w:sz w:val="24"/>
                <w:szCs w:val="24"/>
                <w:highlight w:val="none"/>
                <w:shd w:val="clear" w:color="auto" w:fill="auto"/>
                <w:lang w:val="en-US" w:eastAsia="zh-CN" w:bidi="ar-SA"/>
              </w:rPr>
              <w:t>2025年5月；在投标人</w:t>
            </w:r>
            <w:r>
              <w:rPr>
                <w:rFonts w:hint="eastAsia" w:ascii="宋体" w:hAnsi="宋体" w:eastAsia="宋体" w:cs="宋体"/>
                <w:kern w:val="2"/>
                <w:sz w:val="24"/>
                <w:szCs w:val="24"/>
                <w:highlight w:val="none"/>
                <w:lang w:val="en-US" w:eastAsia="zh-CN" w:bidi="ar-SA"/>
              </w:rPr>
              <w:t>单位购买社保的证明材料的复印件，注册证书或培训证书上的单位必须为投标人单位，且不同岗位不可互相兼任。</w:t>
            </w:r>
          </w:p>
          <w:p w14:paraId="2BF4F697">
            <w:pPr>
              <w:keepNext w:val="0"/>
              <w:keepLines w:val="0"/>
              <w:pageBreakBefore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工程类科学技术进步奖或科学技术奖需提供获奖证书扫描件。获奖证书须载明投标人单位名称，时间以发证时间为准。颁发机构如为行业协会（学会）的还需同时提供该行业协会（学会）在“中国社会组织政务服务平台”的登记信息查询结果网页截图，否则不予计分。若获奖证书未体现属于工程类，投标人须提供科学技术成果鉴定证书或其他能证明材料扫描件。</w:t>
            </w:r>
          </w:p>
          <w:p w14:paraId="0137D1E9">
            <w:pPr>
              <w:keepNext w:val="0"/>
              <w:keepLines w:val="0"/>
              <w:pageBreakBefore w:val="0"/>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A级纳税人以国家或省税务局官网“国家税务总局”官网（http://www.chinatax.gov.cn/index.html）查询结果为准，纳税人登记只计算投标人自身（不计算投标人的分公司和子公司）。投标人须提供证书扫描件以及在上述官网的查询结果截图（不符合条件或无提交上述截图的不计分）。时间以国家税务总局官网公布的获奖年度（评价年度）为准。联合体投标的，以联合体协议书中主办方提供的为准。</w:t>
            </w:r>
          </w:p>
          <w:p w14:paraId="4CFB5C7A">
            <w:pPr>
              <w:keepNext w:val="0"/>
              <w:keepLines w:val="0"/>
              <w:pageBreakBefore w:val="0"/>
              <w:kinsoku/>
              <w:wordWrap/>
              <w:overflowPunct/>
              <w:topLinePunct w:val="0"/>
              <w:autoSpaceDE w:val="0"/>
              <w:autoSpaceDN w:val="0"/>
              <w:bidi w:val="0"/>
              <w:adjustRightInd/>
              <w:snapToGrid/>
              <w:spacing w:line="312" w:lineRule="auto"/>
              <w:jc w:val="lef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6、投标人的得分为各评委的评分计取的算术平均分（分数出现小数点时，保留小数点后二位，第三位小数四舍五入）。</w:t>
            </w:r>
          </w:p>
        </w:tc>
      </w:tr>
    </w:tbl>
    <w:p w14:paraId="7BDA2ABA">
      <w:pPr>
        <w:rPr>
          <w:rFonts w:hint="default"/>
          <w:highlight w:val="none"/>
        </w:rPr>
      </w:pPr>
    </w:p>
    <w:p w14:paraId="5F6195A6">
      <w:pPr>
        <w:rPr>
          <w:rFonts w:hint="default"/>
          <w:color w:val="auto"/>
          <w:highlight w:val="none"/>
        </w:rPr>
        <w:sectPr>
          <w:headerReference r:id="rId6" w:type="default"/>
          <w:footerReference r:id="rId7" w:type="default"/>
          <w:pgSz w:w="11905" w:h="16838"/>
          <w:pgMar w:top="1417" w:right="1417" w:bottom="1417" w:left="1417" w:header="992" w:footer="992" w:gutter="0"/>
          <w:lnNumType w:countBy="0" w:distance="360"/>
          <w:cols w:space="720" w:num="1"/>
        </w:sectPr>
      </w:pPr>
    </w:p>
    <w:p w14:paraId="4A62A1CE">
      <w:pPr>
        <w:pStyle w:val="26"/>
        <w:ind w:left="0" w:leftChars="0" w:firstLine="0" w:firstLineChars="0"/>
        <w:rPr>
          <w:color w:val="auto"/>
          <w:highlight w:val="none"/>
        </w:rPr>
      </w:pPr>
    </w:p>
    <w:p w14:paraId="6C69FFC6">
      <w:pPr>
        <w:pStyle w:val="26"/>
        <w:rPr>
          <w:rFonts w:hint="eastAsia" w:ascii="Microsoft JhengHei" w:hAnsi="Microsoft JhengHei" w:eastAsia="Microsoft JhengHei"/>
          <w:b w:val="0"/>
          <w:color w:val="auto"/>
          <w:sz w:val="30"/>
          <w:szCs w:val="24"/>
          <w:highlight w:val="none"/>
        </w:rPr>
      </w:pPr>
      <w:r>
        <w:rPr>
          <w:rFonts w:hint="default" w:cs="宋体"/>
          <w:color w:val="auto"/>
          <w:sz w:val="24"/>
          <w:szCs w:val="24"/>
          <w:highlight w:val="none"/>
        </w:rPr>
        <w:t>1.评标方法</w:t>
      </w:r>
    </w:p>
    <w:p w14:paraId="18AD413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7D03F32B">
      <w:pPr>
        <w:pStyle w:val="5"/>
        <w:outlineLvl w:val="1"/>
        <w:rPr>
          <w:rFonts w:hint="eastAsia" w:ascii="Microsoft JhengHei" w:hAnsi="Microsoft JhengHei" w:eastAsia="Microsoft JhengHei"/>
          <w:b w:val="0"/>
          <w:color w:val="auto"/>
          <w:sz w:val="30"/>
          <w:szCs w:val="24"/>
          <w:highlight w:val="none"/>
        </w:rPr>
      </w:pPr>
      <w:r>
        <w:rPr>
          <w:rFonts w:hint="default" w:cs="宋体"/>
          <w:color w:val="auto"/>
          <w:sz w:val="24"/>
          <w:szCs w:val="24"/>
          <w:highlight w:val="none"/>
        </w:rPr>
        <w:t>2.评审标准</w:t>
      </w:r>
    </w:p>
    <w:p w14:paraId="3ABC59C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2.1 初步评审标准</w:t>
      </w:r>
    </w:p>
    <w:p w14:paraId="1B14628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2.1.</w:t>
      </w:r>
      <w:r>
        <w:rPr>
          <w:rFonts w:hint="default" w:cs="Times New Roman"/>
          <w:color w:val="auto"/>
          <w:sz w:val="24"/>
          <w:szCs w:val="24"/>
          <w:highlight w:val="none"/>
          <w:lang w:val="en-US" w:eastAsia="zh-CN"/>
        </w:rPr>
        <w:t>1</w:t>
      </w:r>
      <w:r>
        <w:rPr>
          <w:rFonts w:hint="default" w:cs="Times New Roman"/>
          <w:color w:val="auto"/>
          <w:sz w:val="24"/>
          <w:szCs w:val="24"/>
          <w:highlight w:val="none"/>
        </w:rPr>
        <w:t xml:space="preserve"> 资格评审标准：见评标办法前附表。</w:t>
      </w:r>
    </w:p>
    <w:p w14:paraId="03768B1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2.1.</w:t>
      </w:r>
      <w:r>
        <w:rPr>
          <w:rFonts w:hint="default" w:cs="Times New Roman"/>
          <w:color w:val="auto"/>
          <w:sz w:val="24"/>
          <w:szCs w:val="24"/>
          <w:highlight w:val="none"/>
          <w:lang w:val="en-US" w:eastAsia="zh-CN"/>
        </w:rPr>
        <w:t>2</w:t>
      </w:r>
      <w:r>
        <w:rPr>
          <w:rFonts w:hint="default" w:cs="Times New Roman"/>
          <w:color w:val="auto"/>
          <w:sz w:val="24"/>
          <w:szCs w:val="24"/>
          <w:highlight w:val="none"/>
        </w:rPr>
        <w:t xml:space="preserve"> 形式评审标准：见评标办法前附表。</w:t>
      </w:r>
    </w:p>
    <w:p w14:paraId="041552F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2.1.3 响应性评审标准：见评标办法前附表。</w:t>
      </w:r>
    </w:p>
    <w:p w14:paraId="328C8E4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2.2 分值构成与评分标准</w:t>
      </w:r>
    </w:p>
    <w:p w14:paraId="0989D7B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2.2.1  分值构成</w:t>
      </w:r>
    </w:p>
    <w:p w14:paraId="78DF292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（1）资信业绩部分：见评标办法前附表；</w:t>
      </w:r>
    </w:p>
    <w:p w14:paraId="5A99568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（2）监理大纲部分：见评标办法前附表；</w:t>
      </w:r>
    </w:p>
    <w:p w14:paraId="635D165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（3）投标报价：见评标办法前附表；</w:t>
      </w:r>
    </w:p>
    <w:p w14:paraId="5DD5C2E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2.2.2 评标基准价计算评标基准价计算方法：见评标办法前附表。</w:t>
      </w:r>
    </w:p>
    <w:p w14:paraId="61D9E2A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2.2.3 投标报价的偏差率计算</w:t>
      </w:r>
    </w:p>
    <w:p w14:paraId="1078C25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投标报价的偏差率计算公式：见评标办法前附表。</w:t>
      </w:r>
    </w:p>
    <w:p w14:paraId="4568102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2.2.4  评分标准</w:t>
      </w:r>
    </w:p>
    <w:p w14:paraId="365E2BC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（1）资信业绩评分标准：见评标办法前附表；</w:t>
      </w:r>
    </w:p>
    <w:p w14:paraId="0C40247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（2）监理大纲评分标准：见评标办法前附表；</w:t>
      </w:r>
    </w:p>
    <w:p w14:paraId="592B0B5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（3）投标报价评分标准：见评标办法前附表；</w:t>
      </w:r>
    </w:p>
    <w:p w14:paraId="4275D454">
      <w:pPr>
        <w:pStyle w:val="5"/>
        <w:outlineLvl w:val="1"/>
        <w:rPr>
          <w:rFonts w:hint="default" w:cs="宋体"/>
          <w:color w:val="auto"/>
          <w:sz w:val="24"/>
          <w:szCs w:val="24"/>
          <w:highlight w:val="none"/>
        </w:rPr>
      </w:pPr>
      <w:r>
        <w:rPr>
          <w:rFonts w:hint="default" w:cs="宋体"/>
          <w:color w:val="auto"/>
          <w:sz w:val="24"/>
          <w:szCs w:val="24"/>
          <w:highlight w:val="none"/>
        </w:rPr>
        <w:t>3.评标程序</w:t>
      </w:r>
    </w:p>
    <w:p w14:paraId="20E06AB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3.1  初步评审</w:t>
      </w:r>
    </w:p>
    <w:p w14:paraId="305818B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408089C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3.1.2 投标人有以下情形之一的，评标委员会应当否决其投标：</w:t>
      </w:r>
    </w:p>
    <w:p w14:paraId="484AC16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（1）投标文件没有对招标文件的实质性要求和条件作出响应，或者对招标文件的偏差超出招标文件规定的偏差范围或最高项数；</w:t>
      </w:r>
    </w:p>
    <w:p w14:paraId="34F4269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（2）有串通投标、弄虚作假、行贿等违法行为。</w:t>
      </w:r>
    </w:p>
    <w:p w14:paraId="5D2C98D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w:t>
      </w:r>
      <w:r>
        <w:rPr>
          <w:rFonts w:hint="default" w:cs="Times New Roman"/>
          <w:color w:val="auto"/>
          <w:sz w:val="24"/>
          <w:szCs w:val="24"/>
          <w:highlight w:val="none"/>
          <w:lang w:val="en-US" w:eastAsia="zh-CN"/>
        </w:rPr>
        <w:t>3</w:t>
      </w:r>
      <w:r>
        <w:rPr>
          <w:rFonts w:hint="default" w:cs="Times New Roman"/>
          <w:color w:val="auto"/>
          <w:sz w:val="24"/>
          <w:szCs w:val="24"/>
          <w:highlight w:val="none"/>
          <w:lang w:eastAsia="zh-CN"/>
        </w:rPr>
        <w:t>）两个（含两个）以上</w:t>
      </w:r>
      <w:r>
        <w:rPr>
          <w:rFonts w:hint="eastAsia" w:eastAsia="Times New Roman" w:cs="Times New Roman"/>
          <w:color w:val="auto"/>
          <w:sz w:val="24"/>
          <w:szCs w:val="24"/>
          <w:highlight w:val="none"/>
        </w:rPr>
        <w:t>投标人加密打包投标文件</w:t>
      </w:r>
      <w:r>
        <w:rPr>
          <w:rFonts w:hint="default" w:cs="Times New Roman"/>
          <w:color w:val="auto"/>
          <w:sz w:val="24"/>
          <w:szCs w:val="24"/>
          <w:highlight w:val="none"/>
          <w:lang w:eastAsia="zh-CN"/>
        </w:rPr>
        <w:t>工程量清单编制</w:t>
      </w:r>
      <w:r>
        <w:rPr>
          <w:rFonts w:hint="eastAsia" w:eastAsia="Times New Roman" w:cs="Times New Roman"/>
          <w:color w:val="auto"/>
          <w:sz w:val="24"/>
          <w:szCs w:val="24"/>
          <w:highlight w:val="none"/>
        </w:rPr>
        <w:t>机器</w:t>
      </w:r>
      <w:r>
        <w:rPr>
          <w:rFonts w:hint="default" w:cs="Times New Roman"/>
          <w:color w:val="auto"/>
          <w:sz w:val="24"/>
          <w:szCs w:val="24"/>
          <w:highlight w:val="none"/>
          <w:lang w:eastAsia="zh-CN"/>
        </w:rPr>
        <w:t>硬件信息</w:t>
      </w:r>
      <w:r>
        <w:rPr>
          <w:rFonts w:hint="eastAsia" w:eastAsia="Times New Roman" w:cs="Times New Roman"/>
          <w:color w:val="auto"/>
          <w:sz w:val="24"/>
          <w:szCs w:val="24"/>
          <w:highlight w:val="none"/>
        </w:rPr>
        <w:t>一致的</w:t>
      </w:r>
      <w:r>
        <w:rPr>
          <w:rFonts w:hint="default" w:cs="Times New Roman"/>
          <w:color w:val="auto"/>
          <w:sz w:val="24"/>
          <w:szCs w:val="24"/>
          <w:highlight w:val="none"/>
          <w:lang w:eastAsia="zh-CN"/>
        </w:rPr>
        <w:t>。</w:t>
      </w:r>
    </w:p>
    <w:p w14:paraId="52C0338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0D268CE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（1）投标文件中的大写金额与小写金额不一致的，以大写金额为准；</w:t>
      </w:r>
    </w:p>
    <w:p w14:paraId="18FDBE5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（2）总价金额与单价金额不一致的，以单价金额为准，但单价金额小数点有明显错误的除外。</w:t>
      </w:r>
    </w:p>
    <w:p w14:paraId="093A157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3.2  详细评审</w:t>
      </w:r>
    </w:p>
    <w:p w14:paraId="0C61BEA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3.2.1 评标委员会按本章第 2.2 款规定的量化因素和分值进行打分，并计算出综合评估得分。</w:t>
      </w:r>
    </w:p>
    <w:p w14:paraId="29176E28">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（1）按本章第2.2.4（1）目规定的评审因素和分值对资信业绩部分计算出得分</w:t>
      </w:r>
      <w:r>
        <w:rPr>
          <w:rFonts w:hint="default" w:cs="Times New Roman"/>
          <w:color w:val="auto"/>
          <w:sz w:val="24"/>
          <w:szCs w:val="24"/>
          <w:highlight w:val="none"/>
          <w:lang w:val="en-US" w:eastAsia="zh-CN"/>
        </w:rPr>
        <w:t>A，</w:t>
      </w:r>
      <w:r>
        <w:rPr>
          <w:rFonts w:hint="default" w:cs="Times New Roman"/>
          <w:color w:val="auto"/>
          <w:sz w:val="24"/>
          <w:szCs w:val="24"/>
          <w:highlight w:val="none"/>
          <w:u w:val="single"/>
        </w:rPr>
        <w:t>资信业绩</w:t>
      </w:r>
      <w:r>
        <w:rPr>
          <w:rFonts w:hint="default"/>
          <w:color w:val="auto"/>
          <w:sz w:val="24"/>
          <w:szCs w:val="24"/>
          <w:highlight w:val="none"/>
          <w:u w:val="single"/>
          <w:lang w:eastAsia="zh-CN"/>
        </w:rPr>
        <w:t>部分</w:t>
      </w:r>
      <w:r>
        <w:rPr>
          <w:rFonts w:hint="default"/>
          <w:color w:val="auto"/>
          <w:sz w:val="24"/>
          <w:szCs w:val="24"/>
          <w:highlight w:val="none"/>
          <w:u w:val="single"/>
        </w:rPr>
        <w:t>评审得分A为各评标专家打分的算术平均值</w:t>
      </w:r>
      <w:r>
        <w:rPr>
          <w:rFonts w:hint="default" w:cs="Times New Roman"/>
          <w:color w:val="auto"/>
          <w:sz w:val="24"/>
          <w:szCs w:val="24"/>
          <w:highlight w:val="none"/>
        </w:rPr>
        <w:t>；</w:t>
      </w:r>
    </w:p>
    <w:p w14:paraId="724170ED">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（2）按本章第2.2.4（2）目规定的评审因素和分值对监理大纲部分计算出得分B</w:t>
      </w:r>
      <w:r>
        <w:rPr>
          <w:rFonts w:hint="default" w:cs="Times New Roman"/>
          <w:color w:val="auto"/>
          <w:sz w:val="24"/>
          <w:szCs w:val="24"/>
          <w:highlight w:val="none"/>
          <w:lang w:val="en-US" w:eastAsia="zh-CN"/>
        </w:rPr>
        <w:t>，</w:t>
      </w:r>
      <w:r>
        <w:rPr>
          <w:rFonts w:hint="default" w:cs="Times New Roman"/>
          <w:color w:val="auto"/>
          <w:sz w:val="24"/>
          <w:szCs w:val="24"/>
          <w:highlight w:val="none"/>
          <w:u w:val="single"/>
          <w:lang w:eastAsia="zh-CN"/>
        </w:rPr>
        <w:t>监理大纲</w:t>
      </w:r>
      <w:r>
        <w:rPr>
          <w:rFonts w:hint="default" w:cs="Times New Roman"/>
          <w:color w:val="auto"/>
          <w:sz w:val="24"/>
          <w:szCs w:val="24"/>
          <w:highlight w:val="none"/>
          <w:u w:val="single"/>
        </w:rPr>
        <w:t>部分</w:t>
      </w:r>
      <w:r>
        <w:rPr>
          <w:rFonts w:hint="default"/>
          <w:color w:val="auto"/>
          <w:sz w:val="24"/>
          <w:szCs w:val="24"/>
          <w:highlight w:val="none"/>
          <w:u w:val="single"/>
        </w:rPr>
        <w:t>评审得分</w:t>
      </w:r>
      <w:r>
        <w:rPr>
          <w:rFonts w:hint="default" w:cs="Times New Roman"/>
          <w:color w:val="auto"/>
          <w:sz w:val="24"/>
          <w:szCs w:val="24"/>
          <w:highlight w:val="none"/>
        </w:rPr>
        <w:t>B</w:t>
      </w:r>
      <w:r>
        <w:rPr>
          <w:rFonts w:hint="default"/>
          <w:color w:val="auto"/>
          <w:sz w:val="24"/>
          <w:szCs w:val="24"/>
          <w:highlight w:val="none"/>
          <w:u w:val="single"/>
        </w:rPr>
        <w:t>为从各评标专家打分中去掉一个最高分和去掉一个最低分后的剩余评标专家打分的算术平均值</w:t>
      </w:r>
      <w:r>
        <w:rPr>
          <w:rFonts w:hint="default" w:cs="Times New Roman"/>
          <w:color w:val="auto"/>
          <w:sz w:val="24"/>
          <w:szCs w:val="24"/>
          <w:highlight w:val="none"/>
        </w:rPr>
        <w:t>；</w:t>
      </w:r>
    </w:p>
    <w:p w14:paraId="20FDC82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（3）按本章第2.2.4（3）目规定的评审因素和分值对投标报价计算出得分C；</w:t>
      </w:r>
    </w:p>
    <w:p w14:paraId="3AF711F4">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default" w:cs="Times New Roman"/>
          <w:color w:val="auto"/>
          <w:sz w:val="24"/>
          <w:szCs w:val="24"/>
          <w:highlight w:val="none"/>
        </w:rPr>
      </w:pPr>
      <w:r>
        <w:rPr>
          <w:rFonts w:hint="default" w:cs="Times New Roman"/>
          <w:color w:val="auto"/>
          <w:sz w:val="24"/>
          <w:szCs w:val="24"/>
          <w:highlight w:val="none"/>
        </w:rPr>
        <w:t>3.2.2 评分分值计算保留小数点后两位，小数点后第三位“四舍五入”。</w:t>
      </w:r>
    </w:p>
    <w:p w14:paraId="5C77461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3.2.3 投标人得分=A+B+C。</w:t>
      </w:r>
    </w:p>
    <w:p w14:paraId="0A7CB14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33B5B7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3.3  投标文件的澄清</w:t>
      </w:r>
    </w:p>
    <w:p w14:paraId="283AD372">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3.3.1 在评标过程中，</w:t>
      </w:r>
      <w:r>
        <w:rPr>
          <w:rFonts w:hint="eastAsia" w:ascii="宋体" w:hAnsi="宋体"/>
          <w:color w:val="auto"/>
          <w:sz w:val="24"/>
          <w:highlight w:val="none"/>
        </w:rPr>
        <w:t>经评标委员会中两人以上（含两人）以书面形式提出动议，评标委员会</w:t>
      </w:r>
      <w:r>
        <w:rPr>
          <w:rFonts w:hint="default" w:cs="宋体"/>
          <w:color w:val="auto"/>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17BEDD4E">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3.3.2 澄清、说明或补正不得超出投标文件的范围且不得改变投标文件的实质性内容，并构成投标文件的组成部分。</w:t>
      </w:r>
    </w:p>
    <w:p w14:paraId="19C3902B">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3.3.3 评标委员会对投标人提交的澄清、说明或补正有疑问的，可以要求投标人进一步澄清、 说明或补正，直至满足评标委员会的要求。</w:t>
      </w:r>
    </w:p>
    <w:p w14:paraId="21EBCAF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3.4  评标结果</w:t>
      </w:r>
    </w:p>
    <w:p w14:paraId="7861E162">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3.4.1 除第二章“投标人须知”前附表授权直接确定中标人外，评标委员会按照得分由高到低 的顺序推荐中标候选人，并标明排序。</w:t>
      </w:r>
    </w:p>
    <w:p w14:paraId="7D0C2966">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3.4.2 评标委员会完成评标后，应当向招标人提交书面评标报告和中标候选人名单。</w:t>
      </w:r>
    </w:p>
    <w:p w14:paraId="26C1D52B">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sectPr>
          <w:headerReference r:id="rId8" w:type="default"/>
          <w:pgSz w:w="11905" w:h="16838"/>
          <w:pgMar w:top="1417" w:right="1417" w:bottom="1417" w:left="1417" w:header="992" w:footer="992" w:gutter="0"/>
          <w:lnNumType w:countBy="0" w:distance="360"/>
          <w:cols w:space="720" w:num="1"/>
        </w:sectPr>
      </w:pPr>
    </w:p>
    <w:p w14:paraId="21317498">
      <w:pPr>
        <w:pStyle w:val="4"/>
        <w:outlineLvl w:val="0"/>
        <w:rPr>
          <w:rFonts w:hint="default" w:cs="宋体"/>
          <w:color w:val="auto"/>
          <w:sz w:val="44"/>
          <w:szCs w:val="24"/>
          <w:highlight w:val="none"/>
        </w:rPr>
      </w:pPr>
      <w:r>
        <w:rPr>
          <w:rFonts w:hint="default" w:cs="宋体"/>
          <w:color w:val="auto"/>
          <w:sz w:val="44"/>
          <w:szCs w:val="24"/>
          <w:highlight w:val="none"/>
        </w:rPr>
        <w:t>第四章</w:t>
      </w:r>
      <w:r>
        <w:rPr>
          <w:rFonts w:hint="default" w:cs="宋体"/>
          <w:color w:val="auto"/>
          <w:sz w:val="44"/>
          <w:szCs w:val="24"/>
          <w:highlight w:val="none"/>
          <w:lang w:val="en-US" w:eastAsia="zh-CN"/>
        </w:rPr>
        <w:t xml:space="preserve"> </w:t>
      </w:r>
      <w:r>
        <w:rPr>
          <w:rFonts w:hint="default" w:cs="宋体"/>
          <w:color w:val="auto"/>
          <w:sz w:val="44"/>
          <w:szCs w:val="24"/>
          <w:highlight w:val="none"/>
        </w:rPr>
        <w:t>合同条款及格式</w:t>
      </w:r>
    </w:p>
    <w:p w14:paraId="2B645008">
      <w:pPr>
        <w:pStyle w:val="12"/>
        <w:kinsoku w:val="0"/>
        <w:overflowPunct w:val="0"/>
        <w:ind w:left="0"/>
        <w:rPr>
          <w:rFonts w:hint="eastAsia" w:ascii="Microsoft JhengHei" w:hAnsi="Microsoft JhengHei" w:eastAsia="Microsoft JhengHei"/>
          <w:b/>
          <w:color w:val="auto"/>
          <w:sz w:val="20"/>
          <w:szCs w:val="24"/>
          <w:highlight w:val="none"/>
        </w:rPr>
      </w:pPr>
    </w:p>
    <w:p w14:paraId="20A0EB66">
      <w:pPr>
        <w:pStyle w:val="12"/>
        <w:kinsoku w:val="0"/>
        <w:overflowPunct w:val="0"/>
        <w:spacing w:before="2"/>
        <w:ind w:left="0"/>
        <w:rPr>
          <w:rFonts w:hint="eastAsia" w:ascii="Microsoft JhengHei" w:hAnsi="Microsoft JhengHei" w:eastAsia="Microsoft JhengHei"/>
          <w:b/>
          <w:color w:val="auto"/>
          <w:sz w:val="29"/>
          <w:szCs w:val="24"/>
          <w:highlight w:val="none"/>
        </w:rPr>
      </w:pPr>
    </w:p>
    <w:p w14:paraId="53A6B6DA">
      <w:pPr>
        <w:pStyle w:val="12"/>
        <w:kinsoku w:val="0"/>
        <w:overflowPunct w:val="0"/>
        <w:ind w:left="0"/>
        <w:jc w:val="center"/>
        <w:rPr>
          <w:rFonts w:hint="eastAsia" w:eastAsia="宋体"/>
          <w:b/>
          <w:bCs/>
          <w:color w:val="auto"/>
          <w:sz w:val="40"/>
          <w:szCs w:val="52"/>
          <w:highlight w:val="none"/>
          <w:lang w:eastAsia="zh-CN"/>
        </w:rPr>
        <w:sectPr>
          <w:headerReference r:id="rId9" w:type="default"/>
          <w:footerReference r:id="rId10" w:type="default"/>
          <w:pgSz w:w="11905" w:h="16838"/>
          <w:pgMar w:top="1417" w:right="1417" w:bottom="1417" w:left="1417" w:header="992" w:footer="992" w:gutter="0"/>
          <w:lnNumType w:countBy="0" w:distance="360"/>
          <w:cols w:space="720" w:num="1"/>
        </w:sectPr>
      </w:pPr>
      <w:r>
        <w:rPr>
          <w:rFonts w:hint="eastAsia"/>
          <w:b/>
          <w:bCs/>
          <w:color w:val="auto"/>
          <w:sz w:val="40"/>
          <w:szCs w:val="52"/>
          <w:highlight w:val="none"/>
          <w:lang w:eastAsia="zh-CN"/>
        </w:rPr>
        <w:t>另册</w:t>
      </w:r>
    </w:p>
    <w:p w14:paraId="5379F5B8">
      <w:pPr>
        <w:pStyle w:val="12"/>
        <w:kinsoku w:val="0"/>
        <w:overflowPunct w:val="0"/>
        <w:ind w:left="0"/>
        <w:rPr>
          <w:rFonts w:hint="default"/>
          <w:color w:val="auto"/>
          <w:sz w:val="20"/>
          <w:szCs w:val="24"/>
          <w:highlight w:val="none"/>
        </w:rPr>
      </w:pPr>
    </w:p>
    <w:p w14:paraId="0C739A8C">
      <w:pPr>
        <w:pStyle w:val="3"/>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color w:val="auto"/>
          <w:sz w:val="52"/>
          <w:szCs w:val="52"/>
          <w:highlight w:val="none"/>
        </w:rPr>
      </w:pPr>
      <w:r>
        <w:rPr>
          <w:rFonts w:hint="eastAsia"/>
          <w:color w:val="auto"/>
          <w:sz w:val="52"/>
          <w:szCs w:val="52"/>
          <w:highlight w:val="none"/>
        </w:rPr>
        <w:t>第二卷</w:t>
      </w:r>
    </w:p>
    <w:p w14:paraId="3AEFAE7F">
      <w:pPr>
        <w:pStyle w:val="3"/>
        <w:keepNext w:val="0"/>
        <w:keepLines w:val="0"/>
        <w:pageBreakBefore w:val="0"/>
        <w:widowControl w:val="0"/>
        <w:wordWrap/>
        <w:topLinePunct w:val="0"/>
        <w:autoSpaceDE w:val="0"/>
        <w:autoSpaceDN w:val="0"/>
        <w:bidi w:val="0"/>
        <w:adjustRightInd w:val="0"/>
        <w:snapToGrid/>
        <w:spacing w:before="0" w:beforeLines="2000"/>
        <w:jc w:val="center"/>
        <w:textAlignment w:val="auto"/>
        <w:outlineLvl w:val="9"/>
        <w:rPr>
          <w:rFonts w:hint="eastAsia"/>
          <w:color w:val="auto"/>
          <w:sz w:val="52"/>
          <w:szCs w:val="52"/>
          <w:highlight w:val="none"/>
        </w:rPr>
        <w:sectPr>
          <w:pgSz w:w="11905" w:h="16838"/>
          <w:pgMar w:top="1417" w:right="1417" w:bottom="1417" w:left="1417" w:header="992" w:footer="992" w:gutter="0"/>
          <w:lnNumType w:countBy="0" w:distance="360"/>
          <w:cols w:space="720" w:num="1"/>
        </w:sectPr>
      </w:pPr>
    </w:p>
    <w:p w14:paraId="025582AB">
      <w:pPr>
        <w:pStyle w:val="4"/>
        <w:spacing w:line="360" w:lineRule="auto"/>
        <w:outlineLvl w:val="0"/>
        <w:rPr>
          <w:rFonts w:hint="default"/>
          <w:color w:val="auto"/>
          <w:sz w:val="44"/>
          <w:szCs w:val="24"/>
          <w:highlight w:val="none"/>
        </w:rPr>
      </w:pPr>
      <w:r>
        <w:rPr>
          <w:rFonts w:hint="default"/>
          <w:color w:val="auto"/>
          <w:sz w:val="44"/>
          <w:szCs w:val="24"/>
          <w:highlight w:val="none"/>
        </w:rPr>
        <w:t>第五章</w:t>
      </w:r>
      <w:r>
        <w:rPr>
          <w:rFonts w:hint="default"/>
          <w:color w:val="auto"/>
          <w:sz w:val="44"/>
          <w:szCs w:val="24"/>
          <w:highlight w:val="none"/>
          <w:lang w:val="en-US" w:eastAsia="zh-CN"/>
        </w:rPr>
        <w:t xml:space="preserve"> </w:t>
      </w:r>
      <w:r>
        <w:rPr>
          <w:rFonts w:hint="default"/>
          <w:color w:val="auto"/>
          <w:sz w:val="44"/>
          <w:szCs w:val="24"/>
          <w:highlight w:val="none"/>
        </w:rPr>
        <w:t>委托人要求</w:t>
      </w:r>
    </w:p>
    <w:p w14:paraId="574F081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rPr>
      </w:pPr>
      <w:r>
        <w:rPr>
          <w:rFonts w:hint="default" w:cs="宋体"/>
          <w:color w:val="auto"/>
          <w:sz w:val="24"/>
          <w:szCs w:val="24"/>
          <w:highlight w:val="none"/>
        </w:rPr>
        <w:t>委托人要求应尽可能清晰准确，对于可以进行定量评估的工作，委托人要求不仅应明确规 定其功能、用途、质量、环境、安全，并且要规定偏差的范围和计算方法，以及检验、试验、 试运行的具体要求。对于监理人负责提供的有关服务，在委托人要求中应一并明确规定。</w:t>
      </w:r>
    </w:p>
    <w:p w14:paraId="1E05CDD8">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rPr>
          <w:rFonts w:hint="default"/>
          <w:color w:val="auto"/>
          <w:sz w:val="20"/>
          <w:szCs w:val="24"/>
          <w:highlight w:val="none"/>
        </w:rPr>
      </w:pPr>
      <w:r>
        <w:rPr>
          <w:rFonts w:hint="default" w:cs="宋体"/>
          <w:color w:val="auto"/>
          <w:sz w:val="24"/>
          <w:szCs w:val="24"/>
          <w:highlight w:val="none"/>
        </w:rPr>
        <w:t>委托人要求包括但不限于以下内容：</w:t>
      </w:r>
    </w:p>
    <w:p w14:paraId="1DB70BDC">
      <w:pPr>
        <w:pStyle w:val="5"/>
        <w:outlineLvl w:val="1"/>
        <w:rPr>
          <w:rFonts w:hint="default"/>
          <w:color w:val="auto"/>
          <w:sz w:val="31"/>
          <w:szCs w:val="24"/>
          <w:highlight w:val="none"/>
        </w:rPr>
      </w:pPr>
      <w:r>
        <w:rPr>
          <w:rFonts w:hint="default"/>
          <w:color w:val="auto"/>
          <w:sz w:val="24"/>
          <w:szCs w:val="24"/>
          <w:highlight w:val="none"/>
        </w:rPr>
        <w:t>一、监理要求</w:t>
      </w:r>
    </w:p>
    <w:p w14:paraId="795E92C7">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rPr>
          <w:rFonts w:hint="default" w:cs="宋体"/>
          <w:color w:val="auto"/>
          <w:sz w:val="24"/>
          <w:szCs w:val="24"/>
          <w:highlight w:val="none"/>
        </w:rPr>
      </w:pPr>
      <w:r>
        <w:rPr>
          <w:rFonts w:hint="default" w:cs="宋体"/>
          <w:color w:val="auto"/>
          <w:sz w:val="24"/>
          <w:szCs w:val="24"/>
          <w:highlight w:val="none"/>
        </w:rPr>
        <w:t>招标人应当根据项目情况在本章中明确相应的监理要求，一般应包括以下内容：</w:t>
      </w:r>
    </w:p>
    <w:p w14:paraId="0CA8FCC1">
      <w:pPr>
        <w:pStyle w:val="12"/>
        <w:numPr>
          <w:ilvl w:val="-1"/>
          <w:numId w:val="0"/>
        </w:numP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rPr>
      </w:pPr>
      <w:r>
        <w:rPr>
          <w:rFonts w:hint="eastAsia" w:cs="宋体"/>
          <w:color w:val="auto"/>
          <w:sz w:val="24"/>
          <w:szCs w:val="24"/>
          <w:highlight w:val="none"/>
          <w:lang w:val="en-US" w:eastAsia="zh-CN"/>
        </w:rPr>
        <w:t>1.</w:t>
      </w:r>
      <w:r>
        <w:rPr>
          <w:rFonts w:hint="default" w:cs="宋体"/>
          <w:color w:val="auto"/>
          <w:sz w:val="24"/>
          <w:szCs w:val="24"/>
          <w:highlight w:val="none"/>
        </w:rPr>
        <w:t>项目概况</w:t>
      </w:r>
    </w:p>
    <w:p w14:paraId="7D4E167B">
      <w:pPr>
        <w:pStyle w:val="12"/>
        <w:numPr>
          <w:ilvl w:val="-1"/>
          <w:numId w:val="0"/>
        </w:numPr>
        <w:tabs>
          <w:tab w:val="left" w:pos="1343"/>
          <w:tab w:val="left" w:pos="2697"/>
          <w:tab w:val="left" w:pos="3264"/>
          <w:tab w:val="left" w:pos="4896"/>
          <w:tab w:val="left" w:pos="6005"/>
          <w:tab w:val="left" w:pos="7085"/>
          <w:tab w:val="left" w:pos="7498"/>
        </w:tabs>
        <w:kinsoku w:val="0"/>
        <w:overflowPunct w:val="0"/>
        <w:spacing w:line="360" w:lineRule="auto"/>
        <w:ind w:left="0" w:leftChars="0" w:firstLine="480" w:firstLineChars="200"/>
        <w:jc w:val="both"/>
        <w:rPr>
          <w:rFonts w:hint="default" w:cs="宋体"/>
          <w:color w:val="auto"/>
          <w:sz w:val="24"/>
          <w:szCs w:val="24"/>
          <w:highlight w:val="none"/>
          <w:lang w:eastAsia="zh-CN"/>
        </w:rPr>
      </w:pPr>
      <w:r>
        <w:rPr>
          <w:rFonts w:hint="default" w:cs="宋体"/>
          <w:color w:val="auto"/>
          <w:sz w:val="24"/>
          <w:szCs w:val="24"/>
          <w:highlight w:val="none"/>
          <w:lang w:eastAsia="zh-CN"/>
        </w:rPr>
        <w:t>项目名称：</w:t>
      </w:r>
      <w:r>
        <w:rPr>
          <w:rFonts w:hint="eastAsia" w:cs="宋体"/>
          <w:color w:val="auto"/>
          <w:sz w:val="24"/>
          <w:szCs w:val="24"/>
          <w:highlight w:val="none"/>
          <w:lang w:eastAsia="zh-CN"/>
        </w:rPr>
        <w:t>广州市南沙区南沙污水处理厂项目工程监理</w:t>
      </w:r>
    </w:p>
    <w:p w14:paraId="29F393DD">
      <w:pPr>
        <w:pStyle w:val="12"/>
        <w:numPr>
          <w:ilvl w:val="-1"/>
          <w:numId w:val="0"/>
        </w:numPr>
        <w:tabs>
          <w:tab w:val="left" w:pos="1343"/>
          <w:tab w:val="left" w:pos="2697"/>
          <w:tab w:val="left" w:pos="3264"/>
          <w:tab w:val="left" w:pos="4896"/>
          <w:tab w:val="left" w:pos="6005"/>
          <w:tab w:val="left" w:pos="7085"/>
          <w:tab w:val="left" w:pos="7498"/>
        </w:tabs>
        <w:kinsoku w:val="0"/>
        <w:overflowPunct w:val="0"/>
        <w:spacing w:line="360" w:lineRule="auto"/>
        <w:ind w:left="0" w:leftChars="0" w:firstLine="480" w:firstLineChars="200"/>
        <w:jc w:val="both"/>
        <w:rPr>
          <w:rFonts w:hint="default" w:cs="宋体"/>
          <w:color w:val="auto"/>
          <w:sz w:val="24"/>
          <w:szCs w:val="24"/>
          <w:highlight w:val="none"/>
          <w:lang w:eastAsia="zh-CN"/>
        </w:rPr>
      </w:pPr>
      <w:r>
        <w:rPr>
          <w:rFonts w:hint="default" w:cs="宋体"/>
          <w:color w:val="auto"/>
          <w:sz w:val="24"/>
          <w:szCs w:val="24"/>
          <w:highlight w:val="none"/>
          <w:lang w:eastAsia="zh-CN"/>
        </w:rPr>
        <w:t>建设单位：</w:t>
      </w:r>
      <w:r>
        <w:rPr>
          <w:rFonts w:hint="eastAsia" w:cs="宋体"/>
          <w:color w:val="auto"/>
          <w:sz w:val="24"/>
          <w:szCs w:val="24"/>
          <w:highlight w:val="none"/>
          <w:lang w:eastAsia="zh-CN"/>
        </w:rPr>
        <w:t>广州南沙广业生态发展有限公司</w:t>
      </w:r>
    </w:p>
    <w:p w14:paraId="08BF4337">
      <w:pPr>
        <w:tabs>
          <w:tab w:val="left" w:pos="7513"/>
        </w:tabs>
        <w:kinsoku/>
        <w:overflowPunct/>
        <w:spacing w:line="360" w:lineRule="auto"/>
        <w:ind w:firstLine="480" w:firstLineChars="200"/>
        <w:rPr>
          <w:rFonts w:hint="default" w:ascii="宋体" w:hAnsi="宋体" w:cs="宋体"/>
          <w:color w:val="auto"/>
          <w:sz w:val="24"/>
          <w:szCs w:val="24"/>
          <w:highlight w:val="none"/>
          <w:lang w:eastAsia="zh-CN"/>
        </w:rPr>
      </w:pPr>
      <w:r>
        <w:rPr>
          <w:rFonts w:hint="default" w:cs="宋体"/>
          <w:color w:val="auto"/>
          <w:sz w:val="24"/>
          <w:szCs w:val="24"/>
          <w:highlight w:val="none"/>
          <w:lang w:eastAsia="zh-CN"/>
        </w:rPr>
        <w:t>建设规模：南沙区南沙污水处理厂分期建设，现状已建规模10万m3/d，二期（即2025年）扩建规模为10万m3/d（</w:t>
      </w:r>
      <w:r>
        <w:rPr>
          <w:rFonts w:hint="default" w:cs="宋体"/>
          <w:color w:val="auto"/>
          <w:sz w:val="24"/>
          <w:szCs w:val="24"/>
          <w:highlight w:val="none"/>
          <w:lang w:val="en-US" w:eastAsia="zh-CN"/>
        </w:rPr>
        <w:t>含</w:t>
      </w:r>
      <w:r>
        <w:rPr>
          <w:rFonts w:hint="default" w:cs="宋体"/>
          <w:color w:val="auto"/>
          <w:sz w:val="24"/>
          <w:szCs w:val="24"/>
          <w:highlight w:val="none"/>
          <w:lang w:eastAsia="zh-CN"/>
        </w:rPr>
        <w:t>中水回用建设工程），污泥资源化车间同步考虑一期建设的情况，按照处理规模20万m3/d配套建设；</w:t>
      </w:r>
      <w:r>
        <w:rPr>
          <w:rFonts w:hint="default" w:cs="宋体"/>
          <w:color w:val="auto"/>
          <w:sz w:val="24"/>
          <w:szCs w:val="24"/>
          <w:highlight w:val="none"/>
          <w:lang w:val="en-US" w:eastAsia="zh-CN"/>
        </w:rPr>
        <w:t>新建南沙污水系统分区污水收集系统提升工程，项目公司投资建设新建/改造污水收集管网（DN300~DN1600），提高污水厂进水水质浓度、提高区域内污水收集率，保障南沙污水处理系统分区污染负荷削减。本项目总投资140566.56万元，其中工程费用79343.96万元，工程建设其他费用11520.23万元，特许经营权出让价款41739.68万元。最终建设规模以批复的项目初步设计文件为准</w:t>
      </w:r>
      <w:r>
        <w:rPr>
          <w:rFonts w:hint="default" w:cs="宋体"/>
          <w:color w:val="auto"/>
          <w:sz w:val="24"/>
          <w:szCs w:val="24"/>
          <w:highlight w:val="none"/>
          <w:lang w:eastAsia="zh-CN"/>
        </w:rPr>
        <w:t>。</w:t>
      </w:r>
    </w:p>
    <w:p w14:paraId="6ED23C90">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color w:val="auto"/>
          <w:sz w:val="24"/>
          <w:szCs w:val="24"/>
          <w:highlight w:val="none"/>
          <w:lang w:eastAsia="zh-CN"/>
        </w:rPr>
      </w:pPr>
      <w:r>
        <w:rPr>
          <w:rFonts w:hint="default" w:cs="宋体"/>
          <w:color w:val="auto"/>
          <w:sz w:val="24"/>
          <w:szCs w:val="24"/>
          <w:highlight w:val="none"/>
        </w:rPr>
        <w:t>2.  监理范围及内容</w:t>
      </w:r>
      <w:r>
        <w:rPr>
          <w:rFonts w:hint="eastAsia" w:cs="宋体"/>
          <w:color w:val="auto"/>
          <w:sz w:val="24"/>
          <w:szCs w:val="24"/>
          <w:highlight w:val="none"/>
          <w:lang w:eastAsia="zh-CN"/>
        </w:rPr>
        <w:t>：</w:t>
      </w:r>
      <w:r>
        <w:rPr>
          <w:rFonts w:hint="eastAsia" w:ascii="宋体" w:hAnsi="宋体" w:cs="宋体"/>
          <w:color w:val="auto"/>
          <w:sz w:val="24"/>
          <w:szCs w:val="24"/>
          <w:highlight w:val="none"/>
          <w:lang w:eastAsia="zh-CN"/>
        </w:rPr>
        <w:t>负责本项目勘察阶段、施工准备阶段、施工阶段、工程收尾阶段</w:t>
      </w:r>
      <w:r>
        <w:rPr>
          <w:rFonts w:hint="eastAsia" w:ascii="宋体" w:hAnsi="宋体" w:eastAsia="宋体" w:cs="宋体"/>
          <w:color w:val="auto"/>
          <w:sz w:val="24"/>
          <w:szCs w:val="24"/>
          <w:highlight w:val="none"/>
        </w:rPr>
        <w:t>、保修阶段的质量控制、职业健康、安全生产及环境监督管理、试验、安装、投资控制、进度控制、合同管理、信息管理、工程建设数字化智能化管理、BIM管理、ESG管理、监督施工单位分包管理、组织协调、运营调试等全过程监理工作。</w:t>
      </w:r>
    </w:p>
    <w:p w14:paraId="7B38824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lang w:eastAsia="zh-CN"/>
        </w:rPr>
      </w:pPr>
      <w:r>
        <w:rPr>
          <w:rFonts w:hint="default" w:cs="宋体"/>
          <w:color w:val="auto"/>
          <w:sz w:val="24"/>
          <w:szCs w:val="24"/>
          <w:highlight w:val="none"/>
        </w:rPr>
        <w:t>3.  监理依据</w:t>
      </w:r>
      <w:r>
        <w:rPr>
          <w:rFonts w:hint="eastAsia" w:cs="宋体"/>
          <w:color w:val="auto"/>
          <w:sz w:val="24"/>
          <w:szCs w:val="24"/>
          <w:highlight w:val="none"/>
          <w:lang w:eastAsia="zh-CN"/>
        </w:rPr>
        <w:t>：（1）中华人民共和国的法律、法规、本合同约定的部门规章及工程所在地的地方法规和规章；（2）《建设工程监理规范》（GB/T 50319-2013）；（3）国家和地方现行的建设工程质量评定标准、设计及施工验收规范；（4）经批准的施工图纸及说明，以及经图纸会审确定的修改设计通知书；（5）本合同工程的设计、施工、安装等的招投标文件及合同；（6）委托人发出的有关本合同工程建设的指令；（7）委托人制定的有关本合同工程建设的管理制度。详见监理合同</w:t>
      </w:r>
    </w:p>
    <w:p w14:paraId="465F95F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lang w:eastAsia="zh-CN"/>
        </w:rPr>
      </w:pPr>
      <w:r>
        <w:rPr>
          <w:rFonts w:hint="default" w:cs="宋体"/>
          <w:color w:val="auto"/>
          <w:sz w:val="24"/>
          <w:szCs w:val="24"/>
          <w:highlight w:val="none"/>
        </w:rPr>
        <w:t>4. 监理人员和试验检测仪器设备要求</w:t>
      </w:r>
      <w:r>
        <w:rPr>
          <w:rFonts w:hint="eastAsia" w:cs="宋体"/>
          <w:color w:val="auto"/>
          <w:sz w:val="24"/>
          <w:szCs w:val="24"/>
          <w:highlight w:val="none"/>
          <w:lang w:eastAsia="zh-CN"/>
        </w:rPr>
        <w:t>：</w:t>
      </w:r>
    </w:p>
    <w:p w14:paraId="3334F01F">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val="en-US" w:eastAsia="zh-CN"/>
        </w:rPr>
        <w:t>4.1</w:t>
      </w:r>
      <w:r>
        <w:rPr>
          <w:rFonts w:hint="eastAsia" w:cs="宋体"/>
          <w:color w:val="auto"/>
          <w:sz w:val="24"/>
          <w:szCs w:val="24"/>
          <w:highlight w:val="none"/>
          <w:lang w:eastAsia="zh-CN"/>
        </w:rPr>
        <w:t>监理人员要求：监理部总监理工程师、专业监理工程师、监理员等均纳入现场被考勤范围，以上人员必须是监理企业投标文件及合同备案时所承诺配置的监理部管理人员，不得挂名虚设，不得随意更换，现场管理组核实管理架构内是否有无岗位证书、无资格证人员。具体要求详见下表：</w:t>
      </w:r>
    </w:p>
    <w:p w14:paraId="6996C058">
      <w:pPr>
        <w:rPr>
          <w:rFonts w:hint="eastAsia"/>
          <w:color w:val="auto"/>
          <w:highlight w:val="none"/>
        </w:rPr>
      </w:pPr>
      <w:r>
        <w:rPr>
          <w:rFonts w:hint="eastAsia"/>
          <w:color w:val="auto"/>
          <w:highlight w:val="none"/>
        </w:rPr>
        <w:t>附表：监理机构人员配备要求：</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581"/>
        <w:gridCol w:w="4071"/>
        <w:gridCol w:w="2155"/>
      </w:tblGrid>
      <w:tr w14:paraId="0AAD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1" w:type="dxa"/>
            <w:gridSpan w:val="4"/>
            <w:vAlign w:val="center"/>
          </w:tcPr>
          <w:p w14:paraId="6321D9A9">
            <w:pPr>
              <w:jc w:val="center"/>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项目监理人员组成配备要求表</w:t>
            </w:r>
          </w:p>
        </w:tc>
      </w:tr>
      <w:tr w14:paraId="1E82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4" w:type="dxa"/>
            <w:vAlign w:val="center"/>
          </w:tcPr>
          <w:p w14:paraId="4E54BC4C">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岗位</w:t>
            </w:r>
          </w:p>
        </w:tc>
        <w:tc>
          <w:tcPr>
            <w:tcW w:w="1581" w:type="dxa"/>
            <w:vAlign w:val="center"/>
          </w:tcPr>
          <w:p w14:paraId="1A241703">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人员要求</w:t>
            </w:r>
          </w:p>
        </w:tc>
        <w:tc>
          <w:tcPr>
            <w:tcW w:w="6226" w:type="dxa"/>
            <w:gridSpan w:val="2"/>
            <w:vAlign w:val="center"/>
          </w:tcPr>
          <w:p w14:paraId="2C944F69">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持证上岗要求</w:t>
            </w:r>
          </w:p>
        </w:tc>
      </w:tr>
      <w:tr w14:paraId="1A8A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544" w:type="dxa"/>
            <w:vAlign w:val="center"/>
          </w:tcPr>
          <w:p w14:paraId="31C9DDB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总监理</w:t>
            </w:r>
          </w:p>
          <w:p w14:paraId="1A5F8F17">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工程师</w:t>
            </w:r>
          </w:p>
        </w:tc>
        <w:tc>
          <w:tcPr>
            <w:tcW w:w="1581" w:type="dxa"/>
            <w:vAlign w:val="center"/>
          </w:tcPr>
          <w:p w14:paraId="40C509A3">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1名</w:t>
            </w:r>
          </w:p>
        </w:tc>
        <w:tc>
          <w:tcPr>
            <w:tcW w:w="6226" w:type="dxa"/>
            <w:gridSpan w:val="2"/>
            <w:vAlign w:val="center"/>
          </w:tcPr>
          <w:p w14:paraId="4B61B3B9">
            <w:pPr>
              <w:spacing w:line="276" w:lineRule="auto"/>
              <w:rPr>
                <w:rFonts w:hint="eastAsia" w:ascii="宋体" w:hAnsi="宋体" w:cs="宋体"/>
                <w:color w:val="auto"/>
                <w:highlight w:val="none"/>
              </w:rPr>
            </w:pPr>
            <w:r>
              <w:rPr>
                <w:rFonts w:hint="eastAsia" w:ascii="宋体" w:hAnsi="宋体" w:cs="宋体"/>
                <w:color w:val="auto"/>
                <w:highlight w:val="none"/>
              </w:rPr>
              <w:t>要求为注册监理工程师、注册专业为市政公用工程；或备案的业务范围相当于注册监理工程师的香港专业人士。</w:t>
            </w:r>
          </w:p>
        </w:tc>
      </w:tr>
      <w:tr w14:paraId="7599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544" w:type="dxa"/>
            <w:vAlign w:val="center"/>
          </w:tcPr>
          <w:p w14:paraId="262C23F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总监理工程师代表</w:t>
            </w:r>
          </w:p>
        </w:tc>
        <w:tc>
          <w:tcPr>
            <w:tcW w:w="1581" w:type="dxa"/>
            <w:vAlign w:val="center"/>
          </w:tcPr>
          <w:p w14:paraId="76F2A4A9">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1名</w:t>
            </w:r>
          </w:p>
        </w:tc>
        <w:tc>
          <w:tcPr>
            <w:tcW w:w="6226" w:type="dxa"/>
            <w:gridSpan w:val="2"/>
            <w:vAlign w:val="center"/>
          </w:tcPr>
          <w:p w14:paraId="7B6DE10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要求为注册监理工程师、注册专业为市政公用工程。</w:t>
            </w:r>
          </w:p>
        </w:tc>
      </w:tr>
      <w:tr w14:paraId="2F11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544" w:type="dxa"/>
            <w:vAlign w:val="center"/>
          </w:tcPr>
          <w:p w14:paraId="23BC349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专业监理工程师（工程师或以上职称）</w:t>
            </w:r>
          </w:p>
        </w:tc>
        <w:tc>
          <w:tcPr>
            <w:tcW w:w="1581" w:type="dxa"/>
            <w:vAlign w:val="center"/>
          </w:tcPr>
          <w:p w14:paraId="29EA5546">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不少于</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名</w:t>
            </w:r>
          </w:p>
        </w:tc>
        <w:tc>
          <w:tcPr>
            <w:tcW w:w="4071" w:type="dxa"/>
            <w:vAlign w:val="center"/>
          </w:tcPr>
          <w:p w14:paraId="0E809AA8">
            <w:pPr>
              <w:spacing w:line="276"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市政工程专业</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名、机电专业2名，安全专监2名</w:t>
            </w:r>
            <w:r>
              <w:rPr>
                <w:rFonts w:hint="eastAsia" w:ascii="宋体" w:hAnsi="宋体" w:cs="宋体"/>
                <w:color w:val="auto"/>
                <w:szCs w:val="21"/>
                <w:highlight w:val="none"/>
                <w:lang w:eastAsia="zh-CN"/>
              </w:rPr>
              <w:t>，</w:t>
            </w:r>
            <w:r>
              <w:rPr>
                <w:rFonts w:hint="eastAsia" w:ascii="宋体" w:hAnsi="宋体" w:cs="宋体"/>
                <w:color w:val="auto"/>
                <w:szCs w:val="21"/>
                <w:highlight w:val="none"/>
              </w:rPr>
              <w:t>其中至少1名专业监理工程师具有BIM相关证</w:t>
            </w:r>
            <w:r>
              <w:rPr>
                <w:rFonts w:hint="eastAsia" w:ascii="宋体" w:hAnsi="宋体" w:cs="宋体"/>
                <w:color w:val="auto"/>
                <w:szCs w:val="21"/>
                <w:highlight w:val="none"/>
                <w:lang w:val="en-US" w:eastAsia="zh-CN"/>
              </w:rPr>
              <w:t>书。其中厂区不少于3名市政工程专业及２名机电专业，厂外管网不少于3名市政工程专业。</w:t>
            </w:r>
          </w:p>
        </w:tc>
        <w:tc>
          <w:tcPr>
            <w:tcW w:w="2155" w:type="dxa"/>
            <w:vAlign w:val="center"/>
          </w:tcPr>
          <w:p w14:paraId="05888DAA">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专业以监理工程师注册证或专业监理工程师证或职称证或毕业证中的专业名称（含相近专业）为准；</w:t>
            </w:r>
          </w:p>
        </w:tc>
      </w:tr>
      <w:tr w14:paraId="5E6F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44" w:type="dxa"/>
            <w:vAlign w:val="center"/>
          </w:tcPr>
          <w:p w14:paraId="60C8398F">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造价工程师</w:t>
            </w:r>
          </w:p>
        </w:tc>
        <w:tc>
          <w:tcPr>
            <w:tcW w:w="1581" w:type="dxa"/>
            <w:vAlign w:val="center"/>
          </w:tcPr>
          <w:p w14:paraId="134B4F6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不少于</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名</w:t>
            </w:r>
          </w:p>
        </w:tc>
        <w:tc>
          <w:tcPr>
            <w:tcW w:w="6226" w:type="dxa"/>
            <w:gridSpan w:val="2"/>
            <w:vAlign w:val="center"/>
          </w:tcPr>
          <w:p w14:paraId="2FFF3C8C">
            <w:pPr>
              <w:spacing w:line="276"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具备一级注册造价工程师证书</w:t>
            </w:r>
          </w:p>
        </w:tc>
      </w:tr>
      <w:tr w14:paraId="2193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44" w:type="dxa"/>
            <w:vAlign w:val="center"/>
          </w:tcPr>
          <w:p w14:paraId="6240CE2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资料员</w:t>
            </w:r>
          </w:p>
        </w:tc>
        <w:tc>
          <w:tcPr>
            <w:tcW w:w="1581" w:type="dxa"/>
            <w:vAlign w:val="center"/>
          </w:tcPr>
          <w:p w14:paraId="3679A853">
            <w:pPr>
              <w:spacing w:line="276" w:lineRule="auto"/>
              <w:jc w:val="center"/>
              <w:rPr>
                <w:rFonts w:hint="eastAsia" w:ascii="宋体" w:hAnsi="宋体" w:cs="宋体"/>
                <w:color w:val="auto"/>
                <w:szCs w:val="21"/>
                <w:highlight w:val="none"/>
                <w:u w:val="single"/>
              </w:rPr>
            </w:pPr>
            <w:r>
              <w:rPr>
                <w:rFonts w:hint="eastAsia" w:ascii="宋体" w:hAnsi="宋体" w:cs="宋体"/>
                <w:color w:val="auto"/>
                <w:szCs w:val="21"/>
                <w:highlight w:val="none"/>
              </w:rPr>
              <w:t>不少于</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名</w:t>
            </w:r>
          </w:p>
        </w:tc>
        <w:tc>
          <w:tcPr>
            <w:tcW w:w="6226" w:type="dxa"/>
            <w:gridSpan w:val="2"/>
            <w:vAlign w:val="center"/>
          </w:tcPr>
          <w:p w14:paraId="7FEAD1F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具备资料员证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其中厂区、厂外管网各不少于１名</w:t>
            </w:r>
          </w:p>
        </w:tc>
      </w:tr>
      <w:tr w14:paraId="11BE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44" w:type="dxa"/>
            <w:vAlign w:val="center"/>
          </w:tcPr>
          <w:p w14:paraId="3D0627FF">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总计</w:t>
            </w:r>
          </w:p>
        </w:tc>
        <w:tc>
          <w:tcPr>
            <w:tcW w:w="1581" w:type="dxa"/>
            <w:vAlign w:val="center"/>
          </w:tcPr>
          <w:p w14:paraId="474B13DB">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不少于</w:t>
            </w:r>
            <w:r>
              <w:rPr>
                <w:rFonts w:hint="eastAsia" w:ascii="宋体" w:hAnsi="宋体" w:cs="宋体"/>
                <w:color w:val="auto"/>
                <w:szCs w:val="21"/>
                <w:highlight w:val="none"/>
                <w:u w:val="single"/>
                <w:lang w:val="en-US" w:eastAsia="zh-CN"/>
              </w:rPr>
              <w:t>16</w:t>
            </w:r>
            <w:r>
              <w:rPr>
                <w:rFonts w:hint="eastAsia" w:ascii="宋体" w:hAnsi="宋体" w:cs="宋体"/>
                <w:color w:val="auto"/>
                <w:szCs w:val="21"/>
                <w:highlight w:val="none"/>
              </w:rPr>
              <w:t>名</w:t>
            </w:r>
          </w:p>
        </w:tc>
        <w:tc>
          <w:tcPr>
            <w:tcW w:w="6226" w:type="dxa"/>
            <w:gridSpan w:val="2"/>
            <w:vAlign w:val="center"/>
          </w:tcPr>
          <w:p w14:paraId="645AFC51">
            <w:pPr>
              <w:spacing w:line="276" w:lineRule="auto"/>
              <w:jc w:val="center"/>
              <w:rPr>
                <w:rFonts w:hint="eastAsia" w:ascii="宋体" w:hAnsi="宋体" w:cs="宋体"/>
                <w:color w:val="auto"/>
                <w:szCs w:val="21"/>
                <w:highlight w:val="none"/>
              </w:rPr>
            </w:pPr>
          </w:p>
        </w:tc>
      </w:tr>
    </w:tbl>
    <w:p w14:paraId="5675FA69">
      <w:pPr>
        <w:tabs>
          <w:tab w:val="left" w:pos="540"/>
          <w:tab w:val="left" w:pos="720"/>
        </w:tabs>
        <w:snapToGrid w:val="0"/>
        <w:ind w:firstLine="480" w:firstLineChars="200"/>
        <w:rPr>
          <w:rFonts w:hint="eastAsia"/>
          <w:color w:val="auto"/>
          <w:szCs w:val="21"/>
          <w:highlight w:val="none"/>
        </w:rPr>
      </w:pPr>
    </w:p>
    <w:p w14:paraId="69E4E471">
      <w:pPr>
        <w:pStyle w:val="12"/>
        <w:numPr>
          <w:ilvl w:val="-1"/>
          <w:numId w:val="0"/>
        </w:numPr>
        <w:tabs>
          <w:tab w:val="left" w:pos="1343"/>
          <w:tab w:val="left" w:pos="2697"/>
          <w:tab w:val="left" w:pos="3264"/>
          <w:tab w:val="left" w:pos="4896"/>
          <w:tab w:val="left" w:pos="6005"/>
          <w:tab w:val="left" w:pos="7085"/>
          <w:tab w:val="left" w:pos="7498"/>
        </w:tabs>
        <w:kinsoku w:val="0"/>
        <w:overflowPunct w:val="0"/>
        <w:spacing w:line="360" w:lineRule="auto"/>
        <w:ind w:left="0" w:leftChars="0" w:firstLine="480" w:firstLineChars="200"/>
        <w:jc w:val="both"/>
        <w:rPr>
          <w:rFonts w:hint="default" w:cs="宋体"/>
          <w:b w:val="0"/>
          <w:color w:val="auto"/>
          <w:sz w:val="24"/>
          <w:highlight w:val="none"/>
          <w:lang w:eastAsia="zh-CN"/>
        </w:rPr>
      </w:pPr>
      <w:r>
        <w:rPr>
          <w:rFonts w:hint="default" w:cs="宋体"/>
          <w:color w:val="auto"/>
          <w:sz w:val="24"/>
          <w:szCs w:val="24"/>
          <w:highlight w:val="none"/>
          <w:lang w:eastAsia="zh-CN"/>
        </w:rPr>
        <w:t>注：1、本表不作为响应性审查依据。表中所列人员配备为最低限度要求，中标单位可根据实际工作需要及时投入人员，所有监理人员均须身体健康。投标人提供的人员须为投标人在职员工，投标人提供的人员须为投标人在职员工</w:t>
      </w:r>
      <w:r>
        <w:rPr>
          <w:rFonts w:hint="default" w:cs="宋体"/>
          <w:color w:val="auto"/>
          <w:sz w:val="24"/>
          <w:highlight w:val="none"/>
          <w:lang w:eastAsia="zh-CN"/>
        </w:rPr>
        <w:t>。</w:t>
      </w:r>
      <w:r>
        <w:rPr>
          <w:rFonts w:hint="default" w:cs="宋体"/>
          <w:color w:val="auto"/>
          <w:sz w:val="24"/>
          <w:szCs w:val="24"/>
          <w:highlight w:val="none"/>
          <w:lang w:eastAsia="zh-CN"/>
        </w:rPr>
        <w:t>确定中标人后，招标人将采取有效措施，核实后续中标人管理团队的社保补缴情况。</w:t>
      </w:r>
    </w:p>
    <w:p w14:paraId="5D19CADC">
      <w:pPr>
        <w:pStyle w:val="12"/>
        <w:numPr>
          <w:ilvl w:val="-1"/>
          <w:numId w:val="0"/>
        </w:numPr>
        <w:tabs>
          <w:tab w:val="left" w:pos="1343"/>
          <w:tab w:val="left" w:pos="2697"/>
          <w:tab w:val="left" w:pos="3264"/>
          <w:tab w:val="left" w:pos="4896"/>
          <w:tab w:val="left" w:pos="6005"/>
          <w:tab w:val="left" w:pos="7085"/>
          <w:tab w:val="left" w:pos="7498"/>
        </w:tabs>
        <w:kinsoku w:val="0"/>
        <w:overflowPunct w:val="0"/>
        <w:spacing w:line="360" w:lineRule="auto"/>
        <w:ind w:left="0" w:leftChars="0" w:firstLine="480" w:firstLineChars="200"/>
        <w:jc w:val="both"/>
        <w:rPr>
          <w:rFonts w:hint="default" w:cs="宋体"/>
          <w:color w:val="auto"/>
          <w:sz w:val="24"/>
          <w:highlight w:val="none"/>
          <w:lang w:eastAsia="zh-CN"/>
        </w:rPr>
      </w:pPr>
      <w:r>
        <w:rPr>
          <w:rFonts w:hint="default" w:cs="宋体"/>
          <w:color w:val="auto"/>
          <w:sz w:val="24"/>
          <w:highlight w:val="none"/>
          <w:lang w:eastAsia="zh-CN"/>
        </w:rPr>
        <w:t>2、拟派的项目总监必须是投标单位的正式员工，联合体投标的，必须是联合体主办方的正式员工。拟派其余人员（除总监外）可以由联合体成员各方委派并可以合并提供。</w:t>
      </w:r>
    </w:p>
    <w:p w14:paraId="3CB7FD32">
      <w:pPr>
        <w:pStyle w:val="12"/>
        <w:numPr>
          <w:ilvl w:val="-1"/>
          <w:numId w:val="0"/>
        </w:numPr>
        <w:tabs>
          <w:tab w:val="left" w:pos="1343"/>
          <w:tab w:val="left" w:pos="2697"/>
          <w:tab w:val="left" w:pos="3264"/>
          <w:tab w:val="left" w:pos="4896"/>
          <w:tab w:val="left" w:pos="6005"/>
          <w:tab w:val="left" w:pos="7085"/>
          <w:tab w:val="left" w:pos="7498"/>
        </w:tabs>
        <w:kinsoku w:val="0"/>
        <w:overflowPunct w:val="0"/>
        <w:spacing w:line="360" w:lineRule="auto"/>
        <w:ind w:left="0" w:leftChars="0" w:firstLine="480" w:firstLineChars="200"/>
        <w:jc w:val="both"/>
        <w:rPr>
          <w:rFonts w:hint="default" w:cs="宋体"/>
          <w:color w:val="auto"/>
          <w:sz w:val="24"/>
          <w:highlight w:val="none"/>
          <w:lang w:eastAsia="zh-CN"/>
        </w:rPr>
      </w:pPr>
      <w:r>
        <w:rPr>
          <w:rFonts w:hint="eastAsia" w:cs="宋体"/>
          <w:color w:val="auto"/>
          <w:sz w:val="24"/>
          <w:highlight w:val="none"/>
          <w:lang w:val="en-US" w:eastAsia="zh-CN"/>
        </w:rPr>
        <w:t>3、</w:t>
      </w:r>
      <w:r>
        <w:rPr>
          <w:rFonts w:hint="default" w:cs="宋体"/>
          <w:color w:val="auto"/>
          <w:sz w:val="24"/>
          <w:highlight w:val="none"/>
          <w:lang w:eastAsia="zh-CN"/>
        </w:rPr>
        <w:t>有效的注册造价工程师指根据原人事部、原建设部发布的《造价工程师执业资格制度暂行规定》（人发〔1996〕77号）取得的造价工程师执业资格，并经注册且在有效期内；有效的注册一级造价工程师资格指根据</w:t>
      </w:r>
      <w:r>
        <w:rPr>
          <w:rFonts w:hint="eastAsia" w:cs="宋体"/>
          <w:color w:val="auto"/>
          <w:sz w:val="24"/>
          <w:highlight w:val="none"/>
          <w:lang w:eastAsia="zh-CN"/>
        </w:rPr>
        <w:t>住房和城乡建设部</w:t>
      </w:r>
      <w:r>
        <w:rPr>
          <w:rFonts w:hint="default" w:cs="宋体"/>
          <w:color w:val="auto"/>
          <w:sz w:val="24"/>
          <w:highlight w:val="none"/>
          <w:lang w:eastAsia="zh-CN"/>
        </w:rPr>
        <w:t>、交通运输部、水利部、人力资源社会保障部发布的《造价工程师职业资格制度规定》《造价工程师职业资格考试实施办法》（建人〔2018〕67号）取得的一级造价工程师职业资格，并经注册且在有效期内。</w:t>
      </w:r>
    </w:p>
    <w:p w14:paraId="6917B7B1">
      <w:pPr>
        <w:spacing w:line="360" w:lineRule="auto"/>
        <w:rPr>
          <w:rFonts w:ascii="宋体" w:hAnsi="宋体" w:cs="宋体"/>
          <w:b/>
          <w:color w:val="auto"/>
          <w:highlight w:val="none"/>
          <w:lang w:bidi="ar"/>
        </w:rPr>
      </w:pPr>
      <w:r>
        <w:rPr>
          <w:rFonts w:hint="eastAsia" w:ascii="宋体" w:hAnsi="宋体" w:cs="宋体"/>
          <w:b/>
          <w:color w:val="auto"/>
          <w:highlight w:val="none"/>
          <w:lang w:bidi="ar"/>
        </w:rPr>
        <w:t>4.2试验检测仪器设备</w:t>
      </w:r>
      <w:r>
        <w:rPr>
          <w:rFonts w:ascii="宋体" w:hAnsi="宋体" w:cs="宋体"/>
          <w:b/>
          <w:color w:val="auto"/>
          <w:highlight w:val="none"/>
          <w:lang w:bidi="ar"/>
        </w:rPr>
        <w:t>基本要求</w:t>
      </w:r>
      <w:r>
        <w:rPr>
          <w:rFonts w:hint="eastAsia" w:ascii="宋体" w:hAnsi="宋体" w:cs="宋体"/>
          <w:b/>
          <w:color w:val="auto"/>
          <w:highlight w:val="none"/>
          <w:lang w:bidi="ar"/>
        </w:rPr>
        <w:t>：</w:t>
      </w:r>
    </w:p>
    <w:tbl>
      <w:tblPr>
        <w:tblStyle w:val="2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1857"/>
        <w:gridCol w:w="1858"/>
        <w:gridCol w:w="1858"/>
      </w:tblGrid>
      <w:tr w14:paraId="701B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57" w:type="dxa"/>
            <w:vAlign w:val="center"/>
          </w:tcPr>
          <w:p w14:paraId="22761DE7">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序号</w:t>
            </w:r>
          </w:p>
        </w:tc>
        <w:tc>
          <w:tcPr>
            <w:tcW w:w="1857" w:type="dxa"/>
            <w:vAlign w:val="center"/>
          </w:tcPr>
          <w:p w14:paraId="14D3F8E3">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仪器设备名称</w:t>
            </w:r>
          </w:p>
        </w:tc>
        <w:tc>
          <w:tcPr>
            <w:tcW w:w="1857" w:type="dxa"/>
            <w:vAlign w:val="center"/>
          </w:tcPr>
          <w:p w14:paraId="01093317">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规格</w:t>
            </w:r>
          </w:p>
        </w:tc>
        <w:tc>
          <w:tcPr>
            <w:tcW w:w="1858" w:type="dxa"/>
            <w:vAlign w:val="center"/>
          </w:tcPr>
          <w:p w14:paraId="4D96728D">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数量</w:t>
            </w:r>
          </w:p>
        </w:tc>
        <w:tc>
          <w:tcPr>
            <w:tcW w:w="1858" w:type="dxa"/>
            <w:vAlign w:val="center"/>
          </w:tcPr>
          <w:p w14:paraId="47C2A1FE">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备注</w:t>
            </w:r>
          </w:p>
        </w:tc>
      </w:tr>
      <w:tr w14:paraId="49EC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57" w:type="dxa"/>
            <w:vAlign w:val="center"/>
          </w:tcPr>
          <w:p w14:paraId="4F48E18C">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1</w:t>
            </w:r>
          </w:p>
        </w:tc>
        <w:tc>
          <w:tcPr>
            <w:tcW w:w="1857" w:type="dxa"/>
            <w:vAlign w:val="center"/>
          </w:tcPr>
          <w:p w14:paraId="79BB9DEB">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回弹仪</w:t>
            </w:r>
          </w:p>
        </w:tc>
        <w:tc>
          <w:tcPr>
            <w:tcW w:w="1857" w:type="dxa"/>
            <w:vAlign w:val="center"/>
          </w:tcPr>
          <w:p w14:paraId="35D54CEB">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w:t>
            </w:r>
          </w:p>
        </w:tc>
        <w:tc>
          <w:tcPr>
            <w:tcW w:w="1858" w:type="dxa"/>
            <w:vAlign w:val="center"/>
          </w:tcPr>
          <w:p w14:paraId="3BA3C173">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1</w:t>
            </w:r>
          </w:p>
        </w:tc>
        <w:tc>
          <w:tcPr>
            <w:tcW w:w="1858" w:type="dxa"/>
            <w:vAlign w:val="center"/>
          </w:tcPr>
          <w:p w14:paraId="08B7BF5B">
            <w:pPr>
              <w:spacing w:line="240" w:lineRule="auto"/>
              <w:jc w:val="center"/>
              <w:rPr>
                <w:rFonts w:ascii="Times New Roman" w:hAnsi="Times New Roman" w:cs="Times New Roman"/>
                <w:bCs w:val="0"/>
                <w:color w:val="auto"/>
                <w:highlight w:val="none"/>
                <w:lang w:bidi="ar"/>
              </w:rPr>
            </w:pPr>
          </w:p>
        </w:tc>
      </w:tr>
      <w:tr w14:paraId="6D0C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57" w:type="dxa"/>
            <w:vAlign w:val="center"/>
          </w:tcPr>
          <w:p w14:paraId="75DFA1CF">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2</w:t>
            </w:r>
          </w:p>
        </w:tc>
        <w:tc>
          <w:tcPr>
            <w:tcW w:w="1857" w:type="dxa"/>
            <w:vAlign w:val="center"/>
          </w:tcPr>
          <w:p w14:paraId="7BB8D79E">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砼坍落度筒</w:t>
            </w:r>
          </w:p>
        </w:tc>
        <w:tc>
          <w:tcPr>
            <w:tcW w:w="1857" w:type="dxa"/>
            <w:vAlign w:val="center"/>
          </w:tcPr>
          <w:p w14:paraId="6CF9BBAC">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w:t>
            </w:r>
          </w:p>
        </w:tc>
        <w:tc>
          <w:tcPr>
            <w:tcW w:w="1858" w:type="dxa"/>
            <w:vAlign w:val="center"/>
          </w:tcPr>
          <w:p w14:paraId="61DD5E17">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1</w:t>
            </w:r>
          </w:p>
        </w:tc>
        <w:tc>
          <w:tcPr>
            <w:tcW w:w="1858" w:type="dxa"/>
            <w:vAlign w:val="center"/>
          </w:tcPr>
          <w:p w14:paraId="55331AB7">
            <w:pPr>
              <w:spacing w:line="240" w:lineRule="auto"/>
              <w:jc w:val="center"/>
              <w:rPr>
                <w:rFonts w:ascii="Times New Roman" w:hAnsi="Times New Roman" w:cs="Times New Roman"/>
                <w:bCs w:val="0"/>
                <w:color w:val="auto"/>
                <w:highlight w:val="none"/>
                <w:lang w:bidi="ar"/>
              </w:rPr>
            </w:pPr>
          </w:p>
        </w:tc>
      </w:tr>
      <w:tr w14:paraId="0E7E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57" w:type="dxa"/>
            <w:vAlign w:val="center"/>
          </w:tcPr>
          <w:p w14:paraId="4A4FCECE">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3</w:t>
            </w:r>
          </w:p>
        </w:tc>
        <w:tc>
          <w:tcPr>
            <w:tcW w:w="1857" w:type="dxa"/>
            <w:vAlign w:val="center"/>
          </w:tcPr>
          <w:p w14:paraId="27F837AE">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检测尺</w:t>
            </w:r>
          </w:p>
        </w:tc>
        <w:tc>
          <w:tcPr>
            <w:tcW w:w="1857" w:type="dxa"/>
            <w:vAlign w:val="center"/>
          </w:tcPr>
          <w:p w14:paraId="25F3501F">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w:t>
            </w:r>
          </w:p>
        </w:tc>
        <w:tc>
          <w:tcPr>
            <w:tcW w:w="1858" w:type="dxa"/>
            <w:vAlign w:val="center"/>
          </w:tcPr>
          <w:p w14:paraId="254E0A28">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1</w:t>
            </w:r>
          </w:p>
        </w:tc>
        <w:tc>
          <w:tcPr>
            <w:tcW w:w="1858" w:type="dxa"/>
            <w:vAlign w:val="center"/>
          </w:tcPr>
          <w:p w14:paraId="477F16F3">
            <w:pPr>
              <w:spacing w:line="240" w:lineRule="auto"/>
              <w:jc w:val="center"/>
              <w:rPr>
                <w:rFonts w:ascii="Times New Roman" w:hAnsi="Times New Roman" w:cs="Times New Roman"/>
                <w:bCs w:val="0"/>
                <w:color w:val="auto"/>
                <w:highlight w:val="none"/>
                <w:lang w:bidi="ar"/>
              </w:rPr>
            </w:pPr>
          </w:p>
        </w:tc>
      </w:tr>
      <w:tr w14:paraId="5807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857" w:type="dxa"/>
            <w:vAlign w:val="center"/>
          </w:tcPr>
          <w:p w14:paraId="17AEA30A">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4</w:t>
            </w:r>
          </w:p>
        </w:tc>
        <w:tc>
          <w:tcPr>
            <w:tcW w:w="1857" w:type="dxa"/>
            <w:vAlign w:val="center"/>
          </w:tcPr>
          <w:p w14:paraId="7B751917">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卷尺</w:t>
            </w:r>
          </w:p>
        </w:tc>
        <w:tc>
          <w:tcPr>
            <w:tcW w:w="1857" w:type="dxa"/>
            <w:vAlign w:val="center"/>
          </w:tcPr>
          <w:p w14:paraId="11950E84">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w:t>
            </w:r>
          </w:p>
        </w:tc>
        <w:tc>
          <w:tcPr>
            <w:tcW w:w="1858" w:type="dxa"/>
            <w:vAlign w:val="center"/>
          </w:tcPr>
          <w:p w14:paraId="6E6B6F39">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1</w:t>
            </w:r>
          </w:p>
        </w:tc>
        <w:tc>
          <w:tcPr>
            <w:tcW w:w="1858" w:type="dxa"/>
            <w:vAlign w:val="center"/>
          </w:tcPr>
          <w:p w14:paraId="063CAE82">
            <w:pPr>
              <w:spacing w:line="240" w:lineRule="auto"/>
              <w:jc w:val="center"/>
              <w:rPr>
                <w:rFonts w:ascii="Times New Roman" w:hAnsi="Times New Roman" w:cs="Times New Roman"/>
                <w:bCs w:val="0"/>
                <w:color w:val="auto"/>
                <w:highlight w:val="none"/>
                <w:lang w:bidi="ar"/>
              </w:rPr>
            </w:pPr>
          </w:p>
        </w:tc>
      </w:tr>
      <w:tr w14:paraId="6E64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857" w:type="dxa"/>
            <w:vAlign w:val="center"/>
          </w:tcPr>
          <w:p w14:paraId="4574AE4B">
            <w:pPr>
              <w:spacing w:line="240" w:lineRule="auto"/>
              <w:jc w:val="center"/>
              <w:rPr>
                <w:rFonts w:hint="eastAsia" w:ascii="Times New Roman" w:hAnsi="Times New Roman" w:eastAsia="宋体" w:cs="Times New Roman"/>
                <w:bCs w:val="0"/>
                <w:color w:val="auto"/>
                <w:highlight w:val="none"/>
                <w:lang w:val="en-US" w:eastAsia="zh-CN" w:bidi="ar"/>
              </w:rPr>
            </w:pPr>
            <w:r>
              <w:rPr>
                <w:rFonts w:hint="eastAsia" w:cs="Times New Roman"/>
                <w:bCs w:val="0"/>
                <w:color w:val="auto"/>
                <w:highlight w:val="none"/>
                <w:lang w:val="en-US" w:eastAsia="zh-CN" w:bidi="ar"/>
              </w:rPr>
              <w:t>5</w:t>
            </w:r>
          </w:p>
        </w:tc>
        <w:tc>
          <w:tcPr>
            <w:tcW w:w="1857" w:type="dxa"/>
            <w:vAlign w:val="center"/>
          </w:tcPr>
          <w:p w14:paraId="6729B082">
            <w:pPr>
              <w:spacing w:line="240" w:lineRule="auto"/>
              <w:jc w:val="center"/>
              <w:rPr>
                <w:rFonts w:hint="eastAsia" w:ascii="Times New Roman" w:hAnsi="Times New Roman" w:cs="Times New Roman"/>
                <w:bCs w:val="0"/>
                <w:color w:val="auto"/>
                <w:highlight w:val="none"/>
                <w:lang w:bidi="ar"/>
              </w:rPr>
            </w:pPr>
            <w:r>
              <w:rPr>
                <w:rFonts w:hint="eastAsia" w:ascii="Times New Roman" w:hAnsi="Times New Roman" w:cs="Times New Roman"/>
                <w:bCs w:val="0"/>
                <w:color w:val="auto"/>
                <w:highlight w:val="none"/>
                <w:lang w:bidi="ar"/>
              </w:rPr>
              <w:t>游标卡尺、磁性线锤、力矩</w:t>
            </w:r>
          </w:p>
          <w:p w14:paraId="7FBE2E8F">
            <w:pPr>
              <w:spacing w:line="240" w:lineRule="auto"/>
              <w:jc w:val="center"/>
              <w:rPr>
                <w:rFonts w:ascii="Times New Roman" w:hAnsi="Times New Roman" w:cs="Times New Roman"/>
                <w:bCs w:val="0"/>
                <w:color w:val="auto"/>
                <w:highlight w:val="none"/>
                <w:lang w:bidi="ar"/>
              </w:rPr>
            </w:pPr>
            <w:r>
              <w:rPr>
                <w:rFonts w:hint="eastAsia" w:ascii="Times New Roman" w:hAnsi="Times New Roman" w:cs="Times New Roman"/>
                <w:bCs w:val="0"/>
                <w:color w:val="auto"/>
                <w:highlight w:val="none"/>
                <w:lang w:bidi="ar"/>
              </w:rPr>
              <w:t>扳手、数字万用表，用于结构稳定性与电气安全检查</w:t>
            </w:r>
          </w:p>
        </w:tc>
        <w:tc>
          <w:tcPr>
            <w:tcW w:w="1857" w:type="dxa"/>
            <w:shd w:val="clear" w:color="auto" w:fill="auto"/>
            <w:vAlign w:val="center"/>
          </w:tcPr>
          <w:p w14:paraId="159F5F08">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w:t>
            </w:r>
          </w:p>
        </w:tc>
        <w:tc>
          <w:tcPr>
            <w:tcW w:w="1858" w:type="dxa"/>
            <w:shd w:val="clear" w:color="auto" w:fill="auto"/>
            <w:vAlign w:val="center"/>
          </w:tcPr>
          <w:p w14:paraId="2E2E3508">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1</w:t>
            </w:r>
          </w:p>
        </w:tc>
        <w:tc>
          <w:tcPr>
            <w:tcW w:w="1858" w:type="dxa"/>
            <w:vAlign w:val="center"/>
          </w:tcPr>
          <w:p w14:paraId="35D51307">
            <w:pPr>
              <w:spacing w:line="240" w:lineRule="auto"/>
              <w:jc w:val="center"/>
              <w:rPr>
                <w:rFonts w:ascii="Times New Roman" w:hAnsi="Times New Roman" w:cs="Times New Roman"/>
                <w:bCs w:val="0"/>
                <w:color w:val="auto"/>
                <w:highlight w:val="none"/>
                <w:lang w:bidi="ar"/>
              </w:rPr>
            </w:pPr>
            <w:r>
              <w:rPr>
                <w:rFonts w:hint="eastAsia" w:ascii="Times New Roman" w:hAnsi="Times New Roman" w:cs="Times New Roman"/>
                <w:bCs w:val="0"/>
                <w:color w:val="auto"/>
                <w:highlight w:val="none"/>
                <w:lang w:bidi="ar"/>
              </w:rPr>
              <w:t>用于结构稳定性与电气安全检查</w:t>
            </w:r>
          </w:p>
        </w:tc>
      </w:tr>
    </w:tbl>
    <w:p w14:paraId="59D8F5DB">
      <w:pPr>
        <w:pStyle w:val="12"/>
        <w:numPr>
          <w:ilvl w:val="0"/>
          <w:numId w:val="3"/>
        </w:numP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lang w:eastAsia="zh-CN"/>
        </w:rPr>
      </w:pPr>
      <w:r>
        <w:rPr>
          <w:rFonts w:hint="default" w:cs="宋体"/>
          <w:color w:val="auto"/>
          <w:sz w:val="24"/>
          <w:szCs w:val="24"/>
          <w:highlight w:val="none"/>
        </w:rPr>
        <w:t>其他要求</w:t>
      </w:r>
      <w:r>
        <w:rPr>
          <w:rFonts w:hint="eastAsia" w:cs="宋体"/>
          <w:color w:val="auto"/>
          <w:sz w:val="24"/>
          <w:szCs w:val="24"/>
          <w:highlight w:val="none"/>
          <w:lang w:eastAsia="zh-CN"/>
        </w:rPr>
        <w:t>：</w:t>
      </w:r>
    </w:p>
    <w:p w14:paraId="7E60223F">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5.1施工监理内容和服务期限</w:t>
      </w:r>
    </w:p>
    <w:p w14:paraId="02A17F39">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eastAsia="zh-CN"/>
        </w:rPr>
        <w:t>从中标人收到招标人中标通知或参加由招标人组织的进场动员会开始算起，至本项目工程质量保修期结束且本合同工程结算金额经政府主管部门或招标人审定之日止。</w:t>
      </w:r>
    </w:p>
    <w:p w14:paraId="60D0E6F6">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5.2质量目标、职业健康安全管理目标、环境管理目标</w:t>
      </w:r>
    </w:p>
    <w:p w14:paraId="34537824">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1. 质量目标：达到施工合同确定的质量目标；一次性验收合格，符合国家现行质量验收标准。</w:t>
      </w:r>
    </w:p>
    <w:p w14:paraId="70EC9AC2">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2. 职业健康安全管理目标：合格且无一般安全责任事故</w:t>
      </w:r>
    </w:p>
    <w:p w14:paraId="761B349B">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3. 环境目标：严格执行《广州市建设工程现场文明施工管理办法》（穗建质〔2008〕937号）、《广州市建设工程文明施工管理规定》（广州市人民政府令第62号令）、《关于进一步规范建设工程施工现场围蔽的通知》（穗建质〔2008〕1008号）。</w:t>
      </w:r>
    </w:p>
    <w:p w14:paraId="2D7491EE">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4.文明施工管理目标：合格且不因工地文明施工管理问题受到有关政府、行业职能管理部门处罚 </w:t>
      </w:r>
    </w:p>
    <w:p w14:paraId="10C6E476">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5.创优目标：配合施工单位达到国家发展改革委与住房和城乡建设部联合发布的“国家污水处理绿色低碳标杆厂”要求。</w:t>
      </w:r>
    </w:p>
    <w:p w14:paraId="150F2379">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default"/>
          <w:highlight w:val="none"/>
          <w:lang w:val="en-US" w:eastAsia="zh-CN"/>
        </w:rPr>
      </w:pPr>
      <w:r>
        <w:rPr>
          <w:rFonts w:hint="eastAsia" w:cs="宋体"/>
          <w:color w:val="auto"/>
          <w:sz w:val="24"/>
          <w:szCs w:val="24"/>
          <w:highlight w:val="none"/>
          <w:lang w:val="en-US" w:eastAsia="zh-CN"/>
        </w:rPr>
        <w:t>配合施工单位获得国家级质量优质奖，并按照国家优质工程的要求做好项目建设监理工作。</w:t>
      </w:r>
    </w:p>
    <w:p w14:paraId="2DE52CCF">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5.3监理管理工作总体要求</w:t>
      </w:r>
    </w:p>
    <w:p w14:paraId="3D16C5DF">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1.按照“守法、诚信、公正、科学”的准则执业。正确执行国家法律法规、行业及地方有关工程建设的法规、规章和规程、规范、标准和制度，履行监理合同规定的职责。</w:t>
      </w:r>
    </w:p>
    <w:p w14:paraId="37676044">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2.坚持独立、公正、科学、廉洁的原则开展监理工作，对工程项目建设具有高度的责任感。严格按照工程承包合同和工程施工监理合同积极主动、独立自主、公正公平地开展各项监理工作。在项目建设过程中加强质量、安全、进度、投资、信息、环境等方面的管理。</w:t>
      </w:r>
    </w:p>
    <w:p w14:paraId="0256F608">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3.熟悉监理业务，对有关的合同文件、设计文件、技术规范、施工程序、施工工艺、安全措施、验收规程、材料和工程质量检验、工程质量评定标准等，应认真学习、理解，并能正确操作。</w:t>
      </w:r>
    </w:p>
    <w:p w14:paraId="2902208F">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4.不得在本工程的承包人、设备制造和材料供应人任职或兼职。</w:t>
      </w:r>
    </w:p>
    <w:p w14:paraId="54FEE493">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5.不得指定施工分包单位、设备材料以及建筑构件配件等供应商。</w:t>
      </w:r>
    </w:p>
    <w:p w14:paraId="39ECA305">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6.不得收受被监理单位的任何酬礼，不得接受可能导致判断不公正的报酬。</w:t>
      </w:r>
    </w:p>
    <w:p w14:paraId="383CC65F">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7.不得泄露本项目各方认为尚需保密的事项。</w:t>
      </w:r>
    </w:p>
    <w:p w14:paraId="5FCD3829">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5.4监理管理人员架构要求</w:t>
      </w:r>
    </w:p>
    <w:p w14:paraId="57A2AEA9">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项目监理架构组成人员应符合招投标文件、合同的要求，如因特殊情况部分投标人员不能到位应向建设单位项目管理机构书面提出人员更换申请，得到批准并按合同要求办理相应变更手续后方可进行人员更换；人员的更换应在施工准备阶段完成，经备案后的项目监理架构人员不允许随便变更。</w:t>
      </w:r>
    </w:p>
    <w:p w14:paraId="471B47A8">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5.5监理人员考勤管理要点</w:t>
      </w:r>
    </w:p>
    <w:p w14:paraId="78B4C49A">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严格实行请假制度；在非重要部位施工时，需要请假的，监理部人员需向广州南沙广业生态发展有限公司项目负责人书面请假，请假严格按合同、招投标文件进行审批。请假条获得批准后，可不列入缺勤天数。总监理工程师在工程关键部位、关键环节施工时段均不得请假外出。</w:t>
      </w:r>
    </w:p>
    <w:p w14:paraId="0A66A9C1">
      <w:pPr>
        <w:pStyle w:val="12"/>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按照相关法律法规规定，在高大模板现场浇注、深基坑和沟槽开挖及按规定其它须在岗的危险源、重点时段、关键环节等重大危险源、施工作业处于重点时段和关键环节的，监理部总监或安全监理工程师（员）等必须保证在岗在位，不得请假离开施工现场。</w:t>
      </w:r>
    </w:p>
    <w:p w14:paraId="12BE692E">
      <w:pPr>
        <w:pStyle w:val="5"/>
        <w:outlineLvl w:val="1"/>
        <w:rPr>
          <w:rFonts w:hint="default"/>
          <w:color w:val="auto"/>
          <w:sz w:val="24"/>
          <w:szCs w:val="24"/>
          <w:highlight w:val="none"/>
        </w:rPr>
      </w:pPr>
      <w:r>
        <w:rPr>
          <w:rFonts w:hint="default"/>
          <w:color w:val="auto"/>
          <w:sz w:val="24"/>
          <w:szCs w:val="24"/>
          <w:highlight w:val="none"/>
        </w:rPr>
        <w:t>二、适用规范标准</w:t>
      </w:r>
    </w:p>
    <w:p w14:paraId="225DC458">
      <w:pPr>
        <w:pStyle w:val="5"/>
        <w:ind w:firstLine="480" w:firstLineChars="200"/>
        <w:outlineLvl w:val="1"/>
        <w:rPr>
          <w:rFonts w:hint="default"/>
          <w:b w:val="0"/>
          <w:bCs/>
          <w:color w:val="auto"/>
          <w:sz w:val="24"/>
          <w:szCs w:val="24"/>
          <w:highlight w:val="none"/>
        </w:rPr>
      </w:pPr>
      <w:r>
        <w:rPr>
          <w:rFonts w:hint="default"/>
          <w:b w:val="0"/>
          <w:bCs/>
          <w:color w:val="auto"/>
          <w:sz w:val="24"/>
          <w:szCs w:val="24"/>
          <w:highlight w:val="none"/>
        </w:rPr>
        <w:t>本工程的监理过程必须符合国家有关工程建设标准强制性条文、现行的标准、规范、规程、定额、办法、示例，以及招标项目所在地关于工程监理方面的文件、规定、规范、标准、规程。</w:t>
      </w:r>
    </w:p>
    <w:p w14:paraId="5C261779">
      <w:pPr>
        <w:pStyle w:val="5"/>
        <w:ind w:firstLine="480" w:firstLineChars="200"/>
        <w:outlineLvl w:val="1"/>
        <w:rPr>
          <w:rFonts w:hint="default"/>
          <w:b w:val="0"/>
          <w:bCs/>
          <w:color w:val="auto"/>
          <w:sz w:val="24"/>
          <w:szCs w:val="24"/>
          <w:highlight w:val="none"/>
        </w:rPr>
      </w:pPr>
      <w:r>
        <w:rPr>
          <w:rFonts w:hint="default"/>
          <w:b w:val="0"/>
          <w:bCs/>
          <w:color w:val="auto"/>
          <w:sz w:val="24"/>
          <w:szCs w:val="24"/>
          <w:highlight w:val="none"/>
        </w:rPr>
        <w:t>在监理过程中，如果国家或有关部门颁布了新的技术标准或规范，则监理人应按照新的标准和规范进行监理。</w:t>
      </w:r>
    </w:p>
    <w:p w14:paraId="64157E5C">
      <w:pPr>
        <w:pStyle w:val="5"/>
        <w:outlineLvl w:val="1"/>
        <w:rPr>
          <w:rFonts w:hint="default"/>
          <w:color w:val="auto"/>
          <w:sz w:val="24"/>
          <w:szCs w:val="24"/>
          <w:highlight w:val="none"/>
        </w:rPr>
      </w:pPr>
      <w:r>
        <w:rPr>
          <w:rFonts w:hint="default"/>
          <w:color w:val="auto"/>
          <w:sz w:val="24"/>
          <w:szCs w:val="24"/>
          <w:highlight w:val="none"/>
        </w:rPr>
        <w:t>三、成果文件要求</w:t>
      </w:r>
    </w:p>
    <w:p w14:paraId="2AB3BF48">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lang w:eastAsia="zh-CN"/>
        </w:rPr>
      </w:pPr>
      <w:r>
        <w:rPr>
          <w:rFonts w:hint="default" w:cs="宋体"/>
          <w:color w:val="auto"/>
          <w:sz w:val="24"/>
          <w:szCs w:val="24"/>
          <w:highlight w:val="none"/>
        </w:rPr>
        <w:t>1.  成果文件</w:t>
      </w:r>
      <w:r>
        <w:rPr>
          <w:rFonts w:hint="eastAsia" w:cs="宋体"/>
          <w:color w:val="auto"/>
          <w:sz w:val="24"/>
          <w:szCs w:val="24"/>
          <w:highlight w:val="none"/>
          <w:lang w:val="en-US" w:eastAsia="zh-CN"/>
        </w:rPr>
        <w:t>包括但不限于</w:t>
      </w:r>
      <w:r>
        <w:rPr>
          <w:rFonts w:hint="eastAsia" w:cs="宋体"/>
          <w:color w:val="auto"/>
          <w:sz w:val="24"/>
          <w:szCs w:val="24"/>
          <w:highlight w:val="none"/>
          <w:lang w:eastAsia="zh-CN"/>
        </w:rPr>
        <w:t>（</w:t>
      </w:r>
      <w:r>
        <w:rPr>
          <w:rFonts w:hint="eastAsia" w:cs="宋体"/>
          <w:color w:val="auto"/>
          <w:sz w:val="24"/>
          <w:szCs w:val="24"/>
          <w:highlight w:val="none"/>
          <w:lang w:val="en-US" w:eastAsia="zh-CN"/>
        </w:rPr>
        <w:t>如与监理合同不一致，以监理合同为准）</w:t>
      </w:r>
      <w:r>
        <w:rPr>
          <w:rFonts w:hint="eastAsia" w:cs="宋体"/>
          <w:color w:val="auto"/>
          <w:sz w:val="24"/>
          <w:szCs w:val="24"/>
          <w:highlight w:val="none"/>
          <w:lang w:eastAsia="zh-CN"/>
        </w:rPr>
        <w:t>：</w:t>
      </w:r>
    </w:p>
    <w:p w14:paraId="0FBCB15B">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勘察设计文件、建设工程监理合同及其他合同文件；</w:t>
      </w:r>
    </w:p>
    <w:p w14:paraId="0B15B749">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2</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监理规划、监理实施细则；</w:t>
      </w:r>
    </w:p>
    <w:p w14:paraId="4B080C42">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3</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设计交底和图纸会审会议纪要；</w:t>
      </w:r>
    </w:p>
    <w:p w14:paraId="69EF9BEE">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4</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施工组织设计、（专项）施工方案、施工进度计划报审文件资料；</w:t>
      </w:r>
    </w:p>
    <w:p w14:paraId="0DB556C4">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5</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分包单位资格报审文件资料；</w:t>
      </w:r>
    </w:p>
    <w:p w14:paraId="393608AF">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6</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施工控制测量成果报验文件资料；</w:t>
      </w:r>
    </w:p>
    <w:p w14:paraId="1DC957F6">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7</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总监理工程师任命书、工程开工令、暂停令、复工令、开工或复工报审文件资料；</w:t>
      </w:r>
    </w:p>
    <w:p w14:paraId="62D06EF1">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8</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工程材料、设备、构配件报验文件资料；</w:t>
      </w:r>
    </w:p>
    <w:p w14:paraId="3EB454E3">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9</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见证取样和平行检验文件资料；</w:t>
      </w:r>
    </w:p>
    <w:p w14:paraId="6BF90839">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10</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工程质量检查报验资料及工程有关验收资料；</w:t>
      </w:r>
    </w:p>
    <w:p w14:paraId="57376CA0">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11</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工程变更、费用索赔及工程延期文件资料；</w:t>
      </w:r>
    </w:p>
    <w:p w14:paraId="53AA56E8">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12</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工程计量、工程款支付文件资料；</w:t>
      </w:r>
    </w:p>
    <w:p w14:paraId="29E8DAAF">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13</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监理通知单、工作联系单与监理报告；</w:t>
      </w:r>
    </w:p>
    <w:p w14:paraId="3864F11D">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14</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第一次工地会议、监理例会、专题会议等会议纪要；</w:t>
      </w:r>
    </w:p>
    <w:p w14:paraId="393C6D52">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15</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监理月报、监理日志、旁站记录；</w:t>
      </w:r>
    </w:p>
    <w:p w14:paraId="7F902680">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16</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工程质量或生产安全事故处理文件资料；</w:t>
      </w:r>
    </w:p>
    <w:p w14:paraId="174A6C97">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17</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工程质量评估报告及竣工验收监理文件资料；</w:t>
      </w:r>
    </w:p>
    <w:p w14:paraId="130FE27C">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18</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监理工作总结。</w:t>
      </w:r>
    </w:p>
    <w:p w14:paraId="5DBDC708">
      <w:pPr>
        <w:autoSpaceDE/>
        <w:autoSpaceDN/>
        <w:adjustRightInd/>
        <w:spacing w:line="360" w:lineRule="auto"/>
        <w:ind w:firstLine="480" w:firstLineChars="200"/>
        <w:jc w:val="both"/>
        <w:rPr>
          <w:rFonts w:ascii="宋体" w:hAnsi="宋体" w:cs="宋体"/>
          <w:color w:val="auto"/>
          <w:kern w:val="2"/>
          <w:highlight w:val="none"/>
        </w:rPr>
      </w:pPr>
      <w:r>
        <w:rPr>
          <w:rFonts w:hint="default" w:cs="宋体"/>
          <w:color w:val="auto"/>
          <w:sz w:val="24"/>
          <w:szCs w:val="24"/>
          <w:highlight w:val="none"/>
        </w:rPr>
        <w:t>2.  成果文件的深度</w:t>
      </w:r>
      <w:r>
        <w:rPr>
          <w:rFonts w:hint="eastAsia" w:cs="宋体"/>
          <w:color w:val="auto"/>
          <w:sz w:val="24"/>
          <w:szCs w:val="24"/>
          <w:highlight w:val="none"/>
          <w:lang w:eastAsia="zh-CN"/>
        </w:rPr>
        <w:t>：</w:t>
      </w:r>
      <w:r>
        <w:rPr>
          <w:rFonts w:hint="eastAsia" w:ascii="宋体" w:hAnsi="宋体" w:cs="宋体"/>
          <w:color w:val="auto"/>
          <w:kern w:val="2"/>
          <w:highlight w:val="none"/>
          <w:u w:val="single"/>
        </w:rPr>
        <w:t>满足本项目监理服务要求。</w:t>
      </w:r>
    </w:p>
    <w:p w14:paraId="7BF00AB0">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color w:val="auto"/>
          <w:sz w:val="24"/>
          <w:szCs w:val="24"/>
          <w:highlight w:val="none"/>
          <w:lang w:eastAsia="zh-CN"/>
        </w:rPr>
      </w:pPr>
      <w:r>
        <w:rPr>
          <w:rFonts w:hint="default" w:cs="宋体"/>
          <w:color w:val="auto"/>
          <w:sz w:val="24"/>
          <w:szCs w:val="24"/>
          <w:highlight w:val="none"/>
        </w:rPr>
        <w:t>3. 成果文件的格式要求</w:t>
      </w:r>
      <w:r>
        <w:rPr>
          <w:rFonts w:hint="eastAsia" w:cs="宋体"/>
          <w:color w:val="auto"/>
          <w:sz w:val="24"/>
          <w:szCs w:val="24"/>
          <w:highlight w:val="none"/>
          <w:lang w:eastAsia="zh-CN"/>
        </w:rPr>
        <w:t>：</w:t>
      </w:r>
      <w:r>
        <w:rPr>
          <w:rFonts w:hint="eastAsia" w:ascii="宋体" w:hAnsi="宋体" w:cs="宋体"/>
          <w:color w:val="auto"/>
          <w:kern w:val="2"/>
          <w:highlight w:val="none"/>
          <w:u w:val="single"/>
        </w:rPr>
        <w:t>满足本项目监理服务要求。</w:t>
      </w:r>
    </w:p>
    <w:p w14:paraId="0BAFD7CF">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color w:val="auto"/>
          <w:sz w:val="24"/>
          <w:szCs w:val="24"/>
          <w:highlight w:val="none"/>
          <w:lang w:eastAsia="zh-CN"/>
        </w:rPr>
      </w:pPr>
      <w:r>
        <w:rPr>
          <w:rFonts w:hint="default" w:cs="宋体"/>
          <w:color w:val="auto"/>
          <w:sz w:val="24"/>
          <w:szCs w:val="24"/>
          <w:highlight w:val="none"/>
        </w:rPr>
        <w:t>4. 成果文件的份数要求</w:t>
      </w:r>
      <w:r>
        <w:rPr>
          <w:rFonts w:hint="eastAsia" w:cs="宋体"/>
          <w:color w:val="auto"/>
          <w:sz w:val="24"/>
          <w:szCs w:val="24"/>
          <w:highlight w:val="none"/>
          <w:lang w:eastAsia="zh-CN"/>
        </w:rPr>
        <w:t>：</w:t>
      </w:r>
      <w:r>
        <w:rPr>
          <w:rFonts w:hint="eastAsia" w:ascii="宋体" w:hAnsi="宋体" w:cs="宋体"/>
          <w:color w:val="auto"/>
          <w:kern w:val="2"/>
          <w:highlight w:val="none"/>
          <w:u w:val="single"/>
        </w:rPr>
        <w:t>一式六份</w:t>
      </w:r>
    </w:p>
    <w:p w14:paraId="18501D31">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rPr>
      </w:pPr>
      <w:r>
        <w:rPr>
          <w:rFonts w:hint="default" w:cs="宋体"/>
          <w:color w:val="auto"/>
          <w:sz w:val="24"/>
          <w:szCs w:val="24"/>
          <w:highlight w:val="none"/>
        </w:rPr>
        <w:t>5. 成果文件的载体要求</w:t>
      </w:r>
    </w:p>
    <w:p w14:paraId="01635C3F">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rPr>
      </w:pPr>
      <w:r>
        <w:rPr>
          <w:rFonts w:hint="default" w:cs="宋体"/>
          <w:color w:val="auto"/>
          <w:sz w:val="24"/>
          <w:szCs w:val="24"/>
          <w:highlight w:val="none"/>
        </w:rPr>
        <w:t>（1）纸质版的要求</w:t>
      </w:r>
      <w:r>
        <w:rPr>
          <w:rFonts w:hint="eastAsia" w:cs="宋体"/>
          <w:color w:val="auto"/>
          <w:sz w:val="24"/>
          <w:szCs w:val="24"/>
          <w:highlight w:val="none"/>
          <w:lang w:eastAsia="zh-CN"/>
        </w:rPr>
        <w:t>：</w:t>
      </w:r>
      <w:r>
        <w:rPr>
          <w:rFonts w:hint="default" w:cs="宋体"/>
          <w:color w:val="auto"/>
          <w:sz w:val="24"/>
          <w:szCs w:val="24"/>
          <w:highlight w:val="none"/>
        </w:rPr>
        <w:t xml:space="preserve"> 一式六份；</w:t>
      </w:r>
    </w:p>
    <w:p w14:paraId="4A7FC927">
      <w:pPr>
        <w:autoSpaceDE/>
        <w:autoSpaceDN/>
        <w:adjustRightInd/>
        <w:spacing w:line="360" w:lineRule="auto"/>
        <w:ind w:firstLine="480" w:firstLineChars="200"/>
        <w:jc w:val="both"/>
        <w:rPr>
          <w:rFonts w:hint="eastAsia" w:eastAsia="宋体" w:cs="宋体"/>
          <w:color w:val="auto"/>
          <w:sz w:val="24"/>
          <w:szCs w:val="24"/>
          <w:highlight w:val="none"/>
          <w:lang w:eastAsia="zh-CN"/>
        </w:rPr>
      </w:pPr>
      <w:r>
        <w:rPr>
          <w:rFonts w:hint="default" w:cs="宋体"/>
          <w:color w:val="auto"/>
          <w:sz w:val="24"/>
          <w:szCs w:val="24"/>
          <w:highlight w:val="none"/>
        </w:rPr>
        <w:t>（2）电子版的要求</w:t>
      </w:r>
      <w:r>
        <w:rPr>
          <w:rFonts w:hint="eastAsia" w:cs="宋体"/>
          <w:color w:val="auto"/>
          <w:sz w:val="24"/>
          <w:szCs w:val="24"/>
          <w:highlight w:val="none"/>
          <w:lang w:eastAsia="zh-CN"/>
        </w:rPr>
        <w:t>：</w:t>
      </w:r>
      <w:r>
        <w:rPr>
          <w:rFonts w:hint="eastAsia" w:ascii="宋体" w:hAnsi="宋体" w:cs="宋体"/>
          <w:color w:val="auto"/>
          <w:kern w:val="2"/>
          <w:highlight w:val="none"/>
          <w:u w:val="single"/>
        </w:rPr>
        <w:t xml:space="preserve"> 与纸质版一致的电子版文件</w:t>
      </w:r>
    </w:p>
    <w:p w14:paraId="39EDBFC6">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color w:val="auto"/>
          <w:sz w:val="24"/>
          <w:szCs w:val="24"/>
          <w:highlight w:val="none"/>
          <w:lang w:eastAsia="zh-CN"/>
        </w:rPr>
      </w:pPr>
      <w:r>
        <w:rPr>
          <w:rFonts w:hint="default" w:cs="宋体"/>
          <w:color w:val="auto"/>
          <w:sz w:val="24"/>
          <w:szCs w:val="24"/>
          <w:highlight w:val="none"/>
        </w:rPr>
        <w:t>（3）其他要求</w:t>
      </w:r>
      <w:r>
        <w:rPr>
          <w:rFonts w:hint="eastAsia" w:cs="宋体"/>
          <w:color w:val="auto"/>
          <w:sz w:val="24"/>
          <w:szCs w:val="24"/>
          <w:highlight w:val="none"/>
          <w:lang w:eastAsia="zh-CN"/>
        </w:rPr>
        <w:t>：无</w:t>
      </w:r>
    </w:p>
    <w:p w14:paraId="4689EA96">
      <w:pPr>
        <w:kinsoku w:val="0"/>
        <w:overflowPunct w:val="0"/>
        <w:spacing w:beforeAutospacing="1" w:afterAutospacing="1" w:line="360" w:lineRule="auto"/>
        <w:ind w:firstLine="480" w:firstLineChars="200"/>
        <w:jc w:val="both"/>
        <w:rPr>
          <w:rFonts w:ascii="宋体" w:hAnsi="宋体" w:cs="宋体"/>
          <w:color w:val="auto"/>
          <w:highlight w:val="none"/>
          <w:u w:val="single"/>
          <w:lang w:bidi="ar"/>
        </w:rPr>
      </w:pPr>
      <w:r>
        <w:rPr>
          <w:rFonts w:hint="default" w:cs="宋体"/>
          <w:color w:val="auto"/>
          <w:sz w:val="24"/>
          <w:szCs w:val="24"/>
          <w:highlight w:val="none"/>
        </w:rPr>
        <w:t>6. 成果文件的其他要求</w:t>
      </w:r>
      <w:r>
        <w:rPr>
          <w:rFonts w:hint="eastAsia" w:cs="宋体"/>
          <w:color w:val="auto"/>
          <w:sz w:val="24"/>
          <w:szCs w:val="24"/>
          <w:highlight w:val="none"/>
          <w:lang w:eastAsia="zh-CN"/>
        </w:rPr>
        <w:t>：</w:t>
      </w:r>
      <w:r>
        <w:rPr>
          <w:rFonts w:hint="eastAsia" w:ascii="宋体" w:hAnsi="宋体" w:cs="宋体"/>
          <w:color w:val="auto"/>
          <w:kern w:val="2"/>
          <w:highlight w:val="none"/>
          <w:u w:val="single"/>
        </w:rPr>
        <w:t>满足本项目监理服务要求</w:t>
      </w:r>
    </w:p>
    <w:p w14:paraId="0AA381EA">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color w:val="auto"/>
          <w:sz w:val="24"/>
          <w:szCs w:val="24"/>
          <w:highlight w:val="none"/>
          <w:lang w:eastAsia="zh-CN"/>
        </w:rPr>
      </w:pPr>
    </w:p>
    <w:p w14:paraId="7336CC1A">
      <w:pPr>
        <w:pStyle w:val="5"/>
        <w:outlineLvl w:val="1"/>
        <w:rPr>
          <w:rFonts w:hint="default"/>
          <w:color w:val="auto"/>
          <w:sz w:val="24"/>
          <w:szCs w:val="24"/>
          <w:highlight w:val="none"/>
        </w:rPr>
      </w:pPr>
      <w:r>
        <w:rPr>
          <w:rFonts w:hint="default"/>
          <w:color w:val="auto"/>
          <w:sz w:val="24"/>
          <w:szCs w:val="24"/>
          <w:highlight w:val="none"/>
        </w:rPr>
        <w:t>四、委托人财产清单</w:t>
      </w:r>
    </w:p>
    <w:p w14:paraId="133E074D">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lang w:eastAsia="zh-CN"/>
        </w:rPr>
      </w:pPr>
      <w:r>
        <w:rPr>
          <w:rFonts w:hint="default" w:cs="宋体"/>
          <w:color w:val="auto"/>
          <w:sz w:val="24"/>
          <w:szCs w:val="24"/>
          <w:highlight w:val="none"/>
        </w:rPr>
        <w:t>（一）委托人提供的设备、设施</w:t>
      </w:r>
      <w:r>
        <w:rPr>
          <w:rFonts w:hint="default" w:cs="宋体"/>
          <w:color w:val="auto"/>
          <w:sz w:val="24"/>
          <w:szCs w:val="24"/>
          <w:highlight w:val="none"/>
          <w:lang w:eastAsia="zh-CN"/>
        </w:rPr>
        <w:t>（若有）</w:t>
      </w:r>
    </w:p>
    <w:p w14:paraId="56091178">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lang w:bidi="ar"/>
        </w:rPr>
        <w:t>1. 委托人提供的办公房屋及冷暖设施：</w:t>
      </w:r>
      <w:r>
        <w:rPr>
          <w:rFonts w:hint="eastAsia" w:ascii="宋体" w:hAnsi="宋体" w:cs="宋体"/>
          <w:color w:val="auto"/>
          <w:highlight w:val="none"/>
          <w:u w:val="single"/>
          <w:lang w:val="en-US" w:eastAsia="zh-CN" w:bidi="ar"/>
        </w:rPr>
        <w:t xml:space="preserve">                 </w:t>
      </w:r>
      <w:r>
        <w:rPr>
          <w:rFonts w:hint="eastAsia" w:ascii="宋体" w:hAnsi="宋体" w:cs="宋体"/>
          <w:color w:val="auto"/>
          <w:highlight w:val="none"/>
          <w:u w:val="single"/>
          <w:lang w:bidi="ar"/>
        </w:rPr>
        <w:t>。</w:t>
      </w:r>
    </w:p>
    <w:p w14:paraId="2BD218E1">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lang w:bidi="ar"/>
        </w:rPr>
        <w:t>2. 委托人提供的设备清单：</w:t>
      </w:r>
      <w:r>
        <w:rPr>
          <w:rFonts w:hint="eastAsia" w:ascii="宋体" w:hAnsi="宋体" w:cs="宋体"/>
          <w:color w:val="auto"/>
          <w:highlight w:val="none"/>
          <w:u w:val="single"/>
          <w:lang w:bidi="ar"/>
        </w:rPr>
        <w:t>无。</w:t>
      </w:r>
    </w:p>
    <w:p w14:paraId="430E701A">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lang w:bidi="ar"/>
        </w:rPr>
        <w:t>3. 委托人提供的设施清单：</w:t>
      </w:r>
      <w:r>
        <w:rPr>
          <w:rFonts w:hint="eastAsia" w:ascii="宋体" w:hAnsi="宋体" w:cs="宋体"/>
          <w:color w:val="auto"/>
          <w:highlight w:val="none"/>
          <w:u w:val="single"/>
          <w:lang w:bidi="ar"/>
        </w:rPr>
        <w:t>无。</w:t>
      </w:r>
    </w:p>
    <w:p w14:paraId="29821D07">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rPr>
      </w:pPr>
      <w:r>
        <w:rPr>
          <w:rFonts w:hint="default" w:cs="宋体"/>
          <w:color w:val="auto"/>
          <w:sz w:val="24"/>
          <w:szCs w:val="24"/>
          <w:highlight w:val="none"/>
        </w:rPr>
        <w:t>（二）委托人提供的资料</w:t>
      </w:r>
    </w:p>
    <w:p w14:paraId="417CE934">
      <w:pPr>
        <w:spacing w:line="360" w:lineRule="auto"/>
        <w:ind w:firstLine="480" w:firstLineChars="200"/>
        <w:rPr>
          <w:rFonts w:hint="eastAsia" w:ascii="宋体" w:hAnsi="宋体" w:eastAsia="宋体"/>
          <w:color w:val="auto"/>
          <w:kern w:val="2"/>
          <w:highlight w:val="none"/>
          <w:u w:val="single"/>
          <w:lang w:val="en-US" w:eastAsia="zh-CN"/>
        </w:rPr>
      </w:pPr>
      <w:r>
        <w:rPr>
          <w:rFonts w:hint="eastAsia" w:ascii="宋体" w:hAnsi="宋体" w:cs="宋体"/>
          <w:color w:val="auto"/>
          <w:highlight w:val="none"/>
          <w:u w:val="single"/>
          <w:lang w:bidi="ar"/>
        </w:rPr>
        <w:t>1. 施工场地及毗邻区域内的供水、排水、供电、供气、供热、通信、广播电视等地下管线资料、气象和水文观测资料，相邻建筑物和构筑物、地下工程的有关资料，以及其他与建设工程有关的原始资料</w:t>
      </w:r>
      <w:r>
        <w:rPr>
          <w:rFonts w:hint="eastAsia" w:ascii="宋体" w:hAnsi="宋体" w:cs="宋体"/>
          <w:color w:val="auto"/>
          <w:highlight w:val="none"/>
          <w:u w:val="single"/>
          <w:lang w:eastAsia="zh-CN" w:bidi="ar"/>
        </w:rPr>
        <w:t>。</w:t>
      </w:r>
    </w:p>
    <w:p w14:paraId="01769E6B">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u w:val="single"/>
          <w:lang w:bidi="ar"/>
        </w:rPr>
        <w:t>2. 定位放线的基准点、基准线和基准标高</w:t>
      </w:r>
    </w:p>
    <w:p w14:paraId="00093814">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u w:val="single"/>
          <w:lang w:bidi="ar"/>
        </w:rPr>
        <w:t>3. 委托人取得的有关审批、核准和备案材料</w:t>
      </w:r>
    </w:p>
    <w:p w14:paraId="6D2DF4AB">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u w:val="single"/>
          <w:lang w:bidi="ar"/>
        </w:rPr>
        <w:t>4. 勘察文件、设计文件等资料</w:t>
      </w:r>
    </w:p>
    <w:p w14:paraId="5750B862">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u w:val="single"/>
          <w:lang w:bidi="ar"/>
        </w:rPr>
        <w:t>5. 技术标准、规范</w:t>
      </w:r>
    </w:p>
    <w:p w14:paraId="097593DC">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u w:val="single"/>
          <w:lang w:bidi="ar"/>
        </w:rPr>
        <w:t>6. 工程承包合同及其他相关合同</w:t>
      </w:r>
    </w:p>
    <w:p w14:paraId="025E80C1">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u w:val="single"/>
          <w:lang w:bidi="ar"/>
        </w:rPr>
        <w:t>7. 其他资料</w:t>
      </w:r>
    </w:p>
    <w:p w14:paraId="6140276C">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rPr>
      </w:pPr>
      <w:r>
        <w:rPr>
          <w:rFonts w:hint="default" w:cs="宋体"/>
          <w:color w:val="auto"/>
          <w:sz w:val="24"/>
          <w:szCs w:val="24"/>
          <w:highlight w:val="none"/>
        </w:rPr>
        <w:t>（三）委托人财产使用要求及退还要求</w:t>
      </w:r>
      <w:r>
        <w:rPr>
          <w:rFonts w:hint="default" w:cs="宋体"/>
          <w:color w:val="auto"/>
          <w:sz w:val="24"/>
          <w:szCs w:val="24"/>
          <w:highlight w:val="none"/>
          <w:lang w:eastAsia="zh-CN"/>
        </w:rPr>
        <w:t>（若有）</w:t>
      </w:r>
    </w:p>
    <w:p w14:paraId="3B611FFF">
      <w:pPr>
        <w:spacing w:line="360" w:lineRule="auto"/>
        <w:ind w:firstLine="480" w:firstLineChars="200"/>
        <w:rPr>
          <w:color w:val="auto"/>
          <w:kern w:val="2"/>
          <w:highlight w:val="none"/>
        </w:rPr>
      </w:pPr>
      <w:r>
        <w:rPr>
          <w:color w:val="auto"/>
          <w:highlight w:val="none"/>
          <w:lang w:bidi="ar"/>
        </w:rPr>
        <w:t xml:space="preserve">1. </w:t>
      </w:r>
      <w:r>
        <w:rPr>
          <w:rFonts w:hint="eastAsia" w:ascii="宋体" w:hAnsi="宋体" w:cs="宋体"/>
          <w:color w:val="auto"/>
          <w:highlight w:val="none"/>
          <w:lang w:bidi="ar"/>
        </w:rPr>
        <w:t>委托人财产使用要求：</w:t>
      </w:r>
      <w:r>
        <w:rPr>
          <w:rFonts w:hint="eastAsia" w:ascii="宋体" w:hAnsi="宋体" w:cs="宋体"/>
          <w:color w:val="auto"/>
          <w:highlight w:val="none"/>
          <w:u w:val="single"/>
          <w:lang w:bidi="ar"/>
        </w:rPr>
        <w:t>监理人对委托人财产保存完好，避免有损坏或丢失等情况发生；</w:t>
      </w:r>
    </w:p>
    <w:p w14:paraId="4EC24CF0">
      <w:pPr>
        <w:spacing w:line="360" w:lineRule="auto"/>
        <w:ind w:firstLine="480" w:firstLineChars="200"/>
        <w:rPr>
          <w:color w:val="auto"/>
          <w:kern w:val="2"/>
          <w:highlight w:val="none"/>
        </w:rPr>
      </w:pPr>
      <w:r>
        <w:rPr>
          <w:color w:val="auto"/>
          <w:highlight w:val="none"/>
          <w:lang w:bidi="ar"/>
        </w:rPr>
        <w:t xml:space="preserve">2. </w:t>
      </w:r>
      <w:r>
        <w:rPr>
          <w:rFonts w:hint="eastAsia" w:ascii="宋体" w:hAnsi="宋体" w:cs="宋体"/>
          <w:color w:val="auto"/>
          <w:highlight w:val="none"/>
          <w:lang w:bidi="ar"/>
        </w:rPr>
        <w:t>委托人财产退还要求：</w:t>
      </w:r>
      <w:r>
        <w:rPr>
          <w:rFonts w:hint="eastAsia" w:ascii="宋体" w:hAnsi="宋体" w:cs="宋体"/>
          <w:color w:val="auto"/>
          <w:highlight w:val="none"/>
          <w:u w:val="single"/>
          <w:lang w:bidi="ar"/>
        </w:rPr>
        <w:t>工程完工后监理人将委托人财产全数完好地退还给委托人。</w:t>
      </w:r>
    </w:p>
    <w:p w14:paraId="2E635E39">
      <w:pPr>
        <w:pStyle w:val="5"/>
        <w:outlineLvl w:val="1"/>
        <w:rPr>
          <w:rFonts w:hint="default"/>
          <w:color w:val="auto"/>
          <w:sz w:val="24"/>
          <w:szCs w:val="24"/>
          <w:highlight w:val="none"/>
        </w:rPr>
      </w:pPr>
      <w:r>
        <w:rPr>
          <w:rFonts w:hint="default"/>
          <w:color w:val="auto"/>
          <w:sz w:val="24"/>
          <w:szCs w:val="24"/>
          <w:highlight w:val="none"/>
        </w:rPr>
        <w:t>五、委托人提供的便利条件</w:t>
      </w:r>
    </w:p>
    <w:p w14:paraId="205A7073">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lang w:bidi="ar"/>
        </w:rPr>
        <w:t>1. 委托人提供的生活条件：</w:t>
      </w:r>
      <w:r>
        <w:rPr>
          <w:rFonts w:hint="eastAsia" w:ascii="宋体" w:hAnsi="宋体" w:cs="宋体"/>
          <w:color w:val="auto"/>
          <w:highlight w:val="none"/>
          <w:u w:val="single"/>
          <w:lang w:bidi="ar"/>
        </w:rPr>
        <w:t>根据项目实际情况需求提供。</w:t>
      </w:r>
    </w:p>
    <w:p w14:paraId="67CC7FCF">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lang w:bidi="ar"/>
        </w:rPr>
        <w:t>2. 委托人提供的交通条件：</w:t>
      </w:r>
      <w:r>
        <w:rPr>
          <w:rFonts w:hint="eastAsia" w:ascii="宋体" w:hAnsi="宋体" w:cs="宋体"/>
          <w:color w:val="auto"/>
          <w:highlight w:val="none"/>
          <w:u w:val="single"/>
          <w:lang w:bidi="ar"/>
        </w:rPr>
        <w:t>无</w:t>
      </w:r>
    </w:p>
    <w:p w14:paraId="6345AB2F">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lang w:bidi="ar"/>
        </w:rPr>
        <w:t>3. 委托人提供的网络、通讯条件：</w:t>
      </w:r>
      <w:r>
        <w:rPr>
          <w:rFonts w:hint="eastAsia" w:ascii="宋体" w:hAnsi="宋体" w:cs="宋体"/>
          <w:color w:val="auto"/>
          <w:highlight w:val="none"/>
          <w:u w:val="single"/>
          <w:lang w:bidi="ar"/>
        </w:rPr>
        <w:t>无</w:t>
      </w:r>
    </w:p>
    <w:p w14:paraId="6B5FD37C">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lang w:bidi="ar"/>
        </w:rPr>
        <w:t>4. 委托人提供的协助人员：</w:t>
      </w:r>
      <w:r>
        <w:rPr>
          <w:rFonts w:hint="eastAsia" w:ascii="宋体" w:hAnsi="宋体" w:cs="宋体"/>
          <w:color w:val="auto"/>
          <w:highlight w:val="none"/>
          <w:u w:val="single"/>
          <w:lang w:bidi="ar"/>
        </w:rPr>
        <w:t>无</w:t>
      </w:r>
    </w:p>
    <w:p w14:paraId="084A3B78">
      <w:pPr>
        <w:pStyle w:val="5"/>
        <w:outlineLvl w:val="1"/>
        <w:rPr>
          <w:rFonts w:hint="default"/>
          <w:color w:val="auto"/>
          <w:sz w:val="24"/>
          <w:szCs w:val="24"/>
          <w:highlight w:val="none"/>
        </w:rPr>
      </w:pPr>
      <w:r>
        <w:rPr>
          <w:rFonts w:hint="default"/>
          <w:color w:val="auto"/>
          <w:sz w:val="24"/>
          <w:szCs w:val="24"/>
          <w:highlight w:val="none"/>
        </w:rPr>
        <w:t>六、监理人需要自备的工作条件</w:t>
      </w:r>
    </w:p>
    <w:p w14:paraId="19DC760B">
      <w:pPr>
        <w:spacing w:line="360" w:lineRule="auto"/>
        <w:ind w:firstLine="480" w:firstLineChars="200"/>
        <w:rPr>
          <w:color w:val="auto"/>
          <w:kern w:val="2"/>
          <w:highlight w:val="none"/>
        </w:rPr>
      </w:pPr>
      <w:r>
        <w:rPr>
          <w:color w:val="auto"/>
          <w:highlight w:val="none"/>
          <w:lang w:bidi="ar"/>
        </w:rPr>
        <w:t xml:space="preserve">1. </w:t>
      </w:r>
      <w:r>
        <w:rPr>
          <w:rFonts w:hint="eastAsia" w:ascii="宋体" w:hAnsi="宋体" w:cs="宋体"/>
          <w:color w:val="auto"/>
          <w:highlight w:val="none"/>
          <w:lang w:bidi="ar"/>
        </w:rPr>
        <w:t>监理人自备的工作手册：</w:t>
      </w:r>
      <w:r>
        <w:rPr>
          <w:rFonts w:hint="eastAsia" w:ascii="宋体" w:hAnsi="宋体" w:cs="宋体"/>
          <w:color w:val="auto"/>
          <w:highlight w:val="none"/>
          <w:u w:val="single"/>
          <w:lang w:bidi="ar"/>
        </w:rPr>
        <w:t>本项目必备的规范标准、图集等。</w:t>
      </w:r>
    </w:p>
    <w:p w14:paraId="195282A5">
      <w:pPr>
        <w:spacing w:line="360" w:lineRule="auto"/>
        <w:ind w:firstLine="480" w:firstLineChars="200"/>
        <w:rPr>
          <w:color w:val="auto"/>
          <w:kern w:val="2"/>
          <w:highlight w:val="none"/>
        </w:rPr>
      </w:pPr>
      <w:r>
        <w:rPr>
          <w:color w:val="auto"/>
          <w:highlight w:val="none"/>
          <w:lang w:bidi="ar"/>
        </w:rPr>
        <w:t xml:space="preserve">2. </w:t>
      </w:r>
      <w:r>
        <w:rPr>
          <w:rFonts w:hint="eastAsia" w:ascii="宋体" w:hAnsi="宋体" w:cs="宋体"/>
          <w:color w:val="auto"/>
          <w:highlight w:val="none"/>
          <w:lang w:bidi="ar"/>
        </w:rPr>
        <w:t>监理人自备的办公设备：</w:t>
      </w:r>
      <w:r>
        <w:rPr>
          <w:rFonts w:hint="eastAsia" w:ascii="宋体" w:hAnsi="宋体" w:cs="宋体"/>
          <w:color w:val="auto"/>
          <w:highlight w:val="none"/>
          <w:u w:val="single"/>
          <w:lang w:bidi="ar"/>
        </w:rPr>
        <w:t>电脑、软件、投影、打印机、复印机、照相机等。</w:t>
      </w:r>
    </w:p>
    <w:p w14:paraId="42589DBD">
      <w:pPr>
        <w:spacing w:line="360" w:lineRule="auto"/>
        <w:ind w:firstLine="480" w:firstLineChars="200"/>
        <w:rPr>
          <w:color w:val="auto"/>
          <w:kern w:val="2"/>
          <w:highlight w:val="none"/>
        </w:rPr>
      </w:pPr>
      <w:r>
        <w:rPr>
          <w:color w:val="auto"/>
          <w:highlight w:val="none"/>
          <w:lang w:bidi="ar"/>
        </w:rPr>
        <w:t xml:space="preserve">3. </w:t>
      </w:r>
      <w:r>
        <w:rPr>
          <w:rFonts w:hint="eastAsia" w:ascii="宋体" w:hAnsi="宋体" w:cs="宋体"/>
          <w:color w:val="auto"/>
          <w:highlight w:val="none"/>
          <w:lang w:bidi="ar"/>
        </w:rPr>
        <w:t>监理人自备的交通工具：</w:t>
      </w:r>
      <w:r>
        <w:rPr>
          <w:rFonts w:hint="eastAsia" w:ascii="宋体" w:hAnsi="宋体" w:cs="宋体"/>
          <w:color w:val="auto"/>
          <w:highlight w:val="none"/>
          <w:u w:val="single"/>
          <w:lang w:bidi="ar"/>
        </w:rPr>
        <w:t>出行车辆等。</w:t>
      </w:r>
    </w:p>
    <w:p w14:paraId="545B8F91">
      <w:pPr>
        <w:spacing w:line="360" w:lineRule="auto"/>
        <w:ind w:firstLine="480" w:firstLineChars="200"/>
        <w:rPr>
          <w:color w:val="auto"/>
          <w:kern w:val="2"/>
          <w:highlight w:val="none"/>
        </w:rPr>
      </w:pPr>
      <w:r>
        <w:rPr>
          <w:color w:val="auto"/>
          <w:highlight w:val="none"/>
          <w:lang w:bidi="ar"/>
        </w:rPr>
        <w:t xml:space="preserve">4. </w:t>
      </w:r>
      <w:r>
        <w:rPr>
          <w:rFonts w:hint="eastAsia" w:ascii="宋体" w:hAnsi="宋体" w:cs="宋体"/>
          <w:color w:val="auto"/>
          <w:highlight w:val="none"/>
          <w:lang w:bidi="ar"/>
        </w:rPr>
        <w:t>监理人自备的现场办公设施：</w:t>
      </w:r>
      <w:r>
        <w:rPr>
          <w:rFonts w:hint="eastAsia" w:ascii="宋体" w:hAnsi="宋体" w:cs="宋体"/>
          <w:color w:val="auto"/>
          <w:highlight w:val="none"/>
          <w:u w:val="single"/>
          <w:lang w:bidi="ar"/>
        </w:rPr>
        <w:t>办公桌椅、文件柜等。</w:t>
      </w:r>
    </w:p>
    <w:p w14:paraId="3CD4863F">
      <w:pPr>
        <w:spacing w:line="360" w:lineRule="auto"/>
        <w:ind w:firstLine="480" w:firstLineChars="200"/>
        <w:rPr>
          <w:color w:val="auto"/>
          <w:kern w:val="2"/>
          <w:highlight w:val="none"/>
        </w:rPr>
      </w:pPr>
      <w:r>
        <w:rPr>
          <w:color w:val="auto"/>
          <w:highlight w:val="none"/>
          <w:lang w:bidi="ar"/>
        </w:rPr>
        <w:t xml:space="preserve">5. </w:t>
      </w:r>
      <w:r>
        <w:rPr>
          <w:rFonts w:hint="eastAsia" w:ascii="宋体" w:hAnsi="宋体" w:cs="宋体"/>
          <w:color w:val="auto"/>
          <w:highlight w:val="none"/>
          <w:lang w:bidi="ar"/>
        </w:rPr>
        <w:t>监理人自备的安全设施：</w:t>
      </w:r>
      <w:r>
        <w:rPr>
          <w:rFonts w:hint="eastAsia" w:ascii="宋体" w:hAnsi="宋体" w:cs="宋体"/>
          <w:color w:val="auto"/>
          <w:highlight w:val="none"/>
          <w:u w:val="single"/>
          <w:lang w:bidi="ar"/>
        </w:rPr>
        <w:t>安全帽、安全鞋、手电筒等。</w:t>
      </w:r>
    </w:p>
    <w:p w14:paraId="6B42BAB6">
      <w:pPr>
        <w:spacing w:line="360" w:lineRule="auto"/>
        <w:ind w:firstLine="480" w:firstLineChars="200"/>
        <w:rPr>
          <w:color w:val="auto"/>
          <w:kern w:val="2"/>
          <w:highlight w:val="none"/>
        </w:rPr>
      </w:pPr>
      <w:r>
        <w:rPr>
          <w:color w:val="auto"/>
          <w:highlight w:val="none"/>
          <w:lang w:bidi="ar"/>
        </w:rPr>
        <w:t xml:space="preserve">6. </w:t>
      </w:r>
      <w:r>
        <w:rPr>
          <w:rFonts w:hint="eastAsia" w:ascii="宋体" w:hAnsi="宋体" w:cs="宋体"/>
          <w:color w:val="auto"/>
          <w:highlight w:val="none"/>
          <w:lang w:bidi="ar"/>
        </w:rPr>
        <w:t>监理人自备的试验检测仪器、设备、工具：</w:t>
      </w:r>
      <w:r>
        <w:rPr>
          <w:rFonts w:hint="eastAsia" w:ascii="宋体" w:hAnsi="宋体" w:cs="宋体"/>
          <w:color w:val="auto"/>
          <w:highlight w:val="none"/>
          <w:u w:val="single"/>
          <w:lang w:bidi="ar"/>
        </w:rPr>
        <w:t>满足本项目监理服务要求。</w:t>
      </w:r>
    </w:p>
    <w:p w14:paraId="3EFAC4C7">
      <w:pPr>
        <w:spacing w:line="360" w:lineRule="auto"/>
        <w:ind w:firstLine="480" w:firstLineChars="200"/>
        <w:rPr>
          <w:color w:val="auto"/>
          <w:kern w:val="2"/>
          <w:highlight w:val="none"/>
        </w:rPr>
      </w:pPr>
      <w:r>
        <w:rPr>
          <w:color w:val="auto"/>
          <w:highlight w:val="none"/>
          <w:lang w:bidi="ar"/>
        </w:rPr>
        <w:t xml:space="preserve">7. </w:t>
      </w:r>
      <w:r>
        <w:rPr>
          <w:rFonts w:hint="eastAsia" w:ascii="宋体" w:hAnsi="宋体" w:cs="宋体"/>
          <w:color w:val="auto"/>
          <w:highlight w:val="none"/>
          <w:lang w:bidi="ar"/>
        </w:rPr>
        <w:t>监理人自备的试验用房、样品用房：</w:t>
      </w:r>
      <w:r>
        <w:rPr>
          <w:rFonts w:hint="eastAsia" w:ascii="宋体" w:hAnsi="宋体" w:cs="宋体"/>
          <w:color w:val="auto"/>
          <w:highlight w:val="none"/>
          <w:u w:val="single"/>
          <w:lang w:bidi="ar"/>
        </w:rPr>
        <w:t>监理人根据现场实际情况自行准备。</w:t>
      </w:r>
    </w:p>
    <w:p w14:paraId="56324F70">
      <w:pPr>
        <w:rPr>
          <w:rFonts w:hint="default"/>
          <w:color w:val="auto"/>
          <w:highlight w:val="none"/>
        </w:rPr>
      </w:pPr>
    </w:p>
    <w:p w14:paraId="0EEC15C2">
      <w:pPr>
        <w:pStyle w:val="5"/>
        <w:outlineLvl w:val="1"/>
        <w:rPr>
          <w:rFonts w:hint="default"/>
          <w:color w:val="auto"/>
          <w:sz w:val="24"/>
          <w:szCs w:val="24"/>
          <w:highlight w:val="none"/>
        </w:rPr>
      </w:pPr>
      <w:r>
        <w:rPr>
          <w:rFonts w:hint="default"/>
          <w:color w:val="auto"/>
          <w:sz w:val="24"/>
          <w:szCs w:val="24"/>
          <w:highlight w:val="none"/>
        </w:rPr>
        <w:t>七、委托人的其他要求</w:t>
      </w:r>
    </w:p>
    <w:p w14:paraId="544B21D5">
      <w:pPr>
        <w:kinsoku w:val="0"/>
        <w:overflowPunct w:val="0"/>
        <w:spacing w:before="8" w:afterAutospacing="1"/>
        <w:ind w:firstLine="400"/>
        <w:rPr>
          <w:rFonts w:ascii="Calibri" w:hAnsi="Calibri"/>
          <w:color w:val="auto"/>
          <w:kern w:val="2"/>
          <w:sz w:val="21"/>
          <w:szCs w:val="22"/>
          <w:highlight w:val="none"/>
        </w:rPr>
      </w:pPr>
      <w:r>
        <w:rPr>
          <w:rFonts w:hint="eastAsia" w:ascii="宋体" w:hAnsi="宋体" w:cs="宋体"/>
          <w:color w:val="auto"/>
          <w:highlight w:val="none"/>
          <w:lang w:bidi="ar"/>
        </w:rPr>
        <w:t>委托人的其他要求：</w:t>
      </w:r>
      <w:r>
        <w:rPr>
          <w:rFonts w:hint="eastAsia" w:ascii="宋体" w:hAnsi="宋体" w:cs="宋体"/>
          <w:color w:val="auto"/>
          <w:highlight w:val="none"/>
          <w:u w:val="single"/>
          <w:lang w:bidi="ar"/>
        </w:rPr>
        <w:t>其他要求详见监理合同</w:t>
      </w:r>
    </w:p>
    <w:p w14:paraId="15C8E0F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rPr>
        <w:sectPr>
          <w:pgSz w:w="11905" w:h="16838"/>
          <w:pgMar w:top="1417" w:right="1417" w:bottom="1417" w:left="1417" w:header="992" w:footer="992" w:gutter="0"/>
          <w:lnNumType w:countBy="0" w:distance="360"/>
          <w:cols w:space="720" w:num="1"/>
        </w:sectPr>
      </w:pPr>
    </w:p>
    <w:p w14:paraId="67E25B38">
      <w:pPr>
        <w:pStyle w:val="12"/>
        <w:kinsoku w:val="0"/>
        <w:overflowPunct w:val="0"/>
        <w:ind w:left="0"/>
        <w:rPr>
          <w:rFonts w:hint="eastAsia" w:ascii="Times New Roman" w:hAnsi="Times New Roman" w:eastAsia="Times New Roman"/>
          <w:color w:val="auto"/>
          <w:sz w:val="20"/>
          <w:szCs w:val="24"/>
          <w:highlight w:val="none"/>
        </w:rPr>
      </w:pPr>
    </w:p>
    <w:p w14:paraId="3B1FF7B6">
      <w:pPr>
        <w:pStyle w:val="3"/>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color w:val="auto"/>
          <w:sz w:val="52"/>
          <w:szCs w:val="52"/>
          <w:highlight w:val="none"/>
        </w:rPr>
      </w:pPr>
      <w:r>
        <w:rPr>
          <w:rFonts w:hint="eastAsia"/>
          <w:color w:val="auto"/>
          <w:sz w:val="52"/>
          <w:szCs w:val="52"/>
          <w:highlight w:val="none"/>
        </w:rPr>
        <w:t>第三卷</w:t>
      </w:r>
    </w:p>
    <w:p w14:paraId="03C99C92">
      <w:pPr>
        <w:pStyle w:val="3"/>
        <w:keepNext w:val="0"/>
        <w:keepLines w:val="0"/>
        <w:pageBreakBefore w:val="0"/>
        <w:widowControl w:val="0"/>
        <w:wordWrap/>
        <w:topLinePunct w:val="0"/>
        <w:autoSpaceDE w:val="0"/>
        <w:autoSpaceDN w:val="0"/>
        <w:bidi w:val="0"/>
        <w:adjustRightInd w:val="0"/>
        <w:snapToGrid/>
        <w:spacing w:before="0" w:beforeLines="2000"/>
        <w:jc w:val="center"/>
        <w:textAlignment w:val="auto"/>
        <w:outlineLvl w:val="9"/>
        <w:rPr>
          <w:rFonts w:hint="eastAsia"/>
          <w:color w:val="auto"/>
          <w:sz w:val="52"/>
          <w:szCs w:val="52"/>
          <w:highlight w:val="none"/>
        </w:rPr>
        <w:sectPr>
          <w:pgSz w:w="11905" w:h="16838"/>
          <w:pgMar w:top="1417" w:right="1417" w:bottom="1417" w:left="1417" w:header="992" w:footer="992" w:gutter="0"/>
          <w:lnNumType w:countBy="0" w:distance="360"/>
          <w:cols w:space="720" w:num="1"/>
        </w:sectPr>
      </w:pPr>
    </w:p>
    <w:p w14:paraId="58BE5FF7">
      <w:pPr>
        <w:pStyle w:val="4"/>
        <w:outlineLvl w:val="0"/>
        <w:rPr>
          <w:rFonts w:hint="default"/>
          <w:color w:val="auto"/>
          <w:sz w:val="44"/>
          <w:szCs w:val="24"/>
          <w:highlight w:val="none"/>
        </w:rPr>
      </w:pPr>
      <w:r>
        <w:rPr>
          <w:rFonts w:hint="default"/>
          <w:color w:val="auto"/>
          <w:sz w:val="44"/>
          <w:szCs w:val="24"/>
          <w:highlight w:val="none"/>
        </w:rPr>
        <w:t>第六章</w:t>
      </w:r>
      <w:r>
        <w:rPr>
          <w:rFonts w:hint="default"/>
          <w:color w:val="auto"/>
          <w:sz w:val="44"/>
          <w:szCs w:val="24"/>
          <w:highlight w:val="none"/>
          <w:lang w:val="en-US" w:eastAsia="zh-CN"/>
        </w:rPr>
        <w:t xml:space="preserve"> </w:t>
      </w:r>
      <w:r>
        <w:rPr>
          <w:rFonts w:hint="default"/>
          <w:color w:val="auto"/>
          <w:sz w:val="44"/>
          <w:szCs w:val="24"/>
          <w:highlight w:val="none"/>
        </w:rPr>
        <w:t>投标文件格式</w:t>
      </w:r>
    </w:p>
    <w:p w14:paraId="00951EEA">
      <w:pPr>
        <w:pStyle w:val="4"/>
        <w:outlineLvl w:val="9"/>
        <w:rPr>
          <w:rFonts w:hint="default"/>
          <w:color w:val="auto"/>
          <w:sz w:val="30"/>
          <w:szCs w:val="24"/>
          <w:highlight w:val="none"/>
        </w:rPr>
        <w:sectPr>
          <w:pgSz w:w="11905" w:h="16838"/>
          <w:pgMar w:top="1417" w:right="1417" w:bottom="1417" w:left="1417" w:header="992" w:footer="992" w:gutter="0"/>
          <w:lnNumType w:countBy="0" w:distance="360"/>
          <w:cols w:space="720" w:num="1"/>
        </w:sectPr>
      </w:pPr>
    </w:p>
    <w:p w14:paraId="5C6688F1">
      <w:pPr>
        <w:pStyle w:val="12"/>
        <w:kinsoku w:val="0"/>
        <w:overflowPunct w:val="0"/>
        <w:ind w:left="0"/>
        <w:rPr>
          <w:rFonts w:hint="eastAsia" w:ascii="Microsoft JhengHei" w:hAnsi="Microsoft JhengHei" w:eastAsia="Microsoft JhengHei"/>
          <w:b/>
          <w:color w:val="auto"/>
          <w:sz w:val="20"/>
          <w:szCs w:val="24"/>
          <w:highlight w:val="none"/>
        </w:rPr>
      </w:pPr>
    </w:p>
    <w:p w14:paraId="2F34CE37">
      <w:pPr>
        <w:pStyle w:val="12"/>
        <w:kinsoku w:val="0"/>
        <w:overflowPunct w:val="0"/>
        <w:ind w:left="0"/>
        <w:rPr>
          <w:rFonts w:hint="eastAsia" w:ascii="Microsoft JhengHei" w:hAnsi="Microsoft JhengHei" w:eastAsia="Microsoft JhengHei"/>
          <w:b/>
          <w:color w:val="auto"/>
          <w:sz w:val="20"/>
          <w:szCs w:val="24"/>
          <w:highlight w:val="none"/>
        </w:rPr>
      </w:pPr>
    </w:p>
    <w:p w14:paraId="65E505B5">
      <w:pPr>
        <w:pStyle w:val="12"/>
        <w:kinsoku w:val="0"/>
        <w:overflowPunct w:val="0"/>
        <w:spacing w:before="1"/>
        <w:ind w:left="0"/>
        <w:rPr>
          <w:rFonts w:hint="eastAsia" w:ascii="Microsoft JhengHei" w:hAnsi="Microsoft JhengHei" w:eastAsia="Microsoft JhengHei"/>
          <w:b/>
          <w:color w:val="auto"/>
          <w:sz w:val="22"/>
          <w:szCs w:val="24"/>
          <w:highlight w:val="none"/>
        </w:rPr>
      </w:pPr>
    </w:p>
    <w:p w14:paraId="163D308E">
      <w:pPr>
        <w:jc w:val="center"/>
        <w:rPr>
          <w:rFonts w:hint="default" w:ascii="宋体" w:hAnsi="Times New Roman" w:eastAsia="宋体"/>
          <w:color w:val="auto"/>
          <w:sz w:val="36"/>
          <w:szCs w:val="24"/>
          <w:highlight w:val="none"/>
          <w:lang w:eastAsia="zh-CN"/>
        </w:rPr>
      </w:pPr>
      <w:r>
        <w:rPr>
          <w:rFonts w:hint="default"/>
          <w:color w:val="auto"/>
          <w:sz w:val="36"/>
          <w:szCs w:val="24"/>
          <w:highlight w:val="none"/>
          <w:u w:val="single"/>
          <w:lang w:val="en-US" w:eastAsia="zh-CN"/>
        </w:rPr>
        <w:t xml:space="preserve">                 </w:t>
      </w:r>
      <w:r>
        <w:rPr>
          <w:rFonts w:hint="default" w:ascii="宋体" w:hAnsi="Times New Roman" w:eastAsia="宋体"/>
          <w:color w:val="auto"/>
          <w:sz w:val="36"/>
          <w:szCs w:val="24"/>
          <w:highlight w:val="none"/>
          <w:u w:val="single"/>
        </w:rPr>
        <w:t>（项目名称）</w:t>
      </w:r>
      <w:r>
        <w:rPr>
          <w:rFonts w:hint="default" w:ascii="宋体" w:hAnsi="Times New Roman" w:eastAsia="宋体"/>
          <w:color w:val="auto"/>
          <w:sz w:val="36"/>
          <w:szCs w:val="24"/>
          <w:highlight w:val="none"/>
          <w:lang w:val="en-US" w:eastAsia="zh-CN"/>
        </w:rPr>
        <w:t xml:space="preserve"> </w:t>
      </w:r>
    </w:p>
    <w:p w14:paraId="52E289B8">
      <w:pPr>
        <w:pStyle w:val="12"/>
        <w:kinsoku w:val="0"/>
        <w:overflowPunct w:val="0"/>
        <w:ind w:left="0"/>
        <w:rPr>
          <w:rFonts w:hint="default"/>
          <w:color w:val="auto"/>
          <w:sz w:val="20"/>
          <w:szCs w:val="24"/>
          <w:highlight w:val="none"/>
        </w:rPr>
      </w:pPr>
    </w:p>
    <w:p w14:paraId="516FCB14">
      <w:pPr>
        <w:pStyle w:val="12"/>
        <w:kinsoku w:val="0"/>
        <w:overflowPunct w:val="0"/>
        <w:spacing w:before="9"/>
        <w:ind w:left="0"/>
        <w:rPr>
          <w:rFonts w:hint="default"/>
          <w:color w:val="auto"/>
          <w:sz w:val="15"/>
          <w:szCs w:val="24"/>
          <w:highlight w:val="none"/>
        </w:rPr>
      </w:pPr>
    </w:p>
    <w:p w14:paraId="3E187685">
      <w:pPr>
        <w:pStyle w:val="12"/>
        <w:kinsoku w:val="0"/>
        <w:overflowPunct w:val="0"/>
        <w:spacing w:line="539" w:lineRule="exact"/>
        <w:ind w:left="3" w:right="1"/>
        <w:jc w:val="center"/>
        <w:rPr>
          <w:rFonts w:hint="default"/>
          <w:color w:val="auto"/>
          <w:sz w:val="44"/>
          <w:szCs w:val="24"/>
          <w:highlight w:val="none"/>
        </w:rPr>
      </w:pPr>
    </w:p>
    <w:p w14:paraId="418CAB55">
      <w:pPr>
        <w:pStyle w:val="12"/>
        <w:kinsoku w:val="0"/>
        <w:overflowPunct w:val="0"/>
        <w:spacing w:line="539" w:lineRule="exact"/>
        <w:ind w:left="3" w:right="1"/>
        <w:jc w:val="center"/>
        <w:rPr>
          <w:rFonts w:hint="default"/>
          <w:color w:val="auto"/>
          <w:sz w:val="44"/>
          <w:szCs w:val="24"/>
          <w:highlight w:val="none"/>
        </w:rPr>
      </w:pPr>
    </w:p>
    <w:p w14:paraId="57C6E8C3">
      <w:pPr>
        <w:pStyle w:val="12"/>
        <w:kinsoku w:val="0"/>
        <w:overflowPunct w:val="0"/>
        <w:ind w:left="0"/>
        <w:jc w:val="center"/>
        <w:rPr>
          <w:rFonts w:hint="default"/>
          <w:color w:val="auto"/>
          <w:sz w:val="44"/>
          <w:szCs w:val="24"/>
          <w:highlight w:val="none"/>
        </w:rPr>
      </w:pPr>
      <w:r>
        <w:rPr>
          <w:rFonts w:hint="default" w:cs="宋体"/>
          <w:color w:val="auto"/>
          <w:sz w:val="84"/>
          <w:szCs w:val="84"/>
          <w:highlight w:val="none"/>
        </w:rPr>
        <w:t>投标文件</w:t>
      </w:r>
    </w:p>
    <w:p w14:paraId="564AEA68">
      <w:pPr>
        <w:pStyle w:val="12"/>
        <w:kinsoku w:val="0"/>
        <w:overflowPunct w:val="0"/>
        <w:ind w:left="0"/>
        <w:rPr>
          <w:rFonts w:hint="default"/>
          <w:color w:val="auto"/>
          <w:sz w:val="44"/>
          <w:szCs w:val="24"/>
          <w:highlight w:val="none"/>
        </w:rPr>
      </w:pPr>
    </w:p>
    <w:p w14:paraId="3D1918C8">
      <w:pPr>
        <w:pStyle w:val="12"/>
        <w:kinsoku w:val="0"/>
        <w:overflowPunct w:val="0"/>
        <w:ind w:left="0"/>
        <w:rPr>
          <w:rFonts w:hint="default"/>
          <w:color w:val="auto"/>
          <w:sz w:val="44"/>
          <w:szCs w:val="24"/>
          <w:highlight w:val="none"/>
        </w:rPr>
      </w:pPr>
    </w:p>
    <w:p w14:paraId="5F38F0AE">
      <w:pPr>
        <w:pStyle w:val="12"/>
        <w:kinsoku w:val="0"/>
        <w:overflowPunct w:val="0"/>
        <w:ind w:left="0"/>
        <w:rPr>
          <w:rFonts w:hint="default"/>
          <w:color w:val="auto"/>
          <w:sz w:val="44"/>
          <w:szCs w:val="24"/>
          <w:highlight w:val="none"/>
        </w:rPr>
      </w:pPr>
    </w:p>
    <w:p w14:paraId="6CA17E5D">
      <w:pPr>
        <w:pStyle w:val="12"/>
        <w:kinsoku w:val="0"/>
        <w:overflowPunct w:val="0"/>
        <w:ind w:left="0"/>
        <w:rPr>
          <w:rFonts w:hint="default"/>
          <w:color w:val="auto"/>
          <w:sz w:val="44"/>
          <w:szCs w:val="24"/>
          <w:highlight w:val="none"/>
        </w:rPr>
      </w:pPr>
    </w:p>
    <w:p w14:paraId="5BEC8F8F">
      <w:pPr>
        <w:pStyle w:val="12"/>
        <w:kinsoku w:val="0"/>
        <w:overflowPunct w:val="0"/>
        <w:ind w:left="0"/>
        <w:rPr>
          <w:rFonts w:hint="default"/>
          <w:color w:val="auto"/>
          <w:sz w:val="44"/>
          <w:szCs w:val="24"/>
          <w:highlight w:val="none"/>
        </w:rPr>
      </w:pPr>
    </w:p>
    <w:p w14:paraId="745C5882">
      <w:pPr>
        <w:pStyle w:val="12"/>
        <w:kinsoku w:val="0"/>
        <w:overflowPunct w:val="0"/>
        <w:ind w:left="0"/>
        <w:rPr>
          <w:rFonts w:hint="default"/>
          <w:color w:val="auto"/>
          <w:sz w:val="44"/>
          <w:szCs w:val="24"/>
          <w:highlight w:val="none"/>
        </w:rPr>
      </w:pPr>
    </w:p>
    <w:p w14:paraId="24F6680E">
      <w:pPr>
        <w:pStyle w:val="12"/>
        <w:kinsoku w:val="0"/>
        <w:overflowPunct w:val="0"/>
        <w:ind w:left="0"/>
        <w:rPr>
          <w:rFonts w:hint="default"/>
          <w:color w:val="auto"/>
          <w:sz w:val="44"/>
          <w:szCs w:val="24"/>
          <w:highlight w:val="none"/>
        </w:rPr>
      </w:pPr>
    </w:p>
    <w:p w14:paraId="2528D5B5">
      <w:pPr>
        <w:pStyle w:val="12"/>
        <w:kinsoku w:val="0"/>
        <w:overflowPunct w:val="0"/>
        <w:ind w:left="0"/>
        <w:rPr>
          <w:rFonts w:hint="default"/>
          <w:color w:val="auto"/>
          <w:sz w:val="44"/>
          <w:szCs w:val="24"/>
          <w:highlight w:val="none"/>
        </w:rPr>
      </w:pPr>
    </w:p>
    <w:p w14:paraId="4ADB4737">
      <w:pPr>
        <w:pStyle w:val="12"/>
        <w:kinsoku w:val="0"/>
        <w:overflowPunct w:val="0"/>
        <w:ind w:left="0"/>
        <w:rPr>
          <w:rFonts w:hint="default"/>
          <w:color w:val="auto"/>
          <w:sz w:val="44"/>
          <w:szCs w:val="24"/>
          <w:highlight w:val="none"/>
        </w:rPr>
      </w:pPr>
    </w:p>
    <w:p w14:paraId="5D283603">
      <w:pPr>
        <w:pStyle w:val="12"/>
        <w:kinsoku w:val="0"/>
        <w:overflowPunct w:val="0"/>
        <w:spacing w:before="3"/>
        <w:ind w:left="0"/>
        <w:rPr>
          <w:rFonts w:hint="default"/>
          <w:color w:val="auto"/>
          <w:sz w:val="41"/>
          <w:szCs w:val="24"/>
          <w:highlight w:val="none"/>
        </w:rPr>
      </w:pPr>
    </w:p>
    <w:p w14:paraId="61B92854">
      <w:pPr>
        <w:pStyle w:val="12"/>
        <w:tabs>
          <w:tab w:val="left" w:pos="5577"/>
          <w:tab w:val="left" w:pos="6942"/>
        </w:tabs>
        <w:kinsoku w:val="0"/>
        <w:overflowPunct w:val="0"/>
        <w:spacing w:line="357" w:lineRule="auto"/>
        <w:ind w:left="1201" w:right="175"/>
        <w:rPr>
          <w:rFonts w:hint="default"/>
          <w:color w:val="auto"/>
          <w:spacing w:val="-1"/>
          <w:sz w:val="28"/>
          <w:szCs w:val="24"/>
          <w:highlight w:val="none"/>
        </w:rPr>
      </w:pPr>
      <w:r>
        <w:rPr>
          <w:rFonts w:hint="default"/>
          <w:color w:val="auto"/>
          <w:sz w:val="28"/>
          <w:szCs w:val="24"/>
          <w:highlight w:val="none"/>
        </w:rPr>
        <w:t>投标人：</w:t>
      </w:r>
      <w:r>
        <w:rPr>
          <w:rFonts w:hint="eastAsia" w:ascii="Times New Roman" w:hAnsi="Times New Roman" w:eastAsia="Times New Roman"/>
          <w:color w:val="auto"/>
          <w:sz w:val="28"/>
          <w:szCs w:val="24"/>
          <w:highlight w:val="none"/>
          <w:u w:val="single"/>
        </w:rPr>
        <w:tab/>
      </w:r>
      <w:r>
        <w:rPr>
          <w:rFonts w:hint="eastAsia" w:ascii="Times New Roman" w:hAnsi="Times New Roman" w:eastAsia="Times New Roman"/>
          <w:color w:val="auto"/>
          <w:sz w:val="28"/>
          <w:szCs w:val="24"/>
          <w:highlight w:val="none"/>
          <w:u w:val="single"/>
        </w:rPr>
        <w:tab/>
      </w:r>
      <w:r>
        <w:rPr>
          <w:rFonts w:hint="default"/>
          <w:color w:val="auto"/>
          <w:spacing w:val="-1"/>
          <w:sz w:val="28"/>
          <w:szCs w:val="24"/>
          <w:highlight w:val="none"/>
        </w:rPr>
        <w:t>（盖单位章）</w:t>
      </w:r>
      <w:r>
        <w:rPr>
          <w:rFonts w:hint="default"/>
          <w:color w:val="auto"/>
          <w:spacing w:val="-136"/>
          <w:sz w:val="28"/>
          <w:szCs w:val="24"/>
          <w:highlight w:val="none"/>
        </w:rPr>
        <w:t xml:space="preserve"> </w:t>
      </w:r>
      <w:r>
        <w:rPr>
          <w:rFonts w:hint="default"/>
          <w:color w:val="auto"/>
          <w:spacing w:val="-1"/>
          <w:sz w:val="28"/>
          <w:szCs w:val="24"/>
          <w:highlight w:val="none"/>
        </w:rPr>
        <w:t>法定代表人或其委托代理人：</w:t>
      </w:r>
      <w:r>
        <w:rPr>
          <w:rFonts w:hint="eastAsia" w:ascii="Times New Roman" w:hAnsi="Times New Roman" w:eastAsia="Times New Roman"/>
          <w:color w:val="auto"/>
          <w:spacing w:val="-1"/>
          <w:sz w:val="28"/>
          <w:szCs w:val="24"/>
          <w:highlight w:val="none"/>
          <w:u w:val="single"/>
        </w:rPr>
        <w:tab/>
      </w:r>
      <w:r>
        <w:rPr>
          <w:rFonts w:hint="default"/>
          <w:color w:val="auto"/>
          <w:spacing w:val="-1"/>
          <w:sz w:val="28"/>
          <w:szCs w:val="24"/>
          <w:highlight w:val="none"/>
        </w:rPr>
        <w:t>（签字</w:t>
      </w:r>
      <w:r>
        <w:rPr>
          <w:rFonts w:hint="eastAsia"/>
          <w:color w:val="auto"/>
          <w:spacing w:val="-1"/>
          <w:sz w:val="28"/>
          <w:szCs w:val="24"/>
          <w:highlight w:val="none"/>
          <w:lang w:val="en-US" w:eastAsia="zh-CN"/>
        </w:rPr>
        <w:t>或盖章</w:t>
      </w:r>
      <w:r>
        <w:rPr>
          <w:rFonts w:hint="default"/>
          <w:color w:val="auto"/>
          <w:spacing w:val="-1"/>
          <w:sz w:val="28"/>
          <w:szCs w:val="24"/>
          <w:highlight w:val="none"/>
        </w:rPr>
        <w:t>）</w:t>
      </w:r>
    </w:p>
    <w:p w14:paraId="3BADD6E5">
      <w:pPr>
        <w:pStyle w:val="12"/>
        <w:kinsoku w:val="0"/>
        <w:overflowPunct w:val="0"/>
        <w:spacing w:before="10"/>
        <w:ind w:left="0"/>
        <w:rPr>
          <w:rFonts w:hint="default"/>
          <w:color w:val="auto"/>
          <w:sz w:val="29"/>
          <w:szCs w:val="24"/>
          <w:highlight w:val="none"/>
        </w:rPr>
      </w:pPr>
    </w:p>
    <w:p w14:paraId="192E412E">
      <w:pPr>
        <w:pStyle w:val="12"/>
        <w:tabs>
          <w:tab w:val="left" w:pos="3611"/>
          <w:tab w:val="left" w:pos="4626"/>
          <w:tab w:val="left" w:pos="5642"/>
        </w:tabs>
        <w:kinsoku w:val="0"/>
        <w:overflowPunct w:val="0"/>
        <w:spacing w:before="14"/>
        <w:ind w:left="2877" w:right="175"/>
        <w:rPr>
          <w:rFonts w:hint="default"/>
          <w:color w:val="auto"/>
          <w:sz w:val="28"/>
          <w:szCs w:val="24"/>
          <w:highlight w:val="none"/>
        </w:rPr>
      </w:pPr>
      <w:r>
        <w:rPr>
          <w:rFonts w:hint="eastAsia" w:ascii="Times New Roman" w:hAnsi="Times New Roman" w:eastAsia="Times New Roman"/>
          <w:color w:val="auto"/>
          <w:sz w:val="28"/>
          <w:szCs w:val="24"/>
          <w:highlight w:val="none"/>
          <w:u w:val="single"/>
        </w:rPr>
        <w:t xml:space="preserve"> </w:t>
      </w:r>
      <w:r>
        <w:rPr>
          <w:rFonts w:hint="eastAsia" w:ascii="Times New Roman" w:hAnsi="Times New Roman" w:eastAsia="Times New Roman"/>
          <w:color w:val="auto"/>
          <w:sz w:val="28"/>
          <w:szCs w:val="24"/>
          <w:highlight w:val="none"/>
          <w:u w:val="single"/>
        </w:rPr>
        <w:tab/>
      </w:r>
      <w:r>
        <w:rPr>
          <w:rFonts w:hint="default"/>
          <w:color w:val="auto"/>
          <w:sz w:val="28"/>
          <w:szCs w:val="24"/>
          <w:highlight w:val="none"/>
        </w:rPr>
        <w:t>年</w:t>
      </w:r>
      <w:r>
        <w:rPr>
          <w:rFonts w:hint="eastAsia" w:ascii="Times New Roman" w:hAnsi="Times New Roman" w:eastAsia="Times New Roman"/>
          <w:color w:val="auto"/>
          <w:sz w:val="28"/>
          <w:szCs w:val="24"/>
          <w:highlight w:val="none"/>
          <w:u w:val="single"/>
        </w:rPr>
        <w:tab/>
      </w:r>
      <w:r>
        <w:rPr>
          <w:rFonts w:hint="default"/>
          <w:color w:val="auto"/>
          <w:sz w:val="28"/>
          <w:szCs w:val="24"/>
          <w:highlight w:val="none"/>
        </w:rPr>
        <w:t>月</w:t>
      </w:r>
      <w:r>
        <w:rPr>
          <w:rFonts w:hint="eastAsia" w:ascii="Times New Roman" w:hAnsi="Times New Roman" w:eastAsia="Times New Roman"/>
          <w:color w:val="auto"/>
          <w:sz w:val="28"/>
          <w:szCs w:val="24"/>
          <w:highlight w:val="none"/>
          <w:u w:val="single"/>
        </w:rPr>
        <w:tab/>
      </w:r>
      <w:r>
        <w:rPr>
          <w:rFonts w:hint="default"/>
          <w:color w:val="auto"/>
          <w:sz w:val="28"/>
          <w:szCs w:val="24"/>
          <w:highlight w:val="none"/>
        </w:rPr>
        <w:t>日</w:t>
      </w:r>
    </w:p>
    <w:p w14:paraId="04359CAB">
      <w:pPr>
        <w:pStyle w:val="12"/>
        <w:tabs>
          <w:tab w:val="left" w:pos="3611"/>
          <w:tab w:val="left" w:pos="4626"/>
          <w:tab w:val="left" w:pos="5642"/>
        </w:tabs>
        <w:kinsoku w:val="0"/>
        <w:overflowPunct w:val="0"/>
        <w:spacing w:before="14"/>
        <w:ind w:left="2877" w:right="175"/>
        <w:rPr>
          <w:rFonts w:hint="default"/>
          <w:color w:val="auto"/>
          <w:sz w:val="28"/>
          <w:szCs w:val="24"/>
          <w:highlight w:val="none"/>
        </w:rPr>
        <w:sectPr>
          <w:pgSz w:w="11905" w:h="16838"/>
          <w:pgMar w:top="1417" w:right="1417" w:bottom="1417" w:left="1417" w:header="992" w:footer="992" w:gutter="0"/>
          <w:lnNumType w:countBy="0" w:distance="360"/>
          <w:cols w:space="720" w:num="1"/>
        </w:sectPr>
      </w:pPr>
    </w:p>
    <w:p w14:paraId="2859077C">
      <w:pPr>
        <w:pStyle w:val="12"/>
        <w:kinsoku w:val="0"/>
        <w:overflowPunct w:val="0"/>
        <w:spacing w:line="443" w:lineRule="exact"/>
        <w:ind w:left="1244" w:right="1222"/>
        <w:jc w:val="center"/>
        <w:rPr>
          <w:rFonts w:hint="eastAsia" w:ascii="Microsoft JhengHei" w:hAnsi="Microsoft JhengHei" w:eastAsia="Microsoft JhengHei"/>
          <w:color w:val="auto"/>
          <w:sz w:val="32"/>
          <w:szCs w:val="24"/>
          <w:highlight w:val="none"/>
        </w:rPr>
      </w:pPr>
      <w:r>
        <w:rPr>
          <w:rFonts w:hint="eastAsia" w:ascii="Microsoft JhengHei" w:hAnsi="Microsoft JhengHei" w:eastAsia="Microsoft JhengHei"/>
          <w:b/>
          <w:color w:val="auto"/>
          <w:sz w:val="32"/>
          <w:szCs w:val="24"/>
          <w:highlight w:val="none"/>
        </w:rPr>
        <w:t>目录</w:t>
      </w:r>
    </w:p>
    <w:p w14:paraId="19CFEF35">
      <w:pPr>
        <w:pStyle w:val="12"/>
        <w:kinsoku w:val="0"/>
        <w:overflowPunct w:val="0"/>
        <w:ind w:left="0"/>
        <w:rPr>
          <w:rFonts w:hint="eastAsia" w:ascii="Microsoft JhengHei" w:hAnsi="Microsoft JhengHei" w:eastAsia="Microsoft JhengHei"/>
          <w:b/>
          <w:color w:val="auto"/>
          <w:sz w:val="20"/>
          <w:szCs w:val="24"/>
          <w:highlight w:val="none"/>
        </w:rPr>
      </w:pPr>
    </w:p>
    <w:p w14:paraId="07155D3F">
      <w:pPr>
        <w:pStyle w:val="12"/>
        <w:kinsoku w:val="0"/>
        <w:overflowPunct w:val="0"/>
        <w:ind w:left="0"/>
        <w:rPr>
          <w:rFonts w:hint="eastAsia" w:ascii="Microsoft JhengHei" w:hAnsi="Microsoft JhengHei" w:eastAsia="Microsoft JhengHei"/>
          <w:b/>
          <w:color w:val="auto"/>
          <w:sz w:val="20"/>
          <w:szCs w:val="24"/>
          <w:highlight w:val="none"/>
        </w:rPr>
      </w:pPr>
    </w:p>
    <w:p w14:paraId="16F936DB">
      <w:pPr>
        <w:pStyle w:val="12"/>
        <w:kinsoku w:val="0"/>
        <w:overflowPunct w:val="0"/>
        <w:ind w:left="0"/>
        <w:rPr>
          <w:rFonts w:hint="eastAsia" w:ascii="Microsoft JhengHei" w:hAnsi="Microsoft JhengHei" w:eastAsia="Microsoft JhengHei"/>
          <w:b/>
          <w:color w:val="auto"/>
          <w:sz w:val="20"/>
          <w:szCs w:val="24"/>
          <w:highlight w:val="none"/>
        </w:rPr>
      </w:pPr>
    </w:p>
    <w:p w14:paraId="0AF08D2C">
      <w:pPr>
        <w:pStyle w:val="12"/>
        <w:kinsoku w:val="0"/>
        <w:overflowPunct w:val="0"/>
        <w:spacing w:before="6"/>
        <w:ind w:left="0"/>
        <w:rPr>
          <w:rFonts w:hint="eastAsia" w:ascii="Microsoft JhengHei" w:hAnsi="Microsoft JhengHei" w:eastAsia="Microsoft JhengHei"/>
          <w:b/>
          <w:color w:val="auto"/>
          <w:sz w:val="24"/>
          <w:szCs w:val="24"/>
          <w:highlight w:val="none"/>
        </w:rPr>
      </w:pPr>
    </w:p>
    <w:p w14:paraId="4E93B0C6">
      <w:pPr>
        <w:pStyle w:val="12"/>
        <w:numPr>
          <w:ilvl w:val="0"/>
          <w:numId w:val="0"/>
        </w:numPr>
        <w:kinsoku w:val="0"/>
        <w:overflowPunct w:val="0"/>
        <w:spacing w:before="36" w:line="472" w:lineRule="auto"/>
        <w:ind w:left="0" w:right="2650"/>
        <w:rPr>
          <w:rFonts w:hint="default"/>
          <w:color w:val="auto"/>
          <w:sz w:val="24"/>
          <w:szCs w:val="24"/>
          <w:highlight w:val="none"/>
        </w:rPr>
      </w:pPr>
      <w:r>
        <w:rPr>
          <w:rFonts w:hint="default"/>
          <w:color w:val="auto"/>
          <w:sz w:val="24"/>
          <w:szCs w:val="24"/>
          <w:highlight w:val="none"/>
          <w:lang w:val="en-US" w:eastAsia="zh-CN"/>
        </w:rPr>
        <w:t>一、</w:t>
      </w:r>
      <w:r>
        <w:rPr>
          <w:rFonts w:hint="default"/>
          <w:color w:val="auto"/>
          <w:sz w:val="24"/>
          <w:szCs w:val="24"/>
          <w:highlight w:val="none"/>
        </w:rPr>
        <w:t>投标函及投标函附录</w:t>
      </w:r>
    </w:p>
    <w:p w14:paraId="4BBDCB50">
      <w:pPr>
        <w:pStyle w:val="12"/>
        <w:numPr>
          <w:ilvl w:val="0"/>
          <w:numId w:val="0"/>
        </w:numPr>
        <w:kinsoku w:val="0"/>
        <w:overflowPunct w:val="0"/>
        <w:spacing w:before="36" w:line="472" w:lineRule="auto"/>
        <w:ind w:left="0" w:right="2650"/>
        <w:rPr>
          <w:rFonts w:hint="default"/>
          <w:color w:val="auto"/>
          <w:sz w:val="24"/>
          <w:szCs w:val="24"/>
          <w:highlight w:val="none"/>
        </w:rPr>
      </w:pPr>
      <w:r>
        <w:rPr>
          <w:rFonts w:hint="default"/>
          <w:color w:val="auto"/>
          <w:spacing w:val="-2"/>
          <w:sz w:val="24"/>
          <w:szCs w:val="24"/>
          <w:highlight w:val="none"/>
        </w:rPr>
        <w:t>二、法定代表人身份证明</w:t>
      </w:r>
    </w:p>
    <w:p w14:paraId="5AC89BD9">
      <w:pPr>
        <w:pStyle w:val="12"/>
        <w:numPr>
          <w:ilvl w:val="0"/>
          <w:numId w:val="0"/>
        </w:numPr>
        <w:kinsoku w:val="0"/>
        <w:overflowPunct w:val="0"/>
        <w:spacing w:before="36" w:line="472" w:lineRule="auto"/>
        <w:ind w:left="0" w:right="2650"/>
        <w:rPr>
          <w:rFonts w:hint="default"/>
          <w:color w:val="auto"/>
          <w:sz w:val="24"/>
          <w:szCs w:val="24"/>
          <w:highlight w:val="none"/>
        </w:rPr>
      </w:pPr>
      <w:r>
        <w:rPr>
          <w:rFonts w:hint="default"/>
          <w:color w:val="auto"/>
          <w:sz w:val="24"/>
          <w:szCs w:val="24"/>
          <w:highlight w:val="none"/>
        </w:rPr>
        <w:t>二、授权委托书（适用于有委托代理人的情况）</w:t>
      </w:r>
    </w:p>
    <w:p w14:paraId="682699B7">
      <w:pPr>
        <w:pStyle w:val="12"/>
        <w:numPr>
          <w:ilvl w:val="0"/>
          <w:numId w:val="0"/>
        </w:numPr>
        <w:kinsoku w:val="0"/>
        <w:overflowPunct w:val="0"/>
        <w:spacing w:before="36" w:line="472" w:lineRule="auto"/>
        <w:ind w:left="0" w:right="2650"/>
        <w:rPr>
          <w:rFonts w:hint="default"/>
          <w:strike w:val="0"/>
          <w:color w:val="auto"/>
          <w:sz w:val="24"/>
          <w:szCs w:val="24"/>
          <w:highlight w:val="none"/>
          <w:lang w:eastAsia="zh-CN"/>
        </w:rPr>
      </w:pPr>
      <w:r>
        <w:rPr>
          <w:rFonts w:hint="default"/>
          <w:strike w:val="0"/>
          <w:color w:val="auto"/>
          <w:sz w:val="24"/>
          <w:szCs w:val="24"/>
          <w:highlight w:val="none"/>
        </w:rPr>
        <w:t>三、联合体协议书</w:t>
      </w:r>
      <w:r>
        <w:rPr>
          <w:rFonts w:hint="default"/>
          <w:strike w:val="0"/>
          <w:color w:val="auto"/>
          <w:sz w:val="24"/>
          <w:szCs w:val="24"/>
          <w:highlight w:val="none"/>
          <w:lang w:eastAsia="zh-CN"/>
        </w:rPr>
        <w:t>（若有）</w:t>
      </w:r>
    </w:p>
    <w:p w14:paraId="2CF75E19">
      <w:pPr>
        <w:pStyle w:val="12"/>
        <w:numPr>
          <w:ilvl w:val="0"/>
          <w:numId w:val="0"/>
        </w:numPr>
        <w:kinsoku w:val="0"/>
        <w:overflowPunct w:val="0"/>
        <w:spacing w:before="61" w:line="472" w:lineRule="auto"/>
        <w:ind w:left="0" w:right="6220"/>
        <w:rPr>
          <w:rFonts w:hint="default"/>
          <w:color w:val="auto"/>
          <w:sz w:val="24"/>
          <w:szCs w:val="24"/>
          <w:highlight w:val="none"/>
        </w:rPr>
      </w:pPr>
      <w:r>
        <w:rPr>
          <w:rFonts w:hint="default"/>
          <w:strike/>
          <w:color w:val="auto"/>
          <w:sz w:val="24"/>
          <w:szCs w:val="24"/>
          <w:highlight w:val="none"/>
          <w:lang w:val="en-US" w:eastAsia="zh-CN"/>
        </w:rPr>
        <w:t>四、</w:t>
      </w:r>
      <w:r>
        <w:rPr>
          <w:rFonts w:hint="default"/>
          <w:strike/>
          <w:color w:val="auto"/>
          <w:sz w:val="24"/>
          <w:szCs w:val="24"/>
          <w:highlight w:val="none"/>
        </w:rPr>
        <w:t>投标保证金</w:t>
      </w:r>
      <w:r>
        <w:rPr>
          <w:rFonts w:hint="default"/>
          <w:strike/>
          <w:color w:val="auto"/>
          <w:sz w:val="24"/>
          <w:szCs w:val="24"/>
          <w:highlight w:val="none"/>
          <w:lang w:eastAsia="zh-CN"/>
        </w:rPr>
        <w:t>（若有）</w:t>
      </w:r>
      <w:r>
        <w:rPr>
          <w:rFonts w:hint="default"/>
          <w:strike w:val="0"/>
          <w:color w:val="auto"/>
          <w:spacing w:val="-2"/>
          <w:sz w:val="24"/>
          <w:szCs w:val="24"/>
          <w:highlight w:val="none"/>
        </w:rPr>
        <w:t>五、监理报酬清单</w:t>
      </w:r>
    </w:p>
    <w:p w14:paraId="43AC33A6">
      <w:pPr>
        <w:pStyle w:val="12"/>
        <w:numPr>
          <w:ilvl w:val="0"/>
          <w:numId w:val="0"/>
        </w:numPr>
        <w:kinsoku w:val="0"/>
        <w:overflowPunct w:val="0"/>
        <w:spacing w:before="61" w:line="472" w:lineRule="auto"/>
        <w:ind w:left="0" w:right="6220"/>
        <w:rPr>
          <w:rFonts w:hint="default"/>
          <w:color w:val="auto"/>
          <w:sz w:val="24"/>
          <w:szCs w:val="24"/>
          <w:highlight w:val="none"/>
        </w:rPr>
      </w:pPr>
      <w:r>
        <w:rPr>
          <w:rFonts w:hint="default"/>
          <w:color w:val="auto"/>
          <w:spacing w:val="-90"/>
          <w:sz w:val="24"/>
          <w:szCs w:val="24"/>
          <w:highlight w:val="none"/>
        </w:rPr>
        <w:t xml:space="preserve"> </w:t>
      </w:r>
      <w:r>
        <w:rPr>
          <w:rFonts w:hint="default"/>
          <w:color w:val="auto"/>
          <w:spacing w:val="-2"/>
          <w:sz w:val="24"/>
          <w:szCs w:val="24"/>
          <w:highlight w:val="none"/>
        </w:rPr>
        <w:t>六、资格审查资料</w:t>
      </w:r>
    </w:p>
    <w:p w14:paraId="1EEFCD4E">
      <w:pPr>
        <w:pStyle w:val="12"/>
        <w:numPr>
          <w:ilvl w:val="0"/>
          <w:numId w:val="0"/>
        </w:numPr>
        <w:kinsoku w:val="0"/>
        <w:overflowPunct w:val="0"/>
        <w:spacing w:before="61" w:line="472" w:lineRule="auto"/>
        <w:ind w:left="0" w:right="6220"/>
        <w:rPr>
          <w:rFonts w:hint="default"/>
          <w:color w:val="auto"/>
          <w:sz w:val="24"/>
          <w:szCs w:val="24"/>
          <w:highlight w:val="none"/>
        </w:rPr>
      </w:pPr>
      <w:r>
        <w:rPr>
          <w:rFonts w:hint="default"/>
          <w:color w:val="auto"/>
          <w:spacing w:val="-90"/>
          <w:sz w:val="24"/>
          <w:szCs w:val="24"/>
          <w:highlight w:val="none"/>
        </w:rPr>
        <w:t xml:space="preserve"> </w:t>
      </w:r>
      <w:r>
        <w:rPr>
          <w:rFonts w:hint="default"/>
          <w:color w:val="auto"/>
          <w:sz w:val="24"/>
          <w:szCs w:val="24"/>
          <w:highlight w:val="none"/>
        </w:rPr>
        <w:t xml:space="preserve">七、监理大纲 </w:t>
      </w:r>
    </w:p>
    <w:p w14:paraId="3175E1F6">
      <w:pPr>
        <w:pStyle w:val="12"/>
        <w:numPr>
          <w:ilvl w:val="0"/>
          <w:numId w:val="0"/>
        </w:numPr>
        <w:kinsoku w:val="0"/>
        <w:overflowPunct w:val="0"/>
        <w:spacing w:before="61" w:line="472" w:lineRule="auto"/>
        <w:ind w:left="0" w:right="6220"/>
        <w:rPr>
          <w:rFonts w:hint="default"/>
          <w:color w:val="auto"/>
          <w:sz w:val="24"/>
          <w:szCs w:val="24"/>
          <w:highlight w:val="none"/>
        </w:rPr>
      </w:pPr>
      <w:r>
        <w:rPr>
          <w:rFonts w:hint="default"/>
          <w:color w:val="auto"/>
          <w:sz w:val="24"/>
          <w:szCs w:val="24"/>
          <w:highlight w:val="none"/>
        </w:rPr>
        <w:t>八、其他资料</w:t>
      </w:r>
    </w:p>
    <w:p w14:paraId="452327A8">
      <w:pPr>
        <w:pStyle w:val="12"/>
        <w:kinsoku w:val="0"/>
        <w:overflowPunct w:val="0"/>
        <w:spacing w:before="61" w:line="472" w:lineRule="auto"/>
        <w:ind w:left="100" w:right="6220" w:firstLine="719"/>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5AC41827">
      <w:pPr>
        <w:pStyle w:val="5"/>
        <w:jc w:val="center"/>
        <w:outlineLvl w:val="1"/>
        <w:rPr>
          <w:rFonts w:hint="default"/>
          <w:color w:val="auto"/>
          <w:sz w:val="28"/>
          <w:szCs w:val="24"/>
          <w:highlight w:val="none"/>
        </w:rPr>
      </w:pPr>
      <w:r>
        <w:rPr>
          <w:rFonts w:hint="default"/>
          <w:color w:val="auto"/>
          <w:sz w:val="28"/>
          <w:szCs w:val="24"/>
          <w:highlight w:val="none"/>
        </w:rPr>
        <w:t>一、投标函及投标函附录</w:t>
      </w:r>
    </w:p>
    <w:p w14:paraId="781BE9BC">
      <w:pPr>
        <w:pStyle w:val="6"/>
        <w:outlineLvl w:val="2"/>
        <w:rPr>
          <w:rFonts w:hint="default"/>
          <w:b/>
          <w:color w:val="auto"/>
          <w:sz w:val="28"/>
          <w:szCs w:val="24"/>
          <w:highlight w:val="none"/>
        </w:rPr>
      </w:pPr>
      <w:r>
        <w:rPr>
          <w:rFonts w:hint="default"/>
          <w:b/>
          <w:color w:val="auto"/>
          <w:sz w:val="28"/>
          <w:szCs w:val="24"/>
          <w:highlight w:val="none"/>
        </w:rPr>
        <w:t>（一）投标函</w:t>
      </w:r>
    </w:p>
    <w:p w14:paraId="1C889F89">
      <w:pPr>
        <w:pStyle w:val="12"/>
        <w:kinsoku w:val="0"/>
        <w:overflowPunct w:val="0"/>
        <w:spacing w:before="1"/>
        <w:ind w:left="0"/>
        <w:rPr>
          <w:rFonts w:hint="default"/>
          <w:color w:val="auto"/>
          <w:sz w:val="23"/>
          <w:szCs w:val="24"/>
          <w:highlight w:val="none"/>
        </w:rPr>
      </w:pPr>
    </w:p>
    <w:p w14:paraId="783ECF57">
      <w:pPr>
        <w:pStyle w:val="12"/>
        <w:tabs>
          <w:tab w:val="left" w:pos="1991"/>
        </w:tabs>
        <w:kinsoku w:val="0"/>
        <w:overflowPunct w:val="0"/>
        <w:ind w:left="100" w:right="113"/>
        <w:rPr>
          <w:rFonts w:hint="default"/>
          <w:color w:val="auto"/>
          <w:spacing w:val="-15"/>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15"/>
          <w:sz w:val="21"/>
          <w:szCs w:val="24"/>
          <w:highlight w:val="none"/>
        </w:rPr>
        <w:t>（招标人名称）：</w:t>
      </w:r>
    </w:p>
    <w:p w14:paraId="3EB33E7B">
      <w:pPr>
        <w:pStyle w:val="12"/>
        <w:kinsoku w:val="0"/>
        <w:overflowPunct w:val="0"/>
        <w:spacing w:before="13"/>
        <w:ind w:left="0"/>
        <w:rPr>
          <w:rFonts w:hint="default"/>
          <w:color w:val="auto"/>
          <w:sz w:val="21"/>
          <w:szCs w:val="24"/>
          <w:highlight w:val="none"/>
        </w:rPr>
      </w:pPr>
    </w:p>
    <w:p w14:paraId="0456466D">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1．我方已仔细研究了</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u w:val="single"/>
          <w:lang w:val="en-US" w:eastAsia="zh-CN" w:bidi="ar-SA"/>
        </w:rPr>
        <w:t xml:space="preserve">（项目名称）  </w:t>
      </w:r>
      <w:r>
        <w:rPr>
          <w:rFonts w:hint="default" w:ascii="宋体" w:hAnsi="宋体" w:eastAsia="宋体" w:cs="宋体"/>
          <w:color w:val="auto"/>
          <w:kern w:val="2"/>
          <w:sz w:val="21"/>
          <w:szCs w:val="21"/>
          <w:highlight w:val="none"/>
          <w:lang w:val="en-US" w:eastAsia="zh-CN" w:bidi="ar-SA"/>
        </w:rPr>
        <w:t xml:space="preserve"> 招标项目招标文件的全部内容， 愿意以人民币（大写）</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u w:val="single"/>
          <w:lang w:val="en-US" w:eastAsia="zh-CN" w:bidi="ar-SA"/>
        </w:rPr>
        <w:t xml:space="preserve">   </w:t>
      </w:r>
      <w:r>
        <w:rPr>
          <w:rFonts w:hint="default" w:ascii="宋体" w:hAnsi="宋体" w:eastAsia="宋体" w:cs="宋体"/>
          <w:color w:val="auto"/>
          <w:kern w:val="2"/>
          <w:sz w:val="21"/>
          <w:szCs w:val="21"/>
          <w:highlight w:val="none"/>
          <w:lang w:val="en-US" w:eastAsia="zh-CN" w:bidi="ar-SA"/>
        </w:rPr>
        <w:t>（¥</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lang w:val="en-US" w:eastAsia="zh-CN" w:bidi="ar-SA"/>
        </w:rPr>
        <w:t>）的投标总报价，监理服务期限：</w:t>
      </w:r>
      <w:r>
        <w:rPr>
          <w:rFonts w:hint="default" w:ascii="宋体" w:hAnsi="宋体" w:eastAsia="宋体" w:cs="宋体"/>
          <w:color w:val="auto"/>
          <w:kern w:val="2"/>
          <w:sz w:val="21"/>
          <w:szCs w:val="21"/>
          <w:highlight w:val="none"/>
          <w:u w:val="single"/>
          <w:lang w:val="en-US" w:eastAsia="zh-CN" w:bidi="ar-SA"/>
        </w:rPr>
        <w:t xml:space="preserve">  </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lang w:val="en-US" w:eastAsia="zh-CN" w:bidi="ar-SA"/>
        </w:rPr>
        <w:t>日历天，按合同约定完成监理工作。</w:t>
      </w:r>
    </w:p>
    <w:p w14:paraId="1D553E4A">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 我方的投标文件包括下列内容：</w:t>
      </w:r>
    </w:p>
    <w:p w14:paraId="5847F821">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（1）投标函及投标函附录；</w:t>
      </w:r>
    </w:p>
    <w:p w14:paraId="74B88F5C">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（2）法定代表人身份证明</w:t>
      </w:r>
      <w:r>
        <w:rPr>
          <w:rFonts w:hint="default" w:ascii="宋体" w:hAnsi="宋体" w:eastAsia="宋体" w:cs="宋体"/>
          <w:color w:val="auto"/>
          <w:spacing w:val="8"/>
          <w:sz w:val="21"/>
          <w:szCs w:val="21"/>
          <w:highlight w:val="none"/>
        </w:rPr>
        <w:t>或附有法定代表人身份证明的授权委托书</w:t>
      </w:r>
      <w:r>
        <w:rPr>
          <w:rFonts w:hint="default" w:ascii="宋体" w:hAnsi="宋体" w:eastAsia="宋体" w:cs="宋体"/>
          <w:color w:val="auto"/>
          <w:kern w:val="2"/>
          <w:sz w:val="21"/>
          <w:szCs w:val="21"/>
          <w:highlight w:val="none"/>
          <w:lang w:val="en-US" w:eastAsia="zh-CN" w:bidi="ar-SA"/>
        </w:rPr>
        <w:t>；</w:t>
      </w:r>
    </w:p>
    <w:p w14:paraId="2A35E520">
      <w:pPr>
        <w:autoSpaceDE/>
        <w:autoSpaceDN/>
        <w:adjustRightInd/>
        <w:spacing w:line="360" w:lineRule="auto"/>
        <w:ind w:left="585" w:leftChars="200" w:hanging="105" w:hangingChars="50"/>
        <w:jc w:val="both"/>
        <w:rPr>
          <w:rFonts w:hint="default" w:ascii="宋体" w:hAnsi="宋体" w:eastAsia="宋体" w:cs="宋体"/>
          <w:strike w:val="0"/>
          <w:dstrike w:val="0"/>
          <w:color w:val="auto"/>
          <w:kern w:val="2"/>
          <w:sz w:val="21"/>
          <w:szCs w:val="21"/>
          <w:highlight w:val="none"/>
          <w:lang w:val="en-US" w:eastAsia="zh-CN" w:bidi="ar-SA"/>
        </w:rPr>
      </w:pPr>
      <w:r>
        <w:rPr>
          <w:rFonts w:hint="default" w:ascii="宋体" w:hAnsi="宋体" w:eastAsia="宋体" w:cs="宋体"/>
          <w:strike w:val="0"/>
          <w:dstrike w:val="0"/>
          <w:color w:val="auto"/>
          <w:kern w:val="2"/>
          <w:sz w:val="21"/>
          <w:szCs w:val="21"/>
          <w:highlight w:val="none"/>
          <w:lang w:val="en-US" w:eastAsia="zh-CN" w:bidi="ar-SA"/>
        </w:rPr>
        <w:t>（3）联合体协议书（如有）；</w:t>
      </w:r>
    </w:p>
    <w:p w14:paraId="44858E04">
      <w:pPr>
        <w:autoSpaceDE/>
        <w:autoSpaceDN/>
        <w:adjustRightInd/>
        <w:spacing w:line="360" w:lineRule="auto"/>
        <w:ind w:left="585" w:leftChars="200" w:hanging="105" w:hangingChars="50"/>
        <w:jc w:val="both"/>
        <w:rPr>
          <w:rFonts w:hint="default" w:ascii="宋体" w:hAnsi="宋体" w:eastAsia="宋体" w:cs="宋体"/>
          <w:strike w:val="0"/>
          <w:dstrike w:val="0"/>
          <w:color w:val="auto"/>
          <w:kern w:val="2"/>
          <w:sz w:val="21"/>
          <w:szCs w:val="21"/>
          <w:highlight w:val="none"/>
          <w:lang w:val="en-US" w:eastAsia="zh-CN" w:bidi="ar-SA"/>
        </w:rPr>
      </w:pPr>
      <w:r>
        <w:rPr>
          <w:rFonts w:hint="default" w:ascii="宋体" w:hAnsi="宋体" w:eastAsia="宋体" w:cs="宋体"/>
          <w:strike w:val="0"/>
          <w:dstrike w:val="0"/>
          <w:color w:val="auto"/>
          <w:kern w:val="2"/>
          <w:sz w:val="21"/>
          <w:szCs w:val="21"/>
          <w:highlight w:val="none"/>
          <w:lang w:val="en-US" w:eastAsia="zh-CN" w:bidi="ar-SA"/>
        </w:rPr>
        <w:t>（4）投标保证金（如有）；</w:t>
      </w:r>
    </w:p>
    <w:p w14:paraId="0B8239CD">
      <w:pPr>
        <w:autoSpaceDE/>
        <w:autoSpaceDN/>
        <w:adjustRightInd/>
        <w:spacing w:line="360" w:lineRule="auto"/>
        <w:ind w:left="585" w:leftChars="200" w:hanging="105" w:hangingChars="50"/>
        <w:jc w:val="both"/>
        <w:rPr>
          <w:rFonts w:hint="default" w:ascii="宋体" w:hAnsi="宋体" w:eastAsia="宋体" w:cs="宋体"/>
          <w:strike w:val="0"/>
          <w:color w:val="auto"/>
          <w:kern w:val="2"/>
          <w:sz w:val="21"/>
          <w:szCs w:val="21"/>
          <w:highlight w:val="none"/>
          <w:lang w:val="en-US" w:eastAsia="zh-CN" w:bidi="ar-SA"/>
        </w:rPr>
      </w:pPr>
      <w:r>
        <w:rPr>
          <w:rFonts w:hint="default" w:ascii="宋体" w:hAnsi="宋体" w:eastAsia="宋体" w:cs="宋体"/>
          <w:strike w:val="0"/>
          <w:color w:val="auto"/>
          <w:kern w:val="2"/>
          <w:sz w:val="21"/>
          <w:szCs w:val="21"/>
          <w:highlight w:val="none"/>
          <w:lang w:val="en-US" w:eastAsia="zh-CN" w:bidi="ar-SA"/>
        </w:rPr>
        <w:t>（5）监理报酬清单；</w:t>
      </w:r>
    </w:p>
    <w:p w14:paraId="026B5277">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（6）资格审查资料；</w:t>
      </w:r>
    </w:p>
    <w:p w14:paraId="72B663FB">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（7）监理大纲；</w:t>
      </w:r>
    </w:p>
    <w:p w14:paraId="2E3EB59C">
      <w:pPr>
        <w:autoSpaceDE/>
        <w:autoSpaceDN/>
        <w:adjustRightInd/>
        <w:spacing w:line="360" w:lineRule="auto"/>
        <w:ind w:left="585" w:leftChars="200" w:hanging="105" w:hangingChars="5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（8）其他资料。</w:t>
      </w:r>
    </w:p>
    <w:p w14:paraId="03CF7DC8">
      <w:pPr>
        <w:pStyle w:val="12"/>
        <w:kinsoku w:val="0"/>
        <w:overflowPunct w:val="0"/>
        <w:spacing w:line="360" w:lineRule="auto"/>
        <w:ind w:left="522" w:right="2132" w:hanging="17"/>
        <w:rPr>
          <w:rFonts w:hint="default"/>
          <w:color w:val="auto"/>
          <w:spacing w:val="-2"/>
          <w:sz w:val="21"/>
          <w:szCs w:val="24"/>
          <w:highlight w:val="none"/>
        </w:rPr>
      </w:pPr>
      <w:r>
        <w:rPr>
          <w:rFonts w:hint="default"/>
          <w:color w:val="auto"/>
          <w:spacing w:val="-2"/>
          <w:sz w:val="21"/>
          <w:szCs w:val="24"/>
          <w:highlight w:val="none"/>
        </w:rPr>
        <w:t>投标文件的上述组成部分如存在内容不一致的，以投标函为准。</w:t>
      </w:r>
    </w:p>
    <w:p w14:paraId="566304C5">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3．我方承诺在招标文件规定的投标有效期内不撤销投标文件。</w:t>
      </w:r>
    </w:p>
    <w:p w14:paraId="05044989">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4．如我方中标，我方承诺：</w:t>
      </w:r>
    </w:p>
    <w:p w14:paraId="50B13354">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（1）在收到中标通知书后，在中标通知书规定的期限内与你方签订合同；</w:t>
      </w:r>
    </w:p>
    <w:p w14:paraId="2E725D3C">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（2）在签订合同时不向你方提出附加条件；</w:t>
      </w:r>
    </w:p>
    <w:p w14:paraId="15C85087">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（3）按照招标文件要求提交履约保证金；</w:t>
      </w:r>
    </w:p>
    <w:p w14:paraId="40AB8E89">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（4）在合同约定的期限内完成合同规定的全部义务。</w:t>
      </w:r>
    </w:p>
    <w:p w14:paraId="11DCD4D0">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5．我方在此声明，所递交的投标文件及有关资料内容完整、真实和准确，且不存在第二章 “投标人须知”第 1.4.3 项规定的任何一种情形。</w:t>
      </w:r>
    </w:p>
    <w:p w14:paraId="76E6A146">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6．</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lang w:val="en-US" w:eastAsia="zh-CN" w:bidi="ar-SA"/>
        </w:rPr>
        <w:t>（其他补充说明）。</w:t>
      </w:r>
    </w:p>
    <w:p w14:paraId="6F2D9D4F">
      <w:pPr>
        <w:pStyle w:val="12"/>
        <w:tabs>
          <w:tab w:val="left" w:pos="7241"/>
        </w:tabs>
        <w:kinsoku w:val="0"/>
        <w:overflowPunct w:val="0"/>
        <w:spacing w:before="36" w:line="360" w:lineRule="auto"/>
        <w:ind w:left="2621" w:right="113" w:firstLine="1260" w:firstLineChars="600"/>
        <w:rPr>
          <w:rFonts w:hint="default"/>
          <w:color w:val="auto"/>
          <w:sz w:val="21"/>
          <w:szCs w:val="24"/>
          <w:highlight w:val="none"/>
        </w:rPr>
      </w:pPr>
    </w:p>
    <w:p w14:paraId="4F89CE0A">
      <w:pPr>
        <w:pStyle w:val="12"/>
        <w:tabs>
          <w:tab w:val="left" w:pos="7241"/>
        </w:tabs>
        <w:kinsoku w:val="0"/>
        <w:overflowPunct w:val="0"/>
        <w:spacing w:before="36" w:line="360" w:lineRule="auto"/>
        <w:ind w:left="2621" w:right="113" w:firstLine="1260" w:firstLineChars="600"/>
        <w:rPr>
          <w:rFonts w:hint="default"/>
          <w:color w:val="auto"/>
          <w:sz w:val="21"/>
          <w:szCs w:val="24"/>
          <w:highlight w:val="none"/>
        </w:rPr>
      </w:pPr>
      <w:r>
        <w:rPr>
          <w:rFonts w:hint="default"/>
          <w:color w:val="auto"/>
          <w:sz w:val="21"/>
          <w:szCs w:val="24"/>
          <w:highlight w:val="none"/>
        </w:rPr>
        <w:t>投 标</w:t>
      </w:r>
      <w:r>
        <w:rPr>
          <w:rFonts w:hint="default"/>
          <w:color w:val="auto"/>
          <w:spacing w:val="-1"/>
          <w:sz w:val="21"/>
          <w:szCs w:val="24"/>
          <w:highlight w:val="none"/>
        </w:rPr>
        <w:t xml:space="preserve"> </w:t>
      </w:r>
      <w:r>
        <w:rPr>
          <w:rFonts w:hint="default"/>
          <w:color w:val="auto"/>
          <w:sz w:val="21"/>
          <w:szCs w:val="24"/>
          <w:highlight w:val="none"/>
        </w:rPr>
        <w:t>人：</w:t>
      </w:r>
      <w:r>
        <w:rPr>
          <w:rFonts w:hint="default"/>
          <w:color w:val="auto"/>
          <w:sz w:val="21"/>
          <w:szCs w:val="24"/>
          <w:highlight w:val="none"/>
          <w:u w:val="single"/>
          <w:lang w:val="en-US" w:eastAsia="zh-CN"/>
        </w:rPr>
        <w:t xml:space="preserve">                 </w:t>
      </w:r>
      <w:r>
        <w:rPr>
          <w:rFonts w:hint="default" w:hAnsi="Times New Roman"/>
          <w:color w:val="auto"/>
          <w:sz w:val="21"/>
          <w:szCs w:val="24"/>
          <w:highlight w:val="none"/>
          <w:u w:val="single"/>
          <w:lang w:val="en-US" w:eastAsia="zh-CN"/>
        </w:rPr>
        <w:t xml:space="preserve">       </w:t>
      </w:r>
      <w:r>
        <w:rPr>
          <w:rFonts w:hint="default"/>
          <w:color w:val="auto"/>
          <w:sz w:val="21"/>
          <w:szCs w:val="24"/>
          <w:highlight w:val="none"/>
        </w:rPr>
        <w:t>（盖单位章）</w:t>
      </w:r>
    </w:p>
    <w:p w14:paraId="2F873405">
      <w:pPr>
        <w:widowControl/>
        <w:kinsoku w:val="0"/>
        <w:snapToGrid w:val="0"/>
        <w:spacing w:line="360" w:lineRule="auto"/>
        <w:ind w:left="3840" w:leftChars="1600" w:right="253"/>
        <w:textAlignment w:val="baseline"/>
        <w:rPr>
          <w:rFonts w:hint="default" w:ascii="宋体" w:hAnsi="宋体" w:eastAsia="宋体" w:cs="宋体"/>
          <w:color w:val="auto"/>
          <w:spacing w:val="-4"/>
          <w:sz w:val="21"/>
          <w:szCs w:val="21"/>
          <w:highlight w:val="none"/>
        </w:rPr>
      </w:pPr>
      <w:r>
        <w:rPr>
          <w:rFonts w:hint="default" w:ascii="宋体" w:hAnsi="宋体" w:eastAsia="宋体" w:cs="宋体"/>
          <w:color w:val="auto"/>
          <w:spacing w:val="-8"/>
          <w:sz w:val="21"/>
          <w:szCs w:val="21"/>
          <w:highlight w:val="none"/>
        </w:rPr>
        <w:t>法定</w:t>
      </w:r>
      <w:r>
        <w:rPr>
          <w:rFonts w:hint="default" w:ascii="宋体" w:hAnsi="宋体" w:eastAsia="宋体" w:cs="宋体"/>
          <w:color w:val="auto"/>
          <w:spacing w:val="-4"/>
          <w:sz w:val="21"/>
          <w:szCs w:val="21"/>
          <w:highlight w:val="none"/>
        </w:rPr>
        <w:t>代表人</w:t>
      </w:r>
      <w:r>
        <w:rPr>
          <w:rFonts w:hint="default" w:ascii="宋体" w:hAnsi="宋体" w:eastAsia="宋体" w:cs="宋体"/>
          <w:color w:val="auto"/>
          <w:spacing w:val="-4"/>
          <w:sz w:val="21"/>
          <w:szCs w:val="21"/>
          <w:highlight w:val="none"/>
          <w:lang w:eastAsia="zh-CN"/>
        </w:rPr>
        <w:t>：</w:t>
      </w:r>
      <w:r>
        <w:rPr>
          <w:rFonts w:hint="default" w:ascii="宋体" w:hAnsi="宋体" w:eastAsia="宋体" w:cs="宋体"/>
          <w:color w:val="auto"/>
          <w:spacing w:val="-4"/>
          <w:sz w:val="21"/>
          <w:szCs w:val="21"/>
          <w:highlight w:val="none"/>
          <w:u w:val="single" w:color="auto"/>
        </w:rPr>
        <w:t xml:space="preserve">            </w:t>
      </w:r>
      <w:r>
        <w:rPr>
          <w:rFonts w:hint="default" w:ascii="宋体" w:hAnsi="宋体" w:eastAsia="宋体" w:cs="宋体"/>
          <w:color w:val="auto"/>
          <w:spacing w:val="-4"/>
          <w:sz w:val="21"/>
          <w:szCs w:val="21"/>
          <w:highlight w:val="none"/>
        </w:rPr>
        <w:t>(签字</w:t>
      </w:r>
      <w:r>
        <w:rPr>
          <w:rFonts w:hint="default" w:ascii="宋体" w:hAnsi="宋体" w:eastAsia="宋体" w:cs="宋体"/>
          <w:color w:val="auto"/>
          <w:spacing w:val="-4"/>
          <w:sz w:val="21"/>
          <w:szCs w:val="21"/>
          <w:highlight w:val="none"/>
          <w:lang w:eastAsia="zh-CN"/>
        </w:rPr>
        <w:t>或盖章</w:t>
      </w:r>
      <w:r>
        <w:rPr>
          <w:rFonts w:hint="default" w:ascii="宋体" w:hAnsi="宋体" w:eastAsia="宋体" w:cs="宋体"/>
          <w:color w:val="auto"/>
          <w:spacing w:val="-4"/>
          <w:sz w:val="21"/>
          <w:szCs w:val="21"/>
          <w:highlight w:val="none"/>
        </w:rPr>
        <w:t>)</w:t>
      </w:r>
    </w:p>
    <w:p w14:paraId="7656E85C">
      <w:pPr>
        <w:widowControl/>
        <w:kinsoku w:val="0"/>
        <w:snapToGrid w:val="0"/>
        <w:spacing w:line="360" w:lineRule="auto"/>
        <w:ind w:left="3840" w:leftChars="1600" w:right="253"/>
        <w:textAlignment w:val="baseline"/>
        <w:rPr>
          <w:rFonts w:hint="default" w:ascii="宋体" w:hAnsi="宋体" w:eastAsia="宋体" w:cs="宋体"/>
          <w:color w:val="auto"/>
          <w:spacing w:val="-4"/>
          <w:sz w:val="21"/>
          <w:szCs w:val="21"/>
          <w:highlight w:val="none"/>
        </w:rPr>
      </w:pPr>
      <w:r>
        <w:rPr>
          <w:rFonts w:hint="default" w:ascii="宋体" w:hAnsi="宋体" w:eastAsia="宋体" w:cs="宋体"/>
          <w:color w:val="auto"/>
          <w:spacing w:val="-4"/>
          <w:sz w:val="21"/>
          <w:szCs w:val="21"/>
          <w:highlight w:val="none"/>
        </w:rPr>
        <w:t>委托代理人：</w:t>
      </w:r>
      <w:r>
        <w:rPr>
          <w:rFonts w:hint="default" w:ascii="宋体" w:hAnsi="宋体" w:eastAsia="宋体" w:cs="宋体"/>
          <w:color w:val="auto"/>
          <w:spacing w:val="-4"/>
          <w:sz w:val="21"/>
          <w:szCs w:val="21"/>
          <w:highlight w:val="none"/>
          <w:u w:val="single" w:color="auto"/>
        </w:rPr>
        <w:t xml:space="preserve">            </w:t>
      </w:r>
      <w:r>
        <w:rPr>
          <w:rFonts w:hint="default" w:ascii="宋体" w:hAnsi="宋体" w:eastAsia="宋体" w:cs="宋体"/>
          <w:color w:val="auto"/>
          <w:spacing w:val="-4"/>
          <w:sz w:val="21"/>
          <w:szCs w:val="21"/>
          <w:highlight w:val="none"/>
        </w:rPr>
        <w:t>(签字)</w:t>
      </w:r>
    </w:p>
    <w:p w14:paraId="5BCF0310">
      <w:pPr>
        <w:pStyle w:val="34"/>
        <w:widowControl/>
        <w:kinsoku w:val="0"/>
        <w:snapToGrid w:val="0"/>
        <w:spacing w:line="360" w:lineRule="auto"/>
        <w:ind w:left="3840" w:leftChars="1600"/>
        <w:jc w:val="left"/>
        <w:textAlignment w:val="baseline"/>
        <w:rPr>
          <w:rFonts w:hint="default" w:ascii="宋体" w:hAnsi="宋体" w:eastAsia="宋体" w:cs="宋体"/>
          <w:b w:val="0"/>
          <w:snapToGrid w:val="0"/>
          <w:color w:val="auto"/>
          <w:spacing w:val="-4"/>
          <w:sz w:val="21"/>
          <w:szCs w:val="21"/>
          <w:highlight w:val="none"/>
          <w:lang w:eastAsia="zh-CN"/>
        </w:rPr>
      </w:pPr>
      <w:r>
        <w:rPr>
          <w:rFonts w:hint="default" w:ascii="宋体" w:hAnsi="宋体" w:eastAsia="宋体" w:cs="宋体"/>
          <w:b w:val="0"/>
          <w:snapToGrid w:val="0"/>
          <w:color w:val="auto"/>
          <w:spacing w:val="-4"/>
          <w:sz w:val="21"/>
          <w:szCs w:val="21"/>
          <w:highlight w:val="none"/>
          <w:lang w:eastAsia="zh-CN"/>
        </w:rPr>
        <w:t>项目负责人</w:t>
      </w:r>
      <w:r>
        <w:rPr>
          <w:rFonts w:hint="eastAsia" w:ascii="宋体" w:hAnsi="宋体" w:cs="宋体"/>
          <w:b w:val="0"/>
          <w:snapToGrid w:val="0"/>
          <w:color w:val="auto"/>
          <w:spacing w:val="-4"/>
          <w:sz w:val="21"/>
          <w:szCs w:val="21"/>
          <w:highlight w:val="none"/>
          <w:lang w:eastAsia="zh-CN"/>
        </w:rPr>
        <w:t>（总监理工程师）</w:t>
      </w:r>
      <w:r>
        <w:rPr>
          <w:rFonts w:hint="default" w:ascii="宋体" w:hAnsi="宋体" w:eastAsia="宋体" w:cs="宋体"/>
          <w:b w:val="0"/>
          <w:snapToGrid w:val="0"/>
          <w:color w:val="auto"/>
          <w:spacing w:val="-4"/>
          <w:sz w:val="21"/>
          <w:szCs w:val="21"/>
          <w:highlight w:val="none"/>
          <w:lang w:eastAsia="zh-CN"/>
        </w:rPr>
        <w:t>：</w:t>
      </w:r>
      <w:r>
        <w:rPr>
          <w:rFonts w:hint="default" w:ascii="宋体" w:hAnsi="宋体" w:eastAsia="宋体" w:cs="宋体"/>
          <w:color w:val="auto"/>
          <w:spacing w:val="-4"/>
          <w:sz w:val="21"/>
          <w:szCs w:val="21"/>
          <w:highlight w:val="none"/>
          <w:u w:val="single" w:color="auto"/>
        </w:rPr>
        <w:t xml:space="preserve">         </w:t>
      </w:r>
      <w:r>
        <w:rPr>
          <w:rFonts w:hint="default" w:ascii="宋体" w:hAnsi="宋体" w:eastAsia="宋体" w:cs="宋体"/>
          <w:color w:val="auto"/>
          <w:spacing w:val="-4"/>
          <w:sz w:val="21"/>
          <w:szCs w:val="21"/>
          <w:highlight w:val="none"/>
          <w:u w:val="single" w:color="auto"/>
          <w:lang w:val="en-US" w:eastAsia="zh-CN"/>
        </w:rPr>
        <w:t xml:space="preserve"> </w:t>
      </w:r>
      <w:r>
        <w:rPr>
          <w:rFonts w:hint="default" w:ascii="宋体" w:hAnsi="宋体" w:eastAsia="宋体" w:cs="宋体"/>
          <w:color w:val="auto"/>
          <w:spacing w:val="-4"/>
          <w:sz w:val="21"/>
          <w:szCs w:val="21"/>
          <w:highlight w:val="none"/>
          <w:u w:val="single" w:color="auto"/>
        </w:rPr>
        <w:t xml:space="preserve">  </w:t>
      </w:r>
      <w:r>
        <w:rPr>
          <w:rFonts w:hint="default" w:ascii="宋体" w:hAnsi="宋体" w:eastAsia="宋体" w:cs="宋体"/>
          <w:b w:val="0"/>
          <w:color w:val="auto"/>
          <w:spacing w:val="-4"/>
          <w:sz w:val="21"/>
          <w:szCs w:val="21"/>
          <w:highlight w:val="none"/>
        </w:rPr>
        <w:t>(签字)</w:t>
      </w:r>
    </w:p>
    <w:p w14:paraId="7CB7A181">
      <w:pPr>
        <w:pStyle w:val="12"/>
        <w:tabs>
          <w:tab w:val="left" w:pos="3232"/>
          <w:tab w:val="left" w:pos="8529"/>
        </w:tabs>
        <w:kinsoku w:val="0"/>
        <w:overflowPunct w:val="0"/>
        <w:spacing w:before="36" w:line="360" w:lineRule="auto"/>
        <w:ind w:left="2601" w:firstLine="1260" w:firstLineChars="600"/>
        <w:rPr>
          <w:rFonts w:hint="eastAsia" w:ascii="Times New Roman" w:hAnsi="Times New Roman" w:eastAsia="Times New Roman"/>
          <w:color w:val="auto"/>
          <w:sz w:val="21"/>
          <w:szCs w:val="24"/>
          <w:highlight w:val="none"/>
          <w:lang w:val="en-US" w:eastAsia="zh-CN"/>
        </w:rPr>
      </w:pPr>
      <w:r>
        <w:rPr>
          <w:rFonts w:hint="default"/>
          <w:color w:val="auto"/>
          <w:sz w:val="21"/>
          <w:szCs w:val="24"/>
          <w:highlight w:val="none"/>
        </w:rPr>
        <w:t>地</w:t>
      </w:r>
      <w:r>
        <w:rPr>
          <w:rFonts w:hint="default"/>
          <w:color w:val="auto"/>
          <w:sz w:val="21"/>
          <w:szCs w:val="24"/>
          <w:highlight w:val="none"/>
          <w:lang w:val="en-US" w:eastAsia="zh-CN"/>
        </w:rPr>
        <w:t xml:space="preserve">    </w:t>
      </w:r>
      <w:r>
        <w:rPr>
          <w:rFonts w:hint="default"/>
          <w:color w:val="auto"/>
          <w:sz w:val="21"/>
          <w:szCs w:val="24"/>
          <w:highlight w:val="none"/>
        </w:rPr>
        <w:t>址：</w:t>
      </w:r>
      <w:r>
        <w:rPr>
          <w:rFonts w:hint="eastAsia" w:ascii="Times New Roman" w:hAnsi="Times New Roman" w:eastAsia="Times New Roman"/>
          <w:color w:val="auto"/>
          <w:sz w:val="21"/>
          <w:szCs w:val="24"/>
          <w:highlight w:val="none"/>
          <w:u w:val="single"/>
        </w:rPr>
        <w:t xml:space="preserve"> </w:t>
      </w:r>
      <w:r>
        <w:rPr>
          <w:rFonts w:hint="default" w:hAnsi="Times New Roman"/>
          <w:color w:val="auto"/>
          <w:sz w:val="21"/>
          <w:szCs w:val="24"/>
          <w:highlight w:val="none"/>
          <w:u w:val="single"/>
          <w:lang w:val="en-US" w:eastAsia="zh-CN"/>
        </w:rPr>
        <w:t xml:space="preserve">                                                  </w:t>
      </w:r>
    </w:p>
    <w:p w14:paraId="6C28CD65">
      <w:pPr>
        <w:pStyle w:val="12"/>
        <w:tabs>
          <w:tab w:val="left" w:pos="3232"/>
          <w:tab w:val="left" w:pos="8529"/>
        </w:tabs>
        <w:kinsoku w:val="0"/>
        <w:overflowPunct w:val="0"/>
        <w:spacing w:before="36" w:line="360" w:lineRule="auto"/>
        <w:ind w:firstLine="3360" w:firstLineChars="1600"/>
        <w:rPr>
          <w:rFonts w:hint="eastAsia" w:ascii="Times New Roman" w:hAnsi="Times New Roman" w:eastAsia="Times New Roman"/>
          <w:color w:val="auto"/>
          <w:sz w:val="21"/>
          <w:szCs w:val="24"/>
          <w:highlight w:val="none"/>
          <w:lang w:val="en-US" w:eastAsia="zh-CN"/>
        </w:rPr>
      </w:pPr>
      <w:r>
        <w:rPr>
          <w:rFonts w:hint="default"/>
          <w:color w:val="auto"/>
          <w:sz w:val="21"/>
          <w:szCs w:val="24"/>
          <w:highlight w:val="none"/>
        </w:rPr>
        <w:t>网</w:t>
      </w:r>
      <w:r>
        <w:rPr>
          <w:rFonts w:hint="default"/>
          <w:color w:val="auto"/>
          <w:sz w:val="21"/>
          <w:szCs w:val="24"/>
          <w:highlight w:val="none"/>
          <w:lang w:val="en-US" w:eastAsia="zh-CN"/>
        </w:rPr>
        <w:t xml:space="preserve">    </w:t>
      </w:r>
      <w:r>
        <w:rPr>
          <w:rFonts w:hint="default"/>
          <w:color w:val="auto"/>
          <w:sz w:val="21"/>
          <w:szCs w:val="24"/>
          <w:highlight w:val="none"/>
        </w:rPr>
        <w:t>址：</w:t>
      </w:r>
      <w:r>
        <w:rPr>
          <w:rFonts w:hint="eastAsia" w:ascii="Times New Roman" w:hAnsi="Times New Roman" w:eastAsia="Times New Roman"/>
          <w:color w:val="auto"/>
          <w:sz w:val="21"/>
          <w:szCs w:val="24"/>
          <w:highlight w:val="none"/>
          <w:u w:val="single"/>
        </w:rPr>
        <w:t xml:space="preserve"> </w:t>
      </w:r>
      <w:r>
        <w:rPr>
          <w:rFonts w:hint="default" w:hAnsi="Times New Roman"/>
          <w:color w:val="auto"/>
          <w:sz w:val="21"/>
          <w:szCs w:val="24"/>
          <w:highlight w:val="none"/>
          <w:u w:val="single"/>
          <w:lang w:val="en-US" w:eastAsia="zh-CN"/>
        </w:rPr>
        <w:t xml:space="preserve">                                                   </w:t>
      </w:r>
    </w:p>
    <w:p w14:paraId="0A94C764">
      <w:pPr>
        <w:pStyle w:val="12"/>
        <w:tabs>
          <w:tab w:val="left" w:pos="3232"/>
          <w:tab w:val="left" w:pos="8529"/>
        </w:tabs>
        <w:kinsoku w:val="0"/>
        <w:overflowPunct w:val="0"/>
        <w:spacing w:before="36" w:line="360" w:lineRule="auto"/>
        <w:ind w:firstLine="3360" w:firstLineChars="1600"/>
        <w:rPr>
          <w:rFonts w:hint="eastAsia" w:ascii="Times New Roman" w:hAnsi="Times New Roman" w:eastAsia="Times New Roman"/>
          <w:color w:val="auto"/>
          <w:sz w:val="21"/>
          <w:szCs w:val="24"/>
          <w:highlight w:val="none"/>
          <w:u w:val="single"/>
          <w:lang w:val="en-US" w:eastAsia="zh-CN"/>
        </w:rPr>
      </w:pPr>
      <w:r>
        <w:rPr>
          <w:rFonts w:hint="default"/>
          <w:color w:val="auto"/>
          <w:sz w:val="21"/>
          <w:szCs w:val="24"/>
          <w:highlight w:val="none"/>
        </w:rPr>
        <w:t>电</w:t>
      </w:r>
      <w:r>
        <w:rPr>
          <w:rFonts w:hint="default"/>
          <w:color w:val="auto"/>
          <w:sz w:val="21"/>
          <w:szCs w:val="24"/>
          <w:highlight w:val="none"/>
          <w:lang w:val="en-US" w:eastAsia="zh-CN"/>
        </w:rPr>
        <w:t xml:space="preserve">    </w:t>
      </w:r>
      <w:r>
        <w:rPr>
          <w:rFonts w:hint="default"/>
          <w:color w:val="auto"/>
          <w:sz w:val="21"/>
          <w:szCs w:val="24"/>
          <w:highlight w:val="none"/>
        </w:rPr>
        <w:t>话：</w:t>
      </w:r>
      <w:r>
        <w:rPr>
          <w:rFonts w:hint="default"/>
          <w:color w:val="auto"/>
          <w:sz w:val="21"/>
          <w:szCs w:val="24"/>
          <w:highlight w:val="none"/>
          <w:u w:val="single"/>
          <w:lang w:val="en-US" w:eastAsia="zh-CN"/>
        </w:rPr>
        <w:t xml:space="preserve">                          </w:t>
      </w:r>
    </w:p>
    <w:p w14:paraId="09EA8F80">
      <w:pPr>
        <w:pStyle w:val="12"/>
        <w:tabs>
          <w:tab w:val="left" w:pos="3232"/>
          <w:tab w:val="left" w:pos="8529"/>
        </w:tabs>
        <w:kinsoku w:val="0"/>
        <w:overflowPunct w:val="0"/>
        <w:spacing w:before="36" w:line="360" w:lineRule="auto"/>
        <w:ind w:firstLine="3360" w:firstLineChars="1600"/>
        <w:rPr>
          <w:rFonts w:hint="eastAsia" w:ascii="Times New Roman" w:hAnsi="Times New Roman" w:eastAsia="Times New Roman"/>
          <w:color w:val="auto"/>
          <w:sz w:val="21"/>
          <w:szCs w:val="24"/>
          <w:highlight w:val="none"/>
          <w:u w:val="single"/>
          <w:lang w:val="en-US" w:eastAsia="zh-CN"/>
        </w:rPr>
      </w:pPr>
      <w:r>
        <w:rPr>
          <w:rFonts w:hint="default"/>
          <w:color w:val="auto"/>
          <w:sz w:val="21"/>
          <w:szCs w:val="24"/>
          <w:highlight w:val="none"/>
        </w:rPr>
        <w:t>传</w:t>
      </w:r>
      <w:r>
        <w:rPr>
          <w:rFonts w:hint="default"/>
          <w:color w:val="auto"/>
          <w:sz w:val="21"/>
          <w:szCs w:val="24"/>
          <w:highlight w:val="none"/>
          <w:lang w:val="en-US" w:eastAsia="zh-CN"/>
        </w:rPr>
        <w:t xml:space="preserve">    </w:t>
      </w:r>
      <w:r>
        <w:rPr>
          <w:rFonts w:hint="default"/>
          <w:color w:val="auto"/>
          <w:sz w:val="21"/>
          <w:szCs w:val="24"/>
          <w:highlight w:val="none"/>
        </w:rPr>
        <w:t>真：</w:t>
      </w:r>
      <w:r>
        <w:rPr>
          <w:rFonts w:hint="default"/>
          <w:color w:val="auto"/>
          <w:sz w:val="21"/>
          <w:szCs w:val="24"/>
          <w:highlight w:val="none"/>
          <w:u w:val="single"/>
          <w:lang w:val="en-US" w:eastAsia="zh-CN"/>
        </w:rPr>
        <w:t xml:space="preserve">                          </w:t>
      </w:r>
    </w:p>
    <w:p w14:paraId="42A823E8">
      <w:pPr>
        <w:pStyle w:val="12"/>
        <w:tabs>
          <w:tab w:val="left" w:pos="8529"/>
        </w:tabs>
        <w:kinsoku w:val="0"/>
        <w:overflowPunct w:val="0"/>
        <w:spacing w:before="36" w:line="360" w:lineRule="auto"/>
        <w:ind w:left="2601" w:firstLine="1260" w:firstLineChars="600"/>
        <w:rPr>
          <w:rFonts w:hint="eastAsia" w:ascii="Times New Roman" w:hAnsi="Times New Roman" w:eastAsia="Times New Roman"/>
          <w:color w:val="auto"/>
          <w:sz w:val="21"/>
          <w:szCs w:val="24"/>
          <w:highlight w:val="none"/>
          <w:u w:val="single"/>
          <w:lang w:val="en-US" w:eastAsia="zh-CN"/>
        </w:rPr>
      </w:pPr>
      <w:r>
        <w:rPr>
          <w:rFonts w:hint="default"/>
          <w:color w:val="auto"/>
          <w:sz w:val="21"/>
          <w:szCs w:val="24"/>
          <w:highlight w:val="none"/>
        </w:rPr>
        <w:t>邮政编码：</w:t>
      </w:r>
      <w:r>
        <w:rPr>
          <w:rFonts w:hint="eastAsia" w:ascii="Times New Roman" w:hAnsi="Times New Roman" w:eastAsia="Times New Roman"/>
          <w:color w:val="auto"/>
          <w:sz w:val="21"/>
          <w:szCs w:val="24"/>
          <w:highlight w:val="none"/>
          <w:u w:val="single"/>
        </w:rPr>
        <w:t xml:space="preserve"> </w:t>
      </w:r>
      <w:r>
        <w:rPr>
          <w:rFonts w:hint="default" w:hAnsi="Times New Roman"/>
          <w:color w:val="auto"/>
          <w:sz w:val="21"/>
          <w:szCs w:val="24"/>
          <w:highlight w:val="none"/>
          <w:u w:val="single"/>
          <w:lang w:val="en-US" w:eastAsia="zh-CN"/>
        </w:rPr>
        <w:t xml:space="preserve">                                                   </w:t>
      </w:r>
    </w:p>
    <w:p w14:paraId="17C069DE">
      <w:pPr>
        <w:pStyle w:val="12"/>
        <w:tabs>
          <w:tab w:val="left" w:pos="8529"/>
        </w:tabs>
        <w:kinsoku w:val="0"/>
        <w:overflowPunct w:val="0"/>
        <w:spacing w:before="36" w:line="360" w:lineRule="auto"/>
        <w:ind w:left="2601"/>
        <w:rPr>
          <w:rFonts w:hint="eastAsia" w:ascii="Times New Roman" w:hAnsi="Times New Roman" w:eastAsia="Times New Roman"/>
          <w:color w:val="auto"/>
          <w:sz w:val="21"/>
          <w:szCs w:val="24"/>
          <w:highlight w:val="none"/>
          <w:u w:val="single"/>
          <w:lang w:val="en-US" w:eastAsia="zh-CN"/>
        </w:rPr>
      </w:pPr>
      <w:r>
        <w:rPr>
          <w:rFonts w:hint="default" w:hAnsi="Times New Roman"/>
          <w:color w:val="auto"/>
          <w:sz w:val="21"/>
          <w:szCs w:val="24"/>
          <w:highlight w:val="none"/>
          <w:lang w:val="en-US" w:eastAsia="zh-CN"/>
        </w:rPr>
        <w:t xml:space="preserve">                  </w:t>
      </w:r>
      <w:r>
        <w:rPr>
          <w:rFonts w:hint="default" w:hAnsi="Times New Roman"/>
          <w:color w:val="auto"/>
          <w:sz w:val="21"/>
          <w:szCs w:val="24"/>
          <w:highlight w:val="none"/>
          <w:u w:val="single"/>
          <w:lang w:val="en-US" w:eastAsia="zh-CN"/>
        </w:rPr>
        <w:t xml:space="preserve">       </w:t>
      </w:r>
      <w:r>
        <w:rPr>
          <w:rFonts w:hint="default" w:hAnsi="Times New Roman"/>
          <w:color w:val="auto"/>
          <w:sz w:val="21"/>
          <w:szCs w:val="24"/>
          <w:highlight w:val="none"/>
          <w:lang w:val="en-US" w:eastAsia="zh-CN"/>
        </w:rPr>
        <w:t>年</w:t>
      </w:r>
      <w:r>
        <w:rPr>
          <w:rFonts w:hint="default" w:hAnsi="Times New Roman"/>
          <w:color w:val="auto"/>
          <w:sz w:val="21"/>
          <w:szCs w:val="24"/>
          <w:highlight w:val="none"/>
          <w:u w:val="single"/>
          <w:lang w:val="en-US" w:eastAsia="zh-CN"/>
        </w:rPr>
        <w:t xml:space="preserve">       </w:t>
      </w:r>
      <w:r>
        <w:rPr>
          <w:rFonts w:hint="default" w:hAnsi="Times New Roman"/>
          <w:color w:val="auto"/>
          <w:sz w:val="21"/>
          <w:szCs w:val="24"/>
          <w:highlight w:val="none"/>
          <w:lang w:val="en-US" w:eastAsia="zh-CN"/>
        </w:rPr>
        <w:t>月</w:t>
      </w:r>
      <w:r>
        <w:rPr>
          <w:rFonts w:hint="default" w:hAnsi="Times New Roman"/>
          <w:color w:val="auto"/>
          <w:sz w:val="21"/>
          <w:szCs w:val="24"/>
          <w:highlight w:val="none"/>
          <w:u w:val="single"/>
          <w:lang w:val="en-US" w:eastAsia="zh-CN"/>
        </w:rPr>
        <w:t xml:space="preserve">      </w:t>
      </w:r>
      <w:r>
        <w:rPr>
          <w:rFonts w:hint="default" w:hAnsi="Times New Roman"/>
          <w:color w:val="auto"/>
          <w:sz w:val="21"/>
          <w:szCs w:val="24"/>
          <w:highlight w:val="none"/>
          <w:lang w:val="en-US" w:eastAsia="zh-CN"/>
        </w:rPr>
        <w:t>日</w:t>
      </w:r>
    </w:p>
    <w:p w14:paraId="5DB72A5F">
      <w:pPr>
        <w:pStyle w:val="12"/>
        <w:tabs>
          <w:tab w:val="left" w:pos="631"/>
          <w:tab w:val="left" w:pos="1471"/>
          <w:tab w:val="left" w:pos="2311"/>
        </w:tabs>
        <w:kinsoku w:val="0"/>
        <w:overflowPunct w:val="0"/>
        <w:spacing w:before="36" w:line="360" w:lineRule="auto"/>
        <w:ind w:left="0" w:right="117"/>
        <w:jc w:val="right"/>
        <w:rPr>
          <w:rFonts w:hint="default"/>
          <w:color w:val="auto"/>
          <w:sz w:val="21"/>
          <w:szCs w:val="24"/>
          <w:highlight w:val="none"/>
        </w:rPr>
        <w:sectPr>
          <w:footerReference r:id="rId11" w:type="default"/>
          <w:pgSz w:w="11905" w:h="16838"/>
          <w:pgMar w:top="1417" w:right="1417" w:bottom="1417" w:left="1417" w:header="992" w:footer="992" w:gutter="0"/>
          <w:lnNumType w:countBy="0" w:distance="360"/>
          <w:cols w:space="720" w:num="1"/>
        </w:sectPr>
      </w:pPr>
    </w:p>
    <w:p w14:paraId="175358B2">
      <w:pPr>
        <w:pStyle w:val="6"/>
        <w:outlineLvl w:val="2"/>
        <w:rPr>
          <w:rFonts w:hint="default"/>
          <w:b/>
          <w:color w:val="auto"/>
          <w:sz w:val="28"/>
          <w:szCs w:val="24"/>
          <w:highlight w:val="none"/>
        </w:rPr>
      </w:pPr>
      <w:r>
        <w:rPr>
          <w:rFonts w:hint="default"/>
          <w:b/>
          <w:color w:val="auto"/>
          <w:sz w:val="28"/>
          <w:szCs w:val="24"/>
          <w:highlight w:val="none"/>
        </w:rPr>
        <w:t>（二）投标函附录</w:t>
      </w:r>
    </w:p>
    <w:p w14:paraId="6B4AF655">
      <w:pPr>
        <w:pStyle w:val="12"/>
        <w:kinsoku w:val="0"/>
        <w:overflowPunct w:val="0"/>
        <w:ind w:left="0"/>
        <w:rPr>
          <w:rFonts w:hint="default"/>
          <w:color w:val="auto"/>
          <w:sz w:val="20"/>
          <w:szCs w:val="24"/>
          <w:highlight w:val="none"/>
        </w:rPr>
      </w:pPr>
    </w:p>
    <w:p w14:paraId="64D67232">
      <w:pPr>
        <w:pStyle w:val="12"/>
        <w:kinsoku w:val="0"/>
        <w:overflowPunct w:val="0"/>
        <w:spacing w:before="11"/>
        <w:ind w:left="0"/>
        <w:rPr>
          <w:rFonts w:hint="default"/>
          <w:color w:val="auto"/>
          <w:sz w:val="22"/>
          <w:szCs w:val="24"/>
          <w:highlight w:val="none"/>
        </w:rPr>
      </w:pPr>
    </w:p>
    <w:tbl>
      <w:tblPr>
        <w:tblStyle w:val="22"/>
        <w:tblW w:w="9033"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28"/>
        <w:gridCol w:w="5505"/>
      </w:tblGrid>
      <w:tr w14:paraId="248C4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41EFDF30">
            <w:pPr>
              <w:pStyle w:val="29"/>
              <w:kinsoku w:val="0"/>
              <w:overflowPunct w:val="0"/>
              <w:spacing w:before="26"/>
              <w:jc w:val="center"/>
              <w:rPr>
                <w:rFonts w:hint="default" w:ascii="宋体" w:hAnsi="宋体" w:eastAsia="宋体" w:cs="宋体"/>
                <w:color w:val="auto"/>
                <w:sz w:val="21"/>
                <w:szCs w:val="24"/>
                <w:highlight w:val="none"/>
                <w:lang w:eastAsia="zh-CN"/>
              </w:rPr>
            </w:pPr>
            <w:r>
              <w:rPr>
                <w:rFonts w:hint="default" w:ascii="宋体" w:hAnsi="宋体" w:eastAsia="宋体" w:cs="宋体"/>
                <w:color w:val="auto"/>
                <w:sz w:val="21"/>
                <w:szCs w:val="24"/>
                <w:highlight w:val="none"/>
                <w:lang w:eastAsia="zh-CN"/>
              </w:rPr>
              <w:t>项目名称</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2D57F8ED">
            <w:pPr>
              <w:pStyle w:val="29"/>
              <w:kinsoku w:val="0"/>
              <w:overflowPunct w:val="0"/>
              <w:spacing w:before="26"/>
              <w:jc w:val="center"/>
              <w:rPr>
                <w:rFonts w:hint="default" w:ascii="宋体" w:hAnsi="宋体" w:eastAsia="宋体" w:cs="宋体"/>
                <w:b/>
                <w:color w:val="auto"/>
                <w:sz w:val="21"/>
                <w:szCs w:val="21"/>
                <w:highlight w:val="none"/>
              </w:rPr>
            </w:pPr>
          </w:p>
        </w:tc>
      </w:tr>
      <w:tr w14:paraId="12C8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62ABECBA">
            <w:pPr>
              <w:pStyle w:val="29"/>
              <w:kinsoku w:val="0"/>
              <w:overflowPunct w:val="0"/>
              <w:spacing w:before="26"/>
              <w:jc w:val="center"/>
              <w:rPr>
                <w:rFonts w:hint="default" w:ascii="宋体" w:hAnsi="宋体" w:eastAsia="宋体" w:cs="宋体"/>
                <w:color w:val="auto"/>
                <w:sz w:val="21"/>
                <w:szCs w:val="24"/>
                <w:highlight w:val="none"/>
                <w:lang w:eastAsia="zh-CN"/>
              </w:rPr>
            </w:pPr>
            <w:r>
              <w:rPr>
                <w:rFonts w:hint="default" w:ascii="宋体" w:hAnsi="宋体" w:eastAsia="宋体" w:cs="宋体"/>
                <w:color w:val="auto"/>
                <w:sz w:val="21"/>
                <w:szCs w:val="24"/>
                <w:highlight w:val="none"/>
                <w:lang w:eastAsia="zh-CN"/>
              </w:rPr>
              <w:t>投标总报价（元）</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128C2129">
            <w:pPr>
              <w:pStyle w:val="29"/>
              <w:kinsoku w:val="0"/>
              <w:overflowPunct w:val="0"/>
              <w:spacing w:before="26"/>
              <w:jc w:val="center"/>
              <w:rPr>
                <w:rFonts w:hint="default" w:ascii="宋体" w:hAnsi="宋体" w:eastAsia="宋体" w:cs="宋体"/>
                <w:b/>
                <w:color w:val="auto"/>
                <w:sz w:val="21"/>
                <w:szCs w:val="21"/>
                <w:highlight w:val="none"/>
              </w:rPr>
            </w:pPr>
          </w:p>
        </w:tc>
      </w:tr>
      <w:tr w14:paraId="711C2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579E13E0">
            <w:pPr>
              <w:pStyle w:val="29"/>
              <w:kinsoku w:val="0"/>
              <w:overflowPunct w:val="0"/>
              <w:spacing w:before="26"/>
              <w:jc w:val="center"/>
              <w:rPr>
                <w:rFonts w:hint="default" w:ascii="宋体" w:hAnsi="宋体" w:eastAsia="宋体" w:cs="宋体"/>
                <w:color w:val="auto"/>
                <w:sz w:val="21"/>
                <w:szCs w:val="24"/>
                <w:highlight w:val="none"/>
                <w:lang w:eastAsia="zh-CN"/>
              </w:rPr>
            </w:pPr>
            <w:r>
              <w:rPr>
                <w:rFonts w:hint="eastAsia" w:ascii="宋体" w:hAnsi="宋体" w:cs="宋体"/>
                <w:color w:val="auto"/>
                <w:sz w:val="21"/>
                <w:szCs w:val="21"/>
                <w:highlight w:val="none"/>
              </w:rPr>
              <w:t>厂区部分监理服务投标报价</w:t>
            </w:r>
            <w:r>
              <w:rPr>
                <w:rFonts w:hint="default" w:ascii="宋体" w:hAnsi="宋体" w:eastAsia="宋体" w:cs="宋体"/>
                <w:color w:val="auto"/>
                <w:sz w:val="21"/>
                <w:szCs w:val="24"/>
                <w:highlight w:val="none"/>
                <w:lang w:eastAsia="zh-CN"/>
              </w:rPr>
              <w:t>（元）</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16876759">
            <w:pPr>
              <w:pStyle w:val="29"/>
              <w:kinsoku w:val="0"/>
              <w:overflowPunct w:val="0"/>
              <w:spacing w:before="26"/>
              <w:jc w:val="center"/>
              <w:rPr>
                <w:rFonts w:hint="default" w:ascii="宋体" w:hAnsi="宋体" w:eastAsia="宋体" w:cs="宋体"/>
                <w:b/>
                <w:color w:val="auto"/>
                <w:sz w:val="21"/>
                <w:szCs w:val="21"/>
                <w:highlight w:val="none"/>
                <w:lang w:val="en-US" w:eastAsia="zh-CN"/>
              </w:rPr>
            </w:pPr>
          </w:p>
        </w:tc>
      </w:tr>
      <w:tr w14:paraId="5E5D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64AE15DD">
            <w:pPr>
              <w:pStyle w:val="29"/>
              <w:kinsoku w:val="0"/>
              <w:overflowPunct w:val="0"/>
              <w:spacing w:before="107"/>
              <w:jc w:val="center"/>
              <w:rPr>
                <w:rFonts w:hint="default"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管网</w:t>
            </w:r>
            <w:r>
              <w:rPr>
                <w:rFonts w:hint="eastAsia" w:ascii="宋体" w:hAnsi="宋体" w:cs="宋体"/>
                <w:color w:val="auto"/>
                <w:sz w:val="21"/>
                <w:szCs w:val="21"/>
                <w:highlight w:val="none"/>
              </w:rPr>
              <w:t>部分监理服务投标报价</w:t>
            </w:r>
            <w:r>
              <w:rPr>
                <w:rFonts w:hint="default" w:ascii="宋体" w:hAnsi="宋体" w:eastAsia="宋体" w:cs="宋体"/>
                <w:color w:val="auto"/>
                <w:sz w:val="21"/>
                <w:szCs w:val="24"/>
                <w:highlight w:val="none"/>
                <w:lang w:eastAsia="zh-CN"/>
              </w:rPr>
              <w:t>（元）</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32A3955E">
            <w:pPr>
              <w:pStyle w:val="29"/>
              <w:kinsoku w:val="0"/>
              <w:overflowPunct w:val="0"/>
              <w:spacing w:before="95" w:line="360" w:lineRule="auto"/>
              <w:jc w:val="both"/>
              <w:rPr>
                <w:rFonts w:hint="default" w:ascii="宋体" w:hAnsi="宋体" w:eastAsia="宋体" w:cs="宋体"/>
                <w:color w:val="auto"/>
                <w:sz w:val="21"/>
                <w:szCs w:val="21"/>
                <w:highlight w:val="none"/>
              </w:rPr>
            </w:pPr>
          </w:p>
        </w:tc>
      </w:tr>
      <w:tr w14:paraId="3387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26597EBB">
            <w:pPr>
              <w:pStyle w:val="29"/>
              <w:kinsoku w:val="0"/>
              <w:overflowPunct w:val="0"/>
              <w:spacing w:before="107"/>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投标报价下浮率</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00A0504E">
            <w:pPr>
              <w:pStyle w:val="29"/>
              <w:kinsoku w:val="0"/>
              <w:overflowPunct w:val="0"/>
              <w:spacing w:before="95" w:line="360" w:lineRule="auto"/>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p>
          <w:p w14:paraId="60C5E920">
            <w:pPr>
              <w:pStyle w:val="29"/>
              <w:kinsoku w:val="0"/>
              <w:overflowPunct w:val="0"/>
              <w:spacing w:before="95" w:line="360" w:lineRule="auto"/>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（精确小数点后两位，第三位四舍五入） </w:t>
            </w:r>
          </w:p>
        </w:tc>
      </w:tr>
      <w:tr w14:paraId="5F688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06BACB6F">
            <w:pPr>
              <w:pStyle w:val="29"/>
              <w:kinsoku w:val="0"/>
              <w:overflowPunct w:val="0"/>
              <w:spacing w:before="107"/>
              <w:jc w:val="center"/>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总监理工程师</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316162E7">
            <w:pPr>
              <w:spacing w:line="360" w:lineRule="auto"/>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姓名：</w:t>
            </w:r>
            <w:r>
              <w:rPr>
                <w:rFonts w:hint="default" w:ascii="宋体" w:hAnsi="宋体" w:eastAsia="宋体" w:cs="宋体"/>
                <w:color w:val="auto"/>
                <w:sz w:val="21"/>
                <w:szCs w:val="21"/>
                <w:highlight w:val="none"/>
                <w:u w:val="single"/>
              </w:rPr>
              <w:t xml:space="preserve">                       </w:t>
            </w:r>
          </w:p>
          <w:p w14:paraId="4940233A">
            <w:pPr>
              <w:spacing w:line="360" w:lineRule="auto"/>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技术职称：</w:t>
            </w:r>
            <w:r>
              <w:rPr>
                <w:rFonts w:hint="default" w:ascii="宋体" w:hAnsi="宋体" w:eastAsia="宋体" w:cs="宋体"/>
                <w:color w:val="auto"/>
                <w:sz w:val="21"/>
                <w:szCs w:val="21"/>
                <w:highlight w:val="none"/>
                <w:u w:val="single"/>
              </w:rPr>
              <w:t xml:space="preserve">                    </w:t>
            </w:r>
          </w:p>
          <w:p w14:paraId="16F28C0C">
            <w:pPr>
              <w:pStyle w:val="29"/>
              <w:kinsoku w:val="0"/>
              <w:overflowPunct w:val="0"/>
              <w:spacing w:before="95" w:line="360" w:lineRule="auto"/>
              <w:jc w:val="both"/>
              <w:rPr>
                <w:rFonts w:hint="default" w:ascii="宋体" w:hAnsi="宋体" w:eastAsia="宋体" w:cs="宋体"/>
                <w:color w:val="auto"/>
                <w:sz w:val="21"/>
                <w:szCs w:val="21"/>
                <w:highlight w:val="none"/>
                <w:u w:val="single"/>
                <w:lang w:val="en-US" w:eastAsia="zh-CN"/>
              </w:rPr>
            </w:pPr>
            <w:r>
              <w:rPr>
                <w:rFonts w:hint="default" w:ascii="宋体" w:hAnsi="宋体" w:eastAsia="宋体" w:cs="宋体"/>
                <w:color w:val="auto"/>
                <w:sz w:val="21"/>
                <w:szCs w:val="21"/>
                <w:highlight w:val="none"/>
              </w:rPr>
              <w:t>注册证号：</w:t>
            </w:r>
            <w:r>
              <w:rPr>
                <w:rFonts w:hint="default" w:ascii="宋体" w:hAnsi="宋体" w:eastAsia="宋体" w:cs="宋体"/>
                <w:color w:val="auto"/>
                <w:sz w:val="21"/>
                <w:szCs w:val="21"/>
                <w:highlight w:val="none"/>
                <w:u w:val="single"/>
              </w:rPr>
              <w:t xml:space="preserve">                    </w:t>
            </w:r>
          </w:p>
        </w:tc>
      </w:tr>
      <w:tr w14:paraId="37BA0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458E78E5">
            <w:pPr>
              <w:pStyle w:val="29"/>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监理服务期限</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0D556BD1">
            <w:pPr>
              <w:pStyle w:val="29"/>
              <w:tabs>
                <w:tab w:val="left" w:pos="734"/>
              </w:tabs>
              <w:kinsoku w:val="0"/>
              <w:overflowPunct w:val="0"/>
              <w:spacing w:before="93"/>
              <w:ind w:left="103"/>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按招标文件的要求</w:t>
            </w:r>
          </w:p>
        </w:tc>
      </w:tr>
      <w:tr w14:paraId="3F198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72A3449F">
            <w:pPr>
              <w:pStyle w:val="29"/>
              <w:kinsoku w:val="0"/>
              <w:overflowPunct w:val="0"/>
              <w:spacing w:before="107"/>
              <w:jc w:val="center"/>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质量标准</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42C909AB">
            <w:pPr>
              <w:pStyle w:val="29"/>
              <w:tabs>
                <w:tab w:val="left" w:pos="734"/>
              </w:tabs>
              <w:kinsoku w:val="0"/>
              <w:overflowPunct w:val="0"/>
              <w:spacing w:before="93"/>
              <w:ind w:left="103"/>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按招标文件</w:t>
            </w:r>
            <w:r>
              <w:rPr>
                <w:rFonts w:hint="default" w:ascii="宋体" w:hAnsi="宋体" w:eastAsia="宋体" w:cs="宋体"/>
                <w:color w:val="auto"/>
                <w:sz w:val="21"/>
                <w:szCs w:val="21"/>
                <w:highlight w:val="none"/>
                <w:lang w:eastAsia="zh-CN"/>
              </w:rPr>
              <w:t>的</w:t>
            </w:r>
            <w:r>
              <w:rPr>
                <w:rFonts w:hint="default" w:ascii="宋体" w:hAnsi="宋体" w:eastAsia="宋体" w:cs="宋体"/>
                <w:color w:val="auto"/>
                <w:sz w:val="21"/>
                <w:szCs w:val="21"/>
                <w:highlight w:val="none"/>
              </w:rPr>
              <w:t>要求</w:t>
            </w:r>
          </w:p>
        </w:tc>
      </w:tr>
    </w:tbl>
    <w:p w14:paraId="740B42EE">
      <w:pPr>
        <w:pStyle w:val="12"/>
        <w:kinsoku w:val="0"/>
        <w:overflowPunct w:val="0"/>
        <w:ind w:left="0"/>
        <w:rPr>
          <w:rFonts w:hint="eastAsia"/>
          <w:color w:val="auto"/>
          <w:sz w:val="20"/>
          <w:szCs w:val="24"/>
          <w:highlight w:val="none"/>
          <w:lang w:val="en-US" w:eastAsia="zh-CN"/>
        </w:rPr>
      </w:pPr>
    </w:p>
    <w:p w14:paraId="396E29D0">
      <w:pPr>
        <w:pStyle w:val="12"/>
        <w:kinsoku w:val="0"/>
        <w:overflowPunct w:val="0"/>
        <w:ind w:left="0"/>
        <w:rPr>
          <w:rFonts w:hint="eastAsia"/>
          <w:color w:val="auto"/>
          <w:sz w:val="20"/>
          <w:szCs w:val="24"/>
          <w:highlight w:val="none"/>
          <w:lang w:val="en-US" w:eastAsia="zh-CN"/>
        </w:rPr>
      </w:pPr>
      <w:r>
        <w:rPr>
          <w:rFonts w:hint="eastAsia"/>
          <w:color w:val="auto"/>
          <w:sz w:val="20"/>
          <w:szCs w:val="24"/>
          <w:highlight w:val="none"/>
          <w:lang w:val="en-US" w:eastAsia="zh-CN"/>
        </w:rPr>
        <w:t>注：</w:t>
      </w:r>
    </w:p>
    <w:p w14:paraId="50C7A385">
      <w:pPr>
        <w:pStyle w:val="12"/>
        <w:kinsoku w:val="0"/>
        <w:overflowPunct w:val="0"/>
        <w:spacing w:line="360" w:lineRule="auto"/>
        <w:ind w:left="0" w:firstLine="400" w:firstLineChars="200"/>
        <w:rPr>
          <w:rFonts w:hint="default"/>
          <w:color w:val="auto"/>
          <w:sz w:val="20"/>
          <w:highlight w:val="none"/>
          <w:lang w:val="en-US" w:eastAsia="zh-CN"/>
        </w:rPr>
      </w:pPr>
      <w:r>
        <w:rPr>
          <w:rFonts w:hint="default"/>
          <w:color w:val="auto"/>
          <w:sz w:val="20"/>
          <w:highlight w:val="none"/>
          <w:lang w:val="en-US" w:eastAsia="zh-CN"/>
        </w:rPr>
        <w:t>1、投标下浮率以百分比为单位，范围为0%~100%，保留到小数点后2位，投标报价填报保留小数点后2位。</w:t>
      </w:r>
    </w:p>
    <w:p w14:paraId="612F8582">
      <w:pPr>
        <w:pStyle w:val="12"/>
        <w:kinsoku w:val="0"/>
        <w:overflowPunct w:val="0"/>
        <w:spacing w:line="360" w:lineRule="auto"/>
        <w:ind w:left="0" w:firstLine="400" w:firstLineChars="200"/>
        <w:rPr>
          <w:rFonts w:hint="default"/>
          <w:color w:val="auto"/>
          <w:sz w:val="20"/>
          <w:highlight w:val="none"/>
          <w:lang w:val="en-US" w:eastAsia="zh-CN"/>
        </w:rPr>
      </w:pPr>
      <w:r>
        <w:rPr>
          <w:rFonts w:hint="default"/>
          <w:color w:val="auto"/>
          <w:sz w:val="20"/>
          <w:highlight w:val="none"/>
          <w:lang w:val="en-US" w:eastAsia="zh-CN"/>
        </w:rPr>
        <w:t>厂区部分监理服务投标报价=对应的投标报价限价*（1-投标下浮率）</w:t>
      </w:r>
    </w:p>
    <w:p w14:paraId="7536086B">
      <w:pPr>
        <w:pStyle w:val="12"/>
        <w:kinsoku w:val="0"/>
        <w:overflowPunct w:val="0"/>
        <w:spacing w:line="360" w:lineRule="auto"/>
        <w:ind w:left="0" w:firstLine="400" w:firstLineChars="200"/>
        <w:rPr>
          <w:rFonts w:hint="default"/>
          <w:color w:val="auto"/>
          <w:sz w:val="20"/>
          <w:highlight w:val="none"/>
          <w:lang w:val="en-US" w:eastAsia="zh-CN"/>
        </w:rPr>
      </w:pPr>
      <w:r>
        <w:rPr>
          <w:rFonts w:hint="default"/>
          <w:color w:val="auto"/>
          <w:sz w:val="20"/>
          <w:highlight w:val="none"/>
          <w:lang w:val="en-US" w:eastAsia="zh-CN"/>
        </w:rPr>
        <w:t>管网部分监理服务投标报价=对应的投标报价限价*（1-投标下浮率）</w:t>
      </w:r>
    </w:p>
    <w:p w14:paraId="0F95EC23">
      <w:pPr>
        <w:pStyle w:val="12"/>
        <w:kinsoku w:val="0"/>
        <w:overflowPunct w:val="0"/>
        <w:spacing w:line="360" w:lineRule="auto"/>
        <w:ind w:left="0" w:firstLine="400" w:firstLineChars="200"/>
        <w:rPr>
          <w:rFonts w:hint="default"/>
          <w:color w:val="auto"/>
          <w:sz w:val="20"/>
          <w:highlight w:val="none"/>
          <w:lang w:val="en-US" w:eastAsia="zh-CN"/>
        </w:rPr>
      </w:pPr>
      <w:r>
        <w:rPr>
          <w:rFonts w:hint="default"/>
          <w:color w:val="auto"/>
          <w:sz w:val="20"/>
          <w:highlight w:val="none"/>
          <w:lang w:val="en-US" w:eastAsia="zh-CN"/>
        </w:rPr>
        <w:t>2、厂区部分监理服务投标下浮率应与管网部分监理服务投标下浮率相同。如出现两个不同的下浮率，按最高的下浮率修正投标报价。</w:t>
      </w:r>
    </w:p>
    <w:p w14:paraId="044A4665">
      <w:pPr>
        <w:pStyle w:val="12"/>
        <w:kinsoku w:val="0"/>
        <w:overflowPunct w:val="0"/>
        <w:spacing w:line="360" w:lineRule="auto"/>
        <w:ind w:left="0" w:firstLine="400" w:firstLineChars="200"/>
        <w:rPr>
          <w:rFonts w:hint="default" w:eastAsia="宋体"/>
          <w:color w:val="auto"/>
          <w:sz w:val="20"/>
          <w:szCs w:val="24"/>
          <w:highlight w:val="none"/>
          <w:lang w:val="en-US" w:eastAsia="zh-CN"/>
        </w:rPr>
      </w:pPr>
      <w:r>
        <w:rPr>
          <w:rFonts w:hint="default"/>
          <w:color w:val="auto"/>
          <w:sz w:val="20"/>
          <w:highlight w:val="none"/>
          <w:lang w:val="en-US" w:eastAsia="zh-CN"/>
        </w:rPr>
        <w:t>3、投标报价与投标报价限价*（1-投标下浮率）不同时，以投标下浮率为准，修正投标报价。</w:t>
      </w:r>
    </w:p>
    <w:p w14:paraId="540D19AF">
      <w:pPr>
        <w:pStyle w:val="12"/>
        <w:kinsoku w:val="0"/>
        <w:overflowPunct w:val="0"/>
        <w:ind w:left="0"/>
        <w:rPr>
          <w:rFonts w:hint="default"/>
          <w:color w:val="auto"/>
          <w:sz w:val="19"/>
          <w:szCs w:val="24"/>
          <w:highlight w:val="none"/>
        </w:rPr>
      </w:pPr>
    </w:p>
    <w:p w14:paraId="374459EB">
      <w:pPr>
        <w:pStyle w:val="12"/>
        <w:kinsoku w:val="0"/>
        <w:overflowPunct w:val="0"/>
        <w:spacing w:before="10"/>
        <w:ind w:left="0"/>
        <w:rPr>
          <w:rFonts w:hint="default"/>
          <w:color w:val="auto"/>
          <w:sz w:val="24"/>
          <w:szCs w:val="24"/>
          <w:highlight w:val="none"/>
        </w:rPr>
      </w:pPr>
    </w:p>
    <w:p w14:paraId="40838129">
      <w:pPr>
        <w:pStyle w:val="12"/>
        <w:tabs>
          <w:tab w:val="left" w:pos="631"/>
          <w:tab w:val="left" w:pos="1471"/>
          <w:tab w:val="left" w:pos="2311"/>
        </w:tabs>
        <w:kinsoku w:val="0"/>
        <w:overflowPunct w:val="0"/>
        <w:spacing w:before="36"/>
        <w:ind w:left="0" w:right="177"/>
        <w:jc w:val="right"/>
        <w:rPr>
          <w:rFonts w:hint="default"/>
          <w:color w:val="auto"/>
          <w:sz w:val="21"/>
          <w:szCs w:val="24"/>
          <w:highlight w:val="none"/>
        </w:rPr>
      </w:pPr>
      <w:r>
        <w:rPr>
          <w:rFonts w:hint="eastAsia" w:ascii="Times New Roman" w:hAnsi="Times New Roman" w:eastAsia="Times New Roman"/>
          <w:color w:val="auto"/>
          <w:sz w:val="24"/>
          <w:szCs w:val="24"/>
          <w:highlight w:val="none"/>
          <w:u w:val="single"/>
        </w:rPr>
        <w:t xml:space="preserve"> </w:t>
      </w:r>
    </w:p>
    <w:p w14:paraId="3ED1694E">
      <w:pPr>
        <w:pStyle w:val="12"/>
        <w:tabs>
          <w:tab w:val="left" w:pos="631"/>
          <w:tab w:val="left" w:pos="1471"/>
          <w:tab w:val="left" w:pos="2311"/>
        </w:tabs>
        <w:kinsoku w:val="0"/>
        <w:overflowPunct w:val="0"/>
        <w:spacing w:before="36"/>
        <w:ind w:left="0" w:right="177"/>
        <w:jc w:val="right"/>
        <w:rPr>
          <w:rFonts w:hint="default"/>
          <w:color w:val="auto"/>
          <w:sz w:val="21"/>
          <w:szCs w:val="24"/>
          <w:highlight w:val="none"/>
        </w:rPr>
        <w:sectPr>
          <w:pgSz w:w="11905" w:h="16838"/>
          <w:pgMar w:top="1417" w:right="1417" w:bottom="1417" w:left="1417" w:header="992" w:footer="992" w:gutter="0"/>
          <w:lnNumType w:countBy="0" w:distance="360"/>
          <w:cols w:space="720" w:num="1"/>
        </w:sectPr>
      </w:pPr>
    </w:p>
    <w:p w14:paraId="766A876C">
      <w:pPr>
        <w:pStyle w:val="5"/>
        <w:jc w:val="center"/>
        <w:outlineLvl w:val="1"/>
        <w:rPr>
          <w:rFonts w:hint="default"/>
          <w:color w:val="auto"/>
          <w:sz w:val="28"/>
          <w:szCs w:val="24"/>
          <w:highlight w:val="none"/>
        </w:rPr>
      </w:pPr>
      <w:r>
        <w:rPr>
          <w:rFonts w:hint="default"/>
          <w:color w:val="auto"/>
          <w:sz w:val="28"/>
          <w:szCs w:val="24"/>
          <w:highlight w:val="none"/>
        </w:rPr>
        <w:t>二、法定代表人身份证明</w:t>
      </w:r>
    </w:p>
    <w:p w14:paraId="29C23F3A">
      <w:pPr>
        <w:pStyle w:val="12"/>
        <w:kinsoku w:val="0"/>
        <w:overflowPunct w:val="0"/>
        <w:ind w:left="0"/>
        <w:rPr>
          <w:rFonts w:hint="eastAsia" w:ascii="Microsoft JhengHei" w:hAnsi="Microsoft JhengHei" w:eastAsia="Microsoft JhengHei"/>
          <w:b/>
          <w:color w:val="auto"/>
          <w:sz w:val="32"/>
          <w:szCs w:val="24"/>
          <w:highlight w:val="none"/>
        </w:rPr>
      </w:pPr>
    </w:p>
    <w:p w14:paraId="7B325892">
      <w:pPr>
        <w:pStyle w:val="12"/>
        <w:kinsoku w:val="0"/>
        <w:overflowPunct w:val="0"/>
        <w:ind w:left="0"/>
        <w:rPr>
          <w:rFonts w:hint="eastAsia" w:ascii="Microsoft JhengHei" w:hAnsi="Microsoft JhengHei" w:eastAsia="Microsoft JhengHei"/>
          <w:b/>
          <w:color w:val="auto"/>
          <w:sz w:val="32"/>
          <w:szCs w:val="24"/>
          <w:highlight w:val="none"/>
        </w:rPr>
      </w:pPr>
    </w:p>
    <w:p w14:paraId="2E82E8F5">
      <w:pPr>
        <w:pStyle w:val="12"/>
        <w:kinsoku w:val="0"/>
        <w:overflowPunct w:val="0"/>
        <w:spacing w:before="8"/>
        <w:ind w:left="0"/>
        <w:rPr>
          <w:rFonts w:hint="eastAsia" w:ascii="Microsoft JhengHei" w:hAnsi="Microsoft JhengHei" w:eastAsia="Microsoft JhengHei"/>
          <w:b/>
          <w:color w:val="auto"/>
          <w:sz w:val="25"/>
          <w:szCs w:val="24"/>
          <w:highlight w:val="none"/>
        </w:rPr>
      </w:pPr>
    </w:p>
    <w:p w14:paraId="52046BD6">
      <w:pPr>
        <w:pStyle w:val="12"/>
        <w:tabs>
          <w:tab w:val="left" w:pos="3928"/>
        </w:tabs>
        <w:kinsoku w:val="0"/>
        <w:overflowPunct w:val="0"/>
        <w:ind w:left="100"/>
        <w:rPr>
          <w:rFonts w:hint="eastAsia" w:ascii="Times New Roman" w:hAnsi="Times New Roman" w:eastAsia="Times New Roman"/>
          <w:color w:val="auto"/>
          <w:sz w:val="24"/>
          <w:szCs w:val="24"/>
          <w:highlight w:val="none"/>
        </w:rPr>
      </w:pPr>
      <w:r>
        <w:rPr>
          <w:rFonts w:hint="default"/>
          <w:color w:val="auto"/>
          <w:sz w:val="24"/>
          <w:szCs w:val="24"/>
          <w:highlight w:val="none"/>
        </w:rPr>
        <w:t>投标人名称：</w:t>
      </w: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u w:val="single"/>
        </w:rPr>
        <w:tab/>
      </w:r>
    </w:p>
    <w:p w14:paraId="2F6440FB">
      <w:pPr>
        <w:pStyle w:val="12"/>
        <w:kinsoku w:val="0"/>
        <w:overflowPunct w:val="0"/>
        <w:spacing w:before="2"/>
        <w:ind w:left="0"/>
        <w:rPr>
          <w:rFonts w:hint="eastAsia" w:ascii="Times New Roman" w:hAnsi="Times New Roman" w:eastAsia="Times New Roman"/>
          <w:color w:val="auto"/>
          <w:sz w:val="24"/>
          <w:szCs w:val="24"/>
          <w:highlight w:val="none"/>
        </w:rPr>
      </w:pPr>
    </w:p>
    <w:p w14:paraId="27D4D753">
      <w:pPr>
        <w:pStyle w:val="12"/>
        <w:tabs>
          <w:tab w:val="left" w:pos="2412"/>
          <w:tab w:val="left" w:pos="3883"/>
          <w:tab w:val="left" w:pos="5352"/>
          <w:tab w:val="left" w:pos="6869"/>
        </w:tabs>
        <w:kinsoku w:val="0"/>
        <w:overflowPunct w:val="0"/>
        <w:spacing w:before="36"/>
        <w:ind w:left="100"/>
        <w:rPr>
          <w:rFonts w:hint="eastAsia" w:ascii="Times New Roman" w:hAnsi="Times New Roman" w:eastAsia="Times New Roman"/>
          <w:color w:val="auto"/>
          <w:sz w:val="24"/>
          <w:szCs w:val="24"/>
          <w:highlight w:val="none"/>
        </w:rPr>
      </w:pPr>
      <w:r>
        <w:rPr>
          <w:rFonts w:hint="default"/>
          <w:color w:val="auto"/>
          <w:spacing w:val="-1"/>
          <w:sz w:val="24"/>
          <w:szCs w:val="24"/>
          <w:highlight w:val="none"/>
        </w:rPr>
        <w:t>姓名：</w:t>
      </w:r>
      <w:r>
        <w:rPr>
          <w:rFonts w:hint="eastAsia" w:ascii="Times New Roman" w:hAnsi="Times New Roman" w:eastAsia="Times New Roman"/>
          <w:color w:val="auto"/>
          <w:spacing w:val="-1"/>
          <w:sz w:val="24"/>
          <w:szCs w:val="24"/>
          <w:highlight w:val="none"/>
          <w:u w:val="single"/>
        </w:rPr>
        <w:tab/>
      </w:r>
      <w:r>
        <w:rPr>
          <w:rFonts w:hint="default"/>
          <w:color w:val="auto"/>
          <w:spacing w:val="-1"/>
          <w:sz w:val="24"/>
          <w:szCs w:val="24"/>
          <w:highlight w:val="none"/>
        </w:rPr>
        <w:t>性别：</w:t>
      </w:r>
      <w:r>
        <w:rPr>
          <w:rFonts w:hint="eastAsia" w:ascii="Times New Roman" w:hAnsi="Times New Roman" w:eastAsia="Times New Roman"/>
          <w:color w:val="auto"/>
          <w:spacing w:val="-1"/>
          <w:sz w:val="24"/>
          <w:szCs w:val="24"/>
          <w:highlight w:val="none"/>
          <w:u w:val="single"/>
        </w:rPr>
        <w:tab/>
      </w:r>
      <w:r>
        <w:rPr>
          <w:rFonts w:hint="default"/>
          <w:color w:val="auto"/>
          <w:spacing w:val="-2"/>
          <w:sz w:val="24"/>
          <w:szCs w:val="24"/>
          <w:highlight w:val="none"/>
        </w:rPr>
        <w:t>年龄：</w:t>
      </w:r>
      <w:r>
        <w:rPr>
          <w:rFonts w:hint="eastAsia" w:ascii="Times New Roman" w:hAnsi="Times New Roman" w:eastAsia="Times New Roman"/>
          <w:color w:val="auto"/>
          <w:spacing w:val="-2"/>
          <w:sz w:val="24"/>
          <w:szCs w:val="24"/>
          <w:highlight w:val="none"/>
          <w:u w:val="single"/>
        </w:rPr>
        <w:tab/>
      </w:r>
      <w:r>
        <w:rPr>
          <w:rFonts w:hint="default"/>
          <w:color w:val="auto"/>
          <w:spacing w:val="-2"/>
          <w:sz w:val="24"/>
          <w:szCs w:val="24"/>
          <w:highlight w:val="none"/>
        </w:rPr>
        <w:t>职务：</w:t>
      </w: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u w:val="single"/>
        </w:rPr>
        <w:tab/>
      </w:r>
    </w:p>
    <w:p w14:paraId="5A224021">
      <w:pPr>
        <w:pStyle w:val="12"/>
        <w:kinsoku w:val="0"/>
        <w:overflowPunct w:val="0"/>
        <w:spacing w:before="5"/>
        <w:ind w:left="0"/>
        <w:rPr>
          <w:rFonts w:hint="eastAsia" w:ascii="Times New Roman" w:hAnsi="Times New Roman" w:eastAsia="Times New Roman"/>
          <w:color w:val="auto"/>
          <w:sz w:val="24"/>
          <w:szCs w:val="24"/>
          <w:highlight w:val="none"/>
        </w:rPr>
      </w:pPr>
    </w:p>
    <w:p w14:paraId="340D95AA">
      <w:pPr>
        <w:pStyle w:val="12"/>
        <w:tabs>
          <w:tab w:val="left" w:pos="2832"/>
        </w:tabs>
        <w:kinsoku w:val="0"/>
        <w:overflowPunct w:val="0"/>
        <w:spacing w:before="36"/>
        <w:ind w:left="100"/>
        <w:rPr>
          <w:rFonts w:hint="default"/>
          <w:color w:val="auto"/>
          <w:spacing w:val="-2"/>
          <w:sz w:val="24"/>
          <w:szCs w:val="24"/>
          <w:highlight w:val="none"/>
        </w:rPr>
      </w:pPr>
      <w:r>
        <w:rPr>
          <w:rFonts w:hint="default"/>
          <w:color w:val="auto"/>
          <w:spacing w:val="-1"/>
          <w:sz w:val="24"/>
          <w:szCs w:val="24"/>
          <w:highlight w:val="none"/>
        </w:rPr>
        <w:t>系</w:t>
      </w:r>
      <w:r>
        <w:rPr>
          <w:rFonts w:hint="eastAsia" w:ascii="Times New Roman" w:hAnsi="Times New Roman" w:eastAsia="Times New Roman"/>
          <w:color w:val="auto"/>
          <w:spacing w:val="-1"/>
          <w:sz w:val="24"/>
          <w:szCs w:val="24"/>
          <w:highlight w:val="none"/>
          <w:u w:val="single"/>
        </w:rPr>
        <w:tab/>
      </w:r>
      <w:r>
        <w:rPr>
          <w:rFonts w:hint="default"/>
          <w:color w:val="auto"/>
          <w:spacing w:val="-2"/>
          <w:sz w:val="24"/>
          <w:szCs w:val="24"/>
          <w:highlight w:val="none"/>
        </w:rPr>
        <w:t>（投标人名称）的法定代表人。</w:t>
      </w:r>
    </w:p>
    <w:p w14:paraId="67517F13">
      <w:pPr>
        <w:pStyle w:val="12"/>
        <w:kinsoku w:val="0"/>
        <w:overflowPunct w:val="0"/>
        <w:spacing w:before="10"/>
        <w:ind w:left="0"/>
        <w:rPr>
          <w:rFonts w:hint="default"/>
          <w:color w:val="auto"/>
          <w:sz w:val="24"/>
          <w:szCs w:val="24"/>
          <w:highlight w:val="none"/>
        </w:rPr>
      </w:pPr>
    </w:p>
    <w:p w14:paraId="25D49C6A">
      <w:pPr>
        <w:pStyle w:val="12"/>
        <w:kinsoku w:val="0"/>
        <w:overflowPunct w:val="0"/>
        <w:spacing w:before="36"/>
        <w:ind w:left="100" w:firstLine="419"/>
        <w:rPr>
          <w:rFonts w:hint="default"/>
          <w:color w:val="auto"/>
          <w:sz w:val="24"/>
          <w:szCs w:val="24"/>
          <w:highlight w:val="none"/>
        </w:rPr>
      </w:pPr>
      <w:r>
        <w:rPr>
          <w:rFonts w:hint="default"/>
          <w:color w:val="auto"/>
          <w:sz w:val="24"/>
          <w:szCs w:val="24"/>
          <w:highlight w:val="none"/>
        </w:rPr>
        <w:t>特此证明。</w:t>
      </w:r>
    </w:p>
    <w:p w14:paraId="665F1E65">
      <w:pPr>
        <w:pStyle w:val="12"/>
        <w:kinsoku w:val="0"/>
        <w:overflowPunct w:val="0"/>
        <w:ind w:left="0"/>
        <w:rPr>
          <w:rFonts w:hint="default"/>
          <w:color w:val="auto"/>
          <w:sz w:val="24"/>
          <w:szCs w:val="24"/>
          <w:highlight w:val="none"/>
        </w:rPr>
      </w:pPr>
    </w:p>
    <w:p w14:paraId="32943DE8">
      <w:pPr>
        <w:pStyle w:val="12"/>
        <w:kinsoku w:val="0"/>
        <w:overflowPunct w:val="0"/>
        <w:spacing w:before="4"/>
        <w:ind w:left="0"/>
        <w:rPr>
          <w:rFonts w:hint="default"/>
          <w:color w:val="auto"/>
          <w:sz w:val="24"/>
          <w:szCs w:val="24"/>
          <w:highlight w:val="none"/>
        </w:rPr>
      </w:pPr>
    </w:p>
    <w:p w14:paraId="0998C3BD">
      <w:pPr>
        <w:pStyle w:val="12"/>
        <w:kinsoku w:val="0"/>
        <w:overflowPunct w:val="0"/>
        <w:ind w:left="100"/>
        <w:rPr>
          <w:rFonts w:hint="default"/>
          <w:color w:val="auto"/>
          <w:sz w:val="24"/>
          <w:szCs w:val="24"/>
          <w:highlight w:val="none"/>
        </w:rPr>
      </w:pPr>
      <w:r>
        <w:rPr>
          <w:rFonts w:hint="default"/>
          <w:color w:val="auto"/>
          <w:sz w:val="24"/>
          <w:szCs w:val="24"/>
          <w:highlight w:val="none"/>
        </w:rPr>
        <w:t>附：法定代表人身份证</w:t>
      </w:r>
      <w:r>
        <w:rPr>
          <w:rFonts w:hint="default"/>
          <w:color w:val="auto"/>
          <w:sz w:val="24"/>
          <w:szCs w:val="24"/>
          <w:highlight w:val="none"/>
          <w:lang w:eastAsia="zh-CN"/>
        </w:rPr>
        <w:t>正反面扫描</w:t>
      </w:r>
      <w:r>
        <w:rPr>
          <w:rFonts w:hint="default"/>
          <w:color w:val="auto"/>
          <w:sz w:val="24"/>
          <w:szCs w:val="24"/>
          <w:highlight w:val="none"/>
        </w:rPr>
        <w:t>件。</w:t>
      </w:r>
    </w:p>
    <w:p w14:paraId="7255B320">
      <w:pPr>
        <w:pStyle w:val="12"/>
        <w:kinsoku w:val="0"/>
        <w:overflowPunct w:val="0"/>
        <w:ind w:left="0"/>
        <w:rPr>
          <w:rFonts w:hint="default"/>
          <w:color w:val="auto"/>
          <w:sz w:val="24"/>
          <w:szCs w:val="24"/>
          <w:highlight w:val="none"/>
        </w:rPr>
      </w:pPr>
    </w:p>
    <w:p w14:paraId="38A77187">
      <w:pPr>
        <w:pStyle w:val="12"/>
        <w:kinsoku w:val="0"/>
        <w:overflowPunct w:val="0"/>
        <w:spacing w:before="2"/>
        <w:ind w:left="0"/>
        <w:rPr>
          <w:rFonts w:hint="default"/>
          <w:color w:val="auto"/>
          <w:sz w:val="24"/>
          <w:szCs w:val="24"/>
          <w:highlight w:val="none"/>
        </w:rPr>
      </w:pPr>
    </w:p>
    <w:p w14:paraId="31505FFE">
      <w:pPr>
        <w:pStyle w:val="12"/>
        <w:kinsoku w:val="0"/>
        <w:overflowPunct w:val="0"/>
        <w:ind w:left="0"/>
        <w:rPr>
          <w:rFonts w:hint="default"/>
          <w:color w:val="auto"/>
          <w:sz w:val="24"/>
          <w:szCs w:val="24"/>
          <w:highlight w:val="none"/>
        </w:rPr>
      </w:pPr>
    </w:p>
    <w:p w14:paraId="0CE4B4A8">
      <w:pPr>
        <w:pStyle w:val="12"/>
        <w:kinsoku w:val="0"/>
        <w:overflowPunct w:val="0"/>
        <w:ind w:left="0"/>
        <w:rPr>
          <w:rFonts w:hint="default"/>
          <w:color w:val="auto"/>
          <w:sz w:val="24"/>
          <w:szCs w:val="24"/>
          <w:highlight w:val="none"/>
        </w:rPr>
      </w:pPr>
    </w:p>
    <w:p w14:paraId="2733FED3">
      <w:pPr>
        <w:pStyle w:val="12"/>
        <w:kinsoku w:val="0"/>
        <w:overflowPunct w:val="0"/>
        <w:ind w:left="0"/>
        <w:rPr>
          <w:rFonts w:hint="default"/>
          <w:color w:val="auto"/>
          <w:sz w:val="24"/>
          <w:szCs w:val="24"/>
          <w:highlight w:val="none"/>
        </w:rPr>
      </w:pPr>
    </w:p>
    <w:p w14:paraId="2F521327">
      <w:pPr>
        <w:pStyle w:val="12"/>
        <w:kinsoku w:val="0"/>
        <w:overflowPunct w:val="0"/>
        <w:spacing w:before="2"/>
        <w:ind w:left="0"/>
        <w:rPr>
          <w:rFonts w:hint="default"/>
          <w:color w:val="auto"/>
          <w:sz w:val="24"/>
          <w:szCs w:val="24"/>
          <w:highlight w:val="none"/>
        </w:rPr>
      </w:pPr>
    </w:p>
    <w:p w14:paraId="1F9CBA0B">
      <w:pPr>
        <w:pStyle w:val="12"/>
        <w:tabs>
          <w:tab w:val="left" w:pos="6521"/>
        </w:tabs>
        <w:kinsoku w:val="0"/>
        <w:overflowPunct w:val="0"/>
        <w:spacing w:before="36"/>
        <w:ind w:left="4212"/>
        <w:rPr>
          <w:rFonts w:hint="default"/>
          <w:color w:val="auto"/>
          <w:spacing w:val="-1"/>
          <w:sz w:val="24"/>
          <w:szCs w:val="24"/>
          <w:highlight w:val="none"/>
        </w:rPr>
      </w:pPr>
      <w:r>
        <w:rPr>
          <w:rFonts w:hint="default"/>
          <w:color w:val="auto"/>
          <w:spacing w:val="-2"/>
          <w:sz w:val="24"/>
          <w:szCs w:val="24"/>
          <w:highlight w:val="none"/>
        </w:rPr>
        <w:t>投标人：</w:t>
      </w:r>
      <w:r>
        <w:rPr>
          <w:rFonts w:hint="eastAsia" w:ascii="Times New Roman" w:hAnsi="Times New Roman" w:eastAsia="Times New Roman"/>
          <w:color w:val="auto"/>
          <w:spacing w:val="-2"/>
          <w:sz w:val="24"/>
          <w:szCs w:val="24"/>
          <w:highlight w:val="none"/>
          <w:u w:val="single"/>
        </w:rPr>
        <w:tab/>
      </w:r>
      <w:r>
        <w:rPr>
          <w:rFonts w:hint="default"/>
          <w:color w:val="auto"/>
          <w:spacing w:val="-1"/>
          <w:sz w:val="24"/>
          <w:szCs w:val="24"/>
          <w:highlight w:val="none"/>
        </w:rPr>
        <w:t>（盖单位章）</w:t>
      </w:r>
    </w:p>
    <w:p w14:paraId="33496E06">
      <w:pPr>
        <w:pStyle w:val="12"/>
        <w:kinsoku w:val="0"/>
        <w:overflowPunct w:val="0"/>
        <w:ind w:left="0"/>
        <w:rPr>
          <w:rFonts w:hint="default"/>
          <w:color w:val="auto"/>
          <w:sz w:val="24"/>
          <w:szCs w:val="24"/>
          <w:highlight w:val="none"/>
        </w:rPr>
      </w:pPr>
    </w:p>
    <w:p w14:paraId="167D8EE0">
      <w:pPr>
        <w:pStyle w:val="12"/>
        <w:kinsoku w:val="0"/>
        <w:overflowPunct w:val="0"/>
        <w:spacing w:before="7"/>
        <w:ind w:left="0"/>
        <w:rPr>
          <w:rFonts w:hint="default"/>
          <w:color w:val="auto"/>
          <w:sz w:val="24"/>
          <w:szCs w:val="24"/>
          <w:highlight w:val="none"/>
        </w:rPr>
      </w:pPr>
    </w:p>
    <w:p w14:paraId="52F6E3ED">
      <w:pPr>
        <w:pStyle w:val="12"/>
        <w:tabs>
          <w:tab w:val="left" w:pos="5352"/>
          <w:tab w:val="left" w:pos="6192"/>
          <w:tab w:val="left" w:pos="7032"/>
        </w:tabs>
        <w:kinsoku w:val="0"/>
        <w:overflowPunct w:val="0"/>
        <w:spacing w:before="36"/>
        <w:ind w:left="4721"/>
        <w:rPr>
          <w:rFonts w:hint="default"/>
          <w:color w:val="auto"/>
          <w:sz w:val="24"/>
          <w:szCs w:val="24"/>
          <w:highlight w:val="none"/>
        </w:rPr>
      </w:pP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u w:val="single"/>
        </w:rPr>
        <w:tab/>
      </w:r>
      <w:r>
        <w:rPr>
          <w:rFonts w:hint="default"/>
          <w:color w:val="auto"/>
          <w:sz w:val="24"/>
          <w:szCs w:val="24"/>
          <w:highlight w:val="none"/>
        </w:rPr>
        <w:t>年</w:t>
      </w:r>
      <w:r>
        <w:rPr>
          <w:rFonts w:hint="eastAsia" w:ascii="Times New Roman" w:hAnsi="Times New Roman" w:eastAsia="Times New Roman"/>
          <w:color w:val="auto"/>
          <w:sz w:val="24"/>
          <w:szCs w:val="24"/>
          <w:highlight w:val="none"/>
          <w:u w:val="single"/>
        </w:rPr>
        <w:tab/>
      </w:r>
      <w:r>
        <w:rPr>
          <w:rFonts w:hint="default"/>
          <w:color w:val="auto"/>
          <w:sz w:val="24"/>
          <w:szCs w:val="24"/>
          <w:highlight w:val="none"/>
        </w:rPr>
        <w:t>月</w:t>
      </w:r>
      <w:r>
        <w:rPr>
          <w:rFonts w:hint="eastAsia" w:ascii="Times New Roman" w:hAnsi="Times New Roman" w:eastAsia="Times New Roman"/>
          <w:color w:val="auto"/>
          <w:sz w:val="24"/>
          <w:szCs w:val="24"/>
          <w:highlight w:val="none"/>
          <w:u w:val="single"/>
        </w:rPr>
        <w:tab/>
      </w:r>
      <w:r>
        <w:rPr>
          <w:rFonts w:hint="default"/>
          <w:color w:val="auto"/>
          <w:sz w:val="24"/>
          <w:szCs w:val="24"/>
          <w:highlight w:val="none"/>
        </w:rPr>
        <w:t>日</w:t>
      </w:r>
    </w:p>
    <w:p w14:paraId="0E48C6F7">
      <w:pPr>
        <w:pStyle w:val="12"/>
        <w:tabs>
          <w:tab w:val="left" w:pos="5352"/>
          <w:tab w:val="left" w:pos="6192"/>
          <w:tab w:val="left" w:pos="7032"/>
        </w:tabs>
        <w:kinsoku w:val="0"/>
        <w:overflowPunct w:val="0"/>
        <w:spacing w:before="36"/>
        <w:ind w:left="4721"/>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7FCCD6B6">
      <w:pPr>
        <w:pStyle w:val="5"/>
        <w:jc w:val="center"/>
        <w:outlineLvl w:val="1"/>
        <w:rPr>
          <w:rFonts w:hint="default"/>
          <w:color w:val="auto"/>
          <w:sz w:val="28"/>
          <w:szCs w:val="24"/>
          <w:highlight w:val="none"/>
        </w:rPr>
      </w:pPr>
      <w:r>
        <w:rPr>
          <w:rFonts w:hint="default"/>
          <w:color w:val="auto"/>
          <w:sz w:val="28"/>
          <w:szCs w:val="24"/>
          <w:highlight w:val="none"/>
        </w:rPr>
        <w:t>二、授权委托书</w:t>
      </w:r>
    </w:p>
    <w:p w14:paraId="772CFBE4">
      <w:pPr>
        <w:pStyle w:val="12"/>
        <w:kinsoku w:val="0"/>
        <w:overflowPunct w:val="0"/>
        <w:ind w:left="0"/>
        <w:rPr>
          <w:rFonts w:hint="eastAsia" w:ascii="Microsoft JhengHei" w:hAnsi="Microsoft JhengHei" w:eastAsia="Microsoft JhengHei"/>
          <w:b/>
          <w:color w:val="auto"/>
          <w:sz w:val="32"/>
          <w:szCs w:val="24"/>
          <w:highlight w:val="none"/>
        </w:rPr>
      </w:pPr>
    </w:p>
    <w:p w14:paraId="53E40A49">
      <w:pPr>
        <w:pStyle w:val="12"/>
        <w:kinsoku w:val="0"/>
        <w:overflowPunct w:val="0"/>
        <w:spacing w:before="4"/>
        <w:ind w:left="0"/>
        <w:rPr>
          <w:rFonts w:hint="eastAsia" w:ascii="Microsoft JhengHei" w:hAnsi="Microsoft JhengHei" w:eastAsia="Microsoft JhengHei"/>
          <w:b/>
          <w:color w:val="auto"/>
          <w:sz w:val="32"/>
          <w:szCs w:val="24"/>
          <w:highlight w:val="none"/>
        </w:rPr>
      </w:pPr>
    </w:p>
    <w:p w14:paraId="6A705301">
      <w:pPr>
        <w:pStyle w:val="12"/>
        <w:tabs>
          <w:tab w:val="left" w:pos="3928"/>
        </w:tabs>
        <w:kinsoku w:val="0"/>
        <w:overflowPunct w:val="0"/>
        <w:spacing w:line="360" w:lineRule="auto"/>
        <w:ind w:left="0" w:firstLine="480" w:firstLineChars="200"/>
        <w:rPr>
          <w:rFonts w:hint="default" w:cs="Times New Roman"/>
          <w:color w:val="auto"/>
          <w:sz w:val="24"/>
          <w:szCs w:val="24"/>
          <w:highlight w:val="none"/>
        </w:rPr>
      </w:pPr>
      <w:r>
        <w:rPr>
          <w:rFonts w:hint="default" w:cs="Times New Roman"/>
          <w:color w:val="auto"/>
          <w:sz w:val="24"/>
          <w:szCs w:val="24"/>
          <w:highlight w:val="none"/>
        </w:rPr>
        <w:t>本人</w:t>
      </w:r>
      <w:r>
        <w:rPr>
          <w:rFonts w:hint="default"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cs="Times New Roman"/>
          <w:color w:val="auto"/>
          <w:sz w:val="24"/>
          <w:szCs w:val="24"/>
          <w:highlight w:val="none"/>
        </w:rPr>
        <w:t>（姓名）系</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u w:val="single"/>
          <w:lang w:val="en-US" w:eastAsia="zh-CN"/>
        </w:rPr>
        <w:t xml:space="preserve">    </w:t>
      </w:r>
      <w:r>
        <w:rPr>
          <w:rFonts w:hint="default" w:cs="Times New Roman"/>
          <w:color w:val="auto"/>
          <w:sz w:val="24"/>
          <w:szCs w:val="24"/>
          <w:highlight w:val="none"/>
        </w:rPr>
        <w:t>（投标人名称）的法定代表人，现委托</w:t>
      </w:r>
      <w:r>
        <w:rPr>
          <w:rFonts w:hint="default" w:cs="Times New Roman"/>
          <w:color w:val="auto"/>
          <w:sz w:val="24"/>
          <w:szCs w:val="24"/>
          <w:highlight w:val="none"/>
          <w:u w:val="single"/>
        </w:rPr>
        <w:tab/>
      </w:r>
      <w:r>
        <w:rPr>
          <w:rFonts w:hint="default" w:cs="Times New Roman"/>
          <w:color w:val="auto"/>
          <w:sz w:val="24"/>
          <w:szCs w:val="24"/>
          <w:highlight w:val="none"/>
          <w:u w:val="single"/>
          <w:lang w:val="en-US" w:eastAsia="zh-CN"/>
        </w:rPr>
        <w:t xml:space="preserve"> </w:t>
      </w:r>
      <w:r>
        <w:rPr>
          <w:rFonts w:hint="default" w:cs="Times New Roman"/>
          <w:color w:val="auto"/>
          <w:sz w:val="24"/>
          <w:szCs w:val="24"/>
          <w:highlight w:val="none"/>
        </w:rPr>
        <w:t xml:space="preserve">（姓名）为我方代理人。代理人根据授权，以我方名义签署、澄清确认、递交、撤回、修改监理招标项目投标文件、签订合同和处理有关事宜，其法律后果由我方承担。 </w:t>
      </w:r>
    </w:p>
    <w:p w14:paraId="6142F40A">
      <w:pPr>
        <w:pStyle w:val="12"/>
        <w:tabs>
          <w:tab w:val="left" w:pos="3928"/>
        </w:tabs>
        <w:kinsoku w:val="0"/>
        <w:overflowPunct w:val="0"/>
        <w:spacing w:line="360" w:lineRule="auto"/>
        <w:ind w:left="0"/>
        <w:rPr>
          <w:rFonts w:hint="default" w:cs="Times New Roman"/>
          <w:color w:val="auto"/>
          <w:sz w:val="24"/>
          <w:szCs w:val="24"/>
          <w:highlight w:val="none"/>
        </w:rPr>
      </w:pPr>
      <w:r>
        <w:rPr>
          <w:rFonts w:hint="default" w:cs="Times New Roman"/>
          <w:color w:val="auto"/>
          <w:sz w:val="24"/>
          <w:szCs w:val="24"/>
          <w:highlight w:val="none"/>
        </w:rPr>
        <w:t>委托期限：</w:t>
      </w:r>
      <w:r>
        <w:rPr>
          <w:rFonts w:hint="default" w:cs="Times New Roman"/>
          <w:color w:val="auto"/>
          <w:sz w:val="24"/>
          <w:szCs w:val="24"/>
          <w:highlight w:val="none"/>
          <w:u w:val="single"/>
        </w:rPr>
        <w:tab/>
      </w:r>
      <w:r>
        <w:rPr>
          <w:rFonts w:hint="default" w:cs="Times New Roman"/>
          <w:color w:val="auto"/>
          <w:sz w:val="24"/>
          <w:szCs w:val="24"/>
          <w:highlight w:val="none"/>
        </w:rPr>
        <w:t>。</w:t>
      </w:r>
    </w:p>
    <w:p w14:paraId="13B73D53">
      <w:pPr>
        <w:pStyle w:val="12"/>
        <w:tabs>
          <w:tab w:val="left" w:pos="3928"/>
        </w:tabs>
        <w:kinsoku w:val="0"/>
        <w:overflowPunct w:val="0"/>
        <w:spacing w:line="360" w:lineRule="auto"/>
        <w:ind w:left="0" w:firstLine="480" w:firstLineChars="200"/>
        <w:rPr>
          <w:rFonts w:hint="eastAsia" w:eastAsia="宋体" w:cs="Times New Roman"/>
          <w:color w:val="auto"/>
          <w:sz w:val="24"/>
          <w:szCs w:val="24"/>
          <w:highlight w:val="none"/>
          <w:lang w:eastAsia="zh-CN"/>
        </w:rPr>
      </w:pPr>
      <w:r>
        <w:rPr>
          <w:rFonts w:hint="default" w:cs="Times New Roman"/>
          <w:color w:val="auto"/>
          <w:sz w:val="24"/>
          <w:szCs w:val="24"/>
          <w:highlight w:val="none"/>
        </w:rPr>
        <w:t>代理人无转委托权。</w:t>
      </w:r>
      <w:r>
        <w:rPr>
          <w:rFonts w:hint="default"/>
          <w:color w:val="auto"/>
          <w:sz w:val="24"/>
          <w:szCs w:val="24"/>
          <w:highlight w:val="none"/>
        </w:rPr>
        <w:t>代理人为投标人正式职工</w:t>
      </w:r>
      <w:r>
        <w:rPr>
          <w:rFonts w:hint="eastAsia"/>
          <w:color w:val="auto"/>
          <w:sz w:val="24"/>
          <w:szCs w:val="24"/>
          <w:highlight w:val="none"/>
          <w:lang w:eastAsia="zh-CN"/>
        </w:rPr>
        <w:t>，</w:t>
      </w:r>
      <w:r>
        <w:rPr>
          <w:rFonts w:hint="eastAsia"/>
          <w:color w:val="auto"/>
          <w:sz w:val="24"/>
          <w:highlight w:val="none"/>
          <w:lang w:eastAsia="zh-CN"/>
        </w:rPr>
        <w:t>必须具有离投标截止时间最近的至少1个月在本单位缴纳的社保证明文件。</w:t>
      </w:r>
    </w:p>
    <w:p w14:paraId="0CC39D1A">
      <w:pPr>
        <w:pStyle w:val="12"/>
        <w:tabs>
          <w:tab w:val="left" w:pos="3928"/>
        </w:tabs>
        <w:kinsoku w:val="0"/>
        <w:overflowPunct w:val="0"/>
        <w:spacing w:line="360" w:lineRule="auto"/>
        <w:ind w:left="100"/>
        <w:rPr>
          <w:rFonts w:hint="default" w:cs="Times New Roman"/>
          <w:color w:val="auto"/>
          <w:sz w:val="24"/>
          <w:szCs w:val="24"/>
          <w:highlight w:val="none"/>
        </w:rPr>
      </w:pPr>
    </w:p>
    <w:p w14:paraId="1EE69755">
      <w:pPr>
        <w:pStyle w:val="12"/>
        <w:kinsoku w:val="0"/>
        <w:overflowPunct w:val="0"/>
        <w:spacing w:before="4"/>
        <w:ind w:left="0"/>
        <w:rPr>
          <w:rFonts w:hint="default"/>
          <w:color w:val="auto"/>
          <w:sz w:val="24"/>
          <w:szCs w:val="24"/>
          <w:highlight w:val="none"/>
        </w:rPr>
      </w:pPr>
    </w:p>
    <w:p w14:paraId="079AACF4">
      <w:pPr>
        <w:pStyle w:val="12"/>
        <w:kinsoku w:val="0"/>
        <w:overflowPunct w:val="0"/>
        <w:ind w:left="100" w:right="113"/>
        <w:rPr>
          <w:rFonts w:hint="default"/>
          <w:color w:val="auto"/>
          <w:sz w:val="24"/>
          <w:szCs w:val="24"/>
          <w:highlight w:val="none"/>
        </w:rPr>
      </w:pPr>
      <w:r>
        <w:rPr>
          <w:rFonts w:hint="default"/>
          <w:color w:val="auto"/>
          <w:sz w:val="24"/>
          <w:szCs w:val="24"/>
          <w:highlight w:val="none"/>
        </w:rPr>
        <w:t>附：</w:t>
      </w:r>
      <w:r>
        <w:rPr>
          <w:rFonts w:hint="default" w:cs="Times New Roman"/>
          <w:color w:val="auto"/>
          <w:sz w:val="24"/>
          <w:szCs w:val="24"/>
          <w:highlight w:val="none"/>
          <w:lang w:eastAsia="zh-CN"/>
        </w:rPr>
        <w:t>委托代理人身份证正反面和社保证明扫描件。</w:t>
      </w:r>
    </w:p>
    <w:p w14:paraId="1D929A47">
      <w:pPr>
        <w:pStyle w:val="12"/>
        <w:kinsoku w:val="0"/>
        <w:overflowPunct w:val="0"/>
        <w:ind w:left="0"/>
        <w:rPr>
          <w:rFonts w:hint="default"/>
          <w:color w:val="auto"/>
          <w:sz w:val="24"/>
          <w:szCs w:val="24"/>
          <w:highlight w:val="none"/>
        </w:rPr>
      </w:pPr>
    </w:p>
    <w:p w14:paraId="38B0598B">
      <w:pPr>
        <w:pStyle w:val="12"/>
        <w:kinsoku w:val="0"/>
        <w:overflowPunct w:val="0"/>
        <w:spacing w:before="2"/>
        <w:ind w:left="0"/>
        <w:rPr>
          <w:rFonts w:hint="default"/>
          <w:color w:val="auto"/>
          <w:sz w:val="24"/>
          <w:szCs w:val="24"/>
          <w:highlight w:val="none"/>
        </w:rPr>
      </w:pPr>
    </w:p>
    <w:p w14:paraId="49838FC2">
      <w:pPr>
        <w:pStyle w:val="12"/>
        <w:kinsoku w:val="0"/>
        <w:overflowPunct w:val="0"/>
        <w:ind w:left="0"/>
        <w:rPr>
          <w:rFonts w:hint="default"/>
          <w:color w:val="auto"/>
          <w:sz w:val="24"/>
          <w:szCs w:val="24"/>
          <w:highlight w:val="none"/>
        </w:rPr>
      </w:pPr>
    </w:p>
    <w:p w14:paraId="0562F76E">
      <w:pPr>
        <w:pStyle w:val="12"/>
        <w:kinsoku w:val="0"/>
        <w:overflowPunct w:val="0"/>
        <w:spacing w:before="4"/>
        <w:ind w:left="0"/>
        <w:rPr>
          <w:rFonts w:hint="default"/>
          <w:color w:val="auto"/>
          <w:sz w:val="24"/>
          <w:szCs w:val="24"/>
          <w:highlight w:val="none"/>
        </w:rPr>
      </w:pPr>
    </w:p>
    <w:p w14:paraId="71519452">
      <w:pPr>
        <w:pStyle w:val="12"/>
        <w:tabs>
          <w:tab w:val="left" w:pos="3216"/>
          <w:tab w:val="left" w:pos="3636"/>
          <w:tab w:val="left" w:pos="7241"/>
        </w:tabs>
        <w:kinsoku w:val="0"/>
        <w:overflowPunct w:val="0"/>
        <w:ind w:left="2793" w:right="113"/>
        <w:rPr>
          <w:rFonts w:hint="default"/>
          <w:color w:val="auto"/>
          <w:sz w:val="24"/>
          <w:szCs w:val="24"/>
          <w:highlight w:val="none"/>
        </w:rPr>
      </w:pPr>
      <w:r>
        <w:rPr>
          <w:rFonts w:hint="default"/>
          <w:color w:val="auto"/>
          <w:sz w:val="24"/>
          <w:szCs w:val="24"/>
          <w:highlight w:val="none"/>
        </w:rPr>
        <w:t>投</w:t>
      </w:r>
      <w:r>
        <w:rPr>
          <w:rFonts w:hint="default"/>
          <w:color w:val="auto"/>
          <w:sz w:val="24"/>
          <w:szCs w:val="24"/>
          <w:highlight w:val="none"/>
        </w:rPr>
        <w:tab/>
      </w:r>
      <w:r>
        <w:rPr>
          <w:rFonts w:hint="default"/>
          <w:color w:val="auto"/>
          <w:sz w:val="24"/>
          <w:szCs w:val="24"/>
          <w:highlight w:val="none"/>
        </w:rPr>
        <w:t>标</w:t>
      </w:r>
      <w:r>
        <w:rPr>
          <w:rFonts w:hint="default"/>
          <w:color w:val="auto"/>
          <w:sz w:val="24"/>
          <w:szCs w:val="24"/>
          <w:highlight w:val="none"/>
        </w:rPr>
        <w:tab/>
      </w:r>
      <w:r>
        <w:rPr>
          <w:rFonts w:hint="default"/>
          <w:color w:val="auto"/>
          <w:spacing w:val="-3"/>
          <w:sz w:val="24"/>
          <w:szCs w:val="24"/>
          <w:highlight w:val="none"/>
        </w:rPr>
        <w:t>人：</w:t>
      </w:r>
      <w:r>
        <w:rPr>
          <w:rFonts w:hint="default" w:hAnsi="Times New Roman"/>
          <w:color w:val="auto"/>
          <w:spacing w:val="-3"/>
          <w:sz w:val="24"/>
          <w:szCs w:val="24"/>
          <w:highlight w:val="none"/>
          <w:u w:val="single"/>
          <w:lang w:val="en-US" w:eastAsia="zh-CN"/>
        </w:rPr>
        <w:t xml:space="preserve">                       </w:t>
      </w:r>
      <w:r>
        <w:rPr>
          <w:rFonts w:hint="default"/>
          <w:color w:val="auto"/>
          <w:sz w:val="24"/>
          <w:szCs w:val="24"/>
          <w:highlight w:val="none"/>
        </w:rPr>
        <w:t>（盖单位章）</w:t>
      </w:r>
    </w:p>
    <w:p w14:paraId="1D02A5DF">
      <w:pPr>
        <w:pStyle w:val="12"/>
        <w:kinsoku w:val="0"/>
        <w:overflowPunct w:val="0"/>
        <w:ind w:left="0"/>
        <w:rPr>
          <w:rFonts w:hint="default"/>
          <w:color w:val="auto"/>
          <w:sz w:val="24"/>
          <w:szCs w:val="24"/>
          <w:highlight w:val="none"/>
        </w:rPr>
      </w:pPr>
    </w:p>
    <w:p w14:paraId="01BDD97D">
      <w:pPr>
        <w:pStyle w:val="12"/>
        <w:tabs>
          <w:tab w:val="left" w:pos="6401"/>
        </w:tabs>
        <w:kinsoku w:val="0"/>
        <w:overflowPunct w:val="0"/>
        <w:spacing w:before="36"/>
        <w:ind w:left="2791" w:right="113"/>
        <w:rPr>
          <w:rFonts w:hint="default"/>
          <w:color w:val="auto"/>
          <w:spacing w:val="-1"/>
          <w:sz w:val="24"/>
          <w:szCs w:val="24"/>
          <w:highlight w:val="none"/>
        </w:rPr>
      </w:pPr>
      <w:r>
        <w:rPr>
          <w:rFonts w:hint="default"/>
          <w:color w:val="auto"/>
          <w:spacing w:val="-2"/>
          <w:sz w:val="24"/>
          <w:szCs w:val="24"/>
          <w:highlight w:val="none"/>
        </w:rPr>
        <w:t>法定代表人：</w:t>
      </w:r>
      <w:r>
        <w:rPr>
          <w:rFonts w:hint="eastAsia" w:ascii="Times New Roman" w:hAnsi="Times New Roman" w:eastAsia="Times New Roman"/>
          <w:color w:val="auto"/>
          <w:spacing w:val="-2"/>
          <w:sz w:val="24"/>
          <w:szCs w:val="24"/>
          <w:highlight w:val="none"/>
          <w:u w:val="single"/>
        </w:rPr>
        <w:tab/>
      </w:r>
      <w:r>
        <w:rPr>
          <w:rFonts w:hint="default" w:hAnsi="Times New Roman"/>
          <w:color w:val="auto"/>
          <w:spacing w:val="-2"/>
          <w:sz w:val="24"/>
          <w:szCs w:val="24"/>
          <w:highlight w:val="none"/>
          <w:u w:val="single"/>
          <w:lang w:val="en-US" w:eastAsia="zh-CN"/>
        </w:rPr>
        <w:t xml:space="preserve">    </w:t>
      </w:r>
      <w:r>
        <w:rPr>
          <w:rFonts w:hint="default"/>
          <w:color w:val="auto"/>
          <w:spacing w:val="-1"/>
          <w:sz w:val="24"/>
          <w:szCs w:val="24"/>
          <w:highlight w:val="none"/>
        </w:rPr>
        <w:t>（签字或盖章）</w:t>
      </w:r>
    </w:p>
    <w:p w14:paraId="53703A44">
      <w:pPr>
        <w:pStyle w:val="12"/>
        <w:kinsoku w:val="0"/>
        <w:overflowPunct w:val="0"/>
        <w:ind w:left="0"/>
        <w:rPr>
          <w:rFonts w:hint="default"/>
          <w:color w:val="auto"/>
          <w:sz w:val="24"/>
          <w:szCs w:val="24"/>
          <w:highlight w:val="none"/>
        </w:rPr>
      </w:pPr>
    </w:p>
    <w:p w14:paraId="677DBA57">
      <w:pPr>
        <w:pStyle w:val="12"/>
        <w:tabs>
          <w:tab w:val="left" w:pos="8549"/>
        </w:tabs>
        <w:kinsoku w:val="0"/>
        <w:overflowPunct w:val="0"/>
        <w:spacing w:before="36"/>
        <w:ind w:left="2793" w:right="113"/>
        <w:rPr>
          <w:rFonts w:hint="eastAsia" w:ascii="Times New Roman" w:hAnsi="Times New Roman" w:eastAsia="Times New Roman"/>
          <w:color w:val="auto"/>
          <w:sz w:val="24"/>
          <w:szCs w:val="24"/>
          <w:highlight w:val="none"/>
          <w:lang w:val="en-US" w:eastAsia="zh-CN"/>
        </w:rPr>
      </w:pPr>
      <w:r>
        <w:rPr>
          <w:rFonts w:hint="default"/>
          <w:color w:val="auto"/>
          <w:sz w:val="24"/>
          <w:szCs w:val="24"/>
          <w:highlight w:val="none"/>
        </w:rPr>
        <w:t>身份证号码：</w:t>
      </w:r>
      <w:r>
        <w:rPr>
          <w:rFonts w:hint="eastAsia" w:ascii="Times New Roman" w:hAnsi="Times New Roman" w:eastAsia="Times New Roman"/>
          <w:color w:val="auto"/>
          <w:sz w:val="24"/>
          <w:szCs w:val="24"/>
          <w:highlight w:val="none"/>
          <w:u w:val="single"/>
        </w:rPr>
        <w:t xml:space="preserve"> </w:t>
      </w:r>
      <w:r>
        <w:rPr>
          <w:rFonts w:hint="default" w:hAnsi="Times New Roman"/>
          <w:color w:val="auto"/>
          <w:sz w:val="24"/>
          <w:szCs w:val="24"/>
          <w:highlight w:val="none"/>
          <w:u w:val="single"/>
          <w:lang w:val="en-US" w:eastAsia="zh-CN"/>
        </w:rPr>
        <w:t xml:space="preserve">                        </w:t>
      </w:r>
      <w:r>
        <w:rPr>
          <w:rFonts w:hint="default" w:hAnsi="Times New Roman"/>
          <w:color w:val="auto"/>
          <w:sz w:val="24"/>
          <w:szCs w:val="24"/>
          <w:highlight w:val="none"/>
          <w:lang w:val="en-US" w:eastAsia="zh-CN"/>
        </w:rPr>
        <w:t xml:space="preserve">               </w:t>
      </w:r>
    </w:p>
    <w:p w14:paraId="1CED78B5">
      <w:pPr>
        <w:pStyle w:val="12"/>
        <w:kinsoku w:val="0"/>
        <w:overflowPunct w:val="0"/>
        <w:ind w:left="0"/>
        <w:rPr>
          <w:rFonts w:hint="eastAsia" w:ascii="Times New Roman" w:hAnsi="Times New Roman" w:eastAsia="Times New Roman"/>
          <w:color w:val="auto"/>
          <w:sz w:val="24"/>
          <w:szCs w:val="24"/>
          <w:highlight w:val="none"/>
        </w:rPr>
      </w:pPr>
    </w:p>
    <w:p w14:paraId="04AF2729">
      <w:pPr>
        <w:pStyle w:val="12"/>
        <w:tabs>
          <w:tab w:val="left" w:pos="7661"/>
        </w:tabs>
        <w:kinsoku w:val="0"/>
        <w:overflowPunct w:val="0"/>
        <w:spacing w:before="36"/>
        <w:ind w:left="2793" w:right="113"/>
        <w:rPr>
          <w:rFonts w:hint="default"/>
          <w:color w:val="auto"/>
          <w:spacing w:val="-1"/>
          <w:sz w:val="24"/>
          <w:szCs w:val="24"/>
          <w:highlight w:val="none"/>
        </w:rPr>
      </w:pPr>
      <w:r>
        <w:rPr>
          <w:rFonts w:hint="default"/>
          <w:color w:val="auto"/>
          <w:spacing w:val="-2"/>
          <w:sz w:val="24"/>
          <w:szCs w:val="24"/>
          <w:highlight w:val="none"/>
        </w:rPr>
        <w:t>委托代理人：</w:t>
      </w:r>
      <w:r>
        <w:rPr>
          <w:rFonts w:hint="default"/>
          <w:color w:val="auto"/>
          <w:spacing w:val="-2"/>
          <w:sz w:val="24"/>
          <w:szCs w:val="24"/>
          <w:highlight w:val="none"/>
          <w:u w:val="single"/>
          <w:lang w:val="en-US" w:eastAsia="zh-CN"/>
        </w:rPr>
        <w:t xml:space="preserve">                         </w:t>
      </w:r>
      <w:r>
        <w:rPr>
          <w:rFonts w:hint="default"/>
          <w:color w:val="auto"/>
          <w:spacing w:val="-1"/>
          <w:sz w:val="24"/>
          <w:szCs w:val="24"/>
          <w:highlight w:val="none"/>
        </w:rPr>
        <w:t>（签字）</w:t>
      </w:r>
    </w:p>
    <w:p w14:paraId="630B1144">
      <w:pPr>
        <w:pStyle w:val="12"/>
        <w:kinsoku w:val="0"/>
        <w:overflowPunct w:val="0"/>
        <w:ind w:left="0"/>
        <w:rPr>
          <w:rFonts w:hint="default"/>
          <w:color w:val="auto"/>
          <w:sz w:val="24"/>
          <w:szCs w:val="24"/>
          <w:highlight w:val="none"/>
        </w:rPr>
      </w:pPr>
    </w:p>
    <w:p w14:paraId="3A7C552A">
      <w:pPr>
        <w:pStyle w:val="12"/>
        <w:tabs>
          <w:tab w:val="left" w:pos="8549"/>
        </w:tabs>
        <w:kinsoku w:val="0"/>
        <w:overflowPunct w:val="0"/>
        <w:spacing w:before="36"/>
        <w:ind w:left="2793" w:right="113"/>
        <w:rPr>
          <w:rFonts w:hint="eastAsia" w:ascii="Times New Roman" w:hAnsi="Times New Roman" w:eastAsia="Times New Roman"/>
          <w:color w:val="auto"/>
          <w:sz w:val="24"/>
          <w:szCs w:val="24"/>
          <w:highlight w:val="none"/>
          <w:u w:val="single"/>
        </w:rPr>
      </w:pPr>
      <w:r>
        <w:rPr>
          <w:rFonts w:hint="default"/>
          <w:color w:val="auto"/>
          <w:sz w:val="24"/>
          <w:szCs w:val="24"/>
          <w:highlight w:val="none"/>
        </w:rPr>
        <w:t>身份证号码：</w:t>
      </w:r>
      <w:r>
        <w:rPr>
          <w:rFonts w:hint="eastAsia" w:ascii="Times New Roman" w:hAnsi="Times New Roman" w:eastAsia="Times New Roman"/>
          <w:color w:val="auto"/>
          <w:sz w:val="24"/>
          <w:szCs w:val="24"/>
          <w:highlight w:val="none"/>
          <w:u w:val="single"/>
        </w:rPr>
        <w:t xml:space="preserve"> </w:t>
      </w:r>
      <w:r>
        <w:rPr>
          <w:rFonts w:hint="default" w:hAnsi="Times New Roman"/>
          <w:color w:val="auto"/>
          <w:sz w:val="24"/>
          <w:szCs w:val="24"/>
          <w:highlight w:val="none"/>
          <w:u w:val="single"/>
          <w:lang w:val="en-US" w:eastAsia="zh-CN"/>
        </w:rPr>
        <w:t xml:space="preserve">                        </w:t>
      </w:r>
      <w:r>
        <w:rPr>
          <w:rFonts w:hint="default" w:hAnsi="Times New Roman"/>
          <w:color w:val="auto"/>
          <w:sz w:val="24"/>
          <w:szCs w:val="24"/>
          <w:highlight w:val="none"/>
          <w:lang w:val="en-US" w:eastAsia="zh-CN"/>
        </w:rPr>
        <w:t xml:space="preserve">               </w:t>
      </w:r>
    </w:p>
    <w:p w14:paraId="15AB393E">
      <w:pPr>
        <w:pStyle w:val="12"/>
        <w:kinsoku w:val="0"/>
        <w:overflowPunct w:val="0"/>
        <w:spacing w:before="9"/>
        <w:ind w:left="0"/>
        <w:rPr>
          <w:rFonts w:hint="eastAsia" w:ascii="Times New Roman" w:hAnsi="Times New Roman" w:eastAsia="Times New Roman"/>
          <w:color w:val="auto"/>
          <w:sz w:val="24"/>
          <w:szCs w:val="24"/>
          <w:highlight w:val="none"/>
        </w:rPr>
      </w:pPr>
    </w:p>
    <w:p w14:paraId="34667797">
      <w:pPr>
        <w:pStyle w:val="12"/>
        <w:tabs>
          <w:tab w:val="left" w:pos="736"/>
          <w:tab w:val="left" w:pos="1682"/>
          <w:tab w:val="left" w:pos="2626"/>
        </w:tabs>
        <w:kinsoku w:val="0"/>
        <w:overflowPunct w:val="0"/>
        <w:spacing w:before="36"/>
        <w:ind w:left="0" w:right="113"/>
        <w:jc w:val="both"/>
        <w:rPr>
          <w:rFonts w:hint="default"/>
          <w:color w:val="auto"/>
          <w:sz w:val="24"/>
          <w:szCs w:val="24"/>
          <w:highlight w:val="none"/>
          <w:u w:val="single"/>
          <w:lang w:val="en-US" w:eastAsia="zh-CN"/>
        </w:rPr>
      </w:pPr>
      <w:r>
        <w:rPr>
          <w:rFonts w:hint="default"/>
          <w:color w:val="auto"/>
          <w:sz w:val="24"/>
          <w:szCs w:val="24"/>
          <w:highlight w:val="none"/>
          <w:lang w:val="en-US" w:eastAsia="zh-CN"/>
        </w:rPr>
        <w:t xml:space="preserve">                                  </w:t>
      </w:r>
      <w:r>
        <w:rPr>
          <w:rFonts w:hint="default"/>
          <w:color w:val="auto"/>
          <w:sz w:val="24"/>
          <w:szCs w:val="24"/>
          <w:highlight w:val="none"/>
          <w:u w:val="single"/>
          <w:lang w:val="en-US" w:eastAsia="zh-CN"/>
        </w:rPr>
        <w:t xml:space="preserve">        </w:t>
      </w:r>
      <w:r>
        <w:rPr>
          <w:rFonts w:hint="default"/>
          <w:color w:val="auto"/>
          <w:sz w:val="24"/>
          <w:szCs w:val="24"/>
          <w:highlight w:val="none"/>
          <w:lang w:val="en-US" w:eastAsia="zh-CN"/>
        </w:rPr>
        <w:t>年</w:t>
      </w:r>
      <w:r>
        <w:rPr>
          <w:rFonts w:hint="default"/>
          <w:color w:val="auto"/>
          <w:sz w:val="24"/>
          <w:szCs w:val="24"/>
          <w:highlight w:val="none"/>
          <w:u w:val="single"/>
          <w:lang w:val="en-US" w:eastAsia="zh-CN"/>
        </w:rPr>
        <w:t xml:space="preserve">     </w:t>
      </w:r>
      <w:r>
        <w:rPr>
          <w:rFonts w:hint="default"/>
          <w:color w:val="auto"/>
          <w:sz w:val="24"/>
          <w:szCs w:val="24"/>
          <w:highlight w:val="none"/>
          <w:lang w:val="en-US" w:eastAsia="zh-CN"/>
        </w:rPr>
        <w:t>月</w:t>
      </w:r>
      <w:r>
        <w:rPr>
          <w:rFonts w:hint="default"/>
          <w:color w:val="auto"/>
          <w:sz w:val="24"/>
          <w:szCs w:val="24"/>
          <w:highlight w:val="none"/>
          <w:u w:val="single"/>
          <w:lang w:val="en-US" w:eastAsia="zh-CN"/>
        </w:rPr>
        <w:t xml:space="preserve">     </w:t>
      </w:r>
      <w:r>
        <w:rPr>
          <w:rFonts w:hint="default"/>
          <w:color w:val="auto"/>
          <w:sz w:val="24"/>
          <w:szCs w:val="24"/>
          <w:highlight w:val="none"/>
          <w:lang w:val="en-US" w:eastAsia="zh-CN"/>
        </w:rPr>
        <w:t>日</w:t>
      </w:r>
    </w:p>
    <w:p w14:paraId="72ACACB0">
      <w:pPr>
        <w:pStyle w:val="12"/>
        <w:tabs>
          <w:tab w:val="left" w:pos="736"/>
          <w:tab w:val="left" w:pos="1682"/>
          <w:tab w:val="left" w:pos="2626"/>
        </w:tabs>
        <w:kinsoku w:val="0"/>
        <w:overflowPunct w:val="0"/>
        <w:spacing w:before="36"/>
        <w:ind w:left="0"/>
        <w:jc w:val="right"/>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36560B1D">
      <w:pPr>
        <w:pStyle w:val="5"/>
        <w:jc w:val="center"/>
        <w:outlineLvl w:val="1"/>
        <w:rPr>
          <w:rFonts w:hint="default"/>
          <w:strike w:val="0"/>
          <w:color w:val="auto"/>
          <w:sz w:val="28"/>
          <w:szCs w:val="24"/>
          <w:highlight w:val="none"/>
        </w:rPr>
      </w:pPr>
      <w:r>
        <w:rPr>
          <w:rFonts w:hint="default"/>
          <w:strike w:val="0"/>
          <w:color w:val="auto"/>
          <w:sz w:val="28"/>
          <w:szCs w:val="24"/>
          <w:highlight w:val="none"/>
        </w:rPr>
        <w:t>三、联合体协议书</w:t>
      </w:r>
    </w:p>
    <w:p w14:paraId="1A67E3A6">
      <w:pPr>
        <w:pStyle w:val="12"/>
        <w:tabs>
          <w:tab w:val="left" w:pos="2202"/>
          <w:tab w:val="left" w:pos="6000"/>
        </w:tabs>
        <w:kinsoku w:val="0"/>
        <w:overflowPunct w:val="0"/>
        <w:spacing w:line="360" w:lineRule="auto"/>
        <w:ind w:left="0" w:firstLine="420" w:firstLineChars="200"/>
        <w:rPr>
          <w:rFonts w:hint="default"/>
          <w:strike w:val="0"/>
          <w:color w:val="auto"/>
          <w:spacing w:val="-1"/>
          <w:sz w:val="21"/>
          <w:szCs w:val="24"/>
          <w:highlight w:val="none"/>
        </w:rPr>
      </w:pPr>
      <w:r>
        <w:rPr>
          <w:rFonts w:hint="eastAsia" w:ascii="Times New Roman" w:hAnsi="Times New Roman" w:eastAsia="Times New Roman"/>
          <w:strike w:val="0"/>
          <w:color w:val="auto"/>
          <w:sz w:val="21"/>
          <w:szCs w:val="24"/>
          <w:highlight w:val="none"/>
          <w:u w:val="single"/>
        </w:rPr>
        <w:t xml:space="preserve"> </w:t>
      </w:r>
      <w:r>
        <w:rPr>
          <w:rFonts w:hint="eastAsia" w:ascii="Times New Roman" w:hAnsi="Times New Roman" w:eastAsia="Times New Roman"/>
          <w:strike w:val="0"/>
          <w:color w:val="auto"/>
          <w:sz w:val="21"/>
          <w:szCs w:val="24"/>
          <w:highlight w:val="none"/>
          <w:u w:val="single"/>
        </w:rPr>
        <w:tab/>
      </w:r>
      <w:r>
        <w:rPr>
          <w:rFonts w:hint="default"/>
          <w:strike w:val="0"/>
          <w:color w:val="auto"/>
          <w:spacing w:val="-1"/>
          <w:sz w:val="21"/>
          <w:szCs w:val="24"/>
          <w:highlight w:val="none"/>
        </w:rPr>
        <w:t>（所有成员单位名称）自愿组成</w:t>
      </w:r>
      <w:r>
        <w:rPr>
          <w:rFonts w:hint="eastAsia" w:ascii="Times New Roman" w:hAnsi="Times New Roman" w:eastAsia="Times New Roman"/>
          <w:strike w:val="0"/>
          <w:color w:val="auto"/>
          <w:spacing w:val="-1"/>
          <w:sz w:val="21"/>
          <w:szCs w:val="24"/>
          <w:highlight w:val="none"/>
          <w:u w:val="single"/>
        </w:rPr>
        <w:tab/>
      </w:r>
      <w:r>
        <w:rPr>
          <w:rFonts w:hint="default"/>
          <w:strike w:val="0"/>
          <w:color w:val="auto"/>
          <w:sz w:val="21"/>
          <w:szCs w:val="24"/>
          <w:highlight w:val="none"/>
        </w:rPr>
        <w:t>（联合体名称）联合体，共同</w:t>
      </w:r>
      <w:r>
        <w:rPr>
          <w:rFonts w:hint="default"/>
          <w:strike w:val="0"/>
          <w:color w:val="auto"/>
          <w:spacing w:val="-1"/>
          <w:sz w:val="21"/>
          <w:szCs w:val="24"/>
          <w:highlight w:val="none"/>
        </w:rPr>
        <w:t>参加</w:t>
      </w:r>
      <w:r>
        <w:rPr>
          <w:rFonts w:hint="eastAsia" w:ascii="Times New Roman" w:hAnsi="Times New Roman" w:eastAsia="Times New Roman"/>
          <w:strike w:val="0"/>
          <w:color w:val="auto"/>
          <w:spacing w:val="-1"/>
          <w:sz w:val="21"/>
          <w:szCs w:val="24"/>
          <w:highlight w:val="none"/>
          <w:u w:val="single"/>
        </w:rPr>
        <w:tab/>
      </w:r>
      <w:r>
        <w:rPr>
          <w:rFonts w:hint="default"/>
          <w:strike w:val="0"/>
          <w:color w:val="auto"/>
          <w:spacing w:val="-1"/>
          <w:sz w:val="21"/>
          <w:szCs w:val="24"/>
          <w:highlight w:val="none"/>
        </w:rPr>
        <w:t>（项目名称）监理招标项目投标。现就联合体投标事宜订立如下协议。</w:t>
      </w:r>
    </w:p>
    <w:p w14:paraId="3C0CDF97">
      <w:pPr>
        <w:pStyle w:val="12"/>
        <w:tabs>
          <w:tab w:val="left" w:pos="2673"/>
          <w:tab w:val="left" w:pos="5614"/>
        </w:tabs>
        <w:kinsoku w:val="0"/>
        <w:overflowPunct w:val="0"/>
        <w:spacing w:before="36" w:line="360" w:lineRule="auto"/>
        <w:rPr>
          <w:rFonts w:hint="default"/>
          <w:strike w:val="0"/>
          <w:color w:val="auto"/>
          <w:spacing w:val="-2"/>
          <w:sz w:val="21"/>
          <w:szCs w:val="24"/>
          <w:highlight w:val="none"/>
        </w:rPr>
      </w:pPr>
      <w:r>
        <w:rPr>
          <w:rFonts w:hint="eastAsia" w:ascii="Times New Roman" w:hAnsi="Times New Roman" w:eastAsia="Times New Roman"/>
          <w:strike w:val="0"/>
          <w:color w:val="auto"/>
          <w:sz w:val="21"/>
          <w:szCs w:val="24"/>
          <w:highlight w:val="none"/>
        </w:rPr>
        <w:t>1.</w:t>
      </w:r>
      <w:r>
        <w:rPr>
          <w:rFonts w:hint="eastAsia" w:ascii="Times New Roman" w:hAnsi="Times New Roman" w:eastAsia="Times New Roman"/>
          <w:strike w:val="0"/>
          <w:color w:val="auto"/>
          <w:sz w:val="21"/>
          <w:szCs w:val="24"/>
          <w:highlight w:val="none"/>
          <w:u w:val="single"/>
        </w:rPr>
        <w:tab/>
      </w:r>
      <w:r>
        <w:rPr>
          <w:rFonts w:hint="default"/>
          <w:strike w:val="0"/>
          <w:color w:val="auto"/>
          <w:spacing w:val="-2"/>
          <w:sz w:val="21"/>
          <w:szCs w:val="24"/>
          <w:highlight w:val="none"/>
        </w:rPr>
        <w:t>（某成员单位名称）为</w:t>
      </w:r>
      <w:r>
        <w:rPr>
          <w:rFonts w:hint="eastAsia" w:ascii="Times New Roman" w:hAnsi="Times New Roman" w:eastAsia="Times New Roman"/>
          <w:strike w:val="0"/>
          <w:color w:val="auto"/>
          <w:spacing w:val="-2"/>
          <w:sz w:val="21"/>
          <w:szCs w:val="24"/>
          <w:highlight w:val="none"/>
          <w:u w:val="single"/>
        </w:rPr>
        <w:tab/>
      </w:r>
      <w:r>
        <w:rPr>
          <w:rFonts w:hint="default"/>
          <w:strike w:val="0"/>
          <w:color w:val="auto"/>
          <w:spacing w:val="-2"/>
          <w:sz w:val="21"/>
          <w:szCs w:val="24"/>
          <w:highlight w:val="none"/>
        </w:rPr>
        <w:t>（联合体名称）</w:t>
      </w:r>
      <w:r>
        <w:rPr>
          <w:rFonts w:hint="default"/>
          <w:strike w:val="0"/>
          <w:color w:val="auto"/>
          <w:spacing w:val="-2"/>
          <w:sz w:val="21"/>
          <w:szCs w:val="24"/>
          <w:highlight w:val="none"/>
          <w:lang w:eastAsia="zh-CN"/>
        </w:rPr>
        <w:t>主办方</w:t>
      </w:r>
      <w:r>
        <w:rPr>
          <w:rFonts w:hint="default"/>
          <w:strike w:val="0"/>
          <w:color w:val="auto"/>
          <w:spacing w:val="-2"/>
          <w:sz w:val="21"/>
          <w:szCs w:val="24"/>
          <w:highlight w:val="none"/>
        </w:rPr>
        <w:t>。</w:t>
      </w:r>
    </w:p>
    <w:p w14:paraId="43CEF3A5">
      <w:pPr>
        <w:pStyle w:val="12"/>
        <w:kinsoku w:val="0"/>
        <w:overflowPunct w:val="0"/>
        <w:spacing w:before="148" w:line="360" w:lineRule="auto"/>
        <w:ind w:left="100" w:firstLine="419"/>
        <w:rPr>
          <w:rFonts w:hint="default"/>
          <w:strike w:val="0"/>
          <w:color w:val="auto"/>
          <w:sz w:val="21"/>
          <w:szCs w:val="24"/>
          <w:highlight w:val="none"/>
        </w:rPr>
      </w:pPr>
      <w:r>
        <w:rPr>
          <w:rFonts w:hint="eastAsia" w:ascii="Times New Roman" w:hAnsi="Times New Roman" w:eastAsia="Times New Roman"/>
          <w:strike w:val="0"/>
          <w:color w:val="auto"/>
          <w:sz w:val="21"/>
          <w:szCs w:val="24"/>
          <w:highlight w:val="none"/>
        </w:rPr>
        <w:t>2.</w:t>
      </w:r>
      <w:r>
        <w:rPr>
          <w:rFonts w:hint="eastAsia" w:ascii="Times New Roman" w:hAnsi="Times New Roman" w:eastAsia="Times New Roman"/>
          <w:strike w:val="0"/>
          <w:color w:val="auto"/>
          <w:spacing w:val="50"/>
          <w:sz w:val="21"/>
          <w:szCs w:val="24"/>
          <w:highlight w:val="none"/>
        </w:rPr>
        <w:t xml:space="preserve"> </w:t>
      </w:r>
      <w:r>
        <w:rPr>
          <w:rFonts w:hint="default"/>
          <w:strike w:val="0"/>
          <w:color w:val="auto"/>
          <w:spacing w:val="-5"/>
          <w:sz w:val="21"/>
          <w:szCs w:val="24"/>
          <w:highlight w:val="none"/>
        </w:rPr>
        <w:t>联合体各成员授权</w:t>
      </w:r>
      <w:r>
        <w:rPr>
          <w:rFonts w:hint="default"/>
          <w:strike w:val="0"/>
          <w:color w:val="auto"/>
          <w:spacing w:val="-2"/>
          <w:sz w:val="21"/>
          <w:szCs w:val="24"/>
          <w:highlight w:val="none"/>
          <w:lang w:eastAsia="zh-CN"/>
        </w:rPr>
        <w:t>主办方</w:t>
      </w:r>
      <w:r>
        <w:rPr>
          <w:rFonts w:hint="default"/>
          <w:strike w:val="0"/>
          <w:color w:val="auto"/>
          <w:spacing w:val="-5"/>
          <w:sz w:val="21"/>
          <w:szCs w:val="24"/>
          <w:highlight w:val="none"/>
        </w:rPr>
        <w:t>代表联合体参加投标活动，签署文件，提交和接收相关的资料、</w:t>
      </w:r>
      <w:r>
        <w:rPr>
          <w:rFonts w:hint="default"/>
          <w:strike w:val="0"/>
          <w:color w:val="auto"/>
          <w:sz w:val="21"/>
          <w:szCs w:val="24"/>
          <w:highlight w:val="none"/>
        </w:rPr>
        <w:t xml:space="preserve"> 信息及指示，进行合同谈判活动，负责合同实施阶段的组织和协调工作，以及处理与本招标项</w:t>
      </w:r>
      <w:r>
        <w:rPr>
          <w:rFonts w:hint="default"/>
          <w:strike w:val="0"/>
          <w:color w:val="auto"/>
          <w:spacing w:val="-78"/>
          <w:sz w:val="21"/>
          <w:szCs w:val="24"/>
          <w:highlight w:val="none"/>
        </w:rPr>
        <w:t xml:space="preserve"> </w:t>
      </w:r>
      <w:r>
        <w:rPr>
          <w:rFonts w:hint="default"/>
          <w:strike w:val="0"/>
          <w:color w:val="auto"/>
          <w:sz w:val="21"/>
          <w:szCs w:val="24"/>
          <w:highlight w:val="none"/>
        </w:rPr>
        <w:t>目有关的一切事宜。</w:t>
      </w:r>
    </w:p>
    <w:p w14:paraId="5676A4C9">
      <w:pPr>
        <w:pStyle w:val="12"/>
        <w:kinsoku w:val="0"/>
        <w:overflowPunct w:val="0"/>
        <w:spacing w:before="46" w:line="360" w:lineRule="auto"/>
        <w:ind w:left="100" w:firstLine="419"/>
        <w:rPr>
          <w:rFonts w:hint="default"/>
          <w:strike w:val="0"/>
          <w:color w:val="auto"/>
          <w:sz w:val="21"/>
          <w:szCs w:val="24"/>
          <w:highlight w:val="none"/>
        </w:rPr>
      </w:pPr>
      <w:r>
        <w:rPr>
          <w:rFonts w:hint="eastAsia" w:ascii="Times New Roman" w:hAnsi="Times New Roman" w:eastAsia="Times New Roman"/>
          <w:strike w:val="0"/>
          <w:color w:val="auto"/>
          <w:sz w:val="21"/>
          <w:szCs w:val="24"/>
          <w:highlight w:val="none"/>
        </w:rPr>
        <w:t>3.</w:t>
      </w:r>
      <w:r>
        <w:rPr>
          <w:rFonts w:hint="eastAsia" w:ascii="Times New Roman" w:hAnsi="Times New Roman" w:eastAsia="Times New Roman"/>
          <w:strike w:val="0"/>
          <w:color w:val="auto"/>
          <w:spacing w:val="20"/>
          <w:sz w:val="21"/>
          <w:szCs w:val="24"/>
          <w:highlight w:val="none"/>
        </w:rPr>
        <w:t xml:space="preserve"> </w:t>
      </w:r>
      <w:r>
        <w:rPr>
          <w:rFonts w:hint="default"/>
          <w:strike w:val="0"/>
          <w:color w:val="auto"/>
          <w:spacing w:val="-3"/>
          <w:sz w:val="21"/>
          <w:szCs w:val="24"/>
          <w:highlight w:val="none"/>
        </w:rPr>
        <w:t>联合体</w:t>
      </w:r>
      <w:r>
        <w:rPr>
          <w:rFonts w:hint="default"/>
          <w:strike w:val="0"/>
          <w:color w:val="auto"/>
          <w:spacing w:val="-2"/>
          <w:sz w:val="21"/>
          <w:szCs w:val="24"/>
          <w:highlight w:val="none"/>
          <w:lang w:eastAsia="zh-CN"/>
        </w:rPr>
        <w:t>主办方</w:t>
      </w:r>
      <w:r>
        <w:rPr>
          <w:rFonts w:hint="default"/>
          <w:strike w:val="0"/>
          <w:color w:val="auto"/>
          <w:spacing w:val="-3"/>
          <w:sz w:val="21"/>
          <w:szCs w:val="24"/>
          <w:highlight w:val="none"/>
        </w:rPr>
        <w:t>在本项目中签署的一切文件和处理的一切事宜，联合体各成员均予以承认。</w:t>
      </w:r>
      <w:r>
        <w:rPr>
          <w:rFonts w:hint="default"/>
          <w:strike w:val="0"/>
          <w:color w:val="auto"/>
          <w:sz w:val="21"/>
          <w:szCs w:val="24"/>
          <w:highlight w:val="none"/>
        </w:rPr>
        <w:t xml:space="preserve"> 联合体各成员将严格按照招标文件、投标文件和合同的要求全面履行义务，并向招标人承担连</w:t>
      </w:r>
      <w:r>
        <w:rPr>
          <w:rFonts w:hint="default"/>
          <w:strike w:val="0"/>
          <w:color w:val="auto"/>
          <w:spacing w:val="-77"/>
          <w:sz w:val="21"/>
          <w:szCs w:val="24"/>
          <w:highlight w:val="none"/>
        </w:rPr>
        <w:t xml:space="preserve"> </w:t>
      </w:r>
      <w:r>
        <w:rPr>
          <w:rFonts w:hint="default"/>
          <w:strike w:val="0"/>
          <w:color w:val="auto"/>
          <w:sz w:val="21"/>
          <w:szCs w:val="24"/>
          <w:highlight w:val="none"/>
        </w:rPr>
        <w:t>带责任。</w:t>
      </w:r>
    </w:p>
    <w:p w14:paraId="69F93E94">
      <w:pPr>
        <w:pStyle w:val="12"/>
        <w:kinsoku w:val="0"/>
        <w:overflowPunct w:val="0"/>
        <w:spacing w:before="46" w:line="360" w:lineRule="auto"/>
        <w:ind w:left="100" w:firstLine="419"/>
        <w:rPr>
          <w:rFonts w:hint="default"/>
          <w:strike w:val="0"/>
          <w:color w:val="auto"/>
          <w:spacing w:val="-3"/>
          <w:sz w:val="21"/>
          <w:szCs w:val="24"/>
          <w:highlight w:val="none"/>
        </w:rPr>
      </w:pPr>
      <w:r>
        <w:rPr>
          <w:rFonts w:hint="eastAsia"/>
          <w:strike w:val="0"/>
          <w:color w:val="auto"/>
          <w:spacing w:val="-3"/>
          <w:sz w:val="21"/>
          <w:szCs w:val="24"/>
          <w:highlight w:val="none"/>
        </w:rPr>
        <w:t>4.</w:t>
      </w:r>
      <w:r>
        <w:rPr>
          <w:rFonts w:hint="default"/>
          <w:strike w:val="0"/>
          <w:color w:val="auto"/>
          <w:spacing w:val="-3"/>
          <w:sz w:val="21"/>
          <w:szCs w:val="24"/>
          <w:highlight w:val="none"/>
        </w:rPr>
        <w:t>联合体各成员单位内部的职责分工如下：</w:t>
      </w:r>
      <w:r>
        <w:rPr>
          <w:rFonts w:hint="eastAsia"/>
          <w:strike w:val="0"/>
          <w:color w:val="auto"/>
          <w:spacing w:val="-3"/>
          <w:sz w:val="21"/>
          <w:szCs w:val="24"/>
          <w:highlight w:val="none"/>
          <w:u w:val="single"/>
          <w:lang w:val="en-US" w:eastAsia="zh-CN"/>
        </w:rPr>
        <w:t xml:space="preserve">                     </w:t>
      </w:r>
      <w:r>
        <w:rPr>
          <w:rFonts w:hint="eastAsia"/>
          <w:strike w:val="0"/>
          <w:color w:val="auto"/>
          <w:spacing w:val="-3"/>
          <w:sz w:val="21"/>
          <w:szCs w:val="24"/>
          <w:highlight w:val="none"/>
          <w:u w:val="single"/>
        </w:rPr>
        <w:tab/>
      </w:r>
      <w:r>
        <w:rPr>
          <w:rFonts w:hint="default"/>
          <w:strike w:val="0"/>
          <w:color w:val="auto"/>
          <w:spacing w:val="-3"/>
          <w:sz w:val="21"/>
          <w:szCs w:val="24"/>
          <w:highlight w:val="none"/>
        </w:rPr>
        <w:t>。</w:t>
      </w:r>
    </w:p>
    <w:p w14:paraId="40287F7D">
      <w:pPr>
        <w:pStyle w:val="12"/>
        <w:kinsoku w:val="0"/>
        <w:overflowPunct w:val="0"/>
        <w:spacing w:before="151" w:line="360" w:lineRule="auto"/>
        <w:ind w:left="100" w:firstLine="419"/>
        <w:rPr>
          <w:rFonts w:hint="default"/>
          <w:strike w:val="0"/>
          <w:color w:val="auto"/>
          <w:sz w:val="21"/>
          <w:szCs w:val="24"/>
          <w:highlight w:val="none"/>
        </w:rPr>
      </w:pPr>
      <w:r>
        <w:rPr>
          <w:rFonts w:hint="eastAsia" w:ascii="Times New Roman" w:hAnsi="Times New Roman" w:eastAsia="Times New Roman"/>
          <w:strike w:val="0"/>
          <w:color w:val="auto"/>
          <w:sz w:val="21"/>
          <w:szCs w:val="24"/>
          <w:highlight w:val="none"/>
        </w:rPr>
        <w:t>5.</w:t>
      </w:r>
      <w:r>
        <w:rPr>
          <w:rFonts w:hint="eastAsia" w:ascii="Times New Roman" w:hAnsi="Times New Roman" w:eastAsia="Times New Roman"/>
          <w:strike w:val="0"/>
          <w:color w:val="auto"/>
          <w:spacing w:val="27"/>
          <w:sz w:val="21"/>
          <w:szCs w:val="24"/>
          <w:highlight w:val="none"/>
        </w:rPr>
        <w:t xml:space="preserve"> </w:t>
      </w:r>
      <w:r>
        <w:rPr>
          <w:rFonts w:hint="default"/>
          <w:strike w:val="0"/>
          <w:color w:val="auto"/>
          <w:sz w:val="21"/>
          <w:szCs w:val="24"/>
          <w:highlight w:val="none"/>
        </w:rPr>
        <w:t>本协议书自所有成员单位法定代表人或其委托代理人签字或盖单位章之日起生效，合同 履行完毕后自动失效。</w:t>
      </w:r>
    </w:p>
    <w:p w14:paraId="5A7B09E4">
      <w:pPr>
        <w:pStyle w:val="12"/>
        <w:tabs>
          <w:tab w:val="left" w:pos="2464"/>
        </w:tabs>
        <w:kinsoku w:val="0"/>
        <w:overflowPunct w:val="0"/>
        <w:spacing w:before="57" w:line="360" w:lineRule="auto"/>
        <w:rPr>
          <w:rFonts w:hint="default"/>
          <w:strike w:val="0"/>
          <w:color w:val="auto"/>
          <w:sz w:val="21"/>
          <w:szCs w:val="24"/>
          <w:highlight w:val="none"/>
        </w:rPr>
      </w:pPr>
      <w:r>
        <w:rPr>
          <w:rFonts w:hint="eastAsia" w:ascii="Times New Roman" w:hAnsi="Times New Roman" w:eastAsia="Times New Roman"/>
          <w:strike w:val="0"/>
          <w:color w:val="auto"/>
          <w:sz w:val="21"/>
          <w:szCs w:val="24"/>
          <w:highlight w:val="none"/>
        </w:rPr>
        <w:t>6.</w:t>
      </w:r>
      <w:r>
        <w:rPr>
          <w:rFonts w:hint="eastAsia" w:ascii="Times New Roman" w:hAnsi="Times New Roman" w:eastAsia="Times New Roman"/>
          <w:strike w:val="0"/>
          <w:color w:val="auto"/>
          <w:spacing w:val="50"/>
          <w:sz w:val="21"/>
          <w:szCs w:val="24"/>
          <w:highlight w:val="none"/>
        </w:rPr>
        <w:t xml:space="preserve"> </w:t>
      </w:r>
      <w:r>
        <w:rPr>
          <w:rFonts w:hint="default"/>
          <w:strike w:val="0"/>
          <w:color w:val="auto"/>
          <w:sz w:val="21"/>
          <w:szCs w:val="24"/>
          <w:highlight w:val="none"/>
        </w:rPr>
        <w:t>本协议书一式</w:t>
      </w:r>
      <w:r>
        <w:rPr>
          <w:rFonts w:hint="eastAsia" w:ascii="Times New Roman" w:hAnsi="Times New Roman" w:eastAsia="Times New Roman"/>
          <w:strike w:val="0"/>
          <w:color w:val="auto"/>
          <w:sz w:val="21"/>
          <w:szCs w:val="24"/>
          <w:highlight w:val="none"/>
          <w:u w:val="single"/>
        </w:rPr>
        <w:tab/>
      </w:r>
      <w:r>
        <w:rPr>
          <w:rFonts w:hint="default" w:hAnsi="Times New Roman"/>
          <w:strike w:val="0"/>
          <w:color w:val="auto"/>
          <w:sz w:val="21"/>
          <w:szCs w:val="24"/>
          <w:highlight w:val="none"/>
          <w:u w:val="single"/>
          <w:lang w:val="en-US" w:eastAsia="zh-CN"/>
        </w:rPr>
        <w:t xml:space="preserve">     </w:t>
      </w:r>
      <w:r>
        <w:rPr>
          <w:rFonts w:hint="default"/>
          <w:strike w:val="0"/>
          <w:color w:val="auto"/>
          <w:sz w:val="21"/>
          <w:szCs w:val="24"/>
          <w:highlight w:val="none"/>
        </w:rPr>
        <w:t>份，联合体成员和招标人各执一份。</w:t>
      </w:r>
    </w:p>
    <w:p w14:paraId="1DFEFEC5">
      <w:pPr>
        <w:pStyle w:val="12"/>
        <w:kinsoku w:val="0"/>
        <w:overflowPunct w:val="0"/>
        <w:spacing w:before="36" w:line="360" w:lineRule="auto"/>
        <w:ind w:left="100" w:firstLine="419"/>
        <w:rPr>
          <w:rFonts w:hint="default"/>
          <w:strike w:val="0"/>
          <w:color w:val="auto"/>
          <w:sz w:val="21"/>
          <w:szCs w:val="24"/>
          <w:highlight w:val="none"/>
        </w:rPr>
      </w:pPr>
      <w:r>
        <w:rPr>
          <w:rFonts w:hint="default"/>
          <w:strike w:val="0"/>
          <w:color w:val="auto"/>
          <w:spacing w:val="-1"/>
          <w:sz w:val="21"/>
          <w:szCs w:val="24"/>
          <w:highlight w:val="none"/>
        </w:rPr>
        <w:t>注：本协议书由法定代表人签字</w:t>
      </w:r>
      <w:r>
        <w:rPr>
          <w:rFonts w:hint="eastAsia"/>
          <w:strike w:val="0"/>
          <w:color w:val="auto"/>
          <w:spacing w:val="-1"/>
          <w:sz w:val="21"/>
          <w:szCs w:val="24"/>
          <w:highlight w:val="none"/>
          <w:lang w:val="en-US" w:eastAsia="zh-CN"/>
        </w:rPr>
        <w:t>或盖章</w:t>
      </w:r>
      <w:r>
        <w:rPr>
          <w:rFonts w:hint="default"/>
          <w:strike w:val="0"/>
          <w:color w:val="auto"/>
          <w:spacing w:val="-1"/>
          <w:sz w:val="21"/>
          <w:szCs w:val="24"/>
          <w:highlight w:val="none"/>
        </w:rPr>
        <w:t>的，应附法定代表人身份证明；由委托代理人签字的，应附法定代表人身份证明</w:t>
      </w:r>
      <w:r>
        <w:rPr>
          <w:rFonts w:hint="default"/>
          <w:strike w:val="0"/>
          <w:color w:val="auto"/>
          <w:spacing w:val="-1"/>
          <w:sz w:val="21"/>
          <w:szCs w:val="24"/>
          <w:highlight w:val="none"/>
          <w:lang w:eastAsia="zh-CN"/>
        </w:rPr>
        <w:t>和</w:t>
      </w:r>
      <w:r>
        <w:rPr>
          <w:rFonts w:hint="default"/>
          <w:strike w:val="0"/>
          <w:color w:val="auto"/>
          <w:sz w:val="21"/>
          <w:szCs w:val="24"/>
          <w:highlight w:val="none"/>
        </w:rPr>
        <w:t>授权委托书。</w:t>
      </w:r>
    </w:p>
    <w:p w14:paraId="50BF72FD">
      <w:pPr>
        <w:pStyle w:val="12"/>
        <w:kinsoku w:val="0"/>
        <w:overflowPunct w:val="0"/>
        <w:spacing w:before="36" w:line="360" w:lineRule="auto"/>
        <w:ind w:left="100" w:firstLine="419"/>
        <w:rPr>
          <w:rFonts w:hint="default"/>
          <w:strike w:val="0"/>
          <w:color w:val="auto"/>
          <w:sz w:val="21"/>
          <w:szCs w:val="24"/>
          <w:highlight w:val="none"/>
        </w:rPr>
      </w:pPr>
    </w:p>
    <w:p w14:paraId="4516687F">
      <w:pPr>
        <w:pStyle w:val="12"/>
        <w:tabs>
          <w:tab w:val="left" w:pos="7241"/>
        </w:tabs>
        <w:kinsoku w:val="0"/>
        <w:overflowPunct w:val="0"/>
        <w:spacing w:line="360" w:lineRule="auto"/>
        <w:ind w:left="2510"/>
        <w:rPr>
          <w:rFonts w:hint="default"/>
          <w:strike w:val="0"/>
          <w:color w:val="auto"/>
          <w:sz w:val="21"/>
          <w:szCs w:val="24"/>
          <w:highlight w:val="none"/>
        </w:rPr>
      </w:pPr>
      <w:r>
        <w:rPr>
          <w:rFonts w:hint="default"/>
          <w:strike w:val="0"/>
          <w:color w:val="auto"/>
          <w:spacing w:val="-2"/>
          <w:sz w:val="21"/>
          <w:szCs w:val="24"/>
          <w:highlight w:val="none"/>
        </w:rPr>
        <w:t>联合体</w:t>
      </w:r>
      <w:r>
        <w:rPr>
          <w:rFonts w:hint="default"/>
          <w:strike w:val="0"/>
          <w:color w:val="auto"/>
          <w:spacing w:val="-2"/>
          <w:sz w:val="21"/>
          <w:szCs w:val="24"/>
          <w:highlight w:val="none"/>
          <w:lang w:eastAsia="zh-CN"/>
        </w:rPr>
        <w:t>主办方</w:t>
      </w:r>
      <w:r>
        <w:rPr>
          <w:rFonts w:hint="default"/>
          <w:strike w:val="0"/>
          <w:color w:val="auto"/>
          <w:spacing w:val="-2"/>
          <w:sz w:val="21"/>
          <w:szCs w:val="24"/>
          <w:highlight w:val="none"/>
        </w:rPr>
        <w:t>名称：</w:t>
      </w:r>
      <w:r>
        <w:rPr>
          <w:rFonts w:hint="eastAsia" w:ascii="Times New Roman" w:hAnsi="Times New Roman" w:eastAsia="Times New Roman"/>
          <w:strike w:val="0"/>
          <w:color w:val="auto"/>
          <w:spacing w:val="-2"/>
          <w:sz w:val="21"/>
          <w:szCs w:val="24"/>
          <w:highlight w:val="none"/>
          <w:u w:val="single"/>
        </w:rPr>
        <w:tab/>
      </w:r>
      <w:r>
        <w:rPr>
          <w:rFonts w:hint="default"/>
          <w:strike w:val="0"/>
          <w:color w:val="auto"/>
          <w:spacing w:val="-1"/>
          <w:sz w:val="21"/>
          <w:szCs w:val="24"/>
          <w:highlight w:val="none"/>
        </w:rPr>
        <w:t>（盖单位章）</w:t>
      </w:r>
    </w:p>
    <w:p w14:paraId="4F7D1D11">
      <w:pPr>
        <w:pStyle w:val="12"/>
        <w:tabs>
          <w:tab w:val="left" w:pos="6401"/>
        </w:tabs>
        <w:kinsoku w:val="0"/>
        <w:overflowPunct w:val="0"/>
        <w:spacing w:before="36" w:line="360" w:lineRule="auto"/>
        <w:ind w:left="2510"/>
        <w:rPr>
          <w:rFonts w:hint="default"/>
          <w:strike w:val="0"/>
          <w:color w:val="auto"/>
          <w:sz w:val="21"/>
          <w:szCs w:val="24"/>
          <w:highlight w:val="none"/>
        </w:rPr>
      </w:pPr>
      <w:r>
        <w:rPr>
          <w:rFonts w:hint="default"/>
          <w:strike w:val="0"/>
          <w:color w:val="auto"/>
          <w:spacing w:val="-2"/>
          <w:sz w:val="21"/>
          <w:szCs w:val="24"/>
          <w:highlight w:val="none"/>
        </w:rPr>
        <w:t>法定代表人或其委托代理人：</w:t>
      </w:r>
      <w:r>
        <w:rPr>
          <w:rFonts w:hint="eastAsia" w:ascii="Times New Roman" w:hAnsi="Times New Roman" w:eastAsia="Times New Roman"/>
          <w:strike w:val="0"/>
          <w:color w:val="auto"/>
          <w:spacing w:val="-2"/>
          <w:sz w:val="21"/>
          <w:szCs w:val="24"/>
          <w:highlight w:val="none"/>
          <w:u w:val="single"/>
        </w:rPr>
        <w:tab/>
      </w:r>
      <w:r>
        <w:rPr>
          <w:rFonts w:hint="default" w:hAnsi="Times New Roman"/>
          <w:strike w:val="0"/>
          <w:color w:val="auto"/>
          <w:spacing w:val="-2"/>
          <w:sz w:val="21"/>
          <w:szCs w:val="24"/>
          <w:highlight w:val="none"/>
          <w:u w:val="single"/>
          <w:lang w:val="en-US" w:eastAsia="zh-CN"/>
        </w:rPr>
        <w:t xml:space="preserve">       </w:t>
      </w:r>
      <w:r>
        <w:rPr>
          <w:rFonts w:hint="default"/>
          <w:strike w:val="0"/>
          <w:color w:val="auto"/>
          <w:spacing w:val="-1"/>
          <w:sz w:val="21"/>
          <w:szCs w:val="24"/>
          <w:highlight w:val="none"/>
        </w:rPr>
        <w:t>（签字</w:t>
      </w:r>
      <w:r>
        <w:rPr>
          <w:rFonts w:hint="eastAsia"/>
          <w:strike w:val="0"/>
          <w:color w:val="auto"/>
          <w:spacing w:val="-1"/>
          <w:sz w:val="21"/>
          <w:szCs w:val="24"/>
          <w:highlight w:val="none"/>
          <w:lang w:val="en-US" w:eastAsia="zh-CN"/>
        </w:rPr>
        <w:t>或盖章</w:t>
      </w:r>
      <w:r>
        <w:rPr>
          <w:rFonts w:hint="default"/>
          <w:strike w:val="0"/>
          <w:color w:val="auto"/>
          <w:spacing w:val="-1"/>
          <w:sz w:val="21"/>
          <w:szCs w:val="24"/>
          <w:highlight w:val="none"/>
        </w:rPr>
        <w:t>）</w:t>
      </w:r>
    </w:p>
    <w:p w14:paraId="0323E2E6">
      <w:pPr>
        <w:pStyle w:val="12"/>
        <w:tabs>
          <w:tab w:val="left" w:pos="7241"/>
        </w:tabs>
        <w:kinsoku w:val="0"/>
        <w:overflowPunct w:val="0"/>
        <w:spacing w:before="36" w:line="360" w:lineRule="auto"/>
        <w:ind w:left="2510"/>
        <w:rPr>
          <w:rFonts w:hint="default"/>
          <w:strike w:val="0"/>
          <w:color w:val="auto"/>
          <w:sz w:val="21"/>
          <w:szCs w:val="24"/>
          <w:highlight w:val="none"/>
        </w:rPr>
      </w:pPr>
      <w:r>
        <w:rPr>
          <w:rFonts w:hint="default"/>
          <w:strike w:val="0"/>
          <w:color w:val="auto"/>
          <w:spacing w:val="-2"/>
          <w:sz w:val="21"/>
          <w:szCs w:val="24"/>
          <w:highlight w:val="none"/>
        </w:rPr>
        <w:t>联合体成员名称：</w:t>
      </w:r>
      <w:r>
        <w:rPr>
          <w:rFonts w:hint="eastAsia" w:ascii="Times New Roman" w:hAnsi="Times New Roman" w:eastAsia="Times New Roman"/>
          <w:strike w:val="0"/>
          <w:color w:val="auto"/>
          <w:spacing w:val="-2"/>
          <w:sz w:val="21"/>
          <w:szCs w:val="24"/>
          <w:highlight w:val="none"/>
          <w:u w:val="single"/>
        </w:rPr>
        <w:tab/>
      </w:r>
      <w:r>
        <w:rPr>
          <w:rFonts w:hint="default"/>
          <w:strike w:val="0"/>
          <w:color w:val="auto"/>
          <w:spacing w:val="-1"/>
          <w:sz w:val="21"/>
          <w:szCs w:val="24"/>
          <w:highlight w:val="none"/>
        </w:rPr>
        <w:t>（盖单位章）</w:t>
      </w:r>
    </w:p>
    <w:p w14:paraId="397991EC">
      <w:pPr>
        <w:pStyle w:val="12"/>
        <w:tabs>
          <w:tab w:val="left" w:pos="6187"/>
        </w:tabs>
        <w:kinsoku w:val="0"/>
        <w:overflowPunct w:val="0"/>
        <w:spacing w:before="36" w:line="360" w:lineRule="auto"/>
        <w:ind w:left="2510"/>
        <w:rPr>
          <w:rFonts w:hint="default"/>
          <w:strike w:val="0"/>
          <w:color w:val="auto"/>
          <w:sz w:val="21"/>
          <w:szCs w:val="24"/>
          <w:highlight w:val="none"/>
        </w:rPr>
      </w:pPr>
      <w:r>
        <w:rPr>
          <w:rFonts w:hint="default"/>
          <w:strike w:val="0"/>
          <w:color w:val="auto"/>
          <w:spacing w:val="-2"/>
          <w:sz w:val="21"/>
          <w:szCs w:val="24"/>
          <w:highlight w:val="none"/>
        </w:rPr>
        <w:t>法定代表人或其委托代理人：</w:t>
      </w:r>
      <w:r>
        <w:rPr>
          <w:rFonts w:hint="eastAsia" w:ascii="Times New Roman" w:hAnsi="Times New Roman" w:eastAsia="Times New Roman"/>
          <w:strike w:val="0"/>
          <w:color w:val="auto"/>
          <w:spacing w:val="-2"/>
          <w:sz w:val="21"/>
          <w:szCs w:val="24"/>
          <w:highlight w:val="none"/>
          <w:u w:val="single"/>
        </w:rPr>
        <w:tab/>
      </w:r>
      <w:r>
        <w:rPr>
          <w:rFonts w:hint="default" w:hAnsi="Times New Roman"/>
          <w:strike w:val="0"/>
          <w:color w:val="auto"/>
          <w:spacing w:val="-2"/>
          <w:sz w:val="21"/>
          <w:szCs w:val="24"/>
          <w:highlight w:val="none"/>
          <w:u w:val="single"/>
          <w:lang w:val="en-US" w:eastAsia="zh-CN"/>
        </w:rPr>
        <w:t xml:space="preserve">         </w:t>
      </w:r>
      <w:r>
        <w:rPr>
          <w:rFonts w:hint="default"/>
          <w:strike w:val="0"/>
          <w:color w:val="auto"/>
          <w:spacing w:val="-1"/>
          <w:sz w:val="21"/>
          <w:szCs w:val="24"/>
          <w:highlight w:val="none"/>
        </w:rPr>
        <w:t>（签字</w:t>
      </w:r>
      <w:r>
        <w:rPr>
          <w:rFonts w:hint="eastAsia"/>
          <w:strike w:val="0"/>
          <w:color w:val="auto"/>
          <w:spacing w:val="-1"/>
          <w:sz w:val="21"/>
          <w:szCs w:val="24"/>
          <w:highlight w:val="none"/>
          <w:lang w:val="en-US" w:eastAsia="zh-CN"/>
        </w:rPr>
        <w:t>或盖章</w:t>
      </w:r>
      <w:r>
        <w:rPr>
          <w:rFonts w:hint="default"/>
          <w:strike w:val="0"/>
          <w:color w:val="auto"/>
          <w:spacing w:val="-1"/>
          <w:sz w:val="21"/>
          <w:szCs w:val="24"/>
          <w:highlight w:val="none"/>
        </w:rPr>
        <w:t>）</w:t>
      </w:r>
    </w:p>
    <w:p w14:paraId="448D14AC">
      <w:pPr>
        <w:pStyle w:val="12"/>
        <w:tabs>
          <w:tab w:val="left" w:pos="7241"/>
        </w:tabs>
        <w:kinsoku w:val="0"/>
        <w:overflowPunct w:val="0"/>
        <w:spacing w:before="36" w:line="360" w:lineRule="auto"/>
        <w:ind w:left="2510"/>
        <w:rPr>
          <w:rFonts w:hint="default"/>
          <w:strike w:val="0"/>
          <w:color w:val="auto"/>
          <w:sz w:val="21"/>
          <w:szCs w:val="24"/>
          <w:highlight w:val="none"/>
        </w:rPr>
      </w:pPr>
      <w:r>
        <w:rPr>
          <w:rFonts w:hint="default"/>
          <w:strike w:val="0"/>
          <w:color w:val="auto"/>
          <w:spacing w:val="-2"/>
          <w:sz w:val="21"/>
          <w:szCs w:val="24"/>
          <w:highlight w:val="none"/>
        </w:rPr>
        <w:t>联合体成员名称：</w:t>
      </w:r>
      <w:r>
        <w:rPr>
          <w:rFonts w:hint="eastAsia" w:ascii="Times New Roman" w:hAnsi="Times New Roman" w:eastAsia="Times New Roman"/>
          <w:strike w:val="0"/>
          <w:color w:val="auto"/>
          <w:spacing w:val="-2"/>
          <w:sz w:val="21"/>
          <w:szCs w:val="24"/>
          <w:highlight w:val="none"/>
          <w:u w:val="single"/>
        </w:rPr>
        <w:tab/>
      </w:r>
      <w:r>
        <w:rPr>
          <w:rFonts w:hint="default"/>
          <w:strike w:val="0"/>
          <w:color w:val="auto"/>
          <w:spacing w:val="-1"/>
          <w:sz w:val="21"/>
          <w:szCs w:val="24"/>
          <w:highlight w:val="none"/>
        </w:rPr>
        <w:t>（盖单位章）</w:t>
      </w:r>
    </w:p>
    <w:p w14:paraId="5B1AD50B">
      <w:pPr>
        <w:pStyle w:val="12"/>
        <w:tabs>
          <w:tab w:val="left" w:pos="6187"/>
        </w:tabs>
        <w:kinsoku w:val="0"/>
        <w:overflowPunct w:val="0"/>
        <w:spacing w:before="36" w:line="360" w:lineRule="auto"/>
        <w:ind w:left="2510"/>
        <w:rPr>
          <w:rFonts w:hint="default"/>
          <w:strike w:val="0"/>
          <w:color w:val="auto"/>
          <w:spacing w:val="-1"/>
          <w:sz w:val="21"/>
          <w:szCs w:val="24"/>
          <w:highlight w:val="none"/>
        </w:rPr>
      </w:pPr>
      <w:r>
        <w:rPr>
          <w:rFonts w:hint="default"/>
          <w:strike w:val="0"/>
          <w:color w:val="auto"/>
          <w:spacing w:val="-2"/>
          <w:sz w:val="21"/>
          <w:szCs w:val="24"/>
          <w:highlight w:val="none"/>
        </w:rPr>
        <w:t>法定代表人或其委托代理人：</w:t>
      </w:r>
      <w:r>
        <w:rPr>
          <w:rFonts w:hint="eastAsia" w:ascii="Times New Roman" w:hAnsi="Times New Roman" w:eastAsia="Times New Roman"/>
          <w:strike w:val="0"/>
          <w:color w:val="auto"/>
          <w:spacing w:val="-2"/>
          <w:sz w:val="21"/>
          <w:szCs w:val="24"/>
          <w:highlight w:val="none"/>
          <w:u w:val="single"/>
        </w:rPr>
        <w:tab/>
      </w:r>
      <w:r>
        <w:rPr>
          <w:rFonts w:hint="default" w:hAnsi="Times New Roman"/>
          <w:strike w:val="0"/>
          <w:color w:val="auto"/>
          <w:spacing w:val="-2"/>
          <w:sz w:val="21"/>
          <w:szCs w:val="24"/>
          <w:highlight w:val="none"/>
          <w:u w:val="single"/>
          <w:lang w:val="en-US" w:eastAsia="zh-CN"/>
        </w:rPr>
        <w:t xml:space="preserve">         </w:t>
      </w:r>
      <w:r>
        <w:rPr>
          <w:rFonts w:hint="default"/>
          <w:strike w:val="0"/>
          <w:color w:val="auto"/>
          <w:spacing w:val="-1"/>
          <w:sz w:val="21"/>
          <w:szCs w:val="24"/>
          <w:highlight w:val="none"/>
        </w:rPr>
        <w:t>（签字</w:t>
      </w:r>
      <w:r>
        <w:rPr>
          <w:rFonts w:hint="eastAsia"/>
          <w:strike w:val="0"/>
          <w:color w:val="auto"/>
          <w:spacing w:val="-1"/>
          <w:sz w:val="21"/>
          <w:szCs w:val="24"/>
          <w:highlight w:val="none"/>
          <w:lang w:val="en-US" w:eastAsia="zh-CN"/>
        </w:rPr>
        <w:t>或盖章</w:t>
      </w:r>
      <w:r>
        <w:rPr>
          <w:rFonts w:hint="default"/>
          <w:strike w:val="0"/>
          <w:color w:val="auto"/>
          <w:spacing w:val="-1"/>
          <w:sz w:val="21"/>
          <w:szCs w:val="24"/>
          <w:highlight w:val="none"/>
        </w:rPr>
        <w:t>）</w:t>
      </w:r>
    </w:p>
    <w:p w14:paraId="6977507B">
      <w:pPr>
        <w:pStyle w:val="12"/>
        <w:kinsoku w:val="0"/>
        <w:overflowPunct w:val="0"/>
        <w:spacing w:before="12"/>
        <w:ind w:left="0"/>
        <w:rPr>
          <w:rFonts w:hint="default"/>
          <w:strike w:val="0"/>
          <w:color w:val="auto"/>
          <w:sz w:val="21"/>
          <w:szCs w:val="24"/>
          <w:highlight w:val="none"/>
        </w:rPr>
      </w:pPr>
    </w:p>
    <w:p w14:paraId="0C4526C6">
      <w:pPr>
        <w:pStyle w:val="12"/>
        <w:tabs>
          <w:tab w:val="left" w:pos="4538"/>
          <w:tab w:val="left" w:pos="5484"/>
          <w:tab w:val="left" w:pos="6427"/>
        </w:tabs>
        <w:kinsoku w:val="0"/>
        <w:overflowPunct w:val="0"/>
        <w:spacing w:before="36"/>
        <w:ind w:left="3801"/>
        <w:rPr>
          <w:rFonts w:hint="default"/>
          <w:strike w:val="0"/>
          <w:color w:val="auto"/>
          <w:sz w:val="21"/>
          <w:szCs w:val="24"/>
          <w:highlight w:val="none"/>
        </w:rPr>
      </w:pPr>
      <w:r>
        <w:rPr>
          <w:rFonts w:hint="eastAsia" w:ascii="Times New Roman" w:hAnsi="Times New Roman" w:eastAsia="Times New Roman"/>
          <w:strike w:val="0"/>
          <w:color w:val="auto"/>
          <w:sz w:val="21"/>
          <w:szCs w:val="24"/>
          <w:highlight w:val="none"/>
          <w:u w:val="single"/>
        </w:rPr>
        <w:t xml:space="preserve"> </w:t>
      </w:r>
      <w:r>
        <w:rPr>
          <w:rFonts w:hint="eastAsia" w:ascii="Times New Roman" w:hAnsi="Times New Roman" w:eastAsia="Times New Roman"/>
          <w:strike w:val="0"/>
          <w:color w:val="auto"/>
          <w:sz w:val="21"/>
          <w:szCs w:val="24"/>
          <w:highlight w:val="none"/>
          <w:u w:val="single"/>
        </w:rPr>
        <w:tab/>
      </w:r>
      <w:r>
        <w:rPr>
          <w:rFonts w:hint="default"/>
          <w:strike w:val="0"/>
          <w:color w:val="auto"/>
          <w:sz w:val="21"/>
          <w:szCs w:val="24"/>
          <w:highlight w:val="none"/>
        </w:rPr>
        <w:t>年</w:t>
      </w:r>
      <w:r>
        <w:rPr>
          <w:rFonts w:hint="eastAsia" w:ascii="Times New Roman" w:hAnsi="Times New Roman" w:eastAsia="Times New Roman"/>
          <w:strike w:val="0"/>
          <w:color w:val="auto"/>
          <w:sz w:val="21"/>
          <w:szCs w:val="24"/>
          <w:highlight w:val="none"/>
          <w:u w:val="single"/>
        </w:rPr>
        <w:tab/>
      </w:r>
      <w:r>
        <w:rPr>
          <w:rFonts w:hint="default"/>
          <w:strike w:val="0"/>
          <w:color w:val="auto"/>
          <w:spacing w:val="-3"/>
          <w:sz w:val="21"/>
          <w:szCs w:val="24"/>
          <w:highlight w:val="none"/>
        </w:rPr>
        <w:t>月</w:t>
      </w:r>
      <w:r>
        <w:rPr>
          <w:rFonts w:hint="eastAsia" w:ascii="Times New Roman" w:hAnsi="Times New Roman" w:eastAsia="Times New Roman"/>
          <w:strike w:val="0"/>
          <w:color w:val="auto"/>
          <w:spacing w:val="-3"/>
          <w:sz w:val="21"/>
          <w:szCs w:val="24"/>
          <w:highlight w:val="none"/>
          <w:u w:val="single"/>
        </w:rPr>
        <w:tab/>
      </w:r>
      <w:r>
        <w:rPr>
          <w:rFonts w:hint="default"/>
          <w:strike w:val="0"/>
          <w:color w:val="auto"/>
          <w:sz w:val="21"/>
          <w:szCs w:val="24"/>
          <w:highlight w:val="none"/>
        </w:rPr>
        <w:t>日</w:t>
      </w:r>
    </w:p>
    <w:p w14:paraId="56BA5EE0">
      <w:pPr>
        <w:pStyle w:val="12"/>
        <w:tabs>
          <w:tab w:val="left" w:pos="4538"/>
          <w:tab w:val="left" w:pos="5484"/>
          <w:tab w:val="left" w:pos="6427"/>
        </w:tabs>
        <w:kinsoku w:val="0"/>
        <w:overflowPunct w:val="0"/>
        <w:spacing w:before="36"/>
        <w:ind w:left="3801"/>
        <w:rPr>
          <w:rFonts w:hint="default"/>
          <w:strike w:val="0"/>
          <w:color w:val="auto"/>
          <w:sz w:val="21"/>
          <w:szCs w:val="24"/>
          <w:highlight w:val="none"/>
        </w:rPr>
        <w:sectPr>
          <w:pgSz w:w="11905" w:h="16838"/>
          <w:pgMar w:top="1417" w:right="1417" w:bottom="1417" w:left="1417" w:header="992" w:footer="992" w:gutter="0"/>
          <w:lnNumType w:countBy="0" w:distance="360"/>
          <w:cols w:space="720" w:num="1"/>
        </w:sectPr>
      </w:pPr>
    </w:p>
    <w:p w14:paraId="73186E8F">
      <w:pPr>
        <w:pStyle w:val="5"/>
        <w:jc w:val="center"/>
        <w:outlineLvl w:val="1"/>
        <w:rPr>
          <w:rFonts w:hint="default"/>
          <w:strike/>
          <w:color w:val="auto"/>
          <w:sz w:val="28"/>
          <w:szCs w:val="24"/>
          <w:highlight w:val="none"/>
        </w:rPr>
      </w:pPr>
      <w:r>
        <w:rPr>
          <w:rFonts w:hint="default"/>
          <w:strike/>
          <w:color w:val="auto"/>
          <w:sz w:val="28"/>
          <w:szCs w:val="24"/>
          <w:highlight w:val="none"/>
        </w:rPr>
        <w:t>四、投标保证金</w:t>
      </w:r>
    </w:p>
    <w:p w14:paraId="430B25EE">
      <w:pPr>
        <w:pStyle w:val="12"/>
        <w:kinsoku w:val="0"/>
        <w:overflowPunct w:val="0"/>
        <w:spacing w:before="15" w:line="360" w:lineRule="auto"/>
        <w:ind w:left="0"/>
        <w:rPr>
          <w:rFonts w:hint="default" w:cs="宋体"/>
          <w:b/>
          <w:color w:val="auto"/>
          <w:sz w:val="21"/>
          <w:szCs w:val="21"/>
          <w:highlight w:val="none"/>
        </w:rPr>
      </w:pPr>
    </w:p>
    <w:p w14:paraId="2B332A60">
      <w:pPr>
        <w:pStyle w:val="5"/>
        <w:jc w:val="center"/>
        <w:outlineLvl w:val="9"/>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72155F62">
      <w:pPr>
        <w:pStyle w:val="5"/>
        <w:jc w:val="center"/>
        <w:outlineLvl w:val="1"/>
        <w:rPr>
          <w:rFonts w:hint="eastAsia" w:eastAsia="宋体"/>
          <w:strike w:val="0"/>
          <w:color w:val="auto"/>
          <w:sz w:val="28"/>
          <w:szCs w:val="24"/>
          <w:highlight w:val="none"/>
          <w:lang w:eastAsia="zh-CN"/>
        </w:rPr>
      </w:pPr>
      <w:r>
        <w:rPr>
          <w:rFonts w:hint="default"/>
          <w:strike w:val="0"/>
          <w:color w:val="auto"/>
          <w:sz w:val="28"/>
          <w:szCs w:val="24"/>
          <w:highlight w:val="none"/>
        </w:rPr>
        <w:t>五、监理报酬清单</w:t>
      </w:r>
      <w:r>
        <w:rPr>
          <w:rFonts w:hint="eastAsia"/>
          <w:strike w:val="0"/>
          <w:color w:val="auto"/>
          <w:sz w:val="28"/>
          <w:szCs w:val="24"/>
          <w:highlight w:val="none"/>
          <w:lang w:eastAsia="zh-CN"/>
        </w:rPr>
        <w:t>（</w:t>
      </w:r>
      <w:r>
        <w:rPr>
          <w:rFonts w:hint="eastAsia"/>
          <w:strike w:val="0"/>
          <w:color w:val="auto"/>
          <w:sz w:val="28"/>
          <w:szCs w:val="24"/>
          <w:highlight w:val="none"/>
          <w:lang w:val="en-US" w:eastAsia="zh-CN"/>
        </w:rPr>
        <w:t>格式仅供参考</w:t>
      </w:r>
      <w:r>
        <w:rPr>
          <w:rFonts w:hint="eastAsia"/>
          <w:strike w:val="0"/>
          <w:color w:val="auto"/>
          <w:sz w:val="28"/>
          <w:szCs w:val="24"/>
          <w:highlight w:val="none"/>
          <w:lang w:eastAsia="zh-CN"/>
        </w:rPr>
        <w:t>）</w:t>
      </w:r>
    </w:p>
    <w:p w14:paraId="77E631A7">
      <w:pPr>
        <w:pStyle w:val="12"/>
        <w:kinsoku w:val="0"/>
        <w:overflowPunct w:val="0"/>
        <w:ind w:left="0"/>
        <w:rPr>
          <w:rFonts w:hint="default"/>
          <w:strike w:val="0"/>
          <w:color w:val="auto"/>
          <w:sz w:val="20"/>
          <w:szCs w:val="24"/>
          <w:highlight w:val="none"/>
        </w:rPr>
      </w:pPr>
    </w:p>
    <w:p w14:paraId="455E968B">
      <w:pPr>
        <w:spacing w:line="440" w:lineRule="exact"/>
        <w:rPr>
          <w:rFonts w:hint="default" w:ascii="宋体" w:hAnsi="宋体" w:eastAsia="宋体" w:cs="宋体"/>
          <w:strike w:val="0"/>
          <w:color w:val="auto"/>
          <w:sz w:val="21"/>
          <w:szCs w:val="21"/>
          <w:highlight w:val="none"/>
          <w:lang w:val="en-US" w:eastAsia="zh-CN"/>
        </w:rPr>
      </w:pPr>
      <w:r>
        <w:rPr>
          <w:rFonts w:hint="default" w:ascii="宋体" w:hAnsi="宋体" w:eastAsia="宋体" w:cs="宋体"/>
          <w:strike w:val="0"/>
          <w:color w:val="auto"/>
          <w:sz w:val="21"/>
          <w:szCs w:val="21"/>
          <w:highlight w:val="none"/>
          <w:lang w:eastAsia="zh-CN"/>
        </w:rPr>
        <w:t>项目名称</w:t>
      </w:r>
      <w:r>
        <w:rPr>
          <w:rFonts w:hint="default" w:ascii="宋体" w:hAnsi="宋体" w:eastAsia="宋体" w:cs="宋体"/>
          <w:strike w:val="0"/>
          <w:color w:val="auto"/>
          <w:sz w:val="21"/>
          <w:szCs w:val="21"/>
          <w:highlight w:val="none"/>
        </w:rPr>
        <w:t>：</w:t>
      </w:r>
      <w:r>
        <w:rPr>
          <w:rFonts w:hint="default" w:ascii="宋体" w:hAnsi="宋体" w:eastAsia="宋体" w:cs="宋体"/>
          <w:strike w:val="0"/>
          <w:color w:val="auto"/>
          <w:sz w:val="21"/>
          <w:szCs w:val="21"/>
          <w:highlight w:val="none"/>
          <w:u w:val="single"/>
          <w:lang w:val="en-US" w:eastAsia="zh-CN"/>
        </w:rPr>
        <w:t xml:space="preserve">                 </w:t>
      </w:r>
      <w:r>
        <w:rPr>
          <w:rFonts w:hint="default" w:ascii="宋体" w:hAnsi="宋体" w:eastAsia="宋体" w:cs="宋体"/>
          <w:strike w:val="0"/>
          <w:color w:val="auto"/>
          <w:sz w:val="21"/>
          <w:szCs w:val="21"/>
          <w:highlight w:val="none"/>
          <w:lang w:val="en-US" w:eastAsia="zh-CN"/>
        </w:rPr>
        <w:t xml:space="preserve"> </w:t>
      </w:r>
    </w:p>
    <w:tbl>
      <w:tblPr>
        <w:tblStyle w:val="22"/>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054"/>
        <w:gridCol w:w="1559"/>
        <w:gridCol w:w="1563"/>
        <w:gridCol w:w="1559"/>
        <w:gridCol w:w="849"/>
      </w:tblGrid>
      <w:tr w14:paraId="6813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1335C6D8">
            <w:pPr>
              <w:jc w:val="center"/>
              <w:rPr>
                <w:rFonts w:hint="default" w:ascii="宋体" w:hAnsi="宋体" w:eastAsia="宋体" w:cs="宋体"/>
                <w:b/>
                <w:strike w:val="0"/>
                <w:color w:val="auto"/>
                <w:sz w:val="21"/>
                <w:szCs w:val="21"/>
                <w:highlight w:val="none"/>
              </w:rPr>
            </w:pPr>
            <w:r>
              <w:rPr>
                <w:rFonts w:hint="default" w:ascii="宋体" w:hAnsi="宋体" w:eastAsia="宋体" w:cs="宋体"/>
                <w:b/>
                <w:strike w:val="0"/>
                <w:color w:val="auto"/>
                <w:sz w:val="21"/>
                <w:szCs w:val="21"/>
                <w:highlight w:val="none"/>
              </w:rPr>
              <w:t>序号</w:t>
            </w:r>
          </w:p>
        </w:tc>
        <w:tc>
          <w:tcPr>
            <w:tcW w:w="3054" w:type="dxa"/>
            <w:tcBorders>
              <w:top w:val="single" w:color="auto" w:sz="4" w:space="0"/>
              <w:left w:val="single" w:color="auto" w:sz="4" w:space="0"/>
              <w:bottom w:val="single" w:color="auto" w:sz="4" w:space="0"/>
              <w:right w:val="single" w:color="auto" w:sz="4" w:space="0"/>
              <w:tl2br w:val="nil"/>
              <w:tr2bl w:val="nil"/>
            </w:tcBorders>
            <w:vAlign w:val="center"/>
          </w:tcPr>
          <w:p w14:paraId="14CFE1A1">
            <w:pPr>
              <w:jc w:val="center"/>
              <w:rPr>
                <w:rFonts w:hint="default" w:ascii="宋体" w:hAnsi="宋体" w:eastAsia="宋体" w:cs="宋体"/>
                <w:strike w:val="0"/>
                <w:color w:val="auto"/>
                <w:sz w:val="21"/>
                <w:szCs w:val="21"/>
                <w:highlight w:val="none"/>
              </w:rPr>
            </w:pPr>
            <w:r>
              <w:rPr>
                <w:rFonts w:hint="default" w:ascii="宋体" w:hAnsi="宋体" w:eastAsia="宋体" w:cs="宋体"/>
                <w:b/>
                <w:strike w:val="0"/>
                <w:color w:val="auto"/>
                <w:sz w:val="21"/>
                <w:szCs w:val="21"/>
                <w:highlight w:val="none"/>
              </w:rPr>
              <w:t>监理子项目名称</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02A5EB97">
            <w:pPr>
              <w:jc w:val="center"/>
              <w:rPr>
                <w:rFonts w:hint="default" w:ascii="宋体" w:hAnsi="宋体" w:eastAsia="宋体" w:cs="宋体"/>
                <w:b/>
                <w:strike w:val="0"/>
                <w:color w:val="auto"/>
                <w:sz w:val="21"/>
                <w:szCs w:val="21"/>
                <w:highlight w:val="none"/>
                <w:lang w:val="en-US" w:eastAsia="zh-CN"/>
              </w:rPr>
            </w:pPr>
            <w:r>
              <w:rPr>
                <w:rFonts w:hint="eastAsia" w:ascii="宋体" w:hAnsi="宋体" w:cs="宋体"/>
                <w:b/>
                <w:strike w:val="0"/>
                <w:color w:val="auto"/>
                <w:sz w:val="21"/>
                <w:szCs w:val="21"/>
                <w:highlight w:val="none"/>
                <w:lang w:val="en-US" w:eastAsia="zh-CN"/>
              </w:rPr>
              <w:t>投标报价限价</w:t>
            </w:r>
          </w:p>
        </w:tc>
        <w:tc>
          <w:tcPr>
            <w:tcW w:w="1563" w:type="dxa"/>
            <w:tcBorders>
              <w:top w:val="single" w:color="auto" w:sz="4" w:space="0"/>
              <w:left w:val="single" w:color="auto" w:sz="4" w:space="0"/>
              <w:bottom w:val="single" w:color="auto" w:sz="4" w:space="0"/>
              <w:right w:val="single" w:color="auto" w:sz="4" w:space="0"/>
              <w:tl2br w:val="nil"/>
              <w:tr2bl w:val="nil"/>
            </w:tcBorders>
            <w:vAlign w:val="center"/>
          </w:tcPr>
          <w:p w14:paraId="1D7F86C1">
            <w:pPr>
              <w:jc w:val="center"/>
              <w:rPr>
                <w:rFonts w:hint="default" w:ascii="宋体" w:hAnsi="宋体" w:eastAsia="宋体" w:cs="宋体"/>
                <w:b/>
                <w:strike w:val="0"/>
                <w:color w:val="auto"/>
                <w:sz w:val="21"/>
                <w:szCs w:val="21"/>
                <w:highlight w:val="none"/>
                <w:lang w:eastAsia="zh-CN"/>
              </w:rPr>
            </w:pPr>
            <w:r>
              <w:rPr>
                <w:rFonts w:hint="default" w:ascii="宋体" w:hAnsi="宋体" w:eastAsia="宋体" w:cs="宋体"/>
                <w:b/>
                <w:strike w:val="0"/>
                <w:color w:val="auto"/>
                <w:sz w:val="21"/>
                <w:szCs w:val="21"/>
                <w:highlight w:val="none"/>
              </w:rPr>
              <w:t>投标下浮率(%)</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75E565C3">
            <w:pPr>
              <w:jc w:val="center"/>
              <w:rPr>
                <w:rFonts w:hint="default" w:ascii="宋体" w:hAnsi="宋体" w:eastAsia="宋体" w:cs="宋体"/>
                <w:b/>
                <w:strike w:val="0"/>
                <w:color w:val="auto"/>
                <w:sz w:val="21"/>
                <w:szCs w:val="21"/>
                <w:highlight w:val="none"/>
              </w:rPr>
            </w:pPr>
            <w:r>
              <w:rPr>
                <w:rFonts w:hint="default" w:ascii="宋体" w:hAnsi="宋体" w:eastAsia="宋体" w:cs="宋体"/>
                <w:b/>
                <w:strike w:val="0"/>
                <w:color w:val="auto"/>
                <w:sz w:val="21"/>
                <w:szCs w:val="21"/>
                <w:highlight w:val="none"/>
                <w:lang w:eastAsia="zh-CN"/>
              </w:rPr>
              <w:t>投标报价</w:t>
            </w:r>
            <w:r>
              <w:rPr>
                <w:rFonts w:hint="default" w:ascii="宋体" w:hAnsi="宋体" w:eastAsia="宋体" w:cs="宋体"/>
                <w:b/>
                <w:strike w:val="0"/>
                <w:color w:val="auto"/>
                <w:sz w:val="21"/>
                <w:szCs w:val="21"/>
                <w:highlight w:val="none"/>
              </w:rPr>
              <w:t>（元）</w:t>
            </w: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14:paraId="5A9979E1">
            <w:pPr>
              <w:jc w:val="center"/>
              <w:rPr>
                <w:rFonts w:hint="default" w:ascii="宋体" w:hAnsi="宋体" w:eastAsia="宋体" w:cs="宋体"/>
                <w:b/>
                <w:strike w:val="0"/>
                <w:color w:val="auto"/>
                <w:sz w:val="21"/>
                <w:szCs w:val="21"/>
                <w:highlight w:val="none"/>
              </w:rPr>
            </w:pPr>
            <w:r>
              <w:rPr>
                <w:rFonts w:hint="default" w:ascii="宋体" w:hAnsi="宋体" w:eastAsia="宋体" w:cs="宋体"/>
                <w:b/>
                <w:strike w:val="0"/>
                <w:color w:val="auto"/>
                <w:sz w:val="21"/>
                <w:szCs w:val="21"/>
                <w:highlight w:val="none"/>
              </w:rPr>
              <w:t>备注</w:t>
            </w:r>
          </w:p>
        </w:tc>
      </w:tr>
      <w:tr w14:paraId="2DF0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40A76C30">
            <w:pPr>
              <w:spacing w:line="360" w:lineRule="auto"/>
              <w:jc w:val="center"/>
              <w:rPr>
                <w:rFonts w:hint="eastAsia" w:ascii="宋体" w:hAnsi="宋体" w:eastAsia="宋体" w:cs="宋体"/>
                <w:strike w:val="0"/>
                <w:color w:val="auto"/>
                <w:sz w:val="21"/>
                <w:szCs w:val="21"/>
                <w:highlight w:val="none"/>
                <w:lang w:val="en-US" w:eastAsia="zh-CN"/>
              </w:rPr>
            </w:pPr>
            <w:r>
              <w:rPr>
                <w:rFonts w:hint="eastAsia" w:ascii="宋体" w:hAnsi="宋体" w:cs="宋体"/>
                <w:strike w:val="0"/>
                <w:color w:val="auto"/>
                <w:sz w:val="21"/>
                <w:szCs w:val="21"/>
                <w:highlight w:val="none"/>
                <w:lang w:val="en-US" w:eastAsia="zh-CN"/>
              </w:rPr>
              <w:t>1</w:t>
            </w:r>
          </w:p>
        </w:tc>
        <w:tc>
          <w:tcPr>
            <w:tcW w:w="3054" w:type="dxa"/>
            <w:tcBorders>
              <w:top w:val="single" w:color="auto" w:sz="4" w:space="0"/>
              <w:left w:val="single" w:color="auto" w:sz="4" w:space="0"/>
              <w:bottom w:val="single" w:color="auto" w:sz="4" w:space="0"/>
              <w:right w:val="single" w:color="auto" w:sz="4" w:space="0"/>
              <w:tl2br w:val="nil"/>
              <w:tr2bl w:val="nil"/>
            </w:tcBorders>
            <w:vAlign w:val="center"/>
          </w:tcPr>
          <w:p w14:paraId="226706E5">
            <w:pPr>
              <w:jc w:val="center"/>
              <w:rPr>
                <w:rFonts w:hint="default" w:ascii="宋体" w:hAnsi="宋体" w:eastAsia="宋体" w:cs="宋体"/>
                <w:strike w:val="0"/>
                <w:color w:val="auto"/>
                <w:sz w:val="21"/>
                <w:szCs w:val="21"/>
                <w:highlight w:val="none"/>
              </w:rPr>
            </w:pPr>
            <w:r>
              <w:rPr>
                <w:rFonts w:hint="eastAsia" w:ascii="宋体" w:hAnsi="宋体" w:cs="宋体"/>
                <w:color w:val="auto"/>
                <w:sz w:val="21"/>
                <w:szCs w:val="21"/>
                <w:highlight w:val="none"/>
              </w:rPr>
              <w:t>厂区部分</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78CB789C">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4786242.48元</w:t>
            </w:r>
          </w:p>
        </w:tc>
        <w:tc>
          <w:tcPr>
            <w:tcW w:w="15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860C315">
            <w:pPr>
              <w:spacing w:line="360" w:lineRule="auto"/>
              <w:jc w:val="center"/>
              <w:rPr>
                <w:rFonts w:hint="default" w:ascii="宋体" w:hAnsi="宋体" w:eastAsia="宋体" w:cs="宋体"/>
                <w:strike w:val="0"/>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546F96A1">
            <w:pPr>
              <w:spacing w:line="360" w:lineRule="auto"/>
              <w:jc w:val="center"/>
              <w:rPr>
                <w:rFonts w:hint="default" w:ascii="宋体" w:hAnsi="宋体" w:eastAsia="宋体" w:cs="宋体"/>
                <w:strike w:val="0"/>
                <w:color w:val="auto"/>
                <w:sz w:val="21"/>
                <w:szCs w:val="21"/>
                <w:highlight w:val="none"/>
              </w:rPr>
            </w:pP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14:paraId="761098DA">
            <w:pPr>
              <w:spacing w:line="360" w:lineRule="auto"/>
              <w:jc w:val="center"/>
              <w:rPr>
                <w:rFonts w:hint="default" w:ascii="宋体" w:hAnsi="宋体" w:eastAsia="宋体" w:cs="宋体"/>
                <w:strike w:val="0"/>
                <w:color w:val="auto"/>
                <w:sz w:val="21"/>
                <w:szCs w:val="21"/>
                <w:highlight w:val="none"/>
              </w:rPr>
            </w:pPr>
          </w:p>
        </w:tc>
      </w:tr>
      <w:tr w14:paraId="10D5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96" w:type="dxa"/>
            <w:tcBorders>
              <w:top w:val="single" w:color="auto" w:sz="4" w:space="0"/>
              <w:left w:val="single" w:color="auto" w:sz="4" w:space="0"/>
              <w:bottom w:val="single" w:color="auto" w:sz="4" w:space="0"/>
              <w:right w:val="single" w:color="auto" w:sz="4" w:space="0"/>
              <w:tl2br w:val="nil"/>
              <w:tr2bl w:val="nil"/>
            </w:tcBorders>
            <w:vAlign w:val="center"/>
          </w:tcPr>
          <w:p w14:paraId="2E1B8FB0">
            <w:pPr>
              <w:spacing w:line="360" w:lineRule="auto"/>
              <w:jc w:val="center"/>
              <w:rPr>
                <w:rFonts w:hint="eastAsia" w:ascii="宋体" w:hAnsi="宋体" w:eastAsia="宋体" w:cs="宋体"/>
                <w:strike w:val="0"/>
                <w:color w:val="auto"/>
                <w:sz w:val="21"/>
                <w:szCs w:val="21"/>
                <w:highlight w:val="none"/>
                <w:lang w:val="en-US" w:eastAsia="zh-CN"/>
              </w:rPr>
            </w:pPr>
            <w:r>
              <w:rPr>
                <w:rFonts w:hint="eastAsia" w:ascii="宋体" w:hAnsi="宋体" w:cs="宋体"/>
                <w:strike w:val="0"/>
                <w:color w:val="auto"/>
                <w:sz w:val="21"/>
                <w:szCs w:val="21"/>
                <w:highlight w:val="none"/>
                <w:lang w:val="en-US" w:eastAsia="zh-CN"/>
              </w:rPr>
              <w:t>2</w:t>
            </w:r>
          </w:p>
        </w:tc>
        <w:tc>
          <w:tcPr>
            <w:tcW w:w="3054" w:type="dxa"/>
            <w:tcBorders>
              <w:top w:val="single" w:color="auto" w:sz="4" w:space="0"/>
              <w:left w:val="single" w:color="auto" w:sz="4" w:space="0"/>
              <w:bottom w:val="single" w:color="auto" w:sz="4" w:space="0"/>
              <w:right w:val="single" w:color="auto" w:sz="4" w:space="0"/>
              <w:tl2br w:val="nil"/>
              <w:tr2bl w:val="nil"/>
            </w:tcBorders>
            <w:vAlign w:val="center"/>
          </w:tcPr>
          <w:p w14:paraId="5D14543C">
            <w:pPr>
              <w:jc w:val="center"/>
              <w:rPr>
                <w:rFonts w:hint="default" w:ascii="宋体" w:hAnsi="宋体" w:eastAsia="宋体" w:cs="宋体"/>
                <w:strike w:val="0"/>
                <w:color w:val="auto"/>
                <w:sz w:val="21"/>
                <w:szCs w:val="21"/>
                <w:highlight w:val="none"/>
                <w:lang w:val="en-US" w:eastAsia="zh-CN"/>
              </w:rPr>
            </w:pPr>
            <w:r>
              <w:rPr>
                <w:rFonts w:hint="eastAsia" w:ascii="宋体" w:hAnsi="宋体" w:cs="宋体"/>
                <w:strike w:val="0"/>
                <w:color w:val="auto"/>
                <w:sz w:val="21"/>
                <w:szCs w:val="21"/>
                <w:highlight w:val="none"/>
                <w:lang w:val="en-US" w:eastAsia="zh-CN"/>
              </w:rPr>
              <w:t>管网部分</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41602FB6">
            <w:pPr>
              <w:jc w:val="center"/>
              <w:rPr>
                <w:rFonts w:hint="eastAsia" w:ascii="宋体" w:hAnsi="宋体" w:cs="宋体"/>
                <w:strike w:val="0"/>
                <w:color w:val="auto"/>
                <w:sz w:val="21"/>
                <w:szCs w:val="21"/>
                <w:highlight w:val="none"/>
                <w:lang w:val="en-US" w:eastAsia="zh-CN"/>
              </w:rPr>
            </w:pPr>
            <w:r>
              <w:rPr>
                <w:rFonts w:hint="eastAsia" w:ascii="宋体" w:hAnsi="宋体" w:cs="宋体"/>
                <w:strike w:val="0"/>
                <w:color w:val="auto"/>
                <w:sz w:val="21"/>
                <w:szCs w:val="21"/>
                <w:highlight w:val="none"/>
                <w:lang w:val="en-US" w:eastAsia="zh-CN"/>
              </w:rPr>
              <w:t>3689298.71元</w:t>
            </w:r>
          </w:p>
        </w:tc>
        <w:tc>
          <w:tcPr>
            <w:tcW w:w="15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F0227FF">
            <w:pPr>
              <w:spacing w:line="360" w:lineRule="auto"/>
              <w:jc w:val="center"/>
              <w:rPr>
                <w:rFonts w:hint="default" w:ascii="宋体" w:hAnsi="宋体" w:eastAsia="宋体" w:cs="宋体"/>
                <w:strike w:val="0"/>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63CCF30B">
            <w:pPr>
              <w:spacing w:line="360" w:lineRule="auto"/>
              <w:jc w:val="center"/>
              <w:rPr>
                <w:rFonts w:hint="default" w:ascii="宋体" w:hAnsi="宋体" w:eastAsia="宋体" w:cs="宋体"/>
                <w:strike w:val="0"/>
                <w:color w:val="auto"/>
                <w:sz w:val="21"/>
                <w:szCs w:val="21"/>
                <w:highlight w:val="none"/>
              </w:rPr>
            </w:pP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14:paraId="17B588DF">
            <w:pPr>
              <w:spacing w:line="360" w:lineRule="auto"/>
              <w:jc w:val="center"/>
              <w:rPr>
                <w:rFonts w:hint="default" w:ascii="宋体" w:hAnsi="宋体" w:eastAsia="宋体" w:cs="宋体"/>
                <w:strike w:val="0"/>
                <w:color w:val="auto"/>
                <w:sz w:val="21"/>
                <w:szCs w:val="21"/>
                <w:highlight w:val="none"/>
              </w:rPr>
            </w:pPr>
          </w:p>
        </w:tc>
      </w:tr>
      <w:tr w14:paraId="1D99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872"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5DC64A7B">
            <w:pPr>
              <w:spacing w:line="360" w:lineRule="auto"/>
              <w:jc w:val="center"/>
              <w:rPr>
                <w:rFonts w:hint="default" w:ascii="宋体" w:hAnsi="宋体" w:eastAsia="宋体" w:cs="宋体"/>
                <w:strike w:val="0"/>
                <w:color w:val="auto"/>
                <w:sz w:val="21"/>
                <w:szCs w:val="21"/>
                <w:highlight w:val="none"/>
              </w:rPr>
            </w:pPr>
            <w:r>
              <w:rPr>
                <w:rFonts w:hint="default" w:ascii="宋体" w:hAnsi="宋体" w:eastAsia="宋体" w:cs="宋体"/>
                <w:b/>
                <w:strike w:val="0"/>
                <w:color w:val="auto"/>
                <w:sz w:val="21"/>
                <w:szCs w:val="21"/>
                <w:highlight w:val="none"/>
              </w:rPr>
              <w:t>合计报价</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1AB38044">
            <w:pPr>
              <w:spacing w:line="360" w:lineRule="auto"/>
              <w:jc w:val="center"/>
              <w:rPr>
                <w:rFonts w:hint="default" w:ascii="宋体" w:hAnsi="宋体" w:eastAsia="宋体" w:cs="宋体"/>
                <w:strike w:val="0"/>
                <w:color w:val="auto"/>
                <w:sz w:val="21"/>
                <w:szCs w:val="21"/>
                <w:highlight w:val="none"/>
              </w:rPr>
            </w:pP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14:paraId="2BFA6159">
            <w:pPr>
              <w:spacing w:line="360" w:lineRule="auto"/>
              <w:jc w:val="center"/>
              <w:rPr>
                <w:rFonts w:hint="default" w:ascii="宋体" w:hAnsi="宋体" w:eastAsia="宋体" w:cs="宋体"/>
                <w:strike w:val="0"/>
                <w:color w:val="auto"/>
                <w:sz w:val="21"/>
                <w:szCs w:val="21"/>
                <w:highlight w:val="none"/>
              </w:rPr>
            </w:pPr>
          </w:p>
        </w:tc>
      </w:tr>
    </w:tbl>
    <w:p w14:paraId="442A1E00">
      <w:pPr>
        <w:pStyle w:val="33"/>
        <w:spacing w:line="240" w:lineRule="auto"/>
        <w:ind w:firstLine="0" w:firstLineChars="0"/>
        <w:rPr>
          <w:rFonts w:hint="default" w:ascii="宋体" w:hAnsi="宋体" w:cs="宋体"/>
          <w:strike w:val="0"/>
          <w:color w:val="auto"/>
          <w:sz w:val="21"/>
          <w:szCs w:val="21"/>
          <w:highlight w:val="none"/>
        </w:rPr>
      </w:pPr>
    </w:p>
    <w:p w14:paraId="0CE29422">
      <w:pPr>
        <w:pStyle w:val="33"/>
        <w:spacing w:line="240" w:lineRule="auto"/>
        <w:ind w:firstLine="0" w:firstLineChars="0"/>
        <w:rPr>
          <w:rFonts w:hint="default" w:ascii="宋体" w:hAnsi="宋体" w:cs="宋体"/>
          <w:strike w:val="0"/>
          <w:color w:val="auto"/>
          <w:sz w:val="21"/>
          <w:szCs w:val="21"/>
          <w:highlight w:val="none"/>
        </w:rPr>
      </w:pPr>
      <w:r>
        <w:rPr>
          <w:rFonts w:hint="default" w:ascii="宋体" w:hAnsi="宋体" w:cs="宋体"/>
          <w:strike w:val="0"/>
          <w:color w:val="auto"/>
          <w:sz w:val="21"/>
          <w:szCs w:val="21"/>
          <w:highlight w:val="none"/>
        </w:rPr>
        <w:t>注：</w:t>
      </w:r>
    </w:p>
    <w:p w14:paraId="05B144C7">
      <w:pPr>
        <w:pStyle w:val="33"/>
        <w:ind w:firstLine="436"/>
        <w:rPr>
          <w:rFonts w:hint="default" w:ascii="宋体" w:hAnsi="宋体" w:cs="宋体"/>
          <w:strike w:val="0"/>
          <w:color w:val="auto"/>
          <w:sz w:val="21"/>
          <w:szCs w:val="21"/>
          <w:highlight w:val="none"/>
        </w:rPr>
      </w:pPr>
      <w:r>
        <w:rPr>
          <w:rFonts w:hint="default" w:ascii="宋体" w:hAnsi="宋体" w:cs="宋体"/>
          <w:strike w:val="0"/>
          <w:color w:val="auto"/>
          <w:sz w:val="21"/>
          <w:szCs w:val="21"/>
          <w:highlight w:val="none"/>
          <w:lang w:val="en-US" w:eastAsia="zh-CN"/>
        </w:rPr>
        <w:t>1、</w:t>
      </w:r>
      <w:r>
        <w:rPr>
          <w:rFonts w:hint="default" w:ascii="宋体" w:hAnsi="宋体" w:cs="宋体"/>
          <w:strike w:val="0"/>
          <w:color w:val="auto"/>
          <w:sz w:val="21"/>
          <w:szCs w:val="21"/>
          <w:highlight w:val="none"/>
          <w:lang w:val="zh-CN"/>
        </w:rPr>
        <w:t>投标下浮率以百分比为单位，</w:t>
      </w:r>
      <w:r>
        <w:rPr>
          <w:rFonts w:hint="eastAsia" w:ascii="宋体" w:hAnsi="宋体" w:cs="宋体"/>
          <w:strike w:val="0"/>
          <w:color w:val="auto"/>
          <w:sz w:val="21"/>
          <w:szCs w:val="21"/>
          <w:highlight w:val="none"/>
          <w:lang w:val="en-US" w:eastAsia="zh-CN"/>
        </w:rPr>
        <w:t>范围为0%~100%，</w:t>
      </w:r>
      <w:r>
        <w:rPr>
          <w:rFonts w:hint="default" w:ascii="宋体" w:hAnsi="宋体" w:cs="宋体"/>
          <w:strike w:val="0"/>
          <w:color w:val="auto"/>
          <w:sz w:val="21"/>
          <w:szCs w:val="21"/>
          <w:highlight w:val="none"/>
          <w:lang w:val="zh-CN"/>
        </w:rPr>
        <w:t>保留到小数点后</w:t>
      </w:r>
      <w:r>
        <w:rPr>
          <w:rFonts w:hint="eastAsia" w:ascii="宋体" w:hAnsi="宋体" w:cs="宋体"/>
          <w:strike w:val="0"/>
          <w:color w:val="auto"/>
          <w:sz w:val="21"/>
          <w:szCs w:val="21"/>
          <w:highlight w:val="none"/>
          <w:u w:val="single"/>
          <w:lang w:val="en-US" w:eastAsia="zh-CN"/>
        </w:rPr>
        <w:t>2</w:t>
      </w:r>
      <w:r>
        <w:rPr>
          <w:rFonts w:hint="default" w:ascii="宋体" w:hAnsi="宋体" w:cs="宋体"/>
          <w:strike w:val="0"/>
          <w:color w:val="auto"/>
          <w:sz w:val="21"/>
          <w:szCs w:val="21"/>
          <w:highlight w:val="none"/>
          <w:lang w:val="zh-CN"/>
        </w:rPr>
        <w:t>位</w:t>
      </w:r>
      <w:r>
        <w:rPr>
          <w:rFonts w:hint="default" w:ascii="宋体" w:hAnsi="宋体" w:cs="宋体"/>
          <w:strike w:val="0"/>
          <w:color w:val="auto"/>
          <w:sz w:val="21"/>
          <w:szCs w:val="21"/>
          <w:highlight w:val="none"/>
        </w:rPr>
        <w:t>，投标报价填报保留小数点后</w:t>
      </w:r>
      <w:r>
        <w:rPr>
          <w:rFonts w:hint="eastAsia" w:ascii="宋体" w:hAnsi="宋体" w:cs="宋体"/>
          <w:strike w:val="0"/>
          <w:color w:val="auto"/>
          <w:sz w:val="21"/>
          <w:szCs w:val="21"/>
          <w:highlight w:val="none"/>
          <w:u w:val="single"/>
          <w:lang w:val="en-US" w:eastAsia="zh-CN"/>
        </w:rPr>
        <w:t>2</w:t>
      </w:r>
      <w:r>
        <w:rPr>
          <w:rFonts w:hint="default" w:ascii="宋体" w:hAnsi="宋体" w:cs="宋体"/>
          <w:strike w:val="0"/>
          <w:color w:val="auto"/>
          <w:sz w:val="21"/>
          <w:szCs w:val="21"/>
          <w:highlight w:val="none"/>
        </w:rPr>
        <w:t>位。</w:t>
      </w:r>
    </w:p>
    <w:p w14:paraId="285BDC05">
      <w:pPr>
        <w:pStyle w:val="33"/>
        <w:ind w:firstLine="436"/>
        <w:rPr>
          <w:rFonts w:hint="default" w:ascii="宋体" w:hAnsi="宋体" w:cs="宋体"/>
          <w:strike w:val="0"/>
          <w:color w:val="auto"/>
          <w:sz w:val="21"/>
          <w:szCs w:val="21"/>
          <w:highlight w:val="none"/>
        </w:rPr>
      </w:pPr>
      <w:r>
        <w:rPr>
          <w:rFonts w:hint="default" w:ascii="宋体" w:hAnsi="宋体" w:cs="宋体"/>
          <w:strike w:val="0"/>
          <w:color w:val="auto"/>
          <w:sz w:val="21"/>
          <w:szCs w:val="21"/>
          <w:highlight w:val="none"/>
        </w:rPr>
        <w:t>厂区部分监理服务投标报价=对应的投标</w:t>
      </w:r>
      <w:r>
        <w:rPr>
          <w:rFonts w:hint="eastAsia" w:ascii="宋体" w:hAnsi="宋体" w:cs="宋体"/>
          <w:strike w:val="0"/>
          <w:color w:val="auto"/>
          <w:sz w:val="21"/>
          <w:szCs w:val="21"/>
          <w:highlight w:val="none"/>
          <w:lang w:eastAsia="zh-CN"/>
        </w:rPr>
        <w:t>报价限价</w:t>
      </w:r>
      <w:r>
        <w:rPr>
          <w:rFonts w:hint="default" w:ascii="宋体" w:hAnsi="宋体" w:cs="宋体"/>
          <w:strike w:val="0"/>
          <w:color w:val="auto"/>
          <w:sz w:val="21"/>
          <w:szCs w:val="21"/>
          <w:highlight w:val="none"/>
        </w:rPr>
        <w:t>*（1-投标下浮率）</w:t>
      </w:r>
    </w:p>
    <w:p w14:paraId="577BFB46">
      <w:pPr>
        <w:pStyle w:val="33"/>
        <w:ind w:firstLine="436"/>
        <w:rPr>
          <w:rFonts w:hint="default" w:ascii="宋体" w:hAnsi="宋体" w:cs="宋体"/>
          <w:strike w:val="0"/>
          <w:color w:val="auto"/>
          <w:sz w:val="21"/>
          <w:szCs w:val="21"/>
          <w:highlight w:val="none"/>
        </w:rPr>
      </w:pPr>
      <w:r>
        <w:rPr>
          <w:rFonts w:hint="default" w:ascii="宋体" w:hAnsi="宋体" w:cs="宋体"/>
          <w:strike w:val="0"/>
          <w:color w:val="auto"/>
          <w:sz w:val="21"/>
          <w:szCs w:val="21"/>
          <w:highlight w:val="none"/>
        </w:rPr>
        <w:t>管网部分监理服务投标报价=对应的投标</w:t>
      </w:r>
      <w:r>
        <w:rPr>
          <w:rFonts w:hint="eastAsia" w:ascii="宋体" w:hAnsi="宋体" w:cs="宋体"/>
          <w:strike w:val="0"/>
          <w:color w:val="auto"/>
          <w:sz w:val="21"/>
          <w:szCs w:val="21"/>
          <w:highlight w:val="none"/>
          <w:lang w:eastAsia="zh-CN"/>
        </w:rPr>
        <w:t>报价限价</w:t>
      </w:r>
      <w:r>
        <w:rPr>
          <w:rFonts w:hint="default" w:ascii="宋体" w:hAnsi="宋体" w:cs="宋体"/>
          <w:strike w:val="0"/>
          <w:color w:val="auto"/>
          <w:sz w:val="21"/>
          <w:szCs w:val="21"/>
          <w:highlight w:val="none"/>
        </w:rPr>
        <w:t>*（1-投标下浮率）</w:t>
      </w:r>
    </w:p>
    <w:p w14:paraId="02DF6397">
      <w:pPr>
        <w:pStyle w:val="33"/>
        <w:ind w:firstLine="436"/>
        <w:rPr>
          <w:rFonts w:hint="default" w:ascii="宋体" w:hAnsi="宋体" w:cs="宋体"/>
          <w:strike w:val="0"/>
          <w:color w:val="auto"/>
          <w:sz w:val="21"/>
          <w:szCs w:val="21"/>
          <w:highlight w:val="none"/>
        </w:rPr>
      </w:pPr>
      <w:r>
        <w:rPr>
          <w:rFonts w:hint="default" w:ascii="宋体" w:hAnsi="宋体" w:cs="宋体"/>
          <w:strike w:val="0"/>
          <w:color w:val="auto"/>
          <w:sz w:val="21"/>
          <w:szCs w:val="21"/>
          <w:highlight w:val="none"/>
          <w:lang w:val="en-US" w:eastAsia="zh-CN"/>
        </w:rPr>
        <w:t>2</w:t>
      </w:r>
      <w:r>
        <w:rPr>
          <w:rFonts w:hint="default" w:ascii="宋体" w:hAnsi="宋体" w:cs="宋体"/>
          <w:strike w:val="0"/>
          <w:color w:val="auto"/>
          <w:sz w:val="21"/>
          <w:szCs w:val="21"/>
          <w:highlight w:val="none"/>
        </w:rPr>
        <w:t>、厂区部分监理服务投标下浮率应与管网部分监理服务投标下浮率相同。如出现两个不同的下浮率，按最高的下浮率修正投标报价。</w:t>
      </w:r>
    </w:p>
    <w:p w14:paraId="4C6E21DE">
      <w:pPr>
        <w:pStyle w:val="33"/>
        <w:ind w:firstLine="436"/>
        <w:rPr>
          <w:rFonts w:hint="default" w:ascii="宋体" w:hAnsi="宋体" w:cs="宋体"/>
          <w:strike w:val="0"/>
          <w:color w:val="auto"/>
          <w:sz w:val="21"/>
          <w:szCs w:val="21"/>
          <w:highlight w:val="none"/>
        </w:rPr>
      </w:pPr>
      <w:r>
        <w:rPr>
          <w:rFonts w:hint="eastAsia" w:ascii="宋体" w:hAnsi="宋体" w:cs="宋体"/>
          <w:strike w:val="0"/>
          <w:color w:val="auto"/>
          <w:sz w:val="21"/>
          <w:szCs w:val="21"/>
          <w:highlight w:val="none"/>
          <w:lang w:val="en-US" w:eastAsia="zh-CN"/>
        </w:rPr>
        <w:t>3</w:t>
      </w:r>
      <w:r>
        <w:rPr>
          <w:rFonts w:hint="default" w:ascii="宋体" w:hAnsi="宋体" w:cs="宋体"/>
          <w:strike w:val="0"/>
          <w:color w:val="auto"/>
          <w:sz w:val="21"/>
          <w:szCs w:val="21"/>
          <w:highlight w:val="none"/>
        </w:rPr>
        <w:t>、投标报价与投标</w:t>
      </w:r>
      <w:r>
        <w:rPr>
          <w:rFonts w:hint="eastAsia" w:ascii="宋体" w:hAnsi="宋体" w:cs="宋体"/>
          <w:strike w:val="0"/>
          <w:color w:val="auto"/>
          <w:sz w:val="21"/>
          <w:szCs w:val="21"/>
          <w:highlight w:val="none"/>
          <w:lang w:eastAsia="zh-CN"/>
        </w:rPr>
        <w:t>报价限价</w:t>
      </w:r>
      <w:r>
        <w:rPr>
          <w:rFonts w:hint="default" w:ascii="宋体" w:hAnsi="宋体" w:cs="宋体"/>
          <w:strike w:val="0"/>
          <w:color w:val="auto"/>
          <w:sz w:val="21"/>
          <w:szCs w:val="21"/>
          <w:highlight w:val="none"/>
        </w:rPr>
        <w:t>*（1-投标下浮率）不同时，以投标下浮率为准，修正投标报价。</w:t>
      </w:r>
    </w:p>
    <w:p w14:paraId="7C26AD80">
      <w:pPr>
        <w:pStyle w:val="5"/>
        <w:kinsoku w:val="0"/>
        <w:overflowPunct w:val="0"/>
        <w:spacing w:line="456" w:lineRule="exact"/>
        <w:ind w:right="1"/>
        <w:jc w:val="center"/>
        <w:outlineLvl w:val="1"/>
        <w:rPr>
          <w:rFonts w:hint="default"/>
          <w:b w:val="0"/>
          <w:color w:val="auto"/>
          <w:sz w:val="28"/>
          <w:szCs w:val="24"/>
          <w:highlight w:val="none"/>
        </w:rPr>
      </w:pPr>
      <w:r>
        <w:rPr>
          <w:rFonts w:hint="default" w:ascii="宋体" w:hAnsi="宋体" w:cs="宋体"/>
          <w:strike w:val="0"/>
          <w:color w:val="auto"/>
          <w:sz w:val="21"/>
          <w:szCs w:val="21"/>
          <w:highlight w:val="none"/>
        </w:rPr>
        <w:br w:type="page"/>
      </w:r>
      <w:r>
        <w:rPr>
          <w:rFonts w:hint="default"/>
          <w:color w:val="auto"/>
          <w:sz w:val="28"/>
          <w:szCs w:val="24"/>
          <w:highlight w:val="none"/>
        </w:rPr>
        <w:t>六、资格审查资料</w:t>
      </w:r>
    </w:p>
    <w:p w14:paraId="06369268">
      <w:pPr>
        <w:pStyle w:val="12"/>
        <w:kinsoku w:val="0"/>
        <w:overflowPunct w:val="0"/>
        <w:spacing w:before="10"/>
        <w:ind w:left="0"/>
        <w:rPr>
          <w:rFonts w:hint="eastAsia" w:ascii="Microsoft JhengHei" w:hAnsi="Microsoft JhengHei" w:eastAsia="Microsoft JhengHei"/>
          <w:b/>
          <w:color w:val="auto"/>
          <w:sz w:val="15"/>
          <w:szCs w:val="24"/>
          <w:highlight w:val="none"/>
        </w:rPr>
      </w:pPr>
    </w:p>
    <w:p w14:paraId="0951F10A">
      <w:pPr>
        <w:pStyle w:val="6"/>
        <w:outlineLvl w:val="2"/>
        <w:rPr>
          <w:rFonts w:hint="default"/>
          <w:b/>
          <w:color w:val="auto"/>
          <w:sz w:val="24"/>
          <w:szCs w:val="24"/>
          <w:highlight w:val="none"/>
        </w:rPr>
      </w:pPr>
      <w:r>
        <w:rPr>
          <w:rFonts w:hint="default"/>
          <w:b/>
          <w:color w:val="auto"/>
          <w:sz w:val="24"/>
          <w:szCs w:val="24"/>
          <w:highlight w:val="none"/>
        </w:rPr>
        <w:t>（一）基本情况表</w:t>
      </w:r>
    </w:p>
    <w:p w14:paraId="60B71DD2">
      <w:pPr>
        <w:pStyle w:val="12"/>
        <w:kinsoku w:val="0"/>
        <w:overflowPunct w:val="0"/>
        <w:ind w:left="0"/>
        <w:rPr>
          <w:rFonts w:hint="default"/>
          <w:color w:val="auto"/>
          <w:sz w:val="23"/>
          <w:szCs w:val="24"/>
          <w:highlight w:val="none"/>
        </w:rPr>
      </w:pPr>
    </w:p>
    <w:tbl>
      <w:tblPr>
        <w:tblStyle w:val="22"/>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3C29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369E558D">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2C5959B3">
            <w:pPr>
              <w:rPr>
                <w:rFonts w:hint="default" w:ascii="宋体" w:hAnsi="宋体" w:eastAsia="宋体" w:cs="宋体"/>
                <w:color w:val="auto"/>
                <w:sz w:val="21"/>
                <w:szCs w:val="21"/>
                <w:highlight w:val="none"/>
              </w:rPr>
            </w:pPr>
          </w:p>
        </w:tc>
      </w:tr>
      <w:tr w14:paraId="4122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40D1156B">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ADA8A8F">
            <w:pPr>
              <w:rPr>
                <w:rFonts w:hint="default"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93C3917">
            <w:pPr>
              <w:pStyle w:val="29"/>
              <w:kinsoku w:val="0"/>
              <w:overflowPunct w:val="0"/>
              <w:spacing w:before="107"/>
              <w:ind w:left="218"/>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10850AD">
            <w:pPr>
              <w:rPr>
                <w:rFonts w:hint="default" w:ascii="宋体" w:hAnsi="宋体" w:eastAsia="宋体" w:cs="宋体"/>
                <w:color w:val="auto"/>
                <w:sz w:val="21"/>
                <w:szCs w:val="21"/>
                <w:highlight w:val="none"/>
              </w:rPr>
            </w:pPr>
          </w:p>
        </w:tc>
      </w:tr>
      <w:tr w14:paraId="1465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60C47F1">
            <w:pPr>
              <w:pStyle w:val="29"/>
              <w:kinsoku w:val="0"/>
              <w:overflowPunct w:val="0"/>
              <w:jc w:val="center"/>
              <w:rPr>
                <w:rFonts w:hint="default" w:ascii="宋体" w:hAnsi="宋体" w:eastAsia="宋体" w:cs="宋体"/>
                <w:color w:val="auto"/>
                <w:sz w:val="21"/>
                <w:szCs w:val="21"/>
                <w:highlight w:val="none"/>
              </w:rPr>
            </w:pPr>
          </w:p>
          <w:p w14:paraId="025E6B6A">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vAlign w:val="top"/>
          </w:tcPr>
          <w:p w14:paraId="39535C0B">
            <w:pPr>
              <w:pStyle w:val="29"/>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EF8676F">
            <w:pPr>
              <w:rPr>
                <w:rFonts w:hint="default"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4AA4C3E">
            <w:pPr>
              <w:pStyle w:val="29"/>
              <w:kinsoku w:val="0"/>
              <w:overflowPunct w:val="0"/>
              <w:spacing w:before="107"/>
              <w:ind w:left="374"/>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电</w:t>
            </w:r>
            <w:r>
              <w:rPr>
                <w:rFonts w:hint="default" w:ascii="宋体" w:hAnsi="宋体" w:eastAsia="宋体" w:cs="宋体"/>
                <w:color w:val="auto"/>
                <w:spacing w:val="2"/>
                <w:sz w:val="21"/>
                <w:szCs w:val="21"/>
                <w:highlight w:val="none"/>
              </w:rPr>
              <w:t xml:space="preserve"> </w:t>
            </w:r>
            <w:r>
              <w:rPr>
                <w:rFonts w:hint="default" w:ascii="宋体" w:hAnsi="宋体" w:eastAsia="宋体" w:cs="宋体"/>
                <w:color w:val="auto"/>
                <w:sz w:val="21"/>
                <w:szCs w:val="21"/>
                <w:highlight w:val="none"/>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0975775">
            <w:pPr>
              <w:rPr>
                <w:rFonts w:hint="default" w:ascii="宋体" w:hAnsi="宋体" w:eastAsia="宋体" w:cs="宋体"/>
                <w:color w:val="auto"/>
                <w:sz w:val="21"/>
                <w:szCs w:val="21"/>
                <w:highlight w:val="none"/>
              </w:rPr>
            </w:pPr>
          </w:p>
        </w:tc>
      </w:tr>
      <w:tr w14:paraId="5CBE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5471050">
            <w:pPr>
              <w:jc w:val="center"/>
              <w:rPr>
                <w:rFonts w:hint="default" w:ascii="宋体" w:hAnsi="宋体" w:eastAsia="宋体" w:cs="宋体"/>
                <w:color w:val="auto"/>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vAlign w:val="top"/>
          </w:tcPr>
          <w:p w14:paraId="092E0D32">
            <w:pPr>
              <w:pStyle w:val="29"/>
              <w:tabs>
                <w:tab w:val="left" w:pos="550"/>
              </w:tabs>
              <w:kinsoku w:val="0"/>
              <w:overflowPunct w:val="0"/>
              <w:spacing w:before="108"/>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传</w:t>
            </w:r>
            <w:r>
              <w:rPr>
                <w:rFonts w:hint="default" w:ascii="宋体" w:hAnsi="宋体" w:eastAsia="宋体" w:cs="宋体"/>
                <w:color w:val="auto"/>
                <w:sz w:val="21"/>
                <w:szCs w:val="21"/>
                <w:highlight w:val="none"/>
                <w:lang w:val="en-US" w:eastAsia="zh-CN"/>
              </w:rPr>
              <w:t>真</w:t>
            </w:r>
            <w:r>
              <w:rPr>
                <w:rFonts w:hint="default" w:ascii="宋体" w:hAnsi="宋体" w:eastAsia="宋体" w:cs="宋体"/>
                <w:color w:val="auto"/>
                <w:sz w:val="21"/>
                <w:szCs w:val="21"/>
                <w:highlight w:val="none"/>
              </w:rPr>
              <w:tab/>
            </w:r>
            <w:r>
              <w:rPr>
                <w:rFonts w:hint="default" w:ascii="宋体" w:hAnsi="宋体" w:eastAsia="宋体" w:cs="宋体"/>
                <w:color w:val="auto"/>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B384C24">
            <w:pPr>
              <w:rPr>
                <w:rFonts w:hint="default"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4F8EB8">
            <w:pPr>
              <w:pStyle w:val="29"/>
              <w:kinsoku w:val="0"/>
              <w:overflowPunct w:val="0"/>
              <w:spacing w:before="108"/>
              <w:ind w:left="374"/>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网</w:t>
            </w:r>
            <w:r>
              <w:rPr>
                <w:rFonts w:hint="default" w:ascii="宋体" w:hAnsi="宋体" w:eastAsia="宋体" w:cs="宋体"/>
                <w:color w:val="auto"/>
                <w:spacing w:val="2"/>
                <w:sz w:val="21"/>
                <w:szCs w:val="21"/>
                <w:highlight w:val="none"/>
              </w:rPr>
              <w:t xml:space="preserve"> </w:t>
            </w:r>
            <w:r>
              <w:rPr>
                <w:rFonts w:hint="default" w:ascii="宋体" w:hAnsi="宋体" w:eastAsia="宋体" w:cs="宋体"/>
                <w:color w:val="auto"/>
                <w:sz w:val="21"/>
                <w:szCs w:val="21"/>
                <w:highlight w:val="none"/>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73FD7F1">
            <w:pPr>
              <w:rPr>
                <w:rFonts w:hint="default" w:ascii="宋体" w:hAnsi="宋体" w:eastAsia="宋体" w:cs="宋体"/>
                <w:color w:val="auto"/>
                <w:sz w:val="21"/>
                <w:szCs w:val="21"/>
                <w:highlight w:val="none"/>
              </w:rPr>
            </w:pPr>
          </w:p>
        </w:tc>
      </w:tr>
      <w:tr w14:paraId="5340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7D442E4F">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vAlign w:val="top"/>
          </w:tcPr>
          <w:p w14:paraId="52C404BF">
            <w:pPr>
              <w:pStyle w:val="29"/>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vAlign w:val="top"/>
          </w:tcPr>
          <w:p w14:paraId="7AB83A82">
            <w:pPr>
              <w:rPr>
                <w:rFonts w:hint="default"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vAlign w:val="top"/>
          </w:tcPr>
          <w:p w14:paraId="017D9115">
            <w:pPr>
              <w:pStyle w:val="29"/>
              <w:kinsoku w:val="0"/>
              <w:overflowPunct w:val="0"/>
              <w:spacing w:before="107"/>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722DBF4">
            <w:pPr>
              <w:rPr>
                <w:rFonts w:hint="default"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9998D09">
            <w:pPr>
              <w:pStyle w:val="29"/>
              <w:kinsoku w:val="0"/>
              <w:overflowPunct w:val="0"/>
              <w:spacing w:before="107"/>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top"/>
          </w:tcPr>
          <w:p w14:paraId="5AF1C405">
            <w:pPr>
              <w:rPr>
                <w:rFonts w:hint="default" w:ascii="宋体" w:hAnsi="宋体" w:eastAsia="宋体" w:cs="宋体"/>
                <w:color w:val="auto"/>
                <w:sz w:val="21"/>
                <w:szCs w:val="21"/>
                <w:highlight w:val="none"/>
              </w:rPr>
            </w:pPr>
          </w:p>
        </w:tc>
      </w:tr>
      <w:tr w14:paraId="726B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571ACB27">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vAlign w:val="top"/>
          </w:tcPr>
          <w:p w14:paraId="29E11FD9">
            <w:pPr>
              <w:pStyle w:val="29"/>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vAlign w:val="top"/>
          </w:tcPr>
          <w:p w14:paraId="1E498643">
            <w:pPr>
              <w:rPr>
                <w:rFonts w:hint="default"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vAlign w:val="top"/>
          </w:tcPr>
          <w:p w14:paraId="0807D1BB">
            <w:pPr>
              <w:pStyle w:val="29"/>
              <w:kinsoku w:val="0"/>
              <w:overflowPunct w:val="0"/>
              <w:spacing w:before="107"/>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968A30">
            <w:pPr>
              <w:rPr>
                <w:rFonts w:hint="default"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0A58D6C">
            <w:pPr>
              <w:pStyle w:val="29"/>
              <w:kinsoku w:val="0"/>
              <w:overflowPunct w:val="0"/>
              <w:spacing w:before="107"/>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top"/>
          </w:tcPr>
          <w:p w14:paraId="5CBF6CD8">
            <w:pPr>
              <w:rPr>
                <w:rFonts w:hint="default" w:ascii="宋体" w:hAnsi="宋体" w:eastAsia="宋体" w:cs="宋体"/>
                <w:color w:val="auto"/>
                <w:sz w:val="21"/>
                <w:szCs w:val="21"/>
                <w:highlight w:val="none"/>
              </w:rPr>
            </w:pPr>
          </w:p>
        </w:tc>
      </w:tr>
      <w:tr w14:paraId="5D91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0558838B">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1F87E745">
            <w:pPr>
              <w:pStyle w:val="29"/>
              <w:tabs>
                <w:tab w:val="left" w:pos="3785"/>
                <w:tab w:val="left" w:pos="5045"/>
              </w:tabs>
              <w:kinsoku w:val="0"/>
              <w:overflowPunct w:val="0"/>
              <w:spacing w:before="107"/>
              <w:ind w:left="1054"/>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类型：</w:t>
            </w:r>
            <w:r>
              <w:rPr>
                <w:rFonts w:hint="default" w:ascii="宋体" w:hAnsi="宋体" w:eastAsia="宋体" w:cs="宋体"/>
                <w:color w:val="auto"/>
                <w:sz w:val="21"/>
                <w:szCs w:val="21"/>
                <w:highlight w:val="none"/>
              </w:rPr>
              <w:tab/>
            </w:r>
            <w:r>
              <w:rPr>
                <w:rFonts w:hint="default" w:ascii="宋体" w:hAnsi="宋体" w:eastAsia="宋体" w:cs="宋体"/>
                <w:color w:val="auto"/>
                <w:spacing w:val="-1"/>
                <w:sz w:val="21"/>
                <w:szCs w:val="21"/>
                <w:highlight w:val="none"/>
              </w:rPr>
              <w:t>等级：</w:t>
            </w:r>
            <w:r>
              <w:rPr>
                <w:rFonts w:hint="default" w:ascii="宋体" w:hAnsi="宋体" w:eastAsia="宋体" w:cs="宋体"/>
                <w:color w:val="auto"/>
                <w:spacing w:val="-1"/>
                <w:sz w:val="21"/>
                <w:szCs w:val="21"/>
                <w:highlight w:val="none"/>
              </w:rPr>
              <w:tab/>
            </w:r>
            <w:r>
              <w:rPr>
                <w:rFonts w:hint="default" w:ascii="宋体" w:hAnsi="宋体" w:eastAsia="宋体" w:cs="宋体"/>
                <w:color w:val="auto"/>
                <w:spacing w:val="-2"/>
                <w:sz w:val="21"/>
                <w:szCs w:val="21"/>
                <w:highlight w:val="none"/>
              </w:rPr>
              <w:t>证书号：</w:t>
            </w:r>
          </w:p>
        </w:tc>
      </w:tr>
      <w:tr w14:paraId="007F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1B670BD6">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质量管理体系证书</w:t>
            </w:r>
          </w:p>
          <w:p w14:paraId="6B0057B6">
            <w:pPr>
              <w:pStyle w:val="29"/>
              <w:kinsoku w:val="0"/>
              <w:overflowPunct w:val="0"/>
              <w:ind w:right="101"/>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3F2B81A7">
            <w:pPr>
              <w:pStyle w:val="29"/>
              <w:kinsoku w:val="0"/>
              <w:overflowPunct w:val="0"/>
              <w:spacing w:before="1"/>
              <w:rPr>
                <w:rFonts w:hint="default" w:ascii="宋体" w:hAnsi="宋体" w:eastAsia="宋体" w:cs="宋体"/>
                <w:color w:val="auto"/>
                <w:sz w:val="21"/>
                <w:szCs w:val="21"/>
                <w:highlight w:val="none"/>
              </w:rPr>
            </w:pPr>
          </w:p>
          <w:p w14:paraId="56312A8E">
            <w:pPr>
              <w:pStyle w:val="29"/>
              <w:tabs>
                <w:tab w:val="left" w:pos="3785"/>
                <w:tab w:val="left" w:pos="5045"/>
              </w:tabs>
              <w:kinsoku w:val="0"/>
              <w:overflowPunct w:val="0"/>
              <w:ind w:left="1054"/>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类型：</w:t>
            </w:r>
            <w:r>
              <w:rPr>
                <w:rFonts w:hint="default" w:ascii="宋体" w:hAnsi="宋体" w:eastAsia="宋体" w:cs="宋体"/>
                <w:color w:val="auto"/>
                <w:sz w:val="21"/>
                <w:szCs w:val="21"/>
                <w:highlight w:val="none"/>
              </w:rPr>
              <w:tab/>
            </w:r>
            <w:r>
              <w:rPr>
                <w:rFonts w:hint="default" w:ascii="宋体" w:hAnsi="宋体" w:eastAsia="宋体" w:cs="宋体"/>
                <w:color w:val="auto"/>
                <w:spacing w:val="-1"/>
                <w:sz w:val="21"/>
                <w:szCs w:val="21"/>
                <w:highlight w:val="none"/>
              </w:rPr>
              <w:t>等级：</w:t>
            </w:r>
            <w:r>
              <w:rPr>
                <w:rFonts w:hint="default" w:ascii="宋体" w:hAnsi="宋体" w:eastAsia="宋体" w:cs="宋体"/>
                <w:color w:val="auto"/>
                <w:spacing w:val="-1"/>
                <w:sz w:val="21"/>
                <w:szCs w:val="21"/>
                <w:highlight w:val="none"/>
              </w:rPr>
              <w:tab/>
            </w:r>
            <w:r>
              <w:rPr>
                <w:rFonts w:hint="default" w:ascii="宋体" w:hAnsi="宋体" w:eastAsia="宋体" w:cs="宋体"/>
                <w:color w:val="auto"/>
                <w:spacing w:val="-2"/>
                <w:sz w:val="21"/>
                <w:szCs w:val="21"/>
                <w:highlight w:val="none"/>
              </w:rPr>
              <w:t>证书号：</w:t>
            </w:r>
          </w:p>
        </w:tc>
      </w:tr>
      <w:tr w14:paraId="03F8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7404A32A">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EE04B65">
            <w:pPr>
              <w:rPr>
                <w:rFonts w:hint="default" w:ascii="宋体" w:hAnsi="宋体" w:eastAsia="宋体" w:cs="宋体"/>
                <w:color w:val="auto"/>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vAlign w:val="top"/>
          </w:tcPr>
          <w:p w14:paraId="5F6F9479">
            <w:pPr>
              <w:pStyle w:val="29"/>
              <w:kinsoku w:val="0"/>
              <w:overflowPunct w:val="0"/>
              <w:spacing w:before="107"/>
              <w:ind w:left="1178"/>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员工总人数：</w:t>
            </w:r>
          </w:p>
        </w:tc>
      </w:tr>
      <w:tr w14:paraId="7DDE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4D683712">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A898364">
            <w:pPr>
              <w:rPr>
                <w:rFonts w:hint="default" w:ascii="宋体" w:hAnsi="宋体" w:eastAsia="宋体" w:cs="宋体"/>
                <w:color w:val="auto"/>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5DC7FDC9">
            <w:pPr>
              <w:pStyle w:val="29"/>
              <w:kinsoku w:val="0"/>
              <w:overflowPunct w:val="0"/>
              <w:spacing w:line="384" w:lineRule="auto"/>
              <w:ind w:right="89"/>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580D5A3">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B816E9D">
            <w:pPr>
              <w:rPr>
                <w:rFonts w:hint="default" w:ascii="宋体" w:hAnsi="宋体" w:eastAsia="宋体" w:cs="宋体"/>
                <w:color w:val="auto"/>
                <w:sz w:val="21"/>
                <w:szCs w:val="21"/>
                <w:highlight w:val="none"/>
              </w:rPr>
            </w:pPr>
          </w:p>
        </w:tc>
      </w:tr>
      <w:tr w14:paraId="0D220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473DE3FC">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64CF031">
            <w:pPr>
              <w:rPr>
                <w:rFonts w:hint="default"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14:paraId="165EE7E2">
            <w:pPr>
              <w:rPr>
                <w:rFonts w:hint="default"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CE6A6F0">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96F35AA">
            <w:pPr>
              <w:rPr>
                <w:rFonts w:hint="default" w:ascii="宋体" w:hAnsi="宋体" w:eastAsia="宋体" w:cs="宋体"/>
                <w:color w:val="auto"/>
                <w:sz w:val="21"/>
                <w:szCs w:val="21"/>
                <w:highlight w:val="none"/>
              </w:rPr>
            </w:pPr>
          </w:p>
        </w:tc>
      </w:tr>
      <w:tr w14:paraId="09E3E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6FE4AB07">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8AC993E">
            <w:pPr>
              <w:rPr>
                <w:rFonts w:hint="default"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14:paraId="2B978AC6">
            <w:pPr>
              <w:rPr>
                <w:rFonts w:hint="default"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B35A99D">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D48CAF1">
            <w:pPr>
              <w:rPr>
                <w:rFonts w:hint="default" w:ascii="宋体" w:hAnsi="宋体" w:eastAsia="宋体" w:cs="宋体"/>
                <w:color w:val="auto"/>
                <w:sz w:val="21"/>
                <w:szCs w:val="21"/>
                <w:highlight w:val="none"/>
              </w:rPr>
            </w:pPr>
          </w:p>
        </w:tc>
      </w:tr>
      <w:tr w14:paraId="3B89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69708308">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B096444">
            <w:pPr>
              <w:rPr>
                <w:rFonts w:hint="default"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14:paraId="41689F4D">
            <w:pPr>
              <w:rPr>
                <w:rFonts w:hint="default"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4C419A0">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D358C8D">
            <w:pPr>
              <w:rPr>
                <w:rFonts w:hint="default" w:ascii="宋体" w:hAnsi="宋体" w:eastAsia="宋体" w:cs="宋体"/>
                <w:color w:val="auto"/>
                <w:sz w:val="21"/>
                <w:szCs w:val="21"/>
                <w:highlight w:val="none"/>
              </w:rPr>
            </w:pPr>
          </w:p>
        </w:tc>
      </w:tr>
      <w:tr w14:paraId="68D0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36A7866B">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5F49183A">
            <w:pPr>
              <w:rPr>
                <w:rFonts w:hint="default" w:ascii="宋体" w:hAnsi="宋体" w:eastAsia="宋体" w:cs="宋体"/>
                <w:color w:val="auto"/>
                <w:sz w:val="21"/>
                <w:szCs w:val="21"/>
                <w:highlight w:val="none"/>
              </w:rPr>
            </w:pPr>
          </w:p>
        </w:tc>
      </w:tr>
      <w:tr w14:paraId="25027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7B014781">
            <w:pPr>
              <w:pStyle w:val="29"/>
              <w:kinsoku w:val="0"/>
              <w:overflowPunct w:val="0"/>
              <w:ind w:right="96"/>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投标人关联企业情</w:t>
            </w:r>
            <w:r>
              <w:rPr>
                <w:rFonts w:hint="default" w:ascii="宋体" w:hAnsi="宋体" w:eastAsia="宋体" w:cs="宋体"/>
                <w:color w:val="auto"/>
                <w:spacing w:val="-8"/>
                <w:sz w:val="21"/>
                <w:szCs w:val="21"/>
                <w:highlight w:val="none"/>
              </w:rPr>
              <w:t>况（包括但不限于与</w:t>
            </w:r>
            <w:r>
              <w:rPr>
                <w:rFonts w:hint="default" w:ascii="宋体" w:hAnsi="宋体" w:eastAsia="宋体" w:cs="宋体"/>
                <w:color w:val="auto"/>
                <w:spacing w:val="-102"/>
                <w:sz w:val="21"/>
                <w:szCs w:val="21"/>
                <w:highlight w:val="none"/>
              </w:rPr>
              <w:t xml:space="preserve"> </w:t>
            </w:r>
            <w:r>
              <w:rPr>
                <w:rFonts w:hint="default" w:ascii="宋体" w:hAnsi="宋体" w:eastAsia="宋体" w:cs="宋体"/>
                <w:color w:val="auto"/>
                <w:sz w:val="21"/>
                <w:szCs w:val="21"/>
                <w:highlight w:val="none"/>
              </w:rPr>
              <w:t>投标人法定代表人为同一人或者存在</w:t>
            </w:r>
            <w:r>
              <w:rPr>
                <w:rFonts w:hint="default" w:ascii="宋体" w:hAnsi="宋体" w:eastAsia="宋体" w:cs="宋体"/>
                <w:color w:val="auto"/>
                <w:spacing w:val="-8"/>
                <w:sz w:val="21"/>
                <w:szCs w:val="21"/>
                <w:highlight w:val="none"/>
              </w:rPr>
              <w:t>控股、管理关系的不</w:t>
            </w:r>
            <w:r>
              <w:rPr>
                <w:rFonts w:hint="default" w:ascii="宋体" w:hAnsi="宋体" w:eastAsia="宋体" w:cs="宋体"/>
                <w:color w:val="auto"/>
                <w:sz w:val="21"/>
                <w:szCs w:val="21"/>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4748BBE4">
            <w:pPr>
              <w:rPr>
                <w:rFonts w:hint="default" w:ascii="宋体" w:hAnsi="宋体" w:eastAsia="宋体" w:cs="宋体"/>
                <w:color w:val="auto"/>
                <w:sz w:val="21"/>
                <w:szCs w:val="21"/>
                <w:highlight w:val="none"/>
              </w:rPr>
            </w:pPr>
          </w:p>
        </w:tc>
      </w:tr>
      <w:tr w14:paraId="74A02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4C85AFE7">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77E3AAE5">
            <w:pPr>
              <w:rPr>
                <w:rFonts w:hint="default" w:ascii="宋体" w:hAnsi="宋体" w:eastAsia="宋体" w:cs="宋体"/>
                <w:color w:val="auto"/>
                <w:sz w:val="21"/>
                <w:szCs w:val="21"/>
                <w:highlight w:val="none"/>
              </w:rPr>
            </w:pPr>
          </w:p>
        </w:tc>
      </w:tr>
    </w:tbl>
    <w:p w14:paraId="3DB49269">
      <w:pPr>
        <w:pStyle w:val="12"/>
        <w:kinsoku w:val="0"/>
        <w:overflowPunct w:val="0"/>
        <w:spacing w:before="74" w:line="331" w:lineRule="auto"/>
        <w:ind w:left="240"/>
        <w:rPr>
          <w:rFonts w:hint="default" w:cs="宋体"/>
          <w:color w:val="auto"/>
          <w:sz w:val="21"/>
          <w:szCs w:val="21"/>
          <w:highlight w:val="none"/>
        </w:rPr>
      </w:pPr>
      <w:r>
        <w:rPr>
          <w:rFonts w:hint="default" w:cs="宋体"/>
          <w:color w:val="auto"/>
          <w:spacing w:val="-5"/>
          <w:sz w:val="21"/>
          <w:szCs w:val="21"/>
          <w:highlight w:val="none"/>
        </w:rPr>
        <w:t>注：</w:t>
      </w:r>
      <w:r>
        <w:rPr>
          <w:rFonts w:hint="default" w:cs="宋体"/>
          <w:color w:val="auto"/>
          <w:sz w:val="21"/>
          <w:szCs w:val="24"/>
          <w:highlight w:val="none"/>
        </w:rPr>
        <w:t>投标人应附营业执照、资质证书等相关证明材料。</w:t>
      </w:r>
    </w:p>
    <w:p w14:paraId="2EACDC4D">
      <w:pPr>
        <w:pStyle w:val="12"/>
        <w:kinsoku w:val="0"/>
        <w:overflowPunct w:val="0"/>
        <w:spacing w:before="74" w:line="331" w:lineRule="auto"/>
        <w:ind w:left="240"/>
        <w:rPr>
          <w:rFonts w:hint="default"/>
          <w:color w:val="auto"/>
          <w:sz w:val="21"/>
          <w:szCs w:val="24"/>
          <w:highlight w:val="none"/>
        </w:rPr>
        <w:sectPr>
          <w:footerReference r:id="rId12" w:type="default"/>
          <w:pgSz w:w="11905" w:h="16838"/>
          <w:pgMar w:top="1417" w:right="1417" w:bottom="1417" w:left="1417" w:header="992" w:footer="992" w:gutter="0"/>
          <w:lnNumType w:countBy="0" w:distance="360"/>
          <w:cols w:space="720" w:num="1"/>
        </w:sectPr>
      </w:pPr>
    </w:p>
    <w:p w14:paraId="674EFB46">
      <w:pPr>
        <w:pStyle w:val="6"/>
        <w:outlineLvl w:val="2"/>
        <w:rPr>
          <w:rFonts w:hint="default"/>
          <w:b/>
          <w:color w:val="auto"/>
          <w:sz w:val="24"/>
          <w:szCs w:val="24"/>
          <w:highlight w:val="none"/>
        </w:rPr>
      </w:pPr>
      <w:r>
        <w:rPr>
          <w:rFonts w:hint="default"/>
          <w:b/>
          <w:color w:val="auto"/>
          <w:sz w:val="24"/>
          <w:szCs w:val="24"/>
          <w:highlight w:val="none"/>
        </w:rPr>
        <w:t>（</w:t>
      </w:r>
      <w:r>
        <w:rPr>
          <w:rFonts w:hint="default"/>
          <w:b/>
          <w:color w:val="auto"/>
          <w:sz w:val="24"/>
          <w:szCs w:val="24"/>
          <w:highlight w:val="none"/>
          <w:lang w:eastAsia="zh-CN"/>
        </w:rPr>
        <w:t>二</w:t>
      </w:r>
      <w:r>
        <w:rPr>
          <w:rFonts w:hint="default"/>
          <w:b/>
          <w:color w:val="auto"/>
          <w:sz w:val="24"/>
          <w:szCs w:val="24"/>
          <w:highlight w:val="none"/>
        </w:rPr>
        <w:t>）近年完成的类似项目情况表</w:t>
      </w:r>
    </w:p>
    <w:p w14:paraId="731AF8CF">
      <w:pPr>
        <w:pStyle w:val="12"/>
        <w:kinsoku w:val="0"/>
        <w:overflowPunct w:val="0"/>
        <w:ind w:left="0"/>
        <w:rPr>
          <w:rFonts w:hint="default"/>
          <w:color w:val="auto"/>
          <w:sz w:val="20"/>
          <w:szCs w:val="24"/>
          <w:highlight w:val="none"/>
        </w:rPr>
      </w:pPr>
    </w:p>
    <w:p w14:paraId="18EBCF3A">
      <w:pPr>
        <w:pStyle w:val="12"/>
        <w:kinsoku w:val="0"/>
        <w:overflowPunct w:val="0"/>
        <w:spacing w:before="11"/>
        <w:ind w:left="0"/>
        <w:rPr>
          <w:rFonts w:hint="default"/>
          <w:color w:val="auto"/>
          <w:sz w:val="22"/>
          <w:szCs w:val="24"/>
          <w:highlight w:val="none"/>
        </w:rPr>
      </w:pPr>
    </w:p>
    <w:tbl>
      <w:tblPr>
        <w:tblStyle w:val="22"/>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6253"/>
      </w:tblGrid>
      <w:tr w14:paraId="2890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45007D0D">
            <w:pPr>
              <w:pStyle w:val="29"/>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项目名称</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4571AEDF">
            <w:pPr>
              <w:rPr>
                <w:rFonts w:hint="default"/>
                <w:color w:val="auto"/>
                <w:sz w:val="21"/>
                <w:szCs w:val="24"/>
                <w:highlight w:val="none"/>
              </w:rPr>
            </w:pPr>
          </w:p>
        </w:tc>
      </w:tr>
      <w:tr w14:paraId="09A3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1D144EAE">
            <w:pPr>
              <w:pStyle w:val="29"/>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项目所在地</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4C416FB7">
            <w:pPr>
              <w:rPr>
                <w:rFonts w:hint="default"/>
                <w:color w:val="auto"/>
                <w:sz w:val="21"/>
                <w:szCs w:val="24"/>
                <w:highlight w:val="none"/>
              </w:rPr>
            </w:pPr>
          </w:p>
        </w:tc>
      </w:tr>
      <w:tr w14:paraId="0670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32D89A55">
            <w:pPr>
              <w:pStyle w:val="29"/>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委托人名称</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4F2F4C6D">
            <w:pPr>
              <w:rPr>
                <w:rFonts w:hint="default"/>
                <w:color w:val="auto"/>
                <w:sz w:val="21"/>
                <w:szCs w:val="24"/>
                <w:highlight w:val="none"/>
              </w:rPr>
            </w:pPr>
          </w:p>
        </w:tc>
      </w:tr>
      <w:tr w14:paraId="4E80B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380E553A">
            <w:pPr>
              <w:pStyle w:val="29"/>
              <w:tabs>
                <w:tab w:val="left" w:pos="668"/>
                <w:tab w:val="center" w:pos="1387"/>
              </w:tabs>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委托人地址</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79E2D61D">
            <w:pPr>
              <w:rPr>
                <w:rFonts w:hint="default"/>
                <w:color w:val="auto"/>
                <w:sz w:val="21"/>
                <w:szCs w:val="24"/>
                <w:highlight w:val="none"/>
              </w:rPr>
            </w:pPr>
          </w:p>
        </w:tc>
      </w:tr>
      <w:tr w14:paraId="28310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2555DEDD">
            <w:pPr>
              <w:pStyle w:val="29"/>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委托人电话</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1A54286E">
            <w:pPr>
              <w:rPr>
                <w:rFonts w:hint="default"/>
                <w:color w:val="auto"/>
                <w:sz w:val="21"/>
                <w:szCs w:val="24"/>
                <w:highlight w:val="none"/>
              </w:rPr>
            </w:pPr>
          </w:p>
        </w:tc>
      </w:tr>
      <w:tr w14:paraId="6CDE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1205E41E">
            <w:pPr>
              <w:pStyle w:val="29"/>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合同价格</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7A60DC20">
            <w:pPr>
              <w:rPr>
                <w:rFonts w:hint="default"/>
                <w:color w:val="auto"/>
                <w:sz w:val="21"/>
                <w:szCs w:val="24"/>
                <w:highlight w:val="none"/>
              </w:rPr>
            </w:pPr>
          </w:p>
        </w:tc>
      </w:tr>
      <w:tr w14:paraId="669E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36CEB9DD">
            <w:pPr>
              <w:pStyle w:val="29"/>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监理服务期限</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4ECBC14B">
            <w:pPr>
              <w:rPr>
                <w:rFonts w:hint="default"/>
                <w:color w:val="auto"/>
                <w:sz w:val="21"/>
                <w:szCs w:val="24"/>
                <w:highlight w:val="none"/>
              </w:rPr>
            </w:pPr>
          </w:p>
        </w:tc>
      </w:tr>
      <w:tr w14:paraId="0CAC3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0EC29D9A">
            <w:pPr>
              <w:pStyle w:val="29"/>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监理内容</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0B281F68">
            <w:pPr>
              <w:rPr>
                <w:rFonts w:hint="default"/>
                <w:color w:val="auto"/>
                <w:sz w:val="21"/>
                <w:szCs w:val="24"/>
                <w:highlight w:val="none"/>
              </w:rPr>
            </w:pPr>
          </w:p>
        </w:tc>
      </w:tr>
      <w:tr w14:paraId="6DF7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57788362">
            <w:pPr>
              <w:pStyle w:val="29"/>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总监理工程师</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1CE0D828">
            <w:pPr>
              <w:rPr>
                <w:rFonts w:hint="default"/>
                <w:color w:val="auto"/>
                <w:sz w:val="21"/>
                <w:szCs w:val="24"/>
                <w:highlight w:val="none"/>
              </w:rPr>
            </w:pPr>
          </w:p>
        </w:tc>
      </w:tr>
      <w:tr w14:paraId="1857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7DD52C19">
            <w:pPr>
              <w:pStyle w:val="29"/>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项目描述</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7A2EC204">
            <w:pPr>
              <w:rPr>
                <w:rFonts w:hint="default"/>
                <w:color w:val="auto"/>
                <w:sz w:val="21"/>
                <w:szCs w:val="24"/>
                <w:highlight w:val="none"/>
              </w:rPr>
            </w:pPr>
          </w:p>
        </w:tc>
      </w:tr>
      <w:tr w14:paraId="37386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33B2F068">
            <w:pPr>
              <w:pStyle w:val="29"/>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备注</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24E101DC">
            <w:pPr>
              <w:rPr>
                <w:rFonts w:hint="default"/>
                <w:color w:val="auto"/>
                <w:sz w:val="21"/>
                <w:szCs w:val="24"/>
                <w:highlight w:val="none"/>
              </w:rPr>
            </w:pPr>
          </w:p>
        </w:tc>
      </w:tr>
    </w:tbl>
    <w:p w14:paraId="24EECC2D">
      <w:pPr>
        <w:pStyle w:val="12"/>
        <w:kinsoku w:val="0"/>
        <w:overflowPunct w:val="0"/>
        <w:spacing w:before="6"/>
        <w:ind w:left="0"/>
        <w:rPr>
          <w:rFonts w:hint="default"/>
          <w:color w:val="auto"/>
          <w:sz w:val="24"/>
          <w:szCs w:val="24"/>
          <w:highlight w:val="none"/>
        </w:rPr>
      </w:pPr>
    </w:p>
    <w:p w14:paraId="528D5203">
      <w:pPr>
        <w:pStyle w:val="12"/>
        <w:kinsoku w:val="0"/>
        <w:overflowPunct w:val="0"/>
        <w:spacing w:before="36"/>
        <w:ind w:left="100"/>
        <w:rPr>
          <w:rFonts w:hint="default"/>
          <w:color w:val="auto"/>
          <w:sz w:val="24"/>
          <w:szCs w:val="24"/>
          <w:highlight w:val="none"/>
        </w:rPr>
      </w:pPr>
    </w:p>
    <w:p w14:paraId="5C11DAC9">
      <w:pPr>
        <w:pStyle w:val="12"/>
        <w:kinsoku w:val="0"/>
        <w:overflowPunct w:val="0"/>
        <w:spacing w:before="36"/>
        <w:ind w:left="100"/>
        <w:rPr>
          <w:rFonts w:hint="default"/>
          <w:color w:val="auto"/>
          <w:sz w:val="21"/>
          <w:szCs w:val="24"/>
          <w:highlight w:val="none"/>
        </w:rPr>
        <w:sectPr>
          <w:headerReference r:id="rId13" w:type="default"/>
          <w:footerReference r:id="rId14" w:type="default"/>
          <w:pgSz w:w="11905" w:h="16838"/>
          <w:pgMar w:top="1417" w:right="1417" w:bottom="1417" w:left="1417" w:header="992" w:footer="992" w:gutter="0"/>
          <w:lnNumType w:countBy="0" w:distance="360"/>
          <w:cols w:space="720" w:num="1"/>
        </w:sectPr>
      </w:pPr>
    </w:p>
    <w:p w14:paraId="76ACB194">
      <w:pPr>
        <w:pStyle w:val="6"/>
        <w:outlineLvl w:val="2"/>
        <w:rPr>
          <w:rFonts w:hint="default"/>
          <w:b/>
          <w:color w:val="auto"/>
          <w:sz w:val="24"/>
          <w:szCs w:val="24"/>
          <w:highlight w:val="none"/>
        </w:rPr>
      </w:pPr>
      <w:r>
        <w:rPr>
          <w:rFonts w:hint="default"/>
          <w:b/>
          <w:color w:val="auto"/>
          <w:sz w:val="24"/>
          <w:szCs w:val="24"/>
          <w:highlight w:val="none"/>
        </w:rPr>
        <w:t>（</w:t>
      </w:r>
      <w:r>
        <w:rPr>
          <w:rFonts w:hint="default"/>
          <w:b/>
          <w:color w:val="auto"/>
          <w:sz w:val="24"/>
          <w:szCs w:val="24"/>
          <w:highlight w:val="none"/>
          <w:lang w:eastAsia="zh-CN"/>
        </w:rPr>
        <w:t>三</w:t>
      </w:r>
      <w:r>
        <w:rPr>
          <w:rFonts w:hint="default"/>
          <w:b/>
          <w:color w:val="auto"/>
          <w:sz w:val="24"/>
          <w:szCs w:val="24"/>
          <w:highlight w:val="none"/>
        </w:rPr>
        <w:t>）拟委任的主要人员汇总表</w:t>
      </w:r>
    </w:p>
    <w:p w14:paraId="6A8AAD39">
      <w:pPr>
        <w:pStyle w:val="12"/>
        <w:kinsoku w:val="0"/>
        <w:overflowPunct w:val="0"/>
        <w:ind w:left="0"/>
        <w:rPr>
          <w:rFonts w:hint="default"/>
          <w:color w:val="auto"/>
          <w:sz w:val="20"/>
          <w:szCs w:val="24"/>
          <w:highlight w:val="none"/>
        </w:rPr>
      </w:pPr>
    </w:p>
    <w:p w14:paraId="03AE9B0B">
      <w:pPr>
        <w:pStyle w:val="12"/>
        <w:kinsoku w:val="0"/>
        <w:overflowPunct w:val="0"/>
        <w:spacing w:before="11"/>
        <w:ind w:left="0"/>
        <w:rPr>
          <w:rFonts w:hint="default"/>
          <w:color w:val="auto"/>
          <w:sz w:val="22"/>
          <w:szCs w:val="24"/>
          <w:highlight w:val="none"/>
        </w:rPr>
      </w:pPr>
    </w:p>
    <w:tbl>
      <w:tblPr>
        <w:tblStyle w:val="22"/>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1275"/>
        <w:gridCol w:w="991"/>
        <w:gridCol w:w="895"/>
        <w:gridCol w:w="975"/>
        <w:gridCol w:w="844"/>
        <w:gridCol w:w="881"/>
        <w:gridCol w:w="825"/>
        <w:gridCol w:w="1275"/>
      </w:tblGrid>
      <w:tr w14:paraId="06D81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47020F5">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序号</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7906D196">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本项目任职</w:t>
            </w:r>
          </w:p>
        </w:tc>
        <w:tc>
          <w:tcPr>
            <w:tcW w:w="99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B5BFCA3">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姓名</w:t>
            </w:r>
          </w:p>
        </w:tc>
        <w:tc>
          <w:tcPr>
            <w:tcW w:w="89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27680AD">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职 称</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5D6D8C9A">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专 业</w:t>
            </w:r>
          </w:p>
        </w:tc>
        <w:tc>
          <w:tcPr>
            <w:tcW w:w="255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3F764724">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执业或职业资格证明</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14:paraId="3BF126CB">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备注</w:t>
            </w:r>
          </w:p>
        </w:tc>
      </w:tr>
      <w:tr w14:paraId="7584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C5C9C63">
            <w:pPr>
              <w:pStyle w:val="29"/>
              <w:kinsoku w:val="0"/>
              <w:overflowPunct w:val="0"/>
              <w:spacing w:line="240" w:lineRule="atLeast"/>
              <w:jc w:val="center"/>
              <w:rPr>
                <w:rFonts w:hint="default"/>
                <w:color w:val="auto"/>
                <w:sz w:val="21"/>
                <w:szCs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944CAA6">
            <w:pPr>
              <w:pStyle w:val="29"/>
              <w:kinsoku w:val="0"/>
              <w:overflowPunct w:val="0"/>
              <w:spacing w:line="240" w:lineRule="atLeast"/>
              <w:jc w:val="center"/>
              <w:rPr>
                <w:rFonts w:hint="default"/>
                <w:color w:val="auto"/>
                <w:sz w:val="21"/>
                <w:szCs w:val="24"/>
                <w:highlight w:val="none"/>
              </w:rPr>
            </w:pPr>
          </w:p>
        </w:tc>
        <w:tc>
          <w:tcPr>
            <w:tcW w:w="9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1BC29D8">
            <w:pPr>
              <w:pStyle w:val="29"/>
              <w:kinsoku w:val="0"/>
              <w:overflowPunct w:val="0"/>
              <w:spacing w:line="240" w:lineRule="atLeast"/>
              <w:jc w:val="center"/>
              <w:rPr>
                <w:rFonts w:hint="default"/>
                <w:color w:val="auto"/>
                <w:sz w:val="21"/>
                <w:szCs w:val="24"/>
                <w:highlight w:val="none"/>
              </w:rPr>
            </w:pPr>
          </w:p>
        </w:tc>
        <w:tc>
          <w:tcPr>
            <w:tcW w:w="89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11D7CBC">
            <w:pPr>
              <w:pStyle w:val="29"/>
              <w:kinsoku w:val="0"/>
              <w:overflowPunct w:val="0"/>
              <w:spacing w:line="240" w:lineRule="atLeast"/>
              <w:jc w:val="center"/>
              <w:rPr>
                <w:rFonts w:hint="default"/>
                <w:color w:val="auto"/>
                <w:sz w:val="21"/>
                <w:szCs w:val="24"/>
                <w:highlight w:val="none"/>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0F0AA7B">
            <w:pPr>
              <w:pStyle w:val="29"/>
              <w:kinsoku w:val="0"/>
              <w:overflowPunct w:val="0"/>
              <w:spacing w:line="240" w:lineRule="atLeast"/>
              <w:jc w:val="center"/>
              <w:rPr>
                <w:rFonts w:hint="default"/>
                <w:color w:val="auto"/>
                <w:sz w:val="21"/>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center"/>
          </w:tcPr>
          <w:p w14:paraId="472C06AF">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证书名称</w:t>
            </w:r>
          </w:p>
        </w:tc>
        <w:tc>
          <w:tcPr>
            <w:tcW w:w="881" w:type="dxa"/>
            <w:tcBorders>
              <w:top w:val="single" w:color="000000" w:sz="4" w:space="0"/>
              <w:left w:val="single" w:color="000000" w:sz="4" w:space="0"/>
              <w:bottom w:val="single" w:color="000000" w:sz="4" w:space="0"/>
              <w:right w:val="single" w:color="000000" w:sz="4" w:space="0"/>
              <w:tl2br w:val="nil"/>
              <w:tr2bl w:val="nil"/>
            </w:tcBorders>
            <w:vAlign w:val="center"/>
          </w:tcPr>
          <w:p w14:paraId="614D7A66">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级别</w:t>
            </w:r>
          </w:p>
        </w:tc>
        <w:tc>
          <w:tcPr>
            <w:tcW w:w="825" w:type="dxa"/>
            <w:tcBorders>
              <w:top w:val="single" w:color="000000" w:sz="4" w:space="0"/>
              <w:left w:val="single" w:color="000000" w:sz="4" w:space="0"/>
              <w:bottom w:val="single" w:color="000000" w:sz="4" w:space="0"/>
              <w:right w:val="single" w:color="000000" w:sz="4" w:space="0"/>
              <w:tl2br w:val="nil"/>
              <w:tr2bl w:val="nil"/>
            </w:tcBorders>
            <w:vAlign w:val="center"/>
          </w:tcPr>
          <w:p w14:paraId="6CD4408B">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证号</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14:paraId="0312EBCC">
            <w:pPr>
              <w:spacing w:line="240" w:lineRule="atLeast"/>
              <w:jc w:val="center"/>
              <w:rPr>
                <w:rFonts w:hint="default"/>
                <w:color w:val="auto"/>
                <w:sz w:val="21"/>
                <w:szCs w:val="24"/>
                <w:highlight w:val="none"/>
              </w:rPr>
            </w:pPr>
          </w:p>
        </w:tc>
      </w:tr>
      <w:tr w14:paraId="6CCEF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2D928820">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760B5900">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2AE69788">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231D5E7E">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20490657">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416BD915">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293822A7">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57CD6E2B">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DA30D22">
            <w:pPr>
              <w:rPr>
                <w:rFonts w:hint="default"/>
                <w:color w:val="auto"/>
                <w:sz w:val="24"/>
                <w:szCs w:val="24"/>
                <w:highlight w:val="none"/>
              </w:rPr>
            </w:pPr>
          </w:p>
        </w:tc>
      </w:tr>
      <w:tr w14:paraId="6937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43A60AAB">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368DE60F">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07AD7B29">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6FBC2940">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746420EC">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0DC0E575">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6C5C7A73">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17D3BD93">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B660CCF">
            <w:pPr>
              <w:rPr>
                <w:rFonts w:hint="default"/>
                <w:color w:val="auto"/>
                <w:sz w:val="24"/>
                <w:szCs w:val="24"/>
                <w:highlight w:val="none"/>
              </w:rPr>
            </w:pPr>
          </w:p>
        </w:tc>
      </w:tr>
      <w:tr w14:paraId="4025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1C1D47DA">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C2B80AE">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5E1DE43F">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6F62EE5E">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091BB1C2">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133A5181">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186816E8">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7E356CDA">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AF7C465">
            <w:pPr>
              <w:rPr>
                <w:rFonts w:hint="default"/>
                <w:color w:val="auto"/>
                <w:sz w:val="24"/>
                <w:szCs w:val="24"/>
                <w:highlight w:val="none"/>
              </w:rPr>
            </w:pPr>
          </w:p>
        </w:tc>
      </w:tr>
      <w:tr w14:paraId="3802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43A6F261">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E602910">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0F4DBC10">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7397C3AC">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1269E420">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0EFD1401">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60F9D656">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5CF01F98">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75153A19">
            <w:pPr>
              <w:rPr>
                <w:rFonts w:hint="default"/>
                <w:color w:val="auto"/>
                <w:sz w:val="24"/>
                <w:szCs w:val="24"/>
                <w:highlight w:val="none"/>
              </w:rPr>
            </w:pPr>
          </w:p>
        </w:tc>
      </w:tr>
      <w:tr w14:paraId="5DA5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576D8EEE">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40478407">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3A4EE4CE">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74BD8F67">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665A4F68">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2C6ACB80">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42247B1F">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71DE446C">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1823F1E">
            <w:pPr>
              <w:rPr>
                <w:rFonts w:hint="default"/>
                <w:color w:val="auto"/>
                <w:sz w:val="24"/>
                <w:szCs w:val="24"/>
                <w:highlight w:val="none"/>
              </w:rPr>
            </w:pPr>
          </w:p>
        </w:tc>
      </w:tr>
      <w:tr w14:paraId="32661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742A7886">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2DBAB531">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16447D99">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5B74F206">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080B2D5C">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617B3E3D">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09644BE5">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409E49C1">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5CEA502">
            <w:pPr>
              <w:rPr>
                <w:rFonts w:hint="default"/>
                <w:color w:val="auto"/>
                <w:sz w:val="24"/>
                <w:szCs w:val="24"/>
                <w:highlight w:val="none"/>
              </w:rPr>
            </w:pPr>
          </w:p>
        </w:tc>
      </w:tr>
      <w:tr w14:paraId="7B5D2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3A1F2839">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032D1B4">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57DFEFE3">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3F00DFBD">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5AB670B5">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5F2BB043">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25FCD33D">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7228C352">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252A1E12">
            <w:pPr>
              <w:rPr>
                <w:rFonts w:hint="default"/>
                <w:color w:val="auto"/>
                <w:sz w:val="24"/>
                <w:szCs w:val="24"/>
                <w:highlight w:val="none"/>
              </w:rPr>
            </w:pPr>
          </w:p>
        </w:tc>
      </w:tr>
      <w:tr w14:paraId="70BF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37D32192">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8ABBDB8">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728CB5A8">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4819B138">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189DED66">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3872D60E">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4021370E">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0D5FB24D">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F2DC100">
            <w:pPr>
              <w:rPr>
                <w:rFonts w:hint="default"/>
                <w:color w:val="auto"/>
                <w:sz w:val="24"/>
                <w:szCs w:val="24"/>
                <w:highlight w:val="none"/>
              </w:rPr>
            </w:pPr>
          </w:p>
        </w:tc>
      </w:tr>
      <w:tr w14:paraId="1C9A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47D5B04E">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3C4995B">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4F47FD43">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6BAF58E6">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0D520FA3">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0B2D79ED">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783F874E">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0B76A643">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24CFB0D0">
            <w:pPr>
              <w:rPr>
                <w:rFonts w:hint="default"/>
                <w:color w:val="auto"/>
                <w:sz w:val="24"/>
                <w:szCs w:val="24"/>
                <w:highlight w:val="none"/>
              </w:rPr>
            </w:pPr>
          </w:p>
        </w:tc>
      </w:tr>
      <w:tr w14:paraId="0F31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65B30798">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40BCAF10">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306E577B">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7C715EA1">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05ADB3B4">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7D0986C0">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04EF2D20">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54366852">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7323E18">
            <w:pPr>
              <w:rPr>
                <w:rFonts w:hint="default"/>
                <w:color w:val="auto"/>
                <w:sz w:val="24"/>
                <w:szCs w:val="24"/>
                <w:highlight w:val="none"/>
              </w:rPr>
            </w:pPr>
          </w:p>
        </w:tc>
      </w:tr>
      <w:tr w14:paraId="7EF9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57D59517">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37C7AF37">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6794A729">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5EF211FD">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150AD6EE">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5C47863E">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37653F6A">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37862FED">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37806A39">
            <w:pPr>
              <w:rPr>
                <w:rFonts w:hint="default"/>
                <w:color w:val="auto"/>
                <w:sz w:val="24"/>
                <w:szCs w:val="24"/>
                <w:highlight w:val="none"/>
              </w:rPr>
            </w:pPr>
          </w:p>
        </w:tc>
      </w:tr>
      <w:tr w14:paraId="71F1D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2451B4D5">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5E2F3B04">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611B3033">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4B5F1831">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51E614AD">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745C1508">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12C68473">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1E6E9D2A">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A07F37C">
            <w:pPr>
              <w:rPr>
                <w:rFonts w:hint="default"/>
                <w:color w:val="auto"/>
                <w:sz w:val="24"/>
                <w:szCs w:val="24"/>
                <w:highlight w:val="none"/>
              </w:rPr>
            </w:pPr>
          </w:p>
        </w:tc>
      </w:tr>
      <w:tr w14:paraId="51B7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7404AF4D">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E5C8F2D">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2398620B">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27E2689B">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53BCDB12">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4E9FC39B">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3D12C08E">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6985AAE5">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78D8DBA9">
            <w:pPr>
              <w:rPr>
                <w:rFonts w:hint="default"/>
                <w:color w:val="auto"/>
                <w:sz w:val="24"/>
                <w:szCs w:val="24"/>
                <w:highlight w:val="none"/>
              </w:rPr>
            </w:pPr>
          </w:p>
        </w:tc>
      </w:tr>
      <w:tr w14:paraId="711D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357021B9">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6AF4B1E">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382F8081">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0DFC892F">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4760B09C">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2871E4F3">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343E875A">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796C3C11">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5E0D48EC">
            <w:pPr>
              <w:rPr>
                <w:rFonts w:hint="default"/>
                <w:color w:val="auto"/>
                <w:sz w:val="24"/>
                <w:szCs w:val="24"/>
                <w:highlight w:val="none"/>
              </w:rPr>
            </w:pPr>
          </w:p>
        </w:tc>
      </w:tr>
      <w:tr w14:paraId="161EA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58B8AAE1">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2E2B866">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586EE096">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34083284">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37AF2094">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121F2843">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78AF78FC">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37470F57">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54E4FF99">
            <w:pPr>
              <w:rPr>
                <w:rFonts w:hint="default"/>
                <w:color w:val="auto"/>
                <w:sz w:val="24"/>
                <w:szCs w:val="24"/>
                <w:highlight w:val="none"/>
              </w:rPr>
            </w:pPr>
          </w:p>
        </w:tc>
      </w:tr>
      <w:tr w14:paraId="235F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69228688">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7EAA750A">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71444632">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09CAAB8B">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12FD14D6">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2E3E3872">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7FFE72D0">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5A614467">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57007AB">
            <w:pPr>
              <w:rPr>
                <w:rFonts w:hint="default"/>
                <w:color w:val="auto"/>
                <w:sz w:val="24"/>
                <w:szCs w:val="24"/>
                <w:highlight w:val="none"/>
              </w:rPr>
            </w:pPr>
          </w:p>
        </w:tc>
      </w:tr>
      <w:tr w14:paraId="62881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4E8CA3F9">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4ED98327">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0C688533">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672A8F30">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3FCF6F4B">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2C74A4EE">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22049A27">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5A704F47">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2A62F87">
            <w:pPr>
              <w:rPr>
                <w:rFonts w:hint="default"/>
                <w:color w:val="auto"/>
                <w:sz w:val="24"/>
                <w:szCs w:val="24"/>
                <w:highlight w:val="none"/>
              </w:rPr>
            </w:pPr>
          </w:p>
        </w:tc>
      </w:tr>
      <w:tr w14:paraId="5833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597FC1C0">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2F475DC">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6701FBB4">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17A3C2E1">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40D80B3C">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3DCC67E0">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6CD188CF">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1CDE3FBA">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25811A89">
            <w:pPr>
              <w:rPr>
                <w:rFonts w:hint="default"/>
                <w:color w:val="auto"/>
                <w:sz w:val="24"/>
                <w:szCs w:val="24"/>
                <w:highlight w:val="none"/>
              </w:rPr>
            </w:pPr>
          </w:p>
        </w:tc>
      </w:tr>
      <w:tr w14:paraId="65991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18C303BC">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790336F0">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553065A5">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02542347">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522527E7">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2C256042">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6A4ECB78">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60F3FC00">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31A28190">
            <w:pPr>
              <w:rPr>
                <w:rFonts w:hint="default"/>
                <w:color w:val="auto"/>
                <w:sz w:val="24"/>
                <w:szCs w:val="24"/>
                <w:highlight w:val="none"/>
              </w:rPr>
            </w:pPr>
          </w:p>
        </w:tc>
      </w:tr>
      <w:tr w14:paraId="43027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03FC58D4">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283C0AE6">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09F41A52">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46837DEF">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26007C1F">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055300B9">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6901635B">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70E2FA4D">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5DBCBAE">
            <w:pPr>
              <w:rPr>
                <w:rFonts w:hint="default"/>
                <w:color w:val="auto"/>
                <w:sz w:val="24"/>
                <w:szCs w:val="24"/>
                <w:highlight w:val="none"/>
              </w:rPr>
            </w:pPr>
          </w:p>
        </w:tc>
      </w:tr>
      <w:tr w14:paraId="6B005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2C637B64">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D7E2C06">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3EDABDEC">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18DC8B43">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2F84D6F4">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0611CF6B">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4F84781E">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54FEDEC2">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7CA15D00">
            <w:pPr>
              <w:rPr>
                <w:rFonts w:hint="default"/>
                <w:color w:val="auto"/>
                <w:sz w:val="24"/>
                <w:szCs w:val="24"/>
                <w:highlight w:val="none"/>
              </w:rPr>
            </w:pPr>
          </w:p>
        </w:tc>
      </w:tr>
    </w:tbl>
    <w:p w14:paraId="24A178EE">
      <w:pPr>
        <w:rPr>
          <w:rFonts w:hint="default"/>
          <w:color w:val="auto"/>
          <w:sz w:val="24"/>
          <w:szCs w:val="24"/>
          <w:highlight w:val="none"/>
        </w:rPr>
        <w:sectPr>
          <w:headerReference r:id="rId15" w:type="default"/>
          <w:footerReference r:id="rId16" w:type="default"/>
          <w:pgSz w:w="11905" w:h="16838"/>
          <w:pgMar w:top="1417" w:right="1417" w:bottom="1417" w:left="1417" w:header="992" w:footer="992" w:gutter="0"/>
          <w:lnNumType w:countBy="0" w:distance="360"/>
          <w:cols w:space="720" w:num="1"/>
        </w:sectPr>
      </w:pPr>
    </w:p>
    <w:p w14:paraId="179E6972">
      <w:pPr>
        <w:pStyle w:val="6"/>
        <w:outlineLvl w:val="2"/>
        <w:rPr>
          <w:rFonts w:hint="default"/>
          <w:b/>
          <w:color w:val="auto"/>
          <w:sz w:val="24"/>
          <w:szCs w:val="24"/>
          <w:highlight w:val="none"/>
        </w:rPr>
      </w:pPr>
      <w:r>
        <w:rPr>
          <w:rFonts w:hint="default"/>
          <w:b/>
          <w:color w:val="auto"/>
          <w:sz w:val="24"/>
          <w:szCs w:val="24"/>
          <w:highlight w:val="none"/>
        </w:rPr>
        <w:t>（</w:t>
      </w:r>
      <w:r>
        <w:rPr>
          <w:rFonts w:hint="default"/>
          <w:b/>
          <w:color w:val="auto"/>
          <w:sz w:val="24"/>
          <w:szCs w:val="24"/>
          <w:highlight w:val="none"/>
          <w:lang w:eastAsia="zh-CN"/>
        </w:rPr>
        <w:t>四</w:t>
      </w:r>
      <w:r>
        <w:rPr>
          <w:rFonts w:hint="default"/>
          <w:b/>
          <w:color w:val="auto"/>
          <w:sz w:val="24"/>
          <w:szCs w:val="24"/>
          <w:highlight w:val="none"/>
        </w:rPr>
        <w:t>）主要人员简历表</w:t>
      </w:r>
    </w:p>
    <w:p w14:paraId="02F88CBA">
      <w:pPr>
        <w:pStyle w:val="12"/>
        <w:kinsoku w:val="0"/>
        <w:overflowPunct w:val="0"/>
        <w:ind w:left="0"/>
        <w:rPr>
          <w:rFonts w:hint="default"/>
          <w:b/>
          <w:color w:val="auto"/>
          <w:sz w:val="24"/>
          <w:szCs w:val="24"/>
          <w:highlight w:val="none"/>
        </w:rPr>
      </w:pPr>
    </w:p>
    <w:p w14:paraId="45C9AE2F">
      <w:pPr>
        <w:pStyle w:val="12"/>
        <w:kinsoku w:val="0"/>
        <w:overflowPunct w:val="0"/>
        <w:spacing w:before="5"/>
        <w:ind w:left="0"/>
        <w:rPr>
          <w:rFonts w:hint="default"/>
          <w:color w:val="auto"/>
          <w:sz w:val="16"/>
          <w:szCs w:val="24"/>
          <w:highlight w:val="none"/>
        </w:rPr>
      </w:pPr>
    </w:p>
    <w:tbl>
      <w:tblPr>
        <w:tblStyle w:val="22"/>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6CBEC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7179D0C9">
            <w:pPr>
              <w:pStyle w:val="29"/>
              <w:tabs>
                <w:tab w:val="left" w:pos="695"/>
              </w:tabs>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371B056">
            <w:pPr>
              <w:rPr>
                <w:rFonts w:hint="default"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vAlign w:val="center"/>
          </w:tcPr>
          <w:p w14:paraId="6426EBD5">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vAlign w:val="top"/>
          </w:tcPr>
          <w:p w14:paraId="7A883656">
            <w:pPr>
              <w:rPr>
                <w:rFonts w:hint="default"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5B542F05">
            <w:pPr>
              <w:pStyle w:val="29"/>
              <w:kinsoku w:val="0"/>
              <w:overflowPunct w:val="0"/>
              <w:spacing w:before="3" w:line="440" w:lineRule="exact"/>
              <w:ind w:right="122"/>
              <w:jc w:val="center"/>
              <w:rPr>
                <w:rFonts w:hint="default" w:ascii="宋体" w:hAnsi="宋体" w:eastAsia="宋体" w:cs="宋体"/>
                <w:color w:val="auto"/>
                <w:sz w:val="21"/>
                <w:szCs w:val="21"/>
                <w:highlight w:val="none"/>
              </w:rPr>
            </w:pPr>
            <w:r>
              <w:rPr>
                <w:rFonts w:hint="default" w:ascii="宋体" w:hAnsi="宋体" w:eastAsia="宋体" w:cs="宋体"/>
                <w:color w:val="auto"/>
                <w:spacing w:val="-2"/>
                <w:sz w:val="21"/>
                <w:szCs w:val="21"/>
                <w:highlight w:val="none"/>
              </w:rPr>
              <w:t>执业资格证书（或上岗</w:t>
            </w:r>
            <w:r>
              <w:rPr>
                <w:rFonts w:hint="default" w:ascii="宋体" w:hAnsi="宋体" w:eastAsia="宋体" w:cs="宋体"/>
                <w:color w:val="auto"/>
                <w:spacing w:val="-85"/>
                <w:sz w:val="21"/>
                <w:szCs w:val="21"/>
                <w:highlight w:val="none"/>
              </w:rPr>
              <w:t xml:space="preserve"> </w:t>
            </w:r>
            <w:r>
              <w:rPr>
                <w:rFonts w:hint="default" w:ascii="宋体" w:hAnsi="宋体" w:eastAsia="宋体" w:cs="宋体"/>
                <w:color w:val="auto"/>
                <w:sz w:val="21"/>
                <w:szCs w:val="21"/>
                <w:highlight w:val="none"/>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vAlign w:val="top"/>
          </w:tcPr>
          <w:p w14:paraId="233F8C4B">
            <w:pPr>
              <w:rPr>
                <w:rFonts w:hint="default" w:ascii="宋体" w:hAnsi="宋体" w:eastAsia="宋体" w:cs="宋体"/>
                <w:color w:val="auto"/>
                <w:sz w:val="21"/>
                <w:szCs w:val="21"/>
                <w:highlight w:val="none"/>
              </w:rPr>
            </w:pPr>
          </w:p>
        </w:tc>
      </w:tr>
      <w:tr w14:paraId="47302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7D243CA7">
            <w:pPr>
              <w:pStyle w:val="29"/>
              <w:tabs>
                <w:tab w:val="left" w:pos="695"/>
              </w:tabs>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99DEE8">
            <w:pPr>
              <w:rPr>
                <w:rFonts w:hint="default"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vAlign w:val="center"/>
          </w:tcPr>
          <w:p w14:paraId="74E43C29">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vAlign w:val="top"/>
          </w:tcPr>
          <w:p w14:paraId="51A3B7C1">
            <w:pPr>
              <w:rPr>
                <w:rFonts w:hint="default"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53D690CD">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vAlign w:val="top"/>
          </w:tcPr>
          <w:p w14:paraId="22D9BC96">
            <w:pPr>
              <w:rPr>
                <w:rFonts w:hint="default" w:ascii="宋体" w:hAnsi="宋体" w:eastAsia="宋体" w:cs="宋体"/>
                <w:color w:val="auto"/>
                <w:sz w:val="21"/>
                <w:szCs w:val="21"/>
                <w:highlight w:val="none"/>
              </w:rPr>
            </w:pPr>
          </w:p>
        </w:tc>
      </w:tr>
      <w:tr w14:paraId="1E823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21141B1B">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0FC1CF1">
            <w:pPr>
              <w:rPr>
                <w:rFonts w:hint="default"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2C6B5312">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vAlign w:val="top"/>
          </w:tcPr>
          <w:p w14:paraId="7EB7F397">
            <w:pPr>
              <w:rPr>
                <w:rFonts w:hint="default" w:ascii="宋体" w:hAnsi="宋体" w:eastAsia="宋体" w:cs="宋体"/>
                <w:color w:val="auto"/>
                <w:sz w:val="21"/>
                <w:szCs w:val="21"/>
                <w:highlight w:val="none"/>
              </w:rPr>
            </w:pPr>
          </w:p>
        </w:tc>
      </w:tr>
      <w:tr w14:paraId="1A83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14:paraId="6A39764F">
            <w:pPr>
              <w:pStyle w:val="29"/>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主要工作经历</w:t>
            </w:r>
          </w:p>
        </w:tc>
      </w:tr>
      <w:tr w14:paraId="43DA5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4911087">
            <w:pPr>
              <w:pStyle w:val="29"/>
              <w:tabs>
                <w:tab w:val="left" w:pos="873"/>
              </w:tabs>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时</w:t>
            </w:r>
            <w:r>
              <w:rPr>
                <w:rFonts w:hint="default" w:ascii="宋体" w:hAnsi="宋体" w:eastAsia="宋体" w:cs="宋体"/>
                <w:color w:val="auto"/>
                <w:sz w:val="21"/>
                <w:szCs w:val="21"/>
                <w:highlight w:val="none"/>
              </w:rPr>
              <w:tab/>
            </w:r>
            <w:r>
              <w:rPr>
                <w:rFonts w:hint="default" w:ascii="宋体" w:hAnsi="宋体" w:eastAsia="宋体" w:cs="宋体"/>
                <w:color w:val="auto"/>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4C2EF80E">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66F02254">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11D1EBD">
            <w:pPr>
              <w:pStyle w:val="29"/>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委托人及联系电话</w:t>
            </w:r>
          </w:p>
        </w:tc>
      </w:tr>
      <w:tr w14:paraId="50A7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35A983D">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73B6AB33">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7DA77E4A">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65405BB">
            <w:pPr>
              <w:jc w:val="center"/>
              <w:rPr>
                <w:rFonts w:hint="default" w:ascii="宋体" w:hAnsi="宋体" w:eastAsia="宋体" w:cs="宋体"/>
                <w:color w:val="auto"/>
                <w:sz w:val="21"/>
                <w:szCs w:val="21"/>
                <w:highlight w:val="none"/>
              </w:rPr>
            </w:pPr>
          </w:p>
        </w:tc>
      </w:tr>
      <w:tr w14:paraId="65A7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1C0BDE7">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5318491E">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6063C7B3">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A0B944A">
            <w:pPr>
              <w:jc w:val="center"/>
              <w:rPr>
                <w:rFonts w:hint="default" w:ascii="宋体" w:hAnsi="宋体" w:eastAsia="宋体" w:cs="宋体"/>
                <w:color w:val="auto"/>
                <w:sz w:val="21"/>
                <w:szCs w:val="21"/>
                <w:highlight w:val="none"/>
              </w:rPr>
            </w:pPr>
          </w:p>
        </w:tc>
      </w:tr>
      <w:tr w14:paraId="35A74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82E311F">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4B10209A">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505007AC">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0876FA6">
            <w:pPr>
              <w:jc w:val="center"/>
              <w:rPr>
                <w:rFonts w:hint="default" w:ascii="宋体" w:hAnsi="宋体" w:eastAsia="宋体" w:cs="宋体"/>
                <w:color w:val="auto"/>
                <w:sz w:val="21"/>
                <w:szCs w:val="21"/>
                <w:highlight w:val="none"/>
              </w:rPr>
            </w:pPr>
          </w:p>
        </w:tc>
      </w:tr>
      <w:tr w14:paraId="413C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36B8DB6">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45367BFE">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132F0186">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F60CCA1">
            <w:pPr>
              <w:jc w:val="center"/>
              <w:rPr>
                <w:rFonts w:hint="default" w:ascii="宋体" w:hAnsi="宋体" w:eastAsia="宋体" w:cs="宋体"/>
                <w:color w:val="auto"/>
                <w:sz w:val="21"/>
                <w:szCs w:val="21"/>
                <w:highlight w:val="none"/>
              </w:rPr>
            </w:pPr>
          </w:p>
        </w:tc>
      </w:tr>
      <w:tr w14:paraId="479B4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7C94619">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6A472058">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6788CD57">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2E49CBB">
            <w:pPr>
              <w:jc w:val="center"/>
              <w:rPr>
                <w:rFonts w:hint="default" w:ascii="宋体" w:hAnsi="宋体" w:eastAsia="宋体" w:cs="宋体"/>
                <w:color w:val="auto"/>
                <w:sz w:val="21"/>
                <w:szCs w:val="21"/>
                <w:highlight w:val="none"/>
              </w:rPr>
            </w:pPr>
          </w:p>
        </w:tc>
      </w:tr>
      <w:tr w14:paraId="72EC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467896A">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3B85B486">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048D6302">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CAB211F">
            <w:pPr>
              <w:jc w:val="center"/>
              <w:rPr>
                <w:rFonts w:hint="default" w:ascii="宋体" w:hAnsi="宋体" w:eastAsia="宋体" w:cs="宋体"/>
                <w:color w:val="auto"/>
                <w:sz w:val="21"/>
                <w:szCs w:val="21"/>
                <w:highlight w:val="none"/>
              </w:rPr>
            </w:pPr>
          </w:p>
        </w:tc>
      </w:tr>
      <w:tr w14:paraId="7BE2A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8F8137D">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69612E06">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7F8081B7">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91AB387">
            <w:pPr>
              <w:jc w:val="center"/>
              <w:rPr>
                <w:rFonts w:hint="default" w:ascii="宋体" w:hAnsi="宋体" w:eastAsia="宋体" w:cs="宋体"/>
                <w:color w:val="auto"/>
                <w:sz w:val="21"/>
                <w:szCs w:val="21"/>
                <w:highlight w:val="none"/>
              </w:rPr>
            </w:pPr>
          </w:p>
        </w:tc>
      </w:tr>
    </w:tbl>
    <w:p w14:paraId="2CC6286D">
      <w:pPr>
        <w:pStyle w:val="12"/>
        <w:kinsoku w:val="0"/>
        <w:overflowPunct w:val="0"/>
        <w:spacing w:before="6"/>
        <w:ind w:left="0"/>
        <w:rPr>
          <w:rFonts w:hint="default" w:cs="宋体"/>
          <w:color w:val="auto"/>
          <w:sz w:val="24"/>
          <w:szCs w:val="24"/>
          <w:highlight w:val="none"/>
        </w:rPr>
      </w:pPr>
    </w:p>
    <w:p w14:paraId="4E80B909">
      <w:pPr>
        <w:pStyle w:val="12"/>
        <w:kinsoku w:val="0"/>
        <w:overflowPunct w:val="0"/>
        <w:spacing w:before="36"/>
        <w:ind w:left="100"/>
        <w:rPr>
          <w:rFonts w:hint="default" w:cs="宋体"/>
          <w:color w:val="auto"/>
          <w:sz w:val="24"/>
          <w:szCs w:val="24"/>
          <w:highlight w:val="none"/>
        </w:rPr>
      </w:pPr>
    </w:p>
    <w:p w14:paraId="2E4A534F">
      <w:pPr>
        <w:pStyle w:val="12"/>
        <w:kinsoku w:val="0"/>
        <w:overflowPunct w:val="0"/>
        <w:spacing w:before="36"/>
        <w:ind w:left="100"/>
        <w:rPr>
          <w:rFonts w:hint="default"/>
          <w:color w:val="auto"/>
          <w:sz w:val="24"/>
          <w:szCs w:val="24"/>
          <w:highlight w:val="none"/>
        </w:rPr>
        <w:sectPr>
          <w:headerReference r:id="rId17" w:type="default"/>
          <w:footerReference r:id="rId18" w:type="default"/>
          <w:pgSz w:w="11905" w:h="16838"/>
          <w:pgMar w:top="1417" w:right="1417" w:bottom="1417" w:left="1417" w:header="992" w:footer="992" w:gutter="0"/>
          <w:lnNumType w:countBy="0" w:distance="360"/>
          <w:cols w:space="720" w:num="1"/>
        </w:sectPr>
      </w:pPr>
    </w:p>
    <w:p w14:paraId="31D581D3">
      <w:pPr>
        <w:pStyle w:val="6"/>
        <w:outlineLvl w:val="2"/>
        <w:rPr>
          <w:rFonts w:hint="default" w:cs="Times New Roman"/>
          <w:b/>
          <w:color w:val="auto"/>
          <w:sz w:val="24"/>
          <w:szCs w:val="24"/>
          <w:highlight w:val="none"/>
        </w:rPr>
      </w:pPr>
      <w:r>
        <w:rPr>
          <w:rFonts w:hint="default" w:cs="Times New Roman"/>
          <w:b/>
          <w:color w:val="auto"/>
          <w:sz w:val="24"/>
          <w:szCs w:val="24"/>
          <w:highlight w:val="none"/>
        </w:rPr>
        <w:t>（</w:t>
      </w:r>
      <w:r>
        <w:rPr>
          <w:rFonts w:hint="default" w:cs="Times New Roman"/>
          <w:b/>
          <w:color w:val="auto"/>
          <w:sz w:val="24"/>
          <w:szCs w:val="24"/>
          <w:highlight w:val="none"/>
          <w:lang w:eastAsia="zh-CN"/>
        </w:rPr>
        <w:t>五</w:t>
      </w:r>
      <w:r>
        <w:rPr>
          <w:rFonts w:hint="default" w:cs="Times New Roman"/>
          <w:b/>
          <w:color w:val="auto"/>
          <w:sz w:val="24"/>
          <w:szCs w:val="24"/>
          <w:highlight w:val="none"/>
        </w:rPr>
        <w:t>）拟投入本项目的主要试验检测仪器设备表</w:t>
      </w:r>
    </w:p>
    <w:p w14:paraId="7C69308C">
      <w:pPr>
        <w:pStyle w:val="12"/>
        <w:kinsoku w:val="0"/>
        <w:overflowPunct w:val="0"/>
        <w:ind w:left="0"/>
        <w:rPr>
          <w:rFonts w:hint="default"/>
          <w:color w:val="auto"/>
          <w:sz w:val="20"/>
          <w:szCs w:val="24"/>
          <w:highlight w:val="none"/>
        </w:rPr>
      </w:pPr>
    </w:p>
    <w:p w14:paraId="61FB7E9D">
      <w:pPr>
        <w:pStyle w:val="12"/>
        <w:kinsoku w:val="0"/>
        <w:overflowPunct w:val="0"/>
        <w:spacing w:before="11"/>
        <w:ind w:left="0"/>
        <w:rPr>
          <w:rFonts w:hint="default"/>
          <w:color w:val="auto"/>
          <w:sz w:val="22"/>
          <w:szCs w:val="24"/>
          <w:highlight w:val="none"/>
        </w:rPr>
      </w:pPr>
    </w:p>
    <w:tbl>
      <w:tblPr>
        <w:tblStyle w:val="22"/>
        <w:tblW w:w="8594"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14:paraId="0079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14:paraId="1BD3E0FC">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vAlign w:val="center"/>
          </w:tcPr>
          <w:p w14:paraId="1ED4009F">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仪器</w:t>
            </w:r>
            <w:r>
              <w:rPr>
                <w:rFonts w:hint="default" w:ascii="宋体" w:hAnsi="宋体" w:eastAsia="宋体"/>
                <w:color w:val="auto"/>
                <w:sz w:val="21"/>
                <w:szCs w:val="24"/>
                <w:highlight w:val="none"/>
                <w:lang w:eastAsia="zh-CN"/>
              </w:rPr>
              <w:t>设</w:t>
            </w:r>
            <w:r>
              <w:rPr>
                <w:rFonts w:hint="default" w:ascii="宋体" w:hAnsi="宋体" w:eastAsia="宋体"/>
                <w:color w:val="auto"/>
                <w:sz w:val="21"/>
                <w:szCs w:val="24"/>
                <w:highlight w:val="none"/>
              </w:rPr>
              <w:t>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vAlign w:val="center"/>
          </w:tcPr>
          <w:p w14:paraId="47D32EC0">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型号</w:t>
            </w:r>
            <w:r>
              <w:rPr>
                <w:rFonts w:hint="default" w:ascii="宋体" w:hAnsi="宋体" w:eastAsia="宋体"/>
                <w:color w:val="auto"/>
                <w:spacing w:val="-103"/>
                <w:sz w:val="21"/>
                <w:szCs w:val="24"/>
                <w:highlight w:val="none"/>
              </w:rPr>
              <w:t xml:space="preserve"> </w:t>
            </w:r>
            <w:r>
              <w:rPr>
                <w:rFonts w:hint="default" w:ascii="宋体" w:hAnsi="宋体" w:eastAsia="宋体"/>
                <w:color w:val="auto"/>
                <w:sz w:val="21"/>
                <w:szCs w:val="24"/>
                <w:highlight w:val="none"/>
              </w:rPr>
              <w:t>规格</w:t>
            </w:r>
          </w:p>
        </w:tc>
        <w:tc>
          <w:tcPr>
            <w:tcW w:w="747" w:type="dxa"/>
            <w:tcBorders>
              <w:top w:val="single" w:color="000000" w:sz="4" w:space="0"/>
              <w:left w:val="single" w:color="000000" w:sz="4" w:space="0"/>
              <w:bottom w:val="single" w:color="000000" w:sz="4" w:space="0"/>
              <w:right w:val="single" w:color="000000" w:sz="4" w:space="0"/>
              <w:tl2br w:val="nil"/>
              <w:tr2bl w:val="nil"/>
            </w:tcBorders>
            <w:vAlign w:val="center"/>
          </w:tcPr>
          <w:p w14:paraId="276627A2">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数量</w:t>
            </w:r>
          </w:p>
        </w:tc>
        <w:tc>
          <w:tcPr>
            <w:tcW w:w="993" w:type="dxa"/>
            <w:tcBorders>
              <w:top w:val="single" w:color="000000" w:sz="4" w:space="0"/>
              <w:left w:val="single" w:color="000000" w:sz="4" w:space="0"/>
              <w:bottom w:val="single" w:color="000000" w:sz="4" w:space="0"/>
              <w:right w:val="single" w:color="000000" w:sz="4" w:space="0"/>
              <w:tl2br w:val="nil"/>
              <w:tr2bl w:val="nil"/>
            </w:tcBorders>
            <w:vAlign w:val="center"/>
          </w:tcPr>
          <w:p w14:paraId="03F8098E">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国别</w:t>
            </w:r>
            <w:r>
              <w:rPr>
                <w:rFonts w:hint="default" w:ascii="宋体" w:hAnsi="宋体" w:eastAsia="宋体"/>
                <w:color w:val="auto"/>
                <w:spacing w:val="-103"/>
                <w:sz w:val="21"/>
                <w:szCs w:val="24"/>
                <w:highlight w:val="none"/>
              </w:rPr>
              <w:t xml:space="preserve"> </w:t>
            </w:r>
            <w:r>
              <w:rPr>
                <w:rFonts w:hint="default" w:ascii="宋体" w:hAnsi="宋体" w:eastAsia="宋体"/>
                <w:color w:val="auto"/>
                <w:sz w:val="21"/>
                <w:szCs w:val="24"/>
                <w:highlight w:val="none"/>
              </w:rPr>
              <w:t>产地</w:t>
            </w: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14:paraId="2798004A">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制造</w:t>
            </w:r>
            <w:r>
              <w:rPr>
                <w:rFonts w:hint="default" w:ascii="宋体" w:hAnsi="宋体" w:eastAsia="宋体"/>
                <w:color w:val="auto"/>
                <w:spacing w:val="-103"/>
                <w:sz w:val="21"/>
                <w:szCs w:val="24"/>
                <w:highlight w:val="none"/>
              </w:rPr>
              <w:t xml:space="preserve"> </w:t>
            </w:r>
            <w:r>
              <w:rPr>
                <w:rFonts w:hint="default" w:ascii="宋体" w:hAnsi="宋体" w:eastAsia="宋体"/>
                <w:color w:val="auto"/>
                <w:sz w:val="21"/>
                <w:szCs w:val="24"/>
                <w:highlight w:val="none"/>
              </w:rPr>
              <w:t>年份</w:t>
            </w:r>
          </w:p>
        </w:tc>
        <w:tc>
          <w:tcPr>
            <w:tcW w:w="1529" w:type="dxa"/>
            <w:tcBorders>
              <w:top w:val="single" w:color="000000" w:sz="4" w:space="0"/>
              <w:left w:val="single" w:color="000000" w:sz="4" w:space="0"/>
              <w:bottom w:val="single" w:color="000000" w:sz="4" w:space="0"/>
              <w:right w:val="single" w:color="000000" w:sz="4" w:space="0"/>
              <w:tl2br w:val="nil"/>
              <w:tr2bl w:val="nil"/>
            </w:tcBorders>
            <w:vAlign w:val="center"/>
          </w:tcPr>
          <w:p w14:paraId="00FF2FF2">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用途</w:t>
            </w:r>
          </w:p>
        </w:tc>
        <w:tc>
          <w:tcPr>
            <w:tcW w:w="990" w:type="dxa"/>
            <w:tcBorders>
              <w:top w:val="single" w:color="000000" w:sz="4" w:space="0"/>
              <w:left w:val="single" w:color="000000" w:sz="4" w:space="0"/>
              <w:bottom w:val="single" w:color="000000" w:sz="4" w:space="0"/>
              <w:right w:val="single" w:color="000000" w:sz="4" w:space="0"/>
              <w:tl2br w:val="nil"/>
              <w:tr2bl w:val="nil"/>
            </w:tcBorders>
            <w:vAlign w:val="center"/>
          </w:tcPr>
          <w:p w14:paraId="25AB4EB2">
            <w:pPr>
              <w:pStyle w:val="29"/>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备注</w:t>
            </w:r>
          </w:p>
        </w:tc>
      </w:tr>
      <w:tr w14:paraId="60EDD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01BE03F7">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78FF7574">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1FD01B38">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5935B5A7">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7CB096A6">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420FE030">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124C9341">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55B3FF73">
            <w:pPr>
              <w:rPr>
                <w:rFonts w:hint="default"/>
                <w:color w:val="auto"/>
                <w:sz w:val="24"/>
                <w:szCs w:val="24"/>
                <w:highlight w:val="none"/>
              </w:rPr>
            </w:pPr>
          </w:p>
        </w:tc>
      </w:tr>
      <w:tr w14:paraId="38F7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278FCEE4">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49706AFB">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797B5216">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73C02789">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0366870A">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3010DC4D">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460336D3">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77B3E8C4">
            <w:pPr>
              <w:rPr>
                <w:rFonts w:hint="default"/>
                <w:color w:val="auto"/>
                <w:sz w:val="24"/>
                <w:szCs w:val="24"/>
                <w:highlight w:val="none"/>
              </w:rPr>
            </w:pPr>
          </w:p>
        </w:tc>
      </w:tr>
      <w:tr w14:paraId="48928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1CD517C6">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6D28E319">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03EC42C3">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528CCE22">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2B55689F">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0CC2C3F9">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2E4ACAFE">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595C79DA">
            <w:pPr>
              <w:rPr>
                <w:rFonts w:hint="default"/>
                <w:color w:val="auto"/>
                <w:sz w:val="24"/>
                <w:szCs w:val="24"/>
                <w:highlight w:val="none"/>
              </w:rPr>
            </w:pPr>
          </w:p>
        </w:tc>
      </w:tr>
      <w:tr w14:paraId="1886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214B491B">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78D84E71">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7CBA4D4C">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4A08863D">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142785A9">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03778756">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2DB873F4">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2CD29F1C">
            <w:pPr>
              <w:rPr>
                <w:rFonts w:hint="default"/>
                <w:color w:val="auto"/>
                <w:sz w:val="24"/>
                <w:szCs w:val="24"/>
                <w:highlight w:val="none"/>
              </w:rPr>
            </w:pPr>
          </w:p>
        </w:tc>
      </w:tr>
      <w:tr w14:paraId="1AC7B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6AA49F44">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4E926539">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45A085DD">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230A083B">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262E1E24">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67F98EA1">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4A6C6977">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18052CE7">
            <w:pPr>
              <w:rPr>
                <w:rFonts w:hint="default"/>
                <w:color w:val="auto"/>
                <w:sz w:val="24"/>
                <w:szCs w:val="24"/>
                <w:highlight w:val="none"/>
              </w:rPr>
            </w:pPr>
          </w:p>
        </w:tc>
      </w:tr>
      <w:tr w14:paraId="0DECC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53EA4A5B">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47461304">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37E78B11">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367804FC">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257AD536">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16C4675F">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3FBDD09A">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0FBD3080">
            <w:pPr>
              <w:rPr>
                <w:rFonts w:hint="default"/>
                <w:color w:val="auto"/>
                <w:sz w:val="24"/>
                <w:szCs w:val="24"/>
                <w:highlight w:val="none"/>
              </w:rPr>
            </w:pPr>
          </w:p>
        </w:tc>
      </w:tr>
      <w:tr w14:paraId="7BC2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3D42CEBF">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48EF8699">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072C2762">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4921DDFF">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48A4CAEF">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2CE375A4">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0F81C83E">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1E3D97E1">
            <w:pPr>
              <w:rPr>
                <w:rFonts w:hint="default"/>
                <w:color w:val="auto"/>
                <w:sz w:val="24"/>
                <w:szCs w:val="24"/>
                <w:highlight w:val="none"/>
              </w:rPr>
            </w:pPr>
          </w:p>
        </w:tc>
      </w:tr>
      <w:tr w14:paraId="6391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7DC0FFA7">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2D9173F2">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3EB221E2">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3DD85A9F">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66BA7F0E">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67A9F73F">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1546611E">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53C457DC">
            <w:pPr>
              <w:rPr>
                <w:rFonts w:hint="default"/>
                <w:color w:val="auto"/>
                <w:sz w:val="24"/>
                <w:szCs w:val="24"/>
                <w:highlight w:val="none"/>
              </w:rPr>
            </w:pPr>
          </w:p>
        </w:tc>
      </w:tr>
      <w:tr w14:paraId="47F5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667C34E4">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32A312EC">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6C1325A4">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04A0B49B">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5661EBFC">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7464CDD8">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49D0421A">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08196F23">
            <w:pPr>
              <w:rPr>
                <w:rFonts w:hint="default"/>
                <w:color w:val="auto"/>
                <w:sz w:val="24"/>
                <w:szCs w:val="24"/>
                <w:highlight w:val="none"/>
              </w:rPr>
            </w:pPr>
          </w:p>
        </w:tc>
      </w:tr>
      <w:tr w14:paraId="6F0C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42836616">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6DCACBCC">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4F26A0C3">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7BCD7D6C">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26BE7141">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56883589">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0589E7F5">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07BA61D7">
            <w:pPr>
              <w:rPr>
                <w:rFonts w:hint="default"/>
                <w:color w:val="auto"/>
                <w:sz w:val="24"/>
                <w:szCs w:val="24"/>
                <w:highlight w:val="none"/>
              </w:rPr>
            </w:pPr>
          </w:p>
        </w:tc>
      </w:tr>
      <w:tr w14:paraId="1B95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7B74BA11">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759F3B9D">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32FF9141">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2491B8EF">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7EC4392A">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366A9F16">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5DF1543A">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6A6EA6C5">
            <w:pPr>
              <w:rPr>
                <w:rFonts w:hint="default"/>
                <w:color w:val="auto"/>
                <w:sz w:val="24"/>
                <w:szCs w:val="24"/>
                <w:highlight w:val="none"/>
              </w:rPr>
            </w:pPr>
          </w:p>
        </w:tc>
      </w:tr>
      <w:tr w14:paraId="39E4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76F0A6A5">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526CABB8">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3D90254B">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024D2E19">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09086F72">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7280D3CA">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7DE2B5FD">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141573B2">
            <w:pPr>
              <w:rPr>
                <w:rFonts w:hint="default"/>
                <w:color w:val="auto"/>
                <w:sz w:val="24"/>
                <w:szCs w:val="24"/>
                <w:highlight w:val="none"/>
              </w:rPr>
            </w:pPr>
          </w:p>
        </w:tc>
      </w:tr>
      <w:tr w14:paraId="312A6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6D42A74D">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40827588">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7A8E2A3F">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20CB9E21">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67277032">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088C4AFD">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6D9DBCBB">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068C08BF">
            <w:pPr>
              <w:rPr>
                <w:rFonts w:hint="default"/>
                <w:color w:val="auto"/>
                <w:sz w:val="24"/>
                <w:szCs w:val="24"/>
                <w:highlight w:val="none"/>
              </w:rPr>
            </w:pPr>
          </w:p>
        </w:tc>
      </w:tr>
      <w:tr w14:paraId="0F499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776E498B">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243B9266">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73B78E96">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41B93BF5">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64C0B471">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63F99312">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407360CD">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7F894349">
            <w:pPr>
              <w:rPr>
                <w:rFonts w:hint="default"/>
                <w:color w:val="auto"/>
                <w:sz w:val="24"/>
                <w:szCs w:val="24"/>
                <w:highlight w:val="none"/>
              </w:rPr>
            </w:pPr>
          </w:p>
        </w:tc>
      </w:tr>
      <w:tr w14:paraId="46CB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1FD2917A">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3C40D85B">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1614CF08">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6EA5574B">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30F2E9E2">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64F49834">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519E9715">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067F9FF2">
            <w:pPr>
              <w:rPr>
                <w:rFonts w:hint="default"/>
                <w:color w:val="auto"/>
                <w:sz w:val="24"/>
                <w:szCs w:val="24"/>
                <w:highlight w:val="none"/>
              </w:rPr>
            </w:pPr>
          </w:p>
        </w:tc>
      </w:tr>
      <w:tr w14:paraId="607EF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2DC4BE9C">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43447620">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5F80A7B4">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004EF22C">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4EAF0D08">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1854432A">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06612BDA">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6FA8A2DB">
            <w:pPr>
              <w:rPr>
                <w:rFonts w:hint="default"/>
                <w:color w:val="auto"/>
                <w:sz w:val="24"/>
                <w:szCs w:val="24"/>
                <w:highlight w:val="none"/>
              </w:rPr>
            </w:pPr>
          </w:p>
        </w:tc>
      </w:tr>
      <w:tr w14:paraId="45345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2D48D889">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1802BE91">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7888972B">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41301454">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78600E87">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36EF1399">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12171A6F">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226030CC">
            <w:pPr>
              <w:rPr>
                <w:rFonts w:hint="default"/>
                <w:color w:val="auto"/>
                <w:sz w:val="24"/>
                <w:szCs w:val="24"/>
                <w:highlight w:val="none"/>
              </w:rPr>
            </w:pPr>
          </w:p>
        </w:tc>
      </w:tr>
      <w:tr w14:paraId="5510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29D75B50">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1870F486">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64BE76BE">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23127492">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330CA62E">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71C430E1">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133CDDF7">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7A8463A5">
            <w:pPr>
              <w:rPr>
                <w:rFonts w:hint="default"/>
                <w:color w:val="auto"/>
                <w:sz w:val="24"/>
                <w:szCs w:val="24"/>
                <w:highlight w:val="none"/>
              </w:rPr>
            </w:pPr>
          </w:p>
        </w:tc>
      </w:tr>
      <w:tr w14:paraId="7CC4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0D2B17E6">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7F03B3DB">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503104CA">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1402ADF8">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3163493B">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3C1843A6">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1409C891">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4C2798C1">
            <w:pPr>
              <w:rPr>
                <w:rFonts w:hint="default"/>
                <w:color w:val="auto"/>
                <w:sz w:val="24"/>
                <w:szCs w:val="24"/>
                <w:highlight w:val="none"/>
              </w:rPr>
            </w:pPr>
          </w:p>
        </w:tc>
      </w:tr>
    </w:tbl>
    <w:p w14:paraId="3458C6ED">
      <w:pPr>
        <w:rPr>
          <w:rFonts w:hint="default"/>
          <w:color w:val="auto"/>
          <w:sz w:val="24"/>
          <w:szCs w:val="24"/>
          <w:highlight w:val="none"/>
        </w:rPr>
        <w:sectPr>
          <w:headerReference r:id="rId19" w:type="default"/>
          <w:footerReference r:id="rId20" w:type="default"/>
          <w:pgSz w:w="11905" w:h="16838"/>
          <w:pgMar w:top="1417" w:right="1417" w:bottom="1417" w:left="1417" w:header="992" w:footer="992" w:gutter="0"/>
          <w:lnNumType w:countBy="0" w:distance="360"/>
          <w:cols w:space="720" w:num="1"/>
        </w:sectPr>
      </w:pPr>
    </w:p>
    <w:p w14:paraId="6D36367F">
      <w:pPr>
        <w:pStyle w:val="6"/>
        <w:outlineLvl w:val="2"/>
        <w:rPr>
          <w:rFonts w:hint="default" w:cs="Times New Roman"/>
          <w:b/>
          <w:color w:val="auto"/>
          <w:sz w:val="24"/>
          <w:szCs w:val="24"/>
          <w:highlight w:val="none"/>
        </w:rPr>
      </w:pPr>
      <w:r>
        <w:rPr>
          <w:rFonts w:hint="default" w:cs="Times New Roman"/>
          <w:b/>
          <w:color w:val="auto"/>
          <w:sz w:val="24"/>
          <w:szCs w:val="24"/>
          <w:highlight w:val="none"/>
          <w:lang w:val="en-US" w:eastAsia="zh-CN"/>
        </w:rPr>
        <w:t>（六）投标人声明格式</w:t>
      </w:r>
    </w:p>
    <w:p w14:paraId="1B4BB4DF">
      <w:pPr>
        <w:jc w:val="center"/>
        <w:rPr>
          <w:rFonts w:hint="default"/>
          <w:b/>
          <w:bCs/>
          <w:color w:val="auto"/>
          <w:sz w:val="32"/>
          <w:szCs w:val="32"/>
          <w:highlight w:val="none"/>
        </w:rPr>
      </w:pPr>
      <w:r>
        <w:rPr>
          <w:rFonts w:hint="default"/>
          <w:b/>
          <w:bCs/>
          <w:color w:val="auto"/>
          <w:sz w:val="32"/>
          <w:szCs w:val="32"/>
          <w:highlight w:val="none"/>
          <w:lang w:val="en-US" w:eastAsia="zh-CN"/>
        </w:rPr>
        <w:t>投标人声明（参考格式）</w:t>
      </w:r>
    </w:p>
    <w:p w14:paraId="5A338303">
      <w:pPr>
        <w:snapToGrid w:val="0"/>
        <w:spacing w:line="360" w:lineRule="auto"/>
        <w:rPr>
          <w:rFonts w:hint="default" w:ascii="宋体" w:hAnsi="宋体" w:eastAsia="宋体" w:cs="宋体"/>
          <w:color w:val="auto"/>
          <w:sz w:val="24"/>
          <w:szCs w:val="24"/>
          <w:highlight w:val="none"/>
        </w:rPr>
      </w:pPr>
    </w:p>
    <w:p w14:paraId="5A2D74F3">
      <w:pPr>
        <w:snapToGrid w:val="0"/>
        <w:spacing w:line="360" w:lineRule="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本招标项目招标人及招标监管机构：</w:t>
      </w:r>
    </w:p>
    <w:p w14:paraId="3408EB2A">
      <w:pPr>
        <w:spacing w:line="420" w:lineRule="exact"/>
        <w:ind w:firstLine="480" w:firstLineChars="200"/>
        <w:rPr>
          <w:rFonts w:ascii="宋体" w:hAnsi="宋体" w:cs="宋体"/>
          <w:b w:val="0"/>
          <w:bCs/>
          <w:kern w:val="0"/>
          <w:sz w:val="24"/>
          <w:szCs w:val="24"/>
          <w:highlight w:val="none"/>
        </w:rPr>
      </w:pPr>
      <w:r>
        <w:rPr>
          <w:rFonts w:hint="eastAsia" w:ascii="宋体" w:hAnsi="宋体" w:cs="宋体"/>
          <w:b w:val="0"/>
          <w:bCs/>
          <w:kern w:val="0"/>
          <w:sz w:val="24"/>
          <w:szCs w:val="24"/>
          <w:highlight w:val="none"/>
        </w:rPr>
        <w:t>本公司就参加</w:t>
      </w:r>
      <w:r>
        <w:rPr>
          <w:rFonts w:hint="eastAsia" w:ascii="宋体" w:hAnsi="宋体" w:cs="宋体"/>
          <w:b w:val="0"/>
          <w:bCs/>
          <w:kern w:val="0"/>
          <w:sz w:val="24"/>
          <w:szCs w:val="24"/>
          <w:highlight w:val="none"/>
          <w:u w:val="single"/>
        </w:rPr>
        <w:t xml:space="preserve">                          </w:t>
      </w:r>
      <w:r>
        <w:rPr>
          <w:rFonts w:hint="eastAsia" w:ascii="宋体" w:hAnsi="宋体" w:cs="宋体"/>
          <w:b w:val="0"/>
          <w:bCs/>
          <w:kern w:val="0"/>
          <w:sz w:val="24"/>
          <w:szCs w:val="24"/>
          <w:highlight w:val="none"/>
        </w:rPr>
        <w:t>项目投标工作，作出郑重声明：</w:t>
      </w:r>
    </w:p>
    <w:p w14:paraId="0B2C6F0C">
      <w:pPr>
        <w:spacing w:line="420" w:lineRule="exact"/>
        <w:ind w:firstLine="480" w:firstLineChars="200"/>
        <w:rPr>
          <w:rFonts w:ascii="宋体" w:hAnsi="宋体" w:cs="宋体"/>
          <w:b w:val="0"/>
          <w:bCs/>
          <w:kern w:val="0"/>
          <w:sz w:val="24"/>
          <w:szCs w:val="24"/>
          <w:highlight w:val="none"/>
        </w:rPr>
      </w:pPr>
      <w:r>
        <w:rPr>
          <w:rFonts w:hint="eastAsia" w:ascii="宋体" w:hAnsi="宋体" w:cs="宋体"/>
          <w:b w:val="0"/>
          <w:bCs/>
          <w:kern w:val="0"/>
          <w:sz w:val="24"/>
          <w:szCs w:val="24"/>
          <w:highlight w:val="none"/>
        </w:rPr>
        <w:t>一、本公司保证投标</w:t>
      </w:r>
      <w:r>
        <w:rPr>
          <w:rFonts w:hint="eastAsia" w:ascii="宋体" w:hAnsi="宋体" w:cs="宋体"/>
          <w:b w:val="0"/>
          <w:bCs/>
          <w:kern w:val="0"/>
          <w:sz w:val="24"/>
          <w:szCs w:val="24"/>
          <w:highlight w:val="none"/>
          <w:u w:val="single"/>
        </w:rPr>
        <w:t>登记</w:t>
      </w:r>
      <w:r>
        <w:rPr>
          <w:rFonts w:hint="eastAsia" w:ascii="宋体" w:hAnsi="宋体" w:cs="宋体"/>
          <w:b w:val="0"/>
          <w:bCs/>
          <w:kern w:val="0"/>
          <w:sz w:val="24"/>
          <w:szCs w:val="24"/>
          <w:highlight w:val="none"/>
        </w:rPr>
        <w:t>材料及其后提供的一切材料都是真实的。如我司成为本项目中标候选人，我司同意并授权招标人将我司投标文件商务部分的人员、业绩、奖项等资料进行公开。</w:t>
      </w:r>
    </w:p>
    <w:p w14:paraId="5901EFE2">
      <w:pPr>
        <w:spacing w:line="420" w:lineRule="exact"/>
        <w:ind w:firstLine="480" w:firstLineChars="200"/>
        <w:rPr>
          <w:rFonts w:ascii="宋体" w:hAnsi="宋体" w:cs="宋体"/>
          <w:b w:val="0"/>
          <w:bCs/>
          <w:color w:val="000000"/>
          <w:kern w:val="0"/>
          <w:sz w:val="24"/>
          <w:szCs w:val="24"/>
          <w:highlight w:val="none"/>
        </w:rPr>
      </w:pPr>
      <w:r>
        <w:rPr>
          <w:rFonts w:hint="eastAsia" w:ascii="宋体" w:hAnsi="宋体" w:cs="宋体"/>
          <w:b w:val="0"/>
          <w:bCs/>
          <w:color w:val="000000"/>
          <w:kern w:val="0"/>
          <w:sz w:val="24"/>
          <w:szCs w:val="24"/>
          <w:highlight w:val="none"/>
        </w:rPr>
        <w:t>二、本公司承诺遵循公平、公正、公开、诚实信用原则，在本项目投标中诚信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不存在少放、不放业绩、奖项等客观评审资料，减少自身竞争力的情形，若存在以上情形的，将自愿接受被招标人列入拒绝投标名单，不能参与招标人后续招标项目的投标。</w:t>
      </w:r>
    </w:p>
    <w:p w14:paraId="0541CE8C">
      <w:pPr>
        <w:spacing w:line="420" w:lineRule="exact"/>
        <w:ind w:firstLine="480" w:firstLineChars="200"/>
        <w:rPr>
          <w:rFonts w:ascii="宋体" w:hAnsi="宋体" w:cs="宋体"/>
          <w:b w:val="0"/>
          <w:bCs/>
          <w:kern w:val="0"/>
          <w:sz w:val="24"/>
          <w:szCs w:val="24"/>
          <w:highlight w:val="none"/>
        </w:rPr>
      </w:pPr>
      <w:r>
        <w:rPr>
          <w:rFonts w:hint="eastAsia" w:ascii="宋体" w:hAnsi="宋体" w:cs="宋体"/>
          <w:b w:val="0"/>
          <w:bCs/>
          <w:kern w:val="0"/>
          <w:sz w:val="24"/>
          <w:szCs w:val="24"/>
          <w:highlight w:val="none"/>
        </w:rPr>
        <w:t>三、本公司不存在招标文件第二章投标人须知第1.4.3项所规定的任何一种情形。</w:t>
      </w:r>
    </w:p>
    <w:p w14:paraId="207906CB">
      <w:pPr>
        <w:spacing w:line="420" w:lineRule="exact"/>
        <w:ind w:firstLine="480" w:firstLineChars="200"/>
        <w:rPr>
          <w:rFonts w:ascii="宋体" w:hAnsi="宋体" w:cs="宋体"/>
          <w:b w:val="0"/>
          <w:bCs/>
          <w:color w:val="000000"/>
          <w:kern w:val="0"/>
          <w:sz w:val="24"/>
          <w:szCs w:val="24"/>
          <w:highlight w:val="none"/>
        </w:rPr>
      </w:pPr>
      <w:r>
        <w:rPr>
          <w:rFonts w:hint="eastAsia" w:ascii="宋体" w:hAnsi="宋体" w:cs="宋体"/>
          <w:b w:val="0"/>
          <w:bCs/>
          <w:color w:val="000000"/>
          <w:kern w:val="0"/>
          <w:sz w:val="24"/>
          <w:szCs w:val="24"/>
          <w:highlight w:val="none"/>
        </w:rPr>
        <w:t>四、本公司及其有隶属关系的机构，没有参加本项目招标文件的编写工作；本公司与本次招标的招标代理机构没有隶属关系或其他利害关系。</w:t>
      </w:r>
    </w:p>
    <w:p w14:paraId="4C89B150">
      <w:pPr>
        <w:spacing w:line="420" w:lineRule="exact"/>
        <w:ind w:firstLine="480" w:firstLineChars="200"/>
        <w:rPr>
          <w:rFonts w:ascii="宋体" w:hAnsi="宋体" w:cs="宋体"/>
          <w:b w:val="0"/>
          <w:bCs/>
          <w:kern w:val="0"/>
          <w:sz w:val="24"/>
          <w:szCs w:val="24"/>
          <w:highlight w:val="none"/>
        </w:rPr>
      </w:pPr>
      <w:r>
        <w:rPr>
          <w:rFonts w:hint="eastAsia" w:ascii="宋体" w:hAnsi="宋体" w:cs="宋体"/>
          <w:b w:val="0"/>
          <w:bCs/>
          <w:kern w:val="0"/>
          <w:sz w:val="24"/>
          <w:szCs w:val="24"/>
          <w:highlight w:val="none"/>
        </w:rPr>
        <w:t>五、本公司承诺，中标后严格执行安全生产相关管理规定。</w:t>
      </w:r>
    </w:p>
    <w:p w14:paraId="3511667B">
      <w:pPr>
        <w:spacing w:line="420" w:lineRule="exact"/>
        <w:ind w:firstLine="480" w:firstLineChars="200"/>
        <w:rPr>
          <w:rFonts w:hint="eastAsia" w:ascii="宋体" w:hAnsi="宋体" w:cs="宋体"/>
          <w:b w:val="0"/>
          <w:bCs/>
          <w:kern w:val="0"/>
          <w:sz w:val="24"/>
          <w:szCs w:val="24"/>
          <w:highlight w:val="none"/>
        </w:rPr>
      </w:pPr>
      <w:r>
        <w:rPr>
          <w:rFonts w:hint="eastAsia" w:ascii="宋体" w:hAnsi="宋体" w:cs="宋体"/>
          <w:b w:val="0"/>
          <w:bCs/>
          <w:kern w:val="0"/>
          <w:sz w:val="24"/>
          <w:szCs w:val="24"/>
          <w:highlight w:val="none"/>
        </w:rPr>
        <w:t>六、与本公司单位负责人为同一人或者与本公司存在控股、管理关系的其他单位包括：</w:t>
      </w:r>
      <w:r>
        <w:rPr>
          <w:rFonts w:hint="eastAsia" w:ascii="宋体" w:hAnsi="宋体" w:cs="宋体"/>
          <w:b w:val="0"/>
          <w:bCs/>
          <w:kern w:val="0"/>
          <w:sz w:val="24"/>
          <w:szCs w:val="24"/>
          <w:highlight w:val="none"/>
          <w:u w:val="single"/>
        </w:rPr>
        <w:t xml:space="preserve">                       </w:t>
      </w:r>
      <w:r>
        <w:rPr>
          <w:rFonts w:hint="eastAsia" w:ascii="宋体" w:hAnsi="宋体" w:cs="宋体"/>
          <w:b w:val="0"/>
          <w:bCs/>
          <w:kern w:val="0"/>
          <w:sz w:val="24"/>
          <w:szCs w:val="24"/>
          <w:highlight w:val="none"/>
        </w:rPr>
        <w:t>。（注：本条由投标人如实填写，如有，应列出全部满足招标公告资质要求的相关单位的名称；如无，则填写“无”。）</w:t>
      </w:r>
    </w:p>
    <w:p w14:paraId="2FCE37B2">
      <w:pPr>
        <w:spacing w:line="360" w:lineRule="auto"/>
        <w:ind w:firstLine="480" w:firstLineChars="200"/>
        <w:rPr>
          <w:rFonts w:hint="eastAsia" w:ascii="宋体" w:hAnsi="宋体" w:cs="宋体"/>
          <w:b w:val="0"/>
          <w:bCs/>
          <w:kern w:val="0"/>
          <w:sz w:val="24"/>
          <w:szCs w:val="24"/>
          <w:highlight w:val="none"/>
        </w:rPr>
      </w:pPr>
      <w:r>
        <w:rPr>
          <w:rFonts w:hint="eastAsia" w:ascii="宋体" w:hAnsi="宋体" w:cs="宋体"/>
          <w:b w:val="0"/>
          <w:bCs/>
          <w:kern w:val="0"/>
          <w:sz w:val="24"/>
          <w:szCs w:val="24"/>
          <w:highlight w:val="none"/>
        </w:rPr>
        <w:t>七、本公司承诺，中标后将按招标人要求，积极响应广州市关于投身“百千万工程”的号召，主动参与建筑业结对帮扶。</w:t>
      </w:r>
    </w:p>
    <w:p w14:paraId="6809562F">
      <w:pPr>
        <w:spacing w:line="360" w:lineRule="auto"/>
        <w:ind w:firstLine="480" w:firstLineChars="200"/>
        <w:rPr>
          <w:rFonts w:hint="eastAsia" w:ascii="宋体" w:hAnsi="宋体" w:cs="宋体"/>
          <w:b w:val="0"/>
          <w:bCs/>
          <w:kern w:val="0"/>
          <w:sz w:val="24"/>
          <w:szCs w:val="24"/>
          <w:highlight w:val="none"/>
        </w:rPr>
      </w:pPr>
      <w:r>
        <w:rPr>
          <w:rFonts w:hint="eastAsia" w:ascii="宋体" w:hAnsi="宋体" w:cs="宋体"/>
          <w:b w:val="0"/>
          <w:bCs/>
          <w:kern w:val="0"/>
          <w:sz w:val="24"/>
          <w:szCs w:val="24"/>
          <w:highlight w:val="none"/>
          <w:lang w:val="en-US" w:eastAsia="zh-CN"/>
        </w:rPr>
        <w:t>八、</w:t>
      </w:r>
      <w:r>
        <w:rPr>
          <w:rFonts w:hint="eastAsia" w:ascii="宋体" w:hAnsi="宋体" w:cs="宋体"/>
          <w:b w:val="0"/>
          <w:bCs/>
          <w:kern w:val="0"/>
          <w:sz w:val="24"/>
          <w:szCs w:val="24"/>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C9283DC">
      <w:pPr>
        <w:spacing w:line="420" w:lineRule="exact"/>
        <w:ind w:firstLine="480" w:firstLineChars="200"/>
        <w:rPr>
          <w:rFonts w:ascii="宋体" w:hAnsi="宋体" w:cs="宋体"/>
          <w:b w:val="0"/>
          <w:bCs/>
          <w:kern w:val="0"/>
          <w:sz w:val="24"/>
          <w:szCs w:val="24"/>
          <w:highlight w:val="none"/>
        </w:rPr>
      </w:pPr>
      <w:r>
        <w:rPr>
          <w:rFonts w:hint="eastAsia" w:ascii="宋体" w:hAnsi="宋体" w:cs="宋体"/>
          <w:b w:val="0"/>
          <w:bCs/>
          <w:kern w:val="0"/>
          <w:sz w:val="24"/>
          <w:szCs w:val="24"/>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6B9261C">
      <w:pPr>
        <w:widowControl/>
        <w:shd w:val="clear" w:color="auto" w:fill="FFFFFF"/>
        <w:spacing w:line="420" w:lineRule="exact"/>
        <w:ind w:firstLine="480" w:firstLineChars="200"/>
        <w:rPr>
          <w:rFonts w:hint="eastAsia" w:ascii="宋体" w:hAnsi="宋体" w:cs="宋体"/>
          <w:b w:val="0"/>
          <w:bCs/>
          <w:kern w:val="0"/>
          <w:sz w:val="24"/>
          <w:szCs w:val="24"/>
          <w:highlight w:val="none"/>
        </w:rPr>
      </w:pPr>
      <w:r>
        <w:rPr>
          <w:rFonts w:hint="eastAsia" w:ascii="宋体" w:hAnsi="宋体" w:cs="宋体"/>
          <w:b w:val="0"/>
          <w:bCs/>
          <w:kern w:val="0"/>
          <w:sz w:val="24"/>
          <w:szCs w:val="24"/>
          <w:highlight w:val="none"/>
        </w:rPr>
        <w:t>特此声明。</w:t>
      </w:r>
    </w:p>
    <w:p w14:paraId="65E7A1AF">
      <w:pPr>
        <w:pStyle w:val="35"/>
        <w:ind w:right="1449" w:firstLine="420" w:firstLineChars="200"/>
        <w:rPr>
          <w:rFonts w:hint="default" w:ascii="宋体" w:eastAsia="宋体" w:cs="宋体"/>
          <w:color w:val="auto"/>
          <w:sz w:val="21"/>
          <w:szCs w:val="21"/>
          <w:highlight w:val="none"/>
        </w:rPr>
      </w:pPr>
    </w:p>
    <w:p w14:paraId="163E711B">
      <w:pPr>
        <w:pStyle w:val="30"/>
        <w:ind w:left="629" w:right="879" w:firstLine="420" w:firstLineChars="200"/>
        <w:jc w:val="left"/>
        <w:rPr>
          <w:rFonts w:hint="default" w:ascii="宋体" w:eastAsia="宋体" w:cs="宋体"/>
          <w:color w:val="auto"/>
          <w:sz w:val="24"/>
          <w:szCs w:val="24"/>
          <w:highlight w:val="none"/>
        </w:rPr>
      </w:pPr>
      <w:r>
        <w:rPr>
          <w:rFonts w:hint="default" w:ascii="宋体" w:eastAsia="宋体" w:cs="宋体"/>
          <w:color w:val="auto"/>
          <w:sz w:val="21"/>
          <w:szCs w:val="21"/>
          <w:highlight w:val="none"/>
        </w:rPr>
        <w:t xml:space="preserve">                                 </w:t>
      </w:r>
      <w:r>
        <w:rPr>
          <w:rFonts w:hint="eastAsia" w:ascii="宋体" w:eastAsia="宋体" w:cs="宋体"/>
          <w:color w:val="auto"/>
          <w:sz w:val="21"/>
          <w:szCs w:val="21"/>
          <w:highlight w:val="none"/>
          <w:lang w:val="en-US" w:eastAsia="zh-CN"/>
        </w:rPr>
        <w:t xml:space="preserve">   </w:t>
      </w:r>
      <w:r>
        <w:rPr>
          <w:rFonts w:hint="default" w:ascii="宋体" w:eastAsia="宋体" w:cs="宋体"/>
          <w:color w:val="auto"/>
          <w:sz w:val="24"/>
          <w:szCs w:val="24"/>
          <w:highlight w:val="none"/>
        </w:rPr>
        <w:t>声明企业（企业公章）：</w:t>
      </w:r>
    </w:p>
    <w:p w14:paraId="59B6C354">
      <w:pPr>
        <w:pStyle w:val="30"/>
        <w:spacing w:line="600" w:lineRule="exact"/>
        <w:ind w:right="1779" w:firstLine="0"/>
        <w:jc w:val="right"/>
        <w:rPr>
          <w:rFonts w:hint="default" w:ascii="宋体" w:eastAsia="宋体" w:cs="宋体"/>
          <w:color w:val="auto"/>
          <w:sz w:val="24"/>
          <w:szCs w:val="24"/>
          <w:highlight w:val="none"/>
        </w:rPr>
      </w:pPr>
      <w:r>
        <w:rPr>
          <w:rFonts w:hint="default" w:ascii="宋体" w:eastAsia="宋体" w:cs="宋体"/>
          <w:color w:val="auto"/>
          <w:sz w:val="24"/>
          <w:szCs w:val="24"/>
          <w:highlight w:val="none"/>
        </w:rPr>
        <w:t>总监理工程师（签字）：</w:t>
      </w:r>
    </w:p>
    <w:p w14:paraId="5D9AA1F0">
      <w:pPr>
        <w:ind w:firstLine="5280" w:firstLineChars="2200"/>
        <w:jc w:val="right"/>
        <w:rPr>
          <w:rFonts w:hint="default" w:ascii="宋体" w:eastAsia="宋体" w:cs="宋体"/>
          <w:color w:val="auto"/>
          <w:sz w:val="24"/>
          <w:szCs w:val="24"/>
          <w:highlight w:val="none"/>
        </w:rPr>
      </w:pPr>
    </w:p>
    <w:p w14:paraId="70EB1A55">
      <w:pPr>
        <w:pStyle w:val="6"/>
        <w:pageBreakBefore w:val="0"/>
        <w:ind w:firstLine="5280" w:firstLineChars="2200"/>
        <w:outlineLvl w:val="2"/>
        <w:rPr>
          <w:b/>
          <w:color w:val="auto"/>
          <w:sz w:val="24"/>
          <w:szCs w:val="24"/>
          <w:highlight w:val="none"/>
        </w:rPr>
      </w:pPr>
      <w:r>
        <w:rPr>
          <w:rFonts w:hint="default" w:ascii="宋体" w:eastAsia="宋体" w:cs="宋体"/>
          <w:color w:val="auto"/>
          <w:sz w:val="24"/>
          <w:szCs w:val="24"/>
          <w:highlight w:val="none"/>
        </w:rPr>
        <w:t>年  月  日</w:t>
      </w:r>
      <w:r>
        <w:rPr>
          <w:rFonts w:hint="eastAsia" w:eastAsia="宋体"/>
          <w:b/>
          <w:bCs/>
          <w:color w:val="auto"/>
          <w:sz w:val="24"/>
          <w:szCs w:val="24"/>
          <w:highlight w:val="none"/>
          <w:lang w:eastAsia="zh-CN"/>
        </w:rPr>
        <w:br w:type="page"/>
      </w:r>
      <w:r>
        <w:rPr>
          <w:rFonts w:hint="eastAsia" w:eastAsia="宋体"/>
          <w:b/>
          <w:bCs/>
          <w:color w:val="auto"/>
          <w:sz w:val="24"/>
          <w:szCs w:val="24"/>
          <w:highlight w:val="none"/>
          <w:lang w:eastAsia="zh-CN"/>
        </w:rPr>
        <w:t>（</w:t>
      </w:r>
      <w:r>
        <w:rPr>
          <w:rFonts w:hint="eastAsia" w:eastAsia="宋体"/>
          <w:b/>
          <w:bCs/>
          <w:color w:val="auto"/>
          <w:sz w:val="24"/>
          <w:szCs w:val="24"/>
          <w:highlight w:val="none"/>
          <w:lang w:val="en-US" w:eastAsia="zh-CN"/>
        </w:rPr>
        <w:t>七</w:t>
      </w:r>
      <w:r>
        <w:rPr>
          <w:rFonts w:hint="eastAsia" w:eastAsia="宋体"/>
          <w:b/>
          <w:bCs/>
          <w:color w:val="auto"/>
          <w:sz w:val="24"/>
          <w:szCs w:val="24"/>
          <w:highlight w:val="none"/>
          <w:lang w:eastAsia="zh-CN"/>
        </w:rPr>
        <w:t>）</w:t>
      </w:r>
      <w:r>
        <w:rPr>
          <w:rFonts w:hint="eastAsia"/>
          <w:b/>
          <w:color w:val="auto"/>
          <w:sz w:val="24"/>
          <w:szCs w:val="24"/>
          <w:highlight w:val="none"/>
        </w:rPr>
        <w:t>投标人廉洁承诺书（格式）</w:t>
      </w:r>
    </w:p>
    <w:p w14:paraId="65916EA4">
      <w:pPr>
        <w:pStyle w:val="19"/>
        <w:spacing w:before="157" w:beforeLines="50" w:beforeAutospacing="0" w:after="157" w:afterLines="50" w:afterAutospacing="0" w:line="360" w:lineRule="auto"/>
        <w:ind w:firstLine="0"/>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27EAC837">
      <w:pPr>
        <w:pStyle w:val="19"/>
        <w:shd w:val="clear" w:color="auto" w:fill="FFFFFF"/>
        <w:spacing w:before="0" w:beforeAutospacing="0" w:after="0" w:afterAutospacing="0" w:line="360" w:lineRule="auto"/>
        <w:ind w:firstLine="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14:paraId="6CDE3C86">
      <w:pPr>
        <w:pStyle w:val="14"/>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432A6EB8">
      <w:pPr>
        <w:pStyle w:val="14"/>
        <w:spacing w:line="360" w:lineRule="auto"/>
        <w:ind w:right="420" w:firstLine="480" w:firstLineChars="200"/>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14:paraId="00C5584E">
      <w:pPr>
        <w:pStyle w:val="14"/>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14:paraId="264B3D6A">
      <w:pPr>
        <w:pStyle w:val="14"/>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14:paraId="3E0C2335">
      <w:pPr>
        <w:pStyle w:val="14"/>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36D19828">
      <w:pPr>
        <w:pStyle w:val="14"/>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五、不以任何名义为参与招标、评标工作的有关人员装修住房、婚丧嫁取、配偶子女的工作安排以及境内外旅游等提供方便；</w:t>
      </w:r>
    </w:p>
    <w:p w14:paraId="73A8EA84">
      <w:pPr>
        <w:pStyle w:val="14"/>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r>
        <w:rPr>
          <w:rFonts w:hint="eastAsia" w:hAnsi="宋体" w:cs="宋体"/>
          <w:color w:val="auto"/>
          <w:sz w:val="24"/>
          <w:szCs w:val="24"/>
          <w:highlight w:val="none"/>
          <w:lang w:eastAsia="zh-CN"/>
        </w:rPr>
        <w:t>。</w:t>
      </w:r>
    </w:p>
    <w:p w14:paraId="515F2C03">
      <w:pPr>
        <w:pStyle w:val="14"/>
        <w:autoSpaceDE/>
        <w:autoSpaceDN/>
        <w:spacing w:line="360" w:lineRule="auto"/>
        <w:ind w:right="420" w:firstLine="480" w:firstLineChars="200"/>
        <w:rPr>
          <w:rFonts w:hint="eastAsia"/>
          <w:color w:val="auto"/>
          <w:highlight w:val="none"/>
        </w:rPr>
      </w:pPr>
      <w:r>
        <w:rPr>
          <w:rFonts w:hint="eastAsia"/>
          <w:color w:val="auto"/>
          <w:highlight w:val="none"/>
        </w:rPr>
        <w:t>本公司违反上述承诺，或本承诺陈述与事实不符，经查实，本公司愿意接受公开通报，承担由此带来的法律后果。</w:t>
      </w:r>
    </w:p>
    <w:p w14:paraId="6051DCAA">
      <w:pPr>
        <w:pStyle w:val="14"/>
        <w:autoSpaceDE/>
        <w:autoSpaceDN/>
        <w:spacing w:line="360" w:lineRule="auto"/>
        <w:ind w:right="420" w:firstLine="480" w:firstLineChars="200"/>
        <w:rPr>
          <w:rFonts w:hint="default" w:ascii="宋体" w:hAnsi="Courier New" w:eastAsia="宋体" w:cs="Times New Roman"/>
          <w:color w:val="auto"/>
          <w:sz w:val="24"/>
          <w:szCs w:val="24"/>
          <w:highlight w:val="none"/>
          <w:lang w:eastAsia="zh-CN"/>
        </w:rPr>
      </w:pPr>
      <w:r>
        <w:rPr>
          <w:rFonts w:hint="eastAsia"/>
          <w:color w:val="auto"/>
          <w:highlight w:val="none"/>
        </w:rPr>
        <w:t>特此承诺</w:t>
      </w:r>
      <w:r>
        <w:rPr>
          <w:rFonts w:hint="default" w:ascii="宋体" w:hAnsi="Courier New" w:eastAsia="宋体" w:cs="Times New Roman"/>
          <w:color w:val="auto"/>
          <w:sz w:val="24"/>
          <w:szCs w:val="24"/>
          <w:highlight w:val="none"/>
          <w:lang w:eastAsia="zh-CN"/>
        </w:rPr>
        <w:t>。</w:t>
      </w:r>
    </w:p>
    <w:p w14:paraId="2C909481">
      <w:pPr>
        <w:pStyle w:val="19"/>
        <w:shd w:val="clear" w:color="auto" w:fill="FFFFFF"/>
        <w:spacing w:before="0" w:beforeAutospacing="0" w:after="0" w:afterAutospacing="0" w:line="360" w:lineRule="auto"/>
        <w:ind w:right="1455" w:firstLine="2880"/>
        <w:jc w:val="right"/>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承诺企业（</w:t>
      </w:r>
      <w:r>
        <w:rPr>
          <w:rFonts w:hint="eastAsia" w:ascii="宋体" w:hAnsi="宋体" w:cs="宋体"/>
          <w:color w:val="auto"/>
          <w:sz w:val="24"/>
          <w:szCs w:val="24"/>
          <w:highlight w:val="none"/>
          <w:lang w:eastAsia="zh-CN"/>
        </w:rPr>
        <w:t>盖</w:t>
      </w:r>
      <w:r>
        <w:rPr>
          <w:rFonts w:hint="eastAsia" w:ascii="宋体" w:hAnsi="宋体" w:eastAsia="宋体" w:cs="宋体"/>
          <w:color w:val="auto"/>
          <w:sz w:val="24"/>
          <w:szCs w:val="24"/>
          <w:highlight w:val="none"/>
        </w:rPr>
        <w:t>单位章）：      </w:t>
      </w:r>
    </w:p>
    <w:p w14:paraId="79510747">
      <w:pPr>
        <w:pStyle w:val="19"/>
        <w:shd w:val="clear" w:color="auto" w:fill="FFFFFF"/>
        <w:spacing w:before="0" w:beforeAutospacing="0" w:after="0" w:afterAutospacing="0" w:line="360" w:lineRule="auto"/>
        <w:ind w:firstLine="480"/>
        <w:jc w:val="righ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cs="宋体"/>
          <w:color w:val="auto"/>
          <w:sz w:val="24"/>
          <w:szCs w:val="24"/>
          <w:highlight w:val="none"/>
        </w:rPr>
        <w:t xml:space="preserve">           </w:t>
      </w:r>
    </w:p>
    <w:p w14:paraId="16A9FC70">
      <w:pPr>
        <w:pStyle w:val="19"/>
        <w:shd w:val="clear" w:color="auto" w:fill="FFFFFF"/>
        <w:spacing w:before="0" w:after="0"/>
        <w:ind w:firstLine="480"/>
        <w:jc w:val="right"/>
        <w:rPr>
          <w:rFonts w:hint="default"/>
          <w:color w:val="auto"/>
          <w:sz w:val="28"/>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4"/>
          <w:szCs w:val="24"/>
          <w:highlight w:val="none"/>
        </w:rPr>
        <w:t>年   月   日</w:t>
      </w:r>
    </w:p>
    <w:p w14:paraId="59450FCE">
      <w:pPr>
        <w:pStyle w:val="5"/>
        <w:jc w:val="center"/>
        <w:outlineLvl w:val="1"/>
        <w:rPr>
          <w:rFonts w:hint="default"/>
          <w:color w:val="auto"/>
          <w:sz w:val="28"/>
          <w:szCs w:val="24"/>
          <w:highlight w:val="none"/>
        </w:rPr>
      </w:pPr>
      <w:r>
        <w:rPr>
          <w:rFonts w:hint="default"/>
          <w:color w:val="auto"/>
          <w:sz w:val="28"/>
          <w:szCs w:val="24"/>
          <w:highlight w:val="none"/>
        </w:rPr>
        <w:t>七、监理大纲</w:t>
      </w:r>
    </w:p>
    <w:p w14:paraId="354C46C3">
      <w:pPr>
        <w:pStyle w:val="12"/>
        <w:kinsoku w:val="0"/>
        <w:overflowPunct w:val="0"/>
        <w:spacing w:beforeLines="100" w:line="360" w:lineRule="auto"/>
        <w:ind w:left="0" w:firstLine="480" w:firstLineChars="200"/>
        <w:rPr>
          <w:rFonts w:hint="default"/>
          <w:color w:val="auto"/>
          <w:sz w:val="24"/>
          <w:szCs w:val="24"/>
          <w:highlight w:val="none"/>
        </w:rPr>
      </w:pPr>
      <w:r>
        <w:rPr>
          <w:rFonts w:hint="default"/>
          <w:color w:val="auto"/>
          <w:sz w:val="24"/>
          <w:szCs w:val="24"/>
          <w:highlight w:val="none"/>
        </w:rPr>
        <w:t>监理大纲应包括（但不限于）下列内容：</w:t>
      </w:r>
    </w:p>
    <w:p w14:paraId="3CF7DDA8">
      <w:pPr>
        <w:pStyle w:val="12"/>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lang w:val="en-US" w:eastAsia="zh-CN"/>
        </w:rPr>
        <w:t>一、</w:t>
      </w:r>
      <w:r>
        <w:rPr>
          <w:rFonts w:hint="default"/>
          <w:color w:val="auto"/>
          <w:sz w:val="24"/>
          <w:szCs w:val="24"/>
          <w:highlight w:val="none"/>
        </w:rPr>
        <w:t>监理工程概况；</w:t>
      </w:r>
    </w:p>
    <w:p w14:paraId="44A57E70">
      <w:pPr>
        <w:pStyle w:val="12"/>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 xml:space="preserve">二、监理范围、监理内容； </w:t>
      </w:r>
    </w:p>
    <w:p w14:paraId="20918329">
      <w:pPr>
        <w:pStyle w:val="12"/>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三、监理依据、监理工作目标；</w:t>
      </w:r>
    </w:p>
    <w:p w14:paraId="4BDA0BFB">
      <w:pPr>
        <w:pStyle w:val="12"/>
        <w:numPr>
          <w:ilvl w:val="0"/>
          <w:numId w:val="0"/>
        </w:numPr>
        <w:kinsoku w:val="0"/>
        <w:overflowPunct w:val="0"/>
        <w:spacing w:line="360" w:lineRule="auto"/>
        <w:ind w:left="480"/>
        <w:rPr>
          <w:rFonts w:hint="default"/>
          <w:color w:val="auto"/>
          <w:sz w:val="24"/>
          <w:szCs w:val="24"/>
          <w:highlight w:val="none"/>
        </w:rPr>
      </w:pPr>
      <w:r>
        <w:rPr>
          <w:rFonts w:hint="default"/>
          <w:color w:val="auto"/>
          <w:spacing w:val="-8"/>
          <w:sz w:val="24"/>
          <w:szCs w:val="24"/>
          <w:highlight w:val="none"/>
        </w:rPr>
        <w:t>四、监理机构设置（框图）、岗位职责；</w:t>
      </w:r>
      <w:r>
        <w:rPr>
          <w:rFonts w:hint="default"/>
          <w:color w:val="auto"/>
          <w:spacing w:val="-69"/>
          <w:sz w:val="24"/>
          <w:szCs w:val="24"/>
          <w:highlight w:val="none"/>
        </w:rPr>
        <w:t xml:space="preserve"> </w:t>
      </w:r>
    </w:p>
    <w:p w14:paraId="442BD381">
      <w:pPr>
        <w:pStyle w:val="12"/>
        <w:numPr>
          <w:ilvl w:val="0"/>
          <w:numId w:val="0"/>
        </w:numPr>
        <w:kinsoku w:val="0"/>
        <w:overflowPunct w:val="0"/>
        <w:spacing w:line="360" w:lineRule="auto"/>
        <w:ind w:left="0" w:firstLine="480" w:firstLineChars="200"/>
        <w:rPr>
          <w:rFonts w:hint="default"/>
          <w:color w:val="auto"/>
          <w:sz w:val="24"/>
          <w:szCs w:val="24"/>
          <w:highlight w:val="none"/>
        </w:rPr>
      </w:pPr>
      <w:r>
        <w:rPr>
          <w:rFonts w:hint="default"/>
          <w:color w:val="auto"/>
          <w:sz w:val="24"/>
          <w:szCs w:val="24"/>
          <w:highlight w:val="none"/>
        </w:rPr>
        <w:t xml:space="preserve">五、监理工作程序、方法和制度； </w:t>
      </w:r>
    </w:p>
    <w:p w14:paraId="66AD8877">
      <w:pPr>
        <w:pStyle w:val="12"/>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 xml:space="preserve">六、拟投入的监理人员、试验检测仪器设备； </w:t>
      </w:r>
    </w:p>
    <w:p w14:paraId="182FF736">
      <w:pPr>
        <w:pStyle w:val="12"/>
        <w:numPr>
          <w:ilvl w:val="0"/>
          <w:numId w:val="0"/>
        </w:numPr>
        <w:kinsoku w:val="0"/>
        <w:overflowPunct w:val="0"/>
        <w:spacing w:line="360" w:lineRule="auto"/>
        <w:ind w:left="480"/>
        <w:rPr>
          <w:rFonts w:hint="default"/>
          <w:color w:val="auto"/>
          <w:sz w:val="24"/>
          <w:szCs w:val="24"/>
          <w:highlight w:val="none"/>
        </w:rPr>
      </w:pPr>
      <w:r>
        <w:rPr>
          <w:rFonts w:hint="default"/>
          <w:color w:val="auto"/>
          <w:spacing w:val="-2"/>
          <w:sz w:val="24"/>
          <w:szCs w:val="24"/>
          <w:highlight w:val="none"/>
        </w:rPr>
        <w:t>七、质量、进度、造价、安全、环保监理措施；</w:t>
      </w:r>
      <w:r>
        <w:rPr>
          <w:rFonts w:hint="default"/>
          <w:color w:val="auto"/>
          <w:spacing w:val="-66"/>
          <w:sz w:val="24"/>
          <w:szCs w:val="24"/>
          <w:highlight w:val="none"/>
        </w:rPr>
        <w:t xml:space="preserve"> </w:t>
      </w:r>
    </w:p>
    <w:p w14:paraId="5C7F0FD6">
      <w:pPr>
        <w:pStyle w:val="12"/>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八、合同、信息管理方案（含BIM管理、ESG管理）；</w:t>
      </w:r>
    </w:p>
    <w:p w14:paraId="42F8846C">
      <w:pPr>
        <w:pStyle w:val="12"/>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lang w:val="en-US" w:eastAsia="zh-CN"/>
        </w:rPr>
        <w:t xml:space="preserve">九 </w:t>
      </w:r>
      <w:r>
        <w:rPr>
          <w:rFonts w:hint="default"/>
          <w:color w:val="auto"/>
          <w:sz w:val="24"/>
          <w:szCs w:val="24"/>
          <w:highlight w:val="none"/>
        </w:rPr>
        <w:t xml:space="preserve">、组织协调内容及措施； </w:t>
      </w:r>
    </w:p>
    <w:p w14:paraId="1E53C9ED">
      <w:pPr>
        <w:pStyle w:val="12"/>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 xml:space="preserve">十、监理工作重点、难点分析； </w:t>
      </w:r>
    </w:p>
    <w:p w14:paraId="4D78BD66">
      <w:pPr>
        <w:pStyle w:val="12"/>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十</w:t>
      </w:r>
      <w:r>
        <w:rPr>
          <w:rFonts w:hint="default"/>
          <w:color w:val="auto"/>
          <w:sz w:val="24"/>
          <w:szCs w:val="24"/>
          <w:highlight w:val="none"/>
          <w:lang w:val="en-US" w:eastAsia="zh-CN"/>
        </w:rPr>
        <w:t>一</w:t>
      </w:r>
      <w:r>
        <w:rPr>
          <w:rFonts w:hint="default"/>
          <w:color w:val="auto"/>
          <w:sz w:val="24"/>
          <w:szCs w:val="24"/>
          <w:highlight w:val="none"/>
        </w:rPr>
        <w:t>、对本工程监理的合理化建议。</w:t>
      </w:r>
    </w:p>
    <w:p w14:paraId="48FC0DCB">
      <w:pPr>
        <w:pStyle w:val="12"/>
        <w:kinsoku w:val="0"/>
        <w:overflowPunct w:val="0"/>
        <w:spacing w:before="275" w:line="357" w:lineRule="auto"/>
        <w:ind w:left="555" w:right="3835"/>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4672423D">
      <w:pPr>
        <w:pStyle w:val="5"/>
        <w:jc w:val="center"/>
        <w:outlineLvl w:val="1"/>
        <w:rPr>
          <w:rFonts w:hint="default"/>
          <w:color w:val="auto"/>
          <w:sz w:val="28"/>
          <w:szCs w:val="24"/>
          <w:highlight w:val="none"/>
        </w:rPr>
        <w:sectPr>
          <w:headerReference r:id="rId21" w:type="default"/>
          <w:footerReference r:id="rId22" w:type="default"/>
          <w:pgSz w:w="11905" w:h="16838"/>
          <w:pgMar w:top="1417" w:right="1417" w:bottom="1417" w:left="1417" w:header="992" w:footer="992" w:gutter="0"/>
          <w:lnNumType w:countBy="0" w:distance="360"/>
          <w:cols w:space="720" w:num="1"/>
        </w:sectPr>
      </w:pPr>
      <w:r>
        <w:rPr>
          <w:rFonts w:hint="default"/>
          <w:color w:val="auto"/>
          <w:sz w:val="28"/>
          <w:szCs w:val="24"/>
          <w:highlight w:val="none"/>
        </w:rPr>
        <w:t>八、其他资料</w:t>
      </w:r>
    </w:p>
    <w:p w14:paraId="6910A69F">
      <w:pPr>
        <w:pStyle w:val="4"/>
        <w:outlineLvl w:val="0"/>
        <w:rPr>
          <w:rFonts w:hint="default" w:cs="Times New Roman"/>
          <w:color w:val="auto"/>
          <w:sz w:val="44"/>
          <w:szCs w:val="44"/>
          <w:highlight w:val="none"/>
        </w:rPr>
      </w:pPr>
      <w:r>
        <w:rPr>
          <w:rFonts w:hint="default" w:cs="Times New Roman"/>
          <w:color w:val="auto"/>
          <w:sz w:val="44"/>
          <w:szCs w:val="44"/>
          <w:highlight w:val="none"/>
          <w:lang w:val="en-US" w:eastAsia="zh-CN"/>
        </w:rPr>
        <w:t xml:space="preserve">第七章 </w:t>
      </w:r>
      <w:r>
        <w:rPr>
          <w:rFonts w:hint="default" w:cs="Times New Roman"/>
          <w:color w:val="auto"/>
          <w:sz w:val="44"/>
          <w:szCs w:val="44"/>
          <w:highlight w:val="none"/>
        </w:rPr>
        <w:t>投标人须知前附表规定的其他资料。</w:t>
      </w:r>
    </w:p>
    <w:p w14:paraId="1856DD57">
      <w:pPr>
        <w:rPr>
          <w:rFonts w:hint="default"/>
          <w:color w:val="auto"/>
          <w:sz w:val="24"/>
          <w:szCs w:val="24"/>
          <w:highlight w:val="none"/>
        </w:rPr>
      </w:pPr>
    </w:p>
    <w:p w14:paraId="38675705">
      <w:pPr>
        <w:pStyle w:val="5"/>
        <w:jc w:val="center"/>
        <w:outlineLvl w:val="0"/>
        <w:rPr>
          <w:rFonts w:hint="default"/>
          <w:color w:val="auto"/>
          <w:sz w:val="30"/>
          <w:szCs w:val="24"/>
          <w:highlight w:val="none"/>
          <w:lang w:val="en-US" w:eastAsia="zh-CN"/>
        </w:rPr>
      </w:pPr>
      <w:r>
        <w:rPr>
          <w:rFonts w:hint="default"/>
          <w:color w:val="auto"/>
          <w:sz w:val="30"/>
          <w:szCs w:val="24"/>
          <w:highlight w:val="none"/>
          <w:lang w:val="en-US" w:eastAsia="zh-CN"/>
        </w:rPr>
        <w:t>否决性条款汇总</w:t>
      </w:r>
    </w:p>
    <w:p w14:paraId="7EA601D5">
      <w:pPr>
        <w:keepNext w:val="0"/>
        <w:keepLines w:val="0"/>
        <w:pageBreakBefore w:val="0"/>
        <w:widowControl/>
        <w:kinsoku/>
        <w:wordWrap/>
        <w:overflowPunct/>
        <w:topLinePunct w:val="0"/>
        <w:autoSpaceDE w:val="0"/>
        <w:autoSpaceDN w:val="0"/>
        <w:bidi w:val="0"/>
        <w:adjustRightInd w:val="0"/>
        <w:snapToGrid/>
        <w:spacing w:after="0" w:line="288" w:lineRule="auto"/>
        <w:ind w:firstLine="482"/>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否决性条款单列参考格式</w:t>
      </w:r>
    </w:p>
    <w:p w14:paraId="25C152F0">
      <w:pPr>
        <w:keepNext w:val="0"/>
        <w:keepLines w:val="0"/>
        <w:pageBreakBefore w:val="0"/>
        <w:kinsoku/>
        <w:wordWrap/>
        <w:overflowPunct/>
        <w:topLinePunct w:val="0"/>
        <w:autoSpaceDE w:val="0"/>
        <w:autoSpaceDN w:val="0"/>
        <w:bidi w:val="0"/>
        <w:adjustRightInd w:val="0"/>
        <w:snapToGrid/>
        <w:spacing w:line="288" w:lineRule="auto"/>
        <w:ind w:firstLine="480" w:firstLineChars="200"/>
        <w:textAlignment w:val="auto"/>
        <w:rPr>
          <w:rFonts w:hint="eastAsia"/>
          <w:color w:val="auto"/>
          <w:highlight w:val="none"/>
        </w:rPr>
      </w:pPr>
      <w:r>
        <w:rPr>
          <w:rFonts w:hint="eastAsia"/>
          <w:color w:val="auto"/>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3B3F066F">
      <w:pPr>
        <w:keepNext w:val="0"/>
        <w:keepLines w:val="0"/>
        <w:pageBreakBefore w:val="0"/>
        <w:kinsoku/>
        <w:wordWrap/>
        <w:overflowPunct/>
        <w:topLinePunct w:val="0"/>
        <w:autoSpaceDE w:val="0"/>
        <w:autoSpaceDN w:val="0"/>
        <w:bidi w:val="0"/>
        <w:adjustRightInd w:val="0"/>
        <w:snapToGrid/>
        <w:spacing w:line="288" w:lineRule="auto"/>
        <w:ind w:firstLine="480" w:firstLineChars="200"/>
        <w:textAlignment w:val="auto"/>
        <w:rPr>
          <w:rFonts w:hint="eastAsia"/>
          <w:color w:val="auto"/>
          <w:highlight w:val="none"/>
        </w:rPr>
      </w:pPr>
      <w:r>
        <w:rPr>
          <w:rFonts w:hint="eastAsia"/>
          <w:color w:val="auto"/>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0F749BD0">
      <w:pPr>
        <w:keepNext w:val="0"/>
        <w:keepLines w:val="0"/>
        <w:pageBreakBefore w:val="0"/>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color w:val="auto"/>
          <w:kern w:val="0"/>
          <w:sz w:val="24"/>
          <w:szCs w:val="24"/>
          <w:highlight w:val="none"/>
        </w:rPr>
      </w:pPr>
      <w:r>
        <w:rPr>
          <w:rFonts w:hint="eastAsia"/>
          <w:color w:val="auto"/>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6E507E2D">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35120973">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1.未成功递交投标文件的；</w:t>
      </w:r>
    </w:p>
    <w:p w14:paraId="1F1EB804">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因投标人原因造成投标文件未解密的；</w:t>
      </w:r>
    </w:p>
    <w:p w14:paraId="238F1A83">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3.两个（含两个）以上的投标人加密打包投标文件电脑机器特征码一致的；</w:t>
      </w:r>
    </w:p>
    <w:p w14:paraId="02D5D96B">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cs="宋体"/>
          <w:color w:val="auto"/>
          <w:highlight w:val="none"/>
        </w:rPr>
        <w:t>若递交投标文件的投标人不足3家，则重新组织招标。</w:t>
      </w:r>
    </w:p>
    <w:p w14:paraId="0A51B52B">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二、作无效投标的情形</w:t>
      </w:r>
    </w:p>
    <w:p w14:paraId="6B19FAFF">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投标文件不符合招标文件评标办法中形式评审标准、资格评审标准、响应性评审标准、技术评审标准（若有）的要求。</w:t>
      </w:r>
    </w:p>
    <w:p w14:paraId="4BF02F06">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三、作不合格标处理的情形</w:t>
      </w:r>
    </w:p>
    <w:p w14:paraId="0EE05EEC">
      <w:pPr>
        <w:widowControl/>
        <w:autoSpaceDE/>
        <w:autoSpaceDN/>
        <w:adjustRightInd/>
        <w:spacing w:after="135" w:line="360" w:lineRule="auto"/>
        <w:ind w:firstLine="480" w:firstLineChars="200"/>
        <w:rPr>
          <w:rFonts w:ascii="宋体" w:hAnsi="宋体" w:cs="宋体"/>
          <w:color w:val="auto"/>
          <w:highlight w:val="none"/>
        </w:rPr>
      </w:pPr>
      <w:r>
        <w:rPr>
          <w:rFonts w:hint="eastAsia" w:ascii="宋体" w:hAnsi="宋体" w:cs="宋体"/>
          <w:color w:val="auto"/>
          <w:highlight w:val="none"/>
        </w:rPr>
        <w:t>1.串通投标或弄虚作假或有其他违法行为的；</w:t>
      </w:r>
    </w:p>
    <w:p w14:paraId="26834EF8">
      <w:pPr>
        <w:widowControl/>
        <w:autoSpaceDE/>
        <w:autoSpaceDN/>
        <w:adjustRightInd/>
        <w:spacing w:after="135" w:line="360" w:lineRule="auto"/>
        <w:ind w:firstLine="480" w:firstLineChars="200"/>
        <w:rPr>
          <w:rFonts w:ascii="宋体" w:hAnsi="宋体" w:cs="宋体"/>
          <w:color w:val="auto"/>
          <w:highlight w:val="none"/>
        </w:rPr>
      </w:pPr>
      <w:r>
        <w:rPr>
          <w:rFonts w:hint="eastAsia" w:ascii="宋体" w:hAnsi="宋体" w:cs="宋体"/>
          <w:color w:val="auto"/>
          <w:highlight w:val="none"/>
        </w:rPr>
        <w:t>2.不按评标委员会要求澄清、说明或补正的。</w:t>
      </w:r>
    </w:p>
    <w:p w14:paraId="02F5F74D">
      <w:pPr>
        <w:spacing w:line="360" w:lineRule="auto"/>
        <w:ind w:firstLine="484" w:firstLineChars="202"/>
        <w:rPr>
          <w:rFonts w:hint="eastAsia" w:ascii="宋体" w:hAnsi="宋体" w:cs="宋体"/>
          <w:color w:val="auto"/>
          <w:highlight w:val="none"/>
        </w:rPr>
      </w:pPr>
      <w:r>
        <w:rPr>
          <w:rFonts w:hint="eastAsia" w:ascii="宋体" w:hAnsi="宋体" w:cs="宋体"/>
          <w:color w:val="auto"/>
          <w:highlight w:val="none"/>
        </w:rPr>
        <w:t>3.第二章“投标人须知”第1.4.3项规定的任何一种情形的；</w:t>
      </w:r>
    </w:p>
    <w:p w14:paraId="1062B556">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四、其他否定投标文件效力情形</w:t>
      </w:r>
    </w:p>
    <w:p w14:paraId="4608089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eastAsia" w:ascii="宋体" w:hAnsi="宋体" w:cs="宋体"/>
          <w:color w:val="auto"/>
          <w:kern w:val="21"/>
          <w:sz w:val="24"/>
          <w:szCs w:val="24"/>
          <w:highlight w:val="none"/>
          <w:lang w:val="en-US" w:eastAsia="zh-CN"/>
        </w:rPr>
        <w:t>1.</w:t>
      </w:r>
      <w:r>
        <w:rPr>
          <w:rFonts w:hint="default" w:cs="Times New Roman"/>
          <w:color w:val="auto"/>
          <w:sz w:val="24"/>
          <w:szCs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D286916">
      <w:pPr>
        <w:spacing w:line="360" w:lineRule="auto"/>
        <w:ind w:firstLine="484" w:firstLineChars="202"/>
        <w:rPr>
          <w:rFonts w:hint="default" w:ascii="宋体" w:hAnsi="宋体" w:eastAsia="宋体" w:cs="宋体"/>
          <w:color w:val="auto"/>
          <w:kern w:val="21"/>
          <w:sz w:val="24"/>
          <w:szCs w:val="24"/>
          <w:highlight w:val="none"/>
          <w:lang w:val="en-US" w:eastAsia="zh-CN"/>
        </w:rPr>
      </w:pPr>
    </w:p>
    <w:p w14:paraId="6E61E020">
      <w:pPr>
        <w:spacing w:line="360" w:lineRule="auto"/>
        <w:ind w:firstLine="484" w:firstLineChars="202"/>
        <w:rPr>
          <w:rFonts w:hint="default" w:ascii="宋体" w:hAnsi="宋体" w:eastAsia="宋体" w:cs="宋体"/>
          <w:color w:val="auto"/>
          <w:kern w:val="21"/>
          <w:sz w:val="24"/>
          <w:szCs w:val="24"/>
          <w:highlight w:val="none"/>
          <w:lang w:val="en-US" w:eastAsia="zh-CN"/>
        </w:rPr>
      </w:pPr>
    </w:p>
    <w:sectPr>
      <w:headerReference r:id="rId23" w:type="default"/>
      <w:footerReference r:id="rId24" w:type="default"/>
      <w:pgSz w:w="11905" w:h="16838"/>
      <w:pgMar w:top="1417" w:right="1417" w:bottom="1417" w:left="1417" w:header="992" w:footer="99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5190C">
    <w:pPr>
      <w:pStyle w:val="15"/>
      <w:rPr>
        <w:rFonts w:hint="default"/>
        <w:sz w:val="18"/>
        <w:szCs w:val="24"/>
      </w:rPr>
    </w:pPr>
    <w:r>
      <w:rPr>
        <w:rFonts w:hint="default"/>
        <w:sz w:val="18"/>
        <w:szCs w:val="24"/>
      </w:rPr>
      <w:pict>
        <v:shape id="_x0000_s1040" o:spid="_x0000_s104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FBJHbIAQAAfwMAAA4AAAAAAAAAAQAgAAAAHgEAAGRycy9lMm9Eb2Mu&#10;eG1sUEsFBgAAAAAGAAYAWQEAAFgFAAAAAA==&#10;">
          <v:path/>
          <v:fill on="f" focussize="0,0"/>
          <v:stroke on="f"/>
          <v:imagedata o:title=""/>
          <o:lock v:ext="edit" aspectratio="f"/>
          <v:textbox inset="0mm,0mm,0mm,0mm" style="mso-fit-shape-to-text:t;">
            <w:txbxContent>
              <w:p w14:paraId="78656A12">
                <w:pPr>
                  <w:pStyle w:val="15"/>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242DD">
    <w:pPr>
      <w:pStyle w:val="12"/>
      <w:kinsoku w:val="0"/>
      <w:overflowPunct w:val="0"/>
      <w:spacing w:line="14" w:lineRule="auto"/>
      <w:ind w:left="0"/>
      <w:rPr>
        <w:rFonts w:hint="default"/>
        <w:sz w:val="20"/>
        <w:szCs w:val="24"/>
      </w:rPr>
    </w:pPr>
    <w:r>
      <w:rPr>
        <w:rFonts w:hint="default"/>
        <w:sz w:val="21"/>
        <w:szCs w:val="24"/>
      </w:rPr>
      <w:pict>
        <v:shape id="_x0000_s1049" o:spid="_x0000_s1049" o:spt="202" type="#_x0000_t202" style="position:absolute;left:0pt;margin-top:0pt;height:11pt;width:13.15pt;mso-position-horizontal:center;mso-position-horizontal-relative:margin;z-index:25166950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myT9o0wAAAAMBAAAP&#10;AAAAAAAAAAEAIAAAACIAAABkcnMvZG93bnJldi54bWxQSwECFAAUAAAACACHTuJApYUZ2KsBAABB&#10;AwAADgAAAAAAAAABACAAAAAiAQAAZHJzL2Uyb0RvYy54bWxQSwUGAAAAAAYABgBZAQAAPwUAAAAA&#10;">
          <v:path/>
          <v:fill on="f" focussize="0,0"/>
          <v:stroke on="f"/>
          <v:imagedata o:title=""/>
          <o:lock v:ext="edit" aspectratio="f"/>
          <v:textbox inset="0mm,0mm,0mm,0mm">
            <w:txbxContent>
              <w:p w14:paraId="01F02F4E">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1063A">
    <w:pPr>
      <w:pStyle w:val="12"/>
      <w:kinsoku w:val="0"/>
      <w:overflowPunct w:val="0"/>
      <w:spacing w:line="14" w:lineRule="auto"/>
      <w:ind w:left="0"/>
      <w:rPr>
        <w:rFonts w:hint="default"/>
        <w:sz w:val="20"/>
        <w:szCs w:val="24"/>
      </w:rPr>
    </w:pPr>
    <w:r>
      <w:rPr>
        <w:rFonts w:hint="default"/>
        <w:sz w:val="21"/>
        <w:szCs w:val="24"/>
      </w:rPr>
      <w:pict>
        <v:shape id="_x0000_s1042" o:spid="_x0000_s1042" o:spt="202" type="#_x0000_t202" style="position:absolute;left:0pt;margin-top:0pt;height:11pt;width:13.15pt;mso-position-horizontal:center;mso-position-horizontal-relative:margin;z-index:25167052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sk/aNMAAAADAQAA&#10;DwAAAAAAAAABACAAAAAiAAAAZHJzL2Rvd25yZXYueG1sUEsBAhQAFAAAAAgAh07iQC8Dqp+sAQAA&#10;QQMAAA4AAAAAAAAAAQAgAAAAIgEAAGRycy9lMm9Eb2MueG1sUEsFBgAAAAAGAAYAWQEAAEAFAAAA&#10;AA==&#10;">
          <v:path/>
          <v:fill on="f" focussize="0,0"/>
          <v:stroke on="f"/>
          <v:imagedata o:title=""/>
          <o:lock v:ext="edit" aspectratio="f"/>
          <v:textbox inset="0mm,0mm,0mm,0mm">
            <w:txbxContent>
              <w:p w14:paraId="78465387">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F677B">
    <w:pPr>
      <w:pStyle w:val="12"/>
      <w:kinsoku w:val="0"/>
      <w:overflowPunct w:val="0"/>
      <w:spacing w:line="14" w:lineRule="auto"/>
      <w:ind w:left="0"/>
      <w:rPr>
        <w:rFonts w:hint="default"/>
        <w:sz w:val="20"/>
        <w:szCs w:val="24"/>
      </w:rPr>
    </w:pPr>
    <w:r>
      <w:rPr>
        <w:rFonts w:hint="default"/>
        <w:sz w:val="21"/>
        <w:szCs w:val="24"/>
      </w:rPr>
      <w:pict>
        <v:shape id="_x0000_s1050" o:spid="_x0000_s1050"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myT9o0wAAAAMBAAAP&#10;AAAAAAAAAAEAIAAAACIAAABkcnMvZG93bnJldi54bWxQSwECFAAUAAAACACHTuJAk5+pqKsBAABA&#10;AwAADgAAAAAAAAABACAAAAAiAQAAZHJzL2Uyb0RvYy54bWxQSwUGAAAAAAYABgBZAQAAPwUAAAAA&#10;">
          <v:path/>
          <v:fill on="f" focussize="0,0"/>
          <v:stroke on="f"/>
          <v:imagedata o:title=""/>
          <o:lock v:ext="edit" aspectratio="f"/>
          <v:textbox inset="0mm,0mm,0mm,0mm">
            <w:txbxContent>
              <w:p w14:paraId="28395ECE">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5939">
    <w:pPr>
      <w:pStyle w:val="12"/>
      <w:kinsoku w:val="0"/>
      <w:overflowPunct w:val="0"/>
      <w:spacing w:line="14" w:lineRule="auto"/>
      <w:ind w:left="0"/>
      <w:rPr>
        <w:rFonts w:hint="default"/>
        <w:sz w:val="20"/>
        <w:szCs w:val="24"/>
      </w:rPr>
    </w:pPr>
    <w:r>
      <w:rPr>
        <w:rFonts w:hint="default"/>
        <w:sz w:val="21"/>
        <w:szCs w:val="24"/>
      </w:rPr>
      <w:pict>
        <v:shape id="文本框 17" o:spid="_x0000_s1033" o:spt="202" type="#_x0000_t202" style="position:absolute;left:0pt;margin-top:0pt;height:11pt;width:13.15pt;mso-position-horizontal:center;mso-position-horizontal-relative:margin;z-index:25165926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path/>
          <v:fill on="f" focussize="0,0"/>
          <v:stroke on="f"/>
          <v:imagedata o:title=""/>
          <o:lock v:ext="edit" aspectratio="f"/>
          <v:textbox inset="0mm,0mm,0mm,0mm">
            <w:txbxContent>
              <w:p w14:paraId="2D9A2B21">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37462">
    <w:pPr>
      <w:pStyle w:val="12"/>
      <w:kinsoku w:val="0"/>
      <w:overflowPunct w:val="0"/>
      <w:spacing w:line="14" w:lineRule="auto"/>
      <w:ind w:left="0"/>
      <w:rPr>
        <w:rFonts w:hint="default"/>
        <w:sz w:val="18"/>
        <w:szCs w:val="24"/>
      </w:rPr>
    </w:pPr>
    <w:r>
      <w:rPr>
        <w:rFonts w:hint="default" w:ascii="Calibri" w:hAnsi="Calibri" w:eastAsia="Calibri"/>
        <w:sz w:val="21"/>
        <w:szCs w:val="24"/>
      </w:rPr>
      <w:pict>
        <v:shape id="_x0000_s1038" o:spid="_x0000_s1038" o:spt="202" type="#_x0000_t202" style="position:absolute;left:0pt;margin-top:0pt;height:11pt;width:8.6pt;mso-position-horizontal:center;mso-position-horizontal-relative:margin;z-index:251660288;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kQOotMAAAADAQAADwAAAAAAAAABACAAAAAiAAAAZHJzL2Rvd25yZXYueG1sUEsBAhQA&#10;FAAAAAgAh07iQLVQBBu+AQAAZAMAAA4AAAAAAAAAAQAgAAAAIgEAAGRycy9lMm9Eb2MueG1sUEsF&#10;BgAAAAAGAAYAWQEAAFIFAAAAAA==&#10;">
          <v:path/>
          <v:fill on="f" focussize="0,0"/>
          <v:stroke on="f"/>
          <v:imagedata o:title=""/>
          <o:lock v:ext="edit" aspectratio="f"/>
          <v:textbox inset="0mm,0mm,0mm,0mm">
            <w:txbxContent>
              <w:p w14:paraId="2B636F93">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28F88">
    <w:pPr>
      <w:pStyle w:val="12"/>
      <w:kinsoku w:val="0"/>
      <w:overflowPunct w:val="0"/>
      <w:spacing w:line="14" w:lineRule="auto"/>
      <w:ind w:left="0"/>
      <w:rPr>
        <w:rFonts w:hint="default"/>
        <w:sz w:val="20"/>
        <w:szCs w:val="24"/>
      </w:rPr>
    </w:pPr>
    <w:r>
      <w:rPr>
        <w:rFonts w:hint="default"/>
        <w:sz w:val="21"/>
        <w:szCs w:val="24"/>
      </w:rPr>
      <w:pict>
        <v:shape id="_x0000_s1039" o:spid="_x0000_s1039"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PtEU0TBAQAAZAMAAA4AAAAAAAAAAQAgAAAAIgEAAGRycy9lMm9Eb2MueG1s&#10;UEsFBgAAAAAGAAYAWQEAAFUFAAAAAA==&#10;">
          <v:path/>
          <v:fill on="f" focussize="0,0"/>
          <v:stroke on="f"/>
          <v:imagedata o:title=""/>
          <o:lock v:ext="edit" aspectratio="f"/>
          <v:textbox inset="0mm,0mm,0mm,0mm">
            <w:txbxContent>
              <w:p w14:paraId="33524C0A">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BAF1A">
    <w:pPr>
      <w:pStyle w:val="12"/>
      <w:kinsoku w:val="0"/>
      <w:overflowPunct w:val="0"/>
      <w:spacing w:line="14" w:lineRule="auto"/>
      <w:ind w:left="0"/>
      <w:rPr>
        <w:rFonts w:hint="default"/>
        <w:sz w:val="18"/>
        <w:szCs w:val="24"/>
      </w:rPr>
    </w:pPr>
    <w:r>
      <w:rPr>
        <w:rFonts w:hint="default"/>
        <w:sz w:val="21"/>
        <w:szCs w:val="24"/>
      </w:rPr>
      <w:pict>
        <v:shape id="_x0000_s1041" o:spid="_x0000_s1041" o:spt="202" type="#_x0000_t202" style="position:absolute;left:0pt;margin-top:0pt;height:11pt;width:13.15pt;mso-position-horizontal:center;mso-position-horizontal-relative:margin;z-index:25166745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bJP2jTAAAAAwEAAA8A&#10;AAAAAAAAAQAgAAAAIgAAAGRycy9kb3ducmV2LnhtbFBLAQIUABQAAAAIAIdO4kDQPz7cqgEAAD8D&#10;AAAOAAAAAAAAAAEAIAAAACIBAABkcnMvZTJvRG9jLnhtbFBLBQYAAAAABgAGAFkBAAA+BQAAAAA=&#10;">
          <v:path/>
          <v:fill on="f" focussize="0,0"/>
          <v:stroke on="f"/>
          <v:imagedata o:title=""/>
          <o:lock v:ext="edit" aspectratio="f"/>
          <v:textbox inset="0mm,0mm,0mm,0mm">
            <w:txbxContent>
              <w:p w14:paraId="2DBD7FF3">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1B4D">
    <w:pPr>
      <w:pStyle w:val="12"/>
      <w:kinsoku w:val="0"/>
      <w:overflowPunct w:val="0"/>
      <w:spacing w:line="14" w:lineRule="auto"/>
      <w:ind w:left="0"/>
      <w:rPr>
        <w:rFonts w:hint="default"/>
        <w:sz w:val="20"/>
        <w:szCs w:val="24"/>
      </w:rPr>
    </w:pPr>
    <w:r>
      <w:rPr>
        <w:rFonts w:hint="default"/>
        <w:sz w:val="21"/>
        <w:szCs w:val="24"/>
      </w:rPr>
      <w:pict>
        <v:shape id="_x0000_s1046" o:spid="_x0000_s1046" o:spt="202" type="#_x0000_t202" style="position:absolute;left:0pt;margin-top:0pt;height:11pt;width:13.15pt;mso-position-horizontal:center;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KlhhIDBAQAAZQMAAA4AAAAAAAAAAQAgAAAAIgEAAGRycy9lMm9Eb2MueG1s&#10;UEsFBgAAAAAGAAYAWQEAAFUFAAAAAA==&#10;">
          <v:path/>
          <v:fill on="f" focussize="0,0"/>
          <v:stroke on="f"/>
          <v:imagedata o:title=""/>
          <o:lock v:ext="edit" aspectratio="f"/>
          <v:textbox inset="0mm,0mm,0mm,0mm">
            <w:txbxContent>
              <w:p w14:paraId="47C0F1D0">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947B">
    <w:pPr>
      <w:pStyle w:val="12"/>
      <w:kinsoku w:val="0"/>
      <w:overflowPunct w:val="0"/>
      <w:spacing w:line="14" w:lineRule="auto"/>
      <w:ind w:left="0"/>
      <w:rPr>
        <w:rFonts w:hint="default"/>
        <w:sz w:val="20"/>
        <w:szCs w:val="24"/>
      </w:rPr>
    </w:pPr>
    <w:r>
      <w:rPr>
        <w:rFonts w:hint="default"/>
        <w:sz w:val="21"/>
        <w:szCs w:val="24"/>
      </w:rPr>
      <w:pict>
        <v:shape id="_x0000_s1047" o:spid="_x0000_s1047"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BNlwLtwgEAAGUDAAAOAAAAAAAAAAEAIAAAACIBAABkcnMvZTJvRG9jLnht&#10;bFBLBQYAAAAABgAGAFkBAABWBQAAAAA=&#10;">
          <v:path/>
          <v:fill on="f" focussize="0,0"/>
          <v:stroke on="f"/>
          <v:imagedata o:title=""/>
          <o:lock v:ext="edit" aspectratio="f"/>
          <v:textbox inset="0mm,0mm,0mm,0mm">
            <w:txbxContent>
              <w:p w14:paraId="7E095503">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80EC1">
    <w:pPr>
      <w:pStyle w:val="12"/>
      <w:kinsoku w:val="0"/>
      <w:overflowPunct w:val="0"/>
      <w:spacing w:line="14" w:lineRule="auto"/>
      <w:ind w:left="0"/>
      <w:rPr>
        <w:rFonts w:hint="default"/>
        <w:sz w:val="20"/>
        <w:szCs w:val="24"/>
      </w:rPr>
    </w:pPr>
    <w:r>
      <w:rPr>
        <w:rFonts w:hint="default"/>
        <w:sz w:val="21"/>
        <w:szCs w:val="24"/>
      </w:rPr>
      <w:pict>
        <v:shape id="_x0000_s1043" o:spid="_x0000_s1043" o:spt="202" type="#_x0000_t202" style="position:absolute;left:0pt;margin-top:0pt;height:11pt;width:13.15pt;mso-position-horizontal:center;mso-position-horizontal-relative:margin;z-index:25167257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sk/aNMAAAADAQAA&#10;DwAAAAAAAAABACAAAAAiAAAAZHJzL2Rvd25yZXYueG1sUEsBAhQAFAAAAAgAh07iQJleQGOsAQAA&#10;QQMAAA4AAAAAAAAAAQAgAAAAIgEAAGRycy9lMm9Eb2MueG1sUEsFBgAAAAAGAAYAWQEAAEAFAAAA&#10;AA==&#10;">
          <v:path/>
          <v:fill on="f" focussize="0,0"/>
          <v:stroke on="f"/>
          <v:imagedata o:title=""/>
          <o:lock v:ext="edit" aspectratio="f"/>
          <v:textbox inset="0mm,0mm,0mm,0mm">
            <w:txbxContent>
              <w:p w14:paraId="6B7AEE9B">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57604">
    <w:pPr>
      <w:pStyle w:val="12"/>
      <w:kinsoku w:val="0"/>
      <w:overflowPunct w:val="0"/>
      <w:spacing w:line="14" w:lineRule="auto"/>
      <w:ind w:left="0"/>
      <w:rPr>
        <w:rFonts w:hint="default"/>
        <w:sz w:val="20"/>
        <w:szCs w:val="24"/>
      </w:rPr>
    </w:pPr>
    <w:r>
      <w:rPr>
        <w:rFonts w:hint="default"/>
        <w:sz w:val="21"/>
        <w:szCs w:val="24"/>
      </w:rPr>
      <w:pict>
        <v:shape id="_x0000_s1044" o:spid="_x0000_s104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wyKJyQEAAH8DAAAOAAAAAAAAAAEAIAAAAB4BAABkcnMvZTJvRG9j&#10;LnhtbFBLBQYAAAAABgAGAFkBAABZBQAAAAA=&#10;">
          <v:path/>
          <v:fill on="f" focussize="0,0"/>
          <v:stroke on="f"/>
          <v:imagedata o:title=""/>
          <o:lock v:ext="edit" aspectratio="f"/>
          <v:textbox inset="0mm,0mm,0mm,0mm" style="mso-fit-shape-to-text:t;">
            <w:txbxContent>
              <w:p w14:paraId="69FA6966">
                <w:pPr>
                  <w:pStyle w:val="15"/>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v:textbox>
        </v:shape>
      </w:pict>
    </w:r>
    <w:r>
      <w:rPr>
        <w:rFonts w:hint="default"/>
        <w:sz w:val="21"/>
        <w:szCs w:val="24"/>
      </w:rPr>
      <w:pict>
        <v:shape id="_x0000_s1045" o:spid="_x0000_s1045" o:spt="202" type="#_x0000_t202" style="position:absolute;left:0pt;margin-left:300.5pt;margin-top:734.95pt;height:11pt;width:11.15pt;mso-position-horizontal-relative:page;mso-position-vertical-relative:page;z-index:-251652096;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bJCh9oAAAANAQAADwAAAAAAAAABACAAAAAiAAAAZHJzL2Rvd25yZXYueG1sUEsBAhQA&#10;FAAAAAgAh07iQEbkwPe3AQAATAMAAA4AAAAAAAAAAQAgAAAAKQEAAGRycy9lMm9Eb2MueG1sUEsF&#10;BgAAAAAGAAYAWQEAAFIFAAAAAA==&#10;">
          <v:path/>
          <v:fill on="f" focussize="0,0"/>
          <v:stroke on="f"/>
          <v:imagedata o:title=""/>
          <o:lock v:ext="edit" aspectratio="f"/>
          <v:textbox inset="0mm,0mm,0mm,0mm">
            <w:txbxContent>
              <w:p w14:paraId="0BA999B0">
                <w:pPr>
                  <w:pStyle w:val="12"/>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BBEA3">
    <w:pPr>
      <w:pStyle w:val="12"/>
      <w:kinsoku w:val="0"/>
      <w:overflowPunct w:val="0"/>
      <w:spacing w:line="14" w:lineRule="auto"/>
      <w:ind w:left="0"/>
      <w:rPr>
        <w:rFonts w:hint="default"/>
        <w:sz w:val="20"/>
        <w:szCs w:val="24"/>
      </w:rPr>
    </w:pPr>
    <w:r>
      <w:rPr>
        <w:rFonts w:hint="default"/>
        <w:sz w:val="21"/>
        <w:szCs w:val="24"/>
      </w:rPr>
      <w:pict>
        <v:shape id="_x0000_s1048" o:spid="_x0000_s1048" o:spt="202" type="#_x0000_t202" style="position:absolute;left:0pt;margin-top:0pt;height:11pt;width:13.15pt;mso-position-horizontal:center;mso-position-horizontal-relative:margin;z-index:25167155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sk/aNMAAAADAQAA&#10;DwAAAAAAAAABACAAAAAiAAAAZHJzL2Rvd25yZXYueG1sUEsBAhQAFAAAAAgAh07iQLGIflesAQAA&#10;QQMAAA4AAAAAAAAAAQAgAAAAIgEAAGRycy9lMm9Eb2MueG1sUEsFBgAAAAAGAAYAWQEAAEAFAAAA&#10;AA==&#10;">
          <v:path/>
          <v:fill on="f" focussize="0,0"/>
          <v:stroke on="f"/>
          <v:imagedata o:title=""/>
          <o:lock v:ext="edit" aspectratio="f"/>
          <v:textbox inset="0mm,0mm,0mm,0mm">
            <w:txbxContent>
              <w:p w14:paraId="4243A4AC">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E7A31">
    <w:pPr>
      <w:pStyle w:val="16"/>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0F92">
    <w:pPr>
      <w:pStyle w:val="16"/>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B3792">
    <w:pPr>
      <w:pStyle w:val="16"/>
      <w:rPr>
        <w:rFonts w:hint="default"/>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D1B45">
    <w:pPr>
      <w:pStyle w:val="16"/>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04D68">
    <w:pPr>
      <w:pStyle w:val="16"/>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0C3E">
    <w:pPr>
      <w:pStyle w:val="16"/>
      <w:rPr>
        <w:rFonts w:hint="default"/>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0BD40">
    <w:pPr>
      <w:pStyle w:val="16"/>
      <w:rPr>
        <w:rFonts w:hint="default"/>
        <w:sz w:val="18"/>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57893">
    <w:pPr>
      <w:pStyle w:val="16"/>
      <w:rPr>
        <w:rFonts w:hint="default"/>
        <w:sz w:val="18"/>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73210">
    <w:pPr>
      <w:pStyle w:val="16"/>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486A7"/>
    <w:multiLevelType w:val="singleLevel"/>
    <w:tmpl w:val="A94486A7"/>
    <w:lvl w:ilvl="0" w:tentative="0">
      <w:start w:val="5"/>
      <w:numFmt w:val="decimal"/>
      <w:suff w:val="space"/>
      <w:lvlText w:val="%1."/>
      <w:lvlJc w:val="left"/>
    </w:lvl>
  </w:abstractNum>
  <w:abstractNum w:abstractNumId="1">
    <w:nsid w:val="15F82AC0"/>
    <w:multiLevelType w:val="singleLevel"/>
    <w:tmpl w:val="15F82AC0"/>
    <w:lvl w:ilvl="0" w:tentative="0">
      <w:start w:val="6"/>
      <w:numFmt w:val="decimal"/>
      <w:suff w:val="nothing"/>
      <w:lvlText w:val="%1、"/>
      <w:lvlJc w:val="left"/>
    </w:lvl>
  </w:abstractNum>
  <w:abstractNum w:abstractNumId="2">
    <w:nsid w:val="6FAA44F7"/>
    <w:multiLevelType w:val="singleLevel"/>
    <w:tmpl w:val="6FAA44F7"/>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JhZDlmOWI0MzYzMWY0MzgwNDViOTJkZTYzNDk3NDMifQ=="/>
    <w:docVar w:name="KGWebUrl" w:val="http://oa.gdguangye.com:80/defaultroot/public/iWebOfficeSign/attachmentServer.jsp"/>
  </w:docVars>
  <w:rsids>
    <w:rsidRoot w:val="00172A27"/>
    <w:rsid w:val="00276E33"/>
    <w:rsid w:val="01514167"/>
    <w:rsid w:val="015F5C05"/>
    <w:rsid w:val="020F624B"/>
    <w:rsid w:val="02C866AB"/>
    <w:rsid w:val="03BD1133"/>
    <w:rsid w:val="03F1578E"/>
    <w:rsid w:val="04044C11"/>
    <w:rsid w:val="04590E88"/>
    <w:rsid w:val="046B19E4"/>
    <w:rsid w:val="04EC3C82"/>
    <w:rsid w:val="05092FAB"/>
    <w:rsid w:val="055A6E6C"/>
    <w:rsid w:val="05CD3FD8"/>
    <w:rsid w:val="05E57574"/>
    <w:rsid w:val="069408DC"/>
    <w:rsid w:val="06A56A3C"/>
    <w:rsid w:val="06AA3FCE"/>
    <w:rsid w:val="06D66EBD"/>
    <w:rsid w:val="06EE06AA"/>
    <w:rsid w:val="070204F3"/>
    <w:rsid w:val="072365A6"/>
    <w:rsid w:val="0768045D"/>
    <w:rsid w:val="077C680D"/>
    <w:rsid w:val="079D30DF"/>
    <w:rsid w:val="07CE3EF1"/>
    <w:rsid w:val="080820B6"/>
    <w:rsid w:val="08175819"/>
    <w:rsid w:val="08C473E5"/>
    <w:rsid w:val="09304AAA"/>
    <w:rsid w:val="09452310"/>
    <w:rsid w:val="09A6526C"/>
    <w:rsid w:val="09C27272"/>
    <w:rsid w:val="0A187F18"/>
    <w:rsid w:val="0A2C751F"/>
    <w:rsid w:val="0ACB6157"/>
    <w:rsid w:val="0B3643CE"/>
    <w:rsid w:val="0B451374"/>
    <w:rsid w:val="0B696845"/>
    <w:rsid w:val="0B8965E6"/>
    <w:rsid w:val="0BAB6B6A"/>
    <w:rsid w:val="0BDB744F"/>
    <w:rsid w:val="0C3734A4"/>
    <w:rsid w:val="0C997CA3"/>
    <w:rsid w:val="0CC6161D"/>
    <w:rsid w:val="0D3C216F"/>
    <w:rsid w:val="0D936C2A"/>
    <w:rsid w:val="0DA6583B"/>
    <w:rsid w:val="0DCB34F3"/>
    <w:rsid w:val="0E082052"/>
    <w:rsid w:val="0E3E6B64"/>
    <w:rsid w:val="0E6574A4"/>
    <w:rsid w:val="0EA55AF2"/>
    <w:rsid w:val="0EEC54CF"/>
    <w:rsid w:val="0EF83E74"/>
    <w:rsid w:val="0F276507"/>
    <w:rsid w:val="0F380715"/>
    <w:rsid w:val="0F763962"/>
    <w:rsid w:val="0FD0499B"/>
    <w:rsid w:val="0FD5030D"/>
    <w:rsid w:val="0FE75A98"/>
    <w:rsid w:val="0FF84697"/>
    <w:rsid w:val="101100FE"/>
    <w:rsid w:val="10C83D1A"/>
    <w:rsid w:val="11702C8D"/>
    <w:rsid w:val="118712CE"/>
    <w:rsid w:val="11AD7FAA"/>
    <w:rsid w:val="12916D88"/>
    <w:rsid w:val="12B41F81"/>
    <w:rsid w:val="12DC585B"/>
    <w:rsid w:val="12DE5A77"/>
    <w:rsid w:val="131908D3"/>
    <w:rsid w:val="133F37FB"/>
    <w:rsid w:val="136917E4"/>
    <w:rsid w:val="13795061"/>
    <w:rsid w:val="13EE3A98"/>
    <w:rsid w:val="13F75067"/>
    <w:rsid w:val="1489365C"/>
    <w:rsid w:val="14A01236"/>
    <w:rsid w:val="14AA3E63"/>
    <w:rsid w:val="14F11A91"/>
    <w:rsid w:val="15FA071C"/>
    <w:rsid w:val="16610B97"/>
    <w:rsid w:val="16DE4297"/>
    <w:rsid w:val="171952CF"/>
    <w:rsid w:val="17344377"/>
    <w:rsid w:val="178F0FE3"/>
    <w:rsid w:val="17A50C46"/>
    <w:rsid w:val="17F644FD"/>
    <w:rsid w:val="1811244B"/>
    <w:rsid w:val="183D0B4A"/>
    <w:rsid w:val="184711C8"/>
    <w:rsid w:val="186A4AF7"/>
    <w:rsid w:val="18702695"/>
    <w:rsid w:val="187237A6"/>
    <w:rsid w:val="18786026"/>
    <w:rsid w:val="189B1E31"/>
    <w:rsid w:val="190E24E6"/>
    <w:rsid w:val="198E61A1"/>
    <w:rsid w:val="19BE5CBA"/>
    <w:rsid w:val="1A0758B3"/>
    <w:rsid w:val="1A385A6D"/>
    <w:rsid w:val="1AE837D0"/>
    <w:rsid w:val="1AF776D6"/>
    <w:rsid w:val="1B4048C2"/>
    <w:rsid w:val="1BA51F41"/>
    <w:rsid w:val="1C00442F"/>
    <w:rsid w:val="1C0C0F5F"/>
    <w:rsid w:val="1C183DA8"/>
    <w:rsid w:val="1C197B20"/>
    <w:rsid w:val="1C387FA6"/>
    <w:rsid w:val="1CB049A6"/>
    <w:rsid w:val="1D2D73DF"/>
    <w:rsid w:val="1D6A0633"/>
    <w:rsid w:val="1D6F2CF3"/>
    <w:rsid w:val="1D8475BB"/>
    <w:rsid w:val="1D8B6EF6"/>
    <w:rsid w:val="1DD71A40"/>
    <w:rsid w:val="1E0F11DA"/>
    <w:rsid w:val="1E543091"/>
    <w:rsid w:val="1E62755C"/>
    <w:rsid w:val="1E782E0B"/>
    <w:rsid w:val="1E82371B"/>
    <w:rsid w:val="1EA77665"/>
    <w:rsid w:val="1EAE2913"/>
    <w:rsid w:val="1EAF2075"/>
    <w:rsid w:val="1ED0096A"/>
    <w:rsid w:val="1EDE1A0F"/>
    <w:rsid w:val="1F493040"/>
    <w:rsid w:val="1FB76ED1"/>
    <w:rsid w:val="1FD00FCA"/>
    <w:rsid w:val="1FD9384E"/>
    <w:rsid w:val="201C1ACB"/>
    <w:rsid w:val="208A0422"/>
    <w:rsid w:val="20B557D9"/>
    <w:rsid w:val="20CE3F4B"/>
    <w:rsid w:val="219534E9"/>
    <w:rsid w:val="219E4C9A"/>
    <w:rsid w:val="21A27D50"/>
    <w:rsid w:val="221729FA"/>
    <w:rsid w:val="228201CD"/>
    <w:rsid w:val="2338257F"/>
    <w:rsid w:val="2358717F"/>
    <w:rsid w:val="23D46BB1"/>
    <w:rsid w:val="23F23130"/>
    <w:rsid w:val="24766C5A"/>
    <w:rsid w:val="24DA1963"/>
    <w:rsid w:val="250000FA"/>
    <w:rsid w:val="25324F92"/>
    <w:rsid w:val="25553977"/>
    <w:rsid w:val="25A44C59"/>
    <w:rsid w:val="25B70D6E"/>
    <w:rsid w:val="26363369"/>
    <w:rsid w:val="267D5D2D"/>
    <w:rsid w:val="26A5092E"/>
    <w:rsid w:val="26CF6181"/>
    <w:rsid w:val="26EB3E67"/>
    <w:rsid w:val="276A122F"/>
    <w:rsid w:val="27BF157B"/>
    <w:rsid w:val="27CC5A46"/>
    <w:rsid w:val="284F6513"/>
    <w:rsid w:val="288B74C9"/>
    <w:rsid w:val="28E31299"/>
    <w:rsid w:val="297A1C74"/>
    <w:rsid w:val="29A869E2"/>
    <w:rsid w:val="29D81F05"/>
    <w:rsid w:val="29F32E8B"/>
    <w:rsid w:val="2A135BAE"/>
    <w:rsid w:val="2AA607D0"/>
    <w:rsid w:val="2B164EBE"/>
    <w:rsid w:val="2B2A0438"/>
    <w:rsid w:val="2B5311D0"/>
    <w:rsid w:val="2BD650E5"/>
    <w:rsid w:val="2BD80E5D"/>
    <w:rsid w:val="2BE35C1A"/>
    <w:rsid w:val="2BE710A1"/>
    <w:rsid w:val="2BF11F1F"/>
    <w:rsid w:val="2C2440A3"/>
    <w:rsid w:val="2CBA50A1"/>
    <w:rsid w:val="2CBC252D"/>
    <w:rsid w:val="2CE657FC"/>
    <w:rsid w:val="2D07305C"/>
    <w:rsid w:val="2D534B62"/>
    <w:rsid w:val="2D79212A"/>
    <w:rsid w:val="2DFC1ADD"/>
    <w:rsid w:val="2E4E5407"/>
    <w:rsid w:val="2E6508F1"/>
    <w:rsid w:val="2E8373F0"/>
    <w:rsid w:val="2E863CB5"/>
    <w:rsid w:val="2E9D3233"/>
    <w:rsid w:val="2EAD14DA"/>
    <w:rsid w:val="2F4A16AB"/>
    <w:rsid w:val="2F4A2072"/>
    <w:rsid w:val="2F7B592D"/>
    <w:rsid w:val="2F963495"/>
    <w:rsid w:val="2FA664BF"/>
    <w:rsid w:val="300375DA"/>
    <w:rsid w:val="304B42F4"/>
    <w:rsid w:val="305B3E0B"/>
    <w:rsid w:val="309C1079"/>
    <w:rsid w:val="31391C2B"/>
    <w:rsid w:val="319D4E24"/>
    <w:rsid w:val="32214D62"/>
    <w:rsid w:val="322B758E"/>
    <w:rsid w:val="324A2A66"/>
    <w:rsid w:val="32755658"/>
    <w:rsid w:val="32D57EA5"/>
    <w:rsid w:val="32FF13C6"/>
    <w:rsid w:val="330A7A80"/>
    <w:rsid w:val="33152997"/>
    <w:rsid w:val="334D2131"/>
    <w:rsid w:val="335D3323"/>
    <w:rsid w:val="33884F17"/>
    <w:rsid w:val="33932E31"/>
    <w:rsid w:val="33BE6B8B"/>
    <w:rsid w:val="3402116D"/>
    <w:rsid w:val="344572AC"/>
    <w:rsid w:val="3479104D"/>
    <w:rsid w:val="349655FD"/>
    <w:rsid w:val="34C74165"/>
    <w:rsid w:val="34E93C63"/>
    <w:rsid w:val="35054CFD"/>
    <w:rsid w:val="353F1F4D"/>
    <w:rsid w:val="359F479A"/>
    <w:rsid w:val="35BE2E72"/>
    <w:rsid w:val="36115F43"/>
    <w:rsid w:val="37090E2F"/>
    <w:rsid w:val="37164F30"/>
    <w:rsid w:val="37865B8C"/>
    <w:rsid w:val="37963E29"/>
    <w:rsid w:val="37F963E3"/>
    <w:rsid w:val="38650F93"/>
    <w:rsid w:val="3889092E"/>
    <w:rsid w:val="38B13296"/>
    <w:rsid w:val="38CD21B4"/>
    <w:rsid w:val="38E569EA"/>
    <w:rsid w:val="38F024E5"/>
    <w:rsid w:val="39037C61"/>
    <w:rsid w:val="390F7E89"/>
    <w:rsid w:val="39271051"/>
    <w:rsid w:val="394965ED"/>
    <w:rsid w:val="39750026"/>
    <w:rsid w:val="39A03D29"/>
    <w:rsid w:val="3A033549"/>
    <w:rsid w:val="3A491014"/>
    <w:rsid w:val="3A960DB6"/>
    <w:rsid w:val="3AE64F8C"/>
    <w:rsid w:val="3B156FEB"/>
    <w:rsid w:val="3B1D688D"/>
    <w:rsid w:val="3B4076B5"/>
    <w:rsid w:val="3B691AD2"/>
    <w:rsid w:val="3C3F0A85"/>
    <w:rsid w:val="3C4165AB"/>
    <w:rsid w:val="3CED228F"/>
    <w:rsid w:val="3DDF724A"/>
    <w:rsid w:val="3DF71617"/>
    <w:rsid w:val="3E1C085C"/>
    <w:rsid w:val="3E5E1696"/>
    <w:rsid w:val="3E630A5B"/>
    <w:rsid w:val="3E686071"/>
    <w:rsid w:val="3EB22B21"/>
    <w:rsid w:val="3EDE6333"/>
    <w:rsid w:val="3EFE23AC"/>
    <w:rsid w:val="3F572ACB"/>
    <w:rsid w:val="3F5E091C"/>
    <w:rsid w:val="3F665099"/>
    <w:rsid w:val="3FAC01DF"/>
    <w:rsid w:val="3FDF05B5"/>
    <w:rsid w:val="40A435AC"/>
    <w:rsid w:val="40EE65D6"/>
    <w:rsid w:val="41291F21"/>
    <w:rsid w:val="41AF2209"/>
    <w:rsid w:val="41DA54D8"/>
    <w:rsid w:val="420E4553"/>
    <w:rsid w:val="42177886"/>
    <w:rsid w:val="42332E3A"/>
    <w:rsid w:val="42383FAC"/>
    <w:rsid w:val="4303280C"/>
    <w:rsid w:val="435979DC"/>
    <w:rsid w:val="43AC4C52"/>
    <w:rsid w:val="43F55D05"/>
    <w:rsid w:val="448B4FD5"/>
    <w:rsid w:val="455E3D2A"/>
    <w:rsid w:val="4570443A"/>
    <w:rsid w:val="45C64D7A"/>
    <w:rsid w:val="464B69A4"/>
    <w:rsid w:val="46607F75"/>
    <w:rsid w:val="469A3487"/>
    <w:rsid w:val="474D04FA"/>
    <w:rsid w:val="475950F1"/>
    <w:rsid w:val="476B4E24"/>
    <w:rsid w:val="479568D6"/>
    <w:rsid w:val="47B67BBB"/>
    <w:rsid w:val="483E4653"/>
    <w:rsid w:val="489C6820"/>
    <w:rsid w:val="48CE566A"/>
    <w:rsid w:val="492125A0"/>
    <w:rsid w:val="49247828"/>
    <w:rsid w:val="49695393"/>
    <w:rsid w:val="498F7DE0"/>
    <w:rsid w:val="499742F3"/>
    <w:rsid w:val="49B852B5"/>
    <w:rsid w:val="4A742A58"/>
    <w:rsid w:val="4A930987"/>
    <w:rsid w:val="4AB1638A"/>
    <w:rsid w:val="4AD351BA"/>
    <w:rsid w:val="4B3519D1"/>
    <w:rsid w:val="4B3E45F3"/>
    <w:rsid w:val="4BF70A34"/>
    <w:rsid w:val="4C3103EA"/>
    <w:rsid w:val="4C455C43"/>
    <w:rsid w:val="4C7C718B"/>
    <w:rsid w:val="4C7D1B92"/>
    <w:rsid w:val="4CC70E29"/>
    <w:rsid w:val="4D0369F0"/>
    <w:rsid w:val="4D145493"/>
    <w:rsid w:val="4D2747B6"/>
    <w:rsid w:val="4D3B2BA3"/>
    <w:rsid w:val="4D477799"/>
    <w:rsid w:val="4D903A6C"/>
    <w:rsid w:val="4DC952A5"/>
    <w:rsid w:val="4DE35714"/>
    <w:rsid w:val="4E3B5550"/>
    <w:rsid w:val="4E5C7274"/>
    <w:rsid w:val="4E5F17A4"/>
    <w:rsid w:val="4E7D7917"/>
    <w:rsid w:val="4E9725C3"/>
    <w:rsid w:val="4EC56BC8"/>
    <w:rsid w:val="4EE31744"/>
    <w:rsid w:val="4EFB2BEE"/>
    <w:rsid w:val="4F2F6737"/>
    <w:rsid w:val="4F880BCA"/>
    <w:rsid w:val="4FBA3E49"/>
    <w:rsid w:val="4FF27D91"/>
    <w:rsid w:val="50033E4B"/>
    <w:rsid w:val="503629D0"/>
    <w:rsid w:val="508F3931"/>
    <w:rsid w:val="50A2703E"/>
    <w:rsid w:val="50B138A7"/>
    <w:rsid w:val="50F97720"/>
    <w:rsid w:val="515801C7"/>
    <w:rsid w:val="51842D6A"/>
    <w:rsid w:val="51A72EFC"/>
    <w:rsid w:val="5223443E"/>
    <w:rsid w:val="522C3C23"/>
    <w:rsid w:val="52420700"/>
    <w:rsid w:val="524F15CA"/>
    <w:rsid w:val="52741030"/>
    <w:rsid w:val="528C4CEA"/>
    <w:rsid w:val="52A929CD"/>
    <w:rsid w:val="52CA29FF"/>
    <w:rsid w:val="530733CB"/>
    <w:rsid w:val="5325173A"/>
    <w:rsid w:val="53490C19"/>
    <w:rsid w:val="53876B42"/>
    <w:rsid w:val="539B1E41"/>
    <w:rsid w:val="53B06098"/>
    <w:rsid w:val="53BF452D"/>
    <w:rsid w:val="53EF77F2"/>
    <w:rsid w:val="54014B46"/>
    <w:rsid w:val="541D1254"/>
    <w:rsid w:val="54A379AB"/>
    <w:rsid w:val="54DA0EF3"/>
    <w:rsid w:val="5503044A"/>
    <w:rsid w:val="55096426"/>
    <w:rsid w:val="551E1C63"/>
    <w:rsid w:val="5572737D"/>
    <w:rsid w:val="55764114"/>
    <w:rsid w:val="55AE4859"/>
    <w:rsid w:val="55F54236"/>
    <w:rsid w:val="5606010F"/>
    <w:rsid w:val="567A0BDF"/>
    <w:rsid w:val="567B5594"/>
    <w:rsid w:val="56D26326"/>
    <w:rsid w:val="56E542AB"/>
    <w:rsid w:val="576C7C19"/>
    <w:rsid w:val="57BF2D4E"/>
    <w:rsid w:val="57DB3900"/>
    <w:rsid w:val="57E70337"/>
    <w:rsid w:val="57F57E9E"/>
    <w:rsid w:val="584E7C2E"/>
    <w:rsid w:val="58705DF6"/>
    <w:rsid w:val="589A2E73"/>
    <w:rsid w:val="58B924B0"/>
    <w:rsid w:val="58C919AA"/>
    <w:rsid w:val="58DD0FB2"/>
    <w:rsid w:val="58E533AC"/>
    <w:rsid w:val="58FC1D80"/>
    <w:rsid w:val="5943169D"/>
    <w:rsid w:val="594352B9"/>
    <w:rsid w:val="594C6863"/>
    <w:rsid w:val="598A738C"/>
    <w:rsid w:val="5A6C6A91"/>
    <w:rsid w:val="5AA61FA3"/>
    <w:rsid w:val="5AD703AE"/>
    <w:rsid w:val="5B6B2616"/>
    <w:rsid w:val="5BC87A9B"/>
    <w:rsid w:val="5C814A76"/>
    <w:rsid w:val="5C9127DF"/>
    <w:rsid w:val="5CB64B87"/>
    <w:rsid w:val="5CBD35D4"/>
    <w:rsid w:val="5E1753DB"/>
    <w:rsid w:val="5E5F5BD7"/>
    <w:rsid w:val="5F2E2120"/>
    <w:rsid w:val="5F3202A9"/>
    <w:rsid w:val="5F5F42A8"/>
    <w:rsid w:val="5F685A79"/>
    <w:rsid w:val="5F6952E1"/>
    <w:rsid w:val="5FA647F3"/>
    <w:rsid w:val="600F2399"/>
    <w:rsid w:val="606F1089"/>
    <w:rsid w:val="60820DBC"/>
    <w:rsid w:val="60A73D51"/>
    <w:rsid w:val="60A76A75"/>
    <w:rsid w:val="611F2AAF"/>
    <w:rsid w:val="61AB53ED"/>
    <w:rsid w:val="61C3168D"/>
    <w:rsid w:val="61EA613C"/>
    <w:rsid w:val="627A3766"/>
    <w:rsid w:val="628726BA"/>
    <w:rsid w:val="62AB097F"/>
    <w:rsid w:val="62C12D55"/>
    <w:rsid w:val="63927568"/>
    <w:rsid w:val="63B64325"/>
    <w:rsid w:val="63DB2CB0"/>
    <w:rsid w:val="64025D70"/>
    <w:rsid w:val="64F8164D"/>
    <w:rsid w:val="654A3E4B"/>
    <w:rsid w:val="65A672FB"/>
    <w:rsid w:val="65BB05DE"/>
    <w:rsid w:val="65BD1A8A"/>
    <w:rsid w:val="65D2410F"/>
    <w:rsid w:val="65D76672"/>
    <w:rsid w:val="6692162D"/>
    <w:rsid w:val="66A6332B"/>
    <w:rsid w:val="66CA3897"/>
    <w:rsid w:val="67006EDF"/>
    <w:rsid w:val="670E0D55"/>
    <w:rsid w:val="673D6DBF"/>
    <w:rsid w:val="677D432C"/>
    <w:rsid w:val="67BD7B8A"/>
    <w:rsid w:val="68210EBB"/>
    <w:rsid w:val="68356714"/>
    <w:rsid w:val="684336DD"/>
    <w:rsid w:val="68646FFA"/>
    <w:rsid w:val="68B910F3"/>
    <w:rsid w:val="690C30DA"/>
    <w:rsid w:val="695A0B28"/>
    <w:rsid w:val="69825989"/>
    <w:rsid w:val="69B47845"/>
    <w:rsid w:val="69FC0B0F"/>
    <w:rsid w:val="6A973F27"/>
    <w:rsid w:val="6AC8299D"/>
    <w:rsid w:val="6B106FC5"/>
    <w:rsid w:val="6B3B04E6"/>
    <w:rsid w:val="6B6322FE"/>
    <w:rsid w:val="6B8F649C"/>
    <w:rsid w:val="6B9876E6"/>
    <w:rsid w:val="6CFA617E"/>
    <w:rsid w:val="6E0F4DD7"/>
    <w:rsid w:val="6E4544A3"/>
    <w:rsid w:val="6E681000"/>
    <w:rsid w:val="6F1F3C7A"/>
    <w:rsid w:val="6F585C48"/>
    <w:rsid w:val="6F593630"/>
    <w:rsid w:val="6F745D74"/>
    <w:rsid w:val="6FB6545E"/>
    <w:rsid w:val="6FD74555"/>
    <w:rsid w:val="6FDC5A0F"/>
    <w:rsid w:val="6FE949B4"/>
    <w:rsid w:val="702B37BF"/>
    <w:rsid w:val="706246EE"/>
    <w:rsid w:val="7099044B"/>
    <w:rsid w:val="70CA2B57"/>
    <w:rsid w:val="70EC301A"/>
    <w:rsid w:val="71186BD3"/>
    <w:rsid w:val="71597917"/>
    <w:rsid w:val="71BD2468"/>
    <w:rsid w:val="71F87130"/>
    <w:rsid w:val="725B321B"/>
    <w:rsid w:val="72850298"/>
    <w:rsid w:val="728E35F1"/>
    <w:rsid w:val="72952BD1"/>
    <w:rsid w:val="729606F7"/>
    <w:rsid w:val="72B312A9"/>
    <w:rsid w:val="731A0445"/>
    <w:rsid w:val="731E0F50"/>
    <w:rsid w:val="73261A7B"/>
    <w:rsid w:val="73D533F9"/>
    <w:rsid w:val="74373814"/>
    <w:rsid w:val="74600FBD"/>
    <w:rsid w:val="7491561A"/>
    <w:rsid w:val="74F171B7"/>
    <w:rsid w:val="757635DC"/>
    <w:rsid w:val="75894F1D"/>
    <w:rsid w:val="765B3F2D"/>
    <w:rsid w:val="76683B99"/>
    <w:rsid w:val="76A25114"/>
    <w:rsid w:val="76BD44A5"/>
    <w:rsid w:val="7711659E"/>
    <w:rsid w:val="77563D2B"/>
    <w:rsid w:val="779C230C"/>
    <w:rsid w:val="77A2369A"/>
    <w:rsid w:val="77B2720B"/>
    <w:rsid w:val="77F34C42"/>
    <w:rsid w:val="780A196C"/>
    <w:rsid w:val="7811525D"/>
    <w:rsid w:val="7838546B"/>
    <w:rsid w:val="784210E3"/>
    <w:rsid w:val="784A620C"/>
    <w:rsid w:val="78C20C10"/>
    <w:rsid w:val="792611B8"/>
    <w:rsid w:val="796C624D"/>
    <w:rsid w:val="797057FE"/>
    <w:rsid w:val="799C7523"/>
    <w:rsid w:val="79B01C1D"/>
    <w:rsid w:val="79B17C0E"/>
    <w:rsid w:val="79BF259A"/>
    <w:rsid w:val="7A5A0ACB"/>
    <w:rsid w:val="7A862E00"/>
    <w:rsid w:val="7B4927AB"/>
    <w:rsid w:val="7B62561B"/>
    <w:rsid w:val="7B7D06A6"/>
    <w:rsid w:val="7B8A5777"/>
    <w:rsid w:val="7C1A5229"/>
    <w:rsid w:val="7C413482"/>
    <w:rsid w:val="7C7D70EF"/>
    <w:rsid w:val="7CCB599F"/>
    <w:rsid w:val="7D1876CA"/>
    <w:rsid w:val="7D225061"/>
    <w:rsid w:val="7D2333DD"/>
    <w:rsid w:val="7D3C35EE"/>
    <w:rsid w:val="7D4B3C28"/>
    <w:rsid w:val="7D6C6800"/>
    <w:rsid w:val="7D951CD7"/>
    <w:rsid w:val="7DCE4049"/>
    <w:rsid w:val="7E584AB3"/>
    <w:rsid w:val="7E7E09BD"/>
    <w:rsid w:val="7E8D2B2E"/>
    <w:rsid w:val="7EA47CF8"/>
    <w:rsid w:val="7EFC18E2"/>
    <w:rsid w:val="7F5C05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4">
    <w:name w:val="heading 2"/>
    <w:basedOn w:val="1"/>
    <w:next w:val="1"/>
    <w:link w:val="36"/>
    <w:unhideWhenUsed/>
    <w:qFormat/>
    <w:uiPriority w:val="1"/>
    <w:pPr>
      <w:ind w:left="3"/>
      <w:jc w:val="center"/>
      <w:outlineLvl w:val="1"/>
    </w:pPr>
    <w:rPr>
      <w:rFonts w:hint="default" w:ascii="宋体" w:hAnsi="宋体" w:eastAsia="宋体"/>
      <w:sz w:val="30"/>
      <w:szCs w:val="24"/>
    </w:rPr>
  </w:style>
  <w:style w:type="paragraph" w:styleId="5">
    <w:name w:val="heading 3"/>
    <w:basedOn w:val="1"/>
    <w:next w:val="1"/>
    <w:link w:val="28"/>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6">
    <w:name w:val="heading 4"/>
    <w:basedOn w:val="1"/>
    <w:next w:val="1"/>
    <w:unhideWhenUsed/>
    <w:qFormat/>
    <w:uiPriority w:val="1"/>
    <w:pPr>
      <w:outlineLvl w:val="3"/>
    </w:pPr>
    <w:rPr>
      <w:rFonts w:hint="default" w:ascii="宋体" w:hAnsi="宋体" w:eastAsia="宋体"/>
      <w:sz w:val="28"/>
      <w:szCs w:val="24"/>
    </w:rPr>
  </w:style>
  <w:style w:type="paragraph" w:styleId="7">
    <w:name w:val="heading 5"/>
    <w:basedOn w:val="1"/>
    <w:next w:val="1"/>
    <w:unhideWhenUsed/>
    <w:qFormat/>
    <w:uiPriority w:val="1"/>
    <w:pPr>
      <w:ind w:left="237"/>
      <w:outlineLvl w:val="4"/>
    </w:pPr>
    <w:rPr>
      <w:rFonts w:hint="default" w:ascii="宋体" w:hAnsi="宋体" w:eastAsia="宋体"/>
      <w:sz w:val="28"/>
      <w:szCs w:val="24"/>
    </w:rPr>
  </w:style>
  <w:style w:type="paragraph" w:styleId="8">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4">
    <w:name w:val="Default Paragraph Font"/>
    <w:unhideWhenUsed/>
    <w:qFormat/>
    <w:uiPriority w:val="99"/>
    <w:rPr>
      <w:rFonts w:hint="default"/>
      <w:sz w:val="24"/>
      <w:szCs w:val="24"/>
    </w:rPr>
  </w:style>
  <w:style w:type="table" w:default="1" w:styleId="22">
    <w:name w:val="Normal Table"/>
    <w:qFormat/>
    <w:uiPriority w:val="0"/>
    <w:tblPr>
      <w:tblCellMar>
        <w:top w:w="0" w:type="dxa"/>
        <w:left w:w="108" w:type="dxa"/>
        <w:bottom w:w="0" w:type="dxa"/>
        <w:right w:w="108" w:type="dxa"/>
      </w:tblCellMar>
    </w:tblPr>
  </w:style>
  <w:style w:type="paragraph" w:customStyle="1" w:styleId="2">
    <w:name w:val="Plain Text1"/>
    <w:basedOn w:val="1"/>
    <w:qFormat/>
    <w:uiPriority w:val="0"/>
    <w:rPr>
      <w:rFonts w:ascii="Courier New" w:hAnsi="Courier New" w:eastAsia="楷体_GB2312"/>
    </w:rPr>
  </w:style>
  <w:style w:type="paragraph" w:styleId="9">
    <w:name w:val="Normal Indent"/>
    <w:basedOn w:val="1"/>
    <w:next w:val="1"/>
    <w:qFormat/>
    <w:uiPriority w:val="0"/>
    <w:pPr>
      <w:ind w:firstLine="420" w:firstLineChars="200"/>
    </w:pPr>
  </w:style>
  <w:style w:type="paragraph" w:styleId="10">
    <w:name w:val="annotation text"/>
    <w:basedOn w:val="1"/>
    <w:unhideWhenUsed/>
    <w:qFormat/>
    <w:uiPriority w:val="99"/>
    <w:pPr>
      <w:jc w:val="left"/>
    </w:pPr>
  </w:style>
  <w:style w:type="paragraph" w:styleId="11">
    <w:name w:val="Body Text 3"/>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2">
    <w:name w:val="Body Text"/>
    <w:basedOn w:val="1"/>
    <w:next w:val="1"/>
    <w:unhideWhenUsed/>
    <w:qFormat/>
    <w:uiPriority w:val="1"/>
    <w:pPr>
      <w:ind w:left="520"/>
    </w:pPr>
    <w:rPr>
      <w:rFonts w:hint="default" w:ascii="宋体" w:hAnsi="宋体" w:eastAsia="宋体"/>
      <w:sz w:val="21"/>
      <w:szCs w:val="24"/>
    </w:rPr>
  </w:style>
  <w:style w:type="paragraph" w:styleId="13">
    <w:name w:val="toc 3"/>
    <w:basedOn w:val="1"/>
    <w:next w:val="1"/>
    <w:qFormat/>
    <w:uiPriority w:val="99"/>
    <w:pPr>
      <w:ind w:left="840" w:leftChars="400"/>
    </w:pPr>
  </w:style>
  <w:style w:type="paragraph" w:styleId="14">
    <w:name w:val="Plain Text"/>
    <w:basedOn w:val="1"/>
    <w:unhideWhenUsed/>
    <w:qFormat/>
    <w:uiPriority w:val="0"/>
    <w:rPr>
      <w:rFonts w:hint="default" w:ascii="宋体" w:hAnsi="Courier New" w:eastAsia="宋体"/>
      <w:sz w:val="24"/>
      <w:szCs w:val="24"/>
    </w:rPr>
  </w:style>
  <w:style w:type="paragraph" w:styleId="15">
    <w:name w:val="footer"/>
    <w:basedOn w:val="1"/>
    <w:unhideWhenUsed/>
    <w:qFormat/>
    <w:uiPriority w:val="99"/>
    <w:pPr>
      <w:tabs>
        <w:tab w:val="center" w:pos="4153"/>
        <w:tab w:val="right" w:pos="8306"/>
      </w:tabs>
      <w:snapToGrid w:val="0"/>
    </w:pPr>
    <w:rPr>
      <w:rFonts w:hint="default"/>
      <w:sz w:val="18"/>
      <w:szCs w:val="24"/>
    </w:rPr>
  </w:style>
  <w:style w:type="paragraph" w:styleId="16">
    <w:name w:val="header"/>
    <w:basedOn w:val="1"/>
    <w:unhideWhenUsed/>
    <w:qFormat/>
    <w:uiPriority w:val="99"/>
    <w:pPr>
      <w:tabs>
        <w:tab w:val="center" w:pos="4153"/>
        <w:tab w:val="right" w:pos="8306"/>
      </w:tabs>
      <w:snapToGrid w:val="0"/>
      <w:jc w:val="both"/>
    </w:pPr>
    <w:rPr>
      <w:rFonts w:hint="default"/>
      <w:sz w:val="18"/>
      <w:szCs w:val="24"/>
    </w:rPr>
  </w:style>
  <w:style w:type="paragraph" w:styleId="17">
    <w:name w:val="toc 1"/>
    <w:basedOn w:val="1"/>
    <w:next w:val="1"/>
    <w:qFormat/>
    <w:uiPriority w:val="99"/>
  </w:style>
  <w:style w:type="paragraph" w:styleId="18">
    <w:name w:val="toc 2"/>
    <w:basedOn w:val="1"/>
    <w:next w:val="1"/>
    <w:qFormat/>
    <w:uiPriority w:val="99"/>
    <w:pPr>
      <w:ind w:left="420" w:leftChars="200"/>
    </w:pPr>
  </w:style>
  <w:style w:type="paragraph" w:styleId="19">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20">
    <w:name w:val="Body Text First Indent"/>
    <w:basedOn w:val="12"/>
    <w:unhideWhenUsed/>
    <w:qFormat/>
    <w:uiPriority w:val="0"/>
    <w:pPr>
      <w:ind w:firstLine="420"/>
    </w:pPr>
    <w:rPr>
      <w:rFonts w:hint="eastAsia" w:ascii="Times New Roman" w:hAnsi="Times New Roman" w:eastAsia="楷体_GB2312"/>
      <w:sz w:val="20"/>
      <w:szCs w:val="24"/>
    </w:rPr>
  </w:style>
  <w:style w:type="paragraph" w:styleId="21">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5">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6">
    <w:name w:val="正文缩进1"/>
    <w:basedOn w:val="27"/>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27">
    <w:name w:val="正文1"/>
    <w:basedOn w:val="1"/>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28">
    <w:name w:val="标题 3 Char"/>
    <w:link w:val="5"/>
    <w:unhideWhenUsed/>
    <w:qFormat/>
    <w:uiPriority w:val="1"/>
    <w:rPr>
      <w:rFonts w:hint="default" w:ascii="宋体" w:hAnsi="宋体" w:eastAsia="宋体"/>
      <w:b/>
      <w:sz w:val="24"/>
      <w:szCs w:val="24"/>
    </w:rPr>
  </w:style>
  <w:style w:type="paragraph" w:customStyle="1" w:styleId="29">
    <w:name w:val="Table Paragraph"/>
    <w:basedOn w:val="1"/>
    <w:unhideWhenUsed/>
    <w:qFormat/>
    <w:uiPriority w:val="1"/>
    <w:rPr>
      <w:rFonts w:hint="default"/>
      <w:sz w:val="24"/>
      <w:szCs w:val="24"/>
    </w:rPr>
  </w:style>
  <w:style w:type="paragraph" w:customStyle="1" w:styleId="30">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1">
    <w:name w:val="p0"/>
    <w:basedOn w:val="1"/>
    <w:unhideWhenUsed/>
    <w:qFormat/>
    <w:uiPriority w:val="0"/>
    <w:pPr>
      <w:widowControl/>
      <w:spacing w:before="75" w:after="75"/>
    </w:pPr>
    <w:rPr>
      <w:rFonts w:hint="default" w:ascii="宋体" w:hAnsi="宋体" w:eastAsia="宋体" w:cs="宋体"/>
      <w:sz w:val="24"/>
      <w:szCs w:val="24"/>
    </w:rPr>
  </w:style>
  <w:style w:type="paragraph" w:customStyle="1" w:styleId="32">
    <w:name w:val="List Paragraph"/>
    <w:basedOn w:val="1"/>
    <w:unhideWhenUsed/>
    <w:qFormat/>
    <w:uiPriority w:val="1"/>
    <w:rPr>
      <w:rFonts w:hint="default"/>
      <w:sz w:val="24"/>
      <w:szCs w:val="24"/>
    </w:rPr>
  </w:style>
  <w:style w:type="paragraph" w:customStyle="1" w:styleId="33">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4">
    <w:name w:val="样式 宋体 行距: 1.5 倍行距"/>
    <w:basedOn w:val="1"/>
    <w:unhideWhenUsed/>
    <w:qFormat/>
    <w:uiPriority w:val="0"/>
    <w:pPr>
      <w:jc w:val="center"/>
    </w:pPr>
    <w:rPr>
      <w:rFonts w:hint="default"/>
      <w:b/>
      <w:sz w:val="24"/>
      <w:szCs w:val="24"/>
    </w:rPr>
  </w:style>
  <w:style w:type="paragraph" w:customStyle="1" w:styleId="35">
    <w:name w:val="发文落款"/>
    <w:basedOn w:val="30"/>
    <w:unhideWhenUsed/>
    <w:qFormat/>
    <w:uiPriority w:val="99"/>
    <w:pPr>
      <w:ind w:left="4094" w:right="607" w:firstLine="0"/>
      <w:jc w:val="center"/>
    </w:pPr>
    <w:rPr>
      <w:rFonts w:hint="eastAsia" w:cs="仿宋_GB2312"/>
      <w:sz w:val="32"/>
      <w:szCs w:val="32"/>
    </w:rPr>
  </w:style>
  <w:style w:type="character" w:customStyle="1" w:styleId="36">
    <w:name w:val="标题 2 Char"/>
    <w:link w:val="4"/>
    <w:unhideWhenUsed/>
    <w:qFormat/>
    <w:uiPriority w:val="1"/>
    <w:rPr>
      <w:rFonts w:hint="default" w:ascii="宋体" w:hAnsi="宋体" w:eastAsia="宋体"/>
      <w:b/>
      <w:sz w:val="30"/>
      <w:szCs w:val="24"/>
    </w:rPr>
  </w:style>
  <w:style w:type="character" w:customStyle="1" w:styleId="37">
    <w:name w:val="NormalCharacter"/>
    <w:unhideWhenUsed/>
    <w:qFormat/>
    <w:uiPriority w:val="0"/>
    <w:rPr>
      <w:rFonts w:hint="default"/>
      <w:sz w:val="24"/>
      <w:szCs w:val="24"/>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 w:type="paragraph" w:customStyle="1" w:styleId="41">
    <w:name w:val="Table Text"/>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0"/>
    <customShpInfo spid="_x0000_s1038"/>
    <customShpInfo spid="_x0000_s1039"/>
    <customShpInfo spid="_x0000_s1041"/>
    <customShpInfo spid="_x0000_s1046"/>
    <customShpInfo spid="_x0000_s1047"/>
    <customShpInfo spid="_x0000_s1043"/>
    <customShpInfo spid="_x0000_s1044"/>
    <customShpInfo spid="_x0000_s1045"/>
    <customShpInfo spid="_x0000_s1048"/>
    <customShpInfo spid="_x0000_s1049"/>
    <customShpInfo spid="_x0000_s1042"/>
    <customShpInfo spid="_x0000_s1050"/>
    <customShpInfo spid="_x0000_s1033"/>
    <customShpInfo spid="_x0000_s2056"/>
    <customShpInfo spid="_x0000_s2057"/>
    <customShpInfo spid="_x0000_s2055"/>
    <customShpInfo spid="_x0000_s2058"/>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16795</Words>
  <Characters>17903</Characters>
  <TotalTime>20</TotalTime>
  <ScaleCrop>false</ScaleCrop>
  <LinksUpToDate>false</LinksUpToDate>
  <CharactersWithSpaces>18324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NTKO</cp:lastModifiedBy>
  <dcterms:modified xsi:type="dcterms:W3CDTF">2025-06-09T08:52:30Z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8C2E9D4210804E848E41B6E0CD8CB95B_13</vt:lpwstr>
  </property>
  <property fmtid="{D5CDD505-2E9C-101B-9397-08002B2CF9AE}" pid="4" name="KSOTemplateDocerSaveRecord">
    <vt:lpwstr>eyJoZGlkIjoiMDY5NmFjMmM4ZTljMGJiZDAxN2JmYTc0NGI0NmFiNDgiLCJ1c2VySWQiOiIyMjc1NjUwMDcifQ==</vt:lpwstr>
  </property>
</Properties>
</file>