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beforeLines="100" w:after="240" w:afterLines="100" w:line="360" w:lineRule="auto"/>
        <w:jc w:val="center"/>
        <w:outlineLvl w:val="1"/>
        <w:rPr>
          <w:rFonts w:hint="eastAsia" w:ascii="宋体" w:hAnsi="宋体" w:eastAsia="宋体" w:cs="宋体"/>
          <w:color w:val="auto"/>
          <w:sz w:val="28"/>
          <w:szCs w:val="28"/>
          <w:highlight w:val="none"/>
        </w:rPr>
      </w:pPr>
      <w:bookmarkStart w:id="0" w:name="_Toc20583"/>
      <w:bookmarkStart w:id="1" w:name="_Toc9116"/>
      <w:r>
        <w:rPr>
          <w:rFonts w:hint="eastAsia" w:ascii="宋体" w:hAnsi="宋体" w:eastAsia="宋体" w:cs="宋体"/>
          <w:b/>
          <w:bCs/>
          <w:color w:val="auto"/>
          <w:sz w:val="28"/>
          <w:szCs w:val="28"/>
          <w:highlight w:val="none"/>
          <w:lang w:eastAsia="zh-CN"/>
        </w:rPr>
        <w:t>广清产业园2021年市政道路完善工程</w:t>
      </w:r>
      <w:r>
        <w:rPr>
          <w:rFonts w:hint="eastAsia" w:ascii="宋体" w:hAnsi="宋体" w:eastAsia="宋体" w:cs="宋体"/>
          <w:b/>
          <w:bCs/>
          <w:color w:val="auto"/>
          <w:sz w:val="28"/>
          <w:szCs w:val="28"/>
          <w:highlight w:val="none"/>
        </w:rPr>
        <w:t>监理公开招标公告</w:t>
      </w:r>
      <w:bookmarkEnd w:id="0"/>
      <w:bookmarkEnd w:id="1"/>
    </w:p>
    <w:p>
      <w:pPr>
        <w:spacing w:line="360" w:lineRule="auto"/>
        <w:ind w:firstLine="480" w:firstLineChars="200"/>
        <w:rPr>
          <w:rFonts w:hint="eastAsia" w:ascii="宋体" w:hAnsi="宋体"/>
          <w:szCs w:val="24"/>
          <w:highlight w:val="none"/>
        </w:rPr>
      </w:pPr>
      <w:r>
        <w:rPr>
          <w:rFonts w:hint="eastAsia" w:ascii="宋体" w:hAnsi="宋体" w:eastAsia="宋体" w:cs="宋体"/>
          <w:sz w:val="24"/>
          <w:szCs w:val="24"/>
          <w:u w:val="none"/>
        </w:rPr>
        <w:t>广清产业园2021年市政道路完善工程项目已由广清发改批【202</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号文批准建设，资金来源由财政出资，招标人为广州（清远）产业转移工业园财政投资项目管理中心。经批准，该项目监理采用公开招标方式。项目已</w:t>
      </w:r>
      <w:r>
        <w:rPr>
          <w:rFonts w:hint="eastAsia" w:ascii="宋体" w:hAnsi="宋体" w:eastAsia="宋体" w:cs="宋体"/>
          <w:sz w:val="24"/>
          <w:szCs w:val="24"/>
        </w:rPr>
        <w:t>具备招标条</w:t>
      </w:r>
      <w:r>
        <w:rPr>
          <w:rFonts w:hint="eastAsia" w:ascii="宋体" w:hAnsi="宋体" w:eastAsia="宋体" w:cs="宋体"/>
          <w:sz w:val="24"/>
          <w:szCs w:val="24"/>
          <w:highlight w:val="none"/>
        </w:rPr>
        <w:t>件，现对广清产业园2021年市政道路完善工程监理进行公开招标，选定承包人。</w:t>
      </w:r>
    </w:p>
    <w:p>
      <w:pPr>
        <w:numPr>
          <w:ilvl w:val="0"/>
          <w:numId w:val="1"/>
        </w:numPr>
        <w:tabs>
          <w:tab w:val="left" w:pos="1134"/>
        </w:tabs>
        <w:adjustRightInd w:val="0"/>
        <w:snapToGrid w:val="0"/>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rPr>
        <w:t>工</w:t>
      </w:r>
      <w:r>
        <w:rPr>
          <w:rFonts w:hint="eastAsia" w:ascii="宋体" w:hAnsi="宋体" w:eastAsia="宋体" w:cs="宋体"/>
          <w:sz w:val="24"/>
          <w:szCs w:val="24"/>
          <w:highlight w:val="none"/>
          <w:u w:val="none"/>
        </w:rPr>
        <w:t>程名称：广清产业园2021年市政道路完善工程监理</w:t>
      </w:r>
    </w:p>
    <w:p>
      <w:pPr>
        <w:adjustRightInd w:val="0"/>
        <w:snapToGrid w:val="0"/>
        <w:spacing w:line="360" w:lineRule="auto"/>
        <w:ind w:firstLine="1156" w:firstLineChars="482"/>
        <w:rPr>
          <w:rFonts w:hint="default" w:ascii="宋体" w:hAnsi="宋体" w:eastAsia="宋体" w:cs="宋体"/>
          <w:color w:val="auto"/>
          <w:sz w:val="24"/>
          <w:szCs w:val="24"/>
          <w:highlight w:val="none"/>
          <w:u w:val="none"/>
          <w:lang w:val="en-US" w:eastAsia="zh-CN"/>
        </w:rPr>
      </w:pPr>
      <w:r>
        <w:rPr>
          <w:rFonts w:hint="eastAsia" w:ascii="宋体" w:hAnsi="宋体" w:eastAsia="宋体" w:cs="宋体"/>
          <w:sz w:val="24"/>
          <w:szCs w:val="24"/>
          <w:highlight w:val="none"/>
          <w:u w:val="none"/>
        </w:rPr>
        <w:t>项目代码：</w:t>
      </w: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rPr>
        <w:t>2-441800-04-01-</w:t>
      </w:r>
      <w:r>
        <w:rPr>
          <w:rFonts w:hint="eastAsia" w:ascii="宋体" w:hAnsi="宋体" w:eastAsia="宋体" w:cs="宋体"/>
          <w:color w:val="auto"/>
          <w:sz w:val="24"/>
          <w:szCs w:val="24"/>
          <w:highlight w:val="none"/>
          <w:u w:val="none"/>
          <w:lang w:val="en-US" w:eastAsia="zh-CN"/>
        </w:rPr>
        <w:t>127193</w:t>
      </w:r>
    </w:p>
    <w:p>
      <w:pPr>
        <w:numPr>
          <w:ilvl w:val="0"/>
          <w:numId w:val="1"/>
        </w:numPr>
        <w:tabs>
          <w:tab w:val="left" w:pos="1134"/>
        </w:tabs>
        <w:adjustRightInd w:val="0"/>
        <w:snapToGrid w:val="0"/>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招标单位：广州（清远）产业转移工业园财政投资项目管理中心</w:t>
      </w:r>
    </w:p>
    <w:p>
      <w:pPr>
        <w:adjustRightInd w:val="0"/>
        <w:snapToGrid w:val="0"/>
        <w:spacing w:line="360" w:lineRule="auto"/>
        <w:ind w:left="854" w:leftChars="208" w:hanging="417" w:hangingChars="174"/>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联系人：韦先生</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联系电话：</w:t>
      </w:r>
      <w:r>
        <w:rPr>
          <w:rFonts w:ascii="宋体" w:hAnsi="宋体" w:eastAsia="宋体" w:cs="宋体"/>
          <w:sz w:val="24"/>
          <w:szCs w:val="24"/>
          <w:highlight w:val="none"/>
          <w:u w:val="none"/>
        </w:rPr>
        <w:t>0763-6979803</w:t>
      </w:r>
    </w:p>
    <w:p>
      <w:pPr>
        <w:adjustRightInd w:val="0"/>
        <w:snapToGrid w:val="0"/>
        <w:spacing w:line="360" w:lineRule="auto"/>
        <w:ind w:left="854" w:leftChars="208" w:hanging="417" w:hangingChars="174"/>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地址：广东省清远市清城区石角镇广清产业园广州路1号</w:t>
      </w:r>
    </w:p>
    <w:p>
      <w:pPr>
        <w:adjustRightInd w:val="0"/>
        <w:snapToGrid w:val="0"/>
        <w:spacing w:line="360" w:lineRule="auto"/>
        <w:ind w:left="854" w:leftChars="208" w:hanging="417" w:hangingChars="174"/>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招标代理机构：广东</w:t>
      </w:r>
      <w:r>
        <w:rPr>
          <w:rFonts w:hint="eastAsia" w:ascii="宋体" w:hAnsi="宋体" w:eastAsia="宋体" w:cs="宋体"/>
          <w:sz w:val="24"/>
          <w:szCs w:val="24"/>
          <w:highlight w:val="none"/>
          <w:u w:val="none"/>
          <w:lang w:val="en-US" w:eastAsia="zh-CN"/>
        </w:rPr>
        <w:t>恒讯工程顾问</w:t>
      </w:r>
      <w:r>
        <w:rPr>
          <w:rFonts w:hint="eastAsia" w:ascii="宋体" w:hAnsi="宋体" w:eastAsia="宋体" w:cs="宋体"/>
          <w:sz w:val="24"/>
          <w:szCs w:val="24"/>
          <w:highlight w:val="none"/>
          <w:u w:val="none"/>
        </w:rPr>
        <w:t>有限公司</w:t>
      </w:r>
    </w:p>
    <w:p>
      <w:pPr>
        <w:adjustRightInd w:val="0"/>
        <w:snapToGrid w:val="0"/>
        <w:spacing w:line="360" w:lineRule="auto"/>
        <w:ind w:left="854" w:leftChars="208" w:hanging="417" w:hangingChars="174"/>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联系人：</w:t>
      </w:r>
      <w:r>
        <w:rPr>
          <w:rFonts w:hint="eastAsia" w:ascii="宋体" w:hAnsi="宋体" w:eastAsia="宋体" w:cs="宋体"/>
          <w:sz w:val="24"/>
          <w:szCs w:val="24"/>
          <w:highlight w:val="none"/>
          <w:u w:val="none"/>
          <w:lang w:val="en-US" w:eastAsia="zh-CN"/>
        </w:rPr>
        <w:t>王</w:t>
      </w:r>
      <w:r>
        <w:rPr>
          <w:rFonts w:hint="eastAsia" w:ascii="宋体" w:hAnsi="宋体" w:eastAsia="宋体" w:cs="宋体"/>
          <w:sz w:val="24"/>
          <w:szCs w:val="24"/>
          <w:highlight w:val="none"/>
          <w:u w:val="none"/>
        </w:rPr>
        <w:t>小姐</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联系电话：0763-</w:t>
      </w:r>
      <w:r>
        <w:rPr>
          <w:rFonts w:hint="eastAsia" w:ascii="宋体" w:hAnsi="宋体" w:eastAsia="宋体" w:cs="宋体"/>
          <w:sz w:val="24"/>
          <w:szCs w:val="24"/>
          <w:highlight w:val="none"/>
          <w:u w:val="none"/>
          <w:lang w:val="en-US" w:eastAsia="zh-CN"/>
        </w:rPr>
        <w:t>3365556</w:t>
      </w:r>
    </w:p>
    <w:p>
      <w:pPr>
        <w:adjustRightInd w:val="0"/>
        <w:snapToGrid w:val="0"/>
        <w:spacing w:line="360" w:lineRule="auto"/>
        <w:ind w:left="854" w:leftChars="208" w:hanging="417" w:hangingChars="174"/>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地址：清远市新城银泉南路瑞清花园东门斜对面二楼</w:t>
      </w:r>
    </w:p>
    <w:p>
      <w:pPr>
        <w:adjustRightInd w:val="0"/>
        <w:snapToGrid w:val="0"/>
        <w:spacing w:line="360" w:lineRule="auto"/>
        <w:ind w:left="854" w:leftChars="208" w:hanging="417" w:hangingChars="174"/>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招标监督机构：广州（清远）产业转移工业园建设和环境保护局</w:t>
      </w:r>
    </w:p>
    <w:p>
      <w:pPr>
        <w:adjustRightInd w:val="0"/>
        <w:snapToGrid w:val="0"/>
        <w:spacing w:line="360" w:lineRule="auto"/>
        <w:ind w:left="854" w:leftChars="208" w:hanging="417" w:hangingChars="174"/>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投诉电话：</w:t>
      </w:r>
      <w:r>
        <w:rPr>
          <w:rFonts w:ascii="宋体" w:hAnsi="宋体" w:eastAsia="宋体" w:cs="宋体"/>
          <w:sz w:val="24"/>
          <w:szCs w:val="24"/>
          <w:highlight w:val="none"/>
          <w:u w:val="none"/>
        </w:rPr>
        <w:t>0763-6979891</w:t>
      </w:r>
    </w:p>
    <w:p>
      <w:pPr>
        <w:numPr>
          <w:ilvl w:val="0"/>
          <w:numId w:val="1"/>
        </w:numPr>
        <w:tabs>
          <w:tab w:val="left" w:pos="1134"/>
        </w:tabs>
        <w:adjustRightInd w:val="0"/>
        <w:snapToGrid w:val="0"/>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建设地点：广清产业园起步区东南部</w:t>
      </w:r>
    </w:p>
    <w:p>
      <w:pPr>
        <w:numPr>
          <w:ilvl w:val="0"/>
          <w:numId w:val="1"/>
        </w:numPr>
        <w:tabs>
          <w:tab w:val="left" w:pos="1134"/>
        </w:tabs>
        <w:adjustRightInd w:val="0"/>
        <w:snapToGrid w:val="0"/>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本工程总投资：</w:t>
      </w:r>
    </w:p>
    <w:p>
      <w:pPr>
        <w:tabs>
          <w:tab w:val="left" w:pos="1134"/>
        </w:tabs>
        <w:adjustRightInd w:val="0"/>
        <w:snapToGrid w:val="0"/>
        <w:spacing w:line="360" w:lineRule="auto"/>
        <w:ind w:firstLine="496" w:firstLineChars="200"/>
        <w:rPr>
          <w:rFonts w:hint="eastAsia" w:ascii="宋体" w:hAnsi="宋体" w:eastAsia="宋体" w:cs="宋体"/>
          <w:sz w:val="24"/>
          <w:szCs w:val="24"/>
          <w:highlight w:val="none"/>
          <w:u w:val="none"/>
        </w:rPr>
      </w:pPr>
      <w:r>
        <w:rPr>
          <w:rFonts w:hint="eastAsia" w:ascii="宋体" w:hAnsi="宋体" w:eastAsia="宋体" w:cs="宋体"/>
          <w:snapToGrid w:val="0"/>
          <w:spacing w:val="4"/>
          <w:sz w:val="24"/>
          <w:szCs w:val="24"/>
          <w:highlight w:val="none"/>
          <w:u w:val="none"/>
          <w:lang w:val="en-US" w:eastAsia="zh-CN"/>
        </w:rPr>
        <w:t>本</w:t>
      </w:r>
      <w:r>
        <w:rPr>
          <w:rFonts w:hint="eastAsia" w:ascii="宋体" w:hAnsi="宋体" w:eastAsia="宋体" w:cs="宋体"/>
          <w:snapToGrid w:val="0"/>
          <w:spacing w:val="4"/>
          <w:sz w:val="24"/>
          <w:szCs w:val="24"/>
          <w:highlight w:val="none"/>
          <w:u w:val="none"/>
        </w:rPr>
        <w:t>项目估算</w:t>
      </w:r>
      <w:r>
        <w:rPr>
          <w:rFonts w:hint="eastAsia" w:ascii="宋体" w:hAnsi="宋体" w:eastAsia="宋体" w:cs="宋体"/>
          <w:snapToGrid w:val="0"/>
          <w:spacing w:val="4"/>
          <w:sz w:val="24"/>
          <w:szCs w:val="24"/>
          <w:highlight w:val="none"/>
          <w:u w:val="none"/>
          <w:lang w:val="en-US" w:eastAsia="zh-CN"/>
        </w:rPr>
        <w:t>总</w:t>
      </w:r>
      <w:r>
        <w:rPr>
          <w:rFonts w:hint="eastAsia" w:ascii="宋体" w:hAnsi="宋体" w:eastAsia="宋体" w:cs="宋体"/>
          <w:snapToGrid w:val="0"/>
          <w:spacing w:val="4"/>
          <w:sz w:val="24"/>
          <w:szCs w:val="24"/>
          <w:highlight w:val="none"/>
          <w:u w:val="none"/>
        </w:rPr>
        <w:t>投资8613.56万元，其中工程费6681.91万元，建设工程其他费1148.60万元，预备费783.05万元。</w:t>
      </w:r>
    </w:p>
    <w:p>
      <w:pPr>
        <w:numPr>
          <w:ilvl w:val="0"/>
          <w:numId w:val="1"/>
        </w:numPr>
        <w:tabs>
          <w:tab w:val="left" w:pos="1134"/>
        </w:tabs>
        <w:adjustRightInd w:val="0"/>
        <w:snapToGrid w:val="0"/>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项目概况：</w:t>
      </w:r>
    </w:p>
    <w:p>
      <w:pPr>
        <w:adjustRightInd w:val="0"/>
        <w:snapToGrid w:val="0"/>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本项目包括4条市政道路，具体规模如下：</w:t>
      </w:r>
    </w:p>
    <w:p>
      <w:pPr>
        <w:adjustRightInd w:val="0"/>
        <w:snapToGrid w:val="0"/>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(一)智汇路为东西走向，西起致远路，东至兴园路，为双向三车道，道路红线宽度20m</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全长0.26km</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设计车速为30km/h。</w:t>
      </w:r>
    </w:p>
    <w:p>
      <w:pPr>
        <w:adjustRightInd w:val="0"/>
        <w:snapToGrid w:val="0"/>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(二)清风路为东西走向，起于一号路北延线，全长1.05km</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道路红线宽15m</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道路等级为城市支路，双向两车道，设计速度为30km/h</w:t>
      </w:r>
      <w:r>
        <w:rPr>
          <w:rFonts w:hint="eastAsia" w:ascii="宋体" w:hAnsi="宋体" w:eastAsia="宋体" w:cs="宋体"/>
          <w:sz w:val="24"/>
          <w:szCs w:val="24"/>
          <w:highlight w:val="none"/>
          <w:u w:val="none"/>
          <w:lang w:eastAsia="zh-CN"/>
        </w:rPr>
        <w:t>；</w:t>
      </w:r>
    </w:p>
    <w:p>
      <w:pPr>
        <w:adjustRightInd w:val="0"/>
        <w:snapToGrid w:val="0"/>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(三)致远路为南北走向，起于华清产业大道，全长1.32km</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道路红线宽15m</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道路等级为城市支路，双向两车道，设计速度为30km/h</w:t>
      </w:r>
      <w:r>
        <w:rPr>
          <w:rFonts w:hint="eastAsia" w:ascii="宋体" w:hAnsi="宋体" w:eastAsia="宋体" w:cs="宋体"/>
          <w:sz w:val="24"/>
          <w:szCs w:val="24"/>
          <w:highlight w:val="none"/>
          <w:u w:val="none"/>
          <w:lang w:eastAsia="zh-CN"/>
        </w:rPr>
        <w:t>；</w:t>
      </w:r>
    </w:p>
    <w:p>
      <w:pPr>
        <w:adjustRightInd w:val="0"/>
        <w:snapToGrid w:val="0"/>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(四)兴园路为南北走向，起于华清产业大道</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设计终点与智汇路相交，全长1.1km</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其中K0+015.5~K0+622 段红线宽30m</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道路等级为城市次干道，双向四车道，设计速度为 40km/h</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K0+691~K1+110.37 段红线宽20m</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道路等级为城市支路，双向三车道</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设计速度为30km/h。</w:t>
      </w:r>
    </w:p>
    <w:p>
      <w:pPr>
        <w:adjustRightInd w:val="0"/>
        <w:snapToGrid w:val="0"/>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sz w:val="24"/>
          <w:szCs w:val="24"/>
          <w:highlight w:val="none"/>
          <w:u w:val="none"/>
        </w:rPr>
        <w:t>本项目为复建工程，其中智汇路为新建道路，其余道路施工未完成部分项目内容包括：道路工程、排水工</w:t>
      </w:r>
      <w:r>
        <w:rPr>
          <w:rFonts w:hint="eastAsia" w:ascii="宋体" w:hAnsi="宋体" w:eastAsia="宋体" w:cs="宋体"/>
          <w:color w:val="auto"/>
          <w:sz w:val="24"/>
          <w:szCs w:val="24"/>
          <w:highlight w:val="none"/>
          <w:u w:val="none"/>
        </w:rPr>
        <w:t>程、给水工程、交通工程、照明工程、绿化工程等。</w:t>
      </w:r>
    </w:p>
    <w:p>
      <w:pPr>
        <w:numPr>
          <w:ilvl w:val="0"/>
          <w:numId w:val="1"/>
        </w:numPr>
        <w:tabs>
          <w:tab w:val="left" w:pos="1134"/>
        </w:tabs>
        <w:adjustRightInd w:val="0"/>
        <w:snapToGri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本工程招标金额：暂定为147.60万元（以概算审定建安费6335.33万元</w:t>
      </w:r>
      <w:r>
        <w:rPr>
          <w:rFonts w:hint="eastAsia" w:ascii="宋体" w:hAnsi="宋体" w:eastAsia="宋体" w:cs="宋体"/>
          <w:color w:val="auto"/>
          <w:sz w:val="24"/>
          <w:szCs w:val="24"/>
          <w:highlight w:val="none"/>
          <w:u w:val="none"/>
          <w:lang w:val="en-US" w:eastAsia="zh-CN"/>
        </w:rPr>
        <w:t>为</w:t>
      </w:r>
      <w:r>
        <w:rPr>
          <w:rFonts w:hint="eastAsia" w:ascii="宋体" w:hAnsi="宋体" w:eastAsia="宋体" w:cs="宋体"/>
          <w:color w:val="auto"/>
          <w:sz w:val="24"/>
          <w:szCs w:val="24"/>
          <w:highlight w:val="none"/>
          <w:u w:val="none"/>
        </w:rPr>
        <w:t>计费基数）。</w:t>
      </w:r>
    </w:p>
    <w:p>
      <w:pPr>
        <w:numPr>
          <w:ilvl w:val="0"/>
          <w:numId w:val="1"/>
        </w:numPr>
        <w:tabs>
          <w:tab w:val="left" w:pos="1134"/>
        </w:tabs>
        <w:adjustRightInd w:val="0"/>
        <w:snapToGri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资金来源：财政出资。</w:t>
      </w:r>
    </w:p>
    <w:p>
      <w:pPr>
        <w:numPr>
          <w:ilvl w:val="0"/>
          <w:numId w:val="1"/>
        </w:numPr>
        <w:tabs>
          <w:tab w:val="left" w:pos="1134"/>
        </w:tabs>
        <w:adjustRightInd w:val="0"/>
        <w:snapToGrid w:val="0"/>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标段划分及各标段招标内容、监理范围：</w:t>
      </w:r>
    </w:p>
    <w:p>
      <w:pPr>
        <w:adjustRightInd w:val="0"/>
        <w:snapToGrid w:val="0"/>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1、标段划分：1个标段</w:t>
      </w:r>
    </w:p>
    <w:p>
      <w:pPr>
        <w:adjustRightInd w:val="0"/>
        <w:snapToGrid w:val="0"/>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2、招标内容：本项目包括4条市政道路，具体规模如下：</w:t>
      </w:r>
    </w:p>
    <w:p>
      <w:pPr>
        <w:adjustRightInd w:val="0"/>
        <w:snapToGrid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(一)智汇路为东西走向，西起致远路，东至兴园路，为双向三车道，道路红线宽度20m</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全长0.26km</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设计车速为30km/h。</w:t>
      </w:r>
    </w:p>
    <w:p>
      <w:pPr>
        <w:adjustRightInd w:val="0"/>
        <w:snapToGrid w:val="0"/>
        <w:spacing w:line="360" w:lineRule="auto"/>
        <w:ind w:firstLine="480" w:firstLineChars="200"/>
        <w:rPr>
          <w:rFonts w:hint="eastAsia" w:ascii="宋体" w:hAnsi="宋体" w:eastAsia="宋体" w:cs="宋体"/>
          <w:sz w:val="24"/>
          <w:szCs w:val="24"/>
          <w:u w:val="none"/>
          <w:lang w:eastAsia="zh-CN"/>
        </w:rPr>
      </w:pPr>
      <w:r>
        <w:rPr>
          <w:rFonts w:hint="eastAsia" w:ascii="宋体" w:hAnsi="宋体" w:eastAsia="宋体" w:cs="宋体"/>
          <w:sz w:val="24"/>
          <w:szCs w:val="24"/>
          <w:u w:val="none"/>
        </w:rPr>
        <w:t>(二)清风路为东西走向，起于一号路北延线，全长1.05km</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道路红线宽15m</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道路等级为城市支路，双向两车道，设计速度为30km/h</w:t>
      </w:r>
      <w:r>
        <w:rPr>
          <w:rFonts w:hint="eastAsia" w:ascii="宋体" w:hAnsi="宋体" w:eastAsia="宋体" w:cs="宋体"/>
          <w:sz w:val="24"/>
          <w:szCs w:val="24"/>
          <w:u w:val="none"/>
          <w:lang w:eastAsia="zh-CN"/>
        </w:rPr>
        <w:t>；</w:t>
      </w:r>
    </w:p>
    <w:p>
      <w:pPr>
        <w:adjustRightInd w:val="0"/>
        <w:snapToGrid w:val="0"/>
        <w:spacing w:line="360" w:lineRule="auto"/>
        <w:ind w:firstLine="480" w:firstLineChars="200"/>
        <w:rPr>
          <w:rFonts w:hint="eastAsia" w:ascii="宋体" w:hAnsi="宋体" w:eastAsia="宋体" w:cs="宋体"/>
          <w:sz w:val="24"/>
          <w:szCs w:val="24"/>
          <w:u w:val="none"/>
          <w:lang w:eastAsia="zh-CN"/>
        </w:rPr>
      </w:pPr>
      <w:r>
        <w:rPr>
          <w:rFonts w:hint="eastAsia" w:ascii="宋体" w:hAnsi="宋体" w:eastAsia="宋体" w:cs="宋体"/>
          <w:sz w:val="24"/>
          <w:szCs w:val="24"/>
          <w:u w:val="none"/>
        </w:rPr>
        <w:t>(三)致远路为南北走向，起于华清产业大道，全长1.32km</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道路红线宽15m,道路等级为城市支路，双向两车道，设计速度为30km/h</w:t>
      </w:r>
      <w:r>
        <w:rPr>
          <w:rFonts w:hint="eastAsia" w:ascii="宋体" w:hAnsi="宋体" w:eastAsia="宋体" w:cs="宋体"/>
          <w:sz w:val="24"/>
          <w:szCs w:val="24"/>
          <w:u w:val="none"/>
          <w:lang w:eastAsia="zh-CN"/>
        </w:rPr>
        <w:t>；</w:t>
      </w:r>
    </w:p>
    <w:p>
      <w:pPr>
        <w:adjustRightInd w:val="0"/>
        <w:snapToGrid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(四)兴园路为南北走向，起于华清产业大道</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设计终点与智汇路相交，全长1.1km</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其中K0+015.5~K0+622 段红线宽30m</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道路等级为城市次干道，双向四车道，设计速度为 40km/h</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K0+691~K1+110.37 段红线宽20m</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道路等级为城市支路，双向三车道</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设计速度为30km/h。</w:t>
      </w:r>
    </w:p>
    <w:p>
      <w:pPr>
        <w:adjustRightInd w:val="0"/>
        <w:snapToGrid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本项目为复建工程，其中智汇路为新建道路，其余道路施工未完成部分项目内容包括： 道路工程、排水工程、给水工程、交通工程、照明工程、绿化工程等。</w:t>
      </w: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3、监理范围：</w:t>
      </w:r>
      <w:r>
        <w:rPr>
          <w:rFonts w:hint="eastAsia" w:ascii="宋体" w:hAnsi="宋体" w:eastAsia="宋体"/>
          <w:sz w:val="24"/>
          <w:szCs w:val="24"/>
          <w:u w:val="none"/>
        </w:rPr>
        <w:t>工程的施工准备阶段、施工阶段、工程收尾阶段（包括但</w:t>
      </w:r>
      <w:r>
        <w:rPr>
          <w:rFonts w:hint="eastAsia" w:ascii="宋体" w:hAnsi="宋体" w:eastAsia="宋体"/>
          <w:sz w:val="24"/>
          <w:szCs w:val="24"/>
          <w:u w:val="single"/>
        </w:rPr>
        <w:t>不限于竣工验收、整改、工程移交、工程结算等）及工程质量保修阶段的监理服务</w:t>
      </w:r>
      <w:r>
        <w:rPr>
          <w:rFonts w:hint="eastAsia" w:ascii="宋体" w:hAnsi="宋体" w:eastAsia="宋体"/>
          <w:sz w:val="24"/>
          <w:szCs w:val="24"/>
        </w:rPr>
        <w:t>。</w:t>
      </w:r>
    </w:p>
    <w:p>
      <w:pPr>
        <w:numPr>
          <w:ilvl w:val="0"/>
          <w:numId w:val="1"/>
        </w:numPr>
        <w:tabs>
          <w:tab w:val="left" w:pos="1134"/>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发布招标公告、投标人提问时间、投标截止时间、开标时间等：</w:t>
      </w:r>
    </w:p>
    <w:p>
      <w:pPr>
        <w:adjustRightInd w:val="0"/>
        <w:snapToGrid w:val="0"/>
        <w:spacing w:line="360" w:lineRule="auto"/>
        <w:ind w:firstLine="480" w:firstLineChars="200"/>
        <w:rPr>
          <w:rFonts w:hint="eastAsia" w:ascii="宋体" w:hAnsi="宋体" w:eastAsia="宋体" w:cs="宋体"/>
          <w:b/>
          <w:bCs/>
          <w:strike/>
          <w:sz w:val="24"/>
          <w:szCs w:val="24"/>
        </w:rPr>
      </w:pPr>
      <w:r>
        <w:rPr>
          <w:rFonts w:hint="eastAsia" w:ascii="宋体" w:hAnsi="宋体" w:eastAsia="宋体" w:cs="宋体"/>
          <w:sz w:val="24"/>
          <w:szCs w:val="24"/>
        </w:rPr>
        <w:t>详见广州公共资源交易中心（http://www.gzggzy.cn/）“日程安排”。</w:t>
      </w:r>
    </w:p>
    <w:p>
      <w:pPr>
        <w:numPr>
          <w:ilvl w:val="0"/>
          <w:numId w:val="1"/>
        </w:numPr>
        <w:tabs>
          <w:tab w:val="left" w:pos="1134"/>
        </w:tabs>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招标文件的获取、投标文件递交</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1、本项目实行广州公共资源交易中心</w:t>
      </w:r>
      <w:r>
        <w:rPr>
          <w:rFonts w:hint="eastAsia" w:ascii="宋体" w:hAnsi="宋体" w:eastAsia="宋体" w:cs="宋体"/>
          <w:b/>
          <w:bCs/>
          <w:color w:val="auto"/>
          <w:sz w:val="24"/>
          <w:szCs w:val="24"/>
        </w:rPr>
        <w:t>网上投标登记（即网上登记）</w:t>
      </w:r>
      <w:r>
        <w:rPr>
          <w:rFonts w:hint="eastAsia" w:ascii="宋体" w:hAnsi="宋体" w:eastAsia="宋体" w:cs="宋体"/>
          <w:color w:val="auto"/>
          <w:sz w:val="24"/>
          <w:szCs w:val="24"/>
        </w:rPr>
        <w:t>，不接受现场投标登记（网上投标登记操作流程详见广州公共资源交易中心网站发布的最新版操作指引）。投标人自行登录广州公共资源交易中心网下载招标文件及相关资料。投标人须在投标截止时间前完成网上投标登记手续，逾期不受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、本项目采用</w:t>
      </w:r>
      <w:r>
        <w:rPr>
          <w:rFonts w:hint="eastAsia" w:ascii="宋体" w:hAnsi="宋体" w:eastAsia="宋体" w:cs="宋体"/>
          <w:b/>
          <w:bCs/>
          <w:sz w:val="24"/>
          <w:szCs w:val="24"/>
        </w:rPr>
        <w:t>递交纸质投标文件</w:t>
      </w:r>
      <w:r>
        <w:rPr>
          <w:rFonts w:hint="eastAsia" w:ascii="宋体" w:hAnsi="宋体" w:eastAsia="宋体" w:cs="宋体"/>
          <w:sz w:val="24"/>
          <w:szCs w:val="24"/>
        </w:rPr>
        <w:t>方式，投标人须递交纸质版投标文件一正四副。逾期送达的、未送达指定地点的、不按照招标文件要求密封的投标文件，将予以拒收。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、开标地点、开标时间详见广州公共资源交易中心（http://www.gzggzy.cn/）“日程安排”。</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投标人登记前需在广州公共资源交易中心完成企业信息登记。未完成企业信息登记的单位，请在本项目投标登记前，到广州公共资源交易中心完成企业信息登记，详细说明见广州公共资源交易网（www.gzggzy.cn）公告，否则由此造成的登记延误，由投标人自行承担。</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5</w:t>
      </w:r>
      <w:r>
        <w:rPr>
          <w:rFonts w:hint="eastAsia" w:ascii="宋体" w:hAnsi="宋体" w:eastAsia="宋体" w:cs="宋体"/>
          <w:color w:val="auto"/>
          <w:sz w:val="24"/>
          <w:szCs w:val="24"/>
        </w:rPr>
        <w:t>、招标、投标活动需要遵守相关部门的防疫有关规定，确保经办人员、参加投标活动人员的身体健康状况符合新冠肺炎疫情防控要求。如出现经办人员、参加投标活动人员身体健康状况不达标（如体温异常或不带口罩等），造成投标不成功，责任</w:t>
      </w:r>
      <w:r>
        <w:rPr>
          <w:rFonts w:hint="eastAsia" w:ascii="宋体" w:hAnsi="宋体" w:eastAsia="宋体" w:cs="宋体"/>
          <w:color w:val="auto"/>
          <w:sz w:val="24"/>
          <w:szCs w:val="24"/>
          <w:lang w:val="en-US" w:eastAsia="zh-CN"/>
        </w:rPr>
        <w:t>投标人自行承担</w:t>
      </w:r>
      <w:r>
        <w:rPr>
          <w:rFonts w:hint="eastAsia" w:ascii="宋体" w:hAnsi="宋体" w:eastAsia="宋体" w:cs="宋体"/>
          <w:color w:val="auto"/>
          <w:sz w:val="24"/>
          <w:szCs w:val="24"/>
        </w:rPr>
        <w:t>。详情可登陆广州公共资源交易中心网站（网址：http://www.gzzb.gd.cn/）查询</w:t>
      </w:r>
      <w:r>
        <w:rPr>
          <w:rFonts w:hint="eastAsia" w:ascii="宋体" w:hAnsi="宋体" w:eastAsia="宋体" w:cs="宋体"/>
          <w:color w:val="auto"/>
          <w:sz w:val="24"/>
          <w:szCs w:val="24"/>
          <w:lang w:val="en-US" w:eastAsia="zh-CN"/>
        </w:rPr>
        <w:t>有关</w:t>
      </w:r>
      <w:r>
        <w:rPr>
          <w:rFonts w:hint="eastAsia" w:ascii="宋体" w:hAnsi="宋体" w:eastAsia="宋体" w:cs="宋体"/>
          <w:color w:val="auto"/>
          <w:sz w:val="24"/>
          <w:szCs w:val="24"/>
        </w:rPr>
        <w:t>落实广州市疫情防控政策的</w:t>
      </w:r>
      <w:r>
        <w:rPr>
          <w:rFonts w:hint="eastAsia" w:ascii="宋体" w:hAnsi="宋体" w:eastAsia="宋体" w:cs="宋体"/>
          <w:color w:val="auto"/>
          <w:sz w:val="24"/>
          <w:szCs w:val="24"/>
          <w:lang w:val="en-US" w:eastAsia="zh-CN"/>
        </w:rPr>
        <w:t>最新</w:t>
      </w:r>
      <w:r>
        <w:rPr>
          <w:rFonts w:hint="eastAsia" w:ascii="宋体" w:hAnsi="宋体" w:eastAsia="宋体" w:cs="宋体"/>
          <w:color w:val="auto"/>
          <w:sz w:val="24"/>
          <w:szCs w:val="24"/>
        </w:rPr>
        <w:t>通知。</w:t>
      </w:r>
    </w:p>
    <w:p>
      <w:pPr>
        <w:numPr>
          <w:ilvl w:val="0"/>
          <w:numId w:val="1"/>
        </w:numPr>
        <w:tabs>
          <w:tab w:val="left" w:pos="1134"/>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投标人合格条件：</w:t>
      </w:r>
    </w:p>
    <w:p>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投标人参加投标的意思表达清楚，投标人代表被授权有效。</w:t>
      </w:r>
    </w:p>
    <w:p>
      <w:pPr>
        <w:numPr>
          <w:ilvl w:val="0"/>
          <w:numId w:val="2"/>
        </w:numPr>
        <w:tabs>
          <w:tab w:val="left" w:pos="0"/>
          <w:tab w:val="clear" w:pos="795"/>
        </w:tabs>
        <w:adjustRightInd w:val="0"/>
        <w:snapToGrid w:val="0"/>
        <w:spacing w:line="360" w:lineRule="auto"/>
        <w:rPr>
          <w:rFonts w:hint="eastAsia" w:ascii="宋体" w:hAnsi="宋体" w:eastAsia="宋体" w:cs="宋体"/>
          <w:color w:val="auto"/>
          <w:sz w:val="24"/>
          <w:szCs w:val="24"/>
          <w:highlight w:val="none"/>
          <w:u w:val="none"/>
        </w:rPr>
      </w:pPr>
      <w:r>
        <w:rPr>
          <w:rFonts w:hint="eastAsia" w:ascii="宋体" w:hAnsi="宋体" w:eastAsia="宋体" w:cs="宋体"/>
          <w:sz w:val="24"/>
          <w:szCs w:val="24"/>
        </w:rPr>
        <w:t>投</w:t>
      </w:r>
      <w:r>
        <w:rPr>
          <w:rFonts w:hint="eastAsia" w:ascii="宋体" w:hAnsi="宋体" w:eastAsia="宋体" w:cs="宋体"/>
          <w:sz w:val="24"/>
          <w:szCs w:val="24"/>
          <w:u w:val="none"/>
        </w:rPr>
        <w:t>标人均</w:t>
      </w:r>
      <w:r>
        <w:rPr>
          <w:rFonts w:hint="eastAsia" w:ascii="宋体" w:hAnsi="宋体" w:eastAsia="宋体" w:cs="宋体"/>
          <w:sz w:val="24"/>
          <w:szCs w:val="24"/>
          <w:highlight w:val="none"/>
          <w:u w:val="none"/>
        </w:rPr>
        <w:t>具有</w:t>
      </w:r>
      <w:r>
        <w:rPr>
          <w:rFonts w:hint="eastAsia" w:ascii="宋体" w:hAnsi="宋体" w:eastAsia="宋体" w:cs="宋体"/>
          <w:color w:val="auto"/>
          <w:sz w:val="24"/>
          <w:szCs w:val="24"/>
          <w:highlight w:val="none"/>
          <w:u w:val="none"/>
        </w:rPr>
        <w:t>独立法人资格，按国家法律经营。</w:t>
      </w:r>
    </w:p>
    <w:p>
      <w:pPr>
        <w:adjustRightInd w:val="0"/>
        <w:snapToGrid w:val="0"/>
        <w:spacing w:line="360" w:lineRule="auto"/>
        <w:ind w:firstLine="434" w:firstLineChars="181"/>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3、投标人具有承接本工程所需的</w:t>
      </w:r>
      <w:bookmarkStart w:id="2" w:name="OLE_LINK8"/>
      <w:r>
        <w:rPr>
          <w:rFonts w:hint="eastAsia" w:ascii="宋体" w:hAnsi="宋体" w:eastAsia="宋体"/>
          <w:color w:val="auto"/>
          <w:sz w:val="24"/>
          <w:szCs w:val="24"/>
          <w:highlight w:val="none"/>
          <w:u w:val="none"/>
        </w:rPr>
        <w:t>建设行政主管部门颁发的监理综合资质或市政公用工程监理</w:t>
      </w:r>
      <w:bookmarkEnd w:id="2"/>
      <w:r>
        <w:rPr>
          <w:rFonts w:hint="eastAsia" w:ascii="宋体" w:hAnsi="宋体" w:eastAsia="宋体"/>
          <w:color w:val="auto"/>
          <w:sz w:val="24"/>
          <w:szCs w:val="24"/>
          <w:highlight w:val="none"/>
          <w:u w:val="none"/>
          <w:lang w:val="en-US" w:eastAsia="zh-CN"/>
        </w:rPr>
        <w:t>乙</w:t>
      </w:r>
      <w:r>
        <w:rPr>
          <w:rFonts w:hint="eastAsia" w:ascii="宋体" w:hAnsi="宋体" w:eastAsia="宋体"/>
          <w:color w:val="auto"/>
          <w:sz w:val="24"/>
          <w:szCs w:val="24"/>
          <w:highlight w:val="none"/>
          <w:u w:val="none"/>
        </w:rPr>
        <w:t>级</w:t>
      </w:r>
      <w:r>
        <w:rPr>
          <w:rFonts w:hint="eastAsia" w:ascii="宋体" w:hAnsi="宋体" w:eastAsia="宋体"/>
          <w:color w:val="auto"/>
          <w:sz w:val="24"/>
          <w:szCs w:val="24"/>
          <w:highlight w:val="none"/>
          <w:u w:val="none"/>
          <w:lang w:eastAsia="zh-CN"/>
        </w:rPr>
        <w:t>（</w:t>
      </w:r>
      <w:r>
        <w:rPr>
          <w:rFonts w:hint="eastAsia" w:ascii="宋体" w:hAnsi="宋体" w:eastAsia="宋体"/>
          <w:color w:val="auto"/>
          <w:sz w:val="24"/>
          <w:szCs w:val="24"/>
          <w:highlight w:val="none"/>
          <w:u w:val="none"/>
          <w:lang w:val="en-US" w:eastAsia="zh-CN"/>
        </w:rPr>
        <w:t>或以上</w:t>
      </w:r>
      <w:r>
        <w:rPr>
          <w:rFonts w:hint="eastAsia" w:ascii="宋体" w:hAnsi="宋体" w:eastAsia="宋体"/>
          <w:color w:val="auto"/>
          <w:sz w:val="24"/>
          <w:szCs w:val="24"/>
          <w:highlight w:val="none"/>
          <w:u w:val="none"/>
          <w:lang w:eastAsia="zh-CN"/>
        </w:rPr>
        <w:t>）</w:t>
      </w:r>
      <w:r>
        <w:rPr>
          <w:rFonts w:hint="eastAsia" w:ascii="宋体" w:hAnsi="宋体" w:eastAsia="宋体" w:cs="宋体"/>
          <w:color w:val="auto"/>
          <w:sz w:val="24"/>
          <w:szCs w:val="24"/>
          <w:highlight w:val="none"/>
          <w:u w:val="none"/>
        </w:rPr>
        <w:t>资质。</w:t>
      </w:r>
    </w:p>
    <w:p>
      <w:pPr>
        <w:adjustRightInd w:val="0"/>
        <w:snapToGrid w:val="0"/>
        <w:spacing w:line="360" w:lineRule="auto"/>
        <w:ind w:left="1" w:firstLine="434" w:firstLineChars="181"/>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4、项目总监理工程师必须具有建设部2006年4月1日后颁发的中华人民共和国注册监理工程师注册执业证书，且其注册证书专业为</w:t>
      </w:r>
      <w:r>
        <w:rPr>
          <w:rFonts w:hint="eastAsia" w:ascii="宋体" w:hAnsi="宋体" w:eastAsia="宋体"/>
          <w:color w:val="auto"/>
          <w:sz w:val="24"/>
          <w:szCs w:val="24"/>
          <w:highlight w:val="none"/>
          <w:u w:val="none"/>
        </w:rPr>
        <w:t>市政公用工程</w:t>
      </w:r>
      <w:r>
        <w:rPr>
          <w:rFonts w:hint="eastAsia" w:ascii="宋体" w:hAnsi="宋体" w:eastAsia="宋体" w:cs="宋体"/>
          <w:color w:val="auto"/>
          <w:sz w:val="24"/>
          <w:szCs w:val="24"/>
          <w:highlight w:val="none"/>
          <w:u w:val="none"/>
        </w:rPr>
        <w:t>，注册执业单位为投标人本公司，且在有效期内。</w:t>
      </w:r>
    </w:p>
    <w:p>
      <w:pPr>
        <w:adjustRightInd w:val="0"/>
        <w:snapToGrid w:val="0"/>
        <w:spacing w:line="360" w:lineRule="auto"/>
        <w:ind w:left="1" w:firstLine="434" w:firstLineChars="181"/>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5、专业监理人员最低配置要求：</w:t>
      </w:r>
    </w:p>
    <w:p>
      <w:pPr>
        <w:adjustRightInd w:val="0"/>
        <w:snapToGrid w:val="0"/>
        <w:spacing w:line="360" w:lineRule="auto"/>
        <w:ind w:left="1" w:firstLine="434" w:firstLineChars="181"/>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w:t>
      </w:r>
      <w:r>
        <w:rPr>
          <w:rFonts w:hint="eastAsia" w:ascii="宋体" w:hAnsi="宋体" w:eastAsia="宋体"/>
          <w:color w:val="auto"/>
          <w:sz w:val="24"/>
          <w:szCs w:val="24"/>
          <w:highlight w:val="none"/>
          <w:u w:val="none"/>
        </w:rPr>
        <w:t>专业监理工程师：人数为</w:t>
      </w:r>
      <w:r>
        <w:rPr>
          <w:rFonts w:hint="eastAsia" w:ascii="宋体" w:hAnsi="宋体" w:eastAsia="宋体"/>
          <w:color w:val="auto"/>
          <w:sz w:val="24"/>
          <w:szCs w:val="24"/>
          <w:highlight w:val="none"/>
          <w:u w:val="none"/>
          <w:lang w:val="en-US" w:eastAsia="zh-CN"/>
        </w:rPr>
        <w:t>1</w:t>
      </w:r>
      <w:r>
        <w:rPr>
          <w:rFonts w:hint="eastAsia" w:ascii="宋体" w:hAnsi="宋体" w:eastAsia="宋体"/>
          <w:color w:val="auto"/>
          <w:sz w:val="24"/>
          <w:szCs w:val="24"/>
          <w:highlight w:val="none"/>
          <w:u w:val="none"/>
        </w:rPr>
        <w:t>名，且每名专业监理工程师必须具备以下条件之一：①具备市政公用工程专业注册监理工程师注册执业证书，注册执业单位为投标人本公司，且在有效期内；②</w:t>
      </w:r>
      <w:r>
        <w:rPr>
          <w:rFonts w:hint="eastAsia" w:ascii="宋体" w:hAnsi="宋体" w:eastAsia="宋体" w:cs="宋体"/>
          <w:color w:val="auto"/>
          <w:sz w:val="24"/>
          <w:szCs w:val="24"/>
          <w:highlight w:val="none"/>
          <w:u w:val="none"/>
        </w:rPr>
        <w:t>具备中级（或以上）职称和市政公用工程专业监理工程师培训证。</w:t>
      </w:r>
    </w:p>
    <w:p>
      <w:pPr>
        <w:adjustRightInd w:val="0"/>
        <w:snapToGrid w:val="0"/>
        <w:spacing w:line="360" w:lineRule="auto"/>
        <w:ind w:left="1" w:firstLine="434" w:firstLineChars="181"/>
        <w:rPr>
          <w:rFonts w:hint="eastAsia" w:ascii="宋体" w:hAnsi="宋体" w:eastAsia="宋体" w:cs="宋体"/>
          <w:color w:val="auto"/>
          <w:sz w:val="24"/>
          <w:szCs w:val="24"/>
          <w:highlight w:val="none"/>
          <w:u w:val="none"/>
        </w:rPr>
      </w:pPr>
      <w:r>
        <w:rPr>
          <w:rFonts w:hint="eastAsia" w:ascii="宋体" w:hAnsi="宋体" w:eastAsia="宋体"/>
          <w:color w:val="auto"/>
          <w:sz w:val="24"/>
          <w:szCs w:val="24"/>
          <w:highlight w:val="none"/>
          <w:u w:val="none"/>
        </w:rPr>
        <w:t>（</w:t>
      </w:r>
      <w:r>
        <w:rPr>
          <w:rFonts w:ascii="宋体" w:hAnsi="宋体" w:eastAsia="宋体"/>
          <w:color w:val="auto"/>
          <w:sz w:val="24"/>
          <w:szCs w:val="24"/>
          <w:highlight w:val="none"/>
          <w:u w:val="none"/>
        </w:rPr>
        <w:t>2</w:t>
      </w:r>
      <w:r>
        <w:rPr>
          <w:rFonts w:hint="eastAsia" w:ascii="宋体" w:hAnsi="宋体" w:eastAsia="宋体"/>
          <w:color w:val="auto"/>
          <w:sz w:val="24"/>
          <w:szCs w:val="24"/>
          <w:highlight w:val="none"/>
          <w:u w:val="none"/>
        </w:rPr>
        <w:t>）监理员：人数为2名，必须具备有效的监理员培训证</w:t>
      </w:r>
      <w:r>
        <w:rPr>
          <w:rFonts w:hint="eastAsia" w:ascii="宋体" w:hAnsi="宋体" w:eastAsia="宋体" w:cs="宋体"/>
          <w:color w:val="auto"/>
          <w:sz w:val="24"/>
          <w:szCs w:val="24"/>
          <w:highlight w:val="none"/>
          <w:u w:val="none"/>
        </w:rPr>
        <w:t>或专业监理工程师培训证或注册监理工程师注册执业证书。</w:t>
      </w:r>
    </w:p>
    <w:p>
      <w:pPr>
        <w:adjustRightInd w:val="0"/>
        <w:snapToGrid w:val="0"/>
        <w:spacing w:line="360" w:lineRule="auto"/>
        <w:ind w:left="1" w:firstLine="434" w:firstLineChars="181"/>
        <w:rPr>
          <w:rFonts w:hint="eastAsia" w:ascii="宋体" w:hAnsi="宋体" w:eastAsia="宋体" w:cs="宋体"/>
          <w:sz w:val="24"/>
          <w:szCs w:val="24"/>
          <w:u w:val="none"/>
        </w:rPr>
      </w:pPr>
      <w:r>
        <w:rPr>
          <w:rFonts w:hint="eastAsia" w:ascii="宋体" w:hAnsi="宋体" w:eastAsia="宋体" w:cs="宋体"/>
          <w:color w:val="auto"/>
          <w:sz w:val="24"/>
          <w:szCs w:val="24"/>
          <w:highlight w:val="none"/>
          <w:u w:val="none"/>
        </w:rPr>
        <w:t>注：以上配备的人员须提供投</w:t>
      </w:r>
      <w:r>
        <w:rPr>
          <w:rFonts w:hint="eastAsia" w:ascii="宋体" w:hAnsi="宋体" w:eastAsia="宋体" w:cs="宋体"/>
          <w:sz w:val="24"/>
          <w:szCs w:val="24"/>
          <w:highlight w:val="none"/>
          <w:u w:val="none"/>
        </w:rPr>
        <w:t>标</w:t>
      </w:r>
      <w:r>
        <w:rPr>
          <w:rFonts w:hint="eastAsia" w:ascii="宋体" w:hAnsi="宋体" w:eastAsia="宋体" w:cs="宋体"/>
          <w:sz w:val="24"/>
          <w:szCs w:val="24"/>
          <w:u w:val="none"/>
        </w:rPr>
        <w:t>人为其购买的最近三个月（开标当月不计算）的社保证明。</w:t>
      </w:r>
    </w:p>
    <w:p>
      <w:pPr>
        <w:adjustRightInd w:val="0"/>
        <w:snapToGrid w:val="0"/>
        <w:spacing w:line="360" w:lineRule="auto"/>
        <w:ind w:left="675" w:leftChars="207" w:hanging="240" w:hangingChars="100"/>
        <w:rPr>
          <w:rFonts w:hint="eastAsia" w:ascii="宋体" w:hAnsi="宋体" w:eastAsia="宋体" w:cs="宋体"/>
          <w:kern w:val="0"/>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、关于联合体投标：本次招标[□接受/</w:t>
      </w:r>
      <w:r>
        <w:rPr>
          <w:rFonts w:hint="eastAsia" w:hAnsi="宋体" w:cs="宋体"/>
          <w:sz w:val="36"/>
          <w:szCs w:val="21"/>
        </w:rPr>
        <w:fldChar w:fldCharType="begin"/>
      </w:r>
      <w:r>
        <w:rPr>
          <w:rFonts w:hint="eastAsia" w:hAnsi="宋体" w:cs="宋体"/>
          <w:sz w:val="36"/>
          <w:szCs w:val="21"/>
        </w:rPr>
        <w:instrText xml:space="preserve"> eq \o\ac(□,√)</w:instrText>
      </w:r>
      <w:r>
        <w:rPr>
          <w:rFonts w:hint="eastAsia" w:hAnsi="宋体" w:cs="宋体"/>
          <w:sz w:val="36"/>
          <w:szCs w:val="21"/>
        </w:rPr>
        <w:fldChar w:fldCharType="end"/>
      </w:r>
      <w:r>
        <w:rPr>
          <w:rFonts w:hint="eastAsia" w:ascii="宋体" w:hAnsi="宋体" w:eastAsia="宋体" w:cs="宋体"/>
          <w:sz w:val="24"/>
          <w:szCs w:val="24"/>
        </w:rPr>
        <w:t>不接受]联合体投标。</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、各投标人均可就本招标项目上述标段中的</w:t>
      </w:r>
      <w:r>
        <w:rPr>
          <w:rFonts w:hint="eastAsia" w:ascii="宋体" w:hAnsi="宋体" w:eastAsia="宋体" w:cs="宋体"/>
          <w:sz w:val="24"/>
          <w:szCs w:val="24"/>
          <w:u w:val="single"/>
        </w:rPr>
        <w:t>1</w:t>
      </w:r>
      <w:r>
        <w:rPr>
          <w:rFonts w:hint="eastAsia" w:ascii="宋体" w:hAnsi="宋体" w:eastAsia="宋体" w:cs="宋体"/>
          <w:sz w:val="24"/>
          <w:szCs w:val="24"/>
        </w:rPr>
        <w:t>(具体数量)个标段投标，但最多允许中标</w:t>
      </w:r>
      <w:r>
        <w:rPr>
          <w:rFonts w:hint="eastAsia" w:ascii="宋体" w:hAnsi="宋体" w:eastAsia="宋体" w:cs="宋体"/>
          <w:sz w:val="24"/>
          <w:szCs w:val="24"/>
          <w:u w:val="single"/>
        </w:rPr>
        <w:t>1</w:t>
      </w:r>
      <w:r>
        <w:rPr>
          <w:rFonts w:hint="eastAsia" w:ascii="宋体" w:hAnsi="宋体" w:eastAsia="宋体" w:cs="宋体"/>
          <w:sz w:val="24"/>
          <w:szCs w:val="24"/>
        </w:rPr>
        <w:t>(具体数量)个标段。</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投标人、法定代表人、项目总监理工程师在招标公告发布日前三年内在中国裁判文书网(http:/wenshu.court.gov.cn)未被查询到有行贿犯罪记录（注：1、由投标人按要求提交。2、查询要求：a.“裁判日期”选项统一以招标公告发布日前三年的同一日为开始日、以招标公告发布日的前1日为终止日进行查询；b.以“当事人”为选项对投标人、法定代表人、项目总监理工程师进行查询；c.“案由”选项中投标人查询“单位行贿罪”1项罪名，法定代表人、项目总监理工程师查询“行贿罪”、“对单位行贿罪”、“介绍贿赂罪”3项罪名；d.“投标人、法定代表人、项目总监理工程师”必须单独检索，不允许单位与个人、或两人以上（含两人）同时检索；e.如检索出现姓名相同但非本人的结果，需出具无行贿犯罪记录声明函（格式自拟））。</w:t>
      </w:r>
    </w:p>
    <w:p>
      <w:pPr>
        <w:numPr>
          <w:ilvl w:val="0"/>
          <w:numId w:val="1"/>
        </w:numPr>
        <w:tabs>
          <w:tab w:val="left" w:pos="1134"/>
        </w:tabs>
        <w:adjustRightInd w:val="0"/>
        <w:snapToGrid w:val="0"/>
        <w:spacing w:line="360" w:lineRule="auto"/>
        <w:rPr>
          <w:rFonts w:hint="eastAsia" w:ascii="宋体" w:hAnsi="宋体" w:eastAsia="宋体" w:cs="宋体"/>
          <w:sz w:val="24"/>
          <w:szCs w:val="24"/>
        </w:rPr>
      </w:pPr>
      <w:r>
        <w:rPr>
          <w:rFonts w:hint="eastAsia" w:ascii="宋体" w:hAnsi="宋体" w:eastAsia="宋体" w:cs="宋体"/>
          <w:bCs/>
          <w:sz w:val="24"/>
          <w:szCs w:val="24"/>
        </w:rPr>
        <w:t>本公告在</w:t>
      </w:r>
      <w:r>
        <w:rPr>
          <w:rFonts w:hint="eastAsia" w:ascii="宋体" w:hAnsi="宋体" w:eastAsia="宋体" w:cs="宋体"/>
          <w:sz w:val="24"/>
          <w:szCs w:val="24"/>
          <w:u w:val="single"/>
        </w:rPr>
        <w:t>广东省招标投标监管网</w:t>
      </w:r>
      <w:r>
        <w:rPr>
          <w:rFonts w:hint="eastAsia" w:ascii="宋体" w:hAnsi="宋体" w:eastAsia="宋体" w:cs="宋体"/>
          <w:bCs/>
          <w:sz w:val="24"/>
          <w:szCs w:val="24"/>
        </w:rPr>
        <w:t>和</w:t>
      </w:r>
      <w:r>
        <w:rPr>
          <w:rFonts w:hint="eastAsia" w:ascii="宋体" w:hAnsi="宋体" w:eastAsia="宋体" w:cs="宋体"/>
          <w:bCs/>
          <w:sz w:val="24"/>
          <w:szCs w:val="24"/>
          <w:u w:val="single"/>
        </w:rPr>
        <w:t>广州公共资源交易中心</w:t>
      </w:r>
      <w:r>
        <w:rPr>
          <w:rFonts w:hint="eastAsia" w:ascii="宋体" w:hAnsi="宋体" w:eastAsia="宋体" w:cs="宋体"/>
          <w:sz w:val="24"/>
          <w:szCs w:val="24"/>
        </w:rPr>
        <w:t>等法定媒体发布。本公告在不同法定媒体发布的文本如有不同之处，以在广东省招标投标监管网发布的文本为准。</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特别提示：投标人在本项目招标人的工程项目中存在下列行为的，将被拒绝6个月内参与招标人后续工程投标。（注：拒绝投标时限由招标人视严重程度确定，最低三个月起，自招标人发出通知之日起计）：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1.将中标工程转包或者违法分包的；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2.在中标工程中不执行质量、安全生产相关规定的，造成质量或安全事故的；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3.存在围标或串标情形的；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4.存在弄虚作假骗取中标情形的。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附：本次招标被书面拒绝的投标单位名单：</w:t>
      </w:r>
      <w:r>
        <w:rPr>
          <w:rFonts w:hint="eastAsia" w:ascii="宋体" w:hAnsi="宋体" w:eastAsia="宋体" w:cs="宋体"/>
          <w:sz w:val="24"/>
          <w:szCs w:val="24"/>
          <w:u w:val="single"/>
        </w:rPr>
        <w:t>无</w:t>
      </w:r>
      <w:r>
        <w:rPr>
          <w:rFonts w:hint="eastAsia" w:ascii="宋体" w:hAnsi="宋体" w:eastAsia="宋体" w:cs="宋体"/>
          <w:sz w:val="24"/>
          <w:szCs w:val="24"/>
        </w:rPr>
        <w:t>。</w:t>
      </w:r>
    </w:p>
    <w:p>
      <w:pPr>
        <w:adjustRightInd w:val="0"/>
        <w:snapToGrid w:val="0"/>
        <w:spacing w:line="360" w:lineRule="auto"/>
        <w:ind w:firstLine="482" w:firstLineChars="200"/>
        <w:jc w:val="right"/>
        <w:rPr>
          <w:rFonts w:hint="eastAsia" w:ascii="宋体" w:hAnsi="宋体" w:eastAsia="宋体" w:cs="宋体"/>
          <w:b/>
          <w:bCs/>
          <w:sz w:val="24"/>
          <w:szCs w:val="24"/>
        </w:rPr>
      </w:pPr>
    </w:p>
    <w:p>
      <w:pPr>
        <w:pStyle w:val="6"/>
        <w:rPr>
          <w:rFonts w:hint="eastAsia" w:hAnsi="宋体" w:cs="宋体"/>
          <w:b/>
          <w:bCs/>
          <w:szCs w:val="24"/>
        </w:rPr>
      </w:pPr>
    </w:p>
    <w:p>
      <w:pPr>
        <w:pStyle w:val="6"/>
        <w:rPr>
          <w:rFonts w:hint="eastAsia" w:hAnsi="宋体" w:cs="宋体"/>
          <w:b/>
          <w:bCs/>
          <w:szCs w:val="24"/>
        </w:rPr>
      </w:pPr>
    </w:p>
    <w:p>
      <w:pPr>
        <w:pStyle w:val="6"/>
        <w:rPr>
          <w:rFonts w:hint="eastAsia" w:hAnsi="宋体" w:cs="宋体"/>
          <w:b/>
          <w:bCs/>
          <w:szCs w:val="24"/>
        </w:rPr>
      </w:pPr>
    </w:p>
    <w:p>
      <w:pPr>
        <w:adjustRightInd w:val="0"/>
        <w:snapToGrid w:val="0"/>
        <w:spacing w:line="480" w:lineRule="auto"/>
        <w:ind w:firstLine="482" w:firstLineChars="200"/>
        <w:jc w:val="right"/>
        <w:rPr>
          <w:rFonts w:hint="eastAsia" w:ascii="宋体" w:hAnsi="宋体" w:eastAsia="宋体" w:cs="宋体"/>
          <w:b/>
          <w:bCs/>
          <w:sz w:val="24"/>
          <w:szCs w:val="24"/>
        </w:rPr>
      </w:pPr>
      <w:r>
        <w:rPr>
          <w:rFonts w:hint="eastAsia" w:ascii="宋体" w:hAnsi="宋体" w:eastAsia="宋体" w:cs="宋体"/>
          <w:b/>
          <w:bCs/>
          <w:sz w:val="24"/>
          <w:szCs w:val="24"/>
        </w:rPr>
        <w:t>招标人：广州（清远）产业转移工业园财政投资项目管理中心</w:t>
      </w:r>
    </w:p>
    <w:p>
      <w:pPr>
        <w:adjustRightInd w:val="0"/>
        <w:snapToGrid w:val="0"/>
        <w:spacing w:line="480" w:lineRule="auto"/>
        <w:ind w:firstLine="482" w:firstLineChars="200"/>
        <w:jc w:val="right"/>
        <w:rPr>
          <w:rFonts w:hint="eastAsia" w:ascii="宋体" w:hAnsi="宋体" w:eastAsia="宋体" w:cs="宋体"/>
          <w:b/>
          <w:bCs/>
          <w:sz w:val="24"/>
          <w:szCs w:val="24"/>
        </w:rPr>
      </w:pPr>
      <w:r>
        <w:rPr>
          <w:rFonts w:hint="eastAsia" w:ascii="宋体" w:hAnsi="宋体" w:eastAsia="宋体" w:cs="宋体"/>
          <w:b/>
          <w:bCs/>
          <w:sz w:val="24"/>
          <w:szCs w:val="24"/>
        </w:rPr>
        <w:t>招标代理机构：</w:t>
      </w:r>
      <w:r>
        <w:rPr>
          <w:rFonts w:hint="eastAsia" w:ascii="宋体" w:hAnsi="宋体" w:eastAsia="宋体" w:cs="宋体"/>
          <w:b/>
          <w:bCs/>
          <w:sz w:val="24"/>
          <w:szCs w:val="24"/>
          <w:lang w:val="en-US" w:eastAsia="zh-CN"/>
        </w:rPr>
        <w:t>广东恒讯工程顾问</w:t>
      </w:r>
      <w:r>
        <w:rPr>
          <w:rFonts w:hint="eastAsia" w:ascii="宋体" w:hAnsi="宋体" w:eastAsia="宋体" w:cs="宋体"/>
          <w:b/>
          <w:bCs/>
          <w:sz w:val="24"/>
          <w:szCs w:val="24"/>
        </w:rPr>
        <w:t>有限公司</w:t>
      </w:r>
    </w:p>
    <w:p>
      <w:pPr>
        <w:adjustRightInd w:val="0"/>
        <w:snapToGrid w:val="0"/>
        <w:spacing w:line="480" w:lineRule="auto"/>
        <w:ind w:firstLine="482" w:firstLineChars="200"/>
        <w:jc w:val="right"/>
        <w:rPr>
          <w:rFonts w:hint="eastAsia" w:ascii="宋体" w:hAnsi="宋体" w:eastAsia="宋体" w:cs="宋体"/>
          <w:b/>
          <w:bCs/>
          <w:color w:val="auto"/>
          <w:sz w:val="24"/>
          <w:szCs w:val="24"/>
          <w:highlight w:val="none"/>
        </w:rPr>
      </w:pPr>
      <w:r>
        <w:rPr>
          <w:rFonts w:hint="eastAsia" w:ascii="宋体" w:hAnsi="宋体" w:eastAsia="宋体" w:cs="宋体"/>
          <w:b/>
          <w:bCs/>
          <w:sz w:val="24"/>
          <w:szCs w:val="24"/>
        </w:rPr>
        <w:t>发布日期：2022年</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日</w:t>
      </w:r>
      <w:bookmarkStart w:id="3" w:name="_GoBack"/>
      <w:bookmarkEnd w:id="3"/>
    </w:p>
    <w:sectPr>
      <w:footerReference r:id="rId3" w:type="default"/>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0000000C"/>
    <w:multiLevelType w:val="multilevel"/>
    <w:tmpl w:val="0000000C"/>
    <w:lvl w:ilvl="0" w:tentative="0">
      <w:start w:val="1"/>
      <w:numFmt w:val="chineseCountingThousand"/>
      <w:lvlText w:val="%1、"/>
      <w:lvlJc w:val="left"/>
      <w:pPr>
        <w:tabs>
          <w:tab w:val="left" w:pos="0"/>
        </w:tabs>
        <w:ind w:left="0" w:firstLine="437"/>
      </w:pPr>
      <w:rPr>
        <w:rFonts w:hint="eastAsia"/>
        <w:b w:val="0"/>
        <w:snapToGrid/>
        <w:kern w:val="0"/>
        <w:sz w:val="24"/>
        <w:szCs w:val="24"/>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jkyNzE0YjY1MjExOGExZGM0NmJmYmFkNDRkODIifQ=="/>
  </w:docVars>
  <w:rsids>
    <w:rsidRoot w:val="02F80C4C"/>
    <w:rsid w:val="019A1465"/>
    <w:rsid w:val="02F80C4C"/>
    <w:rsid w:val="06C35E76"/>
    <w:rsid w:val="090A6F68"/>
    <w:rsid w:val="0B4C1B52"/>
    <w:rsid w:val="326A4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32"/>
      <w:szCs w:val="44"/>
    </w:rPr>
  </w:style>
  <w:style w:type="paragraph" w:styleId="2">
    <w:name w:val="heading 2"/>
    <w:basedOn w:val="1"/>
    <w:next w:val="1"/>
    <w:qFormat/>
    <w:uiPriority w:val="0"/>
    <w:pPr>
      <w:keepNext/>
      <w:keepLines/>
      <w:spacing w:line="360" w:lineRule="auto"/>
      <w:jc w:val="left"/>
      <w:outlineLvl w:val="1"/>
    </w:pPr>
    <w:rPr>
      <w:b/>
      <w:bCs/>
      <w:sz w:val="28"/>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uiPriority w:val="0"/>
    <w:pPr>
      <w:spacing w:after="120"/>
      <w:ind w:left="420" w:leftChars="200"/>
    </w:pPr>
  </w:style>
  <w:style w:type="paragraph" w:styleId="6">
    <w:name w:val="Plain Text"/>
    <w:basedOn w:val="1"/>
    <w:next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ind w:firstLine="420" w:firstLineChars="200"/>
    </w:pPr>
    <w:rPr>
      <w:rFonts w:ascii="Times New Roman" w:hAnsi="Times New Roman" w:eastAsia="宋体"/>
    </w:rPr>
  </w:style>
  <w:style w:type="character" w:styleId="12">
    <w:name w:val="Hyperlink"/>
    <w:qFormat/>
    <w:uiPriority w:val="99"/>
    <w:rPr>
      <w:color w:val="0000FF"/>
      <w:u w:val="single"/>
    </w:rPr>
  </w:style>
  <w:style w:type="paragraph" w:customStyle="1" w:styleId="13">
    <w:name w:val="BodyText"/>
    <w:basedOn w:val="1"/>
    <w:qFormat/>
    <w:uiPriority w:val="0"/>
    <w:pPr>
      <w:spacing w:after="120"/>
    </w:pPr>
    <w:rPr>
      <w:rFonts w:ascii="Times New Roman" w:hAnsi="Times New Roman"/>
      <w:kern w:val="0"/>
      <w:sz w:val="20"/>
      <w:szCs w:val="20"/>
    </w:rPr>
  </w:style>
  <w:style w:type="paragraph" w:customStyle="1" w:styleId="14">
    <w:name w:val="Plain Text1"/>
    <w:basedOn w:val="1"/>
    <w:qFormat/>
    <w:uiPriority w:val="0"/>
    <w:rPr>
      <w:rFonts w:ascii="Courier New" w:hAnsi="Courier New"/>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2960</Words>
  <Characters>3348</Characters>
  <Lines>0</Lines>
  <Paragraphs>0</Paragraphs>
  <TotalTime>0</TotalTime>
  <ScaleCrop>false</ScaleCrop>
  <LinksUpToDate>false</LinksUpToDate>
  <CharactersWithSpaces>3359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2022-03-13T10:12:00Z</dcterms:created>
  <dc:creator>zjy</dc:creator>
  <cp:lastModifiedBy>A456U</cp:lastModifiedBy>
  <cp:lastPrinted>2022-11-01T03:21:00Z</cp:lastPrinted>
  <dcterms:modified xsi:type="dcterms:W3CDTF">2022-11-09T04:37:59Z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FC2B08EE7DCE46E3A942E8EC8ADA7FA7</vt:lpwstr>
  </property>
</Properties>
</file>