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bCs/>
          <w:color w:val="auto"/>
          <w:spacing w:val="26"/>
          <w:sz w:val="56"/>
          <w:szCs w:val="56"/>
          <w:highlight w:val="none"/>
        </w:rPr>
      </w:pPr>
      <w:bookmarkStart w:id="2075" w:name="_GoBack"/>
      <w:bookmarkEnd w:id="2075"/>
      <w:bookmarkStart w:id="0" w:name="_Toc31090"/>
      <w:bookmarkStart w:id="1" w:name="_Toc9102"/>
      <w:bookmarkStart w:id="2" w:name="_Toc1822"/>
      <w:bookmarkStart w:id="3" w:name="_Toc1495"/>
      <w:bookmarkStart w:id="4" w:name="_Toc20862"/>
      <w:r>
        <w:rPr>
          <w:rFonts w:hint="eastAsia" w:ascii="宋体" w:hAnsi="宋体" w:cs="宋体"/>
          <w:b/>
          <w:bCs/>
          <w:color w:val="auto"/>
          <w:sz w:val="32"/>
          <w:szCs w:val="32"/>
          <w:highlight w:val="none"/>
          <w:lang w:val="en-US" w:eastAsia="zh-CN"/>
        </w:rPr>
        <w:t xml:space="preserve"> </w:t>
      </w:r>
      <w:bookmarkEnd w:id="0"/>
      <w:bookmarkEnd w:id="1"/>
      <w:bookmarkEnd w:id="2"/>
      <w:bookmarkEnd w:id="3"/>
      <w:bookmarkEnd w:id="4"/>
      <w:r>
        <w:rPr>
          <w:rFonts w:hint="eastAsia" w:ascii="宋体" w:hAnsi="宋体" w:cs="宋体"/>
          <w:b/>
          <w:bCs/>
          <w:color w:val="auto"/>
          <w:spacing w:val="26"/>
          <w:sz w:val="56"/>
          <w:szCs w:val="56"/>
          <w:highlight w:val="none"/>
          <w:lang w:eastAsia="zh-CN"/>
        </w:rPr>
        <w:t>白云恒运天然气发电项目燃气管线工程</w:t>
      </w:r>
      <w:r>
        <w:rPr>
          <w:rFonts w:hint="eastAsia" w:ascii="宋体" w:hAnsi="宋体" w:cs="宋体"/>
          <w:b/>
          <w:bCs/>
          <w:color w:val="auto"/>
          <w:spacing w:val="26"/>
          <w:sz w:val="56"/>
          <w:szCs w:val="56"/>
          <w:highlight w:val="none"/>
        </w:rPr>
        <w:t>施工总承包</w:t>
      </w:r>
    </w:p>
    <w:p>
      <w:pPr>
        <w:spacing w:line="360" w:lineRule="auto"/>
        <w:jc w:val="center"/>
        <w:rPr>
          <w:rFonts w:ascii="宋体" w:hAnsi="宋体" w:cs="宋体"/>
          <w:b/>
          <w:bCs/>
          <w:color w:val="auto"/>
          <w:spacing w:val="26"/>
          <w:sz w:val="56"/>
          <w:szCs w:val="56"/>
          <w:highlight w:val="none"/>
        </w:rPr>
      </w:pPr>
    </w:p>
    <w:p>
      <w:pPr>
        <w:spacing w:line="360" w:lineRule="auto"/>
        <w:rPr>
          <w:rFonts w:ascii="宋体" w:hAnsi="宋体" w:cs="宋体"/>
          <w:b/>
          <w:bCs/>
          <w:color w:val="auto"/>
          <w:spacing w:val="26"/>
          <w:sz w:val="56"/>
          <w:szCs w:val="56"/>
          <w:highlight w:val="none"/>
        </w:rPr>
      </w:pPr>
    </w:p>
    <w:p>
      <w:pPr>
        <w:spacing w:line="360" w:lineRule="auto"/>
        <w:jc w:val="center"/>
        <w:rPr>
          <w:rFonts w:ascii="宋体" w:hAnsi="宋体" w:cs="宋体"/>
          <w:color w:val="auto"/>
          <w:sz w:val="36"/>
          <w:highlight w:val="none"/>
          <w:u w:val="single"/>
        </w:rPr>
      </w:pPr>
    </w:p>
    <w:p>
      <w:pPr>
        <w:spacing w:line="360" w:lineRule="auto"/>
        <w:jc w:val="center"/>
        <w:rPr>
          <w:rFonts w:ascii="宋体" w:hAnsi="宋体" w:cs="宋体"/>
          <w:color w:val="auto"/>
          <w:sz w:val="32"/>
          <w:highlight w:val="none"/>
        </w:rPr>
      </w:pPr>
      <w:r>
        <w:rPr>
          <w:rFonts w:hint="eastAsia" w:ascii="宋体" w:hAnsi="宋体" w:cs="宋体"/>
          <w:b/>
          <w:bCs/>
          <w:color w:val="auto"/>
          <w:spacing w:val="26"/>
          <w:sz w:val="110"/>
          <w:szCs w:val="110"/>
          <w:highlight w:val="none"/>
        </w:rPr>
        <w:t>招标文件</w:t>
      </w:r>
    </w:p>
    <w:p>
      <w:pPr>
        <w:spacing w:line="360" w:lineRule="auto"/>
        <w:rPr>
          <w:rFonts w:ascii="宋体" w:hAnsi="宋体" w:cs="宋体"/>
          <w:color w:val="auto"/>
          <w:sz w:val="52"/>
          <w:highlight w:val="none"/>
        </w:rPr>
      </w:pPr>
    </w:p>
    <w:p>
      <w:pPr>
        <w:spacing w:line="360" w:lineRule="auto"/>
        <w:rPr>
          <w:rFonts w:ascii="宋体" w:hAnsi="宋体" w:cs="宋体"/>
          <w:color w:val="auto"/>
          <w:sz w:val="52"/>
          <w:highlight w:val="none"/>
        </w:rPr>
      </w:pPr>
    </w:p>
    <w:p>
      <w:pPr>
        <w:spacing w:line="360" w:lineRule="auto"/>
        <w:rPr>
          <w:rFonts w:ascii="宋体" w:hAnsi="宋体" w:cs="宋体"/>
          <w:color w:val="auto"/>
          <w:sz w:val="52"/>
          <w:highlight w:val="none"/>
        </w:rPr>
      </w:pPr>
    </w:p>
    <w:p>
      <w:pPr>
        <w:spacing w:line="360" w:lineRule="auto"/>
        <w:ind w:firstLine="900" w:firstLineChars="300"/>
        <w:rPr>
          <w:rFonts w:ascii="宋体" w:hAnsi="宋体" w:cs="宋体"/>
          <w:color w:val="auto"/>
          <w:sz w:val="30"/>
          <w:szCs w:val="30"/>
          <w:highlight w:val="none"/>
          <w:u w:val="single"/>
        </w:rPr>
      </w:pPr>
      <w:r>
        <w:rPr>
          <w:rFonts w:hint="eastAsia" w:ascii="宋体" w:hAnsi="宋体" w:cs="宋体"/>
          <w:color w:val="auto"/>
          <w:sz w:val="30"/>
          <w:szCs w:val="30"/>
          <w:highlight w:val="none"/>
        </w:rPr>
        <w:t>招  标 单 位：</w:t>
      </w:r>
      <w:r>
        <w:rPr>
          <w:rFonts w:hint="eastAsia" w:ascii="宋体" w:hAnsi="宋体" w:cs="宋体"/>
          <w:color w:val="auto"/>
          <w:sz w:val="30"/>
          <w:szCs w:val="30"/>
          <w:highlight w:val="none"/>
          <w:u w:val="single"/>
        </w:rPr>
        <w:t xml:space="preserve">广州燃气集团有限公司           </w:t>
      </w:r>
    </w:p>
    <w:p>
      <w:pPr>
        <w:spacing w:line="360" w:lineRule="auto"/>
        <w:ind w:firstLine="945"/>
        <w:rPr>
          <w:rFonts w:hint="eastAsia" w:ascii="宋体" w:hAnsi="宋体" w:eastAsia="宋体" w:cs="宋体"/>
          <w:color w:val="auto"/>
          <w:sz w:val="30"/>
          <w:szCs w:val="30"/>
          <w:highlight w:val="none"/>
          <w:u w:val="single"/>
          <w:lang w:eastAsia="zh-CN"/>
        </w:rPr>
      </w:pPr>
      <w:r>
        <w:rPr>
          <w:rFonts w:hint="eastAsia" w:ascii="宋体" w:hAnsi="宋体" w:cs="宋体"/>
          <w:color w:val="auto"/>
          <w:sz w:val="30"/>
          <w:szCs w:val="30"/>
          <w:highlight w:val="none"/>
        </w:rPr>
        <w:t>招标代理单位：</w:t>
      </w:r>
      <w:r>
        <w:rPr>
          <w:rFonts w:hint="eastAsia" w:ascii="宋体" w:hAnsi="宋体" w:cs="宋体"/>
          <w:color w:val="auto"/>
          <w:sz w:val="30"/>
          <w:szCs w:val="30"/>
          <w:highlight w:val="none"/>
          <w:u w:val="single"/>
          <w:lang w:eastAsia="zh-CN"/>
        </w:rPr>
        <w:t>广东省机电设备招标有限公司</w:t>
      </w:r>
    </w:p>
    <w:p>
      <w:pPr>
        <w:spacing w:line="360" w:lineRule="auto"/>
        <w:ind w:firstLine="2310" w:firstLineChars="1050"/>
        <w:rPr>
          <w:rFonts w:ascii="宋体" w:hAnsi="宋体" w:cs="宋体"/>
          <w:color w:val="auto"/>
          <w:sz w:val="22"/>
          <w:highlight w:val="none"/>
          <w:u w:val="single"/>
        </w:rPr>
      </w:pPr>
      <w:r>
        <w:rPr>
          <w:rFonts w:hint="eastAsia" w:ascii="宋体" w:hAnsi="宋体" w:cs="宋体"/>
          <w:color w:val="FFFFFF" w:themeColor="background1"/>
          <w:sz w:val="22"/>
          <w:highlight w:val="none"/>
          <w:u w:val="single"/>
          <w14:textFill>
            <w14:solidFill>
              <w14:schemeClr w14:val="bg1"/>
            </w14:solidFill>
          </w14:textFill>
        </w:rPr>
        <w:t>招标机构签章位置</w:t>
      </w:r>
    </w:p>
    <w:p>
      <w:pPr>
        <w:spacing w:line="360" w:lineRule="auto"/>
        <w:ind w:firstLine="945"/>
        <w:rPr>
          <w:rFonts w:ascii="宋体" w:hAnsi="宋体" w:cs="宋体"/>
          <w:color w:val="auto"/>
          <w:sz w:val="32"/>
          <w:highlight w:val="none"/>
        </w:rPr>
      </w:pPr>
      <w:r>
        <w:rPr>
          <w:rFonts w:hint="eastAsia" w:ascii="宋体" w:hAnsi="宋体" w:cs="宋体"/>
          <w:color w:val="auto"/>
          <w:sz w:val="32"/>
          <w:highlight w:val="none"/>
        </w:rPr>
        <w:t>日        期：</w:t>
      </w:r>
      <w:r>
        <w:rPr>
          <w:rFonts w:hint="eastAsia" w:ascii="宋体" w:hAnsi="宋体" w:cs="宋体"/>
          <w:color w:val="auto"/>
          <w:sz w:val="32"/>
          <w:highlight w:val="none"/>
          <w:u w:val="single"/>
          <w:lang w:eastAsia="zh-CN"/>
        </w:rPr>
        <w:t>2025</w:t>
      </w:r>
      <w:r>
        <w:rPr>
          <w:rFonts w:hint="eastAsia" w:ascii="宋体" w:hAnsi="宋体" w:cs="宋体"/>
          <w:color w:val="auto"/>
          <w:sz w:val="32"/>
          <w:highlight w:val="none"/>
        </w:rPr>
        <w:t>年</w:t>
      </w:r>
      <w:r>
        <w:rPr>
          <w:rFonts w:hint="eastAsia" w:ascii="宋体" w:hAnsi="宋体" w:cs="宋体"/>
          <w:color w:val="auto"/>
          <w:sz w:val="32"/>
          <w:highlight w:val="none"/>
          <w:u w:val="single"/>
          <w:lang w:val="en-US" w:eastAsia="zh-CN"/>
        </w:rPr>
        <w:t>6</w:t>
      </w:r>
      <w:r>
        <w:rPr>
          <w:rFonts w:hint="eastAsia" w:ascii="宋体" w:hAnsi="宋体" w:cs="宋体"/>
          <w:color w:val="auto"/>
          <w:sz w:val="32"/>
          <w:highlight w:val="none"/>
        </w:rPr>
        <w:t>月</w:t>
      </w:r>
      <w:r>
        <w:rPr>
          <w:rFonts w:hint="eastAsia" w:ascii="宋体" w:hAnsi="宋体" w:cs="宋体"/>
          <w:color w:val="auto"/>
          <w:sz w:val="32"/>
          <w:highlight w:val="none"/>
          <w:u w:val="single"/>
        </w:rPr>
        <w:t xml:space="preserve">  </w:t>
      </w:r>
      <w:r>
        <w:rPr>
          <w:rFonts w:hint="eastAsia" w:ascii="宋体" w:hAnsi="宋体" w:cs="宋体"/>
          <w:color w:val="auto"/>
          <w:sz w:val="32"/>
          <w:highlight w:val="none"/>
        </w:rPr>
        <w:t>日</w:t>
      </w:r>
    </w:p>
    <w:p>
      <w:pPr>
        <w:jc w:val="center"/>
        <w:rPr>
          <w:rStyle w:val="49"/>
          <w:rFonts w:ascii="宋体" w:hAnsi="宋体" w:cs="宋体"/>
          <w:b/>
          <w:bCs/>
          <w:color w:val="auto"/>
          <w:sz w:val="28"/>
          <w:szCs w:val="28"/>
          <w:highlight w:val="none"/>
        </w:rPr>
        <w:sectPr>
          <w:headerReference r:id="rId5" w:type="first"/>
          <w:footerReference r:id="rId8" w:type="first"/>
          <w:headerReference r:id="rId3" w:type="default"/>
          <w:footerReference r:id="rId6" w:type="default"/>
          <w:headerReference r:id="rId4" w:type="even"/>
          <w:footerReference r:id="rId7" w:type="even"/>
          <w:endnotePr>
            <w:numFmt w:val="decimal"/>
          </w:endnotePr>
          <w:pgSz w:w="11906" w:h="16838"/>
          <w:pgMar w:top="1134" w:right="1418" w:bottom="1247" w:left="1418" w:header="851" w:footer="907" w:gutter="0"/>
          <w:pgNumType w:fmt="decimal"/>
          <w:cols w:space="720" w:num="1"/>
          <w:titlePg/>
          <w:docGrid w:type="lines" w:linePitch="312" w:charSpace="0"/>
        </w:sectPr>
      </w:pPr>
    </w:p>
    <w:p>
      <w:pPr>
        <w:spacing w:before="156" w:beforeLines="50" w:after="156" w:afterLines="50"/>
        <w:jc w:val="center"/>
        <w:rPr>
          <w:rFonts w:ascii="宋体" w:hAnsi="宋体" w:cs="宋体"/>
          <w:b/>
          <w:caps/>
          <w:color w:val="auto"/>
          <w:kern w:val="0"/>
          <w:sz w:val="36"/>
          <w:szCs w:val="36"/>
          <w:highlight w:val="none"/>
        </w:rPr>
      </w:pPr>
      <w:r>
        <w:rPr>
          <w:rStyle w:val="49"/>
          <w:rFonts w:hint="eastAsia" w:ascii="宋体" w:hAnsi="宋体" w:cs="宋体"/>
          <w:b/>
          <w:bCs/>
          <w:color w:val="auto"/>
          <w:sz w:val="36"/>
          <w:szCs w:val="36"/>
          <w:highlight w:val="none"/>
        </w:rPr>
        <w:t>目  录</w:t>
      </w:r>
    </w:p>
    <w:p>
      <w:pPr>
        <w:pStyle w:val="28"/>
        <w:tabs>
          <w:tab w:val="right" w:leader="dot" w:pos="9070"/>
          <w:tab w:val="clear" w:pos="9060"/>
        </w:tabs>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TOC \o "1-3" \h \z \u </w:instrText>
      </w:r>
      <w:r>
        <w:rPr>
          <w:rFonts w:hint="eastAsia" w:ascii="宋体" w:hAnsi="宋体" w:eastAsia="宋体" w:cs="宋体"/>
          <w:color w:val="auto"/>
          <w:highlight w:val="none"/>
        </w:rPr>
        <w:fldChar w:fldCharType="separate"/>
      </w: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_Toc17092 </w:instrText>
      </w:r>
      <w:r>
        <w:rPr>
          <w:rFonts w:hint="eastAsia" w:ascii="宋体" w:hAnsi="宋体" w:eastAsia="宋体" w:cs="宋体"/>
          <w:kern w:val="44"/>
          <w:szCs w:val="28"/>
          <w:highlight w:val="none"/>
        </w:rPr>
        <w:fldChar w:fldCharType="separate"/>
      </w:r>
      <w:r>
        <w:rPr>
          <w:rFonts w:hint="eastAsia" w:ascii="宋体" w:hAnsi="宋体" w:cs="宋体"/>
          <w:highlight w:val="none"/>
        </w:rPr>
        <w:t>第一章  投标须知</w:t>
      </w:r>
      <w:r>
        <w:tab/>
      </w:r>
      <w:r>
        <w:fldChar w:fldCharType="begin"/>
      </w:r>
      <w:r>
        <w:instrText xml:space="preserve"> PAGEREF _Toc17092 \h </w:instrText>
      </w:r>
      <w:r>
        <w:fldChar w:fldCharType="separate"/>
      </w:r>
      <w:r>
        <w:t>1</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_Toc8957 </w:instrText>
      </w:r>
      <w:r>
        <w:rPr>
          <w:rFonts w:hint="eastAsia" w:ascii="宋体" w:hAnsi="宋体" w:eastAsia="宋体" w:cs="宋体"/>
          <w:kern w:val="44"/>
          <w:szCs w:val="28"/>
          <w:highlight w:val="none"/>
        </w:rPr>
        <w:fldChar w:fldCharType="separate"/>
      </w:r>
      <w:r>
        <w:rPr>
          <w:rFonts w:hint="eastAsia" w:ascii="宋体" w:hAnsi="宋体" w:cs="宋体"/>
          <w:highlight w:val="none"/>
        </w:rPr>
        <w:t>一、投标须知前附表</w:t>
      </w:r>
      <w:r>
        <w:tab/>
      </w:r>
      <w:r>
        <w:fldChar w:fldCharType="begin"/>
      </w:r>
      <w:r>
        <w:instrText xml:space="preserve"> PAGEREF _Toc8957 \h </w:instrText>
      </w:r>
      <w:r>
        <w:fldChar w:fldCharType="separate"/>
      </w:r>
      <w:r>
        <w:t>1</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_Toc13138 </w:instrText>
      </w:r>
      <w:r>
        <w:rPr>
          <w:rFonts w:hint="eastAsia" w:ascii="宋体" w:hAnsi="宋体" w:eastAsia="宋体" w:cs="宋体"/>
          <w:kern w:val="44"/>
          <w:szCs w:val="28"/>
          <w:highlight w:val="none"/>
        </w:rPr>
        <w:fldChar w:fldCharType="separate"/>
      </w:r>
      <w:r>
        <w:rPr>
          <w:rFonts w:hint="eastAsia" w:ascii="宋体" w:hAnsi="宋体" w:cs="宋体"/>
          <w:kern w:val="0"/>
          <w:szCs w:val="24"/>
          <w:highlight w:val="none"/>
        </w:rPr>
        <w:t>二、投标须知修改表</w:t>
      </w:r>
      <w:r>
        <w:tab/>
      </w:r>
      <w:r>
        <w:fldChar w:fldCharType="begin"/>
      </w:r>
      <w:r>
        <w:instrText xml:space="preserve"> PAGEREF _Toc13138 \h </w:instrText>
      </w:r>
      <w:r>
        <w:fldChar w:fldCharType="separate"/>
      </w:r>
      <w:r>
        <w:t>6</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_Toc23813 </w:instrText>
      </w:r>
      <w:r>
        <w:rPr>
          <w:rFonts w:hint="eastAsia" w:ascii="宋体" w:hAnsi="宋体" w:eastAsia="宋体" w:cs="宋体"/>
          <w:kern w:val="44"/>
          <w:szCs w:val="28"/>
          <w:highlight w:val="none"/>
        </w:rPr>
        <w:fldChar w:fldCharType="separate"/>
      </w:r>
      <w:r>
        <w:rPr>
          <w:rFonts w:hint="eastAsia" w:asciiTheme="minorEastAsia" w:hAnsiTheme="minorEastAsia" w:eastAsiaTheme="minorEastAsia" w:cstheme="minorEastAsia"/>
          <w:szCs w:val="24"/>
          <w:highlight w:val="none"/>
        </w:rPr>
        <w:t>三、投标须知通用条款</w:t>
      </w:r>
      <w:r>
        <w:tab/>
      </w:r>
      <w:r>
        <w:fldChar w:fldCharType="begin"/>
      </w:r>
      <w:r>
        <w:instrText xml:space="preserve"> PAGEREF _Toc23813 \h </w:instrText>
      </w:r>
      <w:r>
        <w:fldChar w:fldCharType="separate"/>
      </w:r>
      <w:r>
        <w:t>19</w:t>
      </w:r>
      <w:r>
        <w:fldChar w:fldCharType="end"/>
      </w:r>
      <w:r>
        <w:rPr>
          <w:rFonts w:hint="eastAsia" w:ascii="宋体" w:hAnsi="宋体" w:eastAsia="宋体" w:cs="宋体"/>
          <w:color w:val="auto"/>
          <w:kern w:val="44"/>
          <w:szCs w:val="28"/>
          <w:highlight w:val="none"/>
        </w:rPr>
        <w:fldChar w:fldCharType="end"/>
      </w:r>
    </w:p>
    <w:p>
      <w:pPr>
        <w:pStyle w:val="20"/>
        <w:tabs>
          <w:tab w:val="right" w:leader="dot" w:pos="9070"/>
        </w:tabs>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_Toc18121 </w:instrText>
      </w:r>
      <w:r>
        <w:rPr>
          <w:rFonts w:hint="eastAsia" w:ascii="宋体" w:hAnsi="宋体" w:eastAsia="宋体" w:cs="宋体"/>
          <w:kern w:val="44"/>
          <w:szCs w:val="28"/>
          <w:highlight w:val="none"/>
        </w:rPr>
        <w:fldChar w:fldCharType="separate"/>
      </w:r>
      <w:r>
        <w:rPr>
          <w:rFonts w:hint="eastAsia" w:asciiTheme="minorEastAsia" w:hAnsiTheme="minorEastAsia" w:eastAsiaTheme="minorEastAsia" w:cstheme="minorEastAsia"/>
          <w:szCs w:val="24"/>
          <w:highlight w:val="none"/>
        </w:rPr>
        <w:t>（一）总则</w:t>
      </w:r>
      <w:r>
        <w:tab/>
      </w:r>
      <w:r>
        <w:fldChar w:fldCharType="begin"/>
      </w:r>
      <w:r>
        <w:instrText xml:space="preserve"> PAGEREF _Toc18121 \h </w:instrText>
      </w:r>
      <w:r>
        <w:fldChar w:fldCharType="separate"/>
      </w:r>
      <w:r>
        <w:t>19</w:t>
      </w:r>
      <w:r>
        <w:fldChar w:fldCharType="end"/>
      </w:r>
      <w:r>
        <w:rPr>
          <w:rFonts w:hint="eastAsia" w:ascii="宋体" w:hAnsi="宋体" w:eastAsia="宋体" w:cs="宋体"/>
          <w:color w:val="auto"/>
          <w:kern w:val="44"/>
          <w:szCs w:val="28"/>
          <w:highlight w:val="none"/>
        </w:rPr>
        <w:fldChar w:fldCharType="end"/>
      </w:r>
    </w:p>
    <w:p>
      <w:pPr>
        <w:pStyle w:val="20"/>
        <w:tabs>
          <w:tab w:val="right" w:leader="dot" w:pos="9070"/>
        </w:tabs>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_Toc12310 </w:instrText>
      </w:r>
      <w:r>
        <w:rPr>
          <w:rFonts w:hint="eastAsia" w:ascii="宋体" w:hAnsi="宋体" w:eastAsia="宋体" w:cs="宋体"/>
          <w:kern w:val="44"/>
          <w:szCs w:val="28"/>
          <w:highlight w:val="none"/>
        </w:rPr>
        <w:fldChar w:fldCharType="separate"/>
      </w:r>
      <w:r>
        <w:rPr>
          <w:rFonts w:hint="eastAsia" w:asciiTheme="minorEastAsia" w:hAnsiTheme="minorEastAsia" w:eastAsiaTheme="minorEastAsia" w:cstheme="minorEastAsia"/>
          <w:szCs w:val="24"/>
          <w:highlight w:val="none"/>
        </w:rPr>
        <w:t>（二）招标文件</w:t>
      </w:r>
      <w:r>
        <w:tab/>
      </w:r>
      <w:r>
        <w:fldChar w:fldCharType="begin"/>
      </w:r>
      <w:r>
        <w:instrText xml:space="preserve"> PAGEREF _Toc12310 \h </w:instrText>
      </w:r>
      <w:r>
        <w:fldChar w:fldCharType="separate"/>
      </w:r>
      <w:r>
        <w:t>20</w:t>
      </w:r>
      <w:r>
        <w:fldChar w:fldCharType="end"/>
      </w:r>
      <w:r>
        <w:rPr>
          <w:rFonts w:hint="eastAsia" w:ascii="宋体" w:hAnsi="宋体" w:eastAsia="宋体" w:cs="宋体"/>
          <w:color w:val="auto"/>
          <w:kern w:val="44"/>
          <w:szCs w:val="28"/>
          <w:highlight w:val="none"/>
        </w:rPr>
        <w:fldChar w:fldCharType="end"/>
      </w:r>
    </w:p>
    <w:p>
      <w:pPr>
        <w:pStyle w:val="20"/>
        <w:tabs>
          <w:tab w:val="right" w:leader="dot" w:pos="9070"/>
        </w:tabs>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_Toc11987 </w:instrText>
      </w:r>
      <w:r>
        <w:rPr>
          <w:rFonts w:hint="eastAsia" w:ascii="宋体" w:hAnsi="宋体" w:eastAsia="宋体" w:cs="宋体"/>
          <w:kern w:val="44"/>
          <w:szCs w:val="28"/>
          <w:highlight w:val="none"/>
        </w:rPr>
        <w:fldChar w:fldCharType="separate"/>
      </w:r>
      <w:r>
        <w:rPr>
          <w:rFonts w:hint="eastAsia" w:asciiTheme="minorEastAsia" w:hAnsiTheme="minorEastAsia" w:eastAsiaTheme="minorEastAsia" w:cstheme="minorEastAsia"/>
          <w:szCs w:val="24"/>
          <w:highlight w:val="none"/>
        </w:rPr>
        <w:t>（三）投标文件的编制</w:t>
      </w:r>
      <w:r>
        <w:tab/>
      </w:r>
      <w:r>
        <w:fldChar w:fldCharType="begin"/>
      </w:r>
      <w:r>
        <w:instrText xml:space="preserve"> PAGEREF _Toc11987 \h </w:instrText>
      </w:r>
      <w:r>
        <w:fldChar w:fldCharType="separate"/>
      </w:r>
      <w:r>
        <w:t>21</w:t>
      </w:r>
      <w:r>
        <w:fldChar w:fldCharType="end"/>
      </w:r>
      <w:r>
        <w:rPr>
          <w:rFonts w:hint="eastAsia" w:ascii="宋体" w:hAnsi="宋体" w:eastAsia="宋体" w:cs="宋体"/>
          <w:color w:val="auto"/>
          <w:kern w:val="44"/>
          <w:szCs w:val="28"/>
          <w:highlight w:val="none"/>
        </w:rPr>
        <w:fldChar w:fldCharType="end"/>
      </w:r>
    </w:p>
    <w:p>
      <w:pPr>
        <w:pStyle w:val="20"/>
        <w:tabs>
          <w:tab w:val="right" w:leader="dot" w:pos="9070"/>
        </w:tabs>
        <w:rPr>
          <w:rFonts w:hint="default" w:eastAsia="宋体"/>
          <w:lang w:val="en-US"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_Toc14173 </w:instrText>
      </w:r>
      <w:r>
        <w:rPr>
          <w:rFonts w:hint="eastAsia" w:ascii="宋体" w:hAnsi="宋体" w:eastAsia="宋体" w:cs="宋体"/>
          <w:kern w:val="44"/>
          <w:szCs w:val="28"/>
          <w:highlight w:val="none"/>
        </w:rPr>
        <w:fldChar w:fldCharType="separate"/>
      </w:r>
      <w:r>
        <w:rPr>
          <w:rFonts w:hint="eastAsia" w:asciiTheme="minorEastAsia" w:hAnsiTheme="minorEastAsia" w:eastAsiaTheme="minorEastAsia" w:cstheme="minorEastAsia"/>
          <w:szCs w:val="24"/>
          <w:highlight w:val="none"/>
        </w:rPr>
        <w:t>（四）投标文件的提交</w:t>
      </w:r>
      <w:r>
        <w:tab/>
      </w:r>
      <w:r>
        <w:rPr>
          <w:rFonts w:hint="eastAsia" w:ascii="宋体" w:hAnsi="宋体" w:eastAsia="宋体" w:cs="宋体"/>
          <w:color w:val="auto"/>
          <w:kern w:val="44"/>
          <w:szCs w:val="28"/>
          <w:highlight w:val="none"/>
        </w:rPr>
        <w:fldChar w:fldCharType="end"/>
      </w:r>
      <w:r>
        <w:rPr>
          <w:rFonts w:hint="eastAsia"/>
          <w:lang w:val="en-US" w:eastAsia="zh-CN"/>
        </w:rPr>
        <w:t>28</w:t>
      </w:r>
    </w:p>
    <w:p>
      <w:pPr>
        <w:pStyle w:val="20"/>
        <w:tabs>
          <w:tab w:val="right" w:leader="dot" w:pos="907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_Toc12654 </w:instrText>
      </w:r>
      <w:r>
        <w:rPr>
          <w:rFonts w:hint="eastAsia" w:ascii="宋体" w:hAnsi="宋体" w:eastAsia="宋体" w:cs="宋体"/>
          <w:kern w:val="44"/>
          <w:szCs w:val="28"/>
          <w:highlight w:val="none"/>
        </w:rPr>
        <w:fldChar w:fldCharType="separate"/>
      </w:r>
      <w:r>
        <w:rPr>
          <w:rFonts w:hint="eastAsia" w:asciiTheme="minorEastAsia" w:hAnsiTheme="minorEastAsia" w:eastAsiaTheme="minorEastAsia" w:cstheme="minorEastAsia"/>
          <w:szCs w:val="24"/>
          <w:highlight w:val="none"/>
        </w:rPr>
        <w:t>（五）开标、评标、定标及合同签定</w:t>
      </w:r>
      <w:r>
        <w:tab/>
      </w:r>
      <w:r>
        <w:fldChar w:fldCharType="begin"/>
      </w:r>
      <w:r>
        <w:instrText xml:space="preserve"> PAGEREF _Toc12654 \h </w:instrText>
      </w:r>
      <w:r>
        <w:fldChar w:fldCharType="separate"/>
      </w:r>
      <w:r>
        <w:t>29</w:t>
      </w:r>
      <w:r>
        <w:fldChar w:fldCharType="end"/>
      </w:r>
      <w:r>
        <w:rPr>
          <w:rFonts w:hint="eastAsia" w:ascii="宋体" w:hAnsi="宋体" w:eastAsia="宋体" w:cs="宋体"/>
          <w:color w:val="auto"/>
          <w:kern w:val="44"/>
          <w:szCs w:val="28"/>
          <w:highlight w:val="none"/>
        </w:rPr>
        <w:fldChar w:fldCharType="end"/>
      </w:r>
    </w:p>
    <w:p>
      <w:pPr>
        <w:pStyle w:val="28"/>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_Toc25178 </w:instrText>
      </w:r>
      <w:r>
        <w:rPr>
          <w:rFonts w:hint="eastAsia" w:ascii="宋体" w:hAnsi="宋体" w:eastAsia="宋体" w:cs="宋体"/>
          <w:kern w:val="44"/>
          <w:szCs w:val="28"/>
          <w:highlight w:val="none"/>
        </w:rPr>
        <w:fldChar w:fldCharType="separate"/>
      </w:r>
      <w:r>
        <w:rPr>
          <w:rFonts w:hint="eastAsia" w:ascii="宋体" w:hAnsi="宋体" w:cs="宋体"/>
          <w:highlight w:val="none"/>
        </w:rPr>
        <w:t>第二章  开标、评标及定标办法</w:t>
      </w:r>
      <w:r>
        <w:tab/>
      </w:r>
      <w:r>
        <w:fldChar w:fldCharType="begin"/>
      </w:r>
      <w:r>
        <w:instrText xml:space="preserve"> PAGEREF _Toc25178 \h </w:instrText>
      </w:r>
      <w:r>
        <w:fldChar w:fldCharType="separate"/>
      </w:r>
      <w:r>
        <w:t>32</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_Toc9133 </w:instrText>
      </w:r>
      <w:r>
        <w:rPr>
          <w:rFonts w:hint="eastAsia" w:ascii="宋体" w:hAnsi="宋体" w:eastAsia="宋体" w:cs="宋体"/>
          <w:kern w:val="44"/>
          <w:szCs w:val="28"/>
          <w:highlight w:val="none"/>
        </w:rPr>
        <w:fldChar w:fldCharType="separate"/>
      </w:r>
      <w:r>
        <w:rPr>
          <w:rFonts w:hint="eastAsia" w:ascii="宋体" w:hAnsi="宋体" w:cs="宋体"/>
          <w:szCs w:val="28"/>
          <w:highlight w:val="none"/>
        </w:rPr>
        <w:t>一、</w:t>
      </w:r>
      <w:r>
        <w:rPr>
          <w:rFonts w:hint="eastAsia" w:ascii="宋体" w:hAnsi="宋体" w:cs="宋体"/>
          <w:highlight w:val="none"/>
        </w:rPr>
        <w:t>开标、评标及定标办法修改表</w:t>
      </w:r>
      <w:r>
        <w:tab/>
      </w:r>
      <w:r>
        <w:fldChar w:fldCharType="begin"/>
      </w:r>
      <w:r>
        <w:instrText xml:space="preserve"> PAGEREF _Toc9133 \h </w:instrText>
      </w:r>
      <w:r>
        <w:fldChar w:fldCharType="separate"/>
      </w:r>
      <w:r>
        <w:t>32</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_Toc3869 </w:instrText>
      </w:r>
      <w:r>
        <w:rPr>
          <w:rFonts w:hint="eastAsia" w:ascii="宋体" w:hAnsi="宋体" w:eastAsia="宋体" w:cs="宋体"/>
          <w:kern w:val="44"/>
          <w:szCs w:val="28"/>
          <w:highlight w:val="none"/>
        </w:rPr>
        <w:fldChar w:fldCharType="separate"/>
      </w:r>
      <w:r>
        <w:rPr>
          <w:rFonts w:hint="eastAsia" w:ascii="宋体" w:hAnsi="宋体" w:cs="宋体"/>
          <w:highlight w:val="none"/>
        </w:rPr>
        <w:t>二、开标、评标及定标办法</w:t>
      </w:r>
      <w:r>
        <w:rPr>
          <w:rFonts w:hint="eastAsia" w:ascii="宋体" w:hAnsi="宋体" w:cs="宋体"/>
          <w:szCs w:val="30"/>
          <w:highlight w:val="none"/>
        </w:rPr>
        <w:t>通用条款</w:t>
      </w:r>
      <w:r>
        <w:tab/>
      </w:r>
      <w:r>
        <w:fldChar w:fldCharType="begin"/>
      </w:r>
      <w:r>
        <w:instrText xml:space="preserve"> PAGEREF _Toc3869 \h </w:instrText>
      </w:r>
      <w:r>
        <w:fldChar w:fldCharType="separate"/>
      </w:r>
      <w:r>
        <w:t>38</w:t>
      </w:r>
      <w:r>
        <w:fldChar w:fldCharType="end"/>
      </w:r>
      <w:r>
        <w:rPr>
          <w:rFonts w:hint="eastAsia" w:ascii="宋体" w:hAnsi="宋体" w:eastAsia="宋体" w:cs="宋体"/>
          <w:color w:val="auto"/>
          <w:kern w:val="44"/>
          <w:szCs w:val="28"/>
          <w:highlight w:val="none"/>
        </w:rPr>
        <w:fldChar w:fldCharType="end"/>
      </w:r>
    </w:p>
    <w:p>
      <w:pPr>
        <w:pStyle w:val="20"/>
        <w:tabs>
          <w:tab w:val="right" w:leader="dot" w:pos="907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_Toc31614 </w:instrText>
      </w:r>
      <w:r>
        <w:rPr>
          <w:rFonts w:hint="eastAsia" w:ascii="宋体" w:hAnsi="宋体" w:eastAsia="宋体" w:cs="宋体"/>
          <w:kern w:val="44"/>
          <w:szCs w:val="28"/>
          <w:highlight w:val="none"/>
        </w:rPr>
        <w:fldChar w:fldCharType="separate"/>
      </w:r>
      <w:r>
        <w:rPr>
          <w:rFonts w:hint="eastAsia"/>
          <w:highlight w:val="none"/>
        </w:rPr>
        <w:t>（一）总则</w:t>
      </w:r>
      <w:r>
        <w:tab/>
      </w:r>
      <w:r>
        <w:fldChar w:fldCharType="begin"/>
      </w:r>
      <w:r>
        <w:instrText xml:space="preserve"> PAGEREF _Toc31614 \h </w:instrText>
      </w:r>
      <w:r>
        <w:fldChar w:fldCharType="separate"/>
      </w:r>
      <w:r>
        <w:t>38</w:t>
      </w:r>
      <w:r>
        <w:fldChar w:fldCharType="end"/>
      </w:r>
      <w:r>
        <w:rPr>
          <w:rFonts w:hint="eastAsia" w:ascii="宋体" w:hAnsi="宋体" w:eastAsia="宋体" w:cs="宋体"/>
          <w:color w:val="auto"/>
          <w:kern w:val="44"/>
          <w:szCs w:val="28"/>
          <w:highlight w:val="none"/>
        </w:rPr>
        <w:fldChar w:fldCharType="end"/>
      </w:r>
    </w:p>
    <w:p>
      <w:pPr>
        <w:pStyle w:val="20"/>
        <w:tabs>
          <w:tab w:val="right" w:leader="dot" w:pos="9070"/>
        </w:tabs>
        <w:rPr>
          <w:rFonts w:hint="default" w:eastAsia="宋体"/>
          <w:lang w:val="en-US"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_Toc13179 </w:instrText>
      </w:r>
      <w:r>
        <w:rPr>
          <w:rFonts w:hint="eastAsia" w:ascii="宋体" w:hAnsi="宋体" w:eastAsia="宋体" w:cs="宋体"/>
          <w:kern w:val="44"/>
          <w:szCs w:val="28"/>
          <w:highlight w:val="none"/>
        </w:rPr>
        <w:fldChar w:fldCharType="separate"/>
      </w:r>
      <w:r>
        <w:rPr>
          <w:rFonts w:hint="eastAsia"/>
          <w:highlight w:val="none"/>
        </w:rPr>
        <w:t>（二）开标评标办法程序和细则</w:t>
      </w:r>
      <w:r>
        <w:tab/>
      </w:r>
      <w:r>
        <w:rPr>
          <w:rFonts w:hint="eastAsia" w:ascii="宋体" w:hAnsi="宋体" w:eastAsia="宋体" w:cs="宋体"/>
          <w:color w:val="auto"/>
          <w:kern w:val="44"/>
          <w:szCs w:val="28"/>
          <w:highlight w:val="none"/>
        </w:rPr>
        <w:fldChar w:fldCharType="end"/>
      </w:r>
      <w:r>
        <w:rPr>
          <w:rFonts w:hint="eastAsia"/>
          <w:lang w:val="en-US" w:eastAsia="zh-CN"/>
        </w:rPr>
        <w:t>41</w:t>
      </w:r>
    </w:p>
    <w:p>
      <w:pPr>
        <w:pStyle w:val="20"/>
        <w:tabs>
          <w:tab w:val="right" w:leader="dot" w:pos="9070"/>
        </w:tabs>
        <w:rPr>
          <w:rFonts w:hint="default" w:eastAsia="宋体"/>
          <w:lang w:val="en-US"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_Toc9744 </w:instrText>
      </w:r>
      <w:r>
        <w:rPr>
          <w:rFonts w:hint="eastAsia" w:ascii="宋体" w:hAnsi="宋体" w:eastAsia="宋体" w:cs="宋体"/>
          <w:kern w:val="44"/>
          <w:szCs w:val="28"/>
          <w:highlight w:val="none"/>
        </w:rPr>
        <w:fldChar w:fldCharType="separate"/>
      </w:r>
      <w:r>
        <w:rPr>
          <w:rFonts w:hint="eastAsia"/>
          <w:highlight w:val="none"/>
        </w:rPr>
        <w:t>可选办法七（适合综合评分法四，技术标与经济标同时开启）</w:t>
      </w:r>
      <w:r>
        <w:tab/>
      </w:r>
      <w:r>
        <w:rPr>
          <w:rFonts w:hint="eastAsia" w:ascii="宋体" w:hAnsi="宋体" w:eastAsia="宋体" w:cs="宋体"/>
          <w:color w:val="auto"/>
          <w:kern w:val="44"/>
          <w:szCs w:val="28"/>
          <w:highlight w:val="none"/>
        </w:rPr>
        <w:fldChar w:fldCharType="end"/>
      </w:r>
      <w:r>
        <w:rPr>
          <w:rFonts w:hint="eastAsia"/>
          <w:lang w:val="en-US" w:eastAsia="zh-CN"/>
        </w:rPr>
        <w:t>41</w:t>
      </w:r>
    </w:p>
    <w:p>
      <w:pPr>
        <w:pStyle w:val="20"/>
        <w:tabs>
          <w:tab w:val="right" w:leader="dot" w:pos="907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_Toc18755 </w:instrText>
      </w:r>
      <w:r>
        <w:rPr>
          <w:rFonts w:hint="eastAsia" w:ascii="宋体" w:hAnsi="宋体" w:eastAsia="宋体" w:cs="宋体"/>
          <w:kern w:val="44"/>
          <w:szCs w:val="28"/>
          <w:highlight w:val="none"/>
        </w:rPr>
        <w:fldChar w:fldCharType="separate"/>
      </w:r>
      <w:r>
        <w:rPr>
          <w:rFonts w:hint="eastAsia" w:ascii="宋体" w:hAnsi="宋体" w:cs="宋体"/>
          <w:szCs w:val="32"/>
          <w:highlight w:val="none"/>
        </w:rPr>
        <w:t>资格审查表</w:t>
      </w:r>
      <w:r>
        <w:tab/>
      </w:r>
      <w:r>
        <w:fldChar w:fldCharType="begin"/>
      </w:r>
      <w:r>
        <w:instrText xml:space="preserve"> PAGEREF _Toc18755 \h </w:instrText>
      </w:r>
      <w:r>
        <w:fldChar w:fldCharType="separate"/>
      </w:r>
      <w:r>
        <w:t>48</w:t>
      </w:r>
      <w:r>
        <w:fldChar w:fldCharType="end"/>
      </w:r>
      <w:r>
        <w:rPr>
          <w:rFonts w:hint="eastAsia" w:ascii="宋体" w:hAnsi="宋体" w:eastAsia="宋体" w:cs="宋体"/>
          <w:color w:val="auto"/>
          <w:kern w:val="44"/>
          <w:szCs w:val="28"/>
          <w:highlight w:val="none"/>
        </w:rPr>
        <w:fldChar w:fldCharType="end"/>
      </w:r>
    </w:p>
    <w:p>
      <w:pPr>
        <w:pStyle w:val="20"/>
        <w:tabs>
          <w:tab w:val="right" w:leader="dot" w:pos="907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_Toc16647 </w:instrText>
      </w:r>
      <w:r>
        <w:rPr>
          <w:rFonts w:hint="eastAsia" w:ascii="宋体" w:hAnsi="宋体" w:eastAsia="宋体" w:cs="宋体"/>
          <w:kern w:val="44"/>
          <w:szCs w:val="28"/>
          <w:highlight w:val="none"/>
        </w:rPr>
        <w:fldChar w:fldCharType="separate"/>
      </w:r>
      <w:r>
        <w:rPr>
          <w:rFonts w:hint="eastAsia" w:ascii="宋体" w:hAnsi="宋体" w:cs="宋体"/>
          <w:szCs w:val="36"/>
          <w:highlight w:val="none"/>
        </w:rPr>
        <w:t>技术标有效性审查表</w:t>
      </w:r>
      <w:r>
        <w:tab/>
      </w:r>
      <w:r>
        <w:fldChar w:fldCharType="begin"/>
      </w:r>
      <w:r>
        <w:instrText xml:space="preserve"> PAGEREF _Toc16647 \h </w:instrText>
      </w:r>
      <w:r>
        <w:fldChar w:fldCharType="separate"/>
      </w:r>
      <w:r>
        <w:t>50</w:t>
      </w:r>
      <w:r>
        <w:fldChar w:fldCharType="end"/>
      </w:r>
      <w:r>
        <w:rPr>
          <w:rFonts w:hint="eastAsia" w:ascii="宋体" w:hAnsi="宋体" w:eastAsia="宋体" w:cs="宋体"/>
          <w:color w:val="auto"/>
          <w:kern w:val="44"/>
          <w:szCs w:val="28"/>
          <w:highlight w:val="none"/>
        </w:rPr>
        <w:fldChar w:fldCharType="end"/>
      </w:r>
    </w:p>
    <w:p>
      <w:pPr>
        <w:pStyle w:val="20"/>
        <w:tabs>
          <w:tab w:val="right" w:leader="dot" w:pos="9070"/>
        </w:tabs>
        <w:rPr>
          <w:rFonts w:hint="default" w:eastAsia="宋体"/>
          <w:lang w:val="en-US"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_Toc24399 </w:instrText>
      </w:r>
      <w:r>
        <w:rPr>
          <w:rFonts w:hint="eastAsia" w:ascii="宋体" w:hAnsi="宋体" w:eastAsia="宋体" w:cs="宋体"/>
          <w:kern w:val="44"/>
          <w:szCs w:val="28"/>
          <w:highlight w:val="none"/>
        </w:rPr>
        <w:fldChar w:fldCharType="separate"/>
      </w:r>
      <w:r>
        <w:rPr>
          <w:rFonts w:hint="eastAsia" w:ascii="宋体" w:hAnsi="宋体" w:cs="宋体"/>
          <w:szCs w:val="36"/>
          <w:highlight w:val="none"/>
        </w:rPr>
        <w:t>经济标有效性审查表</w:t>
      </w:r>
      <w:r>
        <w:tab/>
      </w:r>
      <w:r>
        <w:rPr>
          <w:rFonts w:hint="eastAsia" w:ascii="宋体" w:hAnsi="宋体" w:eastAsia="宋体" w:cs="宋体"/>
          <w:color w:val="auto"/>
          <w:kern w:val="44"/>
          <w:szCs w:val="28"/>
          <w:highlight w:val="none"/>
        </w:rPr>
        <w:fldChar w:fldCharType="end"/>
      </w:r>
      <w:r>
        <w:rPr>
          <w:rFonts w:hint="eastAsia"/>
          <w:lang w:val="en-US" w:eastAsia="zh-CN"/>
        </w:rPr>
        <w:t>51</w:t>
      </w:r>
    </w:p>
    <w:p>
      <w:pPr>
        <w:pStyle w:val="20"/>
        <w:tabs>
          <w:tab w:val="right" w:leader="dot" w:pos="907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_Toc13995 </w:instrText>
      </w:r>
      <w:r>
        <w:rPr>
          <w:rFonts w:hint="eastAsia" w:ascii="宋体" w:hAnsi="宋体" w:eastAsia="宋体" w:cs="宋体"/>
          <w:kern w:val="44"/>
          <w:szCs w:val="28"/>
          <w:highlight w:val="none"/>
        </w:rPr>
        <w:fldChar w:fldCharType="separate"/>
      </w:r>
      <w:r>
        <w:rPr>
          <w:rFonts w:hint="eastAsia" w:ascii="宋体" w:hAnsi="宋体" w:cs="宋体"/>
          <w:szCs w:val="36"/>
          <w:highlight w:val="none"/>
        </w:rPr>
        <w:t>技术标详细审查评分表</w:t>
      </w:r>
      <w:r>
        <w:tab/>
      </w:r>
      <w:r>
        <w:fldChar w:fldCharType="begin"/>
      </w:r>
      <w:r>
        <w:instrText xml:space="preserve"> PAGEREF _Toc13995 \h </w:instrText>
      </w:r>
      <w:r>
        <w:fldChar w:fldCharType="separate"/>
      </w:r>
      <w:r>
        <w:t>53</w:t>
      </w:r>
      <w:r>
        <w:fldChar w:fldCharType="end"/>
      </w:r>
      <w:r>
        <w:rPr>
          <w:rFonts w:hint="eastAsia" w:ascii="宋体" w:hAnsi="宋体" w:eastAsia="宋体" w:cs="宋体"/>
          <w:color w:val="auto"/>
          <w:kern w:val="44"/>
          <w:szCs w:val="28"/>
          <w:highlight w:val="none"/>
        </w:rPr>
        <w:fldChar w:fldCharType="end"/>
      </w:r>
    </w:p>
    <w:p>
      <w:pPr>
        <w:pStyle w:val="20"/>
        <w:tabs>
          <w:tab w:val="right" w:leader="dot" w:pos="907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_Toc4395 </w:instrText>
      </w:r>
      <w:r>
        <w:rPr>
          <w:rFonts w:hint="eastAsia" w:ascii="宋体" w:hAnsi="宋体" w:eastAsia="宋体" w:cs="宋体"/>
          <w:kern w:val="44"/>
          <w:szCs w:val="28"/>
          <w:highlight w:val="none"/>
        </w:rPr>
        <w:fldChar w:fldCharType="separate"/>
      </w:r>
      <w:r>
        <w:rPr>
          <w:rFonts w:hint="eastAsia" w:ascii="宋体" w:hAnsi="宋体" w:cs="宋体"/>
          <w:szCs w:val="36"/>
          <w:highlight w:val="none"/>
        </w:rPr>
        <w:t>经济标评分表</w:t>
      </w:r>
      <w:r>
        <w:tab/>
      </w:r>
      <w:r>
        <w:fldChar w:fldCharType="begin"/>
      </w:r>
      <w:r>
        <w:instrText xml:space="preserve"> PAGEREF _Toc4395 \h </w:instrText>
      </w:r>
      <w:r>
        <w:fldChar w:fldCharType="separate"/>
      </w:r>
      <w:r>
        <w:t>57</w:t>
      </w:r>
      <w:r>
        <w:fldChar w:fldCharType="end"/>
      </w:r>
      <w:r>
        <w:rPr>
          <w:rFonts w:hint="eastAsia" w:ascii="宋体" w:hAnsi="宋体" w:eastAsia="宋体" w:cs="宋体"/>
          <w:color w:val="auto"/>
          <w:kern w:val="44"/>
          <w:szCs w:val="28"/>
          <w:highlight w:val="none"/>
        </w:rPr>
        <w:fldChar w:fldCharType="end"/>
      </w:r>
    </w:p>
    <w:p>
      <w:pPr>
        <w:pStyle w:val="20"/>
        <w:tabs>
          <w:tab w:val="right" w:leader="dot" w:pos="9070"/>
        </w:tabs>
        <w:rPr>
          <w:rFonts w:hint="eastAsia" w:eastAsia="宋体"/>
          <w:lang w:val="en-US"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_Toc14944 </w:instrText>
      </w:r>
      <w:r>
        <w:rPr>
          <w:rFonts w:hint="eastAsia" w:ascii="宋体" w:hAnsi="宋体" w:eastAsia="宋体" w:cs="宋体"/>
          <w:kern w:val="44"/>
          <w:szCs w:val="28"/>
          <w:highlight w:val="none"/>
        </w:rPr>
        <w:fldChar w:fldCharType="separate"/>
      </w:r>
      <w:r>
        <w:rPr>
          <w:rFonts w:hint="eastAsia" w:ascii="宋体" w:hAnsi="宋体" w:cs="宋体"/>
          <w:szCs w:val="36"/>
          <w:highlight w:val="none"/>
        </w:rPr>
        <w:t>算术复核表</w:t>
      </w:r>
      <w:r>
        <w:tab/>
      </w:r>
      <w:r>
        <w:fldChar w:fldCharType="begin"/>
      </w:r>
      <w:r>
        <w:instrText xml:space="preserve"> PAGEREF _Toc14944 \h </w:instrText>
      </w:r>
      <w:r>
        <w:fldChar w:fldCharType="separate"/>
      </w:r>
      <w:r>
        <w:t>58</w:t>
      </w:r>
      <w:r>
        <w:fldChar w:fldCharType="end"/>
      </w:r>
      <w:r>
        <w:rPr>
          <w:rFonts w:hint="eastAsia" w:ascii="宋体" w:hAnsi="宋体" w:eastAsia="宋体" w:cs="宋体"/>
          <w:color w:val="auto"/>
          <w:kern w:val="44"/>
          <w:szCs w:val="28"/>
          <w:highlight w:val="none"/>
        </w:rPr>
        <w:fldChar w:fldCharType="end"/>
      </w:r>
    </w:p>
    <w:p>
      <w:pPr>
        <w:pStyle w:val="28"/>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_Toc17748 </w:instrText>
      </w:r>
      <w:r>
        <w:rPr>
          <w:rFonts w:hint="eastAsia" w:ascii="宋体" w:hAnsi="宋体" w:eastAsia="宋体" w:cs="宋体"/>
          <w:kern w:val="44"/>
          <w:szCs w:val="28"/>
          <w:highlight w:val="none"/>
        </w:rPr>
        <w:fldChar w:fldCharType="separate"/>
      </w:r>
      <w:r>
        <w:rPr>
          <w:rFonts w:hint="eastAsia" w:ascii="宋体" w:hAnsi="宋体" w:cs="宋体"/>
          <w:bCs/>
          <w:highlight w:val="none"/>
        </w:rPr>
        <w:t>第三章  合同条款</w:t>
      </w:r>
      <w:r>
        <w:tab/>
      </w:r>
      <w:r>
        <w:fldChar w:fldCharType="begin"/>
      </w:r>
      <w:r>
        <w:instrText xml:space="preserve"> PAGEREF _Toc17748 \h </w:instrText>
      </w:r>
      <w:r>
        <w:fldChar w:fldCharType="separate"/>
      </w:r>
      <w:r>
        <w:t>60</w:t>
      </w:r>
      <w:r>
        <w:fldChar w:fldCharType="end"/>
      </w:r>
      <w:r>
        <w:rPr>
          <w:rFonts w:hint="eastAsia" w:ascii="宋体" w:hAnsi="宋体" w:eastAsia="宋体" w:cs="宋体"/>
          <w:color w:val="auto"/>
          <w:kern w:val="44"/>
          <w:szCs w:val="28"/>
          <w:highlight w:val="none"/>
        </w:rPr>
        <w:fldChar w:fldCharType="end"/>
      </w:r>
    </w:p>
    <w:p>
      <w:pPr>
        <w:pStyle w:val="28"/>
        <w:tabs>
          <w:tab w:val="right" w:leader="dot" w:pos="9070"/>
          <w:tab w:val="clear" w:pos="9060"/>
        </w:tabs>
        <w:rPr>
          <w:rFonts w:hint="default" w:eastAsia="宋体"/>
          <w:lang w:val="en-US"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_Toc16046 </w:instrText>
      </w:r>
      <w:r>
        <w:rPr>
          <w:rFonts w:hint="eastAsia" w:ascii="宋体" w:hAnsi="宋体" w:eastAsia="宋体" w:cs="宋体"/>
          <w:kern w:val="44"/>
          <w:szCs w:val="28"/>
          <w:highlight w:val="none"/>
        </w:rPr>
        <w:fldChar w:fldCharType="separate"/>
      </w:r>
      <w:r>
        <w:rPr>
          <w:rFonts w:hint="eastAsia" w:ascii="宋体" w:hAnsi="宋体" w:cs="宋体"/>
          <w:highlight w:val="none"/>
        </w:rPr>
        <w:t>第四章  投标文件格式</w:t>
      </w:r>
      <w:r>
        <w:tab/>
      </w:r>
      <w:r>
        <w:rPr>
          <w:rFonts w:hint="eastAsia" w:ascii="宋体" w:hAnsi="宋体" w:eastAsia="宋体" w:cs="宋体"/>
          <w:color w:val="auto"/>
          <w:kern w:val="44"/>
          <w:szCs w:val="28"/>
          <w:highlight w:val="none"/>
        </w:rPr>
        <w:fldChar w:fldCharType="end"/>
      </w:r>
      <w:r>
        <w:rPr>
          <w:rFonts w:hint="eastAsia"/>
          <w:lang w:val="en-US" w:eastAsia="zh-CN"/>
        </w:rPr>
        <w:t>61</w:t>
      </w:r>
    </w:p>
    <w:p>
      <w:pPr>
        <w:pStyle w:val="31"/>
        <w:tabs>
          <w:tab w:val="right" w:leader="dot" w:pos="9070"/>
          <w:tab w:val="clear" w:pos="9060"/>
        </w:tabs>
        <w:rPr>
          <w:rFonts w:hint="default" w:eastAsia="宋体"/>
          <w:lang w:val="en-US"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_Toc14890 </w:instrText>
      </w:r>
      <w:r>
        <w:rPr>
          <w:rFonts w:hint="eastAsia" w:ascii="宋体" w:hAnsi="宋体" w:eastAsia="宋体" w:cs="宋体"/>
          <w:kern w:val="44"/>
          <w:szCs w:val="28"/>
          <w:highlight w:val="none"/>
        </w:rPr>
        <w:fldChar w:fldCharType="separate"/>
      </w:r>
      <w:r>
        <w:rPr>
          <w:rFonts w:hint="eastAsia" w:ascii="宋体" w:hAnsi="宋体" w:cs="宋体"/>
          <w:highlight w:val="none"/>
        </w:rPr>
        <w:t>格式一：广州建设工程施工招标投标书</w:t>
      </w:r>
      <w:r>
        <w:tab/>
      </w:r>
      <w:r>
        <w:rPr>
          <w:rFonts w:hint="eastAsia" w:ascii="宋体" w:hAnsi="宋体" w:eastAsia="宋体" w:cs="宋体"/>
          <w:color w:val="auto"/>
          <w:kern w:val="44"/>
          <w:szCs w:val="28"/>
          <w:highlight w:val="none"/>
        </w:rPr>
        <w:fldChar w:fldCharType="end"/>
      </w:r>
      <w:r>
        <w:rPr>
          <w:rFonts w:hint="eastAsia"/>
          <w:lang w:val="en-US" w:eastAsia="zh-CN"/>
        </w:rPr>
        <w:t>62</w:t>
      </w:r>
    </w:p>
    <w:p>
      <w:pPr>
        <w:pStyle w:val="31"/>
        <w:tabs>
          <w:tab w:val="right" w:leader="dot" w:pos="9070"/>
          <w:tab w:val="clear" w:pos="9060"/>
        </w:tabs>
        <w:rPr>
          <w:rFonts w:hint="default" w:eastAsia="宋体"/>
          <w:lang w:val="en-US"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_Toc11917 </w:instrText>
      </w:r>
      <w:r>
        <w:rPr>
          <w:rFonts w:hint="eastAsia" w:ascii="宋体" w:hAnsi="宋体" w:eastAsia="宋体" w:cs="宋体"/>
          <w:kern w:val="44"/>
          <w:szCs w:val="28"/>
          <w:highlight w:val="none"/>
        </w:rPr>
        <w:fldChar w:fldCharType="separate"/>
      </w:r>
      <w:r>
        <w:rPr>
          <w:rFonts w:hint="eastAsia" w:ascii="宋体" w:hAnsi="宋体" w:cs="宋体"/>
          <w:highlight w:val="none"/>
        </w:rPr>
        <w:t>格式二：技术标投标文件封面</w:t>
      </w:r>
      <w:r>
        <w:tab/>
      </w:r>
      <w:r>
        <w:rPr>
          <w:rFonts w:hint="eastAsia" w:ascii="宋体" w:hAnsi="宋体" w:eastAsia="宋体" w:cs="宋体"/>
          <w:color w:val="auto"/>
          <w:kern w:val="44"/>
          <w:szCs w:val="28"/>
          <w:highlight w:val="none"/>
        </w:rPr>
        <w:fldChar w:fldCharType="end"/>
      </w:r>
      <w:r>
        <w:rPr>
          <w:rFonts w:hint="eastAsia"/>
          <w:lang w:val="en-US" w:eastAsia="zh-CN"/>
        </w:rPr>
        <w:t>63</w:t>
      </w:r>
    </w:p>
    <w:p>
      <w:pPr>
        <w:pStyle w:val="31"/>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_Toc1168 </w:instrText>
      </w:r>
      <w:r>
        <w:rPr>
          <w:rFonts w:hint="eastAsia" w:ascii="宋体" w:hAnsi="宋体" w:eastAsia="宋体" w:cs="宋体"/>
          <w:kern w:val="44"/>
          <w:szCs w:val="28"/>
          <w:highlight w:val="none"/>
        </w:rPr>
        <w:fldChar w:fldCharType="separate"/>
      </w:r>
      <w:r>
        <w:rPr>
          <w:rFonts w:hint="eastAsia" w:ascii="宋体" w:hAnsi="宋体" w:cs="宋体"/>
          <w:highlight w:val="none"/>
        </w:rPr>
        <w:t>格式三：经济标投标文件封面</w:t>
      </w:r>
      <w:r>
        <w:tab/>
      </w:r>
      <w:r>
        <w:fldChar w:fldCharType="begin"/>
      </w:r>
      <w:r>
        <w:instrText xml:space="preserve"> PAGEREF _Toc1168 \h </w:instrText>
      </w:r>
      <w:r>
        <w:fldChar w:fldCharType="separate"/>
      </w:r>
      <w:r>
        <w:t>64</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_Toc29167 </w:instrText>
      </w:r>
      <w:r>
        <w:rPr>
          <w:rFonts w:hint="eastAsia" w:ascii="宋体" w:hAnsi="宋体" w:eastAsia="宋体" w:cs="宋体"/>
          <w:kern w:val="44"/>
          <w:szCs w:val="28"/>
          <w:highlight w:val="none"/>
        </w:rPr>
        <w:fldChar w:fldCharType="separate"/>
      </w:r>
      <w:r>
        <w:rPr>
          <w:rFonts w:hint="eastAsia" w:ascii="宋体" w:hAnsi="宋体" w:cs="宋体"/>
          <w:highlight w:val="none"/>
          <w:lang w:val="en-US" w:eastAsia="zh-CN"/>
        </w:rPr>
        <w:t>格</w:t>
      </w:r>
      <w:r>
        <w:rPr>
          <w:rFonts w:hint="eastAsia" w:ascii="宋体" w:hAnsi="宋体" w:eastAsia="宋体" w:cs="宋体"/>
          <w:spacing w:val="4"/>
          <w:kern w:val="0"/>
          <w:szCs w:val="24"/>
          <w:highlight w:val="none"/>
        </w:rPr>
        <w:t>式四：法定代表人证明书、授权委托书</w:t>
      </w:r>
      <w:r>
        <w:tab/>
      </w:r>
      <w:r>
        <w:fldChar w:fldCharType="begin"/>
      </w:r>
      <w:r>
        <w:instrText xml:space="preserve"> PAGEREF _Toc29167 \h </w:instrText>
      </w:r>
      <w:r>
        <w:fldChar w:fldCharType="separate"/>
      </w:r>
      <w:r>
        <w:t>65</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_Toc8125 </w:instrText>
      </w:r>
      <w:r>
        <w:rPr>
          <w:rFonts w:hint="eastAsia" w:ascii="宋体" w:hAnsi="宋体" w:eastAsia="宋体" w:cs="宋体"/>
          <w:kern w:val="44"/>
          <w:szCs w:val="28"/>
          <w:highlight w:val="none"/>
        </w:rPr>
        <w:fldChar w:fldCharType="separate"/>
      </w:r>
      <w:r>
        <w:rPr>
          <w:rFonts w:hint="eastAsia" w:ascii="宋体" w:hAnsi="宋体" w:cs="宋体"/>
          <w:szCs w:val="24"/>
          <w:highlight w:val="none"/>
        </w:rPr>
        <w:t>格式</w:t>
      </w:r>
      <w:r>
        <w:rPr>
          <w:rFonts w:hint="eastAsia" w:ascii="宋体" w:hAnsi="宋体" w:cs="宋体"/>
          <w:szCs w:val="24"/>
          <w:highlight w:val="none"/>
          <w:lang w:val="en-US" w:eastAsia="zh-CN"/>
        </w:rPr>
        <w:t>五</w:t>
      </w:r>
      <w:r>
        <w:rPr>
          <w:rFonts w:hint="eastAsia" w:ascii="宋体" w:hAnsi="宋体" w:cs="宋体"/>
          <w:szCs w:val="24"/>
          <w:highlight w:val="none"/>
        </w:rPr>
        <w:t>：类似业绩一览表</w:t>
      </w:r>
      <w:r>
        <w:tab/>
      </w:r>
      <w:r>
        <w:fldChar w:fldCharType="begin"/>
      </w:r>
      <w:r>
        <w:instrText xml:space="preserve"> PAGEREF _Toc8125 \h </w:instrText>
      </w:r>
      <w:r>
        <w:fldChar w:fldCharType="separate"/>
      </w:r>
      <w:r>
        <w:t>66</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_Toc12043 </w:instrText>
      </w:r>
      <w:r>
        <w:rPr>
          <w:rFonts w:hint="eastAsia" w:ascii="宋体" w:hAnsi="宋体" w:eastAsia="宋体" w:cs="宋体"/>
          <w:kern w:val="44"/>
          <w:szCs w:val="28"/>
          <w:highlight w:val="none"/>
        </w:rPr>
        <w:fldChar w:fldCharType="separate"/>
      </w:r>
      <w:r>
        <w:rPr>
          <w:rFonts w:hint="eastAsia" w:ascii="宋体" w:hAnsi="宋体" w:cs="宋体"/>
          <w:highlight w:val="none"/>
        </w:rPr>
        <w:t>格式</w:t>
      </w:r>
      <w:r>
        <w:rPr>
          <w:rFonts w:hint="eastAsia" w:ascii="宋体" w:hAnsi="宋体" w:cs="宋体"/>
          <w:highlight w:val="none"/>
          <w:lang w:val="en-US" w:eastAsia="zh-CN"/>
        </w:rPr>
        <w:t>六</w:t>
      </w:r>
      <w:r>
        <w:rPr>
          <w:rFonts w:hint="eastAsia" w:ascii="宋体" w:hAnsi="宋体" w:cs="宋体"/>
          <w:highlight w:val="none"/>
        </w:rPr>
        <w:t>：投标文件编制人员名单</w:t>
      </w:r>
      <w:r>
        <w:tab/>
      </w:r>
      <w:r>
        <w:fldChar w:fldCharType="begin"/>
      </w:r>
      <w:r>
        <w:instrText xml:space="preserve"> PAGEREF _Toc12043 \h </w:instrText>
      </w:r>
      <w:r>
        <w:fldChar w:fldCharType="separate"/>
      </w:r>
      <w:r>
        <w:t>67</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_Toc4259 </w:instrText>
      </w:r>
      <w:r>
        <w:rPr>
          <w:rFonts w:hint="eastAsia" w:ascii="宋体" w:hAnsi="宋体" w:eastAsia="宋体" w:cs="宋体"/>
          <w:kern w:val="44"/>
          <w:szCs w:val="28"/>
          <w:highlight w:val="none"/>
        </w:rPr>
        <w:fldChar w:fldCharType="separate"/>
      </w:r>
      <w:r>
        <w:rPr>
          <w:rFonts w:hint="eastAsia" w:ascii="宋体" w:hAnsi="宋体" w:cs="宋体"/>
          <w:highlight w:val="none"/>
        </w:rPr>
        <w:t>格式</w:t>
      </w:r>
      <w:r>
        <w:rPr>
          <w:rFonts w:hint="eastAsia" w:ascii="宋体" w:hAnsi="宋体" w:cs="宋体"/>
          <w:highlight w:val="none"/>
          <w:lang w:val="en-US" w:eastAsia="zh-CN"/>
        </w:rPr>
        <w:t>七</w:t>
      </w:r>
      <w:r>
        <w:rPr>
          <w:rFonts w:hint="eastAsia" w:ascii="宋体" w:hAnsi="宋体" w:cs="宋体"/>
          <w:highlight w:val="none"/>
        </w:rPr>
        <w:t>：对投标文件编制的承诺</w:t>
      </w:r>
      <w:r>
        <w:tab/>
      </w:r>
      <w:r>
        <w:fldChar w:fldCharType="begin"/>
      </w:r>
      <w:r>
        <w:instrText xml:space="preserve"> PAGEREF _Toc4259 \h </w:instrText>
      </w:r>
      <w:r>
        <w:fldChar w:fldCharType="separate"/>
      </w:r>
      <w:r>
        <w:t>68</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_Toc386 </w:instrText>
      </w:r>
      <w:r>
        <w:rPr>
          <w:rFonts w:hint="eastAsia" w:ascii="宋体" w:hAnsi="宋体" w:eastAsia="宋体" w:cs="宋体"/>
          <w:kern w:val="44"/>
          <w:szCs w:val="28"/>
          <w:highlight w:val="none"/>
        </w:rPr>
        <w:fldChar w:fldCharType="separate"/>
      </w:r>
      <w:r>
        <w:rPr>
          <w:rFonts w:hint="eastAsia" w:ascii="宋体" w:hAnsi="宋体" w:cs="宋体"/>
          <w:highlight w:val="none"/>
        </w:rPr>
        <w:t>格式</w:t>
      </w:r>
      <w:r>
        <w:rPr>
          <w:rFonts w:hint="eastAsia" w:ascii="宋体" w:hAnsi="宋体" w:cs="宋体"/>
          <w:highlight w:val="none"/>
          <w:lang w:val="en-US" w:eastAsia="zh-CN"/>
        </w:rPr>
        <w:t>八</w:t>
      </w:r>
      <w:r>
        <w:rPr>
          <w:rFonts w:hint="eastAsia" w:ascii="宋体" w:hAnsi="宋体" w:cs="宋体"/>
          <w:highlight w:val="none"/>
        </w:rPr>
        <w:t>：投标函</w:t>
      </w:r>
      <w:r>
        <w:tab/>
      </w:r>
      <w:r>
        <w:fldChar w:fldCharType="begin"/>
      </w:r>
      <w:r>
        <w:instrText xml:space="preserve"> PAGEREF _Toc386 \h </w:instrText>
      </w:r>
      <w:r>
        <w:fldChar w:fldCharType="separate"/>
      </w:r>
      <w:r>
        <w:t>69</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_Toc24930 </w:instrText>
      </w:r>
      <w:r>
        <w:rPr>
          <w:rFonts w:hint="eastAsia" w:ascii="宋体" w:hAnsi="宋体" w:eastAsia="宋体" w:cs="宋体"/>
          <w:kern w:val="44"/>
          <w:szCs w:val="28"/>
          <w:highlight w:val="none"/>
        </w:rPr>
        <w:fldChar w:fldCharType="separate"/>
      </w:r>
      <w:r>
        <w:rPr>
          <w:rFonts w:hint="eastAsia" w:ascii="宋体" w:hAnsi="宋体" w:cs="宋体"/>
          <w:highlight w:val="none"/>
        </w:rPr>
        <w:t>格式</w:t>
      </w:r>
      <w:r>
        <w:rPr>
          <w:rFonts w:hint="eastAsia" w:ascii="宋体" w:hAnsi="宋体" w:cs="宋体"/>
          <w:highlight w:val="none"/>
          <w:lang w:val="en-US" w:eastAsia="zh-CN"/>
        </w:rPr>
        <w:t>九</w:t>
      </w:r>
      <w:r>
        <w:rPr>
          <w:rFonts w:hint="eastAsia" w:ascii="宋体" w:hAnsi="宋体" w:cs="宋体"/>
          <w:highlight w:val="none"/>
        </w:rPr>
        <w:t>：</w:t>
      </w:r>
      <w:r>
        <w:rPr>
          <w:rFonts w:hint="eastAsia" w:ascii="宋体" w:hAnsi="宋体" w:eastAsia="宋体" w:cs="宋体"/>
          <w:highlight w:val="none"/>
          <w:lang w:val="en-US" w:eastAsia="zh-CN"/>
        </w:rPr>
        <w:t>投入主要人员汇总表</w:t>
      </w:r>
      <w:r>
        <w:tab/>
      </w:r>
      <w:r>
        <w:fldChar w:fldCharType="begin"/>
      </w:r>
      <w:r>
        <w:instrText xml:space="preserve"> PAGEREF _Toc24930 \h </w:instrText>
      </w:r>
      <w:r>
        <w:fldChar w:fldCharType="separate"/>
      </w:r>
      <w:r>
        <w:t>70</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rPr>
          <w:rFonts w:hint="default" w:eastAsia="宋体"/>
          <w:lang w:val="en-US"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_Toc4089 </w:instrText>
      </w:r>
      <w:r>
        <w:rPr>
          <w:rFonts w:hint="eastAsia" w:ascii="宋体" w:hAnsi="宋体" w:eastAsia="宋体" w:cs="宋体"/>
          <w:kern w:val="44"/>
          <w:szCs w:val="28"/>
          <w:highlight w:val="none"/>
        </w:rPr>
        <w:fldChar w:fldCharType="separate"/>
      </w:r>
      <w:r>
        <w:rPr>
          <w:rFonts w:hint="eastAsia" w:ascii="宋体" w:hAnsi="宋体" w:cs="宋体"/>
          <w:highlight w:val="none"/>
        </w:rPr>
        <w:t>格式</w:t>
      </w:r>
      <w:r>
        <w:rPr>
          <w:rFonts w:hint="eastAsia" w:ascii="宋体" w:hAnsi="宋体" w:cs="宋体"/>
          <w:highlight w:val="none"/>
          <w:lang w:val="en-US" w:eastAsia="zh-CN"/>
        </w:rPr>
        <w:t>十</w:t>
      </w:r>
      <w:r>
        <w:rPr>
          <w:rFonts w:hint="eastAsia" w:ascii="宋体" w:hAnsi="宋体" w:cs="宋体"/>
          <w:highlight w:val="none"/>
        </w:rPr>
        <w:t>：承诺书</w:t>
      </w:r>
      <w:r>
        <w:tab/>
      </w:r>
      <w:r>
        <w:rPr>
          <w:rFonts w:hint="eastAsia" w:ascii="宋体" w:hAnsi="宋体" w:eastAsia="宋体" w:cs="宋体"/>
          <w:color w:val="auto"/>
          <w:kern w:val="44"/>
          <w:szCs w:val="28"/>
          <w:highlight w:val="none"/>
        </w:rPr>
        <w:fldChar w:fldCharType="end"/>
      </w:r>
      <w:r>
        <w:rPr>
          <w:rFonts w:hint="eastAsia"/>
          <w:lang w:val="en-US" w:eastAsia="zh-CN"/>
        </w:rPr>
        <w:t>71</w:t>
      </w:r>
    </w:p>
    <w:p>
      <w:pPr>
        <w:pStyle w:val="31"/>
        <w:tabs>
          <w:tab w:val="right" w:leader="dot" w:pos="9070"/>
          <w:tab w:val="clear" w:pos="9060"/>
        </w:tabs>
        <w:rPr>
          <w:rFonts w:hint="default" w:eastAsia="宋体"/>
          <w:lang w:val="en-US"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_Toc10366 </w:instrText>
      </w:r>
      <w:r>
        <w:rPr>
          <w:rFonts w:hint="eastAsia" w:ascii="宋体" w:hAnsi="宋体" w:eastAsia="宋体" w:cs="宋体"/>
          <w:kern w:val="44"/>
          <w:szCs w:val="28"/>
          <w:highlight w:val="none"/>
        </w:rPr>
        <w:fldChar w:fldCharType="separate"/>
      </w:r>
      <w:r>
        <w:rPr>
          <w:rFonts w:hint="eastAsia" w:ascii="宋体" w:hAnsi="宋体" w:cs="宋体"/>
          <w:highlight w:val="none"/>
        </w:rPr>
        <w:t>格式</w:t>
      </w:r>
      <w:r>
        <w:rPr>
          <w:rFonts w:hint="eastAsia" w:ascii="宋体" w:hAnsi="宋体" w:cs="宋体"/>
          <w:highlight w:val="none"/>
          <w:lang w:val="en-US" w:eastAsia="zh-CN"/>
        </w:rPr>
        <w:t>十一</w:t>
      </w:r>
      <w:r>
        <w:rPr>
          <w:rFonts w:hint="eastAsia" w:ascii="宋体" w:hAnsi="宋体" w:cs="宋体"/>
          <w:highlight w:val="none"/>
        </w:rPr>
        <w:t>：工期响应承诺书</w:t>
      </w:r>
      <w:r>
        <w:tab/>
      </w:r>
      <w:r>
        <w:rPr>
          <w:rFonts w:hint="eastAsia" w:ascii="宋体" w:hAnsi="宋体" w:eastAsia="宋体" w:cs="宋体"/>
          <w:color w:val="auto"/>
          <w:kern w:val="44"/>
          <w:szCs w:val="28"/>
          <w:highlight w:val="none"/>
        </w:rPr>
        <w:fldChar w:fldCharType="end"/>
      </w:r>
      <w:r>
        <w:rPr>
          <w:rFonts w:hint="eastAsia"/>
          <w:lang w:val="en-US" w:eastAsia="zh-CN"/>
        </w:rPr>
        <w:t>74</w:t>
      </w:r>
    </w:p>
    <w:p>
      <w:pPr>
        <w:pStyle w:val="31"/>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_Toc1344 </w:instrText>
      </w:r>
      <w:r>
        <w:rPr>
          <w:rFonts w:hint="eastAsia" w:ascii="宋体" w:hAnsi="宋体" w:eastAsia="宋体" w:cs="宋体"/>
          <w:kern w:val="44"/>
          <w:szCs w:val="28"/>
          <w:highlight w:val="none"/>
        </w:rPr>
        <w:fldChar w:fldCharType="separate"/>
      </w:r>
      <w:r>
        <w:rPr>
          <w:rFonts w:hint="eastAsia" w:ascii="宋体" w:hAnsi="宋体" w:cs="宋体"/>
          <w:highlight w:val="none"/>
        </w:rPr>
        <w:t>格式十</w:t>
      </w:r>
      <w:r>
        <w:rPr>
          <w:rFonts w:hint="eastAsia" w:ascii="宋体" w:hAnsi="宋体" w:cs="宋体"/>
          <w:highlight w:val="none"/>
          <w:lang w:val="en-US" w:eastAsia="zh-CN"/>
        </w:rPr>
        <w:t>二</w:t>
      </w:r>
      <w:r>
        <w:rPr>
          <w:rFonts w:hint="eastAsia" w:ascii="宋体" w:hAnsi="宋体" w:cs="宋体"/>
          <w:highlight w:val="none"/>
        </w:rPr>
        <w:t>：合同响应承诺书</w:t>
      </w:r>
      <w:r>
        <w:tab/>
      </w:r>
      <w:r>
        <w:fldChar w:fldCharType="begin"/>
      </w:r>
      <w:r>
        <w:instrText xml:space="preserve"> PAGEREF _Toc1344 \h </w:instrText>
      </w:r>
      <w:r>
        <w:fldChar w:fldCharType="separate"/>
      </w:r>
      <w:r>
        <w:t>75</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_Toc636 </w:instrText>
      </w:r>
      <w:r>
        <w:rPr>
          <w:rFonts w:hint="eastAsia" w:ascii="宋体" w:hAnsi="宋体" w:eastAsia="宋体" w:cs="宋体"/>
          <w:kern w:val="44"/>
          <w:szCs w:val="28"/>
          <w:highlight w:val="none"/>
        </w:rPr>
        <w:fldChar w:fldCharType="separate"/>
      </w:r>
      <w:r>
        <w:rPr>
          <w:rFonts w:hint="eastAsia" w:ascii="宋体" w:hAnsi="宋体" w:cs="宋体"/>
          <w:szCs w:val="24"/>
          <w:highlight w:val="none"/>
        </w:rPr>
        <w:t>格式十</w:t>
      </w:r>
      <w:r>
        <w:rPr>
          <w:rFonts w:hint="eastAsia" w:ascii="宋体" w:hAnsi="宋体" w:cs="宋体"/>
          <w:szCs w:val="24"/>
          <w:highlight w:val="none"/>
          <w:lang w:val="en-US" w:eastAsia="zh-CN"/>
        </w:rPr>
        <w:t>三</w:t>
      </w:r>
      <w:r>
        <w:rPr>
          <w:rFonts w:hint="eastAsia" w:ascii="宋体" w:hAnsi="宋体" w:cs="宋体"/>
          <w:szCs w:val="24"/>
          <w:highlight w:val="none"/>
        </w:rPr>
        <w:t>：危险性较大的分部分项工程安全管理措施</w:t>
      </w:r>
      <w:r>
        <w:tab/>
      </w:r>
      <w:r>
        <w:fldChar w:fldCharType="begin"/>
      </w:r>
      <w:r>
        <w:instrText xml:space="preserve"> PAGEREF _Toc636 \h </w:instrText>
      </w:r>
      <w:r>
        <w:fldChar w:fldCharType="separate"/>
      </w:r>
      <w:r>
        <w:t>77</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_Toc31981 </w:instrText>
      </w:r>
      <w:r>
        <w:rPr>
          <w:rFonts w:hint="eastAsia" w:ascii="宋体" w:hAnsi="宋体" w:eastAsia="宋体" w:cs="宋体"/>
          <w:kern w:val="44"/>
          <w:szCs w:val="28"/>
          <w:highlight w:val="none"/>
        </w:rPr>
        <w:fldChar w:fldCharType="separate"/>
      </w:r>
      <w:r>
        <w:rPr>
          <w:rFonts w:hint="eastAsia" w:ascii="宋体" w:hAnsi="宋体" w:eastAsia="宋体" w:cs="宋体"/>
          <w:szCs w:val="24"/>
          <w:highlight w:val="none"/>
          <w:lang w:eastAsia="zh-CN"/>
        </w:rPr>
        <w:t>格式十</w:t>
      </w:r>
      <w:r>
        <w:rPr>
          <w:rFonts w:hint="eastAsia" w:ascii="宋体" w:hAnsi="宋体" w:cs="宋体"/>
          <w:szCs w:val="24"/>
          <w:highlight w:val="none"/>
          <w:lang w:val="en-US" w:eastAsia="zh-CN"/>
        </w:rPr>
        <w:t>四</w:t>
      </w: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投标报价汇总表</w:t>
      </w:r>
      <w:r>
        <w:tab/>
      </w:r>
      <w:r>
        <w:fldChar w:fldCharType="begin"/>
      </w:r>
      <w:r>
        <w:instrText xml:space="preserve"> PAGEREF _Toc31981 \h </w:instrText>
      </w:r>
      <w:r>
        <w:fldChar w:fldCharType="separate"/>
      </w:r>
      <w:r>
        <w:t>78</w:t>
      </w:r>
      <w:r>
        <w:fldChar w:fldCharType="end"/>
      </w:r>
      <w:r>
        <w:rPr>
          <w:rFonts w:hint="eastAsia" w:ascii="宋体" w:hAnsi="宋体" w:eastAsia="宋体" w:cs="宋体"/>
          <w:color w:val="auto"/>
          <w:kern w:val="44"/>
          <w:szCs w:val="28"/>
          <w:highlight w:val="none"/>
        </w:rPr>
        <w:fldChar w:fldCharType="end"/>
      </w:r>
    </w:p>
    <w:p>
      <w:pPr>
        <w:pStyle w:val="31"/>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_Toc28955 </w:instrText>
      </w:r>
      <w:r>
        <w:rPr>
          <w:rFonts w:hint="eastAsia" w:ascii="宋体" w:hAnsi="宋体" w:eastAsia="宋体" w:cs="宋体"/>
          <w:kern w:val="44"/>
          <w:szCs w:val="28"/>
          <w:highlight w:val="none"/>
        </w:rPr>
        <w:fldChar w:fldCharType="separate"/>
      </w:r>
      <w:r>
        <w:rPr>
          <w:rFonts w:hint="eastAsia" w:ascii="宋体" w:hAnsi="宋体" w:eastAsia="宋体" w:cs="宋体"/>
          <w:szCs w:val="24"/>
          <w:highlight w:val="none"/>
          <w:lang w:eastAsia="zh-CN"/>
        </w:rPr>
        <w:t>格式十</w:t>
      </w:r>
      <w:r>
        <w:rPr>
          <w:rFonts w:hint="eastAsia" w:ascii="宋体" w:hAnsi="宋体" w:cs="宋体"/>
          <w:szCs w:val="24"/>
          <w:highlight w:val="none"/>
          <w:lang w:val="en-US" w:eastAsia="zh-CN"/>
        </w:rPr>
        <w:t>五</w:t>
      </w: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其他部分</w:t>
      </w:r>
      <w:r>
        <w:rPr>
          <w:rFonts w:hint="eastAsia" w:ascii="宋体" w:hAnsi="宋体" w:eastAsia="宋体" w:cs="宋体"/>
          <w:highlight w:val="none"/>
        </w:rPr>
        <w:t>服务投标报价表</w:t>
      </w:r>
      <w:r>
        <w:rPr>
          <w:rFonts w:hint="eastAsia" w:ascii="宋体" w:hAnsi="宋体" w:cs="宋体"/>
          <w:highlight w:val="none"/>
          <w:lang w:eastAsia="zh-CN"/>
        </w:rPr>
        <w:t>及</w:t>
      </w:r>
      <w:r>
        <w:rPr>
          <w:rFonts w:hint="eastAsia" w:ascii="宋体" w:hAnsi="宋体" w:eastAsia="宋体" w:cs="宋体"/>
          <w:highlight w:val="none"/>
        </w:rPr>
        <w:t>清单报价明细表</w:t>
      </w:r>
      <w:r>
        <w:tab/>
      </w:r>
      <w:r>
        <w:fldChar w:fldCharType="begin"/>
      </w:r>
      <w:r>
        <w:instrText xml:space="preserve"> PAGEREF _Toc28955 \h </w:instrText>
      </w:r>
      <w:r>
        <w:fldChar w:fldCharType="separate"/>
      </w:r>
      <w:r>
        <w:t>79</w:t>
      </w:r>
      <w:r>
        <w:fldChar w:fldCharType="end"/>
      </w:r>
      <w:r>
        <w:rPr>
          <w:rFonts w:hint="eastAsia" w:ascii="宋体" w:hAnsi="宋体" w:eastAsia="宋体" w:cs="宋体"/>
          <w:color w:val="auto"/>
          <w:kern w:val="44"/>
          <w:szCs w:val="28"/>
          <w:highlight w:val="none"/>
        </w:rPr>
        <w:fldChar w:fldCharType="end"/>
      </w:r>
    </w:p>
    <w:p>
      <w:pPr>
        <w:pStyle w:val="28"/>
        <w:tabs>
          <w:tab w:val="right" w:leader="dot" w:pos="9070"/>
          <w:tab w:val="clear" w:pos="9060"/>
        </w:tabs>
        <w:rPr>
          <w:rFonts w:hint="default" w:eastAsia="宋体"/>
          <w:lang w:val="en-US"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_Toc31813 </w:instrText>
      </w:r>
      <w:r>
        <w:rPr>
          <w:rFonts w:hint="eastAsia" w:ascii="宋体" w:hAnsi="宋体" w:eastAsia="宋体" w:cs="宋体"/>
          <w:kern w:val="44"/>
          <w:szCs w:val="28"/>
          <w:highlight w:val="none"/>
        </w:rPr>
        <w:fldChar w:fldCharType="separate"/>
      </w:r>
      <w:r>
        <w:rPr>
          <w:rFonts w:hint="eastAsia" w:ascii="宋体" w:hAnsi="宋体" w:cs="宋体"/>
          <w:highlight w:val="none"/>
        </w:rPr>
        <w:t>第五章  技术条件（工程建设标准）</w:t>
      </w:r>
      <w:r>
        <w:tab/>
      </w:r>
      <w:r>
        <w:rPr>
          <w:rFonts w:hint="eastAsia" w:ascii="宋体" w:hAnsi="宋体" w:eastAsia="宋体" w:cs="宋体"/>
          <w:color w:val="auto"/>
          <w:kern w:val="44"/>
          <w:szCs w:val="28"/>
          <w:highlight w:val="none"/>
        </w:rPr>
        <w:fldChar w:fldCharType="end"/>
      </w:r>
      <w:r>
        <w:rPr>
          <w:rFonts w:hint="eastAsia"/>
          <w:lang w:val="en-US" w:eastAsia="zh-CN"/>
        </w:rPr>
        <w:t>81</w:t>
      </w:r>
    </w:p>
    <w:p>
      <w:pPr>
        <w:pStyle w:val="28"/>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_Toc11547 </w:instrText>
      </w:r>
      <w:r>
        <w:rPr>
          <w:rFonts w:hint="eastAsia" w:ascii="宋体" w:hAnsi="宋体" w:eastAsia="宋体" w:cs="宋体"/>
          <w:kern w:val="44"/>
          <w:szCs w:val="28"/>
          <w:highlight w:val="none"/>
        </w:rPr>
        <w:fldChar w:fldCharType="separate"/>
      </w:r>
      <w:r>
        <w:rPr>
          <w:rFonts w:hint="eastAsia" w:ascii="宋体" w:hAnsi="宋体" w:cs="宋体"/>
          <w:highlight w:val="none"/>
        </w:rPr>
        <w:t>第六章  图纸及勘察资料</w:t>
      </w:r>
      <w:r>
        <w:tab/>
      </w:r>
      <w:r>
        <w:fldChar w:fldCharType="begin"/>
      </w:r>
      <w:r>
        <w:instrText xml:space="preserve"> PAGEREF _Toc11547 \h </w:instrText>
      </w:r>
      <w:r>
        <w:fldChar w:fldCharType="separate"/>
      </w:r>
      <w:r>
        <w:t>84</w:t>
      </w:r>
      <w:r>
        <w:fldChar w:fldCharType="end"/>
      </w:r>
      <w:r>
        <w:rPr>
          <w:rFonts w:hint="eastAsia" w:ascii="宋体" w:hAnsi="宋体" w:eastAsia="宋体" w:cs="宋体"/>
          <w:color w:val="auto"/>
          <w:kern w:val="44"/>
          <w:szCs w:val="28"/>
          <w:highlight w:val="none"/>
        </w:rPr>
        <w:fldChar w:fldCharType="end"/>
      </w:r>
    </w:p>
    <w:p>
      <w:pPr>
        <w:pStyle w:val="28"/>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_Toc18249 </w:instrText>
      </w:r>
      <w:r>
        <w:rPr>
          <w:rFonts w:hint="eastAsia" w:ascii="宋体" w:hAnsi="宋体" w:eastAsia="宋体" w:cs="宋体"/>
          <w:kern w:val="44"/>
          <w:szCs w:val="28"/>
          <w:highlight w:val="none"/>
        </w:rPr>
        <w:fldChar w:fldCharType="separate"/>
      </w:r>
      <w:r>
        <w:rPr>
          <w:rFonts w:hint="eastAsia" w:ascii="宋体" w:hAnsi="宋体" w:cs="宋体"/>
          <w:bCs/>
          <w:highlight w:val="none"/>
        </w:rPr>
        <w:t>第七章  工程量清单</w:t>
      </w:r>
      <w:r>
        <w:tab/>
      </w:r>
      <w:r>
        <w:fldChar w:fldCharType="begin"/>
      </w:r>
      <w:r>
        <w:instrText xml:space="preserve"> PAGEREF _Toc18249 \h </w:instrText>
      </w:r>
      <w:r>
        <w:fldChar w:fldCharType="separate"/>
      </w:r>
      <w:r>
        <w:t>85</w:t>
      </w:r>
      <w:r>
        <w:fldChar w:fldCharType="end"/>
      </w:r>
      <w:r>
        <w:rPr>
          <w:rFonts w:hint="eastAsia" w:ascii="宋体" w:hAnsi="宋体" w:eastAsia="宋体" w:cs="宋体"/>
          <w:color w:val="auto"/>
          <w:kern w:val="44"/>
          <w:szCs w:val="28"/>
          <w:highlight w:val="none"/>
        </w:rPr>
        <w:fldChar w:fldCharType="end"/>
      </w:r>
    </w:p>
    <w:p>
      <w:pPr>
        <w:pStyle w:val="28"/>
        <w:tabs>
          <w:tab w:val="right" w:leader="dot" w:pos="9070"/>
          <w:tab w:val="clear" w:pos="9060"/>
        </w:tabs>
        <w:rPr>
          <w:rFonts w:hint="eastAsia" w:eastAsia="宋体"/>
          <w:lang w:eastAsia="zh-CN"/>
        </w:rPr>
      </w:pPr>
      <w:r>
        <w:rPr>
          <w:rFonts w:hint="eastAsia" w:ascii="宋体" w:hAnsi="宋体" w:eastAsia="宋体" w:cs="宋体"/>
          <w:color w:val="auto"/>
          <w:kern w:val="44"/>
          <w:szCs w:val="28"/>
          <w:highlight w:val="none"/>
        </w:rPr>
        <w:fldChar w:fldCharType="begin"/>
      </w:r>
      <w:r>
        <w:rPr>
          <w:rFonts w:hint="eastAsia" w:ascii="宋体" w:hAnsi="宋体" w:eastAsia="宋体" w:cs="宋体"/>
          <w:kern w:val="44"/>
          <w:szCs w:val="28"/>
          <w:highlight w:val="none"/>
        </w:rPr>
        <w:instrText xml:space="preserve"> HYPERLINK \l _Toc18333 </w:instrText>
      </w:r>
      <w:r>
        <w:rPr>
          <w:rFonts w:hint="eastAsia" w:ascii="宋体" w:hAnsi="宋体" w:eastAsia="宋体" w:cs="宋体"/>
          <w:kern w:val="44"/>
          <w:szCs w:val="28"/>
          <w:highlight w:val="none"/>
        </w:rPr>
        <w:fldChar w:fldCharType="separate"/>
      </w:r>
      <w:r>
        <w:rPr>
          <w:rFonts w:hint="eastAsia" w:ascii="宋体" w:hAnsi="宋体" w:cs="宋体"/>
          <w:bCs/>
          <w:highlight w:val="none"/>
        </w:rPr>
        <w:t>第八章  最高投标限价</w:t>
      </w:r>
      <w:r>
        <w:tab/>
      </w:r>
      <w:r>
        <w:fldChar w:fldCharType="begin"/>
      </w:r>
      <w:r>
        <w:instrText xml:space="preserve"> PAGEREF _Toc18333 \h </w:instrText>
      </w:r>
      <w:r>
        <w:fldChar w:fldCharType="separate"/>
      </w:r>
      <w:r>
        <w:t>86</w:t>
      </w:r>
      <w:r>
        <w:fldChar w:fldCharType="end"/>
      </w:r>
      <w:r>
        <w:rPr>
          <w:rFonts w:hint="eastAsia" w:ascii="宋体" w:hAnsi="宋体" w:eastAsia="宋体" w:cs="宋体"/>
          <w:color w:val="auto"/>
          <w:kern w:val="44"/>
          <w:szCs w:val="28"/>
          <w:highlight w:val="none"/>
        </w:rPr>
        <w:fldChar w:fldCharType="end"/>
      </w:r>
    </w:p>
    <w:p>
      <w:pPr>
        <w:pStyle w:val="28"/>
        <w:tabs>
          <w:tab w:val="right" w:leader="dot" w:pos="9070"/>
          <w:tab w:val="clear" w:pos="9060"/>
        </w:tabs>
        <w:rPr>
          <w:rFonts w:cs="宋体"/>
          <w:color w:val="auto"/>
          <w:highlight w:val="none"/>
        </w:rPr>
      </w:pPr>
      <w:r>
        <w:rPr>
          <w:rFonts w:hint="eastAsia" w:ascii="宋体" w:hAnsi="宋体" w:eastAsia="宋体" w:cs="宋体"/>
          <w:color w:val="auto"/>
          <w:kern w:val="44"/>
          <w:szCs w:val="28"/>
          <w:highlight w:val="none"/>
        </w:rPr>
        <w:fldChar w:fldCharType="end"/>
      </w:r>
    </w:p>
    <w:p>
      <w:pPr>
        <w:pStyle w:val="5"/>
        <w:jc w:val="center"/>
        <w:rPr>
          <w:rFonts w:hint="eastAsia" w:ascii="宋体" w:hAnsi="宋体" w:cs="宋体"/>
          <w:color w:val="auto"/>
          <w:highlight w:val="none"/>
        </w:rPr>
        <w:sectPr>
          <w:footerReference r:id="rId9" w:type="default"/>
          <w:endnotePr>
            <w:numFmt w:val="decimal"/>
          </w:endnotePr>
          <w:pgSz w:w="11906" w:h="16838"/>
          <w:pgMar w:top="1134" w:right="1418" w:bottom="1247" w:left="1418" w:header="851" w:footer="850" w:gutter="0"/>
          <w:pgNumType w:fmt="decimal" w:start="1"/>
          <w:cols w:space="720" w:num="1"/>
          <w:docGrid w:type="lines" w:linePitch="312" w:charSpace="0"/>
        </w:sectPr>
      </w:pPr>
      <w:bookmarkStart w:id="5" w:name="_Toc29969"/>
      <w:bookmarkStart w:id="6" w:name="_Toc14179"/>
      <w:bookmarkStart w:id="7" w:name="_Toc6278"/>
    </w:p>
    <w:p>
      <w:pPr>
        <w:pStyle w:val="5"/>
        <w:jc w:val="center"/>
        <w:rPr>
          <w:rFonts w:ascii="宋体" w:hAnsi="宋体" w:cs="宋体"/>
          <w:color w:val="auto"/>
          <w:highlight w:val="none"/>
        </w:rPr>
      </w:pPr>
      <w:bookmarkStart w:id="8" w:name="_Toc17092"/>
      <w:bookmarkStart w:id="9" w:name="_Toc519426597"/>
      <w:r>
        <w:rPr>
          <w:rFonts w:hint="eastAsia" w:ascii="宋体" w:hAnsi="宋体" w:cs="宋体"/>
          <w:color w:val="auto"/>
          <w:highlight w:val="none"/>
        </w:rPr>
        <w:t>第一章  投标须知</w:t>
      </w:r>
      <w:bookmarkEnd w:id="5"/>
      <w:bookmarkEnd w:id="6"/>
      <w:bookmarkEnd w:id="7"/>
      <w:bookmarkEnd w:id="8"/>
      <w:bookmarkEnd w:id="9"/>
    </w:p>
    <w:p>
      <w:pPr>
        <w:pStyle w:val="6"/>
        <w:ind w:left="0"/>
        <w:rPr>
          <w:rFonts w:ascii="宋体" w:hAnsi="宋体" w:cs="宋体"/>
          <w:color w:val="auto"/>
          <w:highlight w:val="none"/>
        </w:rPr>
      </w:pPr>
      <w:bookmarkStart w:id="10" w:name="_Toc23755"/>
      <w:bookmarkStart w:id="11" w:name="_Toc29690"/>
      <w:bookmarkStart w:id="12" w:name="_Toc8157"/>
      <w:bookmarkStart w:id="13" w:name="_Toc21406"/>
      <w:bookmarkStart w:id="14" w:name="_Toc18518"/>
      <w:bookmarkStart w:id="15" w:name="_Toc481790724"/>
      <w:bookmarkStart w:id="16" w:name="_Toc8957"/>
      <w:bookmarkStart w:id="17" w:name="_Toc7432"/>
      <w:bookmarkStart w:id="18" w:name="_Toc14932"/>
      <w:r>
        <w:rPr>
          <w:rFonts w:hint="eastAsia" w:ascii="宋体" w:hAnsi="宋体" w:cs="宋体"/>
          <w:color w:val="auto"/>
          <w:highlight w:val="none"/>
        </w:rPr>
        <w:t>一、投标须知前附表</w:t>
      </w:r>
      <w:bookmarkEnd w:id="10"/>
      <w:bookmarkEnd w:id="11"/>
      <w:bookmarkEnd w:id="12"/>
      <w:bookmarkEnd w:id="13"/>
      <w:bookmarkEnd w:id="14"/>
      <w:bookmarkEnd w:id="15"/>
      <w:bookmarkEnd w:id="16"/>
      <w:bookmarkEnd w:id="17"/>
      <w:bookmarkEnd w:id="18"/>
    </w:p>
    <w:p>
      <w:pPr>
        <w:pStyle w:val="9"/>
        <w:spacing w:line="360" w:lineRule="auto"/>
        <w:ind w:firstLine="0"/>
        <w:rPr>
          <w:rFonts w:ascii="宋体" w:hAnsi="宋体" w:cs="宋体"/>
          <w:b/>
          <w:color w:val="auto"/>
          <w:sz w:val="24"/>
          <w:szCs w:val="24"/>
          <w:highlight w:val="none"/>
        </w:rPr>
      </w:pPr>
      <w:r>
        <w:rPr>
          <w:rFonts w:hint="eastAsia" w:ascii="宋体" w:hAnsi="宋体" w:cs="宋体"/>
          <w:b/>
          <w:color w:val="auto"/>
          <w:sz w:val="24"/>
          <w:szCs w:val="24"/>
          <w:highlight w:val="none"/>
        </w:rPr>
        <w:t>声明：本投标须知前附表使用</w:t>
      </w:r>
      <w:bookmarkStart w:id="19" w:name="OLE_LINK9"/>
      <w:bookmarkStart w:id="20" w:name="OLE_LINK12"/>
      <w:r>
        <w:rPr>
          <w:rFonts w:hint="eastAsia" w:ascii="宋体" w:hAnsi="宋体" w:cs="宋体"/>
          <w:b/>
          <w:color w:val="auto"/>
          <w:sz w:val="24"/>
          <w:szCs w:val="24"/>
          <w:highlight w:val="none"/>
        </w:rPr>
        <w:t>GZZB2018-3</w:t>
      </w:r>
      <w:bookmarkEnd w:id="19"/>
      <w:r>
        <w:rPr>
          <w:rFonts w:hint="eastAsia" w:ascii="宋体" w:hAnsi="宋体" w:cs="宋体"/>
          <w:b/>
          <w:color w:val="auto"/>
          <w:sz w:val="24"/>
          <w:szCs w:val="24"/>
          <w:highlight w:val="none"/>
        </w:rPr>
        <w:t>招标文件范本</w:t>
      </w:r>
      <w:bookmarkEnd w:id="20"/>
      <w:r>
        <w:rPr>
          <w:rFonts w:hint="eastAsia" w:ascii="宋体" w:hAnsi="宋体" w:cs="宋体"/>
          <w:b/>
          <w:color w:val="auto"/>
          <w:sz w:val="24"/>
          <w:szCs w:val="24"/>
          <w:highlight w:val="none"/>
        </w:rPr>
        <w:t>，与范本不同之处均以下划线标明，所有标明下划线部分属于本表的组成部分，同其他部分具有同样的效力。对范本《投标须知通用条款》和《开标、评标和定标办法通用条款》可选择部分的选择使用，均已在本表中注明，通用条款可选择部分中未被本投标须知前附表选择的部分无效。</w:t>
      </w:r>
    </w:p>
    <w:tbl>
      <w:tblPr>
        <w:tblStyle w:val="38"/>
        <w:tblW w:w="9350" w:type="dxa"/>
        <w:tblInd w:w="123"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981"/>
        <w:gridCol w:w="1810"/>
        <w:gridCol w:w="585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blHeader/>
        </w:trPr>
        <w:tc>
          <w:tcPr>
            <w:tcW w:w="702" w:type="dxa"/>
            <w:tcBorders>
              <w:top w:val="doub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项目</w:t>
            </w:r>
          </w:p>
        </w:tc>
        <w:tc>
          <w:tcPr>
            <w:tcW w:w="981" w:type="dxa"/>
            <w:tcBorders>
              <w:top w:val="doub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条款号</w:t>
            </w:r>
          </w:p>
        </w:tc>
        <w:tc>
          <w:tcPr>
            <w:tcW w:w="1810" w:type="dxa"/>
            <w:tcBorders>
              <w:top w:val="double" w:color="auto" w:sz="4" w:space="0"/>
              <w:left w:val="single" w:color="auto" w:sz="4" w:space="0"/>
              <w:bottom w:val="single" w:color="auto" w:sz="4" w:space="0"/>
              <w:right w:val="single" w:color="auto" w:sz="4" w:space="0"/>
            </w:tcBorders>
            <w:vAlign w:val="center"/>
          </w:tcPr>
          <w:p>
            <w:pPr>
              <w:ind w:firstLine="458"/>
              <w:rPr>
                <w:rFonts w:ascii="宋体" w:hAnsi="宋体" w:cs="宋体"/>
                <w:color w:val="auto"/>
                <w:szCs w:val="21"/>
                <w:highlight w:val="none"/>
              </w:rPr>
            </w:pPr>
            <w:r>
              <w:rPr>
                <w:rFonts w:hint="eastAsia" w:ascii="宋体" w:hAnsi="宋体" w:cs="宋体"/>
                <w:color w:val="auto"/>
                <w:szCs w:val="21"/>
                <w:highlight w:val="none"/>
              </w:rPr>
              <w:t>内容</w:t>
            </w:r>
          </w:p>
        </w:tc>
        <w:tc>
          <w:tcPr>
            <w:tcW w:w="5857" w:type="dxa"/>
            <w:tcBorders>
              <w:top w:val="double" w:color="auto" w:sz="4" w:space="0"/>
              <w:left w:val="single" w:color="auto" w:sz="4" w:space="0"/>
              <w:bottom w:val="single" w:color="auto" w:sz="4" w:space="0"/>
              <w:right w:val="double" w:color="auto" w:sz="4" w:space="0"/>
            </w:tcBorders>
            <w:vAlign w:val="center"/>
          </w:tcPr>
          <w:p>
            <w:pPr>
              <w:pStyle w:val="22"/>
              <w:ind w:firstLine="458"/>
              <w:jc w:val="center"/>
              <w:rPr>
                <w:rFonts w:ascii="宋体" w:hAnsi="宋体" w:cs="宋体"/>
                <w:color w:val="auto"/>
                <w:szCs w:val="21"/>
                <w:highlight w:val="none"/>
              </w:rPr>
            </w:pPr>
            <w:r>
              <w:rPr>
                <w:rFonts w:hint="eastAsia" w:ascii="宋体" w:hAnsi="宋体" w:cs="宋体"/>
                <w:color w:val="auto"/>
                <w:szCs w:val="21"/>
                <w:highlight w:val="none"/>
              </w:rPr>
              <w:t>说明与要求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304"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定义</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招标人（即发包人）：</w:t>
            </w:r>
            <w:r>
              <w:rPr>
                <w:rFonts w:hint="eastAsia" w:ascii="宋体" w:hAnsi="宋体" w:cs="宋体"/>
                <w:color w:val="auto"/>
                <w:szCs w:val="21"/>
                <w:highlight w:val="none"/>
                <w:u w:val="single"/>
              </w:rPr>
              <w:t>广州燃气集团有限公司</w:t>
            </w:r>
          </w:p>
          <w:p>
            <w:pPr>
              <w:rPr>
                <w:rFonts w:ascii="宋体" w:hAnsi="宋体" w:cs="宋体"/>
                <w:color w:val="auto"/>
                <w:szCs w:val="21"/>
                <w:highlight w:val="none"/>
              </w:rPr>
            </w:pPr>
            <w:r>
              <w:rPr>
                <w:rFonts w:hint="eastAsia" w:ascii="宋体" w:hAnsi="宋体" w:cs="宋体"/>
                <w:color w:val="auto"/>
                <w:szCs w:val="21"/>
                <w:highlight w:val="none"/>
              </w:rPr>
              <w:t>招标代理：</w:t>
            </w:r>
            <w:r>
              <w:rPr>
                <w:rFonts w:hint="eastAsia" w:ascii="宋体" w:hAnsi="宋体" w:cs="宋体"/>
                <w:color w:val="auto"/>
                <w:szCs w:val="21"/>
                <w:highlight w:val="none"/>
                <w:u w:val="single"/>
                <w:lang w:eastAsia="zh-CN"/>
              </w:rPr>
              <w:t>广东省机电设备招标有限公司</w:t>
            </w:r>
          </w:p>
          <w:p>
            <w:pPr>
              <w:rPr>
                <w:rFonts w:ascii="宋体" w:hAnsi="宋体" w:cs="宋体"/>
                <w:color w:val="auto"/>
                <w:szCs w:val="21"/>
                <w:highlight w:val="none"/>
                <w:u w:val="single"/>
              </w:rPr>
            </w:pPr>
            <w:r>
              <w:rPr>
                <w:rFonts w:hint="eastAsia" w:ascii="宋体" w:hAnsi="宋体" w:cs="宋体"/>
                <w:color w:val="auto"/>
                <w:szCs w:val="21"/>
                <w:highlight w:val="none"/>
                <w:lang w:eastAsia="zh-CN"/>
              </w:rPr>
              <w:t>勘察</w:t>
            </w:r>
            <w:r>
              <w:rPr>
                <w:rFonts w:hint="eastAsia" w:ascii="宋体" w:hAnsi="宋体" w:cs="宋体"/>
                <w:color w:val="auto"/>
                <w:szCs w:val="21"/>
                <w:highlight w:val="none"/>
              </w:rPr>
              <w:t>设计单位：</w:t>
            </w:r>
            <w:r>
              <w:rPr>
                <w:rFonts w:hint="eastAsia" w:ascii="宋体" w:hAnsi="宋体" w:cs="宋体"/>
                <w:color w:val="auto"/>
                <w:szCs w:val="21"/>
                <w:highlight w:val="none"/>
                <w:u w:val="single"/>
              </w:rPr>
              <w:t>(主)中国市政工程西</w:t>
            </w:r>
            <w:r>
              <w:rPr>
                <w:rFonts w:hint="eastAsia" w:ascii="宋体" w:hAnsi="宋体" w:cs="宋体"/>
                <w:color w:val="auto"/>
                <w:szCs w:val="21"/>
                <w:highlight w:val="none"/>
                <w:u w:val="single"/>
                <w:lang w:val="en-US" w:eastAsia="zh-CN"/>
              </w:rPr>
              <w:t>北</w:t>
            </w:r>
            <w:r>
              <w:rPr>
                <w:rFonts w:hint="eastAsia" w:ascii="宋体" w:hAnsi="宋体" w:cs="宋体"/>
                <w:color w:val="auto"/>
                <w:szCs w:val="21"/>
                <w:highlight w:val="none"/>
                <w:u w:val="single"/>
              </w:rPr>
              <w:t>设计研究院有限公司,(成)建勘勘测有限公司</w:t>
            </w:r>
          </w:p>
          <w:p>
            <w:pPr>
              <w:rPr>
                <w:rFonts w:ascii="宋体" w:hAnsi="宋体" w:cs="宋体"/>
                <w:color w:val="auto"/>
                <w:szCs w:val="21"/>
                <w:highlight w:val="none"/>
                <w:u w:val="single"/>
              </w:rPr>
            </w:pPr>
            <w:r>
              <w:rPr>
                <w:rFonts w:hint="eastAsia" w:ascii="宋体" w:hAnsi="宋体" w:cs="宋体"/>
                <w:color w:val="auto"/>
                <w:szCs w:val="21"/>
                <w:highlight w:val="none"/>
              </w:rPr>
              <w:t>监理单位：</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检测机构：</w:t>
            </w:r>
            <w:r>
              <w:rPr>
                <w:rFonts w:hint="eastAsia" w:ascii="宋体" w:hAnsi="宋体" w:cs="宋体"/>
                <w:color w:val="auto"/>
                <w:szCs w:val="21"/>
                <w:highlight w:val="none"/>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工程名称</w:t>
            </w:r>
          </w:p>
        </w:tc>
        <w:tc>
          <w:tcPr>
            <w:tcW w:w="5857"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u w:val="single"/>
                <w:lang w:eastAsia="zh-CN"/>
              </w:rPr>
              <w:t>白云恒运天然气发电项目燃气管线工程施工总承包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3</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建设地点</w:t>
            </w:r>
          </w:p>
        </w:tc>
        <w:tc>
          <w:tcPr>
            <w:tcW w:w="5857"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u w:val="single"/>
              </w:rPr>
              <w:t>广州市</w:t>
            </w:r>
            <w:r>
              <w:rPr>
                <w:rFonts w:hint="eastAsia" w:ascii="宋体" w:hAnsi="宋体" w:cs="宋体"/>
                <w:color w:val="auto"/>
                <w:szCs w:val="21"/>
                <w:highlight w:val="none"/>
                <w:u w:val="single"/>
                <w:lang w:eastAsia="zh-CN"/>
              </w:rPr>
              <w:t>白云区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4</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建设规模</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u w:val="single"/>
              </w:rPr>
            </w:pPr>
            <w:r>
              <w:rPr>
                <w:rFonts w:hint="eastAsia" w:ascii="宋体" w:hAnsi="宋体" w:cs="宋体"/>
                <w:color w:val="auto"/>
                <w:szCs w:val="21"/>
                <w:highlight w:val="none"/>
                <w:u w:val="single"/>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5</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承包方式</w:t>
            </w:r>
          </w:p>
        </w:tc>
        <w:tc>
          <w:tcPr>
            <w:tcW w:w="5857"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bCs/>
                <w:color w:val="auto"/>
                <w:sz w:val="24"/>
                <w:szCs w:val="24"/>
                <w:highlight w:val="none"/>
                <w:lang w:eastAsia="zh-CN"/>
              </w:rPr>
            </w:pPr>
            <w:r>
              <w:rPr>
                <w:rFonts w:hint="eastAsia" w:ascii="宋体" w:hAnsi="宋体" w:cs="宋体"/>
                <w:color w:val="auto"/>
                <w:highlight w:val="none"/>
              </w:rPr>
              <w:t>1、施工部分：</w:t>
            </w:r>
            <w:r>
              <w:rPr>
                <w:rFonts w:hint="eastAsia" w:ascii="宋体" w:hAnsi="宋体" w:cs="宋体"/>
                <w:bCs/>
                <w:color w:val="auto"/>
                <w:szCs w:val="21"/>
                <w:highlight w:val="none"/>
              </w:rPr>
              <w:t>包工、包料(甲供料除外)、包工期、包质量、包安全、包</w:t>
            </w:r>
            <w:r>
              <w:rPr>
                <w:rFonts w:hint="eastAsia" w:ascii="宋体" w:hAnsi="宋体" w:cs="宋体"/>
                <w:color w:val="auto"/>
                <w:szCs w:val="21"/>
                <w:highlight w:val="none"/>
              </w:rPr>
              <w:t>绿色施工安全防护措施费</w:t>
            </w:r>
            <w:r>
              <w:rPr>
                <w:rFonts w:hint="eastAsia" w:ascii="宋体" w:hAnsi="宋体" w:cs="宋体"/>
                <w:bCs/>
                <w:color w:val="auto"/>
                <w:szCs w:val="21"/>
                <w:highlight w:val="none"/>
              </w:rPr>
              <w:t>、包施工协调、包联合测试的总体组织与协调、包承包范围内验收。</w:t>
            </w:r>
            <w:r>
              <w:rPr>
                <w:rFonts w:hint="eastAsia" w:ascii="宋体" w:hAnsi="宋体" w:cs="宋体"/>
                <w:color w:val="auto"/>
                <w:szCs w:val="21"/>
                <w:highlight w:val="none"/>
              </w:rPr>
              <w:t>采用工程量清单综合单价包干的分部分项工程费＋单价包干措施项目费（按</w:t>
            </w:r>
            <w:r>
              <w:rPr>
                <w:rFonts w:hint="eastAsia" w:ascii="宋体" w:hAnsi="宋体" w:cs="宋体"/>
                <w:color w:val="auto"/>
                <w:szCs w:val="21"/>
                <w:highlight w:val="none"/>
                <w:lang w:val="en-US" w:eastAsia="zh-CN"/>
              </w:rPr>
              <w:t>D508主</w:t>
            </w:r>
            <w:r>
              <w:rPr>
                <w:rFonts w:hint="eastAsia" w:ascii="宋体" w:hAnsi="宋体" w:cs="宋体"/>
                <w:color w:val="auto"/>
                <w:szCs w:val="21"/>
                <w:highlight w:val="none"/>
              </w:rPr>
              <w:t>管道长度折算单价）+合价包干其他项目费＋税金的方式确定</w:t>
            </w:r>
            <w:r>
              <w:rPr>
                <w:rFonts w:hint="eastAsia" w:ascii="宋体" w:hAnsi="宋体" w:cs="宋体"/>
                <w:color w:val="auto"/>
                <w:szCs w:val="21"/>
                <w:highlight w:val="none"/>
                <w:lang w:eastAsia="zh-CN"/>
              </w:rPr>
              <w:t>。</w:t>
            </w:r>
          </w:p>
          <w:p>
            <w:pPr>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其他</w:t>
            </w:r>
            <w:r>
              <w:rPr>
                <w:rFonts w:hint="eastAsia" w:ascii="宋体" w:hAnsi="宋体" w:cs="宋体"/>
                <w:color w:val="auto"/>
                <w:highlight w:val="none"/>
              </w:rPr>
              <w:t>部分：采用按项目总价包干，投标人必须提供清单报价明细表，投标人根据招标文件及合同要求，结合踏勘现场实际情况等，填报清单报价明细表中的补偿内容综合单价（综合单价包含成本、利润、税金等一切费用）和合价等。投标人报价必须综合考虑工程中所有费用及风险，报包干价，除招标文件另有约定外，在工程实施过程中将不予变更；每一条清单只允许有一个报价，任何有选择的报价将不予接受。投标人未填报单价和合价的工程项目，视为该项费用已包括在其他有价款的单价或合价内，在实施后，招标人将不予以另外支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6</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质量标准</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u w:val="single"/>
              </w:rPr>
            </w:pPr>
            <w:r>
              <w:rPr>
                <w:rFonts w:hint="eastAsia" w:ascii="宋体" w:hAnsi="宋体" w:cs="宋体"/>
                <w:bCs/>
                <w:snapToGrid w:val="0"/>
                <w:color w:val="auto"/>
                <w:kern w:val="0"/>
                <w:szCs w:val="21"/>
                <w:highlight w:val="none"/>
                <w:u w:val="single"/>
              </w:rPr>
              <w:t>执行国家、省或行业现行的工程建设质量验收标准及规范，须达到合格验收质量等级标准。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7</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招标范围</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u w:val="single"/>
              </w:rPr>
            </w:pPr>
            <w:r>
              <w:rPr>
                <w:rFonts w:hint="eastAsia" w:ascii="宋体" w:hAnsi="宋体" w:cs="宋体"/>
                <w:color w:val="auto"/>
                <w:szCs w:val="21"/>
                <w:highlight w:val="none"/>
                <w:u w:val="single"/>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8</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工期要求</w:t>
            </w:r>
          </w:p>
        </w:tc>
        <w:tc>
          <w:tcPr>
            <w:tcW w:w="5857" w:type="dxa"/>
            <w:tcBorders>
              <w:top w:val="single" w:color="auto" w:sz="4" w:space="0"/>
              <w:left w:val="single" w:color="auto" w:sz="4" w:space="0"/>
              <w:bottom w:val="single" w:color="auto" w:sz="4" w:space="0"/>
              <w:right w:val="double" w:color="auto" w:sz="4" w:space="0"/>
            </w:tcBorders>
            <w:vAlign w:val="center"/>
          </w:tcPr>
          <w:p>
            <w:pPr>
              <w:pStyle w:val="16"/>
              <w:ind w:firstLine="0" w:firstLineChars="0"/>
              <w:rPr>
                <w:rFonts w:cs="宋体"/>
                <w:color w:val="auto"/>
                <w:szCs w:val="21"/>
                <w:highlight w:val="none"/>
              </w:rPr>
            </w:pPr>
            <w:r>
              <w:rPr>
                <w:rFonts w:hint="eastAsia" w:cs="宋体"/>
                <w:color w:val="auto"/>
                <w:sz w:val="21"/>
                <w:szCs w:val="21"/>
                <w:highlight w:val="none"/>
                <w:u w:val="single"/>
              </w:rPr>
              <w:t>总工期：</w:t>
            </w:r>
            <w:r>
              <w:rPr>
                <w:rFonts w:hint="eastAsia" w:cs="宋体"/>
                <w:color w:val="auto"/>
                <w:sz w:val="21"/>
                <w:szCs w:val="21"/>
                <w:highlight w:val="none"/>
                <w:u w:val="single"/>
                <w:lang w:val="en-US" w:eastAsia="zh-CN"/>
              </w:rPr>
              <w:t>120</w:t>
            </w:r>
            <w:r>
              <w:rPr>
                <w:rFonts w:cs="宋体"/>
                <w:color w:val="auto"/>
                <w:sz w:val="21"/>
                <w:szCs w:val="21"/>
                <w:highlight w:val="none"/>
                <w:u w:val="single"/>
              </w:rPr>
              <w:t>日历天</w:t>
            </w:r>
            <w:r>
              <w:rPr>
                <w:rFonts w:hint="eastAsia" w:cs="宋体"/>
                <w:color w:val="auto"/>
                <w:sz w:val="21"/>
                <w:szCs w:val="21"/>
                <w:highlight w:val="none"/>
                <w:u w:val="single"/>
              </w:rPr>
              <w:t>，具体开工时间以招标人通知为准。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9</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3.1</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资金来源</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u w:val="single"/>
              </w:rPr>
            </w:pPr>
            <w:r>
              <w:rPr>
                <w:rFonts w:hint="eastAsia" w:ascii="宋体" w:hAnsi="宋体" w:cs="宋体"/>
                <w:color w:val="auto"/>
                <w:szCs w:val="21"/>
                <w:highlight w:val="none"/>
                <w:u w:val="single"/>
              </w:rPr>
              <w:t>企业自筹资金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10</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4.1</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投标人资质等级及项目负责人等级要求</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11</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58"/>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资格审查方式</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12</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13.1</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报价以及单价和总价计算方式</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工程量清单计价。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13</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15.1</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投标有效期</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u w:val="single"/>
              </w:rPr>
            </w:pPr>
            <w:r>
              <w:rPr>
                <w:rFonts w:hint="eastAsia" w:ascii="宋体" w:hAnsi="宋体" w:cs="宋体"/>
                <w:color w:val="auto"/>
                <w:szCs w:val="21"/>
                <w:highlight w:val="none"/>
                <w:u w:val="single"/>
              </w:rPr>
              <w:t xml:space="preserve">   90   </w:t>
            </w:r>
            <w:r>
              <w:rPr>
                <w:rFonts w:hint="eastAsia" w:ascii="宋体" w:hAnsi="宋体" w:cs="宋体"/>
                <w:color w:val="auto"/>
                <w:szCs w:val="21"/>
                <w:highlight w:val="none"/>
              </w:rPr>
              <w:t>日历天。（从投标截止之日计起），如出现异议或投诉，则投标有效期自动延长至异议或投诉处理结束。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14</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16.1</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投标保证金</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u w:val="none"/>
              </w:rPr>
              <w:t>本项目收取</w:t>
            </w:r>
            <w:bookmarkStart w:id="21" w:name="OLE_LINK3"/>
            <w:r>
              <w:rPr>
                <w:rFonts w:hint="eastAsia" w:ascii="宋体" w:hAnsi="宋体" w:cs="宋体"/>
                <w:color w:val="auto"/>
                <w:szCs w:val="21"/>
                <w:highlight w:val="none"/>
                <w:u w:val="none"/>
              </w:rPr>
              <w:t>投标保证金</w:t>
            </w:r>
            <w:bookmarkEnd w:id="21"/>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none"/>
              </w:rPr>
              <w:t>万元人民币</w:t>
            </w:r>
            <w:r>
              <w:rPr>
                <w:rFonts w:hint="eastAsia" w:ascii="宋体" w:hAnsi="宋体" w:cs="宋体"/>
                <w:color w:val="auto"/>
                <w:szCs w:val="21"/>
                <w:highlight w:val="none"/>
              </w:rPr>
              <w:t>，缴纳时间在</w:t>
            </w:r>
            <w:r>
              <w:rPr>
                <w:rFonts w:hint="eastAsia" w:ascii="宋体" w:hAnsi="宋体" w:cs="宋体"/>
                <w:color w:val="auto"/>
                <w:szCs w:val="21"/>
                <w:highlight w:val="none"/>
                <w:u w:val="single"/>
              </w:rPr>
              <w:t>本项目开标</w:t>
            </w:r>
            <w:r>
              <w:rPr>
                <w:rFonts w:hint="eastAsia" w:ascii="宋体" w:hAnsi="宋体" w:cs="宋体"/>
                <w:color w:val="auto"/>
                <w:szCs w:val="21"/>
                <w:highlight w:val="none"/>
              </w:rPr>
              <w:t>之前。</w:t>
            </w:r>
          </w:p>
          <w:p>
            <w:pPr>
              <w:rPr>
                <w:rFonts w:ascii="宋体" w:hAnsi="宋体" w:cs="宋体"/>
                <w:color w:val="auto"/>
                <w:szCs w:val="21"/>
                <w:highlight w:val="none"/>
              </w:rPr>
            </w:pPr>
            <w:r>
              <w:rPr>
                <w:rFonts w:hint="eastAsia" w:ascii="宋体" w:hAnsi="宋体" w:cs="宋体"/>
                <w:color w:val="auto"/>
                <w:szCs w:val="21"/>
                <w:highlight w:val="none"/>
                <w:u w:val="single"/>
              </w:rPr>
              <w:t>注：投标保证金相关事宜详见招标文件投标须知16款。</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15</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5</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踏勘现场</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时间：自公告发布之日起具备现场踏勘条件；</w:t>
            </w:r>
          </w:p>
          <w:p>
            <w:pPr>
              <w:rPr>
                <w:rFonts w:ascii="宋体" w:hAnsi="宋体" w:cs="宋体"/>
                <w:color w:val="auto"/>
                <w:szCs w:val="21"/>
                <w:highlight w:val="none"/>
              </w:rPr>
            </w:pPr>
            <w:r>
              <w:rPr>
                <w:rFonts w:hint="eastAsia" w:ascii="宋体" w:hAnsi="宋体" w:cs="宋体"/>
                <w:color w:val="auto"/>
                <w:szCs w:val="21"/>
                <w:highlight w:val="none"/>
              </w:rPr>
              <w:t>方式：招标人不集中组织，由投标人自行踏勘；</w:t>
            </w:r>
          </w:p>
          <w:p>
            <w:pPr>
              <w:rPr>
                <w:rFonts w:ascii="宋体" w:hAnsi="宋体" w:cs="宋体"/>
                <w:color w:val="auto"/>
                <w:szCs w:val="21"/>
                <w:highlight w:val="none"/>
              </w:rPr>
            </w:pPr>
            <w:r>
              <w:rPr>
                <w:rFonts w:hint="eastAsia" w:ascii="宋体" w:hAnsi="宋体" w:cs="宋体"/>
                <w:color w:val="auto"/>
                <w:szCs w:val="21"/>
                <w:highlight w:val="none"/>
              </w:rPr>
              <w:t>现场详细地点：</w:t>
            </w:r>
            <w:r>
              <w:rPr>
                <w:rFonts w:hint="eastAsia" w:ascii="宋体" w:hAnsi="宋体" w:cs="宋体"/>
                <w:color w:val="auto"/>
                <w:szCs w:val="21"/>
                <w:highlight w:val="none"/>
                <w:u w:val="single"/>
              </w:rPr>
              <w:t>广州市</w:t>
            </w:r>
            <w:r>
              <w:rPr>
                <w:rFonts w:hint="eastAsia" w:ascii="宋体" w:hAnsi="宋体" w:cs="宋体"/>
                <w:color w:val="auto"/>
                <w:szCs w:val="21"/>
                <w:highlight w:val="none"/>
                <w:u w:val="single"/>
                <w:lang w:eastAsia="zh-CN"/>
              </w:rPr>
              <w:t>白云区</w:t>
            </w:r>
            <w:r>
              <w:rPr>
                <w:rFonts w:hint="eastAsia" w:ascii="宋体" w:hAnsi="宋体" w:cs="宋体"/>
                <w:color w:val="auto"/>
                <w:szCs w:val="21"/>
                <w:highlight w:val="none"/>
                <w:u w:val="singl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16</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8</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投标答疑</w:t>
            </w:r>
          </w:p>
        </w:tc>
        <w:tc>
          <w:tcPr>
            <w:tcW w:w="5857"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cs="宋体"/>
                <w:color w:val="auto"/>
                <w:szCs w:val="21"/>
                <w:highlight w:val="none"/>
              </w:rPr>
            </w:pPr>
            <w:r>
              <w:rPr>
                <w:rFonts w:hint="eastAsia" w:ascii="宋体" w:hAnsi="宋体" w:cs="宋体"/>
                <w:color w:val="auto"/>
                <w:szCs w:val="21"/>
                <w:highlight w:val="none"/>
              </w:rPr>
              <w:t>疑问提交时间：</w:t>
            </w:r>
            <w:r>
              <w:rPr>
                <w:rFonts w:hint="eastAsia" w:ascii="宋体" w:hAnsi="宋体" w:cs="宋体"/>
                <w:color w:val="auto"/>
                <w:szCs w:val="21"/>
                <w:highlight w:val="none"/>
                <w:u w:val="single"/>
              </w:rPr>
              <w:t>在递交投标文件截止日期前18日</w:t>
            </w:r>
            <w:r>
              <w:rPr>
                <w:rFonts w:hint="eastAsia" w:ascii="宋体" w:hAnsi="宋体" w:cs="宋体"/>
                <w:color w:val="auto"/>
                <w:szCs w:val="21"/>
                <w:highlight w:val="none"/>
              </w:rPr>
              <w:t>；</w:t>
            </w:r>
          </w:p>
          <w:p>
            <w:pPr>
              <w:rPr>
                <w:rFonts w:hint="eastAsia" w:ascii="宋体" w:hAnsi="宋体" w:cs="宋体"/>
                <w:color w:val="auto"/>
                <w:szCs w:val="21"/>
                <w:highlight w:val="none"/>
              </w:rPr>
            </w:pPr>
            <w:r>
              <w:rPr>
                <w:rFonts w:hint="eastAsia" w:ascii="宋体" w:hAnsi="宋体" w:cs="宋体"/>
                <w:color w:val="auto"/>
                <w:szCs w:val="21"/>
                <w:highlight w:val="none"/>
              </w:rPr>
              <w:t>形式：投标人的疑问通过</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交易平台提交。</w:t>
            </w:r>
          </w:p>
          <w:p>
            <w:pPr>
              <w:rPr>
                <w:rFonts w:ascii="宋体" w:hAnsi="宋体" w:cs="宋体"/>
                <w:color w:val="auto"/>
                <w:szCs w:val="21"/>
                <w:highlight w:val="none"/>
              </w:rPr>
            </w:pPr>
            <w:r>
              <w:rPr>
                <w:rFonts w:hint="eastAsia" w:ascii="宋体" w:hAnsi="宋体" w:cs="宋体"/>
                <w:color w:val="auto"/>
                <w:szCs w:val="21"/>
                <w:highlight w:val="none"/>
                <w:u w:val="single"/>
              </w:rPr>
              <w:t>网上答疑的操作指南为：投标人登录广州公共资源交易中心数字交易平台→进入“我是投标人”页面→进入“招标答疑提问”页面→通过项目编号或名称找到所需的项目→在上述答疑时间内点击“答疑提问”→无记名或匿名提出问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17</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20.1</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投标截止时间</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strike/>
                <w:color w:val="auto"/>
                <w:szCs w:val="21"/>
                <w:highlight w:val="none"/>
              </w:rPr>
            </w:pP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分</w:t>
            </w:r>
            <w:r>
              <w:rPr>
                <w:rFonts w:hint="eastAsia" w:ascii="宋体" w:hAnsi="宋体" w:cs="宋体"/>
                <w:color w:val="auto"/>
                <w:szCs w:val="21"/>
                <w:highlight w:val="none"/>
              </w:rPr>
              <w:t>（北京时间）。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18</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20.1</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开标开始时间和地点</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（技术标和经济标同时开标）</w:t>
            </w:r>
          </w:p>
          <w:p>
            <w:pPr>
              <w:numPr>
                <w:ilvl w:val="0"/>
                <w:numId w:val="3"/>
              </w:numPr>
              <w:rPr>
                <w:rFonts w:hint="eastAsia" w:ascii="宋体" w:hAnsi="宋体" w:cs="宋体"/>
                <w:color w:val="auto"/>
                <w:szCs w:val="21"/>
                <w:highlight w:val="none"/>
                <w:u w:val="single"/>
                <w:lang w:eastAsia="zh-CN"/>
              </w:rPr>
            </w:pPr>
            <w:r>
              <w:rPr>
                <w:rFonts w:hint="eastAsia" w:ascii="宋体" w:hAnsi="宋体" w:cs="宋体"/>
                <w:color w:val="auto"/>
                <w:szCs w:val="21"/>
                <w:highlight w:val="none"/>
              </w:rPr>
              <w:t>开标开始时间：</w:t>
            </w:r>
            <w:r>
              <w:rPr>
                <w:rFonts w:hint="eastAsia" w:ascii="宋体" w:hAnsi="宋体" w:cs="宋体"/>
                <w:color w:val="auto"/>
                <w:szCs w:val="21"/>
                <w:highlight w:val="none"/>
                <w:u w:val="single"/>
                <w:lang w:eastAsia="zh-CN"/>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分（与投标截止时间为同一时间），地点：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投标人也可选择参加在线开标，具体按照交易平台相关指南进行操作。详见：广州公共资源交易中心网站最新指引。</w:t>
            </w:r>
          </w:p>
          <w:p>
            <w:pPr>
              <w:numPr>
                <w:ilvl w:val="0"/>
                <w:numId w:val="0"/>
              </w:numPr>
              <w:rPr>
                <w:rFonts w:ascii="宋体" w:hAnsi="宋体" w:cs="宋体"/>
                <w:color w:val="auto"/>
                <w:szCs w:val="21"/>
                <w:highlight w:val="none"/>
              </w:rPr>
            </w:pPr>
            <w:r>
              <w:rPr>
                <w:rFonts w:hint="eastAsia" w:ascii="宋体" w:hAnsi="宋体" w:cs="宋体"/>
                <w:color w:val="auto"/>
                <w:szCs w:val="21"/>
                <w:highlight w:val="none"/>
              </w:rPr>
              <w:t>注：投标文件解密问题。投标人只用执行一次解密，招标人执行解密次数根据招标文件开标次数确定。</w:t>
            </w:r>
          </w:p>
          <w:p>
            <w:pPr>
              <w:ind w:left="210" w:hanging="210" w:hangingChars="100"/>
              <w:rPr>
                <w:rFonts w:ascii="宋体" w:hAnsi="宋体"/>
                <w:color w:val="auto"/>
                <w:highlight w:val="none"/>
                <w:u w:val="single"/>
              </w:rPr>
            </w:pPr>
            <w:r>
              <w:rPr>
                <w:rFonts w:hint="eastAsia" w:ascii="宋体" w:hAnsi="宋体" w:cs="宋体"/>
                <w:color w:val="auto"/>
                <w:szCs w:val="21"/>
                <w:highlight w:val="none"/>
              </w:rPr>
              <w:t>2、递交投标文件备用光盘时间：</w:t>
            </w:r>
            <w:r>
              <w:rPr>
                <w:rFonts w:hint="eastAsia" w:ascii="宋体" w:hAnsi="宋体" w:cs="宋体"/>
                <w:color w:val="auto"/>
                <w:szCs w:val="21"/>
                <w:highlight w:val="none"/>
                <w:u w:val="single"/>
                <w:lang w:eastAsia="zh-CN"/>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分至</w:t>
            </w:r>
            <w:r>
              <w:rPr>
                <w:rFonts w:hint="eastAsia" w:ascii="宋体" w:hAnsi="宋体" w:cs="宋体"/>
                <w:color w:val="auto"/>
                <w:szCs w:val="21"/>
                <w:highlight w:val="none"/>
                <w:u w:val="single"/>
                <w:lang w:eastAsia="zh-CN"/>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分；递交地点：</w:t>
            </w:r>
            <w:r>
              <w:rPr>
                <w:rFonts w:hint="eastAsia" w:ascii="宋体" w:hAnsi="宋体"/>
                <w:color w:val="auto"/>
                <w:szCs w:val="21"/>
                <w:highlight w:val="none"/>
                <w:u w:val="single"/>
              </w:rPr>
              <w:t>递交地点详见交易中心日程安排</w:t>
            </w:r>
            <w:r>
              <w:rPr>
                <w:rFonts w:hint="eastAsia" w:ascii="宋体" w:hAnsi="宋体"/>
                <w:color w:val="auto"/>
                <w:highlight w:val="none"/>
                <w:u w:val="single"/>
              </w:rPr>
              <w:t>。</w:t>
            </w:r>
            <w:r>
              <w:rPr>
                <w:rFonts w:ascii="宋体" w:hAnsi="宋体"/>
                <w:color w:val="auto"/>
                <w:highlight w:val="none"/>
                <w:u w:val="single"/>
              </w:rPr>
              <w:t>(建议安排在投标文件截止时间前15分钟至投标文件截止时间）</w:t>
            </w:r>
          </w:p>
          <w:p>
            <w:pPr>
              <w:rPr>
                <w:rFonts w:ascii="宋体" w:hAnsi="宋体" w:cs="宋体"/>
                <w:color w:val="auto"/>
                <w:szCs w:val="21"/>
                <w:highlight w:val="none"/>
              </w:rPr>
            </w:pPr>
            <w:r>
              <w:rPr>
                <w:rFonts w:hint="eastAsia" w:ascii="宋体" w:hAnsi="宋体" w:cs="宋体"/>
                <w:color w:val="auto"/>
                <w:highlight w:val="none"/>
              </w:rPr>
              <w:t>上述时间及地点是否有改变，请密切留意招标答疑纪要的相关信息。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87"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19</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26</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开标评标办法</w:t>
            </w:r>
          </w:p>
        </w:tc>
        <w:tc>
          <w:tcPr>
            <w:tcW w:w="5857" w:type="dxa"/>
            <w:tcBorders>
              <w:top w:val="single" w:color="auto" w:sz="4" w:space="0"/>
              <w:left w:val="single" w:color="auto" w:sz="4" w:space="0"/>
              <w:bottom w:val="single" w:color="auto" w:sz="4" w:space="0"/>
              <w:right w:val="double" w:color="auto" w:sz="4" w:space="0"/>
            </w:tcBorders>
            <w:vAlign w:val="center"/>
          </w:tcPr>
          <w:p>
            <w:pPr>
              <w:pStyle w:val="37"/>
              <w:ind w:firstLine="0"/>
              <w:rPr>
                <w:rFonts w:ascii="宋体" w:hAnsi="宋体" w:cs="宋体"/>
                <w:color w:val="auto"/>
                <w:highlight w:val="none"/>
              </w:rPr>
            </w:pPr>
            <w:r>
              <w:rPr>
                <w:rFonts w:hint="eastAsia" w:ascii="宋体" w:hAnsi="宋体" w:cs="宋体"/>
                <w:color w:val="auto"/>
                <w:szCs w:val="21"/>
                <w:highlight w:val="none"/>
              </w:rPr>
              <w:t>方式一：选取方法</w:t>
            </w:r>
            <w:r>
              <w:rPr>
                <w:rFonts w:hint="eastAsia" w:ascii="宋体" w:hAnsi="宋体" w:cs="宋体"/>
                <w:color w:val="auto"/>
                <w:szCs w:val="21"/>
                <w:highlight w:val="none"/>
                <w:u w:val="single"/>
              </w:rPr>
              <w:t xml:space="preserve"> </w:t>
            </w:r>
            <w:r>
              <w:rPr>
                <w:rFonts w:hint="eastAsia" w:ascii="宋体" w:hAnsi="宋体" w:cs="宋体"/>
                <w:color w:val="auto"/>
                <w:highlight w:val="none"/>
                <w:u w:val="single"/>
              </w:rPr>
              <w:t>七</w:t>
            </w:r>
            <w:r>
              <w:rPr>
                <w:rFonts w:hint="eastAsia" w:ascii="宋体" w:hAnsi="宋体" w:cs="宋体"/>
                <w:color w:val="auto"/>
                <w:szCs w:val="21"/>
                <w:highlight w:val="none"/>
                <w:u w:val="single"/>
              </w:rPr>
              <w:t xml:space="preserve"> </w:t>
            </w:r>
            <w:r>
              <w:rPr>
                <w:rFonts w:hint="eastAsia" w:ascii="宋体" w:hAnsi="宋体" w:cs="宋体"/>
                <w:color w:val="auto"/>
                <w:highlight w:val="none"/>
              </w:rPr>
              <w:t>（适合综合评分法四，技术标与经济标同时开启）</w:t>
            </w:r>
          </w:p>
          <w:p>
            <w:pPr>
              <w:pStyle w:val="37"/>
              <w:ind w:firstLine="0"/>
              <w:rPr>
                <w:rFonts w:ascii="宋体" w:hAnsi="宋体" w:cs="宋体"/>
                <w:color w:val="auto"/>
                <w:highlight w:val="none"/>
              </w:rPr>
            </w:pPr>
            <w:r>
              <w:rPr>
                <w:rFonts w:hint="eastAsia" w:ascii="宋体" w:hAnsi="宋体" w:cs="宋体"/>
                <w:color w:val="auto"/>
                <w:szCs w:val="21"/>
                <w:highlight w:val="none"/>
              </w:rPr>
              <w:t>投标人总得分（满分100）=</w:t>
            </w:r>
            <w:bookmarkStart w:id="22" w:name="OLE_LINK15"/>
            <w:r>
              <w:rPr>
                <w:rFonts w:hint="eastAsia" w:ascii="宋体" w:hAnsi="宋体" w:cs="宋体"/>
                <w:color w:val="auto"/>
                <w:szCs w:val="21"/>
                <w:highlight w:val="none"/>
              </w:rPr>
              <w:t>技术得分</w:t>
            </w:r>
            <w:bookmarkEnd w:id="22"/>
            <w:r>
              <w:rPr>
                <w:rFonts w:hint="eastAsia" w:ascii="宋体" w:hAnsi="宋体" w:cs="宋体"/>
                <w:color w:val="auto"/>
                <w:szCs w:val="21"/>
                <w:highlight w:val="none"/>
              </w:rPr>
              <w:t>×</w:t>
            </w:r>
            <w:bookmarkStart w:id="23" w:name="OLE_LINK14"/>
            <w:r>
              <w:rPr>
                <w:rFonts w:hint="eastAsia" w:ascii="宋体" w:hAnsi="宋体" w:cs="宋体"/>
                <w:color w:val="auto"/>
                <w:szCs w:val="21"/>
                <w:highlight w:val="none"/>
              </w:rPr>
              <w:t>技术得分权重</w:t>
            </w:r>
            <w:bookmarkEnd w:id="23"/>
            <w:r>
              <w:rPr>
                <w:rFonts w:hint="eastAsia" w:ascii="宋体" w:hAnsi="宋体" w:cs="宋体"/>
                <w:color w:val="auto"/>
                <w:szCs w:val="21"/>
                <w:highlight w:val="none"/>
              </w:rPr>
              <w:t>（40%）＋经济得分</w:t>
            </w:r>
            <w:bookmarkStart w:id="24" w:name="OLE_LINK21"/>
            <w:r>
              <w:rPr>
                <w:rFonts w:hint="eastAsia" w:ascii="宋体" w:hAnsi="宋体" w:cs="宋体"/>
                <w:color w:val="auto"/>
                <w:szCs w:val="21"/>
                <w:highlight w:val="none"/>
              </w:rPr>
              <w:t>×</w:t>
            </w:r>
            <w:bookmarkEnd w:id="24"/>
            <w:bookmarkStart w:id="25" w:name="OLE_LINK20"/>
            <w:r>
              <w:rPr>
                <w:rFonts w:hint="eastAsia" w:ascii="宋体" w:hAnsi="宋体" w:cs="宋体"/>
                <w:color w:val="auto"/>
                <w:szCs w:val="21"/>
                <w:highlight w:val="none"/>
              </w:rPr>
              <w:t>经济得分权重（60%）</w:t>
            </w:r>
            <w:bookmarkEnd w:id="25"/>
            <w:r>
              <w:rPr>
                <w:rFonts w:hint="eastAsia" w:ascii="宋体" w:hAnsi="宋体" w:cs="宋体"/>
                <w:color w:val="auto"/>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20</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29.1</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履约担保</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highlight w:val="none"/>
              </w:rPr>
            </w:pPr>
            <w:r>
              <w:rPr>
                <w:rFonts w:hint="eastAsia" w:ascii="宋体" w:hAnsi="宋体" w:cs="宋体"/>
                <w:color w:val="auto"/>
                <w:highlight w:val="none"/>
              </w:rPr>
              <w:t>方式：</w:t>
            </w:r>
          </w:p>
          <w:p>
            <w:pPr>
              <w:rPr>
                <w:rFonts w:ascii="宋体" w:hAnsi="宋体" w:cs="宋体"/>
                <w:color w:val="auto"/>
                <w:highlight w:val="none"/>
              </w:rPr>
            </w:pPr>
            <w:r>
              <w:rPr>
                <w:rFonts w:hint="eastAsia" w:ascii="宋体" w:hAnsi="宋体" w:cs="宋体"/>
                <w:color w:val="auto"/>
                <w:highlight w:val="none"/>
              </w:rPr>
              <w:t>中标人提供的施工部分履约担保金额为</w:t>
            </w:r>
            <w:bookmarkStart w:id="26" w:name="OLE_LINK22"/>
            <w:r>
              <w:rPr>
                <w:rFonts w:hint="eastAsia" w:ascii="宋体" w:hAnsi="宋体" w:cs="宋体"/>
                <w:color w:val="auto"/>
                <w:highlight w:val="none"/>
              </w:rPr>
              <w:t>中标价款</w:t>
            </w:r>
            <w:r>
              <w:rPr>
                <w:rFonts w:hint="eastAsia" w:ascii="宋体" w:hAnsi="宋体" w:cs="宋体"/>
                <w:color w:val="auto"/>
                <w:highlight w:val="none"/>
                <w:lang w:val="en-US" w:eastAsia="zh-CN"/>
              </w:rPr>
              <w:t>施工部分</w:t>
            </w:r>
            <w:r>
              <w:rPr>
                <w:rFonts w:hint="eastAsia" w:ascii="宋体" w:hAnsi="宋体" w:cs="宋体"/>
                <w:color w:val="auto"/>
                <w:highlight w:val="none"/>
              </w:rPr>
              <w:t>的10%</w:t>
            </w:r>
            <w:bookmarkEnd w:id="26"/>
            <w:r>
              <w:rPr>
                <w:rFonts w:hint="eastAsia" w:ascii="宋体" w:hAnsi="宋体" w:cs="宋体"/>
                <w:color w:val="auto"/>
                <w:highlight w:val="none"/>
                <w:lang w:eastAsia="zh-CN"/>
              </w:rPr>
              <w:t>；其他部分履约担保金额为</w:t>
            </w:r>
            <w:r>
              <w:rPr>
                <w:rFonts w:hint="eastAsia" w:ascii="宋体" w:hAnsi="宋体" w:cs="宋体"/>
                <w:color w:val="auto"/>
                <w:highlight w:val="none"/>
              </w:rPr>
              <w:t>中标价款</w:t>
            </w:r>
            <w:r>
              <w:rPr>
                <w:rFonts w:hint="eastAsia" w:ascii="宋体" w:hAnsi="宋体" w:cs="宋体"/>
                <w:color w:val="auto"/>
                <w:highlight w:val="none"/>
                <w:lang w:val="en-US" w:eastAsia="zh-CN"/>
              </w:rPr>
              <w:t>其他部分</w:t>
            </w:r>
            <w:r>
              <w:rPr>
                <w:rFonts w:hint="eastAsia" w:ascii="宋体" w:hAnsi="宋体" w:cs="宋体"/>
                <w:color w:val="auto"/>
                <w:highlight w:val="none"/>
                <w:lang w:eastAsia="zh-CN"/>
              </w:rPr>
              <w:t>的</w:t>
            </w:r>
            <w:r>
              <w:rPr>
                <w:rFonts w:hint="eastAsia" w:ascii="宋体" w:hAnsi="宋体" w:cs="宋体"/>
                <w:color w:val="auto"/>
                <w:highlight w:val="none"/>
                <w:lang w:val="en-US" w:eastAsia="zh-CN"/>
              </w:rPr>
              <w:t>10</w:t>
            </w:r>
            <w:r>
              <w:rPr>
                <w:rFonts w:hint="eastAsia" w:ascii="宋体" w:hAnsi="宋体" w:cs="宋体"/>
                <w:color w:val="auto"/>
                <w:highlight w:val="none"/>
                <w:lang w:eastAsia="zh-CN"/>
              </w:rPr>
              <w:t>%</w:t>
            </w:r>
            <w:r>
              <w:rPr>
                <w:rFonts w:hint="eastAsia" w:ascii="宋体" w:hAnsi="宋体" w:cs="宋体"/>
                <w:color w:val="auto"/>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21</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最高投标限价</w:t>
            </w:r>
          </w:p>
        </w:tc>
        <w:tc>
          <w:tcPr>
            <w:tcW w:w="5857" w:type="dxa"/>
            <w:tcBorders>
              <w:top w:val="single" w:color="auto" w:sz="4" w:space="0"/>
              <w:left w:val="single" w:color="auto" w:sz="4" w:space="0"/>
              <w:bottom w:val="single" w:color="auto" w:sz="4" w:space="0"/>
              <w:right w:val="double" w:color="auto" w:sz="4" w:space="0"/>
            </w:tcBorders>
            <w:vAlign w:val="center"/>
          </w:tcPr>
          <w:p>
            <w:pPr>
              <w:spacing w:line="276" w:lineRule="auto"/>
              <w:rPr>
                <w:rFonts w:hint="eastAsia" w:ascii="宋体" w:hAnsi="宋体" w:cs="宋体"/>
                <w:color w:val="auto"/>
                <w:sz w:val="22"/>
                <w:highlight w:val="none"/>
              </w:rPr>
            </w:pPr>
            <w:r>
              <w:rPr>
                <w:rFonts w:hint="eastAsia" w:ascii="宋体" w:hAnsi="宋体" w:cs="宋体"/>
                <w:color w:val="auto"/>
                <w:sz w:val="22"/>
                <w:highlight w:val="none"/>
              </w:rPr>
              <w:t>最高投标限价：16,467,705.35元，其中：</w:t>
            </w:r>
          </w:p>
          <w:p>
            <w:pPr>
              <w:spacing w:line="276" w:lineRule="auto"/>
              <w:rPr>
                <w:rFonts w:hint="eastAsia" w:ascii="宋体" w:hAnsi="宋体" w:cs="宋体"/>
                <w:color w:val="auto"/>
                <w:sz w:val="22"/>
                <w:highlight w:val="none"/>
              </w:rPr>
            </w:pPr>
            <w:r>
              <w:rPr>
                <w:rFonts w:hint="eastAsia" w:ascii="宋体" w:hAnsi="宋体" w:cs="宋体"/>
                <w:color w:val="auto"/>
                <w:sz w:val="22"/>
                <w:highlight w:val="none"/>
              </w:rPr>
              <w:t>（1）施工部分（白云恒运天然气发电项目燃气管线工程施工总承包）：</w:t>
            </w:r>
          </w:p>
          <w:p>
            <w:pPr>
              <w:spacing w:line="276" w:lineRule="auto"/>
              <w:rPr>
                <w:rFonts w:hint="eastAsia" w:ascii="宋体" w:hAnsi="宋体" w:cs="宋体"/>
                <w:color w:val="auto"/>
                <w:sz w:val="22"/>
                <w:highlight w:val="none"/>
              </w:rPr>
            </w:pPr>
            <w:r>
              <w:rPr>
                <w:rFonts w:hint="eastAsia" w:ascii="宋体" w:hAnsi="宋体" w:cs="宋体"/>
                <w:color w:val="auto"/>
                <w:sz w:val="22"/>
                <w:highlight w:val="none"/>
              </w:rPr>
              <w:t>最高投标限价为：15,589,791.27元；分部分项工程费最高限价为：12,078,936.94元；措施项目费为：1,556,885.82元，其中，绿色施工安全防护措施费为：1,</w:t>
            </w:r>
            <w:r>
              <w:rPr>
                <w:rFonts w:hint="eastAsia" w:ascii="宋体" w:hAnsi="宋体" w:cs="宋体"/>
                <w:color w:val="auto"/>
                <w:sz w:val="22"/>
                <w:highlight w:val="none"/>
                <w:lang w:val="en-US" w:eastAsia="zh-CN"/>
              </w:rPr>
              <w:t>081</w:t>
            </w:r>
            <w:r>
              <w:rPr>
                <w:rFonts w:hint="eastAsia" w:ascii="宋体" w:hAnsi="宋体" w:cs="宋体"/>
                <w:color w:val="auto"/>
                <w:sz w:val="22"/>
                <w:highlight w:val="none"/>
              </w:rPr>
              <w:t>,</w:t>
            </w:r>
            <w:r>
              <w:rPr>
                <w:rFonts w:hint="eastAsia" w:ascii="宋体" w:hAnsi="宋体" w:cs="宋体"/>
                <w:color w:val="auto"/>
                <w:sz w:val="22"/>
                <w:highlight w:val="none"/>
                <w:lang w:val="en-US" w:eastAsia="zh-CN"/>
              </w:rPr>
              <w:t>370</w:t>
            </w:r>
            <w:r>
              <w:rPr>
                <w:rFonts w:hint="eastAsia" w:ascii="宋体" w:hAnsi="宋体" w:cs="宋体"/>
                <w:color w:val="auto"/>
                <w:sz w:val="22"/>
                <w:highlight w:val="none"/>
              </w:rPr>
              <w:t>.</w:t>
            </w:r>
            <w:r>
              <w:rPr>
                <w:rFonts w:hint="eastAsia" w:ascii="宋体" w:hAnsi="宋体" w:cs="宋体"/>
                <w:color w:val="auto"/>
                <w:sz w:val="22"/>
                <w:highlight w:val="none"/>
                <w:lang w:val="en-US" w:eastAsia="zh-CN"/>
              </w:rPr>
              <w:t>84</w:t>
            </w:r>
            <w:r>
              <w:rPr>
                <w:rFonts w:hint="eastAsia" w:ascii="宋体" w:hAnsi="宋体" w:cs="宋体"/>
                <w:color w:val="auto"/>
                <w:sz w:val="22"/>
                <w:highlight w:val="none"/>
              </w:rPr>
              <w:t>元，其他项目费为：666,738.04元，暂列金额为：0.00元，税金为：</w:t>
            </w:r>
            <w:r>
              <w:rPr>
                <w:rFonts w:hint="eastAsia" w:ascii="宋体" w:hAnsi="宋体" w:cs="宋体"/>
                <w:color w:val="auto"/>
                <w:sz w:val="24"/>
                <w:highlight w:val="none"/>
                <w:u w:val="none"/>
                <w:lang w:val="en-US" w:eastAsia="zh-CN"/>
              </w:rPr>
              <w:t>1,287,230.47</w:t>
            </w:r>
            <w:r>
              <w:rPr>
                <w:rFonts w:hint="eastAsia" w:ascii="宋体" w:hAnsi="宋体" w:cs="宋体"/>
                <w:color w:val="auto"/>
                <w:sz w:val="22"/>
                <w:highlight w:val="none"/>
              </w:rPr>
              <w:t>元。</w:t>
            </w:r>
          </w:p>
          <w:p>
            <w:pPr>
              <w:spacing w:line="276" w:lineRule="auto"/>
              <w:rPr>
                <w:rFonts w:hint="eastAsia" w:ascii="宋体" w:hAnsi="宋体" w:cs="宋体"/>
                <w:color w:val="auto"/>
                <w:sz w:val="22"/>
                <w:highlight w:val="none"/>
              </w:rPr>
            </w:pPr>
            <w:r>
              <w:rPr>
                <w:rFonts w:hint="eastAsia" w:ascii="宋体" w:hAnsi="宋体" w:cs="宋体"/>
                <w:color w:val="auto"/>
                <w:sz w:val="22"/>
                <w:highlight w:val="none"/>
              </w:rPr>
              <w:t>（注：绿色施工安全防护措施费、暂列金额为非竞争性费用，投标人须按公布的费用填报报价）</w:t>
            </w:r>
          </w:p>
          <w:p>
            <w:pPr>
              <w:spacing w:line="276" w:lineRule="auto"/>
              <w:rPr>
                <w:rFonts w:hint="eastAsia" w:ascii="宋体" w:hAnsi="宋体" w:cs="宋体"/>
                <w:color w:val="auto"/>
                <w:sz w:val="22"/>
                <w:highlight w:val="none"/>
              </w:rPr>
            </w:pPr>
            <w:r>
              <w:rPr>
                <w:rFonts w:hint="eastAsia" w:ascii="宋体" w:hAnsi="宋体" w:cs="宋体"/>
                <w:color w:val="auto"/>
                <w:sz w:val="22"/>
                <w:highlight w:val="none"/>
              </w:rPr>
              <w:t>（2）其他部分【白云恒运天然气发电项目燃气管线工程所涉及地上地下管线拆迁、修复及补偿，交通疏导，路灯迁移、恢复，树木迁移保护、回迁养护等工作，并根据政府相关规定要求做好施工手续等相关政策处理工作（含过河涌、公路、市政道路、地铁、电力管廊等有关安全评估、专家评审、产权占用等相关的赔偿/补偿和咨询服务费用）】：</w:t>
            </w:r>
          </w:p>
          <w:p>
            <w:pPr>
              <w:spacing w:line="276" w:lineRule="auto"/>
              <w:rPr>
                <w:rFonts w:hint="eastAsia" w:ascii="宋体" w:hAnsi="宋体" w:cs="宋体"/>
                <w:color w:val="auto"/>
                <w:sz w:val="22"/>
                <w:highlight w:val="none"/>
              </w:rPr>
            </w:pPr>
            <w:r>
              <w:rPr>
                <w:rFonts w:hint="eastAsia" w:ascii="宋体" w:hAnsi="宋体" w:cs="宋体"/>
                <w:color w:val="auto"/>
                <w:sz w:val="22"/>
                <w:highlight w:val="none"/>
              </w:rPr>
              <w:t>最高投标限价为：877,914.08元（含9%的增值税）。</w:t>
            </w:r>
          </w:p>
          <w:p>
            <w:pPr>
              <w:spacing w:line="276" w:lineRule="auto"/>
              <w:rPr>
                <w:rFonts w:ascii="宋体" w:hAnsi="宋体" w:cs="宋体"/>
                <w:b/>
                <w:color w:val="auto"/>
                <w:sz w:val="24"/>
                <w:highlight w:val="none"/>
                <w:u w:val="single"/>
              </w:rPr>
            </w:pPr>
            <w:r>
              <w:rPr>
                <w:rFonts w:hint="eastAsia" w:ascii="宋体" w:hAnsi="宋体" w:cs="宋体"/>
                <w:color w:val="auto"/>
                <w:sz w:val="22"/>
                <w:highlight w:val="none"/>
              </w:rPr>
              <w:t>超过招标人规定的最高投标限价的投标文件将被否决。</w:t>
            </w:r>
            <w:r>
              <w:rPr>
                <w:rFonts w:hint="eastAsia" w:ascii="宋体" w:hAnsi="宋体" w:cs="宋体"/>
                <w:b/>
                <w:color w:val="auto"/>
                <w:sz w:val="22"/>
                <w:highlight w:val="none"/>
              </w:rPr>
              <w:t xml:space="preserve"> </w:t>
            </w:r>
            <w:r>
              <w:rPr>
                <w:rFonts w:ascii="宋体" w:hAnsi="宋体" w:cs="宋体"/>
                <w:b/>
                <w:color w:val="auto"/>
                <w:sz w:val="22"/>
                <w:highlight w:val="none"/>
              </w:rPr>
              <w:t xml:space="preserve">  </w:t>
            </w:r>
            <w:r>
              <w:rPr>
                <w:rFonts w:ascii="宋体" w:hAnsi="宋体" w:cs="宋体"/>
                <w:b/>
                <w:color w:val="auto"/>
                <w:sz w:val="22"/>
                <w:highlight w:val="none"/>
                <w:u w:val="single"/>
              </w:rPr>
              <w:t xml:space="preserve"> </w:t>
            </w:r>
            <w:r>
              <w:rPr>
                <w:rFonts w:hint="eastAsia" w:ascii="宋体" w:hAnsi="宋体" w:cs="宋体"/>
                <w:b/>
                <w:color w:val="auto"/>
                <w:sz w:val="22"/>
                <w:highlight w:val="none"/>
                <w:u w:val="single"/>
              </w:rPr>
              <w:t>超过招标人规定的</w:t>
            </w:r>
            <w:r>
              <w:rPr>
                <w:rFonts w:hint="eastAsia" w:ascii="宋体" w:hAnsi="宋体" w:cs="宋体"/>
                <w:b/>
                <w:color w:val="auto"/>
                <w:sz w:val="22"/>
                <w:highlight w:val="none"/>
                <w:u w:val="single"/>
                <w:lang w:eastAsia="zh-CN"/>
              </w:rPr>
              <w:t>最高</w:t>
            </w:r>
            <w:r>
              <w:rPr>
                <w:rFonts w:hint="eastAsia" w:ascii="宋体" w:hAnsi="宋体" w:cs="宋体"/>
                <w:b/>
                <w:color w:val="auto"/>
                <w:sz w:val="22"/>
                <w:highlight w:val="none"/>
                <w:u w:val="single"/>
                <w:lang w:val="en-US" w:eastAsia="zh-CN"/>
              </w:rPr>
              <w:t>投</w:t>
            </w:r>
            <w:r>
              <w:rPr>
                <w:rFonts w:hint="eastAsia" w:ascii="宋体" w:hAnsi="宋体" w:cs="宋体"/>
                <w:b/>
                <w:color w:val="auto"/>
                <w:sz w:val="22"/>
                <w:highlight w:val="none"/>
                <w:u w:val="single"/>
              </w:rPr>
              <w:t>标限价的投标文件将被否决。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061"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22</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非竞争费用</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施工部分绿色施工安全防护措施费为</w:t>
            </w:r>
            <w:r>
              <w:rPr>
                <w:rFonts w:hint="eastAsia" w:ascii="宋体" w:hAnsi="宋体" w:cs="宋体"/>
                <w:color w:val="auto"/>
                <w:sz w:val="22"/>
                <w:highlight w:val="none"/>
              </w:rPr>
              <w:t>1,</w:t>
            </w:r>
            <w:r>
              <w:rPr>
                <w:rFonts w:hint="eastAsia" w:ascii="宋体" w:hAnsi="宋体" w:cs="宋体"/>
                <w:color w:val="auto"/>
                <w:sz w:val="22"/>
                <w:highlight w:val="none"/>
                <w:lang w:val="en-US" w:eastAsia="zh-CN"/>
              </w:rPr>
              <w:t>081</w:t>
            </w:r>
            <w:r>
              <w:rPr>
                <w:rFonts w:hint="eastAsia" w:ascii="宋体" w:hAnsi="宋体" w:cs="宋体"/>
                <w:color w:val="auto"/>
                <w:sz w:val="22"/>
                <w:highlight w:val="none"/>
              </w:rPr>
              <w:t>,</w:t>
            </w:r>
            <w:r>
              <w:rPr>
                <w:rFonts w:hint="eastAsia" w:ascii="宋体" w:hAnsi="宋体" w:cs="宋体"/>
                <w:color w:val="auto"/>
                <w:sz w:val="22"/>
                <w:highlight w:val="none"/>
                <w:lang w:val="en-US" w:eastAsia="zh-CN"/>
              </w:rPr>
              <w:t>370</w:t>
            </w:r>
            <w:r>
              <w:rPr>
                <w:rFonts w:hint="eastAsia" w:ascii="宋体" w:hAnsi="宋体" w:cs="宋体"/>
                <w:color w:val="auto"/>
                <w:sz w:val="22"/>
                <w:highlight w:val="none"/>
              </w:rPr>
              <w:t>.</w:t>
            </w:r>
            <w:r>
              <w:rPr>
                <w:rFonts w:hint="eastAsia" w:ascii="宋体" w:hAnsi="宋体" w:cs="宋体"/>
                <w:color w:val="auto"/>
                <w:sz w:val="22"/>
                <w:highlight w:val="none"/>
                <w:lang w:val="en-US" w:eastAsia="zh-CN"/>
              </w:rPr>
              <w:t>84</w:t>
            </w:r>
            <w:r>
              <w:rPr>
                <w:rFonts w:hint="eastAsia" w:ascii="宋体" w:hAnsi="宋体" w:cs="宋体"/>
                <w:color w:val="auto"/>
                <w:szCs w:val="21"/>
                <w:highlight w:val="none"/>
              </w:rPr>
              <w:t>元；暂列金额为</w:t>
            </w:r>
            <w:r>
              <w:rPr>
                <w:rFonts w:ascii="宋体" w:hAnsi="宋体" w:cs="宋体"/>
                <w:color w:val="auto"/>
                <w:szCs w:val="21"/>
                <w:highlight w:val="none"/>
                <w:u w:val="single"/>
              </w:rPr>
              <w:t>0.00</w:t>
            </w:r>
            <w:r>
              <w:rPr>
                <w:rFonts w:hint="eastAsia" w:ascii="宋体" w:hAnsi="宋体" w:cs="宋体"/>
                <w:color w:val="auto"/>
                <w:szCs w:val="21"/>
                <w:highlight w:val="none"/>
              </w:rPr>
              <w:t>元。</w:t>
            </w:r>
          </w:p>
          <w:p>
            <w:pPr>
              <w:spacing w:line="240" w:lineRule="auto"/>
              <w:rPr>
                <w:rFonts w:ascii="宋体" w:hAnsi="宋体" w:cs="宋体"/>
                <w:b/>
                <w:color w:val="auto"/>
                <w:sz w:val="24"/>
                <w:highlight w:val="none"/>
              </w:rPr>
            </w:pPr>
            <w:r>
              <w:rPr>
                <w:rFonts w:hint="eastAsia" w:ascii="宋体" w:hAnsi="宋体" w:cs="宋体"/>
                <w:b/>
                <w:color w:val="auto"/>
                <w:szCs w:val="21"/>
                <w:highlight w:val="none"/>
              </w:rPr>
              <w:t>（注：绿色施工安全防护措施费、暂列金额为非竞争性费用，投标人须按公布的费用填报报价。未按招标文件规定的金额填写的，由评标委员会按照招标文件规定的金额进行修正）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23</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pStyle w:val="37"/>
              <w:ind w:firstLine="0"/>
              <w:rPr>
                <w:rFonts w:ascii="宋体" w:hAnsi="宋体" w:cs="宋体"/>
                <w:color w:val="auto"/>
                <w:szCs w:val="21"/>
                <w:highlight w:val="none"/>
              </w:rPr>
            </w:pPr>
            <w:r>
              <w:rPr>
                <w:rFonts w:hint="eastAsia" w:ascii="宋体" w:hAnsi="宋体" w:cs="宋体"/>
                <w:color w:val="auto"/>
                <w:szCs w:val="21"/>
                <w:highlight w:val="none"/>
              </w:rPr>
              <w:t>保修期</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按照</w:t>
            </w:r>
            <w:r>
              <w:rPr>
                <w:rFonts w:hint="eastAsia" w:ascii="宋体" w:hAnsi="宋体" w:cs="宋体"/>
                <w:color w:val="auto"/>
                <w:szCs w:val="21"/>
                <w:highlight w:val="none"/>
                <w:lang w:val="en-US" w:eastAsia="zh-CN"/>
              </w:rPr>
              <w:t>《工程质量保修书》的</w:t>
            </w:r>
            <w:r>
              <w:rPr>
                <w:rFonts w:hint="eastAsia" w:ascii="宋体" w:hAnsi="宋体" w:cs="宋体"/>
                <w:color w:val="auto"/>
                <w:szCs w:val="21"/>
                <w:highlight w:val="none"/>
              </w:rPr>
              <w:t>规定。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24</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计算评标参考价的等分点值</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strike w:val="0"/>
                <w:szCs w:val="21"/>
              </w:rPr>
              <w:t>计算评标参考价的等分点值</w:t>
            </w:r>
            <w:r>
              <w:rPr>
                <w:rFonts w:ascii="宋体" w:hAnsi="宋体"/>
                <w:strike w:val="0"/>
                <w:szCs w:val="21"/>
              </w:rPr>
              <w:t>X</w:t>
            </w:r>
            <w:r>
              <w:rPr>
                <w:rFonts w:hint="eastAsia" w:ascii="宋体" w:hAnsi="宋体"/>
                <w:strike w:val="0"/>
                <w:szCs w:val="21"/>
              </w:rPr>
              <w:t>在开标前从[0,100]</w:t>
            </w:r>
            <w:r>
              <w:rPr>
                <w:rFonts w:hint="eastAsia" w:ascii="宋体" w:hAnsi="宋体"/>
                <w:strike w:val="0"/>
              </w:rPr>
              <w:t xml:space="preserve"> </w:t>
            </w:r>
            <w:r>
              <w:rPr>
                <w:rFonts w:hint="eastAsia" w:ascii="宋体" w:hAnsi="宋体"/>
                <w:strike w:val="0"/>
                <w:szCs w:val="21"/>
              </w:rPr>
              <w:t>的整数中随机抽取。</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25</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58"/>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进入第二阶段评审的家数</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本款不适用。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26</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工程成本警戒价</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b/>
                <w:color w:val="auto"/>
                <w:szCs w:val="21"/>
                <w:highlight w:val="none"/>
              </w:rPr>
              <w:t>工程成本警戒价为</w:t>
            </w:r>
            <w:r>
              <w:rPr>
                <w:rFonts w:hint="eastAsia" w:ascii="宋体" w:hAnsi="宋体" w:cs="宋体"/>
                <w:color w:val="auto"/>
                <w:sz w:val="22"/>
                <w:highlight w:val="none"/>
                <w:lang w:val="en-US" w:eastAsia="zh-CN"/>
              </w:rPr>
              <w:t>13</w:t>
            </w:r>
            <w:r>
              <w:rPr>
                <w:rFonts w:hint="eastAsia" w:ascii="宋体" w:hAnsi="宋体" w:cs="宋体"/>
                <w:color w:val="auto"/>
                <w:sz w:val="22"/>
                <w:highlight w:val="none"/>
              </w:rPr>
              <w:t>,</w:t>
            </w:r>
            <w:r>
              <w:rPr>
                <w:rFonts w:hint="eastAsia" w:ascii="宋体" w:hAnsi="宋体" w:cs="宋体"/>
                <w:color w:val="auto"/>
                <w:sz w:val="22"/>
                <w:highlight w:val="none"/>
                <w:lang w:val="en-US" w:eastAsia="zh-CN"/>
              </w:rPr>
              <w:t>174</w:t>
            </w:r>
            <w:r>
              <w:rPr>
                <w:rFonts w:hint="eastAsia" w:ascii="宋体" w:hAnsi="宋体" w:cs="宋体"/>
                <w:color w:val="auto"/>
                <w:sz w:val="22"/>
                <w:highlight w:val="none"/>
              </w:rPr>
              <w:t>,</w:t>
            </w:r>
            <w:r>
              <w:rPr>
                <w:rFonts w:hint="eastAsia" w:ascii="宋体" w:hAnsi="宋体" w:cs="宋体"/>
                <w:color w:val="auto"/>
                <w:sz w:val="22"/>
                <w:highlight w:val="none"/>
                <w:lang w:val="en-US" w:eastAsia="zh-CN"/>
              </w:rPr>
              <w:t>164.28</w:t>
            </w:r>
            <w:r>
              <w:rPr>
                <w:rFonts w:hint="eastAsia" w:ascii="宋体" w:hAnsi="宋体" w:cs="宋体"/>
                <w:b/>
                <w:color w:val="auto"/>
                <w:szCs w:val="21"/>
                <w:highlight w:val="none"/>
              </w:rPr>
              <w:t>元（最高投标限价的80%）。</w:t>
            </w:r>
            <w:r>
              <w:rPr>
                <w:rFonts w:hint="eastAsia" w:ascii="宋体" w:hAnsi="宋体" w:cs="宋体"/>
                <w:color w:val="auto"/>
                <w:szCs w:val="21"/>
                <w:highlight w:val="none"/>
              </w:rPr>
              <w:t>对低于该警戒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rPr>
                <w:rFonts w:ascii="宋体" w:hAnsi="宋体" w:cs="宋体"/>
                <w:color w:val="auto"/>
                <w:szCs w:val="21"/>
                <w:highlight w:val="none"/>
                <w:u w:val="single"/>
              </w:rPr>
            </w:pPr>
            <w:r>
              <w:rPr>
                <w:rFonts w:hint="eastAsia" w:ascii="宋体" w:hAnsi="宋体" w:cs="宋体"/>
                <w:color w:val="auto"/>
                <w:szCs w:val="21"/>
                <w:highlight w:val="none"/>
              </w:rPr>
              <w:t>注：为充分体现招标人意愿及落实项目招标人负责制，警戒价由招标人决定。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27</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第一阶段各分值的权重</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本款不适用。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28</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评标委员会人数</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评标委员会由招标人依法组建。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29</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企业综合诚信评价分数</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u w:val="single"/>
              </w:rPr>
            </w:pPr>
            <w:r>
              <w:rPr>
                <w:rFonts w:hint="eastAsia" w:ascii="宋体" w:hAnsi="宋体" w:cs="宋体"/>
                <w:color w:val="auto"/>
                <w:szCs w:val="21"/>
                <w:highlight w:val="none"/>
              </w:rPr>
              <w:t>本款不适用。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30</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58"/>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第二阶段投标人名次的排序方法（适用于办法一、办法二）</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本款不适用。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31</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58"/>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经济分相同情况下的排序方法（适用于办法三、办法四）</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本款不适用。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32</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58"/>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第二阶段投标人名次的排序方法（适用于办法五、办法六）</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本款不适用。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33</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13.4、13.5.2</w:t>
            </w: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合同价款的调整办法</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u w:val="single"/>
              </w:rPr>
            </w:pPr>
            <w:r>
              <w:rPr>
                <w:rFonts w:hint="eastAsia" w:ascii="宋体" w:hAnsi="宋体" w:cs="宋体"/>
                <w:color w:val="auto"/>
                <w:szCs w:val="21"/>
                <w:highlight w:val="none"/>
                <w:u w:val="single"/>
              </w:rPr>
              <w:t xml:space="preserve"> 按合同条款相关约定调整。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34</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val="zh-CN"/>
              </w:rPr>
              <w:t>建设工程质量检测</w:t>
            </w:r>
            <w:r>
              <w:rPr>
                <w:rFonts w:hint="eastAsia" w:ascii="宋体" w:hAnsi="宋体" w:cs="宋体"/>
                <w:color w:val="auto"/>
                <w:kern w:val="0"/>
                <w:szCs w:val="21"/>
                <w:highlight w:val="none"/>
                <w:lang w:val="en-US" w:eastAsia="zh-CN"/>
              </w:rPr>
              <w:t>单位</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35</w:t>
            </w:r>
          </w:p>
        </w:tc>
        <w:tc>
          <w:tcPr>
            <w:tcW w:w="98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分包</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□不允许；</w:t>
            </w:r>
          </w:p>
          <w:p>
            <w:pPr>
              <w:rPr>
                <w:rFonts w:ascii="宋体" w:hAnsi="宋体" w:cs="宋体"/>
                <w:color w:val="auto"/>
                <w:kern w:val="0"/>
                <w:szCs w:val="21"/>
                <w:highlight w:val="none"/>
              </w:rPr>
            </w:pPr>
            <w:r>
              <w:rPr>
                <w:rFonts w:hint="eastAsia" w:ascii="宋体" w:hAnsi="宋体" w:cs="宋体"/>
                <w:color w:val="auto"/>
                <w:kern w:val="0"/>
                <w:szCs w:val="21"/>
                <w:highlight w:val="none"/>
                <w:lang w:val="zh-CN"/>
              </w:rPr>
              <w:t>☑允许：</w:t>
            </w:r>
          </w:p>
          <w:p>
            <w:pPr>
              <w:ind w:firstLine="840" w:firstLineChars="4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分包内容要求：</w:t>
            </w:r>
            <w:r>
              <w:rPr>
                <w:rFonts w:hint="eastAsia" w:ascii="宋体" w:hAnsi="宋体" w:cs="宋体"/>
                <w:color w:val="auto"/>
                <w:kern w:val="0"/>
                <w:szCs w:val="21"/>
                <w:highlight w:val="none"/>
                <w:u w:val="single"/>
                <w:lang w:val="zh-CN"/>
              </w:rPr>
              <w:t>按合同</w:t>
            </w:r>
          </w:p>
          <w:p>
            <w:pP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        分包金额要求：</w:t>
            </w:r>
            <w:r>
              <w:rPr>
                <w:rFonts w:hint="eastAsia" w:ascii="宋体" w:hAnsi="宋体" w:cs="宋体"/>
                <w:color w:val="auto"/>
                <w:kern w:val="0"/>
                <w:szCs w:val="21"/>
                <w:highlight w:val="none"/>
                <w:u w:val="single"/>
                <w:lang w:val="zh-CN"/>
              </w:rPr>
              <w:t>按合同</w:t>
            </w:r>
          </w:p>
          <w:p>
            <w:pP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        对分包人的资质要求：</w:t>
            </w:r>
            <w:r>
              <w:rPr>
                <w:rFonts w:hint="eastAsia" w:ascii="宋体" w:hAnsi="宋体" w:cs="宋体"/>
                <w:color w:val="auto"/>
                <w:kern w:val="0"/>
                <w:szCs w:val="21"/>
                <w:highlight w:val="none"/>
                <w:u w:val="single"/>
                <w:lang w:val="zh-CN"/>
              </w:rPr>
              <w:t>按合同</w:t>
            </w:r>
          </w:p>
          <w:p>
            <w:pP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        对分包人的其他要求：</w:t>
            </w:r>
            <w:r>
              <w:rPr>
                <w:rFonts w:hint="eastAsia" w:ascii="宋体" w:hAnsi="宋体" w:cs="宋体"/>
                <w:color w:val="auto"/>
                <w:kern w:val="0"/>
                <w:szCs w:val="21"/>
                <w:highlight w:val="none"/>
                <w:u w:val="single"/>
                <w:lang w:val="zh-CN"/>
              </w:rPr>
              <w:t>按合同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36</w:t>
            </w:r>
          </w:p>
        </w:tc>
        <w:tc>
          <w:tcPr>
            <w:tcW w:w="9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电子招标投标解密失败及突发情况的补救</w:t>
            </w:r>
          </w:p>
        </w:tc>
        <w:tc>
          <w:tcPr>
            <w:tcW w:w="5857" w:type="dxa"/>
            <w:tcBorders>
              <w:top w:val="single" w:color="auto" w:sz="4" w:space="0"/>
              <w:left w:val="single" w:color="auto" w:sz="4" w:space="0"/>
              <w:bottom w:val="single" w:color="auto" w:sz="4" w:space="0"/>
              <w:right w:val="doub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1、按照广州公共资源交易中心交易平台关于全流程电子化项目的相关指南进行操作。详见：</w:t>
            </w:r>
            <w:r>
              <w:rPr>
                <w:rFonts w:hint="eastAsia" w:ascii="宋体" w:hAnsi="宋体" w:cs="宋体"/>
                <w:color w:val="auto"/>
                <w:szCs w:val="21"/>
                <w:highlight w:val="none"/>
                <w:u w:val="single"/>
              </w:rPr>
              <w:t>广州公共资源交易中心网站</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2、提交投标文件</w:t>
            </w:r>
            <w:bookmarkStart w:id="27" w:name="OLE_LINK19"/>
            <w:r>
              <w:rPr>
                <w:rFonts w:hint="eastAsia" w:ascii="宋体" w:hAnsi="宋体" w:cs="宋体"/>
                <w:color w:val="auto"/>
                <w:szCs w:val="21"/>
                <w:highlight w:val="none"/>
              </w:rPr>
              <w:t>光盘备用</w:t>
            </w:r>
            <w:bookmarkEnd w:id="27"/>
          </w:p>
          <w:p>
            <w:pPr>
              <w:rPr>
                <w:rFonts w:ascii="宋体" w:hAnsi="宋体" w:cs="宋体"/>
                <w:color w:val="auto"/>
                <w:szCs w:val="21"/>
                <w:highlight w:val="none"/>
              </w:rPr>
            </w:pPr>
            <w:r>
              <w:rPr>
                <w:rFonts w:hint="eastAsia" w:ascii="宋体" w:hAnsi="宋体" w:cs="宋体"/>
                <w:color w:val="auto"/>
                <w:szCs w:val="21"/>
                <w:highlight w:val="none"/>
              </w:rPr>
              <w:t>投标人可制作非加密的电子投标文件（PDF格式）刻入光盘（1份），在投标须知前附表第18项规定的时间、地点提交备用。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pPr>
              <w:rPr>
                <w:rFonts w:ascii="宋体" w:hAnsi="宋体" w:cs="宋体"/>
                <w:color w:val="auto"/>
                <w:szCs w:val="21"/>
                <w:highlight w:val="none"/>
              </w:rPr>
            </w:pPr>
            <w:r>
              <w:rPr>
                <w:rFonts w:hint="eastAsia" w:ascii="宋体" w:hAnsi="宋体" w:cs="宋体"/>
                <w:color w:val="auto"/>
                <w:szCs w:val="21"/>
                <w:highlight w:val="none"/>
              </w:rPr>
              <w:t>3、补救方案</w:t>
            </w:r>
          </w:p>
          <w:p>
            <w:pPr>
              <w:rPr>
                <w:rFonts w:ascii="宋体" w:hAnsi="宋体" w:cs="宋体"/>
                <w:color w:val="auto"/>
                <w:szCs w:val="21"/>
                <w:highlight w:val="none"/>
              </w:rPr>
            </w:pPr>
            <w:r>
              <w:rPr>
                <w:rFonts w:hint="eastAsia" w:ascii="宋体" w:hAnsi="宋体" w:cs="宋体"/>
                <w:color w:val="auto"/>
                <w:szCs w:val="21"/>
                <w:highlight w:val="none"/>
              </w:rPr>
              <w:t>（1）</w:t>
            </w:r>
            <w:bookmarkStart w:id="28" w:name="OLE_LINK18"/>
            <w:r>
              <w:rPr>
                <w:rFonts w:hint="eastAsia" w:ascii="宋体" w:hAnsi="宋体" w:cs="宋体"/>
                <w:color w:val="auto"/>
                <w:szCs w:val="21"/>
                <w:highlight w:val="none"/>
              </w:rPr>
              <w:t>投标文件解密失败的补救方案</w:t>
            </w:r>
            <w:bookmarkEnd w:id="28"/>
            <w:r>
              <w:rPr>
                <w:rFonts w:hint="eastAsia" w:ascii="宋体" w:hAnsi="宋体" w:cs="宋体"/>
                <w:color w:val="auto"/>
                <w:szCs w:val="21"/>
                <w:highlight w:val="none"/>
              </w:rPr>
              <w:t>：</w:t>
            </w:r>
          </w:p>
          <w:p>
            <w:pPr>
              <w:rPr>
                <w:rFonts w:ascii="宋体" w:hAnsi="宋体" w:cs="宋体"/>
                <w:color w:val="auto"/>
                <w:szCs w:val="21"/>
                <w:highlight w:val="none"/>
              </w:rPr>
            </w:pPr>
            <w:r>
              <w:rPr>
                <w:rFonts w:hint="eastAsia" w:ascii="宋体" w:hAnsi="宋体" w:cs="宋体"/>
                <w:color w:val="auto"/>
                <w:szCs w:val="21"/>
                <w:highlight w:val="non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pPr>
              <w:rPr>
                <w:rFonts w:ascii="宋体" w:hAnsi="宋体" w:cs="宋体"/>
                <w:color w:val="auto"/>
                <w:szCs w:val="21"/>
                <w:highlight w:val="none"/>
              </w:rPr>
            </w:pPr>
            <w:r>
              <w:rPr>
                <w:rFonts w:hint="eastAsia" w:ascii="宋体" w:hAnsi="宋体" w:cs="宋体"/>
                <w:color w:val="auto"/>
                <w:szCs w:val="21"/>
                <w:highlight w:val="none"/>
              </w:rPr>
              <w:t>（2）评标时突发情况的补救方案</w:t>
            </w:r>
          </w:p>
          <w:p>
            <w:pPr>
              <w:rPr>
                <w:rFonts w:ascii="宋体" w:hAnsi="宋体" w:cs="宋体"/>
                <w:color w:val="auto"/>
                <w:szCs w:val="21"/>
                <w:highlight w:val="none"/>
              </w:rPr>
            </w:pPr>
            <w:r>
              <w:rPr>
                <w:rFonts w:hint="eastAsia" w:ascii="宋体" w:hAnsi="宋体" w:cs="宋体"/>
                <w:color w:val="auto"/>
                <w:szCs w:val="21"/>
                <w:highlight w:val="none"/>
              </w:rPr>
              <w:t>若遇不可抗力发生（指网络瘫痪、服务器损坏、交易系统故障短期无法恢复等因素），由评标委员会开启投标人递交的全部投标文件光盘，并按光盘内容进行评审。</w:t>
            </w:r>
          </w:p>
          <w:p>
            <w:pPr>
              <w:rPr>
                <w:rFonts w:ascii="宋体" w:hAnsi="宋体" w:cs="宋体"/>
                <w:color w:val="auto"/>
                <w:szCs w:val="21"/>
                <w:highlight w:val="none"/>
              </w:rPr>
            </w:pPr>
            <w:r>
              <w:rPr>
                <w:rFonts w:hint="eastAsia" w:ascii="宋体" w:hAnsi="宋体" w:cs="宋体"/>
                <w:color w:val="auto"/>
                <w:szCs w:val="21"/>
                <w:highlight w:val="none"/>
              </w:rPr>
              <w:t>（3）除发生上述情况外，开标评标均以投标人通过交易平台网上递交的电子投标文件为准。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37</w:t>
            </w:r>
          </w:p>
        </w:tc>
        <w:tc>
          <w:tcPr>
            <w:tcW w:w="9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其他</w:t>
            </w:r>
          </w:p>
        </w:tc>
        <w:tc>
          <w:tcPr>
            <w:tcW w:w="5857" w:type="dxa"/>
            <w:tcBorders>
              <w:top w:val="single" w:color="auto" w:sz="4" w:space="0"/>
              <w:left w:val="single" w:color="auto" w:sz="4" w:space="0"/>
              <w:bottom w:val="single" w:color="auto" w:sz="4" w:space="0"/>
              <w:right w:val="double" w:color="auto" w:sz="4" w:space="0"/>
            </w:tcBorders>
            <w:vAlign w:val="center"/>
          </w:tcPr>
          <w:p>
            <w:pPr>
              <w:pStyle w:val="78"/>
              <w:numPr>
                <w:ilvl w:val="0"/>
                <w:numId w:val="4"/>
              </w:numPr>
              <w:ind w:firstLineChars="0"/>
              <w:rPr>
                <w:rFonts w:ascii="宋体" w:hAnsi="宋体" w:cs="宋体"/>
                <w:color w:val="auto"/>
                <w:highlight w:val="none"/>
              </w:rPr>
            </w:pPr>
            <w:r>
              <w:rPr>
                <w:rFonts w:hint="eastAsia" w:ascii="宋体" w:hAnsi="宋体" w:cs="宋体"/>
                <w:color w:val="auto"/>
                <w:highlight w:val="none"/>
              </w:rPr>
              <w:t>合同签订：施工部分、</w:t>
            </w:r>
            <w:r>
              <w:rPr>
                <w:rFonts w:hint="eastAsia" w:ascii="宋体" w:hAnsi="宋体" w:cs="宋体"/>
                <w:color w:val="auto"/>
                <w:highlight w:val="none"/>
                <w:lang w:eastAsia="zh-CN"/>
              </w:rPr>
              <w:t>其他</w:t>
            </w:r>
            <w:r>
              <w:rPr>
                <w:rFonts w:hint="eastAsia" w:ascii="宋体" w:hAnsi="宋体" w:cs="宋体"/>
                <w:color w:val="auto"/>
                <w:highlight w:val="none"/>
              </w:rPr>
              <w:t>部分分别单独签订合同。</w:t>
            </w:r>
          </w:p>
          <w:p>
            <w:pPr>
              <w:pStyle w:val="21"/>
              <w:numPr>
                <w:ilvl w:val="0"/>
                <w:numId w:val="4"/>
              </w:numPr>
              <w:rPr>
                <w:rFonts w:hAnsi="宋体" w:cs="宋体"/>
                <w:color w:val="auto"/>
                <w:highlight w:val="none"/>
                <w:lang w:val="zh-CN"/>
              </w:rPr>
            </w:pPr>
            <w:r>
              <w:rPr>
                <w:rFonts w:hint="eastAsia" w:hAnsi="宋体" w:cs="宋体"/>
                <w:color w:val="auto"/>
                <w:highlight w:val="none"/>
                <w:lang w:val="zh-CN"/>
              </w:rPr>
              <w:t>本项目招标代理服务费由招标人支付。</w:t>
            </w:r>
          </w:p>
          <w:p>
            <w:pPr>
              <w:pStyle w:val="21"/>
              <w:numPr>
                <w:ilvl w:val="0"/>
                <w:numId w:val="4"/>
              </w:numPr>
              <w:rPr>
                <w:rFonts w:hAnsi="宋体" w:cs="宋体"/>
                <w:color w:val="auto"/>
                <w:szCs w:val="21"/>
                <w:highlight w:val="none"/>
              </w:rPr>
            </w:pPr>
            <w:r>
              <w:rPr>
                <w:rFonts w:hint="eastAsia" w:hAnsi="宋体" w:cs="Courier New"/>
                <w:color w:val="auto"/>
                <w:highlight w:val="none"/>
              </w:rPr>
              <w:t>中标人代缴公共资源交易服务费，其费用包含在中标人投标报价中，交易中心向中标人开具增值税发票。</w:t>
            </w:r>
          </w:p>
        </w:tc>
      </w:tr>
    </w:tbl>
    <w:p>
      <w:pPr>
        <w:spacing w:line="480" w:lineRule="auto"/>
        <w:jc w:val="center"/>
        <w:outlineLvl w:val="1"/>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br w:type="page"/>
      </w:r>
      <w:bookmarkStart w:id="29" w:name="_Toc9937"/>
      <w:bookmarkStart w:id="30" w:name="_Toc2192"/>
      <w:bookmarkStart w:id="31" w:name="_Toc25133"/>
      <w:bookmarkStart w:id="32" w:name="_Toc1443349078"/>
      <w:bookmarkStart w:id="33" w:name="_Toc13138"/>
      <w:r>
        <w:rPr>
          <w:rFonts w:hint="eastAsia" w:ascii="宋体" w:hAnsi="宋体" w:cs="宋体"/>
          <w:b/>
          <w:color w:val="auto"/>
          <w:kern w:val="0"/>
          <w:sz w:val="24"/>
          <w:szCs w:val="24"/>
          <w:highlight w:val="none"/>
        </w:rPr>
        <w:t>二、投标须知修改表</w:t>
      </w:r>
      <w:bookmarkEnd w:id="29"/>
      <w:bookmarkEnd w:id="30"/>
      <w:bookmarkEnd w:id="31"/>
      <w:bookmarkEnd w:id="32"/>
      <w:bookmarkEnd w:id="33"/>
    </w:p>
    <w:p>
      <w:pPr>
        <w:pStyle w:val="37"/>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声明：本投标须知使用GZZB2018-3招标文件范本[含招标文件范本（GZZB2018-3）修改对照表]的投标须知通用条款，与该通用条款不同之处，均在本表中列明，并以现文为准，原文不再有效。本招标文件中不再转录投标须知通用条款，请投标人自行到广州市住房和城乡建设局网站（网址：http://zfcj.gz.gov.cn/）下载查阅。</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条款号：2.5              修改类型：增加</w:t>
      </w:r>
    </w:p>
    <w:p>
      <w:pPr>
        <w:pBdr>
          <w:bottom w:val="single" w:color="auto" w:sz="6" w:space="1"/>
        </w:pBdr>
        <w:spacing w:line="360" w:lineRule="auto"/>
        <w:ind w:firstLine="422" w:firstLineChars="200"/>
        <w:rPr>
          <w:rFonts w:hint="eastAsia" w:ascii="宋体" w:hAnsi="宋体" w:cs="宋体"/>
          <w:b/>
          <w:color w:val="auto"/>
          <w:szCs w:val="21"/>
          <w:highlight w:val="none"/>
        </w:rPr>
      </w:pPr>
      <w:r>
        <w:rPr>
          <w:rFonts w:hint="eastAsia" w:ascii="宋体" w:hAnsi="宋体" w:eastAsia="宋体" w:cs="宋体"/>
          <w:b/>
          <w:color w:val="auto"/>
          <w:sz w:val="21"/>
          <w:szCs w:val="21"/>
          <w:highlight w:val="none"/>
          <w:lang w:bidi="ar"/>
        </w:rPr>
        <w:t>现文：</w:t>
      </w:r>
      <w:r>
        <w:rPr>
          <w:rFonts w:hint="eastAsia" w:ascii="宋体" w:hAnsi="宋体" w:eastAsia="宋体" w:cs="宋体"/>
          <w:color w:val="auto"/>
          <w:sz w:val="21"/>
          <w:szCs w:val="21"/>
          <w:highlight w:val="none"/>
          <w:lang w:bidi="ar"/>
        </w:rPr>
        <w:t>2.5</w:t>
      </w:r>
      <w:r>
        <w:rPr>
          <w:rFonts w:hint="eastAsia" w:ascii="宋体" w:hAnsi="宋体" w:eastAsia="宋体" w:cs="宋体"/>
          <w:bCs/>
          <w:color w:val="auto"/>
          <w:kern w:val="2"/>
          <w:sz w:val="21"/>
          <w:szCs w:val="21"/>
          <w:highlight w:val="none"/>
          <w:u w:val="single"/>
          <w:lang w:val="en-US" w:eastAsia="zh-CN" w:bidi="ar"/>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p>
      <w:pPr>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bidi="ar"/>
        </w:rPr>
        <w:t>条款号：5.1              修改类型：修改</w:t>
      </w:r>
    </w:p>
    <w:p>
      <w:pPr>
        <w:pBdr>
          <w:bottom w:val="single" w:color="auto" w:sz="6" w:space="1"/>
        </w:pBdr>
        <w:spacing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bidi="ar"/>
        </w:rPr>
        <w:t>原文：</w:t>
      </w:r>
      <w:r>
        <w:rPr>
          <w:rFonts w:hint="eastAsia" w:ascii="宋体" w:hAnsi="宋体" w:eastAsia="宋体" w:cs="宋体"/>
          <w:bCs/>
          <w:color w:val="auto"/>
          <w:sz w:val="21"/>
          <w:szCs w:val="21"/>
          <w:highlight w:val="none"/>
          <w:lang w:bidi="ar"/>
        </w:rPr>
        <w:t>投标人应按本投标须知前附表第15项所述时间和要求对工程现场及周围环境进行踏勘，</w:t>
      </w:r>
      <w:r>
        <w:rPr>
          <w:rFonts w:hint="eastAsia" w:ascii="宋体" w:hAnsi="宋体" w:eastAsia="宋体" w:cs="宋体"/>
          <w:color w:val="auto"/>
          <w:sz w:val="21"/>
          <w:szCs w:val="21"/>
          <w:highlight w:val="none"/>
          <w:lang w:bidi="ar"/>
        </w:rPr>
        <w:t>投标人应充分重视和仔细地进行这种考察，</w:t>
      </w:r>
      <w:r>
        <w:rPr>
          <w:rFonts w:hint="eastAsia" w:ascii="宋体" w:hAnsi="宋体" w:eastAsia="宋体" w:cs="宋体"/>
          <w:bCs/>
          <w:color w:val="auto"/>
          <w:sz w:val="21"/>
          <w:szCs w:val="21"/>
          <w:highlight w:val="none"/>
          <w:lang w:bidi="ar"/>
        </w:rPr>
        <w:t>以便投标人获取</w:t>
      </w:r>
      <w:r>
        <w:rPr>
          <w:rFonts w:hint="eastAsia" w:ascii="宋体" w:hAnsi="宋体" w:eastAsia="宋体" w:cs="宋体"/>
          <w:color w:val="auto"/>
          <w:sz w:val="21"/>
          <w:szCs w:val="21"/>
          <w:highlight w:val="none"/>
          <w:lang w:bidi="ar"/>
        </w:rPr>
        <w:t>那些须投标人自己负责的</w:t>
      </w:r>
      <w:r>
        <w:rPr>
          <w:rFonts w:hint="eastAsia" w:ascii="宋体" w:hAnsi="宋体" w:eastAsia="宋体" w:cs="宋体"/>
          <w:bCs/>
          <w:color w:val="auto"/>
          <w:sz w:val="21"/>
          <w:szCs w:val="21"/>
          <w:highlight w:val="none"/>
          <w:lang w:bidi="ar"/>
        </w:rPr>
        <w:t>有关编制投标文件和签署合同所涉及现场所有的资料。</w:t>
      </w:r>
      <w:r>
        <w:rPr>
          <w:rFonts w:hint="eastAsia" w:ascii="宋体" w:hAnsi="宋体" w:eastAsia="宋体" w:cs="宋体"/>
          <w:color w:val="auto"/>
          <w:sz w:val="21"/>
          <w:szCs w:val="21"/>
          <w:highlight w:val="none"/>
          <w:lang w:bidi="ar"/>
        </w:rPr>
        <w:t>一旦中标，这种考察即被认为其结果已在中标文件中得到充分反映。考察现场的费用由投标人自己承担。</w:t>
      </w:r>
    </w:p>
    <w:p>
      <w:pPr>
        <w:pBdr>
          <w:bottom w:val="single" w:color="auto" w:sz="6" w:space="1"/>
        </w:pBdr>
        <w:spacing w:line="360" w:lineRule="auto"/>
        <w:ind w:firstLine="422" w:firstLineChars="200"/>
        <w:rPr>
          <w:rFonts w:hint="eastAsia" w:ascii="宋体" w:hAnsi="宋体" w:cs="宋体"/>
          <w:b/>
          <w:color w:val="auto"/>
          <w:szCs w:val="21"/>
          <w:highlight w:val="none"/>
        </w:rPr>
      </w:pPr>
      <w:r>
        <w:rPr>
          <w:rFonts w:hint="eastAsia" w:ascii="宋体" w:hAnsi="宋体" w:eastAsia="宋体" w:cs="宋体"/>
          <w:b/>
          <w:color w:val="auto"/>
          <w:sz w:val="21"/>
          <w:szCs w:val="21"/>
          <w:highlight w:val="none"/>
          <w:lang w:bidi="ar"/>
        </w:rPr>
        <w:t>现文：</w:t>
      </w:r>
      <w:r>
        <w:rPr>
          <w:rFonts w:hint="eastAsia" w:ascii="宋体" w:hAnsi="宋体" w:eastAsia="宋体" w:cs="宋体"/>
          <w:bCs/>
          <w:color w:val="auto"/>
          <w:sz w:val="21"/>
          <w:szCs w:val="21"/>
          <w:highlight w:val="none"/>
          <w:lang w:bidi="ar"/>
        </w:rPr>
        <w:t>投标人应按本投标须知前附表第15项所述时间和要求对工程现场及周围环境进行踏勘，</w:t>
      </w:r>
      <w:r>
        <w:rPr>
          <w:rFonts w:hint="eastAsia" w:ascii="宋体" w:hAnsi="宋体" w:eastAsia="宋体" w:cs="宋体"/>
          <w:color w:val="auto"/>
          <w:sz w:val="21"/>
          <w:szCs w:val="21"/>
          <w:highlight w:val="none"/>
          <w:lang w:bidi="ar"/>
        </w:rPr>
        <w:t>投标人应充分重视和仔细地进行这种考察，</w:t>
      </w:r>
      <w:r>
        <w:rPr>
          <w:rFonts w:hint="eastAsia" w:ascii="宋体" w:hAnsi="宋体" w:eastAsia="宋体" w:cs="宋体"/>
          <w:bCs/>
          <w:color w:val="auto"/>
          <w:sz w:val="21"/>
          <w:szCs w:val="21"/>
          <w:highlight w:val="none"/>
          <w:lang w:bidi="ar"/>
        </w:rPr>
        <w:t>以便投标人获取</w:t>
      </w:r>
      <w:r>
        <w:rPr>
          <w:rFonts w:hint="eastAsia" w:ascii="宋体" w:hAnsi="宋体" w:eastAsia="宋体" w:cs="宋体"/>
          <w:color w:val="auto"/>
          <w:sz w:val="21"/>
          <w:szCs w:val="21"/>
          <w:highlight w:val="none"/>
          <w:lang w:bidi="ar"/>
        </w:rPr>
        <w:t>那些须投标人自己负责的</w:t>
      </w:r>
      <w:r>
        <w:rPr>
          <w:rFonts w:hint="eastAsia" w:ascii="宋体" w:hAnsi="宋体" w:eastAsia="宋体" w:cs="宋体"/>
          <w:bCs/>
          <w:color w:val="auto"/>
          <w:sz w:val="21"/>
          <w:szCs w:val="21"/>
          <w:highlight w:val="none"/>
          <w:lang w:bidi="ar"/>
        </w:rPr>
        <w:t>有关编制投标文件和签署合同所涉及现场所有的资料。</w:t>
      </w:r>
      <w:r>
        <w:rPr>
          <w:rFonts w:hint="eastAsia" w:ascii="宋体" w:hAnsi="宋体" w:eastAsia="宋体" w:cs="宋体"/>
          <w:color w:val="auto"/>
          <w:sz w:val="21"/>
          <w:szCs w:val="21"/>
          <w:highlight w:val="none"/>
          <w:lang w:bidi="ar"/>
        </w:rPr>
        <w:t>一旦中标，这种考察即被认为其结果已在中标文件中得到充分反映,</w:t>
      </w:r>
      <w:r>
        <w:rPr>
          <w:rFonts w:hint="eastAsia" w:ascii="宋体" w:hAnsi="宋体" w:eastAsia="宋体" w:cs="宋体"/>
          <w:color w:val="auto"/>
          <w:sz w:val="21"/>
          <w:szCs w:val="21"/>
          <w:highlight w:val="none"/>
          <w:u w:val="single"/>
          <w:lang w:bidi="ar"/>
        </w:rPr>
        <w:t>且充分考虑了现场各种因素。招标人不受理因投标人缺乏对现场条件的了解或掌握而提出的任何索赔。</w:t>
      </w:r>
      <w:r>
        <w:rPr>
          <w:rFonts w:hint="eastAsia" w:ascii="宋体" w:hAnsi="宋体" w:eastAsia="宋体" w:cs="宋体"/>
          <w:color w:val="auto"/>
          <w:sz w:val="21"/>
          <w:szCs w:val="21"/>
          <w:highlight w:val="none"/>
          <w:lang w:bidi="ar"/>
        </w:rPr>
        <w:t>考察现场的费用由投标人自己承担。</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条款号：8.1             修改类型：修改</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投标人若对招标文件（包括招标图纸）中有疑问，可以书面形式通过</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交易平台提交给招标人或招标代理人，提交形式见本须知前附表第16项。</w:t>
      </w:r>
    </w:p>
    <w:p>
      <w:pPr>
        <w:pBdr>
          <w:bottom w:val="single" w:color="auto" w:sz="6" w:space="1"/>
        </w:pBd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eastAsia="宋体" w:cs="宋体"/>
          <w:color w:val="auto"/>
          <w:sz w:val="21"/>
          <w:szCs w:val="21"/>
          <w:highlight w:val="none"/>
          <w:lang w:bidi="ar"/>
        </w:rPr>
        <w:t>投标人若对招标文件（包括招标图纸）中有疑问，可以通过</w:t>
      </w:r>
      <w:r>
        <w:rPr>
          <w:rFonts w:hint="eastAsia" w:ascii="宋体" w:hAnsi="宋体" w:eastAsia="宋体" w:cs="宋体"/>
          <w:color w:val="auto"/>
          <w:sz w:val="21"/>
          <w:szCs w:val="21"/>
          <w:highlight w:val="none"/>
          <w:u w:val="single"/>
          <w:lang w:bidi="ar"/>
        </w:rPr>
        <w:t>广州公共资源交易中心</w:t>
      </w:r>
      <w:r>
        <w:rPr>
          <w:rFonts w:hint="eastAsia" w:ascii="宋体" w:hAnsi="宋体" w:eastAsia="宋体" w:cs="宋体"/>
          <w:color w:val="auto"/>
          <w:sz w:val="21"/>
          <w:szCs w:val="21"/>
          <w:highlight w:val="none"/>
          <w:lang w:bidi="ar"/>
        </w:rPr>
        <w:t>交易平台提交给招标人或招标代理人，提交形式见本须知前附表第16项。</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条款号：8.2             修改类型：修改</w:t>
      </w:r>
    </w:p>
    <w:p>
      <w:pPr>
        <w:pStyle w:val="37"/>
        <w:spacing w:after="0"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8.2招标答疑会会议纪要将在提交投标文件截止时间15日前在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交易平台 “项目答疑纪要”专区公开发布。答疑纪要一经在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交易平台发布，视作已发放给所有投标人。</w:t>
      </w:r>
    </w:p>
    <w:p>
      <w:pPr>
        <w:pStyle w:val="37"/>
        <w:spacing w:after="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8.3答疑会会议纪要为招标文件的一部分。</w:t>
      </w:r>
    </w:p>
    <w:p>
      <w:pPr>
        <w:pStyle w:val="37"/>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8.4若招标答疑会会议纪要与招标文件有矛盾，以答疑会议纪要最后发出的书面形式的文件为准。</w:t>
      </w:r>
    </w:p>
    <w:p>
      <w:pPr>
        <w:pStyle w:val="37"/>
        <w:spacing w:after="0" w:line="360" w:lineRule="auto"/>
        <w:ind w:firstLine="422" w:firstLineChars="200"/>
        <w:rPr>
          <w:rFonts w:ascii="宋体" w:hAnsi="宋体" w:cs="宋体"/>
          <w:bCs/>
          <w:color w:val="auto"/>
          <w:szCs w:val="21"/>
          <w:highlight w:val="none"/>
        </w:rPr>
      </w:pPr>
      <w:r>
        <w:rPr>
          <w:rFonts w:hint="eastAsia" w:ascii="宋体" w:hAnsi="宋体" w:cs="宋体"/>
          <w:b/>
          <w:color w:val="auto"/>
          <w:szCs w:val="21"/>
          <w:highlight w:val="none"/>
        </w:rPr>
        <w:t>现文：</w:t>
      </w:r>
      <w:r>
        <w:rPr>
          <w:rFonts w:hint="eastAsia" w:ascii="宋体" w:hAnsi="宋体" w:cs="宋体"/>
          <w:bCs/>
          <w:color w:val="auto"/>
          <w:szCs w:val="21"/>
          <w:highlight w:val="none"/>
        </w:rPr>
        <w:t>8.2</w:t>
      </w:r>
      <w:r>
        <w:rPr>
          <w:rFonts w:hint="eastAsia" w:ascii="宋体" w:hAnsi="宋体" w:cs="宋体"/>
          <w:bCs/>
          <w:color w:val="auto"/>
          <w:szCs w:val="21"/>
          <w:highlight w:val="none"/>
          <w:u w:val="single"/>
        </w:rPr>
        <w:t>招标答疑纪要</w:t>
      </w:r>
      <w:r>
        <w:rPr>
          <w:rFonts w:hint="eastAsia" w:ascii="宋体" w:hAnsi="宋体" w:cs="宋体"/>
          <w:bCs/>
          <w:color w:val="auto"/>
          <w:szCs w:val="21"/>
          <w:highlight w:val="none"/>
        </w:rPr>
        <w:t>将在提交投标文件截止时间15日前在</w:t>
      </w:r>
      <w:r>
        <w:rPr>
          <w:rFonts w:hint="eastAsia" w:ascii="宋体" w:hAnsi="宋体" w:cs="宋体"/>
          <w:bCs/>
          <w:color w:val="auto"/>
          <w:szCs w:val="21"/>
          <w:highlight w:val="none"/>
          <w:u w:val="single"/>
        </w:rPr>
        <w:t>广州公共资源交易中心</w:t>
      </w:r>
      <w:r>
        <w:rPr>
          <w:rFonts w:hint="eastAsia" w:ascii="宋体" w:hAnsi="宋体" w:cs="宋体"/>
          <w:bCs/>
          <w:color w:val="auto"/>
          <w:szCs w:val="21"/>
          <w:highlight w:val="none"/>
        </w:rPr>
        <w:t>交易平台 “项目答疑纪要”专区公开发布。答疑纪要一经在</w:t>
      </w:r>
      <w:r>
        <w:rPr>
          <w:rFonts w:hint="eastAsia" w:ascii="宋体" w:hAnsi="宋体" w:cs="宋体"/>
          <w:bCs/>
          <w:color w:val="auto"/>
          <w:szCs w:val="21"/>
          <w:highlight w:val="none"/>
          <w:u w:val="single"/>
        </w:rPr>
        <w:t>广州公共资源交易中心</w:t>
      </w:r>
      <w:r>
        <w:rPr>
          <w:rFonts w:hint="eastAsia" w:ascii="宋体" w:hAnsi="宋体" w:cs="宋体"/>
          <w:bCs/>
          <w:color w:val="auto"/>
          <w:szCs w:val="21"/>
          <w:highlight w:val="none"/>
        </w:rPr>
        <w:t>交易平台发布，视作已发放给所有投标人。</w:t>
      </w:r>
    </w:p>
    <w:p>
      <w:pPr>
        <w:pStyle w:val="37"/>
        <w:spacing w:after="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8.3</w:t>
      </w:r>
      <w:r>
        <w:rPr>
          <w:rFonts w:hint="eastAsia" w:ascii="宋体" w:hAnsi="宋体" w:cs="宋体"/>
          <w:bCs/>
          <w:color w:val="auto"/>
          <w:szCs w:val="21"/>
          <w:highlight w:val="none"/>
          <w:u w:val="single"/>
        </w:rPr>
        <w:t>招标答疑纪要</w:t>
      </w:r>
      <w:r>
        <w:rPr>
          <w:rFonts w:hint="eastAsia" w:ascii="宋体" w:hAnsi="宋体" w:cs="宋体"/>
          <w:color w:val="auto"/>
          <w:szCs w:val="21"/>
          <w:highlight w:val="none"/>
        </w:rPr>
        <w:t>为招标文件的一部分。</w:t>
      </w:r>
    </w:p>
    <w:p>
      <w:pPr>
        <w:pBdr>
          <w:bottom w:val="single" w:color="auto" w:sz="6" w:space="1"/>
        </w:pBd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8.4若</w:t>
      </w:r>
      <w:r>
        <w:rPr>
          <w:rFonts w:hint="eastAsia" w:ascii="宋体" w:hAnsi="宋体" w:cs="宋体"/>
          <w:bCs/>
          <w:color w:val="auto"/>
          <w:szCs w:val="21"/>
          <w:highlight w:val="none"/>
          <w:u w:val="single"/>
        </w:rPr>
        <w:t>招标答疑纪要</w:t>
      </w:r>
      <w:r>
        <w:rPr>
          <w:rFonts w:hint="eastAsia" w:ascii="宋体" w:hAnsi="宋体" w:cs="宋体"/>
          <w:color w:val="auto"/>
          <w:szCs w:val="21"/>
          <w:highlight w:val="none"/>
        </w:rPr>
        <w:t>与招标文件有矛盾，以</w:t>
      </w:r>
      <w:r>
        <w:rPr>
          <w:rFonts w:hint="eastAsia" w:ascii="宋体" w:hAnsi="宋体" w:cs="宋体"/>
          <w:color w:val="auto"/>
          <w:szCs w:val="21"/>
          <w:highlight w:val="none"/>
          <w:u w:val="single"/>
        </w:rPr>
        <w:t>广州公共资源交易中心交易平台最后发布的答疑纪要为准</w:t>
      </w:r>
      <w:r>
        <w:rPr>
          <w:rFonts w:hint="eastAsia" w:ascii="宋体" w:hAnsi="宋体" w:cs="宋体"/>
          <w:color w:val="auto"/>
          <w:szCs w:val="21"/>
          <w:highlight w:val="none"/>
        </w:rPr>
        <w:t>。</w:t>
      </w:r>
    </w:p>
    <w:p>
      <w:pPr>
        <w:pStyle w:val="21"/>
        <w:ind w:firstLine="420" w:firstLineChars="200"/>
        <w:rPr>
          <w:color w:val="auto"/>
          <w:highlight w:val="none"/>
        </w:rPr>
      </w:pP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条款号：9.2             修改类型：修改</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招标文件的澄清或修改将在</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交易平台“项目答疑纪要”专区公开发布。答疑纪要一经在</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交易平台发布，视作已发放给所有投标人，以</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交易平台上网发布时间作为送达时间。</w:t>
      </w:r>
    </w:p>
    <w:p>
      <w:pPr>
        <w:pBdr>
          <w:bottom w:val="single" w:color="auto" w:sz="6" w:space="1"/>
        </w:pBdr>
        <w:spacing w:line="360" w:lineRule="auto"/>
        <w:ind w:firstLine="422" w:firstLineChars="200"/>
        <w:rPr>
          <w:rFonts w:ascii="宋体" w:hAnsi="宋体" w:cs="宋体"/>
          <w:color w:val="auto"/>
          <w:highlight w:val="none"/>
        </w:rPr>
      </w:pPr>
      <w:r>
        <w:rPr>
          <w:rFonts w:hint="eastAsia" w:ascii="宋体" w:hAnsi="宋体" w:cs="宋体"/>
          <w:b/>
          <w:color w:val="auto"/>
          <w:szCs w:val="21"/>
          <w:highlight w:val="none"/>
        </w:rPr>
        <w:t>现文：</w:t>
      </w:r>
      <w:r>
        <w:rPr>
          <w:rFonts w:hint="eastAsia" w:ascii="宋体" w:hAnsi="宋体" w:cs="宋体"/>
          <w:color w:val="auto"/>
          <w:szCs w:val="20"/>
          <w:highlight w:val="none"/>
        </w:rPr>
        <w:t>招标文件的澄清或修改将在</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w:t>
      </w:r>
      <w:r>
        <w:rPr>
          <w:rFonts w:hint="eastAsia" w:ascii="宋体" w:hAnsi="宋体" w:cs="宋体"/>
          <w:color w:val="auto"/>
          <w:szCs w:val="20"/>
          <w:highlight w:val="none"/>
        </w:rPr>
        <w:t>“项目答疑纪要”专区公开发布。答疑纪要一经在</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w:t>
      </w:r>
      <w:r>
        <w:rPr>
          <w:rFonts w:hint="eastAsia" w:ascii="宋体" w:hAnsi="宋体" w:cs="宋体"/>
          <w:color w:val="auto"/>
          <w:szCs w:val="20"/>
          <w:highlight w:val="none"/>
        </w:rPr>
        <w:t>发布，视作已发放给所有投标人，以</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w:t>
      </w:r>
      <w:r>
        <w:rPr>
          <w:rFonts w:hint="eastAsia" w:ascii="宋体" w:hAnsi="宋体" w:cs="宋体"/>
          <w:color w:val="auto"/>
          <w:szCs w:val="20"/>
          <w:highlight w:val="none"/>
        </w:rPr>
        <w:t>上网发布时间作为送达时间。</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条款号：9.4             修改类型：修改</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0"/>
          <w:highlight w:val="none"/>
        </w:rPr>
        <w:t>招标文件的澄清或修改均以书面形式明确的内容为准。当招标文件的澄清、修改、补充等在同一内容的表述不一致时，以最后发出的书面形式的文件为准。</w:t>
      </w:r>
    </w:p>
    <w:p>
      <w:pPr>
        <w:pBdr>
          <w:bottom w:val="single" w:color="auto" w:sz="6" w:space="1"/>
        </w:pBd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0"/>
          <w:highlight w:val="none"/>
        </w:rPr>
        <w:t>招标文件的澄清或修改</w:t>
      </w:r>
      <w:r>
        <w:rPr>
          <w:rFonts w:hint="eastAsia" w:ascii="宋体" w:hAnsi="宋体" w:cs="宋体"/>
          <w:color w:val="auto"/>
          <w:szCs w:val="21"/>
          <w:highlight w:val="none"/>
          <w:u w:val="single"/>
        </w:rPr>
        <w:t>在广州公共资源交易中心交易平台“建设工程→项目查询（日程安排、答疑纪要）”专区公开发布</w:t>
      </w:r>
      <w:r>
        <w:rPr>
          <w:rFonts w:hint="eastAsia" w:ascii="宋体" w:hAnsi="宋体" w:cs="宋体"/>
          <w:color w:val="auto"/>
          <w:szCs w:val="20"/>
          <w:highlight w:val="none"/>
        </w:rPr>
        <w:t>。当招标文件的澄清、修改、补充等在同一内容的表述不一致时，</w:t>
      </w:r>
      <w:r>
        <w:rPr>
          <w:rFonts w:hint="eastAsia" w:ascii="宋体" w:hAnsi="宋体" w:cs="宋体"/>
          <w:color w:val="auto"/>
          <w:szCs w:val="20"/>
          <w:highlight w:val="none"/>
          <w:u w:val="single"/>
        </w:rPr>
        <w:t>以最后发出的文件为准</w:t>
      </w:r>
      <w:r>
        <w:rPr>
          <w:rFonts w:hint="eastAsia" w:ascii="宋体" w:hAnsi="宋体" w:cs="宋体"/>
          <w:color w:val="auto"/>
          <w:szCs w:val="20"/>
          <w:highlight w:val="none"/>
        </w:rPr>
        <w:t>。</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条款号：11.2             修改类型：修改</w:t>
      </w:r>
    </w:p>
    <w:p>
      <w:pPr>
        <w:spacing w:line="360" w:lineRule="auto"/>
        <w:ind w:firstLine="422" w:firstLineChars="200"/>
        <w:rPr>
          <w:rFonts w:ascii="宋体" w:hAnsi="宋体" w:cs="宋体"/>
          <w:bCs/>
          <w:color w:val="auto"/>
          <w:szCs w:val="21"/>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投标文件技术标部分主要包括下列内容:</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11.2.1 技术投标文件(按招标文件的要求填写)；</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11.2.2 资格审查文件：</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（1）投标人声明； </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（2）法定代表人证明书、法定代表人签字或盖章的本投标文件授权委托证明书；</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（3）企业营业执照扫描件或电子证照；</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（4）企业资质证书扫描件或电子证照；</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（5）建筑施工企业安全生产许可证扫描件或电子证照；</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（6）项目负责人（按网上投标登记时选择拟投入本项目的项目负责人）</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（7）专职安全员（按网上投标登记时选择拟投入本项目的专职安全员）</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（8）拟委托技术负责人的相关证书、资料（具体要求由招标人明确）</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（9）拟委派项目负责人的有效期内的建造师注册证书扫描件或电子证书；  </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（10）项目负责人在有效期内的安全生产考核合格证书（B类）或建筑施工企业项目负责人安全生产考核合格证书扫描件或电子证书；</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（11）专职安全员须具有在有效期内的安全生产考核合格证书（C类）或建筑施工企业专职安全生产管理人员安全生产考核合格证书扫描件或电子证书；</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（12）用于资格审查的业绩（设置业绩要求时选择此项，投标人须提供类似工程业绩的项目名称及项目编号，具体格式由招标人自定）；</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（13）列明主办单位的联合体工作协议（采用联合体投标时需递交，投标人拟任本工程项目负责人应为联合体主办方信用档案中的在册人员，联合体工作协议应明确约定各方拟承担的工作和责任）； </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（14）列明主办单位的联合体工作协议（采用联合体投标时需递交，投标人拟任本工程项目负责人应为联合体主办方信用档案中的在册人员，联合体工作协议应明确约定各方拟承担的工作和责任）；</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注：1.相关电子证书按规定需打印后手写本人签名的，应按照规定手写本人签名后再扫描提交。</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投标人在投标登记时选择了拟投入本项目的项目负责人、专职安全员，即已满足“资格审查前，投标人须在广州市住房和城乡建设局建立企业信用档案，拟担任本工程项目负责人、专职安全员须是本企业信用档案中的在册人员”的要求，投标人无需提供证明材料。</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11.2.3项目管理机构配备。</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（1）投标人应列出该项目工程的施工组织机构构成和画出机构框架图及其负责人；</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（2）投标人应详细列出该施工组织机构中主要成员的名单、简历资料、职务职称和在本项目中拟担任的职务等资料，并附上有关证明材料扫描件；</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（3）其他辅助说明资料。</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11.2.4投标人在广州市可使用适合本工程的机械设备（附：机械设备为自有或租赁的说明；及承诺机械设备如属于租赁的，其租赁是不属于重复租赁）。</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11.2.5（1）投标人在编制施工组织设计或施工方案时应按照招标人提出的施工现场建筑垃圾源头减量的具体要求以及建筑垃圾综合利用产品的使用要求提供相应措施。</w:t>
      </w:r>
    </w:p>
    <w:p>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rPr>
        <w:t>（2）投标人在编制施工组织设计或施工方案时应按照招标文件要求，并针对本项目的关键技术、工艺、重点、难点以及拟在本项目采用的新工艺、新技术、新材料编制，应突出重点，标准、规范中已有的内容无需赘述，一般篇幅不宜超过150页；对于技术特别复杂，施工工艺超出国家标准的项目，施工组织设计的篇幅要求可适当放宽，但不宜超过200页。超过部分不予评审</w:t>
      </w:r>
      <w:r>
        <w:rPr>
          <w:rFonts w:hint="eastAsia" w:ascii="宋体" w:hAnsi="宋体" w:cs="宋体"/>
          <w:b/>
          <w:bCs/>
          <w:color w:val="auto"/>
          <w:szCs w:val="21"/>
          <w:highlight w:val="none"/>
          <w:lang w:eastAsia="zh-CN"/>
        </w:rPr>
        <w:t>。</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11.2.6按照招标文件要求填写的《参与编制技术标投标文件人员名单》。</w:t>
      </w:r>
    </w:p>
    <w:p>
      <w:pPr>
        <w:spacing w:line="360" w:lineRule="auto"/>
        <w:ind w:firstLine="422" w:firstLineChars="200"/>
        <w:rPr>
          <w:rFonts w:ascii="宋体" w:hAnsi="宋体" w:cs="宋体"/>
          <w:bCs/>
          <w:color w:val="auto"/>
          <w:szCs w:val="21"/>
          <w:highlight w:val="none"/>
          <w:u w:val="single"/>
        </w:rPr>
      </w:pPr>
      <w:r>
        <w:rPr>
          <w:rFonts w:hint="eastAsia" w:ascii="宋体" w:hAnsi="宋体" w:cs="宋体"/>
          <w:b/>
          <w:color w:val="auto"/>
          <w:szCs w:val="21"/>
          <w:highlight w:val="none"/>
          <w:u w:val="single"/>
        </w:rPr>
        <w:t>现文：</w:t>
      </w:r>
      <w:r>
        <w:rPr>
          <w:rFonts w:hint="eastAsia" w:ascii="宋体" w:hAnsi="宋体" w:cs="宋体"/>
          <w:bCs/>
          <w:color w:val="auto"/>
          <w:szCs w:val="21"/>
          <w:highlight w:val="none"/>
          <w:u w:val="single"/>
        </w:rPr>
        <w:t>投标文件技术标部分（含资格审查文件）主要包括下列内容:</w:t>
      </w:r>
    </w:p>
    <w:p>
      <w:pP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 xml:space="preserve">11.2.1 </w:t>
      </w:r>
      <w:r>
        <w:rPr>
          <w:rFonts w:hint="eastAsia" w:ascii="宋体" w:hAnsi="宋体" w:cs="宋体"/>
          <w:bCs/>
          <w:color w:val="auto"/>
          <w:szCs w:val="21"/>
          <w:highlight w:val="none"/>
          <w:u w:val="single"/>
          <w:lang w:val="zh-CN"/>
        </w:rPr>
        <w:t>广州建设工程施工招标投标书</w:t>
      </w:r>
      <w:r>
        <w:rPr>
          <w:rFonts w:hint="eastAsia" w:ascii="宋体" w:hAnsi="宋体" w:cs="宋体"/>
          <w:color w:val="auto"/>
          <w:szCs w:val="21"/>
          <w:highlight w:val="none"/>
          <w:u w:val="single"/>
        </w:rPr>
        <w:t>(格式见第四章投标文件格式)</w:t>
      </w:r>
      <w:r>
        <w:rPr>
          <w:rFonts w:hint="eastAsia" w:ascii="宋体" w:hAnsi="宋体" w:cs="宋体"/>
          <w:bCs/>
          <w:color w:val="auto"/>
          <w:szCs w:val="21"/>
          <w:highlight w:val="none"/>
          <w:u w:val="single"/>
        </w:rPr>
        <w:t>；</w:t>
      </w:r>
    </w:p>
    <w:p>
      <w:pP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11.2.2 资格审查文件：</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 xml:space="preserve">1）投标人声明； </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（2）法定代表人证明书、法定代表人签字或盖章的本投标文件授权委托证明书；</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（3）企业营业执照扫描件或电子证照；</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（4）企业资质证书扫描件或电子证照；</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（5）建筑施工企业安全生产许可证扫描件或电子证照；</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（6）项目负责人（按网上投标登记时选择拟投入本项目的项目负责人）</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（7）专职安全员（按网上投标登记时选择拟投入本项目的专职安全员）</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（8）拟委托技术负责人的相关证书、资料（具体要求由招标人明确）</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 xml:space="preserve">（9）拟委派项目负责人的有效期内的建造师注册证书扫描件或电子证书；  </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（10）项目负责人在有效期内的安全生产考核合格证书（B类）或建筑施工企业项目负责人安全生产考核合格证书扫描件或电子证书；</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（11）专职安全员须具有在有效期内的安全生产考核合格证书（C类）或建筑施工企业专职安全生产管理人员安全生产考核合格证书扫描件或电子证书；</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（12）用于资格审查的业绩（设置业绩要求时选择此项，投标人须提供类似工程业绩的项目名称及项目编号，具体格式由招标人自定）；</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 xml:space="preserve">（13）列明主办单位的联合体工作协议（采用联合体投标时需递交，投标人拟任本工程项目负责人应为联合体主办方信用档案中的在册人员，联合体工作协议应明确约定各方拟承担的工作和责任）； </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（14）列明主办单位的联合体工作协议（采用联合体投标时需递交，投标人拟任本工程项目负责人应为联合体主办方信用档案中的在册人员，联合体工作协议应明确约定各方拟承担的工作和责任）；</w:t>
      </w:r>
    </w:p>
    <w:p>
      <w:pP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注：1.相关电子证书按规定需打印后手写本人签名的，应按照规定手写本人签名后再扫描提交。</w:t>
      </w:r>
    </w:p>
    <w:p>
      <w:pPr>
        <w:spacing w:line="360" w:lineRule="auto"/>
        <w:ind w:firstLine="840" w:firstLineChars="400"/>
        <w:rPr>
          <w:rFonts w:ascii="宋体" w:hAnsi="宋体" w:cs="宋体"/>
          <w:bCs/>
          <w:color w:val="auto"/>
          <w:szCs w:val="21"/>
          <w:highlight w:val="none"/>
          <w:u w:val="single"/>
        </w:rPr>
      </w:pPr>
      <w:r>
        <w:rPr>
          <w:rFonts w:hint="eastAsia" w:ascii="宋体" w:hAnsi="宋体" w:cs="宋体"/>
          <w:bCs/>
          <w:color w:val="auto"/>
          <w:szCs w:val="21"/>
          <w:highlight w:val="none"/>
          <w:u w:val="single"/>
        </w:rPr>
        <w:t>2.投标人在投标登记时选择了拟投入本项目的项目负责人、专职安全员，即已满足“资格审查前，投标人须在广州市住房和城乡建设局建立企业信用档案，拟担任本工程项目负责人、专职安全员须是本企业信用档案中的在册人员”的要求，投标人无需提供证明材料。</w:t>
      </w:r>
    </w:p>
    <w:p>
      <w:pPr>
        <w:pBdr>
          <w:bottom w:val="single" w:color="auto" w:sz="6" w:space="1"/>
        </w:pBd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11.2.3 《投标函》（格式见第四章投标文件格式）；</w:t>
      </w:r>
    </w:p>
    <w:p>
      <w:pPr>
        <w:pBdr>
          <w:bottom w:val="single" w:color="auto" w:sz="6" w:space="1"/>
        </w:pBd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11.2.4 《投入主要人员汇总表》（格式见第四章投标文件格式）、《主要人员简历表》（格式自拟）；</w:t>
      </w:r>
    </w:p>
    <w:p>
      <w:pPr>
        <w:pBdr>
          <w:bottom w:val="single" w:color="auto" w:sz="6" w:space="1"/>
        </w:pBd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11.2.5 《承诺书》（格式见第四章投标文件格式）；</w:t>
      </w:r>
    </w:p>
    <w:p>
      <w:pPr>
        <w:pBdr>
          <w:bottom w:val="single" w:color="auto" w:sz="6" w:space="1"/>
        </w:pBd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11.2.6 《工期响应承诺书》（格式见第四章投标文件格式）；</w:t>
      </w:r>
    </w:p>
    <w:p>
      <w:pPr>
        <w:pBdr>
          <w:bottom w:val="single" w:color="auto" w:sz="6" w:space="1"/>
        </w:pBd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11.2.7 《合同响应承诺书》（格式见第四章投标文件格式）；</w:t>
      </w:r>
    </w:p>
    <w:p>
      <w:pPr>
        <w:pBdr>
          <w:bottom w:val="single" w:color="auto" w:sz="6" w:space="1"/>
        </w:pBd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11.2.8 《参与编制技术标投标文件人员名单》、《参与编制经济标投标文件人员名单》（格式见第四章投标文件格式）；</w:t>
      </w:r>
    </w:p>
    <w:p>
      <w:pPr>
        <w:pBdr>
          <w:bottom w:val="single" w:color="auto" w:sz="6" w:space="1"/>
        </w:pBd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11.2.9对投标文件编制的承诺（格式见第四章投标文件格式）；</w:t>
      </w:r>
    </w:p>
    <w:p>
      <w:pPr>
        <w:pBdr>
          <w:bottom w:val="single" w:color="auto" w:sz="6" w:space="1"/>
        </w:pBd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11.2.10类似业绩一览表（格式见第四章投标文件格式）；</w:t>
      </w:r>
    </w:p>
    <w:p>
      <w:pPr>
        <w:pBdr>
          <w:bottom w:val="single" w:color="auto" w:sz="6" w:space="1"/>
        </w:pBd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11.2.11 投标人在广州市可使用适合本工程的机械设备（附：机械设备为自有或租赁的说明；及承诺机械设备如属于租赁的，其租赁是不属于重复租赁）；</w:t>
      </w:r>
    </w:p>
    <w:p>
      <w:pPr>
        <w:pBdr>
          <w:bottom w:val="single" w:color="auto" w:sz="6" w:space="1"/>
        </w:pBdr>
        <w:spacing w:line="360" w:lineRule="auto"/>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11.2.12 施工组织设计：分别编制提交施工组织方案</w:t>
      </w:r>
      <w:r>
        <w:rPr>
          <w:rFonts w:hint="eastAsia" w:ascii="宋体" w:hAnsi="宋体" w:cs="宋体"/>
          <w:bCs/>
          <w:color w:val="auto"/>
          <w:szCs w:val="21"/>
          <w:highlight w:val="none"/>
          <w:u w:val="single"/>
          <w:lang w:eastAsia="zh-CN"/>
        </w:rPr>
        <w:t>（</w:t>
      </w:r>
      <w:r>
        <w:rPr>
          <w:rFonts w:hint="eastAsia" w:ascii="宋体" w:hAnsi="宋体" w:cs="宋体"/>
          <w:bCs/>
          <w:color w:val="auto"/>
          <w:szCs w:val="21"/>
          <w:highlight w:val="none"/>
          <w:u w:val="single"/>
        </w:rPr>
        <w:t>包括施工组织架构、施工部署、施工方案、重难点分析及应对措施、质量安全保证措施、文明施工保证措施、施工资源配置计划、进度计划、应急预案等内容</w:t>
      </w:r>
      <w:r>
        <w:rPr>
          <w:rFonts w:hint="eastAsia" w:ascii="宋体" w:hAnsi="宋体" w:cs="宋体"/>
          <w:bCs/>
          <w:color w:val="auto"/>
          <w:szCs w:val="21"/>
          <w:highlight w:val="none"/>
          <w:u w:val="single"/>
          <w:lang w:eastAsia="zh-CN"/>
        </w:rPr>
        <w:t>）</w:t>
      </w:r>
      <w:r>
        <w:rPr>
          <w:rFonts w:hint="eastAsia" w:ascii="宋体" w:hAnsi="宋体" w:cs="宋体"/>
          <w:bCs/>
          <w:color w:val="auto"/>
          <w:szCs w:val="21"/>
          <w:highlight w:val="none"/>
          <w:u w:val="single"/>
        </w:rPr>
        <w:t>和</w:t>
      </w:r>
      <w:r>
        <w:rPr>
          <w:rFonts w:hint="eastAsia" w:ascii="宋体" w:hAnsi="宋体" w:cs="宋体"/>
          <w:bCs/>
          <w:color w:val="auto"/>
          <w:szCs w:val="21"/>
          <w:highlight w:val="none"/>
          <w:u w:val="single"/>
          <w:lang w:eastAsia="zh-CN"/>
        </w:rPr>
        <w:t>其他部分</w:t>
      </w:r>
      <w:r>
        <w:rPr>
          <w:rFonts w:hint="eastAsia" w:ascii="宋体" w:hAnsi="宋体" w:cs="宋体"/>
          <w:bCs/>
          <w:color w:val="auto"/>
          <w:szCs w:val="21"/>
          <w:highlight w:val="none"/>
          <w:u w:val="single"/>
          <w:lang w:val="en-US" w:eastAsia="zh-CN"/>
        </w:rPr>
        <w:t>协调</w:t>
      </w:r>
      <w:r>
        <w:rPr>
          <w:rFonts w:hint="eastAsia" w:ascii="宋体" w:hAnsi="宋体" w:cs="宋体"/>
          <w:bCs/>
          <w:color w:val="auto"/>
          <w:szCs w:val="21"/>
          <w:highlight w:val="none"/>
          <w:u w:val="single"/>
        </w:rPr>
        <w:t>方案（含对项目的理解分析及项目整体规划、重难点分析及应对措施、施工手续办理进度保证措施，管线迁改、交通疏导、</w:t>
      </w:r>
      <w:r>
        <w:rPr>
          <w:rFonts w:hint="eastAsia" w:ascii="宋体" w:hAnsi="宋体" w:cs="宋体"/>
          <w:bCs/>
          <w:color w:val="auto"/>
          <w:szCs w:val="21"/>
          <w:highlight w:val="none"/>
          <w:u w:val="single"/>
          <w:lang w:val="en-US" w:eastAsia="zh-CN"/>
        </w:rPr>
        <w:t>路灯</w:t>
      </w:r>
      <w:r>
        <w:rPr>
          <w:rFonts w:hint="eastAsia" w:ascii="宋体" w:hAnsi="宋体" w:cs="宋体"/>
          <w:bCs/>
          <w:color w:val="auto"/>
          <w:szCs w:val="21"/>
          <w:highlight w:val="none"/>
          <w:u w:val="single"/>
        </w:rPr>
        <w:t>及树木迁移保护工作方案等内容等）；</w:t>
      </w:r>
    </w:p>
    <w:p>
      <w:pPr>
        <w:pBdr>
          <w:bottom w:val="single" w:color="auto" w:sz="6" w:space="1"/>
        </w:pBdr>
        <w:spacing w:line="360" w:lineRule="auto"/>
        <w:ind w:firstLine="420" w:firstLineChars="200"/>
        <w:rPr>
          <w:rFonts w:hint="default" w:ascii="宋体" w:hAnsi="宋体" w:eastAsia="宋体" w:cs="宋体"/>
          <w:bCs/>
          <w:color w:val="auto"/>
          <w:szCs w:val="21"/>
          <w:highlight w:val="none"/>
          <w:u w:val="single"/>
          <w:lang w:val="en-US" w:eastAsia="zh-CN"/>
        </w:rPr>
      </w:pPr>
      <w:r>
        <w:rPr>
          <w:rFonts w:hint="eastAsia" w:ascii="宋体" w:hAnsi="宋体" w:cs="宋体"/>
          <w:bCs/>
          <w:color w:val="auto"/>
          <w:szCs w:val="21"/>
          <w:highlight w:val="none"/>
          <w:u w:val="single"/>
          <w:lang w:val="en-US" w:eastAsia="zh-CN"/>
        </w:rPr>
        <w:t>11.2.13 危险性较大的分部分项工程安全管理措施（格式见第四章投标文件格式）。</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条款号：11.3.             修改类型：修改</w:t>
      </w:r>
    </w:p>
    <w:p>
      <w:pPr>
        <w:spacing w:line="360" w:lineRule="auto"/>
        <w:ind w:firstLine="422" w:firstLineChars="200"/>
        <w:rPr>
          <w:rFonts w:ascii="宋体" w:hAnsi="宋体" w:cs="宋体"/>
          <w:bCs/>
          <w:color w:val="auto"/>
          <w:szCs w:val="20"/>
          <w:highlight w:val="none"/>
        </w:rPr>
      </w:pPr>
      <w:r>
        <w:rPr>
          <w:rFonts w:hint="eastAsia" w:ascii="宋体" w:hAnsi="宋体" w:cs="宋体"/>
          <w:b/>
          <w:color w:val="auto"/>
          <w:szCs w:val="21"/>
          <w:highlight w:val="none"/>
        </w:rPr>
        <w:t>原文：</w:t>
      </w:r>
      <w:r>
        <w:rPr>
          <w:rFonts w:hint="eastAsia" w:ascii="宋体" w:hAnsi="宋体" w:cs="宋体"/>
          <w:bCs/>
          <w:color w:val="auto"/>
          <w:szCs w:val="20"/>
          <w:highlight w:val="none"/>
        </w:rPr>
        <w:t>经济部分投标文件主要包括下列内容：</w:t>
      </w:r>
    </w:p>
    <w:p>
      <w:pPr>
        <w:spacing w:line="36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11.3.1 经济投标文件(按招标文件的要求填写)。</w:t>
      </w:r>
    </w:p>
    <w:p>
      <w:pPr>
        <w:spacing w:line="36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11.3.2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ascii="宋体" w:hAnsi="宋体" w:cs="宋体"/>
          <w:color w:val="auto"/>
          <w:szCs w:val="21"/>
          <w:highlight w:val="none"/>
        </w:rPr>
        <w:t>其中包括如下：</w:t>
      </w:r>
      <w:r>
        <w:rPr>
          <w:rFonts w:hint="eastAsia" w:ascii="宋体" w:hAnsi="宋体" w:cs="宋体"/>
          <w:color w:val="auto"/>
          <w:szCs w:val="20"/>
          <w:highlight w:val="none"/>
        </w:rPr>
        <w:t xml:space="preserve"> </w:t>
      </w:r>
    </w:p>
    <w:p>
      <w:pPr>
        <w:spacing w:line="36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（1）投标总价封面、扉页；</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（2）总说明</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（3）工程项目投标报价汇总表；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（4）单项工程投标报价汇总表；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（5）单位工程投标报价汇总表；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（6）分部分项工程清单与计价表；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（7）单价措施项目清单与计价表；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（8）总价措施项目清单与计价表；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（9）综合单价分析表；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（10）其他项目清单与计价汇总表；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（11）暂列金额明细表；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（12）材料（工程设备）暂估价明细表；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（13）专业工程暂估价明细表；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（14）计日工表；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（15）总承包服务计价表；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（16）规费和税金项目计价表；</w:t>
      </w:r>
    </w:p>
    <w:p>
      <w:pPr>
        <w:spacing w:line="360" w:lineRule="auto"/>
        <w:ind w:firstLine="420" w:firstLineChars="200"/>
        <w:rPr>
          <w:rFonts w:ascii="宋体" w:hAnsi="宋体" w:cs="宋体"/>
          <w:color w:val="auto"/>
          <w:szCs w:val="20"/>
          <w:highlight w:val="none"/>
        </w:rPr>
      </w:pPr>
      <w:r>
        <w:rPr>
          <w:rFonts w:hint="eastAsia" w:ascii="宋体" w:hAnsi="宋体" w:cs="宋体"/>
          <w:color w:val="auto"/>
          <w:szCs w:val="21"/>
          <w:highlight w:val="none"/>
        </w:rPr>
        <w:t xml:space="preserve"> （17）人工、主要材料和设备一览表</w:t>
      </w:r>
    </w:p>
    <w:p>
      <w:pPr>
        <w:tabs>
          <w:tab w:val="left" w:pos="1125"/>
        </w:tabs>
        <w:spacing w:line="36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11.3.3按照</w:t>
      </w:r>
      <w:r>
        <w:rPr>
          <w:rFonts w:hint="eastAsia" w:ascii="宋体" w:hAnsi="宋体" w:cs="宋体"/>
          <w:bCs/>
          <w:color w:val="auto"/>
          <w:szCs w:val="20"/>
          <w:highlight w:val="none"/>
        </w:rPr>
        <w:t>招标文件要求</w:t>
      </w:r>
      <w:r>
        <w:rPr>
          <w:rFonts w:hint="eastAsia" w:ascii="宋体" w:hAnsi="宋体" w:cs="宋体"/>
          <w:color w:val="auto"/>
          <w:szCs w:val="20"/>
          <w:highlight w:val="none"/>
        </w:rPr>
        <w:t>填写的《参与编制经济标投标文件人员名单》。</w:t>
      </w:r>
    </w:p>
    <w:p>
      <w:pPr>
        <w:tabs>
          <w:tab w:val="left" w:pos="1125"/>
        </w:tabs>
        <w:spacing w:line="360" w:lineRule="auto"/>
        <w:ind w:firstLine="420" w:firstLineChars="200"/>
        <w:rPr>
          <w:rFonts w:ascii="宋体" w:hAnsi="宋体" w:cs="宋体"/>
          <w:b/>
          <w:color w:val="auto"/>
          <w:sz w:val="18"/>
          <w:szCs w:val="18"/>
          <w:highlight w:val="none"/>
        </w:rPr>
      </w:pPr>
      <w:r>
        <w:rPr>
          <w:rFonts w:hint="eastAsia" w:ascii="宋体" w:hAnsi="宋体" w:cs="宋体"/>
          <w:color w:val="auto"/>
          <w:szCs w:val="20"/>
          <w:highlight w:val="none"/>
        </w:rPr>
        <w:t>11.3.4若投标人的投标报价低于工程成本警戒价的，投标人还须提供详细的施工组织设计、单价、措施性费用、单价分析表、主要材料价格表、投标人成本分析供评标委员会评审。</w:t>
      </w:r>
    </w:p>
    <w:p>
      <w:pPr>
        <w:spacing w:line="360" w:lineRule="auto"/>
        <w:ind w:firstLine="422" w:firstLineChars="200"/>
        <w:rPr>
          <w:rFonts w:ascii="宋体" w:hAnsi="宋体" w:cs="宋体"/>
          <w:bCs/>
          <w:color w:val="auto"/>
          <w:szCs w:val="20"/>
          <w:highlight w:val="none"/>
        </w:rPr>
      </w:pPr>
      <w:r>
        <w:rPr>
          <w:rFonts w:hint="eastAsia" w:ascii="宋体" w:hAnsi="宋体" w:cs="宋体"/>
          <w:b/>
          <w:color w:val="auto"/>
          <w:szCs w:val="21"/>
          <w:highlight w:val="none"/>
        </w:rPr>
        <w:t>现文：</w:t>
      </w:r>
      <w:r>
        <w:rPr>
          <w:rFonts w:hint="eastAsia" w:ascii="宋体" w:hAnsi="宋体" w:cs="宋体"/>
          <w:bCs/>
          <w:color w:val="auto"/>
          <w:szCs w:val="20"/>
          <w:highlight w:val="none"/>
        </w:rPr>
        <w:t>经济部分投标文件主要包括下列内容：</w:t>
      </w:r>
    </w:p>
    <w:p>
      <w:pPr>
        <w:spacing w:line="36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11.3.1 经济投标文件(按招标文件的要求填写)。</w:t>
      </w:r>
    </w:p>
    <w:p>
      <w:pPr>
        <w:tabs>
          <w:tab w:val="left" w:pos="1125"/>
        </w:tabs>
        <w:spacing w:line="36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 xml:space="preserve">11.3.2 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结合企业成本、市场价格以及招标文件中载明的风险内容和范围等编制。其中包括如下： </w:t>
      </w:r>
    </w:p>
    <w:p>
      <w:pPr>
        <w:tabs>
          <w:tab w:val="left" w:pos="1125"/>
        </w:tabs>
        <w:spacing w:line="36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（1）投标总价封面、扉页</w:t>
      </w:r>
    </w:p>
    <w:p>
      <w:pPr>
        <w:tabs>
          <w:tab w:val="left" w:pos="1125"/>
        </w:tabs>
        <w:spacing w:line="36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（2）总说明；</w:t>
      </w:r>
    </w:p>
    <w:p>
      <w:pPr>
        <w:tabs>
          <w:tab w:val="left" w:pos="1125"/>
        </w:tabs>
        <w:spacing w:line="360" w:lineRule="auto"/>
        <w:ind w:firstLine="420" w:firstLineChars="200"/>
        <w:rPr>
          <w:rFonts w:ascii="宋体" w:hAnsi="宋体" w:cs="宋体"/>
          <w:color w:val="auto"/>
          <w:szCs w:val="20"/>
          <w:highlight w:val="none"/>
          <w:u w:val="single"/>
        </w:rPr>
      </w:pPr>
      <w:r>
        <w:rPr>
          <w:rFonts w:hint="eastAsia" w:ascii="宋体" w:hAnsi="宋体" w:cs="宋体"/>
          <w:color w:val="auto"/>
          <w:szCs w:val="20"/>
          <w:highlight w:val="none"/>
          <w:u w:val="single"/>
        </w:rPr>
        <w:t>（3）工程量清单报价表及综合单价分析表的相关内容及格式要求（相关表格的内容及格式要求以招标人发出的最新版电子招标文件中的相应内容及格式为准）；</w:t>
      </w:r>
    </w:p>
    <w:p>
      <w:pPr>
        <w:tabs>
          <w:tab w:val="left" w:pos="1125"/>
        </w:tabs>
        <w:spacing w:line="360" w:lineRule="auto"/>
        <w:ind w:firstLine="420" w:firstLineChars="200"/>
        <w:rPr>
          <w:rFonts w:ascii="宋体" w:hAnsi="宋体" w:cs="宋体"/>
          <w:color w:val="auto"/>
          <w:szCs w:val="20"/>
          <w:highlight w:val="none"/>
          <w:u w:val="single"/>
        </w:rPr>
      </w:pPr>
      <w:r>
        <w:rPr>
          <w:rFonts w:hint="eastAsia" w:ascii="宋体" w:hAnsi="宋体" w:cs="宋体"/>
          <w:color w:val="auto"/>
          <w:szCs w:val="20"/>
          <w:highlight w:val="none"/>
          <w:u w:val="single"/>
        </w:rPr>
        <w:t>（4）对投标文件编制的承诺（格式见第四章投标文件格式）</w:t>
      </w:r>
    </w:p>
    <w:p>
      <w:pPr>
        <w:tabs>
          <w:tab w:val="left" w:pos="1125"/>
        </w:tabs>
        <w:spacing w:line="360" w:lineRule="auto"/>
        <w:ind w:firstLine="420" w:firstLineChars="200"/>
        <w:rPr>
          <w:rFonts w:ascii="宋体" w:hAnsi="宋体" w:cs="宋体"/>
          <w:color w:val="auto"/>
          <w:sz w:val="24"/>
          <w:highlight w:val="none"/>
          <w:u w:val="single"/>
        </w:rPr>
      </w:pPr>
      <w:r>
        <w:rPr>
          <w:rFonts w:hint="eastAsia" w:ascii="宋体" w:hAnsi="宋体" w:cs="宋体"/>
          <w:color w:val="auto"/>
          <w:szCs w:val="20"/>
          <w:highlight w:val="none"/>
          <w:u w:val="single"/>
        </w:rPr>
        <w:t>（5）其它辅助说明资料。</w:t>
      </w:r>
    </w:p>
    <w:p>
      <w:pPr>
        <w:tabs>
          <w:tab w:val="left" w:pos="1125"/>
        </w:tabs>
        <w:spacing w:line="36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11.3.3按照招标文件要求填写的《参与编制经济标投标文件人员名单》。</w:t>
      </w:r>
    </w:p>
    <w:p>
      <w:pPr>
        <w:pBdr>
          <w:bottom w:val="single" w:color="auto" w:sz="6" w:space="1"/>
        </w:pBdr>
        <w:spacing w:line="360" w:lineRule="auto"/>
        <w:ind w:firstLine="420" w:firstLineChars="200"/>
        <w:rPr>
          <w:rFonts w:ascii="宋体" w:hAnsi="宋体" w:cs="宋体"/>
          <w:b/>
          <w:color w:val="auto"/>
          <w:szCs w:val="21"/>
          <w:highlight w:val="none"/>
        </w:rPr>
      </w:pPr>
      <w:r>
        <w:rPr>
          <w:rFonts w:hint="eastAsia" w:ascii="宋体" w:hAnsi="宋体" w:cs="宋体"/>
          <w:color w:val="auto"/>
          <w:szCs w:val="20"/>
          <w:highlight w:val="none"/>
        </w:rPr>
        <w:t>11.3.4若投标人的投标报价低于工程成本警戒价的，投标人还须提供详细的施工组织设计、单价、措施性费用、单价分析表、主要材料价格表、投标人成本分析供评标委员会评审。</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条款号：12.2             修改类型：修改</w:t>
      </w:r>
    </w:p>
    <w:p>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0"/>
          <w:highlight w:val="none"/>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             。</w:t>
      </w:r>
    </w:p>
    <w:p>
      <w:pPr>
        <w:pBdr>
          <w:bottom w:val="single" w:color="auto" w:sz="6" w:space="1"/>
        </w:pBdr>
        <w:spacing w:line="360" w:lineRule="auto"/>
        <w:ind w:firstLine="422" w:firstLineChars="200"/>
        <w:rPr>
          <w:rFonts w:hint="eastAsia" w:ascii="宋体" w:hAnsi="宋体" w:cs="宋体"/>
          <w:b w:val="0"/>
          <w:bCs/>
          <w:color w:val="auto"/>
          <w:szCs w:val="21"/>
          <w:highlight w:val="none"/>
        </w:rPr>
      </w:pPr>
      <w:r>
        <w:rPr>
          <w:rFonts w:hint="eastAsia" w:ascii="宋体" w:hAnsi="宋体" w:cs="宋体"/>
          <w:b/>
          <w:color w:val="auto"/>
          <w:szCs w:val="21"/>
          <w:highlight w:val="none"/>
        </w:rPr>
        <w:t>现文：</w:t>
      </w:r>
      <w:r>
        <w:rPr>
          <w:rFonts w:hint="eastAsia" w:ascii="宋体" w:hAnsi="宋体" w:cs="宋体"/>
          <w:b w:val="0"/>
          <w:bCs/>
          <w:color w:val="auto"/>
          <w:szCs w:val="21"/>
          <w:highlight w:val="none"/>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广州公共资源交易中心网站 。</w:t>
      </w:r>
    </w:p>
    <w:p>
      <w:pPr>
        <w:pBdr>
          <w:bottom w:val="single" w:color="auto" w:sz="6" w:space="1"/>
        </w:pBdr>
        <w:spacing w:line="360" w:lineRule="auto"/>
        <w:ind w:firstLine="420" w:firstLineChars="200"/>
        <w:rPr>
          <w:rFonts w:ascii="宋体" w:hAnsi="宋体" w:cs="宋体"/>
          <w:color w:val="auto"/>
          <w:highlight w:val="none"/>
        </w:rPr>
      </w:pPr>
      <w:r>
        <w:rPr>
          <w:rFonts w:hint="eastAsia" w:ascii="宋体" w:hAnsi="宋体" w:cs="宋体"/>
          <w:b w:val="0"/>
          <w:bCs/>
          <w:color w:val="auto"/>
          <w:szCs w:val="21"/>
          <w:highlight w:val="none"/>
        </w:rPr>
        <w:t>注释：投标文件电子文档需要投标人单位盖章的材料，投标人加盖电子印章即可，不得将投标人未对电子文档加盖实物印章作为否决投标的情形。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条款号：12.3             修改类型：修改</w:t>
      </w:r>
    </w:p>
    <w:p>
      <w:pPr>
        <w:pStyle w:val="37"/>
        <w:spacing w:after="0" w:line="360" w:lineRule="auto"/>
        <w:ind w:firstLine="422" w:firstLineChars="200"/>
        <w:rPr>
          <w:rFonts w:ascii="宋体" w:hAnsi="宋体" w:cs="宋体"/>
          <w:color w:val="auto"/>
          <w:szCs w:val="16"/>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投标文件应按</w:t>
      </w:r>
      <w:r>
        <w:rPr>
          <w:rFonts w:hint="eastAsia" w:ascii="宋体" w:hAnsi="宋体" w:cs="宋体"/>
          <w:color w:val="auto"/>
          <w:szCs w:val="16"/>
          <w:highlight w:val="none"/>
        </w:rPr>
        <w:t>照交易平台关于全流程电子化项目的相关指南进行编制，详见：</w:t>
      </w:r>
      <w:r>
        <w:rPr>
          <w:rFonts w:hint="eastAsia" w:ascii="宋体" w:hAnsi="宋体" w:cs="宋体"/>
          <w:color w:val="auto"/>
          <w:szCs w:val="21"/>
          <w:highlight w:val="none"/>
          <w:u w:val="single"/>
        </w:rPr>
        <w:t xml:space="preserve">            </w:t>
      </w:r>
      <w:r>
        <w:rPr>
          <w:rFonts w:hint="eastAsia" w:ascii="宋体" w:hAnsi="宋体" w:cs="宋体"/>
          <w:color w:val="auto"/>
          <w:szCs w:val="16"/>
          <w:highlight w:val="none"/>
        </w:rPr>
        <w:t xml:space="preserve">。               </w:t>
      </w:r>
    </w:p>
    <w:p>
      <w:pPr>
        <w:spacing w:line="480" w:lineRule="auto"/>
        <w:ind w:firstLine="420" w:firstLineChars="200"/>
        <w:rPr>
          <w:rFonts w:ascii="宋体" w:hAnsi="宋体" w:cs="宋体"/>
          <w:b/>
          <w:color w:val="auto"/>
          <w:sz w:val="18"/>
          <w:szCs w:val="18"/>
          <w:highlight w:val="none"/>
        </w:rPr>
      </w:pPr>
      <w:r>
        <w:rPr>
          <w:rFonts w:hint="eastAsia" w:ascii="宋体" w:hAnsi="宋体" w:cs="宋体"/>
          <w:bCs/>
          <w:color w:val="auto"/>
          <w:szCs w:val="21"/>
          <w:highlight w:val="none"/>
        </w:rPr>
        <w:t>如不按上述要求编制引起系统无法检索、读取相关信息的，其后果由投标人承担。</w:t>
      </w:r>
    </w:p>
    <w:p>
      <w:pPr>
        <w:pStyle w:val="37"/>
        <w:spacing w:after="0" w:line="360" w:lineRule="auto"/>
        <w:ind w:firstLine="422" w:firstLineChars="200"/>
        <w:rPr>
          <w:rFonts w:ascii="宋体" w:hAnsi="宋体" w:cs="宋体"/>
          <w:color w:val="auto"/>
          <w:szCs w:val="16"/>
          <w:highlight w:val="none"/>
        </w:rPr>
      </w:pPr>
      <w:r>
        <w:rPr>
          <w:rFonts w:hint="eastAsia" w:ascii="宋体" w:hAnsi="宋体" w:cs="宋体"/>
          <w:b/>
          <w:color w:val="auto"/>
          <w:szCs w:val="21"/>
          <w:highlight w:val="none"/>
        </w:rPr>
        <w:t>现文：</w:t>
      </w:r>
      <w:r>
        <w:rPr>
          <w:rFonts w:hint="eastAsia" w:ascii="宋体" w:hAnsi="宋体" w:cs="宋体"/>
          <w:bCs/>
          <w:color w:val="auto"/>
          <w:szCs w:val="21"/>
          <w:highlight w:val="none"/>
        </w:rPr>
        <w:t>投标文件应按</w:t>
      </w:r>
      <w:r>
        <w:rPr>
          <w:rFonts w:hint="eastAsia" w:ascii="宋体" w:hAnsi="宋体" w:cs="宋体"/>
          <w:color w:val="auto"/>
          <w:szCs w:val="16"/>
          <w:highlight w:val="none"/>
        </w:rPr>
        <w:t>照广州公共资源交易中心交易平台关于全流程电子化项目的相关指南进行编制，详见：</w:t>
      </w:r>
      <w:r>
        <w:rPr>
          <w:rFonts w:hint="eastAsia" w:ascii="宋体" w:hAnsi="宋体" w:cs="宋体"/>
          <w:color w:val="auto"/>
          <w:szCs w:val="21"/>
          <w:highlight w:val="none"/>
          <w:u w:val="single"/>
        </w:rPr>
        <w:t>广州公共资源交易中心网站</w:t>
      </w:r>
      <w:r>
        <w:rPr>
          <w:rFonts w:hint="eastAsia" w:ascii="宋体" w:hAnsi="宋体" w:cs="宋体"/>
          <w:color w:val="auto"/>
          <w:szCs w:val="16"/>
          <w:highlight w:val="none"/>
        </w:rPr>
        <w:t xml:space="preserve">。               </w:t>
      </w:r>
    </w:p>
    <w:p>
      <w:pPr>
        <w:pBdr>
          <w:bottom w:val="single" w:color="auto" w:sz="6" w:space="1"/>
        </w:pBdr>
        <w:spacing w:line="360" w:lineRule="auto"/>
        <w:ind w:firstLine="420" w:firstLineChars="200"/>
        <w:rPr>
          <w:rFonts w:ascii="宋体" w:hAnsi="宋体" w:cs="宋体"/>
          <w:b/>
          <w:color w:val="auto"/>
          <w:szCs w:val="21"/>
          <w:highlight w:val="none"/>
        </w:rPr>
      </w:pPr>
      <w:r>
        <w:rPr>
          <w:rFonts w:hint="eastAsia" w:ascii="宋体" w:hAnsi="宋体" w:cs="宋体"/>
          <w:bCs/>
          <w:color w:val="auto"/>
          <w:szCs w:val="21"/>
          <w:highlight w:val="none"/>
        </w:rPr>
        <w:t>如不按上述要求编制引起系统无法检索、读取相关信息的，其后果由投标人承担。</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条款号：13.1             修改类型：修改</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0"/>
          <w:highlight w:val="none"/>
        </w:rPr>
        <w:t>本工程的投标报价采用投标须知前附表第12项所规定的方式。投标报价（含单价及总价）精确到“分”。</w:t>
      </w:r>
    </w:p>
    <w:p>
      <w:pPr>
        <w:pBdr>
          <w:bottom w:val="single" w:color="auto" w:sz="6" w:space="1"/>
        </w:pBd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0"/>
          <w:highlight w:val="none"/>
        </w:rPr>
        <w:t>本工程的投标报价采用投标须知前附表第12项所规定的方式。</w:t>
      </w:r>
      <w:r>
        <w:rPr>
          <w:rFonts w:hint="eastAsia" w:ascii="宋体" w:hAnsi="宋体" w:cs="宋体"/>
          <w:color w:val="auto"/>
          <w:szCs w:val="20"/>
          <w:highlight w:val="none"/>
          <w:u w:val="single"/>
        </w:rPr>
        <w:t>投标文件中的大写金额和小写金额不一致的，以大写金额为准。</w:t>
      </w:r>
      <w:r>
        <w:rPr>
          <w:rFonts w:hint="eastAsia" w:ascii="宋体" w:hAnsi="宋体" w:cs="宋体"/>
          <w:color w:val="auto"/>
          <w:szCs w:val="20"/>
          <w:highlight w:val="none"/>
        </w:rPr>
        <w:t>投标报价（含单价及总价）精确到“分”。</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条款号：13.4             修改类型：修改</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0"/>
          <w:highlight w:val="none"/>
        </w:rPr>
        <w:t>13.4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pPr>
        <w:pBdr>
          <w:bottom w:val="single" w:color="auto" w:sz="6" w:space="1"/>
        </w:pBd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0"/>
          <w:highlight w:val="none"/>
          <w:u w:val="single"/>
        </w:rPr>
        <w:t>13.4投标人一旦中标，投标人对招标人提供的招标工程量清单中列出的工程项目所报出的综合单价和措施项目费（措施项目费必须单列，没有单独列出的，视为已经包含在投标报价中），在工程结算时，按招标文件第三章合同条款相关约定调整。</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条款号：13.5             修改类型：修改</w:t>
      </w:r>
    </w:p>
    <w:p>
      <w:pPr>
        <w:spacing w:line="480" w:lineRule="auto"/>
        <w:ind w:firstLine="422" w:firstLineChars="200"/>
        <w:rPr>
          <w:rFonts w:ascii="宋体" w:hAnsi="宋体" w:cs="宋体"/>
          <w:color w:val="auto"/>
          <w:szCs w:val="20"/>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13.5</w:t>
      </w:r>
      <w:r>
        <w:rPr>
          <w:rFonts w:hint="eastAsia" w:ascii="宋体" w:hAnsi="宋体" w:cs="宋体"/>
          <w:color w:val="auto"/>
          <w:szCs w:val="20"/>
          <w:highlight w:val="none"/>
        </w:rPr>
        <w:t>本工程项目实施期间和结算时，招标文件工程量清单中漏列而由监理单位和招标人现场签证确认的工程项目、原设计没有而由招标人批准设计变更产生的工程项目，视为新增项目，按以下顺序确定价格：</w:t>
      </w:r>
    </w:p>
    <w:p>
      <w:pPr>
        <w:spacing w:line="48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13.5.1中标的投标文件工程量清单中已有相同项目的适用综合单价，则沿用；</w:t>
      </w:r>
    </w:p>
    <w:p>
      <w:pPr>
        <w:spacing w:line="48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13.5.2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pPr>
        <w:spacing w:line="48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13.5.3 中标的投标文件工程量清单中没有相同项目或类似项目的，如可套取相关定额，则以相关定额为基数下浮计算单价,下浮率为中标价相对于最高投标限价的下浮率（下浮率=(最高投标限价-中标价)/ 最高投标限价）。</w:t>
      </w:r>
    </w:p>
    <w:p>
      <w:pPr>
        <w:spacing w:line="480" w:lineRule="auto"/>
        <w:ind w:firstLine="420" w:firstLineChars="200"/>
        <w:rPr>
          <w:rFonts w:ascii="宋体" w:hAnsi="宋体" w:cs="宋体"/>
          <w:b/>
          <w:color w:val="auto"/>
          <w:szCs w:val="21"/>
          <w:highlight w:val="none"/>
        </w:rPr>
      </w:pPr>
      <w:r>
        <w:rPr>
          <w:rFonts w:hint="eastAsia" w:ascii="宋体" w:hAnsi="宋体" w:cs="宋体"/>
          <w:color w:val="auto"/>
          <w:szCs w:val="20"/>
          <w:highlight w:val="none"/>
        </w:rPr>
        <w:t>13.5.4 如相关定额没有相应子目的，其计价方式由招标人在本招标文件第三章中另行规定。未规定的，中标后双方协商约定。</w:t>
      </w:r>
    </w:p>
    <w:p>
      <w:pPr>
        <w:pBdr>
          <w:bottom w:val="single" w:color="auto" w:sz="6" w:space="1"/>
        </w:pBd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0"/>
          <w:highlight w:val="none"/>
          <w:u w:val="single"/>
        </w:rPr>
        <w:t>13.5工程项目实施期间和结算时，根据招标图纸及工程量清单计价规范在招标文件工程量清单中漏列而由监理单位和招标人现场签证确认的实体工程项目、原设计没有而由招标人批准设计变更产生的实体工程项目，视为新增项目，按合同专用条款相关约定确定价格。</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条款号：16             修改类型：修改</w:t>
      </w:r>
    </w:p>
    <w:p>
      <w:pPr>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原文：</w:t>
      </w:r>
    </w:p>
    <w:p>
      <w:pPr>
        <w:pStyle w:val="37"/>
        <w:spacing w:after="0"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16．投标保证金</w:t>
      </w:r>
    </w:p>
    <w:p>
      <w:pPr>
        <w:pStyle w:val="37"/>
        <w:spacing w:after="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16.1投标人应按投标须知前附表第14项所述金额和时间递交投标保证金。招标人应当允许投标人自主选择现金、银行保函、保证保险、专业工程担保公司担保等方式缴纳投标保证金。</w:t>
      </w:r>
    </w:p>
    <w:p>
      <w:pPr>
        <w:pStyle w:val="37"/>
        <w:spacing w:after="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16.1.1采用现金或者支票形式提交的，投标保证金须从投标人的银行基本账户转出。</w:t>
      </w:r>
    </w:p>
    <w:p>
      <w:pPr>
        <w:pStyle w:val="37"/>
        <w:spacing w:after="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16.1.2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pPr>
        <w:pStyle w:val="37"/>
        <w:spacing w:after="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16.1.3采用电子形式的保函、担保或保证保险提交投标保证金的，应在招标文件中明确电子递交途径。</w:t>
      </w:r>
    </w:p>
    <w:p>
      <w:pPr>
        <w:pStyle w:val="37"/>
        <w:spacing w:after="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16.2开标时投标人没有按要求提供投标保证金的，其投标文件将被否决；未按招标文件要求提交符合免予提供投标保证金相关证明材料，且未提交投标保证金的投标人，视为未按要求提供投标保证金。</w:t>
      </w:r>
    </w:p>
    <w:p>
      <w:pPr>
        <w:pStyle w:val="37"/>
        <w:spacing w:after="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16.3投标保证金应依据法律法规的相关规定退还。</w:t>
      </w:r>
    </w:p>
    <w:p>
      <w:pPr>
        <w:pStyle w:val="37"/>
        <w:spacing w:after="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16.4如有下列情况之一的，招标人可以不予退还投标保证金（是否退还投标保证金由招标人在招标文件中规定）：</w:t>
      </w:r>
    </w:p>
    <w:p>
      <w:pPr>
        <w:pStyle w:val="37"/>
        <w:spacing w:after="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16.4.1因投标人原因造成投标文件未解密的；</w:t>
      </w:r>
    </w:p>
    <w:p>
      <w:pPr>
        <w:pStyle w:val="37"/>
        <w:spacing w:after="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16.4.2投标人在投标有效期内撤销投标文件；</w:t>
      </w:r>
    </w:p>
    <w:p>
      <w:pPr>
        <w:pStyle w:val="37"/>
        <w:spacing w:after="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16.4.3中标人未能在规定期限内按要求提交履约担保；</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16.4.4中标人未能在规定期限内签署合同协议。</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16.5投标人如存在下列情况之一的，将被拒绝在一定时期内参与招标人后续工程投标（拒绝时限需在招标文件中明确）：</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16.5.1投标人存在16.4条款所列情形且投标人提交的保函、担保或保证保险无法兑付的；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16.5.2采用非电子形式提交投标保证金的投标人存在16.4条款所列情形，且未按招标人要求补交银行保函、专业工程担保公司担保或保证保险原件的；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16.5.3按招标文件要求免于提供投标保证金的投标人存在16.4条款所列情形，且未按招标人要求补交投标保证金的；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16.5.3按招标文件要求免于提供投标保证金的投标人存在16.4条款所列情形的。</w:t>
      </w:r>
    </w:p>
    <w:p>
      <w:pPr>
        <w:pBdr>
          <w:bottom w:val="single" w:color="auto" w:sz="6" w:space="1"/>
        </w:pBd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现文：</w:t>
      </w:r>
    </w:p>
    <w:p>
      <w:pPr>
        <w:pBdr>
          <w:bottom w:val="single" w:color="auto" w:sz="6" w:space="1"/>
        </w:pBd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16．投标保证金</w:t>
      </w:r>
    </w:p>
    <w:p>
      <w:pPr>
        <w:pBdr>
          <w:bottom w:val="single" w:color="auto" w:sz="6" w:space="1"/>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16.1投标人应按投标须知前附表第14项所述金额和时间递交投标保证金。招标人应当允许投标人自主选择现金、银行保函</w:t>
      </w:r>
      <w:r>
        <w:rPr>
          <w:rFonts w:hint="eastAsia" w:ascii="宋体" w:hAnsi="宋体" w:cs="宋体"/>
          <w:color w:val="auto"/>
          <w:szCs w:val="21"/>
          <w:highlight w:val="none"/>
          <w:lang w:eastAsia="zh-CN"/>
        </w:rPr>
        <w:t>（</w:t>
      </w:r>
      <w:r>
        <w:rPr>
          <w:rFonts w:hint="eastAsia" w:ascii="宋体" w:hAnsi="宋体" w:eastAsia="宋体" w:cs="宋体"/>
          <w:color w:val="auto"/>
          <w:sz w:val="21"/>
          <w:szCs w:val="21"/>
          <w:highlight w:val="none"/>
        </w:rPr>
        <w:t>银行投标保函有效期应长于或等于投标有效期，若投标有效期延长的，银行投标保函有效期应相应延长，且延长后的有效期应满足前述要求。投标人提供的银行投标保函应为银行出具的无条件、见索即付、不可撤销的保函</w:t>
      </w:r>
      <w:r>
        <w:rPr>
          <w:rFonts w:hint="eastAsia" w:ascii="宋体" w:hAnsi="宋体" w:cs="宋体"/>
          <w:color w:val="auto"/>
          <w:szCs w:val="21"/>
          <w:highlight w:val="none"/>
          <w:lang w:eastAsia="zh-CN"/>
        </w:rPr>
        <w:t>）</w:t>
      </w:r>
      <w:r>
        <w:rPr>
          <w:rFonts w:hint="eastAsia" w:ascii="宋体" w:hAnsi="宋体" w:cs="宋体"/>
          <w:color w:val="auto"/>
          <w:szCs w:val="21"/>
          <w:highlight w:val="none"/>
        </w:rPr>
        <w:t>、保证保险、专业工程担保公司担保等方式缴纳投标保证金。</w:t>
      </w:r>
    </w:p>
    <w:p>
      <w:pPr>
        <w:pBdr>
          <w:bottom w:val="single" w:color="auto" w:sz="6" w:space="1"/>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16.1.1采用现金或者支票形式提交的，投标保证金须从投标人的银行基本账户转出</w:t>
      </w:r>
      <w:r>
        <w:rPr>
          <w:rFonts w:hint="eastAsia" w:ascii="宋体" w:hAnsi="宋体" w:cs="宋体"/>
          <w:color w:val="auto"/>
          <w:szCs w:val="21"/>
          <w:highlight w:val="none"/>
          <w:u w:val="single"/>
        </w:rPr>
        <w:t>，由广州公共资源交易中心代收，缴纳情况以交易平台数据库记录的信息为准。具体操作要求详见广州公共资源交易中心有关指引，递交事宜请自行咨询交易中心。</w:t>
      </w:r>
    </w:p>
    <w:p>
      <w:pPr>
        <w:pBdr>
          <w:bottom w:val="single" w:color="auto" w:sz="6" w:space="1"/>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16.1.2依法必须招标的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pPr>
        <w:pBdr>
          <w:bottom w:val="single" w:color="auto" w:sz="6" w:space="1"/>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16.1.3采用电子形式的保函、担保或保证保险提交投标保证金的，</w:t>
      </w:r>
      <w:r>
        <w:rPr>
          <w:rFonts w:hint="eastAsia" w:ascii="宋体" w:hAnsi="宋体" w:cs="宋体"/>
          <w:color w:val="auto"/>
          <w:szCs w:val="21"/>
          <w:highlight w:val="none"/>
          <w:u w:val="single"/>
        </w:rPr>
        <w:t>具体操作要求详见广州公共资源交易中心有关指引，递交事宜请自行咨询交易中心。</w:t>
      </w:r>
    </w:p>
    <w:p>
      <w:pPr>
        <w:pBdr>
          <w:bottom w:val="single" w:color="auto" w:sz="6" w:space="1"/>
        </w:pBd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16.2开标时投标人没有按要求提供投标保证金的，其投标文件将被否决。</w:t>
      </w:r>
    </w:p>
    <w:p>
      <w:pPr>
        <w:pBdr>
          <w:bottom w:val="single" w:color="auto" w:sz="6" w:space="1"/>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16.3投标保证金应依据法律法规的相关规定退还。</w:t>
      </w:r>
    </w:p>
    <w:p>
      <w:pPr>
        <w:pBdr>
          <w:bottom w:val="single" w:color="auto" w:sz="6" w:space="1"/>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16.4如有下列情况之一的，招标人可以不予退还投标保证金：</w:t>
      </w:r>
    </w:p>
    <w:p>
      <w:pPr>
        <w:pBdr>
          <w:bottom w:val="single" w:color="auto" w:sz="6" w:space="1"/>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16.4.1因投标人原因造成投标文件未解密的；</w:t>
      </w:r>
    </w:p>
    <w:p>
      <w:pPr>
        <w:pBdr>
          <w:bottom w:val="single" w:color="auto" w:sz="6" w:space="1"/>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16.4.2投标人在投标有效期内撤销投标文件；</w:t>
      </w:r>
    </w:p>
    <w:p>
      <w:pPr>
        <w:pBdr>
          <w:bottom w:val="single" w:color="auto" w:sz="6" w:space="1"/>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16.4.3中标人未能在规定期限内按要求提交履约担保；</w:t>
      </w:r>
    </w:p>
    <w:p>
      <w:pPr>
        <w:pBdr>
          <w:bottom w:val="single" w:color="auto" w:sz="6" w:space="1"/>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16.4.4中标人未能在规定期限内签署合同协议。</w:t>
      </w:r>
    </w:p>
    <w:p>
      <w:pPr>
        <w:pBdr>
          <w:bottom w:val="single" w:color="auto" w:sz="6" w:space="1"/>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16.5投标人如存在下列情况之一的，将被拒绝在</w:t>
      </w:r>
      <w:r>
        <w:rPr>
          <w:rFonts w:hint="eastAsia" w:ascii="宋体" w:hAnsi="宋体" w:cs="宋体"/>
          <w:color w:val="auto"/>
          <w:szCs w:val="21"/>
          <w:highlight w:val="none"/>
          <w:u w:val="single"/>
        </w:rPr>
        <w:t>两年内</w:t>
      </w:r>
      <w:r>
        <w:rPr>
          <w:rFonts w:hint="eastAsia" w:ascii="宋体" w:hAnsi="宋体" w:cs="宋体"/>
          <w:color w:val="auto"/>
          <w:szCs w:val="21"/>
          <w:highlight w:val="none"/>
        </w:rPr>
        <w:t>参与招标人后续工程投标：</w:t>
      </w:r>
    </w:p>
    <w:p>
      <w:pPr>
        <w:pBdr>
          <w:bottom w:val="single" w:color="auto" w:sz="6" w:space="1"/>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16.5.1投标人存在16.4条款所列情形且投标人提交的保函、担保或保证保险无法兑付的；</w:t>
      </w:r>
    </w:p>
    <w:p>
      <w:pPr>
        <w:pBdr>
          <w:bottom w:val="single" w:color="auto" w:sz="6" w:space="1"/>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16.5.2采用非电子形式提交投标保证金的投标人存在16.4条款所列情形，且未按招标人要求补交银行保函、专业工程担保公司担保或保证保险原件的。</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条款号：17.1             修改类型：修改</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投标人应采用单位数字证书，按招标文件要求在相应位置加盖电子印章。投标文件中需个人签字或盖章的，应加盖个人电子印章或在线下完成后扫描上传。按照交易平台关于全流程电子化项目的相关指南进行操作。</w:t>
      </w:r>
      <w:r>
        <w:rPr>
          <w:rFonts w:hint="eastAsia" w:ascii="宋体" w:hAnsi="宋体" w:cs="宋体"/>
          <w:color w:val="auto"/>
          <w:szCs w:val="20"/>
          <w:highlight w:val="none"/>
        </w:rPr>
        <w:t>详见：</w:t>
      </w:r>
      <w:r>
        <w:rPr>
          <w:rFonts w:hint="eastAsia" w:ascii="宋体" w:hAnsi="宋体" w:cs="宋体"/>
          <w:color w:val="auto"/>
          <w:szCs w:val="20"/>
          <w:highlight w:val="none"/>
          <w:u w:val="single"/>
        </w:rPr>
        <w:t xml:space="preserve">            </w:t>
      </w:r>
      <w:r>
        <w:rPr>
          <w:rFonts w:hint="eastAsia" w:ascii="宋体" w:hAnsi="宋体" w:cs="宋体"/>
          <w:color w:val="auto"/>
          <w:szCs w:val="20"/>
          <w:highlight w:val="none"/>
        </w:rPr>
        <w:t xml:space="preserve"> 。</w:t>
      </w:r>
    </w:p>
    <w:p>
      <w:pPr>
        <w:pBdr>
          <w:bottom w:val="single" w:color="auto" w:sz="6" w:space="1"/>
        </w:pBd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bCs/>
          <w:color w:val="auto"/>
          <w:szCs w:val="21"/>
          <w:highlight w:val="none"/>
        </w:rPr>
        <w:t>投标人应采用单位数字证书，按招标文件要求在相应位置加盖电子印章。投标文件中需个人签字或盖章的，应加盖个人电子印章或在线下完成后扫描上传。按照交易平台关于全流程电子化项目的相关指南进行操作。</w:t>
      </w:r>
      <w:r>
        <w:rPr>
          <w:rFonts w:hint="eastAsia" w:ascii="宋体" w:hAnsi="宋体" w:cs="宋体"/>
          <w:color w:val="auto"/>
          <w:szCs w:val="20"/>
          <w:highlight w:val="none"/>
        </w:rPr>
        <w:t>详见：</w:t>
      </w:r>
      <w:r>
        <w:rPr>
          <w:rFonts w:hint="eastAsia" w:ascii="宋体" w:hAnsi="宋体" w:cs="宋体"/>
          <w:color w:val="auto"/>
          <w:szCs w:val="20"/>
          <w:highlight w:val="none"/>
          <w:u w:val="single"/>
        </w:rPr>
        <w:t>广州公共资源交易中心网站</w:t>
      </w:r>
      <w:r>
        <w:rPr>
          <w:rFonts w:hint="eastAsia" w:ascii="宋体" w:hAnsi="宋体" w:cs="宋体"/>
          <w:color w:val="auto"/>
          <w:szCs w:val="20"/>
          <w:highlight w:val="none"/>
        </w:rPr>
        <w:t xml:space="preserve"> 。</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条款号：18.1             修改类型：修改</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递交的电子投标文件（不含备用光盘）必须进行加密。按照交易平台关于全流程电子化项目的相关指南进行操作。详见：</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w:t>
      </w:r>
    </w:p>
    <w:p>
      <w:pPr>
        <w:pBdr>
          <w:bottom w:val="single" w:color="auto" w:sz="6" w:space="1"/>
        </w:pBd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bCs/>
          <w:color w:val="auto"/>
          <w:szCs w:val="20"/>
          <w:highlight w:val="none"/>
        </w:rPr>
        <w:t>递交的电子投标文件（不含备用光盘）必须进行加密。按照</w:t>
      </w:r>
      <w:r>
        <w:rPr>
          <w:rFonts w:hint="eastAsia" w:ascii="宋体" w:hAnsi="宋体" w:cs="宋体"/>
          <w:bCs/>
          <w:color w:val="auto"/>
          <w:szCs w:val="20"/>
          <w:highlight w:val="none"/>
          <w:u w:val="single"/>
        </w:rPr>
        <w:t>广州公共资源交易中心</w:t>
      </w:r>
      <w:r>
        <w:rPr>
          <w:rFonts w:hint="eastAsia" w:ascii="宋体" w:hAnsi="宋体" w:cs="宋体"/>
          <w:bCs/>
          <w:color w:val="auto"/>
          <w:szCs w:val="20"/>
          <w:highlight w:val="none"/>
        </w:rPr>
        <w:t>交易平台关于</w:t>
      </w:r>
      <w:r>
        <w:rPr>
          <w:rFonts w:hint="eastAsia" w:ascii="宋体" w:hAnsi="宋体" w:cs="宋体"/>
          <w:color w:val="auto"/>
          <w:szCs w:val="21"/>
          <w:highlight w:val="none"/>
        </w:rPr>
        <w:t>全流程电子化项目的相关指南进行操作。详见：</w:t>
      </w:r>
      <w:r>
        <w:rPr>
          <w:rFonts w:hint="eastAsia" w:ascii="宋体" w:hAnsi="宋体" w:cs="宋体"/>
          <w:color w:val="auto"/>
          <w:szCs w:val="21"/>
          <w:highlight w:val="none"/>
          <w:u w:val="single"/>
        </w:rPr>
        <w:t xml:space="preserve">广州公共资源交易中心网站 </w:t>
      </w:r>
      <w:r>
        <w:rPr>
          <w:rFonts w:hint="eastAsia" w:ascii="宋体" w:hAnsi="宋体" w:cs="宋体"/>
          <w:color w:val="auto"/>
          <w:szCs w:val="21"/>
          <w:highlight w:val="none"/>
        </w:rPr>
        <w:t>。</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条款号：18.2             修改类型：修改</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bCs/>
          <w:color w:val="auto"/>
          <w:szCs w:val="20"/>
          <w:highlight w:val="none"/>
        </w:rPr>
        <w:t>未按要求加密的投标文件，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交易平台</w:t>
      </w:r>
      <w:r>
        <w:rPr>
          <w:rFonts w:hint="eastAsia" w:ascii="宋体" w:hAnsi="宋体" w:cs="宋体"/>
          <w:bCs/>
          <w:color w:val="auto"/>
          <w:szCs w:val="20"/>
          <w:highlight w:val="none"/>
        </w:rPr>
        <w:t>将予以拒收。</w:t>
      </w:r>
    </w:p>
    <w:p>
      <w:pPr>
        <w:pBdr>
          <w:bottom w:val="single" w:color="auto" w:sz="6" w:space="1"/>
        </w:pBd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bCs/>
          <w:color w:val="auto"/>
          <w:szCs w:val="20"/>
          <w:highlight w:val="none"/>
        </w:rPr>
        <w:t>未按要求加密的投标文件，</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w:t>
      </w:r>
      <w:r>
        <w:rPr>
          <w:rFonts w:hint="eastAsia" w:ascii="宋体" w:hAnsi="宋体" w:cs="宋体"/>
          <w:bCs/>
          <w:color w:val="auto"/>
          <w:szCs w:val="20"/>
          <w:highlight w:val="none"/>
        </w:rPr>
        <w:t>将予以拒收。</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条款号：19             修改类型：修改</w:t>
      </w:r>
    </w:p>
    <w:p>
      <w:pPr>
        <w:spacing w:line="360" w:lineRule="auto"/>
        <w:ind w:firstLine="422" w:firstLineChars="200"/>
        <w:rPr>
          <w:rFonts w:ascii="宋体" w:hAnsi="宋体" w:cs="宋体"/>
          <w:bCs/>
          <w:color w:val="auto"/>
          <w:szCs w:val="20"/>
          <w:highlight w:val="none"/>
        </w:rPr>
      </w:pPr>
      <w:r>
        <w:rPr>
          <w:rFonts w:hint="eastAsia" w:ascii="宋体" w:hAnsi="宋体" w:cs="宋体"/>
          <w:b/>
          <w:color w:val="auto"/>
          <w:szCs w:val="21"/>
          <w:highlight w:val="none"/>
        </w:rPr>
        <w:t>原文：</w:t>
      </w:r>
      <w:r>
        <w:rPr>
          <w:rFonts w:hint="eastAsia" w:ascii="宋体" w:hAnsi="宋体" w:cs="宋体"/>
          <w:bCs/>
          <w:color w:val="auto"/>
          <w:szCs w:val="20"/>
          <w:highlight w:val="none"/>
        </w:rPr>
        <w:t>19.1投标人通过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交易平台</w:t>
      </w:r>
      <w:r>
        <w:rPr>
          <w:rFonts w:hint="eastAsia" w:ascii="宋体" w:hAnsi="宋体" w:cs="宋体"/>
          <w:color w:val="auto"/>
          <w:szCs w:val="20"/>
          <w:highlight w:val="none"/>
        </w:rPr>
        <w:t>递交电子投标文件。</w:t>
      </w:r>
    </w:p>
    <w:p>
      <w:pPr>
        <w:spacing w:line="360" w:lineRule="auto"/>
        <w:ind w:firstLine="420" w:firstLineChars="200"/>
        <w:rPr>
          <w:rFonts w:ascii="宋体" w:hAnsi="宋体" w:cs="宋体"/>
          <w:bCs/>
          <w:color w:val="auto"/>
          <w:szCs w:val="20"/>
          <w:highlight w:val="none"/>
        </w:rPr>
      </w:pPr>
      <w:r>
        <w:rPr>
          <w:rFonts w:hint="eastAsia" w:ascii="宋体" w:hAnsi="宋体" w:cs="宋体"/>
          <w:bCs/>
          <w:color w:val="auto"/>
          <w:szCs w:val="20"/>
          <w:highlight w:val="none"/>
        </w:rPr>
        <w:t>19.2投标人完成电子</w:t>
      </w:r>
      <w:r>
        <w:rPr>
          <w:rFonts w:hint="eastAsia" w:ascii="宋体" w:hAnsi="宋体" w:cs="宋体"/>
          <w:color w:val="auto"/>
          <w:szCs w:val="20"/>
          <w:highlight w:val="none"/>
        </w:rPr>
        <w:t>投标文件</w:t>
      </w:r>
      <w:r>
        <w:rPr>
          <w:rFonts w:hint="eastAsia" w:ascii="宋体" w:hAnsi="宋体" w:cs="宋体"/>
          <w:bCs/>
          <w:color w:val="auto"/>
          <w:szCs w:val="20"/>
          <w:highlight w:val="none"/>
        </w:rPr>
        <w:t>上传后，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交易平台</w:t>
      </w:r>
      <w:r>
        <w:rPr>
          <w:rFonts w:hint="eastAsia" w:ascii="宋体" w:hAnsi="宋体" w:cs="宋体"/>
          <w:color w:val="auto"/>
          <w:szCs w:val="20"/>
          <w:highlight w:val="none"/>
        </w:rPr>
        <w:t>即时向投标人发出递交回执通知。递交时间以递交回执通知载明的传输完成时间为准。</w:t>
      </w:r>
    </w:p>
    <w:p>
      <w:pPr>
        <w:spacing w:line="360" w:lineRule="auto"/>
        <w:ind w:firstLine="420" w:firstLineChars="200"/>
        <w:rPr>
          <w:rFonts w:ascii="宋体" w:hAnsi="宋体" w:cs="宋体"/>
          <w:color w:val="auto"/>
          <w:szCs w:val="20"/>
          <w:highlight w:val="none"/>
        </w:rPr>
      </w:pPr>
      <w:r>
        <w:rPr>
          <w:rFonts w:hint="eastAsia" w:ascii="宋体" w:hAnsi="宋体" w:cs="宋体"/>
          <w:bCs/>
          <w:color w:val="auto"/>
          <w:szCs w:val="20"/>
          <w:highlight w:val="none"/>
        </w:rPr>
        <w:t>19.3</w:t>
      </w:r>
      <w:r>
        <w:rPr>
          <w:rFonts w:hint="eastAsia" w:ascii="宋体" w:hAnsi="宋体" w:cs="宋体"/>
          <w:bCs/>
          <w:color w:val="auto"/>
          <w:szCs w:val="21"/>
          <w:highlight w:val="none"/>
        </w:rPr>
        <w:t>逾期送达的</w:t>
      </w:r>
      <w:r>
        <w:rPr>
          <w:rFonts w:hint="eastAsia" w:ascii="宋体" w:hAnsi="宋体" w:cs="宋体"/>
          <w:bCs/>
          <w:color w:val="auto"/>
          <w:szCs w:val="20"/>
          <w:highlight w:val="none"/>
        </w:rPr>
        <w:t>电子投标文件，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交易平台</w:t>
      </w:r>
      <w:r>
        <w:rPr>
          <w:rFonts w:hint="eastAsia" w:ascii="宋体" w:hAnsi="宋体" w:cs="宋体"/>
          <w:color w:val="auto"/>
          <w:szCs w:val="20"/>
          <w:highlight w:val="none"/>
        </w:rPr>
        <w:t>将予以拒收。</w:t>
      </w:r>
    </w:p>
    <w:p>
      <w:pPr>
        <w:spacing w:line="36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 xml:space="preserve">19.4 </w:t>
      </w:r>
      <w:r>
        <w:rPr>
          <w:rFonts w:hint="eastAsia" w:ascii="宋体" w:hAnsi="宋体" w:cs="宋体"/>
          <w:color w:val="auto"/>
          <w:szCs w:val="21"/>
          <w:highlight w:val="none"/>
        </w:rPr>
        <w:t>投标截止前，招标人拒绝接收符合条件的投标文件，投标人可向招标投标监督机构投诉。</w:t>
      </w:r>
    </w:p>
    <w:p>
      <w:pPr>
        <w:spacing w:line="36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19.5如技术标和经济标先后分别开启，</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交易平台</w:t>
      </w:r>
      <w:r>
        <w:rPr>
          <w:rFonts w:hint="eastAsia" w:ascii="宋体" w:hAnsi="宋体" w:cs="宋体"/>
          <w:color w:val="auto"/>
          <w:szCs w:val="20"/>
          <w:highlight w:val="none"/>
        </w:rPr>
        <w:t>将按招标文件规定的时间分别开启技术标和经济标。</w:t>
      </w:r>
    </w:p>
    <w:p>
      <w:pPr>
        <w:spacing w:line="360" w:lineRule="auto"/>
        <w:ind w:firstLine="422" w:firstLineChars="200"/>
        <w:rPr>
          <w:rFonts w:ascii="宋体" w:hAnsi="宋体" w:cs="宋体"/>
          <w:bCs/>
          <w:color w:val="auto"/>
          <w:szCs w:val="20"/>
          <w:highlight w:val="none"/>
        </w:rPr>
      </w:pPr>
      <w:r>
        <w:rPr>
          <w:rFonts w:hint="eastAsia" w:ascii="宋体" w:hAnsi="宋体" w:cs="宋体"/>
          <w:b/>
          <w:color w:val="auto"/>
          <w:szCs w:val="21"/>
          <w:highlight w:val="none"/>
        </w:rPr>
        <w:t>现文：</w:t>
      </w:r>
      <w:r>
        <w:rPr>
          <w:rFonts w:hint="eastAsia" w:ascii="宋体" w:hAnsi="宋体" w:cs="宋体"/>
          <w:bCs/>
          <w:color w:val="auto"/>
          <w:szCs w:val="20"/>
          <w:highlight w:val="none"/>
        </w:rPr>
        <w:t>19.1投标人通过</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w:t>
      </w:r>
      <w:r>
        <w:rPr>
          <w:rFonts w:hint="eastAsia" w:ascii="宋体" w:hAnsi="宋体" w:cs="宋体"/>
          <w:color w:val="auto"/>
          <w:szCs w:val="20"/>
          <w:highlight w:val="none"/>
        </w:rPr>
        <w:t>递交电子投标文件。</w:t>
      </w:r>
    </w:p>
    <w:p>
      <w:pPr>
        <w:spacing w:line="360" w:lineRule="auto"/>
        <w:ind w:firstLine="420" w:firstLineChars="200"/>
        <w:rPr>
          <w:rFonts w:ascii="宋体" w:hAnsi="宋体" w:cs="宋体"/>
          <w:bCs/>
          <w:color w:val="auto"/>
          <w:szCs w:val="20"/>
          <w:highlight w:val="none"/>
        </w:rPr>
      </w:pPr>
      <w:r>
        <w:rPr>
          <w:rFonts w:hint="eastAsia" w:ascii="宋体" w:hAnsi="宋体" w:cs="宋体"/>
          <w:bCs/>
          <w:color w:val="auto"/>
          <w:szCs w:val="20"/>
          <w:highlight w:val="none"/>
        </w:rPr>
        <w:t>19.2投标人完成电子</w:t>
      </w:r>
      <w:r>
        <w:rPr>
          <w:rFonts w:hint="eastAsia" w:ascii="宋体" w:hAnsi="宋体" w:cs="宋体"/>
          <w:color w:val="auto"/>
          <w:szCs w:val="20"/>
          <w:highlight w:val="none"/>
        </w:rPr>
        <w:t>投标文件</w:t>
      </w:r>
      <w:r>
        <w:rPr>
          <w:rFonts w:hint="eastAsia" w:ascii="宋体" w:hAnsi="宋体" w:cs="宋体"/>
          <w:bCs/>
          <w:color w:val="auto"/>
          <w:szCs w:val="20"/>
          <w:highlight w:val="none"/>
        </w:rPr>
        <w:t>上传后，</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w:t>
      </w:r>
      <w:r>
        <w:rPr>
          <w:rFonts w:hint="eastAsia" w:ascii="宋体" w:hAnsi="宋体" w:cs="宋体"/>
          <w:color w:val="auto"/>
          <w:szCs w:val="20"/>
          <w:highlight w:val="none"/>
        </w:rPr>
        <w:t>即时向投标人发出递交回执通知。递交时间以递交回执通知载明的传输完成时间为准。</w:t>
      </w:r>
    </w:p>
    <w:p>
      <w:pPr>
        <w:spacing w:line="360" w:lineRule="auto"/>
        <w:ind w:firstLine="420" w:firstLineChars="200"/>
        <w:rPr>
          <w:rFonts w:ascii="宋体" w:hAnsi="宋体" w:cs="宋体"/>
          <w:color w:val="auto"/>
          <w:szCs w:val="20"/>
          <w:highlight w:val="none"/>
        </w:rPr>
      </w:pPr>
      <w:r>
        <w:rPr>
          <w:rFonts w:hint="eastAsia" w:ascii="宋体" w:hAnsi="宋体" w:cs="宋体"/>
          <w:bCs/>
          <w:color w:val="auto"/>
          <w:szCs w:val="20"/>
          <w:highlight w:val="none"/>
        </w:rPr>
        <w:t>19.3</w:t>
      </w:r>
      <w:r>
        <w:rPr>
          <w:rFonts w:hint="eastAsia" w:ascii="宋体" w:hAnsi="宋体" w:cs="宋体"/>
          <w:bCs/>
          <w:color w:val="auto"/>
          <w:szCs w:val="21"/>
          <w:highlight w:val="none"/>
        </w:rPr>
        <w:t>逾期送达的</w:t>
      </w:r>
      <w:r>
        <w:rPr>
          <w:rFonts w:hint="eastAsia" w:ascii="宋体" w:hAnsi="宋体" w:cs="宋体"/>
          <w:bCs/>
          <w:color w:val="auto"/>
          <w:szCs w:val="20"/>
          <w:highlight w:val="none"/>
        </w:rPr>
        <w:t>电子投标文件，</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w:t>
      </w:r>
      <w:r>
        <w:rPr>
          <w:rFonts w:hint="eastAsia" w:ascii="宋体" w:hAnsi="宋体" w:cs="宋体"/>
          <w:color w:val="auto"/>
          <w:szCs w:val="20"/>
          <w:highlight w:val="none"/>
        </w:rPr>
        <w:t>将予以拒收。</w:t>
      </w:r>
    </w:p>
    <w:p>
      <w:pPr>
        <w:pBdr>
          <w:bottom w:val="single" w:color="auto" w:sz="6" w:space="1"/>
        </w:pBdr>
        <w:ind w:firstLine="420" w:firstLineChars="200"/>
        <w:rPr>
          <w:rFonts w:ascii="宋体" w:hAnsi="宋体" w:cs="宋体"/>
          <w:b/>
          <w:color w:val="auto"/>
          <w:szCs w:val="21"/>
          <w:highlight w:val="none"/>
        </w:rPr>
      </w:pPr>
      <w:r>
        <w:rPr>
          <w:rFonts w:hint="eastAsia" w:ascii="宋体" w:hAnsi="宋体" w:cs="宋体"/>
          <w:color w:val="auto"/>
          <w:szCs w:val="20"/>
          <w:highlight w:val="none"/>
        </w:rPr>
        <w:t xml:space="preserve">19.4 </w:t>
      </w:r>
      <w:r>
        <w:rPr>
          <w:rFonts w:hint="eastAsia" w:ascii="宋体" w:hAnsi="宋体" w:cs="宋体"/>
          <w:color w:val="auto"/>
          <w:szCs w:val="21"/>
          <w:highlight w:val="none"/>
        </w:rPr>
        <w:t>投标截止前，招标人拒绝接收符合条件的投标文件，投标人可向招标投标监督机构投诉。</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条款号：21.1             修改类型：修改</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0"/>
          <w:highlight w:val="none"/>
        </w:rPr>
        <w:t>本须知前附表第17项规定的投标截止时间</w:t>
      </w:r>
      <w:r>
        <w:rPr>
          <w:rFonts w:hint="eastAsia" w:ascii="宋体" w:hAnsi="宋体" w:cs="宋体"/>
          <w:bCs/>
          <w:color w:val="auto"/>
          <w:szCs w:val="21"/>
          <w:highlight w:val="none"/>
        </w:rPr>
        <w:t>后送达的</w:t>
      </w:r>
      <w:r>
        <w:rPr>
          <w:rFonts w:hint="eastAsia" w:ascii="宋体" w:hAnsi="宋体" w:cs="宋体"/>
          <w:bCs/>
          <w:color w:val="auto"/>
          <w:szCs w:val="20"/>
          <w:highlight w:val="none"/>
        </w:rPr>
        <w:t>电子投标文件，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交易平台</w:t>
      </w:r>
      <w:r>
        <w:rPr>
          <w:rFonts w:hint="eastAsia" w:ascii="宋体" w:hAnsi="宋体" w:cs="宋体"/>
          <w:color w:val="auto"/>
          <w:szCs w:val="20"/>
          <w:highlight w:val="none"/>
        </w:rPr>
        <w:t>将予以拒收。</w:t>
      </w:r>
    </w:p>
    <w:p>
      <w:pPr>
        <w:pBdr>
          <w:bottom w:val="single" w:color="auto" w:sz="6" w:space="1"/>
        </w:pBd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0"/>
          <w:highlight w:val="none"/>
        </w:rPr>
        <w:t>本须知前附表第17项规定的投标截止时间</w:t>
      </w:r>
      <w:r>
        <w:rPr>
          <w:rFonts w:hint="eastAsia" w:ascii="宋体" w:hAnsi="宋体" w:cs="宋体"/>
          <w:bCs/>
          <w:color w:val="auto"/>
          <w:szCs w:val="21"/>
          <w:highlight w:val="none"/>
        </w:rPr>
        <w:t>后送达的</w:t>
      </w:r>
      <w:r>
        <w:rPr>
          <w:rFonts w:hint="eastAsia" w:ascii="宋体" w:hAnsi="宋体" w:cs="宋体"/>
          <w:bCs/>
          <w:color w:val="auto"/>
          <w:szCs w:val="20"/>
          <w:highlight w:val="none"/>
        </w:rPr>
        <w:t>电子投标文件，</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w:t>
      </w:r>
      <w:r>
        <w:rPr>
          <w:rFonts w:hint="eastAsia" w:ascii="宋体" w:hAnsi="宋体" w:cs="宋体"/>
          <w:color w:val="auto"/>
          <w:szCs w:val="20"/>
          <w:highlight w:val="none"/>
        </w:rPr>
        <w:t>将予以拒收。</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条款号：27.1             修改类型：修改</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0"/>
          <w:highlight w:val="none"/>
        </w:rPr>
        <w:t>招标人将在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交易平台</w:t>
      </w:r>
      <w:r>
        <w:rPr>
          <w:rFonts w:hint="eastAsia" w:ascii="宋体" w:hAnsi="宋体" w:cs="宋体"/>
          <w:color w:val="auto"/>
          <w:szCs w:val="20"/>
          <w:highlight w:val="none"/>
        </w:rPr>
        <w:t>、广东省招标投标监管网和中国招标投标公共服务平台公示中标候选人，公示期为三天。</w:t>
      </w:r>
    </w:p>
    <w:p>
      <w:pPr>
        <w:pBdr>
          <w:bottom w:val="single" w:color="auto" w:sz="6" w:space="1"/>
        </w:pBd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0"/>
          <w:highlight w:val="none"/>
        </w:rPr>
        <w:t>招标人将在</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w:t>
      </w:r>
      <w:r>
        <w:rPr>
          <w:rFonts w:hint="eastAsia" w:ascii="宋体" w:hAnsi="宋体" w:cs="宋体"/>
          <w:color w:val="auto"/>
          <w:szCs w:val="20"/>
          <w:highlight w:val="none"/>
        </w:rPr>
        <w:t>、广东省招标投标监管网、中国招标投标公共服务平台</w:t>
      </w:r>
      <w:r>
        <w:rPr>
          <w:rFonts w:hint="eastAsia" w:ascii="宋体" w:hAnsi="宋体" w:cs="宋体"/>
          <w:color w:val="auto"/>
          <w:szCs w:val="20"/>
          <w:highlight w:val="none"/>
          <w:lang w:eastAsia="zh-CN"/>
        </w:rPr>
        <w:t>、</w:t>
      </w:r>
      <w:r>
        <w:rPr>
          <w:rFonts w:hint="eastAsia" w:ascii="宋体" w:hAnsi="宋体" w:cs="宋体"/>
          <w:color w:val="auto"/>
          <w:szCs w:val="20"/>
          <w:highlight w:val="none"/>
          <w:u w:val="single"/>
        </w:rPr>
        <w:t>广州发展电子采购平台</w:t>
      </w:r>
      <w:r>
        <w:rPr>
          <w:rFonts w:hint="eastAsia" w:asciiTheme="minorEastAsia" w:hAnsiTheme="minorEastAsia" w:eastAsiaTheme="minorEastAsia" w:cstheme="minorEastAsia"/>
          <w:color w:val="auto"/>
          <w:sz w:val="21"/>
          <w:szCs w:val="21"/>
          <w:highlight w:val="none"/>
          <w:u w:val="single"/>
          <w:lang w:eastAsia="zh-CN"/>
        </w:rPr>
        <w:t>和广州国企阳光采购</w:t>
      </w:r>
      <w:r>
        <w:rPr>
          <w:rFonts w:hint="eastAsia" w:asciiTheme="minorEastAsia" w:hAnsiTheme="minorEastAsia" w:eastAsiaTheme="minorEastAsia" w:cstheme="minorEastAsia"/>
          <w:color w:val="auto"/>
          <w:sz w:val="21"/>
          <w:szCs w:val="21"/>
          <w:highlight w:val="none"/>
          <w:u w:val="single"/>
          <w:lang w:val="en-US" w:eastAsia="zh-CN"/>
        </w:rPr>
        <w:t>信息发布</w:t>
      </w:r>
      <w:r>
        <w:rPr>
          <w:rFonts w:hint="eastAsia" w:asciiTheme="minorEastAsia" w:hAnsiTheme="minorEastAsia" w:eastAsiaTheme="minorEastAsia" w:cstheme="minorEastAsia"/>
          <w:color w:val="auto"/>
          <w:sz w:val="21"/>
          <w:szCs w:val="21"/>
          <w:highlight w:val="none"/>
          <w:u w:val="single"/>
          <w:lang w:eastAsia="zh-CN"/>
        </w:rPr>
        <w:t>平台</w:t>
      </w:r>
      <w:r>
        <w:rPr>
          <w:rFonts w:hint="eastAsia" w:ascii="宋体" w:hAnsi="宋体" w:cs="宋体"/>
          <w:color w:val="auto"/>
          <w:szCs w:val="20"/>
          <w:highlight w:val="none"/>
        </w:rPr>
        <w:t>公示中标候选人，公示期为三天。</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条款号：27.4             修改类型：修改</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0"/>
          <w:highlight w:val="none"/>
        </w:rPr>
        <w:t>在产生中标候选人后，招标人将中标候选人的投标文件商务部分文件的所有内容（包括人员、业绩、奖项等资料）在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交易平台和广东省招标投标监管网</w:t>
      </w:r>
      <w:r>
        <w:rPr>
          <w:rFonts w:hint="eastAsia" w:ascii="宋体" w:hAnsi="宋体" w:cs="宋体"/>
          <w:color w:val="auto"/>
          <w:szCs w:val="20"/>
          <w:highlight w:val="none"/>
        </w:rPr>
        <w:t>公开。</w:t>
      </w:r>
    </w:p>
    <w:p>
      <w:pPr>
        <w:pBdr>
          <w:bottom w:val="single" w:color="auto" w:sz="6" w:space="1"/>
        </w:pBd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0"/>
          <w:highlight w:val="none"/>
        </w:rPr>
        <w:t>在产生中标候选人后，招标人将中标候选人的投标文件商务部分文件的所有内容（包括人员、业绩、奖项等资料）在</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交易平台和广东省招标投标监管网</w:t>
      </w:r>
      <w:r>
        <w:rPr>
          <w:rFonts w:hint="eastAsia" w:ascii="宋体" w:hAnsi="宋体" w:cs="宋体"/>
          <w:color w:val="auto"/>
          <w:szCs w:val="20"/>
          <w:highlight w:val="none"/>
        </w:rPr>
        <w:t>公开。</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条款号：29             修改类型：修改</w:t>
      </w:r>
    </w:p>
    <w:p>
      <w:pPr>
        <w:spacing w:line="360" w:lineRule="auto"/>
        <w:ind w:firstLine="422" w:firstLineChars="200"/>
        <w:rPr>
          <w:rFonts w:ascii="宋体" w:hAnsi="宋体" w:cs="宋体"/>
          <w:b/>
          <w:bCs/>
          <w:color w:val="auto"/>
          <w:szCs w:val="21"/>
          <w:highlight w:val="none"/>
        </w:rPr>
      </w:pPr>
      <w:r>
        <w:rPr>
          <w:rFonts w:hint="eastAsia" w:ascii="宋体" w:hAnsi="宋体" w:cs="宋体"/>
          <w:b/>
          <w:color w:val="auto"/>
          <w:szCs w:val="21"/>
          <w:highlight w:val="none"/>
        </w:rPr>
        <w:t>原文：</w:t>
      </w:r>
      <w:r>
        <w:rPr>
          <w:rFonts w:hint="eastAsia" w:ascii="宋体" w:hAnsi="宋体" w:cs="宋体"/>
          <w:b/>
          <w:bCs/>
          <w:color w:val="auto"/>
          <w:szCs w:val="21"/>
          <w:highlight w:val="none"/>
        </w:rPr>
        <w:t>29．履约担保</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29.1 在收到中标通知书后的</w:t>
      </w:r>
      <w:r>
        <w:rPr>
          <w:rFonts w:hint="eastAsia" w:ascii="宋体" w:hAnsi="宋体" w:cs="宋体"/>
          <w:b/>
          <w:color w:val="auto"/>
          <w:szCs w:val="21"/>
          <w:highlight w:val="none"/>
        </w:rPr>
        <w:t>15日</w:t>
      </w:r>
      <w:r>
        <w:rPr>
          <w:rFonts w:hint="eastAsia" w:ascii="宋体" w:hAnsi="宋体" w:cs="宋体"/>
          <w:color w:val="auto"/>
          <w:szCs w:val="21"/>
          <w:highlight w:val="none"/>
        </w:rPr>
        <w:t>内，中标人应按本须知前附表第20项的规定向招标人提交履约担保；如果中标人的履约担保是以银行保函的形式提供，则该银行保函应由在中国注册且营业地点在广州行政辖区内的银行开具。</w:t>
      </w:r>
    </w:p>
    <w:p>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29.2中标通知书发出之日起15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spacing w:line="360" w:lineRule="auto"/>
        <w:ind w:firstLine="422" w:firstLineChars="200"/>
        <w:rPr>
          <w:rFonts w:ascii="宋体" w:hAnsi="宋体" w:cs="宋体"/>
          <w:b/>
          <w:bCs/>
          <w:color w:val="auto"/>
          <w:szCs w:val="21"/>
          <w:highlight w:val="none"/>
        </w:rPr>
      </w:pPr>
      <w:r>
        <w:rPr>
          <w:rFonts w:hint="eastAsia" w:ascii="宋体" w:hAnsi="宋体" w:cs="宋体"/>
          <w:b/>
          <w:color w:val="auto"/>
          <w:szCs w:val="21"/>
          <w:highlight w:val="none"/>
        </w:rPr>
        <w:t>现文：</w:t>
      </w:r>
      <w:r>
        <w:rPr>
          <w:rFonts w:hint="eastAsia" w:ascii="宋体" w:hAnsi="宋体" w:cs="宋体"/>
          <w:b/>
          <w:bCs/>
          <w:color w:val="auto"/>
          <w:szCs w:val="21"/>
          <w:highlight w:val="none"/>
        </w:rPr>
        <w:t>29．履约担保</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29.1 在</w:t>
      </w:r>
      <w:r>
        <w:rPr>
          <w:rFonts w:hint="eastAsia" w:ascii="宋体" w:hAnsi="宋体" w:cs="宋体"/>
          <w:color w:val="auto"/>
          <w:kern w:val="0"/>
          <w:szCs w:val="21"/>
          <w:highlight w:val="none"/>
          <w:u w:val="single"/>
        </w:rPr>
        <w:t>合同签订之日起5日内</w:t>
      </w:r>
      <w:r>
        <w:rPr>
          <w:rFonts w:hint="eastAsia" w:ascii="宋体" w:hAnsi="宋体" w:cs="宋体"/>
          <w:color w:val="auto"/>
          <w:szCs w:val="21"/>
          <w:highlight w:val="none"/>
        </w:rPr>
        <w:t>，中标人应按本须知前附表第20项的规定向招标人提交履约担保；如果中标人的履约担保是以银行保函的形式提供，则该银行保函应</w:t>
      </w:r>
      <w:r>
        <w:rPr>
          <w:rFonts w:hint="eastAsia" w:ascii="宋体" w:hAnsi="宋体" w:cs="宋体"/>
          <w:color w:val="auto"/>
          <w:szCs w:val="21"/>
          <w:highlight w:val="none"/>
          <w:lang w:val="en-US" w:eastAsia="zh-CN"/>
        </w:rPr>
        <w:t>为</w:t>
      </w:r>
      <w:r>
        <w:rPr>
          <w:rFonts w:hint="eastAsia" w:ascii="宋体" w:hAnsi="宋体" w:cs="宋体"/>
          <w:color w:val="auto"/>
          <w:szCs w:val="21"/>
          <w:highlight w:val="none"/>
        </w:rPr>
        <w:t>在中国注册的具有法人资格的全国性商业银行地级以上分支机构出具的无条件的、不可撤销的担保函。</w:t>
      </w:r>
    </w:p>
    <w:p>
      <w:pPr>
        <w:pBdr>
          <w:bottom w:val="single" w:color="auto" w:sz="6" w:space="1"/>
        </w:pBd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29.2</w:t>
      </w:r>
      <w:r>
        <w:rPr>
          <w:rFonts w:hint="eastAsia" w:ascii="宋体" w:hAnsi="宋体" w:cs="宋体"/>
          <w:color w:val="auto"/>
          <w:kern w:val="0"/>
          <w:szCs w:val="21"/>
          <w:highlight w:val="none"/>
          <w:u w:val="single"/>
        </w:rPr>
        <w:t>合同签订之日起5日</w:t>
      </w:r>
      <w:r>
        <w:rPr>
          <w:rFonts w:hint="eastAsia" w:ascii="宋体" w:hAnsi="宋体" w:cs="宋体"/>
          <w:color w:val="auto"/>
          <w:szCs w:val="21"/>
          <w:highlight w:val="none"/>
          <w:u w:val="single"/>
        </w:rPr>
        <w:t>后</w:t>
      </w:r>
      <w:r>
        <w:rPr>
          <w:rFonts w:hint="eastAsia" w:ascii="宋体" w:hAnsi="宋体" w:cs="宋体"/>
          <w:color w:val="auto"/>
          <w:szCs w:val="21"/>
          <w:highlight w:val="none"/>
        </w:rPr>
        <w:t>，中标人未按上款的规定提交履约担保，原中标人的投标保证金不予退还，且依法承担相应法律责任。原中标人给招标人造成的损失超过投标保证金数额的，还应当对超过部分予以赔偿。原中标人有异议的，可以向人民法院起诉。</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条款号：31             修改类型：修改</w:t>
      </w:r>
    </w:p>
    <w:p>
      <w:pPr>
        <w:spacing w:line="480" w:lineRule="auto"/>
        <w:ind w:firstLine="422" w:firstLineChars="200"/>
        <w:rPr>
          <w:rFonts w:ascii="宋体" w:hAnsi="宋体" w:cs="宋体"/>
          <w:b/>
          <w:color w:val="auto"/>
          <w:sz w:val="18"/>
          <w:szCs w:val="18"/>
          <w:highlight w:val="none"/>
        </w:rPr>
      </w:pPr>
      <w:r>
        <w:rPr>
          <w:rFonts w:hint="eastAsia" w:ascii="宋体" w:hAnsi="宋体" w:cs="宋体"/>
          <w:b/>
          <w:color w:val="auto"/>
          <w:szCs w:val="21"/>
          <w:highlight w:val="none"/>
        </w:rPr>
        <w:t>原文：</w:t>
      </w:r>
      <w:r>
        <w:rPr>
          <w:rFonts w:hint="eastAsia" w:ascii="宋体" w:hAnsi="宋体" w:cs="宋体"/>
          <w:b/>
          <w:bCs/>
          <w:color w:val="auto"/>
          <w:szCs w:val="20"/>
          <w:highlight w:val="none"/>
        </w:rPr>
        <w:t>其它费用</w:t>
      </w:r>
    </w:p>
    <w:p>
      <w:pPr>
        <w:pBdr>
          <w:bottom w:val="single" w:color="auto" w:sz="6" w:space="1"/>
        </w:pBd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b/>
          <w:bCs/>
          <w:color w:val="auto"/>
          <w:szCs w:val="20"/>
          <w:highlight w:val="none"/>
        </w:rPr>
        <w:t>其它费用</w:t>
      </w:r>
      <w:r>
        <w:rPr>
          <w:rFonts w:hint="eastAsia" w:ascii="宋体" w:hAnsi="宋体" w:cs="宋体"/>
          <w:b/>
          <w:bCs/>
          <w:color w:val="auto"/>
          <w:szCs w:val="20"/>
          <w:highlight w:val="none"/>
          <w:u w:val="none"/>
        </w:rPr>
        <w:t>：</w:t>
      </w:r>
      <w:r>
        <w:rPr>
          <w:rFonts w:hint="eastAsia" w:ascii="宋体" w:hAnsi="宋体" w:cs="宋体"/>
          <w:b/>
          <w:bCs/>
          <w:color w:val="auto"/>
          <w:szCs w:val="20"/>
          <w:highlight w:val="none"/>
          <w:u w:val="single"/>
        </w:rPr>
        <w:t>中标人应</w:t>
      </w:r>
      <w:r>
        <w:rPr>
          <w:rFonts w:hint="eastAsia" w:ascii="宋体" w:hAnsi="宋体" w:eastAsia="宋体" w:cs="宋体"/>
          <w:b/>
          <w:bCs/>
          <w:color w:val="auto"/>
          <w:sz w:val="21"/>
          <w:szCs w:val="20"/>
          <w:highlight w:val="none"/>
          <w:u w:val="single"/>
          <w:lang w:val="en-US" w:eastAsia="zh-CN"/>
        </w:rPr>
        <w:t>缴</w:t>
      </w:r>
      <w:r>
        <w:rPr>
          <w:rFonts w:hint="eastAsia" w:ascii="宋体" w:hAnsi="宋体" w:cs="宋体"/>
          <w:b/>
          <w:bCs/>
          <w:color w:val="auto"/>
          <w:szCs w:val="20"/>
          <w:highlight w:val="none"/>
          <w:u w:val="single"/>
        </w:rPr>
        <w:t>纳交易服务费，该费用包含在投标价中</w:t>
      </w:r>
      <w:r>
        <w:rPr>
          <w:rFonts w:hint="eastAsia" w:ascii="宋体" w:hAnsi="宋体" w:cs="宋体"/>
          <w:b/>
          <w:bCs/>
          <w:color w:val="auto"/>
          <w:szCs w:val="20"/>
          <w:highlight w:val="none"/>
        </w:rPr>
        <w:t>。</w:t>
      </w:r>
    </w:p>
    <w:p>
      <w:pPr>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bidi="ar"/>
        </w:rPr>
        <w:t>条款号:32.3                   修改类型:修改</w:t>
      </w:r>
    </w:p>
    <w:p>
      <w:pPr>
        <w:spacing w:line="440" w:lineRule="exact"/>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bidi="ar"/>
        </w:rPr>
        <w:t>原文:</w:t>
      </w:r>
      <w:r>
        <w:rPr>
          <w:rFonts w:hint="eastAsia" w:ascii="宋体" w:hAnsi="宋体" w:eastAsia="宋体" w:cs="宋体"/>
          <w:color w:val="auto"/>
          <w:sz w:val="21"/>
          <w:szCs w:val="21"/>
          <w:highlight w:val="none"/>
          <w:lang w:bidi="ar"/>
        </w:rPr>
        <w:t>32.3投标人如在本项目中存在串通投标、弄虚作假、行贿情形的，中标无效，行政监督部门将对其违法行为进行政处罚并通报。该投标人将被招标人列入黑名单并限制其参与招标人后续项目的投标。</w:t>
      </w:r>
    </w:p>
    <w:p>
      <w:pPr>
        <w:pBdr>
          <w:bottom w:val="single" w:color="auto" w:sz="6" w:space="1"/>
        </w:pBdr>
        <w:spacing w:line="360" w:lineRule="auto"/>
        <w:ind w:firstLine="422" w:firstLineChars="200"/>
        <w:rPr>
          <w:rFonts w:hint="eastAsia" w:ascii="宋体" w:hAnsi="宋体" w:cs="宋体"/>
          <w:b/>
          <w:color w:val="auto"/>
          <w:szCs w:val="21"/>
          <w:highlight w:val="none"/>
        </w:rPr>
      </w:pPr>
      <w:r>
        <w:rPr>
          <w:rFonts w:hint="eastAsia" w:ascii="宋体" w:hAnsi="宋体" w:eastAsia="宋体" w:cs="宋体"/>
          <w:b/>
          <w:color w:val="auto"/>
          <w:sz w:val="21"/>
          <w:szCs w:val="21"/>
          <w:highlight w:val="none"/>
          <w:lang w:bidi="ar"/>
        </w:rPr>
        <w:t>现文:</w:t>
      </w:r>
      <w:r>
        <w:rPr>
          <w:rFonts w:hint="eastAsia" w:ascii="宋体" w:hAnsi="宋体" w:eastAsia="宋体" w:cs="宋体"/>
          <w:color w:val="auto"/>
          <w:sz w:val="21"/>
          <w:szCs w:val="21"/>
          <w:highlight w:val="none"/>
          <w:lang w:bidi="ar"/>
        </w:rPr>
        <w:t>32.3 投标人如在本项目中存在串通投标、</w:t>
      </w:r>
      <w:r>
        <w:rPr>
          <w:rFonts w:hint="eastAsia" w:ascii="宋体" w:hAnsi="宋体" w:eastAsia="宋体" w:cs="宋体"/>
          <w:color w:val="auto"/>
          <w:sz w:val="21"/>
          <w:szCs w:val="21"/>
          <w:highlight w:val="none"/>
          <w:u w:val="none"/>
          <w:lang w:bidi="ar"/>
        </w:rPr>
        <w:t>弄虚作假</w:t>
      </w:r>
      <w:r>
        <w:rPr>
          <w:rFonts w:hint="eastAsia" w:ascii="宋体" w:hAnsi="宋体" w:eastAsia="宋体" w:cs="宋体"/>
          <w:color w:val="auto"/>
          <w:sz w:val="21"/>
          <w:szCs w:val="21"/>
          <w:highlight w:val="none"/>
          <w:u w:val="single"/>
          <w:lang w:bidi="ar"/>
        </w:rPr>
        <w:t>骗取中标</w:t>
      </w:r>
      <w:r>
        <w:rPr>
          <w:rFonts w:hint="eastAsia" w:ascii="宋体" w:hAnsi="宋体" w:eastAsia="宋体" w:cs="宋体"/>
          <w:color w:val="auto"/>
          <w:sz w:val="21"/>
          <w:szCs w:val="21"/>
          <w:highlight w:val="none"/>
          <w:lang w:bidi="ar"/>
        </w:rPr>
        <w:t>、行贿情形的，中标无效行政监督部门将对其违法行为进行政处罚。该投标人将被招标人列入黑名单并限制其参与招标人后续项目的投标。</w:t>
      </w:r>
    </w:p>
    <w:p>
      <w:pPr>
        <w:spacing w:line="360" w:lineRule="auto"/>
        <w:ind w:firstLine="211" w:firstLineChars="100"/>
        <w:rPr>
          <w:rFonts w:ascii="宋体" w:hAnsi="宋体" w:cs="宋体"/>
          <w:b/>
          <w:color w:val="auto"/>
          <w:szCs w:val="21"/>
          <w:highlight w:val="none"/>
        </w:rPr>
      </w:pPr>
      <w:r>
        <w:rPr>
          <w:rFonts w:hint="eastAsia" w:ascii="宋体" w:hAnsi="宋体" w:cs="宋体"/>
          <w:b/>
          <w:color w:val="auto"/>
          <w:szCs w:val="21"/>
          <w:highlight w:val="none"/>
        </w:rPr>
        <w:t>注：以上修改，仅限于本范本中有可供选择条款的情形。</w:t>
      </w:r>
    </w:p>
    <w:p>
      <w:pPr>
        <w:spacing w:line="360" w:lineRule="auto"/>
        <w:rPr>
          <w:rFonts w:ascii="宋体" w:hAnsi="宋体" w:cs="宋体"/>
          <w:color w:val="auto"/>
          <w:highlight w:val="none"/>
        </w:rPr>
      </w:pPr>
      <w:r>
        <w:rPr>
          <w:rFonts w:hint="eastAsia" w:ascii="宋体" w:hAnsi="宋体" w:cs="宋体"/>
          <w:b/>
          <w:color w:val="auto"/>
          <w:szCs w:val="21"/>
          <w:highlight w:val="none"/>
        </w:rPr>
        <w:t>（以下无正文）</w:t>
      </w:r>
    </w:p>
    <w:p>
      <w:pPr>
        <w:pStyle w:val="6"/>
        <w:rPr>
          <w:rFonts w:hint="eastAsia" w:asciiTheme="minorEastAsia" w:hAnsiTheme="minorEastAsia" w:eastAsiaTheme="minorEastAsia" w:cstheme="minorEastAsia"/>
          <w:color w:val="auto"/>
          <w:sz w:val="24"/>
          <w:szCs w:val="24"/>
          <w:highlight w:val="none"/>
        </w:rPr>
      </w:pPr>
      <w:r>
        <w:rPr>
          <w:rFonts w:hint="eastAsia" w:ascii="宋体" w:hAnsi="宋体" w:cs="宋体"/>
          <w:color w:val="auto"/>
          <w:highlight w:val="none"/>
        </w:rPr>
        <w:br w:type="page"/>
      </w:r>
      <w:bookmarkStart w:id="34" w:name="_Toc25078"/>
      <w:bookmarkStart w:id="35" w:name="_Toc32485"/>
      <w:bookmarkStart w:id="36" w:name="_Toc2940"/>
      <w:bookmarkStart w:id="37" w:name="_Toc18963"/>
      <w:bookmarkStart w:id="38" w:name="_Toc392677434"/>
      <w:bookmarkStart w:id="39" w:name="_Toc23962"/>
      <w:bookmarkStart w:id="40" w:name="_Toc23813"/>
      <w:bookmarkStart w:id="41" w:name="_Toc18350"/>
      <w:bookmarkStart w:id="42" w:name="_Toc2712"/>
      <w:r>
        <w:rPr>
          <w:rFonts w:hint="eastAsia" w:asciiTheme="minorEastAsia" w:hAnsiTheme="minorEastAsia" w:eastAsiaTheme="minorEastAsia" w:cstheme="minorEastAsia"/>
          <w:color w:val="auto"/>
          <w:sz w:val="24"/>
          <w:szCs w:val="24"/>
          <w:highlight w:val="none"/>
        </w:rPr>
        <w:t>三、投标须知通用条款</w:t>
      </w:r>
      <w:bookmarkEnd w:id="34"/>
      <w:bookmarkEnd w:id="35"/>
      <w:bookmarkEnd w:id="36"/>
      <w:bookmarkEnd w:id="37"/>
      <w:bookmarkEnd w:id="38"/>
      <w:bookmarkEnd w:id="39"/>
      <w:bookmarkEnd w:id="40"/>
      <w:bookmarkEnd w:id="41"/>
      <w:bookmarkEnd w:id="42"/>
    </w:p>
    <w:p>
      <w:pPr>
        <w:pStyle w:val="7"/>
        <w:spacing w:before="156" w:after="156"/>
        <w:rPr>
          <w:rFonts w:hint="eastAsia" w:asciiTheme="minorEastAsia" w:hAnsiTheme="minorEastAsia" w:eastAsiaTheme="minorEastAsia" w:cstheme="minorEastAsia"/>
          <w:color w:val="auto"/>
          <w:sz w:val="24"/>
          <w:szCs w:val="24"/>
          <w:highlight w:val="none"/>
        </w:rPr>
      </w:pPr>
      <w:bookmarkStart w:id="43" w:name="_Toc17776"/>
      <w:bookmarkStart w:id="44" w:name="_Toc512386007"/>
      <w:bookmarkStart w:id="45" w:name="_Toc589"/>
      <w:bookmarkStart w:id="46" w:name="_Toc2040"/>
      <w:bookmarkStart w:id="47" w:name="_Toc24849"/>
      <w:bookmarkStart w:id="48" w:name="_Toc18121"/>
      <w:bookmarkStart w:id="49" w:name="_Toc2028"/>
      <w:bookmarkStart w:id="50" w:name="_Toc11265"/>
      <w:bookmarkStart w:id="51" w:name="_Toc32425"/>
      <w:r>
        <w:rPr>
          <w:rFonts w:hint="eastAsia" w:asciiTheme="minorEastAsia" w:hAnsiTheme="minorEastAsia" w:eastAsiaTheme="minorEastAsia" w:cstheme="minorEastAsia"/>
          <w:color w:val="auto"/>
          <w:sz w:val="24"/>
          <w:szCs w:val="24"/>
          <w:highlight w:val="none"/>
        </w:rPr>
        <w:t>（一）总则</w:t>
      </w:r>
      <w:bookmarkEnd w:id="43"/>
      <w:bookmarkEnd w:id="44"/>
      <w:bookmarkEnd w:id="45"/>
      <w:bookmarkEnd w:id="46"/>
      <w:bookmarkEnd w:id="47"/>
      <w:bookmarkEnd w:id="48"/>
      <w:bookmarkEnd w:id="49"/>
      <w:bookmarkEnd w:id="50"/>
      <w:bookmarkEnd w:id="51"/>
    </w:p>
    <w:p>
      <w:pPr>
        <w:pStyle w:val="37"/>
        <w:spacing w:after="0"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1、定义</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本招标文件使用的下列词语具有如下规定的意义：</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（1）“招标人”（即发包人）、“项目建设管理单位”（或称“项目代建单位”）、“招标代理”、“设计单位”、“监理单位”均已在投标须知前附表中列明。</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（2）“投标人”指向招标人提交投标文件的当事人。   </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（3）“承包人”指其投标被招标人接受并与其签订承包合同的当事人。</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（4）“招标文件”指由招标代理发出的本文件（包括全部章节、附件）及招标答疑会会议纪要和招标文件的澄清与修改文件。</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（5）“投标文件”指投标人根据本项目招标文件向招标人提交的全部文件。</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（6）“书面形式”指打字或印刷的文件和数据电文（包括电报、电传、传真、电子数据交换和电子邮件）。</w:t>
      </w:r>
    </w:p>
    <w:p>
      <w:pPr>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2、招标说明</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2.1本招标工程项目按照《中华人民共和国招标投标法》等有关法律、行政法规、规章和规范性文件，通过招标方式选定承包人。</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2.2工程名称、建设地点、建设规模、承包方式、质量标准、招标范围、工期要求等均在投标须知前附表中列明。</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2.3设计说明：详见招标图纸。</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2.4工程施工特点：详见招标图纸。</w:t>
      </w:r>
    </w:p>
    <w:p>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2.5</w:t>
      </w:r>
      <w:r>
        <w:rPr>
          <w:rFonts w:hint="eastAsia" w:ascii="宋体" w:hAnsi="宋体" w:cs="宋体"/>
          <w:bCs/>
          <w:color w:val="auto"/>
          <w:sz w:val="24"/>
          <w:highlight w:val="none"/>
          <w:u w:val="single"/>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p>
      <w:pPr>
        <w:tabs>
          <w:tab w:val="left" w:pos="105"/>
        </w:tabs>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3．资金来源</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3.1本招标工程项目资金来源见投标须知前附表第9项</w:t>
      </w:r>
    </w:p>
    <w:p>
      <w:pPr>
        <w:tabs>
          <w:tab w:val="left" w:pos="105"/>
        </w:tabs>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4．合格投标人的条件</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4.1详见本项目招标公告</w:t>
      </w:r>
    </w:p>
    <w:p>
      <w:pPr>
        <w:tabs>
          <w:tab w:val="left" w:pos="105"/>
        </w:tabs>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5．踏勘现场</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5.1 投标人应按本投标须知前附表第15项所述时间和要求对工程现场及周围环境进行踏勘，投标人应充分重视和仔细地进行这种考察，以便投标人获取那些须投标人自己负责的有关编制投标文件和签署合同所涉及现场所有的资料。一旦中标，这种考察即被认为其结果已在中标文件中得到充分反映</w:t>
      </w:r>
      <w:r>
        <w:rPr>
          <w:rFonts w:hint="eastAsia" w:ascii="宋体" w:hAnsi="宋体" w:cs="宋体"/>
          <w:color w:val="auto"/>
          <w:sz w:val="24"/>
          <w:highlight w:val="none"/>
          <w:u w:val="single"/>
        </w:rPr>
        <w:t>,且充分考虑了现场各种因素。招标人不受理因投标人缺乏对现场条件的了解或掌握而提出的任何索赔</w:t>
      </w:r>
      <w:r>
        <w:rPr>
          <w:rFonts w:hint="eastAsia" w:asciiTheme="minorEastAsia" w:hAnsiTheme="minorEastAsia" w:eastAsiaTheme="minorEastAsia" w:cstheme="minorEastAsia"/>
          <w:color w:val="auto"/>
          <w:kern w:val="2"/>
          <w:sz w:val="24"/>
          <w:szCs w:val="24"/>
          <w:highlight w:val="none"/>
          <w:lang w:val="en-US" w:eastAsia="zh-CN" w:bidi="ar-SA"/>
        </w:rPr>
        <w:t>。考察现场的费用由投标人自己承担。</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5.2 招标人向投标人提供的有关现场的数据和资料，是招标人现有的能被投标人利用的资料，招标人对投标人做出的任何推论、理解和结论均不负责任。</w:t>
      </w:r>
    </w:p>
    <w:p>
      <w:pPr>
        <w:pStyle w:val="37"/>
        <w:spacing w:after="0"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5.3 经招标人允许，投标人可为踏勘目的进入招标人的项目现场。在考察过程中，投标人及其代表必须承担那些进入现场后，由于他们的行为所造成的人身伤害（不管是否致命）、财产损失或损坏，以及其他任何原因造成的损失、损坏或费用，投标人不得因此使招标人承担有关的责任和蒙受损失。</w:t>
      </w:r>
    </w:p>
    <w:p>
      <w:pPr>
        <w:tabs>
          <w:tab w:val="left" w:pos="105"/>
        </w:tabs>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6．投标费用</w:t>
      </w:r>
    </w:p>
    <w:p>
      <w:pPr>
        <w:tabs>
          <w:tab w:val="left" w:pos="105"/>
        </w:tabs>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6.1</w:t>
      </w:r>
      <w:r>
        <w:rPr>
          <w:rFonts w:hint="eastAsia" w:asciiTheme="minorEastAsia" w:hAnsiTheme="minorEastAsia" w:eastAsiaTheme="minorEastAsia" w:cstheme="minorEastAsia"/>
          <w:color w:val="auto"/>
          <w:sz w:val="24"/>
          <w:szCs w:val="24"/>
          <w:highlight w:val="none"/>
        </w:rPr>
        <w:t>不论投标结果如何，投标人应承担</w:t>
      </w:r>
      <w:r>
        <w:rPr>
          <w:rFonts w:hint="eastAsia" w:asciiTheme="minorEastAsia" w:hAnsiTheme="minorEastAsia" w:eastAsiaTheme="minorEastAsia" w:cstheme="minorEastAsia"/>
          <w:bCs/>
          <w:color w:val="auto"/>
          <w:sz w:val="24"/>
          <w:szCs w:val="24"/>
          <w:highlight w:val="none"/>
        </w:rPr>
        <w:t>自身</w:t>
      </w:r>
      <w:r>
        <w:rPr>
          <w:rFonts w:hint="eastAsia" w:asciiTheme="minorEastAsia" w:hAnsiTheme="minorEastAsia" w:eastAsiaTheme="minorEastAsia" w:cstheme="minorEastAsia"/>
          <w:color w:val="auto"/>
          <w:sz w:val="24"/>
          <w:szCs w:val="24"/>
          <w:highlight w:val="none"/>
        </w:rPr>
        <w:t>因投标文件编制、递交及其他</w:t>
      </w:r>
      <w:r>
        <w:rPr>
          <w:rFonts w:hint="eastAsia" w:asciiTheme="minorEastAsia" w:hAnsiTheme="minorEastAsia" w:eastAsiaTheme="minorEastAsia" w:cstheme="minorEastAsia"/>
          <w:bCs/>
          <w:color w:val="auto"/>
          <w:sz w:val="24"/>
          <w:szCs w:val="24"/>
          <w:highlight w:val="none"/>
        </w:rPr>
        <w:t>参加本招标活动</w:t>
      </w:r>
      <w:r>
        <w:rPr>
          <w:rFonts w:hint="eastAsia" w:asciiTheme="minorEastAsia" w:hAnsiTheme="minorEastAsia" w:eastAsiaTheme="minorEastAsia" w:cstheme="minorEastAsia"/>
          <w:color w:val="auto"/>
          <w:sz w:val="24"/>
          <w:szCs w:val="24"/>
          <w:highlight w:val="none"/>
        </w:rPr>
        <w:t>所涉及的一切费用，招标人对上述费用不负任何责任。</w:t>
      </w:r>
    </w:p>
    <w:p>
      <w:pPr>
        <w:pStyle w:val="7"/>
        <w:spacing w:before="156" w:after="156"/>
        <w:rPr>
          <w:rFonts w:hint="eastAsia" w:asciiTheme="minorEastAsia" w:hAnsiTheme="minorEastAsia" w:eastAsiaTheme="minorEastAsia" w:cstheme="minorEastAsia"/>
          <w:color w:val="auto"/>
          <w:sz w:val="24"/>
          <w:szCs w:val="24"/>
          <w:highlight w:val="none"/>
        </w:rPr>
      </w:pPr>
      <w:bookmarkStart w:id="52" w:name="_Toc31716"/>
      <w:bookmarkStart w:id="53" w:name="_Toc262195179"/>
      <w:bookmarkStart w:id="54" w:name="_Toc4601"/>
      <w:bookmarkStart w:id="55" w:name="_Toc5346"/>
      <w:bookmarkStart w:id="56" w:name="_Toc26729"/>
      <w:bookmarkStart w:id="57" w:name="_Toc12310"/>
      <w:bookmarkStart w:id="58" w:name="_Toc3883"/>
      <w:bookmarkStart w:id="59" w:name="_Toc28407"/>
      <w:bookmarkStart w:id="60" w:name="_Toc29968"/>
      <w:r>
        <w:rPr>
          <w:rFonts w:hint="eastAsia" w:asciiTheme="minorEastAsia" w:hAnsiTheme="minorEastAsia" w:eastAsiaTheme="minorEastAsia" w:cstheme="minorEastAsia"/>
          <w:color w:val="auto"/>
          <w:sz w:val="24"/>
          <w:szCs w:val="24"/>
          <w:highlight w:val="none"/>
        </w:rPr>
        <w:t>（二）招标文件</w:t>
      </w:r>
      <w:bookmarkEnd w:id="52"/>
      <w:bookmarkEnd w:id="53"/>
      <w:bookmarkEnd w:id="54"/>
      <w:bookmarkEnd w:id="55"/>
      <w:bookmarkEnd w:id="56"/>
      <w:bookmarkEnd w:id="57"/>
      <w:bookmarkEnd w:id="58"/>
      <w:bookmarkEnd w:id="59"/>
      <w:bookmarkEnd w:id="60"/>
    </w:p>
    <w:p>
      <w:pPr>
        <w:tabs>
          <w:tab w:val="left" w:pos="105"/>
        </w:tabs>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7.招标文件的组成</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7.1</w:t>
      </w:r>
      <w:r>
        <w:rPr>
          <w:rFonts w:hint="eastAsia" w:asciiTheme="minorEastAsia" w:hAnsiTheme="minorEastAsia" w:eastAsiaTheme="minorEastAsia" w:cstheme="minorEastAsia"/>
          <w:color w:val="auto"/>
          <w:sz w:val="24"/>
          <w:szCs w:val="24"/>
          <w:highlight w:val="none"/>
        </w:rPr>
        <w:t>本招标文件包括下列文件，以及所有按本须知第8条发出的招标答疑会会议纪要和按本须知第9条发出的澄清或修改：</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第一章  投标须知</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第二章  开标、评标及定标办法</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第三章  合同条款</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第四章  投标文件格式</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第五章  技术条件（工程建设标准）（另册）</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第六章  图纸及勘察资料（另册）</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第七章  招标工程量清单（另册）</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第八章  最高投标限价</w:t>
      </w:r>
    </w:p>
    <w:p>
      <w:pPr>
        <w:pStyle w:val="37"/>
        <w:spacing w:after="0" w:line="360" w:lineRule="auto"/>
        <w:ind w:left="-2" w:firstLine="480" w:firstLineChars="200"/>
        <w:rPr>
          <w:rFonts w:hint="eastAsia" w:ascii="宋体" w:hAnsi="宋体" w:cs="宋体"/>
          <w:color w:val="auto"/>
          <w:sz w:val="24"/>
          <w:highlight w:val="none"/>
        </w:rPr>
      </w:pPr>
      <w:r>
        <w:rPr>
          <w:rFonts w:hint="eastAsia" w:asciiTheme="minorEastAsia" w:hAnsiTheme="minorEastAsia" w:eastAsiaTheme="minorEastAsia" w:cstheme="minorEastAsia"/>
          <w:color w:val="auto"/>
          <w:sz w:val="24"/>
          <w:szCs w:val="24"/>
          <w:highlight w:val="none"/>
        </w:rPr>
        <w:t>注：①招标人应在技术条件（工程建设标准）中提出本项目对关键技术、工艺、重点、难点，以及拟在本项目采用的智能建造和新型建筑工业化相关技术的具体要求，明确本项目采购绿色建材和对原材料、生产制造工艺的环保、节能、低碳的要求，明确施工现场建筑垃圾源头减量的具体要求以及建筑垃圾综合利用产品的使用要求。②鼓励招标人对施工组织设计或施工方案实行隐藏投标人信息的暗标评审</w:t>
      </w:r>
      <w:r>
        <w:rPr>
          <w:rFonts w:hint="eastAsia" w:ascii="宋体" w:hAnsi="宋体" w:cs="宋体"/>
          <w:b/>
          <w:bCs/>
          <w:color w:val="auto"/>
          <w:sz w:val="24"/>
          <w:highlight w:val="none"/>
        </w:rPr>
        <w:t>。</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7.2 投标人获取招标文件后，应仔细检查招标文件的所有内容，认真审阅招标文件中所有的事项、格式、条款和规范要求等，若投标人的投标文件没有按招标文件要求提交全部资料，或投标文件实质上没有响应招标文件的要求，招标人将按评标办法的规定予以拒绝，并且不允许投标人通过修改或撤消其不符合要求的差异或保留使之成为具有响应性的投标文件。</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7.3 投标人一旦中标，招标文件的内容对招标人和中标人双方均有约束力。</w:t>
      </w:r>
    </w:p>
    <w:p>
      <w:pPr>
        <w:pStyle w:val="37"/>
        <w:spacing w:after="0"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8．招标答疑</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 xml:space="preserve">8.1 </w:t>
      </w:r>
      <w:r>
        <w:rPr>
          <w:rFonts w:hint="eastAsia" w:ascii="宋体" w:hAnsi="宋体" w:cs="宋体"/>
          <w:bCs/>
          <w:color w:val="auto"/>
          <w:sz w:val="24"/>
          <w:szCs w:val="24"/>
          <w:highlight w:val="none"/>
        </w:rPr>
        <w:t>投标人若对招标文件（包括招标图纸）中有疑问，可以书面形式通过</w:t>
      </w:r>
      <w:r>
        <w:rPr>
          <w:rFonts w:hint="eastAsia" w:ascii="宋体" w:hAnsi="宋体" w:cs="宋体"/>
          <w:bCs/>
          <w:color w:val="auto"/>
          <w:sz w:val="24"/>
          <w:szCs w:val="24"/>
          <w:highlight w:val="none"/>
          <w:u w:val="single"/>
        </w:rPr>
        <w:t>广州公共资源交易中心</w:t>
      </w:r>
      <w:r>
        <w:rPr>
          <w:rFonts w:hint="eastAsia" w:ascii="宋体" w:hAnsi="宋体" w:cs="宋体"/>
          <w:bCs/>
          <w:color w:val="auto"/>
          <w:sz w:val="24"/>
          <w:szCs w:val="24"/>
          <w:highlight w:val="none"/>
        </w:rPr>
        <w:t>交易平台提交给招标人或招标代理人，提交形式见本须知前附表第16项。</w:t>
      </w:r>
    </w:p>
    <w:p>
      <w:pPr>
        <w:pStyle w:val="37"/>
        <w:spacing w:after="0"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8.2</w:t>
      </w:r>
      <w:r>
        <w:rPr>
          <w:rFonts w:hint="eastAsia" w:asciiTheme="minorEastAsia" w:hAnsiTheme="minorEastAsia" w:eastAsiaTheme="minorEastAsia" w:cstheme="minorEastAsia"/>
          <w:bCs/>
          <w:color w:val="auto"/>
          <w:sz w:val="24"/>
          <w:szCs w:val="24"/>
          <w:highlight w:val="none"/>
          <w:u w:val="single"/>
        </w:rPr>
        <w:t>招标答疑纪要</w:t>
      </w:r>
      <w:r>
        <w:rPr>
          <w:rFonts w:hint="eastAsia" w:asciiTheme="minorEastAsia" w:hAnsiTheme="minorEastAsia" w:eastAsiaTheme="minorEastAsia" w:cstheme="minorEastAsia"/>
          <w:bCs/>
          <w:color w:val="auto"/>
          <w:sz w:val="24"/>
          <w:szCs w:val="24"/>
          <w:highlight w:val="none"/>
        </w:rPr>
        <w:t>将在提交投标文件截止时间15日前在</w:t>
      </w:r>
      <w:r>
        <w:rPr>
          <w:rFonts w:hint="eastAsia" w:asciiTheme="minorEastAsia" w:hAnsiTheme="minorEastAsia" w:eastAsiaTheme="minorEastAsia" w:cstheme="minorEastAsia"/>
          <w:bCs/>
          <w:color w:val="auto"/>
          <w:sz w:val="24"/>
          <w:szCs w:val="24"/>
          <w:highlight w:val="none"/>
          <w:u w:val="single"/>
        </w:rPr>
        <w:t>广州公共资源交易中心</w:t>
      </w:r>
      <w:r>
        <w:rPr>
          <w:rFonts w:hint="eastAsia" w:asciiTheme="minorEastAsia" w:hAnsiTheme="minorEastAsia" w:eastAsiaTheme="minorEastAsia" w:cstheme="minorEastAsia"/>
          <w:bCs/>
          <w:color w:val="auto"/>
          <w:sz w:val="24"/>
          <w:szCs w:val="24"/>
          <w:highlight w:val="none"/>
        </w:rPr>
        <w:t>交易平台 “项目答疑纪要”专区公开发布。答疑纪要一经在</w:t>
      </w:r>
      <w:r>
        <w:rPr>
          <w:rFonts w:hint="eastAsia" w:asciiTheme="minorEastAsia" w:hAnsiTheme="minorEastAsia" w:eastAsiaTheme="minorEastAsia" w:cstheme="minorEastAsia"/>
          <w:bCs/>
          <w:color w:val="auto"/>
          <w:sz w:val="24"/>
          <w:szCs w:val="24"/>
          <w:highlight w:val="none"/>
          <w:u w:val="single"/>
        </w:rPr>
        <w:t>广州公共资源交易中心</w:t>
      </w:r>
      <w:r>
        <w:rPr>
          <w:rFonts w:hint="eastAsia" w:asciiTheme="minorEastAsia" w:hAnsiTheme="minorEastAsia" w:eastAsiaTheme="minorEastAsia" w:cstheme="minorEastAsia"/>
          <w:bCs/>
          <w:color w:val="auto"/>
          <w:sz w:val="24"/>
          <w:szCs w:val="24"/>
          <w:highlight w:val="none"/>
        </w:rPr>
        <w:t>交易平台发布，视作已发放给所有投标人。</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8.3</w:t>
      </w:r>
      <w:r>
        <w:rPr>
          <w:rFonts w:hint="eastAsia" w:asciiTheme="minorEastAsia" w:hAnsiTheme="minorEastAsia" w:eastAsiaTheme="minorEastAsia" w:cstheme="minorEastAsia"/>
          <w:bCs/>
          <w:color w:val="auto"/>
          <w:sz w:val="24"/>
          <w:szCs w:val="24"/>
          <w:highlight w:val="none"/>
          <w:u w:val="single"/>
        </w:rPr>
        <w:t>招标答疑纪要</w:t>
      </w:r>
      <w:r>
        <w:rPr>
          <w:rFonts w:hint="eastAsia" w:asciiTheme="minorEastAsia" w:hAnsiTheme="minorEastAsia" w:eastAsiaTheme="minorEastAsia" w:cstheme="minorEastAsia"/>
          <w:color w:val="auto"/>
          <w:sz w:val="24"/>
          <w:szCs w:val="24"/>
          <w:highlight w:val="none"/>
        </w:rPr>
        <w:t>为招标文件的一部分。</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8.4</w:t>
      </w:r>
      <w:r>
        <w:rPr>
          <w:rFonts w:hint="eastAsia" w:asciiTheme="minorEastAsia" w:hAnsiTheme="minorEastAsia" w:eastAsiaTheme="minorEastAsia" w:cstheme="minorEastAsia"/>
          <w:color w:val="auto"/>
          <w:sz w:val="24"/>
          <w:szCs w:val="24"/>
          <w:highlight w:val="none"/>
          <w:u w:val="single"/>
        </w:rPr>
        <w:t>若招标答疑纪要</w:t>
      </w:r>
      <w:r>
        <w:rPr>
          <w:rFonts w:hint="eastAsia" w:asciiTheme="minorEastAsia" w:hAnsiTheme="minorEastAsia" w:eastAsiaTheme="minorEastAsia" w:cstheme="minorEastAsia"/>
          <w:color w:val="auto"/>
          <w:sz w:val="24"/>
          <w:szCs w:val="24"/>
          <w:highlight w:val="none"/>
        </w:rPr>
        <w:t>与招标文件有矛盾，以</w:t>
      </w:r>
      <w:r>
        <w:rPr>
          <w:rFonts w:hint="eastAsia" w:asciiTheme="minorEastAsia" w:hAnsiTheme="minorEastAsia" w:eastAsiaTheme="minorEastAsia" w:cstheme="minorEastAsia"/>
          <w:color w:val="auto"/>
          <w:sz w:val="24"/>
          <w:szCs w:val="24"/>
          <w:highlight w:val="none"/>
          <w:u w:val="single"/>
        </w:rPr>
        <w:t>广州公共资源交易中心交易平台最后发布的答疑纪要为准</w:t>
      </w:r>
      <w:r>
        <w:rPr>
          <w:rFonts w:hint="eastAsia" w:asciiTheme="minorEastAsia" w:hAnsiTheme="minorEastAsia" w:eastAsiaTheme="minorEastAsia" w:cstheme="minorEastAsia"/>
          <w:color w:val="auto"/>
          <w:sz w:val="24"/>
          <w:szCs w:val="24"/>
          <w:highlight w:val="none"/>
        </w:rPr>
        <w:t>。</w:t>
      </w:r>
    </w:p>
    <w:p>
      <w:pPr>
        <w:pStyle w:val="37"/>
        <w:spacing w:after="0"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9.招标文件的澄清与修改</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9.1招标文件发出后,在提交投标文件截止时间15日前，招标人可对招标文件进行必要的澄清或修改。</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9.2招标文件的澄清或修改将在</w:t>
      </w:r>
      <w:r>
        <w:rPr>
          <w:rFonts w:hint="eastAsia" w:asciiTheme="minorEastAsia" w:hAnsiTheme="minorEastAsia" w:eastAsiaTheme="minorEastAsia" w:cstheme="minorEastAsia"/>
          <w:color w:val="auto"/>
          <w:sz w:val="24"/>
          <w:szCs w:val="24"/>
          <w:highlight w:val="none"/>
          <w:u w:val="single"/>
        </w:rPr>
        <w:t>广州公共资源交易中心</w:t>
      </w:r>
      <w:r>
        <w:rPr>
          <w:rFonts w:hint="eastAsia" w:asciiTheme="minorEastAsia" w:hAnsiTheme="minorEastAsia" w:eastAsiaTheme="minorEastAsia" w:cstheme="minorEastAsia"/>
          <w:color w:val="auto"/>
          <w:sz w:val="24"/>
          <w:szCs w:val="24"/>
          <w:highlight w:val="none"/>
        </w:rPr>
        <w:t>交易平台“项目答疑纪要”专区公开发布。答疑纪要一经在</w:t>
      </w:r>
      <w:r>
        <w:rPr>
          <w:rFonts w:hint="eastAsia" w:asciiTheme="minorEastAsia" w:hAnsiTheme="minorEastAsia" w:eastAsiaTheme="minorEastAsia" w:cstheme="minorEastAsia"/>
          <w:color w:val="auto"/>
          <w:sz w:val="24"/>
          <w:szCs w:val="24"/>
          <w:highlight w:val="none"/>
          <w:u w:val="single"/>
        </w:rPr>
        <w:t>广州公共资源交易中心</w:t>
      </w:r>
      <w:r>
        <w:rPr>
          <w:rFonts w:hint="eastAsia" w:asciiTheme="minorEastAsia" w:hAnsiTheme="minorEastAsia" w:eastAsiaTheme="minorEastAsia" w:cstheme="minorEastAsia"/>
          <w:color w:val="auto"/>
          <w:sz w:val="24"/>
          <w:szCs w:val="24"/>
          <w:highlight w:val="none"/>
        </w:rPr>
        <w:t>交易平台发布，视作已发放给所有投标人，以</w:t>
      </w:r>
      <w:r>
        <w:rPr>
          <w:rFonts w:hint="eastAsia" w:asciiTheme="minorEastAsia" w:hAnsiTheme="minorEastAsia" w:eastAsiaTheme="minorEastAsia" w:cstheme="minorEastAsia"/>
          <w:color w:val="auto"/>
          <w:sz w:val="24"/>
          <w:szCs w:val="24"/>
          <w:highlight w:val="none"/>
          <w:u w:val="single"/>
        </w:rPr>
        <w:t>广州公共资源交易中心</w:t>
      </w:r>
      <w:r>
        <w:rPr>
          <w:rFonts w:hint="eastAsia" w:asciiTheme="minorEastAsia" w:hAnsiTheme="minorEastAsia" w:eastAsiaTheme="minorEastAsia" w:cstheme="minorEastAsia"/>
          <w:color w:val="auto"/>
          <w:sz w:val="24"/>
          <w:szCs w:val="24"/>
          <w:highlight w:val="none"/>
        </w:rPr>
        <w:t>交易平台上网发布时间作为送达时间。</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9.3招标文件的修改内容为招标文件的组成部分。</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9.4招标文件的澄清或修改</w:t>
      </w:r>
      <w:r>
        <w:rPr>
          <w:rFonts w:hint="eastAsia" w:asciiTheme="minorEastAsia" w:hAnsiTheme="minorEastAsia" w:eastAsiaTheme="minorEastAsia" w:cstheme="minorEastAsia"/>
          <w:color w:val="auto"/>
          <w:sz w:val="24"/>
          <w:szCs w:val="24"/>
          <w:highlight w:val="none"/>
          <w:u w:val="single"/>
        </w:rPr>
        <w:t>在广州公共资源交易中心交易平台“建设工程→项目查询（日程安排、答疑纪要）”专区公开发布</w:t>
      </w:r>
      <w:r>
        <w:rPr>
          <w:rFonts w:hint="eastAsia" w:asciiTheme="minorEastAsia" w:hAnsiTheme="minorEastAsia" w:eastAsiaTheme="minorEastAsia" w:cstheme="minorEastAsia"/>
          <w:color w:val="auto"/>
          <w:sz w:val="24"/>
          <w:szCs w:val="24"/>
          <w:highlight w:val="none"/>
        </w:rPr>
        <w:t>。当招标文件的澄清、修改、补充等在同一内容的表述不一致时，</w:t>
      </w:r>
      <w:r>
        <w:rPr>
          <w:rFonts w:hint="eastAsia" w:asciiTheme="minorEastAsia" w:hAnsiTheme="minorEastAsia" w:eastAsiaTheme="minorEastAsia" w:cstheme="minorEastAsia"/>
          <w:color w:val="auto"/>
          <w:sz w:val="24"/>
          <w:szCs w:val="24"/>
          <w:highlight w:val="none"/>
          <w:u w:val="single"/>
        </w:rPr>
        <w:t>以最后发出的文件为准</w:t>
      </w:r>
      <w:r>
        <w:rPr>
          <w:rFonts w:hint="eastAsia" w:asciiTheme="minorEastAsia" w:hAnsiTheme="minorEastAsia" w:eastAsiaTheme="minorEastAsia" w:cstheme="minorEastAsia"/>
          <w:color w:val="auto"/>
          <w:sz w:val="24"/>
          <w:szCs w:val="24"/>
          <w:highlight w:val="none"/>
        </w:rPr>
        <w:t>。</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9.5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pPr>
        <w:pStyle w:val="7"/>
        <w:spacing w:before="156" w:after="156"/>
        <w:rPr>
          <w:rFonts w:hint="eastAsia" w:asciiTheme="minorEastAsia" w:hAnsiTheme="minorEastAsia" w:eastAsiaTheme="minorEastAsia" w:cstheme="minorEastAsia"/>
          <w:color w:val="auto"/>
          <w:sz w:val="24"/>
          <w:szCs w:val="24"/>
          <w:highlight w:val="none"/>
        </w:rPr>
      </w:pPr>
      <w:bookmarkStart w:id="61" w:name="_Toc14286"/>
      <w:bookmarkStart w:id="62" w:name="_Toc11111"/>
      <w:bookmarkStart w:id="63" w:name="_Toc1363"/>
      <w:bookmarkStart w:id="64" w:name="_Toc25618"/>
      <w:bookmarkStart w:id="65" w:name="_Toc21733"/>
      <w:bookmarkStart w:id="66" w:name="_Toc11987"/>
      <w:bookmarkStart w:id="67" w:name="_Toc24602"/>
      <w:bookmarkStart w:id="68" w:name="_Toc21693"/>
      <w:bookmarkStart w:id="69" w:name="_Toc77929809"/>
      <w:r>
        <w:rPr>
          <w:rFonts w:hint="eastAsia" w:asciiTheme="minorEastAsia" w:hAnsiTheme="minorEastAsia" w:eastAsiaTheme="minorEastAsia" w:cstheme="minorEastAsia"/>
          <w:color w:val="auto"/>
          <w:sz w:val="24"/>
          <w:szCs w:val="24"/>
          <w:highlight w:val="none"/>
        </w:rPr>
        <w:t>（三）投标文件的编制</w:t>
      </w:r>
      <w:bookmarkEnd w:id="61"/>
      <w:bookmarkEnd w:id="62"/>
      <w:bookmarkEnd w:id="63"/>
      <w:bookmarkEnd w:id="64"/>
      <w:bookmarkEnd w:id="65"/>
      <w:bookmarkEnd w:id="66"/>
      <w:bookmarkEnd w:id="67"/>
      <w:bookmarkEnd w:id="68"/>
      <w:bookmarkEnd w:id="69"/>
    </w:p>
    <w:p>
      <w:pPr>
        <w:pStyle w:val="37"/>
        <w:spacing w:after="0"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10．投标文件的语言及度量衡单位</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10.1 投标文件和与投标有关的所有文件均应使用中文。</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10.2 除工程规范另有规定外，投标文件使用的度量衡单位，均采用中华人民共和国法定计量单位。</w:t>
      </w:r>
    </w:p>
    <w:p>
      <w:pPr>
        <w:pStyle w:val="37"/>
        <w:spacing w:after="0"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11．投标文件的组成</w:t>
      </w:r>
    </w:p>
    <w:p>
      <w:pPr>
        <w:pStyle w:val="37"/>
        <w:spacing w:after="0" w:line="360" w:lineRule="auto"/>
        <w:ind w:firstLine="480" w:firstLineChars="200"/>
        <w:rPr>
          <w:rFonts w:hint="eastAsia" w:asciiTheme="minorEastAsia" w:hAnsiTheme="minorEastAsia" w:eastAsiaTheme="minorEastAsia" w:cstheme="minorEastAsia"/>
          <w:b/>
          <w:color w:val="auto"/>
          <w:sz w:val="24"/>
          <w:szCs w:val="24"/>
          <w:highlight w:val="none"/>
          <w:u w:val="none"/>
        </w:rPr>
      </w:pPr>
      <w:r>
        <w:rPr>
          <w:rFonts w:hint="eastAsia" w:asciiTheme="minorEastAsia" w:hAnsiTheme="minorEastAsia" w:eastAsiaTheme="minorEastAsia" w:cstheme="minorEastAsia"/>
          <w:color w:val="auto"/>
          <w:sz w:val="24"/>
          <w:szCs w:val="24"/>
          <w:highlight w:val="none"/>
          <w:u w:val="none"/>
        </w:rPr>
        <w:t>11.1 投标文件由技术部分（含资格审查文件）和经济部分二部分投标文件组成</w:t>
      </w:r>
      <w:r>
        <w:rPr>
          <w:rFonts w:hint="eastAsia" w:asciiTheme="minorEastAsia" w:hAnsiTheme="minorEastAsia" w:eastAsiaTheme="minorEastAsia" w:cstheme="minorEastAsia"/>
          <w:b/>
          <w:color w:val="auto"/>
          <w:sz w:val="24"/>
          <w:szCs w:val="24"/>
          <w:highlight w:val="none"/>
          <w:u w:val="none"/>
        </w:rPr>
        <w:t>。</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none"/>
        </w:rPr>
      </w:pPr>
      <w:r>
        <w:rPr>
          <w:rFonts w:hint="eastAsia" w:asciiTheme="minorEastAsia" w:hAnsiTheme="minorEastAsia" w:eastAsiaTheme="minorEastAsia" w:cstheme="minorEastAsia"/>
          <w:bCs/>
          <w:color w:val="auto"/>
          <w:sz w:val="24"/>
          <w:szCs w:val="24"/>
          <w:highlight w:val="none"/>
          <w:u w:val="none"/>
        </w:rPr>
        <w:t>11.2投标文件技术标部分</w:t>
      </w:r>
      <w:r>
        <w:rPr>
          <w:rFonts w:hint="eastAsia" w:asciiTheme="minorEastAsia" w:hAnsiTheme="minorEastAsia" w:eastAsiaTheme="minorEastAsia" w:cstheme="minorEastAsia"/>
          <w:bCs/>
          <w:color w:val="auto"/>
          <w:sz w:val="24"/>
          <w:szCs w:val="24"/>
          <w:highlight w:val="none"/>
          <w:u w:val="single"/>
        </w:rPr>
        <w:t>（含资格审查文件）</w:t>
      </w:r>
      <w:r>
        <w:rPr>
          <w:rFonts w:hint="eastAsia" w:asciiTheme="minorEastAsia" w:hAnsiTheme="minorEastAsia" w:eastAsiaTheme="minorEastAsia" w:cstheme="minorEastAsia"/>
          <w:bCs/>
          <w:color w:val="auto"/>
          <w:sz w:val="24"/>
          <w:szCs w:val="24"/>
          <w:highlight w:val="none"/>
          <w:u w:val="none"/>
        </w:rPr>
        <w:t>主要包括下列内容:</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11.2.1 广州建设工程施工招标投标书(格式见第四章投标文件格式)；</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11.2.2 资格审查文件：</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lang w:eastAsia="zh-CN"/>
        </w:rPr>
        <w:t>（</w:t>
      </w:r>
      <w:r>
        <w:rPr>
          <w:rFonts w:hint="eastAsia" w:asciiTheme="minorEastAsia" w:hAnsiTheme="minorEastAsia" w:eastAsiaTheme="minorEastAsia" w:cstheme="minorEastAsia"/>
          <w:bCs/>
          <w:color w:val="auto"/>
          <w:sz w:val="24"/>
          <w:szCs w:val="24"/>
          <w:highlight w:val="none"/>
          <w:u w:val="single"/>
        </w:rPr>
        <w:t xml:space="preserve">1）投标人声明； </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（2）法定代表人证明书、法定代表人签字或盖章的本投标文件授权委托证明书；</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（3）企业营业执照扫描件或电子证照；</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（4）企业资质证书扫描件或电子证照；</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（5）建筑施工企业安全生产许可证扫描件或电子证照；</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（6）项目负责人（按网上投标登记时选择拟投入本项目的项目负责人）</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（7）专职安全员（按网上投标登记时选择拟投入本项目的专职安全员）</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（8）拟委托技术负责人的相关证书、资料（具体要求由招标人明确）</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 xml:space="preserve">（9）拟委派项目负责人的有效期内的建造师注册证书扫描件或电子证书；  </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（10）项目负责人在有效期内的安全生产考核合格证书（B类）或建筑施工企业项目负责人安全生产考核合格证书扫描件或电子证书；</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（11）专职安全员须具有在有效期内的安全生产考核合格证书（C类）或建筑施工企业专职安全生产管理人员安全生产考核合格证书扫描件或电子证书；</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（12）用于资格审查的业绩（设置业绩要求时选择此项，投标人须提供类似工程业绩的项目名称及项目编号，具体格式由招标人自定）；</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 xml:space="preserve">（13）列明主办单位的联合体工作协议（采用联合体投标时需递交，投标人拟任本工程项目负责人应为联合体主办方信用档案中的在册人员，联合体工作协议应明确约定各方拟承担的工作和责任）； </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（14）列明主办单位的联合体工作协议（采用联合体投标时需递交，投标人拟任本工程项目负责人应为联合体主办方信用档案中的在册人员，联合体工作协议应明确约定各方拟承担的工作和责任）；</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注：1.相关电子证书按规定需打印后手写本人签名的，应按照规定手写本人签名后再扫描提交。</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2.投标人在投标登记时选择了拟投入本项目的项目负责人、专职安全员，即已满足“资格审查前，投标人须在广州市住房和城乡建设局建立企业信用档案，拟担任本工程项目负责人、专职安全员须是本企业信用档案中的在册人员”的要求，投标人无需提供证明材料。</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11.2.3 《投标函》（格式见第四章投标文件格式）；</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11.2.</w:t>
      </w:r>
      <w:r>
        <w:rPr>
          <w:rFonts w:hint="eastAsia" w:asciiTheme="minorEastAsia" w:hAnsiTheme="minorEastAsia" w:eastAsiaTheme="minorEastAsia" w:cstheme="minorEastAsia"/>
          <w:bCs/>
          <w:color w:val="auto"/>
          <w:sz w:val="24"/>
          <w:szCs w:val="24"/>
          <w:highlight w:val="none"/>
          <w:u w:val="single"/>
          <w:lang w:val="en-US" w:eastAsia="zh-CN"/>
        </w:rPr>
        <w:t>4</w:t>
      </w:r>
      <w:r>
        <w:rPr>
          <w:rFonts w:hint="eastAsia" w:asciiTheme="minorEastAsia" w:hAnsiTheme="minorEastAsia" w:eastAsiaTheme="minorEastAsia" w:cstheme="minorEastAsia"/>
          <w:bCs/>
          <w:color w:val="auto"/>
          <w:sz w:val="24"/>
          <w:szCs w:val="24"/>
          <w:highlight w:val="none"/>
          <w:u w:val="single"/>
        </w:rPr>
        <w:t xml:space="preserve"> 《投入主要人员汇总表》（格式见第四章投标文件格式）、《主要人员简历表》（格式自拟）；</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11.2.5 《承诺书》（格式见第四章投标文件格式）；</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11.2.6 《工期响应承诺书》（格式见第四章投标文件格式）；</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11.2.7 《合同响应承诺书》（格式见第四章投标文件格式）；</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11.2.8 《参与编制技术标投标文件人员名单》、《参与编制经济标投标文件人员名单》（格式见第四章投标文件格式）；</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11.2.9对投标文件编制的承诺（格式见第四章投标文件格式）；</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11.2.10类似业绩一览表（格式见第四章投标文件格式）；</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11.2.11 投标人在广州市可使用适合本工程的机械设备（附：机械设备为自有或租赁的说明；及承诺机械设备如属于租赁的，其租赁是不属于重复租赁）；</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11.2.1</w:t>
      </w:r>
      <w:r>
        <w:rPr>
          <w:rFonts w:hint="eastAsia" w:asciiTheme="minorEastAsia" w:hAnsiTheme="minorEastAsia" w:eastAsiaTheme="minorEastAsia" w:cstheme="minorEastAsia"/>
          <w:bCs/>
          <w:color w:val="auto"/>
          <w:sz w:val="24"/>
          <w:szCs w:val="24"/>
          <w:highlight w:val="none"/>
          <w:u w:val="single"/>
          <w:lang w:val="en-US" w:eastAsia="zh-CN"/>
        </w:rPr>
        <w:t>2</w:t>
      </w:r>
      <w:r>
        <w:rPr>
          <w:rFonts w:hint="eastAsia" w:asciiTheme="minorEastAsia" w:hAnsiTheme="minorEastAsia" w:eastAsiaTheme="minorEastAsia" w:cstheme="minorEastAsia"/>
          <w:bCs/>
          <w:color w:val="auto"/>
          <w:sz w:val="24"/>
          <w:szCs w:val="24"/>
          <w:highlight w:val="none"/>
          <w:u w:val="single"/>
        </w:rPr>
        <w:t>施工组织设计：分别编制提交施工组织方案（包括施工组织架构、施工部署、施工方案、重难点分析及应对措施、质量安全保证措施、文明施工保证措施、施工资源配置计划、进度计划、应急预案等内容；）和其他部分协调方案（含对项目的理解分析及项目整体规划、重难点分析及应对措施、施工手续办理进度保证措施，管线迁改、交通疏导、</w:t>
      </w:r>
      <w:r>
        <w:rPr>
          <w:rFonts w:hint="eastAsia" w:asciiTheme="minorEastAsia" w:hAnsiTheme="minorEastAsia" w:eastAsiaTheme="minorEastAsia" w:cstheme="minorEastAsia"/>
          <w:bCs/>
          <w:color w:val="auto"/>
          <w:sz w:val="24"/>
          <w:szCs w:val="24"/>
          <w:highlight w:val="none"/>
          <w:u w:val="single"/>
          <w:lang w:val="en-US" w:eastAsia="zh-CN"/>
        </w:rPr>
        <w:t>路灯</w:t>
      </w:r>
      <w:r>
        <w:rPr>
          <w:rFonts w:hint="eastAsia" w:asciiTheme="minorEastAsia" w:hAnsiTheme="minorEastAsia" w:eastAsiaTheme="minorEastAsia" w:cstheme="minorEastAsia"/>
          <w:bCs/>
          <w:color w:val="auto"/>
          <w:sz w:val="24"/>
          <w:szCs w:val="24"/>
          <w:highlight w:val="none"/>
          <w:u w:val="single"/>
        </w:rPr>
        <w:t>及树木迁移保护工作方案等内容等）；</w:t>
      </w:r>
    </w:p>
    <w:p>
      <w:pPr>
        <w:spacing w:line="360" w:lineRule="auto"/>
        <w:ind w:firstLine="480" w:firstLineChars="200"/>
        <w:rPr>
          <w:rFonts w:hint="default" w:asciiTheme="minorEastAsia" w:hAnsiTheme="minorEastAsia" w:eastAsiaTheme="minorEastAsia" w:cstheme="minorEastAsia"/>
          <w:bCs/>
          <w:color w:val="auto"/>
          <w:sz w:val="24"/>
          <w:szCs w:val="24"/>
          <w:highlight w:val="none"/>
          <w:u w:val="single"/>
          <w:lang w:val="en-US"/>
        </w:rPr>
      </w:pPr>
      <w:r>
        <w:rPr>
          <w:rFonts w:hint="eastAsia" w:asciiTheme="minorEastAsia" w:hAnsiTheme="minorEastAsia" w:eastAsiaTheme="minorEastAsia" w:cstheme="minorEastAsia"/>
          <w:bCs/>
          <w:color w:val="auto"/>
          <w:sz w:val="24"/>
          <w:szCs w:val="24"/>
          <w:highlight w:val="none"/>
          <w:u w:val="single"/>
          <w:lang w:val="en-US" w:eastAsia="zh-CN"/>
        </w:rPr>
        <w:t>11.2.13 危险性较大的分部分项工程安全管理措施（格式见第四章投标文件格式）</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11.3 经济部分投标文件主要包括下列内容：</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11.3.1 经济投标文件(按招标文件的要求填写)。</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11.3.2 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结合企业成本、市场价格以及招标文件中载明的风险内容和范围等编制。其中包括如下： </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（1）投标总价封面、扉页</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（2）总说明；</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（3）工程量清单报价表及综合单价分析表的相关内容及格式要求（相关表格的内容及格式要求以招标人发出的最新版电子招标文件中的相应内容及格式为准）；</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u w:val="single"/>
        </w:rPr>
        <w:t>（4）对投标文件编制的承诺（格式见第四章投标文件格式）</w:t>
      </w:r>
      <w:r>
        <w:rPr>
          <w:rFonts w:hint="eastAsia" w:asciiTheme="minorEastAsia" w:hAnsiTheme="minorEastAsia" w:eastAsiaTheme="minorEastAsia" w:cstheme="minorEastAsia"/>
          <w:bCs/>
          <w:color w:val="auto"/>
          <w:sz w:val="24"/>
          <w:szCs w:val="24"/>
          <w:highlight w:val="none"/>
          <w:u w:val="single"/>
          <w:lang w:eastAsia="zh-CN"/>
        </w:rPr>
        <w:t>；</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u w:val="single"/>
        </w:rPr>
        <w:t>（5）其它辅助说明资料。</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11.3.3按照招标文件要求填写的《参与编制经济标投标文件人员名单》。</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11.3.4若投标人的投标报价低于工程成本警戒价的，投标人还须提供详细的施工组织设计、单价、措施性费用、单价分析表、主要材料价格表、投标人成本分析供评标委员会评审。</w:t>
      </w:r>
    </w:p>
    <w:p>
      <w:pPr>
        <w:tabs>
          <w:tab w:val="left" w:pos="1125"/>
        </w:tabs>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12．投标文件格式</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12.1 投标文件包括本须知第11条中规定的内容，投标人提交的投标文件应当使用招标文件所提供的投标文件全部格式（表格可以按同样格式扩展）。</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12.2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u w:val="single"/>
        </w:rPr>
        <w:t>广州公共资源交易中心网站</w:t>
      </w:r>
      <w:r>
        <w:rPr>
          <w:rFonts w:hint="eastAsia" w:asciiTheme="minorEastAsia" w:hAnsiTheme="minorEastAsia" w:eastAsiaTheme="minorEastAsia" w:cstheme="minorEastAsia"/>
          <w:color w:val="auto"/>
          <w:sz w:val="24"/>
          <w:szCs w:val="24"/>
          <w:highlight w:val="none"/>
        </w:rPr>
        <w:t xml:space="preserve"> 。</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注释：投标文件电子文档需要投标人单位盖章的材料，投标人加盖电子印章即可，不得将投标人未对电子文档加盖实物印章作为否决投标的情形。</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12.3 </w:t>
      </w:r>
      <w:r>
        <w:rPr>
          <w:rFonts w:hint="eastAsia" w:asciiTheme="minorEastAsia" w:hAnsiTheme="minorEastAsia" w:eastAsiaTheme="minorEastAsia" w:cstheme="minorEastAsia"/>
          <w:bCs/>
          <w:color w:val="auto"/>
          <w:sz w:val="24"/>
          <w:szCs w:val="24"/>
          <w:highlight w:val="none"/>
        </w:rPr>
        <w:t>投标文件应按</w:t>
      </w:r>
      <w:r>
        <w:rPr>
          <w:rFonts w:hint="eastAsia" w:asciiTheme="minorEastAsia" w:hAnsiTheme="minorEastAsia" w:eastAsiaTheme="minorEastAsia" w:cstheme="minorEastAsia"/>
          <w:color w:val="auto"/>
          <w:sz w:val="24"/>
          <w:szCs w:val="24"/>
          <w:highlight w:val="none"/>
        </w:rPr>
        <w:t>照广州公共资源交易中心交易平台关于全流程电子化项目的相关指南进行编制，详见：</w:t>
      </w:r>
      <w:r>
        <w:rPr>
          <w:rFonts w:hint="eastAsia" w:asciiTheme="minorEastAsia" w:hAnsiTheme="minorEastAsia" w:eastAsiaTheme="minorEastAsia" w:cstheme="minorEastAsia"/>
          <w:color w:val="auto"/>
          <w:sz w:val="24"/>
          <w:szCs w:val="24"/>
          <w:highlight w:val="none"/>
          <w:u w:val="single"/>
        </w:rPr>
        <w:t>广州公共资源交易中心网站</w:t>
      </w:r>
      <w:r>
        <w:rPr>
          <w:rFonts w:hint="eastAsia" w:asciiTheme="minorEastAsia" w:hAnsiTheme="minorEastAsia" w:eastAsiaTheme="minorEastAsia" w:cstheme="minorEastAsia"/>
          <w:color w:val="auto"/>
          <w:sz w:val="24"/>
          <w:szCs w:val="24"/>
          <w:highlight w:val="none"/>
        </w:rPr>
        <w:t>。</w:t>
      </w:r>
    </w:p>
    <w:p>
      <w:pPr>
        <w:pStyle w:val="37"/>
        <w:spacing w:after="0" w:line="360" w:lineRule="auto"/>
        <w:ind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如不按上述要求编制引起系统无法检索、读取相关信息的，其后果由投标人承担。</w:t>
      </w:r>
    </w:p>
    <w:p>
      <w:pPr>
        <w:pStyle w:val="37"/>
        <w:spacing w:after="0"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13．投标报价及造价承包和变更结算方式</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13.1 本工程的投标报价采用投标须知前附表第12项所规定的方式。</w:t>
      </w:r>
      <w:r>
        <w:rPr>
          <w:rFonts w:hint="eastAsia" w:asciiTheme="minorEastAsia" w:hAnsiTheme="minorEastAsia" w:eastAsiaTheme="minorEastAsia" w:cstheme="minorEastAsia"/>
          <w:color w:val="auto"/>
          <w:sz w:val="24"/>
          <w:szCs w:val="24"/>
          <w:highlight w:val="none"/>
          <w:u w:val="single"/>
        </w:rPr>
        <w:t>投标文件中的大写金额和小写金额不一致的，以大写金额为准</w:t>
      </w:r>
      <w:r>
        <w:rPr>
          <w:rFonts w:hint="eastAsia" w:asciiTheme="minorEastAsia" w:hAnsiTheme="minorEastAsia" w:eastAsiaTheme="minorEastAsia" w:cstheme="minorEastAsia"/>
          <w:color w:val="auto"/>
          <w:sz w:val="24"/>
          <w:szCs w:val="24"/>
          <w:highlight w:val="none"/>
        </w:rPr>
        <w:t>。投标报价（含单价及总价）精确到“分”。</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13.2招标人按照招标图纸制定招标工程量清单，该清单载于本招标文件第七章中，投标人按照招标人提供的招标工程量清单中列出的工程项目和工程量填报单价和合价，每一项目只允许有一个报价，任何有选择的报价将不予接受。投标人未填报单价或合价的工程项目，视为此项费用已包含在已标价工程量清单中其他项目的单价和合价之中，在实施后，此项目不得重新组价予以调整，招标人将不予支付。</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13.3投标人的投标报价，应是按照投标须知前附表第8项的工期要求，在投标须知前附表第3项的建设地点，完成投标须知前附表第7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u w:val="single"/>
        </w:rPr>
        <w:t>13.4投标人一旦中标，投标人对招标人提供的招标工程量清单中列出的工程项目所报出的综合单价和措施项目费（措施项目费必须单列，没有单独列出的，视为已经包含在投标报价中），在工程结算时，按招标文件第三章合同条款相关约定调整。</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single"/>
        </w:rPr>
        <w:t>13.5工程项目实施期间和结算时，根据招标图纸及工程量清单计价规范在招标文件工程量清单中漏列而由监理单位和招标人现场签证确认的实体工程项目、原设计没有而由招标人批准设计变更产生的实体工程项目，视为新增项目，按合同专用条款相关约定确定价格。</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13.6暂列金额、暂估价</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13.6.1暂列金额指招标人在工程量清单中暂定并包括在合同价款中的一笔款项。用于施工合同签订时尚未确定或者不可预见的所需材料、设备、服务的采购，施工中可能发生的工程量变更、合同约定调整因素出现时的工程价款调整以及发生的索赔、现场签证等费用。</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暂估价是指招标人在工程量清单中提供的用于支付必然发生但暂时不能确定价格的材料的单价以及专业工程的金额。</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13.6.2在工程实施中，暂列金额、暂估价所包含的工作范围和图纸、标准深化固定后，按照工程专业、设备、材料类别等分类汇总的金额，达到法定招标范围标准的，应由招标人同中标人联合招标，确定承包人和承包价格。</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13.6.3在工程实施中，暂列金额、暂估价所包含的工作范围和图纸、标准深化固定后，按照工程专业、设备、材料类别等分类汇总的金额，未达到法定招标范围标准但适用政府采购规定的，应按照政府采购规定确定承包人和承包价格。</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13.6.4在工程实施中，暂列金额、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13.5款规定确定。</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13.6.5在工程实施中，暂列金额、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13.6.6 在工程实施中，暂列金额、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13.7投标人可先到工地踏勘以充分了解工地位置、情况、道路、储存空间、装卸限制及任何其他足以影响承包价的情况，任何因忽视或误解工地情况而导致的索赔或工期延长申请将不被批准。</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13.8属于承包人自行采购的主要材料、设备，招标人应当在招标文件中提出材料、设备的技术标准或者质量要求，或者提出不少于3个同等档次品牌或分包商供投标人报价时选择,凡招标人在招标文件中提出参考品牌的，必须在参考品牌后面加上“或相当于”字样。投标人在投标文件中应明确所选用主要材料、设备的品牌、厂家以及质量等级，并且应当符合招标文件的要求。</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13.9招标人与中标人应本着实事求是、风险共担的原则，充分考虑施工合同履行期间人工、建筑材料、机械设备价格因素的影响。对于各类钢筋、混凝土等主要材料以及人工、机械设备等，应结合合同工期、各价格因素对工程总造价的影响等，合理约定调价机制。调价机制应由招标人在招标文件及合同中明确，内容包括调价范围（含材料、机械的具体名称、工种等）、价格变动时限、幅度以及相应的合同价款调整方法。</w:t>
      </w:r>
    </w:p>
    <w:p>
      <w:pPr>
        <w:pStyle w:val="37"/>
        <w:spacing w:after="0"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14．投标货币</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14.1 本工程投标报价采用的币种为人民币。</w:t>
      </w:r>
    </w:p>
    <w:p>
      <w:pPr>
        <w:pStyle w:val="37"/>
        <w:spacing w:after="0" w:line="360" w:lineRule="auto"/>
        <w:ind w:firstLine="48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15．投标有效期</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15.1 投标有效期见投标须知前附表第13项所规定的期限，在此期限内，凡符合本招标文件要求的投标文件均保持有效。</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而不影响退还其投标保证金。同意延长投标有效期的投标人既不能要求也不允许修改其投标文件，但需要相应的延长投标保证金的有效期，在延长的投标有效期内，本须知第16条关于投标保证金的退还与不予退还的规定仍然适用。</w:t>
      </w:r>
    </w:p>
    <w:p>
      <w:pPr>
        <w:pStyle w:val="37"/>
        <w:spacing w:after="0"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16．投标保证金</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16.1投标人应按投标须知前附表第14项所述金额和时间递交投标保证金。招标人应当允许投标人自主选择现金、银行保函、保证保险、专业工程担保公司担保等方式缴纳投标保证金。</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16.1.1采用现金或者支票形式提交的，投标保证金须从投标人的银行基本账户转出</w:t>
      </w:r>
      <w:r>
        <w:rPr>
          <w:rFonts w:hint="eastAsia" w:asciiTheme="minorEastAsia" w:hAnsiTheme="minorEastAsia" w:eastAsiaTheme="minorEastAsia" w:cstheme="minorEastAsia"/>
          <w:color w:val="auto"/>
          <w:sz w:val="24"/>
          <w:szCs w:val="24"/>
          <w:highlight w:val="none"/>
          <w:u w:val="single"/>
        </w:rPr>
        <w:t>，由广州公共资源交易中心代收，缴纳情况以交易平台数据库记录的信息为准。具体操作要求详见广州公共资源交易中心有关指引，递交事宜请自行咨询交易中心。</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16.1.2依法必须招标的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16.1.3采用电子形式的保函、担保或保证保险提交投标保证金的</w:t>
      </w:r>
      <w:r>
        <w:rPr>
          <w:rFonts w:hint="eastAsia" w:asciiTheme="minorEastAsia" w:hAnsiTheme="minorEastAsia" w:eastAsiaTheme="minorEastAsia" w:cstheme="minorEastAsia"/>
          <w:color w:val="auto"/>
          <w:sz w:val="24"/>
          <w:szCs w:val="24"/>
          <w:highlight w:val="none"/>
          <w:u w:val="single"/>
        </w:rPr>
        <w:t>，具体操作要求详见广州公共资源交易中心有关指引，递交事宜请自行咨询交易中心。</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16.2</w:t>
      </w:r>
      <w:r>
        <w:rPr>
          <w:rFonts w:hint="eastAsia" w:asciiTheme="minorEastAsia" w:hAnsiTheme="minorEastAsia" w:eastAsiaTheme="minorEastAsia" w:cstheme="minorEastAsia"/>
          <w:color w:val="auto"/>
          <w:sz w:val="24"/>
          <w:szCs w:val="24"/>
          <w:highlight w:val="none"/>
          <w:u w:val="single"/>
        </w:rPr>
        <w:t>开标时投标人没有按要求提供投标保证金的，其投标文件将被否决</w:t>
      </w:r>
      <w:r>
        <w:rPr>
          <w:rFonts w:hint="eastAsia" w:asciiTheme="minorEastAsia" w:hAnsiTheme="minorEastAsia" w:eastAsiaTheme="minorEastAsia" w:cstheme="minorEastAsia"/>
          <w:color w:val="auto"/>
          <w:sz w:val="24"/>
          <w:szCs w:val="24"/>
          <w:highlight w:val="none"/>
        </w:rPr>
        <w:t>。</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16.3投标保证金应依据法律法规的相关规定退还。</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16.4如有下列情况之一的，招标人可以不予退还投标保证金：</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16.4.1因投标人原因造成投标文件未解密的；</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16.4.2投标人在投标有效期内撤销投标文件；</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16.4.3中标人未能在规定期限内按要求提交履约担保；</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16.4.4中标人未能在规定期限内签署合同协议。</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16.5投标人如存在下列情况之一的，将被拒绝在</w:t>
      </w:r>
      <w:r>
        <w:rPr>
          <w:rFonts w:hint="eastAsia" w:asciiTheme="minorEastAsia" w:hAnsiTheme="minorEastAsia" w:eastAsiaTheme="minorEastAsia" w:cstheme="minorEastAsia"/>
          <w:color w:val="auto"/>
          <w:sz w:val="24"/>
          <w:szCs w:val="24"/>
          <w:highlight w:val="none"/>
          <w:u w:val="single"/>
        </w:rPr>
        <w:t>两年内</w:t>
      </w:r>
      <w:r>
        <w:rPr>
          <w:rFonts w:hint="eastAsia" w:asciiTheme="minorEastAsia" w:hAnsiTheme="minorEastAsia" w:eastAsiaTheme="minorEastAsia" w:cstheme="minorEastAsia"/>
          <w:color w:val="auto"/>
          <w:sz w:val="24"/>
          <w:szCs w:val="24"/>
          <w:highlight w:val="none"/>
        </w:rPr>
        <w:t>参与招标人后续工程投标：</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16.5.1投标人存在16.4条款所列情形且投标人提交的保函、担保或保证保险无法兑付的；</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16.5.2采用非电子形式提交投标保证金的投标人存在16.4条款所列情形，且未按招标人要求补交银行保函、专业工程担保公司担保或保证保险原件的。</w:t>
      </w:r>
    </w:p>
    <w:p>
      <w:pPr>
        <w:pStyle w:val="37"/>
        <w:spacing w:after="0"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17．投标文件的签署</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17.1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Theme="minorEastAsia" w:hAnsiTheme="minorEastAsia" w:eastAsiaTheme="minorEastAsia" w:cstheme="minorEastAsia"/>
          <w:color w:val="auto"/>
          <w:sz w:val="24"/>
          <w:szCs w:val="24"/>
          <w:highlight w:val="none"/>
          <w:u w:val="single"/>
        </w:rPr>
        <w:t>广州公共资源交易中心网站</w:t>
      </w:r>
      <w:r>
        <w:rPr>
          <w:rFonts w:hint="eastAsia" w:asciiTheme="minorEastAsia" w:hAnsiTheme="minorEastAsia" w:eastAsiaTheme="minorEastAsia" w:cstheme="minorEastAsia"/>
          <w:color w:val="auto"/>
          <w:sz w:val="24"/>
          <w:szCs w:val="24"/>
          <w:highlight w:val="none"/>
        </w:rPr>
        <w:t>。</w:t>
      </w:r>
    </w:p>
    <w:p>
      <w:pPr>
        <w:pStyle w:val="7"/>
        <w:spacing w:before="156" w:after="156"/>
        <w:rPr>
          <w:rFonts w:hint="eastAsia" w:asciiTheme="minorEastAsia" w:hAnsiTheme="minorEastAsia" w:eastAsiaTheme="minorEastAsia" w:cstheme="minorEastAsia"/>
          <w:color w:val="auto"/>
          <w:sz w:val="24"/>
          <w:szCs w:val="24"/>
          <w:highlight w:val="none"/>
        </w:rPr>
      </w:pPr>
      <w:bookmarkStart w:id="70" w:name="_Toc2487"/>
      <w:bookmarkStart w:id="71" w:name="_Toc14173"/>
      <w:bookmarkStart w:id="72" w:name="_Toc8616"/>
      <w:bookmarkStart w:id="73" w:name="_Toc3606"/>
      <w:bookmarkStart w:id="74" w:name="_Toc1948758840"/>
      <w:bookmarkStart w:id="75" w:name="_Toc6263"/>
      <w:bookmarkStart w:id="76" w:name="_Toc15844"/>
      <w:bookmarkStart w:id="77" w:name="_Toc2288"/>
      <w:bookmarkStart w:id="78" w:name="_Toc23569"/>
      <w:r>
        <w:rPr>
          <w:rFonts w:hint="eastAsia" w:asciiTheme="minorEastAsia" w:hAnsiTheme="minorEastAsia" w:eastAsiaTheme="minorEastAsia" w:cstheme="minorEastAsia"/>
          <w:color w:val="auto"/>
          <w:sz w:val="24"/>
          <w:szCs w:val="24"/>
          <w:highlight w:val="none"/>
        </w:rPr>
        <w:t>（四）投标文件的提交</w:t>
      </w:r>
      <w:bookmarkEnd w:id="70"/>
      <w:bookmarkEnd w:id="71"/>
      <w:bookmarkEnd w:id="72"/>
      <w:bookmarkEnd w:id="73"/>
      <w:bookmarkEnd w:id="74"/>
      <w:bookmarkEnd w:id="75"/>
      <w:bookmarkEnd w:id="76"/>
      <w:bookmarkEnd w:id="77"/>
      <w:bookmarkEnd w:id="78"/>
    </w:p>
    <w:p>
      <w:pPr>
        <w:pStyle w:val="37"/>
        <w:spacing w:after="0"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18．</w:t>
      </w:r>
      <w:r>
        <w:rPr>
          <w:rFonts w:hint="eastAsia" w:asciiTheme="minorEastAsia" w:hAnsiTheme="minorEastAsia" w:eastAsiaTheme="minorEastAsia" w:cstheme="minorEastAsia"/>
          <w:b/>
          <w:color w:val="auto"/>
          <w:sz w:val="24"/>
          <w:szCs w:val="24"/>
          <w:highlight w:val="none"/>
        </w:rPr>
        <w:t>投标文件的密封和标记</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18.1递交的电子投标文件（不含备用光盘）必须进行加密。按照</w:t>
      </w:r>
      <w:r>
        <w:rPr>
          <w:rFonts w:hint="eastAsia" w:asciiTheme="minorEastAsia" w:hAnsiTheme="minorEastAsia" w:eastAsiaTheme="minorEastAsia" w:cstheme="minorEastAsia"/>
          <w:bCs/>
          <w:color w:val="auto"/>
          <w:sz w:val="24"/>
          <w:szCs w:val="24"/>
          <w:highlight w:val="none"/>
          <w:u w:val="single"/>
        </w:rPr>
        <w:t>广州公共资源交易中心交易</w:t>
      </w:r>
      <w:r>
        <w:rPr>
          <w:rFonts w:hint="eastAsia" w:asciiTheme="minorEastAsia" w:hAnsiTheme="minorEastAsia" w:eastAsiaTheme="minorEastAsia" w:cstheme="minorEastAsia"/>
          <w:bCs/>
          <w:color w:val="auto"/>
          <w:sz w:val="24"/>
          <w:szCs w:val="24"/>
          <w:highlight w:val="none"/>
        </w:rPr>
        <w:t>平台关于</w:t>
      </w:r>
      <w:r>
        <w:rPr>
          <w:rFonts w:hint="eastAsia" w:asciiTheme="minorEastAsia" w:hAnsiTheme="minorEastAsia" w:eastAsiaTheme="minorEastAsia" w:cstheme="minorEastAsia"/>
          <w:color w:val="auto"/>
          <w:sz w:val="24"/>
          <w:szCs w:val="24"/>
          <w:highlight w:val="none"/>
        </w:rPr>
        <w:t>全流程电子化项目的相关指南进行操作。详见：</w:t>
      </w:r>
      <w:r>
        <w:rPr>
          <w:rFonts w:hint="eastAsia" w:asciiTheme="minorEastAsia" w:hAnsiTheme="minorEastAsia" w:eastAsiaTheme="minorEastAsia" w:cstheme="minorEastAsia"/>
          <w:color w:val="auto"/>
          <w:sz w:val="24"/>
          <w:szCs w:val="24"/>
          <w:highlight w:val="none"/>
          <w:u w:val="single"/>
        </w:rPr>
        <w:t xml:space="preserve">广州公共资源交易中心网站 </w:t>
      </w:r>
      <w:r>
        <w:rPr>
          <w:rFonts w:hint="eastAsia" w:asciiTheme="minorEastAsia" w:hAnsiTheme="minorEastAsia" w:eastAsiaTheme="minorEastAsia" w:cstheme="minorEastAsia"/>
          <w:color w:val="auto"/>
          <w:sz w:val="24"/>
          <w:szCs w:val="24"/>
          <w:highlight w:val="none"/>
        </w:rPr>
        <w:t>。</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18.2 未按要求加密的投标文件，</w:t>
      </w:r>
      <w:r>
        <w:rPr>
          <w:rFonts w:hint="eastAsia" w:asciiTheme="minorEastAsia" w:hAnsiTheme="minorEastAsia" w:eastAsiaTheme="minorEastAsia" w:cstheme="minorEastAsia"/>
          <w:color w:val="auto"/>
          <w:sz w:val="24"/>
          <w:szCs w:val="24"/>
          <w:highlight w:val="none"/>
          <w:u w:val="single"/>
        </w:rPr>
        <w:t>广州公共资源交易中心</w:t>
      </w:r>
      <w:r>
        <w:rPr>
          <w:rFonts w:hint="eastAsia" w:asciiTheme="minorEastAsia" w:hAnsiTheme="minorEastAsia" w:eastAsiaTheme="minorEastAsia" w:cstheme="minorEastAsia"/>
          <w:color w:val="auto"/>
          <w:sz w:val="24"/>
          <w:szCs w:val="24"/>
          <w:highlight w:val="none"/>
        </w:rPr>
        <w:t>交易平台</w:t>
      </w:r>
      <w:r>
        <w:rPr>
          <w:rFonts w:hint="eastAsia" w:asciiTheme="minorEastAsia" w:hAnsiTheme="minorEastAsia" w:eastAsiaTheme="minorEastAsia" w:cstheme="minorEastAsia"/>
          <w:bCs/>
          <w:color w:val="auto"/>
          <w:sz w:val="24"/>
          <w:szCs w:val="24"/>
          <w:highlight w:val="none"/>
        </w:rPr>
        <w:t>将予以拒收。</w:t>
      </w:r>
    </w:p>
    <w:p>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19．投标文件的递交和接收</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19.1投标人通过</w:t>
      </w:r>
      <w:r>
        <w:rPr>
          <w:rFonts w:hint="eastAsia" w:asciiTheme="minorEastAsia" w:hAnsiTheme="minorEastAsia" w:eastAsiaTheme="minorEastAsia" w:cstheme="minorEastAsia"/>
          <w:color w:val="auto"/>
          <w:sz w:val="24"/>
          <w:szCs w:val="24"/>
          <w:highlight w:val="none"/>
          <w:u w:val="single"/>
        </w:rPr>
        <w:t>广州公共资源交易中心</w:t>
      </w:r>
      <w:r>
        <w:rPr>
          <w:rFonts w:hint="eastAsia" w:asciiTheme="minorEastAsia" w:hAnsiTheme="minorEastAsia" w:eastAsiaTheme="minorEastAsia" w:cstheme="minorEastAsia"/>
          <w:color w:val="auto"/>
          <w:sz w:val="24"/>
          <w:szCs w:val="24"/>
          <w:highlight w:val="none"/>
        </w:rPr>
        <w:t>交易平台递交电子投标文件。</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19.2投标人完成电子</w:t>
      </w:r>
      <w:r>
        <w:rPr>
          <w:rFonts w:hint="eastAsia" w:asciiTheme="minorEastAsia" w:hAnsiTheme="minorEastAsia" w:eastAsiaTheme="minorEastAsia" w:cstheme="minorEastAsia"/>
          <w:color w:val="auto"/>
          <w:sz w:val="24"/>
          <w:szCs w:val="24"/>
          <w:highlight w:val="none"/>
        </w:rPr>
        <w:t>投标文件</w:t>
      </w:r>
      <w:r>
        <w:rPr>
          <w:rFonts w:hint="eastAsia" w:asciiTheme="minorEastAsia" w:hAnsiTheme="minorEastAsia" w:eastAsiaTheme="minorEastAsia" w:cstheme="minorEastAsia"/>
          <w:bCs/>
          <w:color w:val="auto"/>
          <w:sz w:val="24"/>
          <w:szCs w:val="24"/>
          <w:highlight w:val="none"/>
        </w:rPr>
        <w:t>上传后，</w:t>
      </w:r>
      <w:r>
        <w:rPr>
          <w:rFonts w:hint="eastAsia" w:asciiTheme="minorEastAsia" w:hAnsiTheme="minorEastAsia" w:eastAsiaTheme="minorEastAsia" w:cstheme="minorEastAsia"/>
          <w:color w:val="auto"/>
          <w:sz w:val="24"/>
          <w:szCs w:val="24"/>
          <w:highlight w:val="none"/>
          <w:u w:val="single"/>
        </w:rPr>
        <w:t>广州公共资源交易中心</w:t>
      </w:r>
      <w:r>
        <w:rPr>
          <w:rFonts w:hint="eastAsia" w:asciiTheme="minorEastAsia" w:hAnsiTheme="minorEastAsia" w:eastAsiaTheme="minorEastAsia" w:cstheme="minorEastAsia"/>
          <w:color w:val="auto"/>
          <w:sz w:val="24"/>
          <w:szCs w:val="24"/>
          <w:highlight w:val="none"/>
        </w:rPr>
        <w:t>交易平台即时向投标人发出递交回执通知。递交时间以递交回执通知载明的传输完成时间为准。</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19.3逾期送达的电子投标文件，</w:t>
      </w:r>
      <w:r>
        <w:rPr>
          <w:rFonts w:hint="eastAsia" w:asciiTheme="minorEastAsia" w:hAnsiTheme="minorEastAsia" w:eastAsiaTheme="minorEastAsia" w:cstheme="minorEastAsia"/>
          <w:color w:val="auto"/>
          <w:sz w:val="24"/>
          <w:szCs w:val="24"/>
          <w:highlight w:val="none"/>
          <w:u w:val="single"/>
        </w:rPr>
        <w:t>广州公共资源交易中心</w:t>
      </w:r>
      <w:r>
        <w:rPr>
          <w:rFonts w:hint="eastAsia" w:asciiTheme="minorEastAsia" w:hAnsiTheme="minorEastAsia" w:eastAsiaTheme="minorEastAsia" w:cstheme="minorEastAsia"/>
          <w:color w:val="auto"/>
          <w:sz w:val="24"/>
          <w:szCs w:val="24"/>
          <w:highlight w:val="none"/>
        </w:rPr>
        <w:t>交易平台将予以拒收。</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19.4 投标截止前，招标人拒绝接收符合条件的投标文件，投标人可向招标投标监督机构投诉。</w:t>
      </w:r>
    </w:p>
    <w:p>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20．投标文件提交的截止时间</w:t>
      </w:r>
    </w:p>
    <w:p>
      <w:pPr>
        <w:spacing w:line="360" w:lineRule="auto"/>
        <w:ind w:firstLine="480"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color w:val="auto"/>
          <w:sz w:val="24"/>
          <w:szCs w:val="24"/>
          <w:highlight w:val="none"/>
        </w:rPr>
        <w:t>20.1投标人应在投标须知前附表第17项所述的时间前提交投标文件。</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20.2招标人可按本须知第9条规定以招标文件修改的方式，酌情延长提交投标文件的截止时间。在此情况下，投标人的所有权利和义务以及投标人受制约的截止时间，均以延长后新的投标截止时间为准。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20.3 到投标截止时间止，招标人收到的投标文件少于3家的，招标人将重新组织招标（当N个标段同时招标且不允许兼中时，若有效投标人不足N+2家，则重新组织招标）。</w:t>
      </w:r>
    </w:p>
    <w:p>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21．迟交的投标文件</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21.1 本须知前附表第17项规定的投标截止时间</w:t>
      </w:r>
      <w:r>
        <w:rPr>
          <w:rFonts w:hint="eastAsia" w:asciiTheme="minorEastAsia" w:hAnsiTheme="minorEastAsia" w:eastAsiaTheme="minorEastAsia" w:cstheme="minorEastAsia"/>
          <w:bCs/>
          <w:color w:val="auto"/>
          <w:sz w:val="24"/>
          <w:szCs w:val="24"/>
          <w:highlight w:val="none"/>
        </w:rPr>
        <w:t>后送达的电子投标文件，</w:t>
      </w:r>
      <w:r>
        <w:rPr>
          <w:rFonts w:hint="eastAsia" w:asciiTheme="minorEastAsia" w:hAnsiTheme="minorEastAsia" w:eastAsiaTheme="minorEastAsia" w:cstheme="minorEastAsia"/>
          <w:color w:val="auto"/>
          <w:sz w:val="24"/>
          <w:szCs w:val="24"/>
          <w:highlight w:val="none"/>
          <w:u w:val="single"/>
        </w:rPr>
        <w:t>广州公共资源交易中心</w:t>
      </w:r>
      <w:r>
        <w:rPr>
          <w:rFonts w:hint="eastAsia" w:asciiTheme="minorEastAsia" w:hAnsiTheme="minorEastAsia" w:eastAsiaTheme="minorEastAsia" w:cstheme="minorEastAsia"/>
          <w:color w:val="auto"/>
          <w:sz w:val="24"/>
          <w:szCs w:val="24"/>
          <w:highlight w:val="none"/>
        </w:rPr>
        <w:t>交易平台将予以拒收。</w:t>
      </w:r>
    </w:p>
    <w:p>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22．投标文件的修改与撤回</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22.1在规定的投标截止时间前，投标人可以修改或撤回已递交的投标文件，但应以书面形式通知招标人。</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22.2投标人修改或撤回已递交的投标文件，需在交易平台发出修改或撤回通知，并按要求加盖电子印章。</w:t>
      </w:r>
      <w:r>
        <w:rPr>
          <w:rFonts w:hint="eastAsia" w:asciiTheme="minorEastAsia" w:hAnsiTheme="minorEastAsia" w:eastAsiaTheme="minorEastAsia" w:cstheme="minorEastAsia"/>
          <w:bCs/>
          <w:iCs/>
          <w:color w:val="auto"/>
          <w:sz w:val="24"/>
          <w:szCs w:val="24"/>
          <w:highlight w:val="none"/>
        </w:rPr>
        <w:t>电子招标投标交易平台收到通知后，</w:t>
      </w:r>
      <w:r>
        <w:rPr>
          <w:rFonts w:hint="eastAsia" w:asciiTheme="minorEastAsia" w:hAnsiTheme="minorEastAsia" w:eastAsiaTheme="minorEastAsia" w:cstheme="minorEastAsia"/>
          <w:color w:val="auto"/>
          <w:sz w:val="24"/>
          <w:szCs w:val="24"/>
          <w:highlight w:val="none"/>
        </w:rPr>
        <w:t>即时向投标人发出确认回执通知。</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22.3修改后再次递交的，按19点的规定执行。</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22.4 在投标截止时间之后，投标人不得补充、修改和更换投标文件。</w:t>
      </w:r>
    </w:p>
    <w:p>
      <w:pPr>
        <w:pStyle w:val="7"/>
        <w:spacing w:before="156" w:after="156"/>
        <w:rPr>
          <w:rFonts w:hint="eastAsia" w:asciiTheme="minorEastAsia" w:hAnsiTheme="minorEastAsia" w:eastAsiaTheme="minorEastAsia" w:cstheme="minorEastAsia"/>
          <w:color w:val="auto"/>
          <w:sz w:val="24"/>
          <w:szCs w:val="24"/>
          <w:highlight w:val="none"/>
        </w:rPr>
      </w:pPr>
      <w:bookmarkStart w:id="79" w:name="_Toc22229"/>
      <w:bookmarkStart w:id="80" w:name="_Toc11155"/>
      <w:bookmarkStart w:id="81" w:name="_Toc5721"/>
      <w:bookmarkStart w:id="82" w:name="_Toc3360"/>
      <w:bookmarkStart w:id="83" w:name="_Toc4966"/>
      <w:bookmarkStart w:id="84" w:name="_Toc1516723483"/>
      <w:bookmarkStart w:id="85" w:name="_Toc8088"/>
      <w:bookmarkStart w:id="86" w:name="_Toc10583"/>
      <w:bookmarkStart w:id="87" w:name="_Toc12654"/>
      <w:r>
        <w:rPr>
          <w:rFonts w:hint="eastAsia" w:asciiTheme="minorEastAsia" w:hAnsiTheme="minorEastAsia" w:eastAsiaTheme="minorEastAsia" w:cstheme="minorEastAsia"/>
          <w:color w:val="auto"/>
          <w:sz w:val="24"/>
          <w:szCs w:val="24"/>
          <w:highlight w:val="none"/>
        </w:rPr>
        <w:t>（五）开标、评标、定标及合同签定</w:t>
      </w:r>
      <w:bookmarkEnd w:id="79"/>
      <w:bookmarkEnd w:id="80"/>
      <w:bookmarkEnd w:id="81"/>
      <w:bookmarkEnd w:id="82"/>
      <w:bookmarkEnd w:id="83"/>
      <w:bookmarkEnd w:id="84"/>
      <w:bookmarkEnd w:id="85"/>
      <w:bookmarkEnd w:id="86"/>
      <w:bookmarkEnd w:id="87"/>
    </w:p>
    <w:p>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23、开标。</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详见第二章开标、评标及定标办法</w:t>
      </w:r>
    </w:p>
    <w:p>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24．评标过程的保密</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24.1 开标后，直至中标公示为止，凡属于对投标文件的审查、澄清、评价和比较有关的资料以及中标候选人的推荐情况，与评标有关的其他任何情况均严格保密。</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24.2 在投标文件的评审和比较、中标候选人推荐以及授予合同的过程中，投标人向招标人和评标委员会施加不公正影响的任何行为，都将会导致其投标被拒绝。</w:t>
      </w:r>
    </w:p>
    <w:p>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25．投标文件的澄清，计算错误的修正</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详见招标文件第二章开标、评标及定标办法</w:t>
      </w:r>
    </w:p>
    <w:p>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26．投标文件的评审、比较和否决</w:t>
      </w:r>
    </w:p>
    <w:p>
      <w:pPr>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详见招标文件第二章开标、评标及定标办法。</w:t>
      </w:r>
    </w:p>
    <w:p>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27．中标通知书</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27.1招标人将在</w:t>
      </w:r>
      <w:r>
        <w:rPr>
          <w:rFonts w:hint="eastAsia" w:asciiTheme="minorEastAsia" w:hAnsiTheme="minorEastAsia" w:eastAsiaTheme="minorEastAsia" w:cstheme="minorEastAsia"/>
          <w:color w:val="auto"/>
          <w:sz w:val="24"/>
          <w:szCs w:val="24"/>
          <w:highlight w:val="none"/>
          <w:u w:val="single"/>
        </w:rPr>
        <w:t>广州公共资源交易中心</w:t>
      </w:r>
      <w:r>
        <w:rPr>
          <w:rFonts w:hint="eastAsia" w:asciiTheme="minorEastAsia" w:hAnsiTheme="minorEastAsia" w:eastAsiaTheme="minorEastAsia" w:cstheme="minorEastAsia"/>
          <w:color w:val="auto"/>
          <w:sz w:val="24"/>
          <w:szCs w:val="24"/>
          <w:highlight w:val="none"/>
        </w:rPr>
        <w:t>交易平台、广东省招标投标监管网、中国招标投标公共服务平台</w:t>
      </w:r>
      <w:r>
        <w:rPr>
          <w:rFonts w:hint="eastAsia" w:asciiTheme="minorEastAsia" w:hAnsiTheme="minorEastAsia" w:eastAsiaTheme="minorEastAsia" w:cstheme="minorEastAsia"/>
          <w:color w:val="auto"/>
          <w:sz w:val="24"/>
          <w:szCs w:val="24"/>
          <w:highlight w:val="none"/>
          <w:u w:val="none"/>
          <w:lang w:eastAsia="zh-CN"/>
        </w:rPr>
        <w:t>、</w:t>
      </w:r>
      <w:r>
        <w:rPr>
          <w:rFonts w:hint="eastAsia" w:asciiTheme="minorEastAsia" w:hAnsiTheme="minorEastAsia" w:eastAsiaTheme="minorEastAsia" w:cstheme="minorEastAsia"/>
          <w:color w:val="auto"/>
          <w:sz w:val="24"/>
          <w:szCs w:val="24"/>
          <w:highlight w:val="none"/>
          <w:u w:val="single"/>
        </w:rPr>
        <w:t>广州发展电子采购平台</w:t>
      </w:r>
      <w:r>
        <w:rPr>
          <w:rFonts w:hint="eastAsia" w:asciiTheme="minorEastAsia" w:hAnsiTheme="minorEastAsia" w:eastAsiaTheme="minorEastAsia" w:cstheme="minorEastAsia"/>
          <w:color w:val="auto"/>
          <w:sz w:val="24"/>
          <w:szCs w:val="24"/>
          <w:highlight w:val="none"/>
          <w:u w:val="single"/>
          <w:lang w:eastAsia="zh-CN"/>
        </w:rPr>
        <w:t>和广州国企阳光采购</w:t>
      </w:r>
      <w:r>
        <w:rPr>
          <w:rFonts w:hint="eastAsia" w:asciiTheme="minorEastAsia" w:hAnsiTheme="minorEastAsia" w:eastAsiaTheme="minorEastAsia" w:cstheme="minorEastAsia"/>
          <w:color w:val="auto"/>
          <w:sz w:val="24"/>
          <w:szCs w:val="24"/>
          <w:highlight w:val="none"/>
          <w:u w:val="single"/>
          <w:lang w:val="en-US" w:eastAsia="zh-CN"/>
        </w:rPr>
        <w:t>信息发布</w:t>
      </w:r>
      <w:r>
        <w:rPr>
          <w:rFonts w:hint="eastAsia" w:asciiTheme="minorEastAsia" w:hAnsiTheme="minorEastAsia" w:eastAsiaTheme="minorEastAsia" w:cstheme="minorEastAsia"/>
          <w:color w:val="auto"/>
          <w:sz w:val="24"/>
          <w:szCs w:val="24"/>
          <w:highlight w:val="none"/>
          <w:u w:val="single"/>
          <w:lang w:eastAsia="zh-CN"/>
        </w:rPr>
        <w:t>平台</w:t>
      </w:r>
      <w:r>
        <w:rPr>
          <w:rFonts w:hint="eastAsia" w:asciiTheme="minorEastAsia" w:hAnsiTheme="minorEastAsia" w:eastAsiaTheme="minorEastAsia" w:cstheme="minorEastAsia"/>
          <w:color w:val="auto"/>
          <w:sz w:val="24"/>
          <w:szCs w:val="24"/>
          <w:highlight w:val="none"/>
        </w:rPr>
        <w:t>公示中标候选人，公示期为三天。</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27.2招标人应当自确定中标人后，向招标投标监管机构提交招标投标情况的书面报告；经招投标监管机构备案后，方可发出中标通知书。</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27.3中标人必须在收到中标通知书后24小时之内以书面形式回复招标人，确认收到。</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27.4在产生中标候选人后，招标人将中标候选人的投标文件商务部分文件的所有内容（包括人员、业绩、奖项等资料）在</w:t>
      </w:r>
      <w:r>
        <w:rPr>
          <w:rFonts w:hint="eastAsia" w:asciiTheme="minorEastAsia" w:hAnsiTheme="minorEastAsia" w:eastAsiaTheme="minorEastAsia" w:cstheme="minorEastAsia"/>
          <w:color w:val="auto"/>
          <w:sz w:val="24"/>
          <w:szCs w:val="24"/>
          <w:highlight w:val="none"/>
          <w:u w:val="single"/>
        </w:rPr>
        <w:t>广州公共资源交易中心</w:t>
      </w:r>
      <w:r>
        <w:rPr>
          <w:rFonts w:hint="eastAsia" w:asciiTheme="minorEastAsia" w:hAnsiTheme="minorEastAsia" w:eastAsiaTheme="minorEastAsia" w:cstheme="minorEastAsia"/>
          <w:color w:val="auto"/>
          <w:sz w:val="24"/>
          <w:szCs w:val="24"/>
          <w:highlight w:val="none"/>
        </w:rPr>
        <w:t>交易平台和广东省招标投标监管网公开。</w:t>
      </w:r>
    </w:p>
    <w:p>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28．合同协议书的签订</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28.1 招标人与中标人将于中标通知书发出之日起30日内，按照招标文件和中标人的投标文件商定和签订合同，招标人和中标人不得再行订立背离合同实质性内容的其他协议。</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28.2中标通知书发出之日起30日后，中标人未按上款的规定与招标人订立合同，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28.3非经招标人同意，中标人在投标过程中使用的银行名称及帐号至完成竣工结算不得变更，否则招标人有权停止工程款项的拔付及至解除合同，由此造成的一切责任由中标人承担。</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28.4</w:t>
      </w:r>
      <w:r>
        <w:rPr>
          <w:rFonts w:hint="eastAsia" w:asciiTheme="minorEastAsia" w:hAnsiTheme="minorEastAsia" w:eastAsiaTheme="minorEastAsia" w:cstheme="minorEastAsia"/>
          <w:color w:val="auto"/>
          <w:sz w:val="24"/>
          <w:szCs w:val="24"/>
          <w:highlight w:val="none"/>
          <w:u w:val="none"/>
        </w:rPr>
        <w:t>招标人支付工程款时，中标人应按规定开具发票。</w:t>
      </w:r>
    </w:p>
    <w:p>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29．履约担保</w:t>
      </w:r>
    </w:p>
    <w:p>
      <w:pPr>
        <w:snapToGrid w:val="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29.1 在</w:t>
      </w:r>
      <w:r>
        <w:rPr>
          <w:rFonts w:hint="eastAsia" w:asciiTheme="minorEastAsia" w:hAnsiTheme="minorEastAsia" w:eastAsiaTheme="minorEastAsia" w:cstheme="minorEastAsia"/>
          <w:color w:val="auto"/>
          <w:kern w:val="0"/>
          <w:sz w:val="24"/>
          <w:szCs w:val="24"/>
          <w:highlight w:val="none"/>
          <w:u w:val="single"/>
        </w:rPr>
        <w:t>合同签订之日起5日内</w:t>
      </w:r>
      <w:r>
        <w:rPr>
          <w:rFonts w:hint="eastAsia" w:asciiTheme="minorEastAsia" w:hAnsiTheme="minorEastAsia" w:eastAsiaTheme="minorEastAsia" w:cstheme="minorEastAsia"/>
          <w:color w:val="auto"/>
          <w:sz w:val="24"/>
          <w:szCs w:val="24"/>
          <w:highlight w:val="none"/>
        </w:rPr>
        <w:t>，中标人应按本须知前附表第20项的规定向招标人提交履约担保；</w:t>
      </w:r>
      <w:r>
        <w:rPr>
          <w:rFonts w:hint="eastAsia" w:asciiTheme="minorEastAsia" w:hAnsiTheme="minorEastAsia" w:eastAsiaTheme="minorEastAsia" w:cstheme="minorEastAsia"/>
          <w:color w:val="auto"/>
          <w:sz w:val="24"/>
          <w:szCs w:val="24"/>
          <w:highlight w:val="none"/>
          <w:u w:val="none"/>
        </w:rPr>
        <w:t>如果中标人的履约担保是以银行保函的形式提供，</w:t>
      </w:r>
      <w:r>
        <w:rPr>
          <w:rFonts w:ascii="宋体" w:hAnsi="宋体" w:eastAsia="宋体" w:cs="宋体"/>
          <w:sz w:val="24"/>
          <w:szCs w:val="24"/>
        </w:rPr>
        <w:t>则应</w:t>
      </w:r>
      <w:r>
        <w:rPr>
          <w:rFonts w:hint="eastAsia" w:ascii="宋体" w:hAnsi="宋体" w:cs="宋体"/>
          <w:color w:val="auto"/>
          <w:szCs w:val="21"/>
          <w:highlight w:val="none"/>
          <w:lang w:val="en-US" w:eastAsia="zh-CN"/>
        </w:rPr>
        <w:t>为</w:t>
      </w:r>
      <w:r>
        <w:rPr>
          <w:rFonts w:hint="eastAsia" w:ascii="宋体" w:hAnsi="宋体" w:cs="宋体"/>
          <w:color w:val="auto"/>
          <w:szCs w:val="21"/>
          <w:highlight w:val="none"/>
        </w:rPr>
        <w:t>在中国注册的具有法人资格的全国性商业银行地级以上分支机构出具的无条件的、不可撤销的担保函</w:t>
      </w:r>
      <w:r>
        <w:rPr>
          <w:rFonts w:hint="eastAsia" w:asciiTheme="minorEastAsia" w:hAnsiTheme="minorEastAsia" w:eastAsiaTheme="minorEastAsia" w:cstheme="minorEastAsia"/>
          <w:color w:val="auto"/>
          <w:sz w:val="24"/>
          <w:szCs w:val="24"/>
          <w:highlight w:val="none"/>
          <w:u w:val="none"/>
        </w:rPr>
        <w:t>。</w:t>
      </w:r>
    </w:p>
    <w:p>
      <w:pPr>
        <w:snapToGrid w:val="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29.2</w:t>
      </w:r>
      <w:r>
        <w:rPr>
          <w:rFonts w:hint="eastAsia" w:asciiTheme="minorEastAsia" w:hAnsiTheme="minorEastAsia" w:eastAsiaTheme="minorEastAsia" w:cstheme="minorEastAsia"/>
          <w:color w:val="auto"/>
          <w:kern w:val="0"/>
          <w:sz w:val="24"/>
          <w:szCs w:val="24"/>
          <w:highlight w:val="none"/>
          <w:u w:val="single"/>
        </w:rPr>
        <w:t>合同签订之日起5日</w:t>
      </w:r>
      <w:r>
        <w:rPr>
          <w:rFonts w:hint="eastAsia" w:asciiTheme="minorEastAsia" w:hAnsiTheme="minorEastAsia" w:eastAsiaTheme="minorEastAsia" w:cstheme="minorEastAsia"/>
          <w:color w:val="auto"/>
          <w:sz w:val="24"/>
          <w:szCs w:val="24"/>
          <w:highlight w:val="none"/>
        </w:rPr>
        <w:t>后，中标人未按上款的规定提交履约担保，原中标人的投标保证金不予退还，且依法承担相应法律责任。原中标人给招标人造成的损失超过投标保证金数额的，还应当对超过部分予以赔偿。原中标人有异议的，可以向人民法院起诉。</w:t>
      </w:r>
    </w:p>
    <w:p>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30．合同生效</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30.1在合同双方全权代表在合同协议书上签字，并分别加盖双方单位的公章后，合同正式生效。</w:t>
      </w:r>
    </w:p>
    <w:p>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31．其它费用</w:t>
      </w:r>
      <w:r>
        <w:rPr>
          <w:rFonts w:hint="eastAsia" w:asciiTheme="minorEastAsia" w:hAnsiTheme="minorEastAsia" w:eastAsiaTheme="minorEastAsia" w:cstheme="minorEastAsia"/>
          <w:b/>
          <w:bCs/>
          <w:color w:val="auto"/>
          <w:sz w:val="24"/>
          <w:szCs w:val="24"/>
          <w:highlight w:val="none"/>
          <w:u w:val="none"/>
        </w:rPr>
        <w:t>：</w:t>
      </w:r>
      <w:r>
        <w:rPr>
          <w:rFonts w:hint="eastAsia" w:asciiTheme="minorEastAsia" w:hAnsiTheme="minorEastAsia" w:eastAsiaTheme="minorEastAsia" w:cstheme="minorEastAsia"/>
          <w:b/>
          <w:bCs/>
          <w:color w:val="auto"/>
          <w:sz w:val="24"/>
          <w:szCs w:val="24"/>
          <w:highlight w:val="none"/>
          <w:u w:val="single"/>
        </w:rPr>
        <w:t>中标人应</w:t>
      </w:r>
      <w:r>
        <w:rPr>
          <w:rFonts w:hint="eastAsia" w:asciiTheme="minorEastAsia" w:hAnsiTheme="minorEastAsia" w:eastAsiaTheme="minorEastAsia" w:cstheme="minorEastAsia"/>
          <w:b/>
          <w:bCs/>
          <w:color w:val="auto"/>
          <w:sz w:val="24"/>
          <w:szCs w:val="24"/>
          <w:highlight w:val="none"/>
          <w:u w:val="single"/>
          <w:lang w:val="en-US" w:eastAsia="zh-CN"/>
        </w:rPr>
        <w:t>缴</w:t>
      </w:r>
      <w:r>
        <w:rPr>
          <w:rFonts w:hint="eastAsia" w:asciiTheme="minorEastAsia" w:hAnsiTheme="minorEastAsia" w:eastAsiaTheme="minorEastAsia" w:cstheme="minorEastAsia"/>
          <w:b/>
          <w:bCs/>
          <w:color w:val="auto"/>
          <w:sz w:val="24"/>
          <w:szCs w:val="24"/>
          <w:highlight w:val="none"/>
          <w:u w:val="single"/>
        </w:rPr>
        <w:t>纳交易服务费，该费用包含在投标价中</w:t>
      </w:r>
      <w:r>
        <w:rPr>
          <w:rFonts w:hint="eastAsia" w:asciiTheme="minorEastAsia" w:hAnsiTheme="minorEastAsia" w:eastAsiaTheme="minorEastAsia" w:cstheme="minorEastAsia"/>
          <w:b/>
          <w:bCs/>
          <w:color w:val="auto"/>
          <w:sz w:val="24"/>
          <w:szCs w:val="24"/>
          <w:highlight w:val="none"/>
        </w:rPr>
        <w:t>。</w:t>
      </w:r>
    </w:p>
    <w:p>
      <w:pPr>
        <w:pStyle w:val="37"/>
        <w:spacing w:after="0"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32．腐败与欺诈行为</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在招标和合同实施期间，招标人要求投标人和承包人遵守最高的道德标准。</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32.1对本条款的规定，特定义如下词汇：</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1）、“腐败行为”是指在招标或合同执行期间，通过提供、给予、接受或索要任何有价值的东西，从而影响招标人有关人员工作的行为；</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32.2如果投标人被认定在本招标的竞争中有腐败或欺诈行为，则会被取消投标资格。</w:t>
      </w:r>
    </w:p>
    <w:p>
      <w:pPr>
        <w:pStyle w:val="37"/>
        <w:spacing w:after="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32.3投标人如在本项目中存在串通投标、弄虚作假</w:t>
      </w:r>
      <w:r>
        <w:rPr>
          <w:rFonts w:hint="eastAsia" w:asciiTheme="minorEastAsia" w:hAnsiTheme="minorEastAsia" w:eastAsiaTheme="minorEastAsia" w:cstheme="minorEastAsia"/>
          <w:color w:val="auto"/>
          <w:sz w:val="24"/>
          <w:szCs w:val="24"/>
          <w:highlight w:val="none"/>
          <w:u w:val="single"/>
        </w:rPr>
        <w:t>骗取中标</w:t>
      </w:r>
      <w:r>
        <w:rPr>
          <w:rFonts w:hint="eastAsia" w:asciiTheme="minorEastAsia" w:hAnsiTheme="minorEastAsia" w:eastAsiaTheme="minorEastAsia" w:cstheme="minorEastAsia"/>
          <w:color w:val="auto"/>
          <w:sz w:val="24"/>
          <w:szCs w:val="24"/>
          <w:highlight w:val="none"/>
        </w:rPr>
        <w:t>、行贿情形的，中标无效，行政监督部门将对其违法行为进行政处罚。该投标人将被招标人列入黑名单并限制其参与招标人后续项目的投标。</w:t>
      </w:r>
    </w:p>
    <w:p>
      <w:pPr>
        <w:pStyle w:val="5"/>
        <w:jc w:val="center"/>
        <w:rPr>
          <w:rFonts w:ascii="宋体" w:hAnsi="宋体" w:cs="宋体"/>
          <w:color w:val="auto"/>
          <w:highlight w:val="none"/>
        </w:rPr>
      </w:pPr>
      <w:r>
        <w:rPr>
          <w:rFonts w:hint="eastAsia" w:ascii="宋体" w:hAnsi="宋体" w:cs="宋体"/>
          <w:color w:val="auto"/>
          <w:sz w:val="24"/>
          <w:highlight w:val="none"/>
        </w:rPr>
        <w:br w:type="page"/>
      </w:r>
      <w:bookmarkStart w:id="88" w:name="_Toc10993"/>
      <w:bookmarkStart w:id="89" w:name="_Toc25178"/>
      <w:bookmarkStart w:id="90" w:name="_Toc4927"/>
      <w:bookmarkStart w:id="91" w:name="_Toc26100"/>
      <w:bookmarkStart w:id="92" w:name="_Toc940688891"/>
      <w:r>
        <w:rPr>
          <w:rFonts w:hint="eastAsia" w:ascii="宋体" w:hAnsi="宋体" w:cs="宋体"/>
          <w:color w:val="auto"/>
          <w:highlight w:val="none"/>
        </w:rPr>
        <w:t>第二章  开标、评标及定标办法</w:t>
      </w:r>
      <w:bookmarkEnd w:id="88"/>
      <w:bookmarkEnd w:id="89"/>
      <w:bookmarkEnd w:id="90"/>
      <w:bookmarkEnd w:id="91"/>
      <w:bookmarkEnd w:id="92"/>
    </w:p>
    <w:p>
      <w:pPr>
        <w:pStyle w:val="6"/>
        <w:ind w:left="0"/>
        <w:rPr>
          <w:rFonts w:ascii="宋体" w:hAnsi="宋体" w:cs="宋体"/>
          <w:color w:val="auto"/>
          <w:highlight w:val="none"/>
        </w:rPr>
      </w:pPr>
      <w:bookmarkStart w:id="93" w:name="_Toc4725"/>
      <w:bookmarkStart w:id="94" w:name="_Toc383581823"/>
      <w:bookmarkStart w:id="95" w:name="_Toc9133"/>
      <w:bookmarkStart w:id="96" w:name="_Toc8397"/>
      <w:bookmarkStart w:id="97" w:name="_Toc6868"/>
      <w:r>
        <w:rPr>
          <w:rFonts w:hint="eastAsia" w:ascii="宋体" w:hAnsi="宋体" w:cs="宋体"/>
          <w:color w:val="auto"/>
          <w:sz w:val="28"/>
          <w:szCs w:val="28"/>
          <w:highlight w:val="none"/>
        </w:rPr>
        <w:t>一、</w:t>
      </w:r>
      <w:r>
        <w:rPr>
          <w:rFonts w:hint="eastAsia" w:ascii="宋体" w:hAnsi="宋体" w:cs="宋体"/>
          <w:color w:val="auto"/>
          <w:highlight w:val="none"/>
        </w:rPr>
        <w:t>开标、评标及定标办法修改表</w:t>
      </w:r>
      <w:bookmarkEnd w:id="93"/>
      <w:bookmarkEnd w:id="94"/>
      <w:bookmarkEnd w:id="95"/>
      <w:bookmarkEnd w:id="96"/>
      <w:bookmarkEnd w:id="97"/>
    </w:p>
    <w:p>
      <w:pPr>
        <w:pStyle w:val="37"/>
        <w:spacing w:after="0" w:line="360" w:lineRule="auto"/>
        <w:rPr>
          <w:rFonts w:ascii="宋体" w:hAnsi="宋体" w:cs="宋体"/>
          <w:b/>
          <w:color w:val="auto"/>
          <w:szCs w:val="21"/>
          <w:highlight w:val="none"/>
        </w:rPr>
      </w:pPr>
      <w:r>
        <w:rPr>
          <w:rFonts w:hint="eastAsia" w:ascii="宋体" w:hAnsi="宋体" w:cs="宋体"/>
          <w:b/>
          <w:color w:val="auto"/>
          <w:szCs w:val="21"/>
          <w:highlight w:val="none"/>
        </w:rPr>
        <w:t>声明：本</w:t>
      </w:r>
      <w:r>
        <w:rPr>
          <w:rFonts w:hint="eastAsia" w:ascii="宋体" w:hAnsi="宋体" w:cs="宋体"/>
          <w:b/>
          <w:color w:val="auto"/>
          <w:highlight w:val="none"/>
        </w:rPr>
        <w:t>开标、评标及定标办法使用GZZB2018-3招标文件范本[含招标文件范本（GZZB2018-3）修改对照表]的开标、评标及定标办法通用条款，与该通用条款不同之处，均在本表中列明，并以现文为准，原</w:t>
      </w:r>
      <w:r>
        <w:rPr>
          <w:rFonts w:hint="eastAsia" w:ascii="宋体" w:hAnsi="宋体" w:cs="宋体"/>
          <w:b/>
          <w:color w:val="auto"/>
          <w:szCs w:val="21"/>
          <w:highlight w:val="none"/>
        </w:rPr>
        <w:t>文不再有效。本招标文件中不再转录</w:t>
      </w:r>
      <w:r>
        <w:rPr>
          <w:rFonts w:hint="eastAsia" w:ascii="宋体" w:hAnsi="宋体" w:cs="宋体"/>
          <w:b/>
          <w:color w:val="auto"/>
          <w:highlight w:val="none"/>
        </w:rPr>
        <w:t>开标、评标及定标办法</w:t>
      </w:r>
      <w:r>
        <w:rPr>
          <w:rFonts w:hint="eastAsia" w:ascii="宋体" w:hAnsi="宋体" w:cs="宋体"/>
          <w:b/>
          <w:color w:val="auto"/>
          <w:szCs w:val="21"/>
          <w:highlight w:val="none"/>
        </w:rPr>
        <w:t>通用条款，请投标人自行到广州市住房和城乡建设局网站（网址：</w:t>
      </w:r>
      <w:r>
        <w:rPr>
          <w:color w:val="auto"/>
          <w:highlight w:val="none"/>
        </w:rPr>
        <w:fldChar w:fldCharType="begin"/>
      </w:r>
      <w:r>
        <w:rPr>
          <w:color w:val="auto"/>
          <w:highlight w:val="none"/>
        </w:rPr>
        <w:instrText xml:space="preserve"> HYPERLINK "http://www.gzcc.gov.cn/）下载GZZB2018-3" </w:instrText>
      </w:r>
      <w:r>
        <w:rPr>
          <w:color w:val="auto"/>
          <w:highlight w:val="none"/>
        </w:rPr>
        <w:fldChar w:fldCharType="separate"/>
      </w:r>
      <w:r>
        <w:rPr>
          <w:rStyle w:val="49"/>
          <w:rFonts w:hint="eastAsia" w:ascii="宋体" w:hAnsi="宋体" w:cs="宋体"/>
          <w:b/>
          <w:color w:val="auto"/>
          <w:szCs w:val="21"/>
          <w:highlight w:val="none"/>
        </w:rPr>
        <w:t>http://zfcj.gz.gov.cn/）下载GZZB2018-3</w:t>
      </w:r>
      <w:r>
        <w:rPr>
          <w:rStyle w:val="49"/>
          <w:rFonts w:hint="eastAsia" w:ascii="宋体" w:hAnsi="宋体" w:cs="宋体"/>
          <w:b/>
          <w:color w:val="auto"/>
          <w:szCs w:val="21"/>
          <w:highlight w:val="none"/>
        </w:rPr>
        <w:fldChar w:fldCharType="end"/>
      </w:r>
      <w:r>
        <w:rPr>
          <w:rFonts w:hint="eastAsia" w:ascii="宋体" w:hAnsi="宋体" w:cs="宋体"/>
          <w:b/>
          <w:color w:val="auto"/>
          <w:szCs w:val="21"/>
          <w:highlight w:val="none"/>
        </w:rPr>
        <w:t>范本查阅。</w:t>
      </w:r>
    </w:p>
    <w:p>
      <w:pPr>
        <w:spacing w:line="48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条款号：36.1             修改类型：修改</w:t>
      </w:r>
    </w:p>
    <w:p>
      <w:pPr>
        <w:spacing w:line="36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招标人按投标须知前附表第18项所规定的时间和地点公开开标，并邀请所有投标人参加。截标后，开标开始时间因故推迟的，相关评标信息仍以原定的开标开始时间的信息为准。</w:t>
      </w:r>
    </w:p>
    <w:p>
      <w:pPr>
        <w:pBdr>
          <w:bottom w:val="single" w:color="auto" w:sz="6" w:space="1"/>
        </w:pBdr>
        <w:spacing w:line="360" w:lineRule="auto"/>
        <w:ind w:firstLine="527" w:firstLineChars="250"/>
        <w:rPr>
          <w:rFonts w:ascii="宋体" w:hAnsi="宋体" w:cs="宋体"/>
          <w:color w:val="auto"/>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rPr>
        <w:t>招标人按投标须知前附表第18项所规定的时间和地点公开开标，并邀请所有投标人参加。截标后，开标开始时间因故推迟的，相关评标信息仍以原定的开标开始时间的信息为准。</w:t>
      </w:r>
      <w:r>
        <w:rPr>
          <w:rFonts w:hint="eastAsia" w:ascii="宋体" w:hAnsi="宋体" w:cs="宋体"/>
          <w:color w:val="auto"/>
          <w:szCs w:val="21"/>
          <w:highlight w:val="none"/>
          <w:u w:val="single"/>
        </w:rPr>
        <w:t>若投标人不参加开标会的，其投标文件在开标现场的投标人或招标人代表、招标代理机构代表及交易中心代表见证下公开开启、解密、公布，并视同该投标人认可开标结果。</w:t>
      </w:r>
    </w:p>
    <w:p>
      <w:pPr>
        <w:spacing w:line="48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条款号：36.3             修改类型：删除</w:t>
      </w:r>
    </w:p>
    <w:p>
      <w:pPr>
        <w:pBdr>
          <w:bottom w:val="single" w:color="auto" w:sz="4" w:space="1"/>
        </w:pBdr>
        <w:spacing w:line="36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根据投标须知前附表第19项，如需抽取某一种评标办法供评标时使用的，应在开标前抽取。首先对招标文件中约定的若干种评标方法进行编号，再随机抽取某一编号，该编号所对应的评标办法供评标时使用。</w:t>
      </w:r>
    </w:p>
    <w:p>
      <w:pPr>
        <w:spacing w:line="48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条款号：36.5.1             修改类型：修改</w:t>
      </w:r>
    </w:p>
    <w:p>
      <w:pPr>
        <w:spacing w:line="36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0"/>
          <w:highlight w:val="none"/>
        </w:rPr>
        <w:t>在投标截止时间后半小时内，投标人通过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交易平台</w:t>
      </w:r>
      <w:r>
        <w:rPr>
          <w:rFonts w:hint="eastAsia" w:ascii="宋体" w:hAnsi="宋体" w:cs="宋体"/>
          <w:color w:val="auto"/>
          <w:szCs w:val="20"/>
          <w:highlight w:val="none"/>
        </w:rPr>
        <w:t>对已递交的电子投标文件进行解密。投标人完成解密后，再由招标人进行解密。解密完成后，公布招标项目名称、投标人名称、投标保证金的递交情况、投标报价、工期及其他内容；</w:t>
      </w:r>
    </w:p>
    <w:p>
      <w:pPr>
        <w:pBdr>
          <w:bottom w:val="single" w:color="auto" w:sz="6" w:space="1"/>
        </w:pBdr>
        <w:spacing w:line="360" w:lineRule="auto"/>
        <w:ind w:firstLine="527" w:firstLineChars="250"/>
        <w:rPr>
          <w:rFonts w:ascii="宋体" w:hAnsi="宋体" w:cs="宋体"/>
          <w:color w:val="auto"/>
          <w:highlight w:val="none"/>
        </w:rPr>
      </w:pPr>
      <w:r>
        <w:rPr>
          <w:rFonts w:hint="eastAsia" w:ascii="宋体" w:hAnsi="宋体" w:cs="宋体"/>
          <w:b/>
          <w:color w:val="auto"/>
          <w:szCs w:val="21"/>
          <w:highlight w:val="none"/>
        </w:rPr>
        <w:t>现文：</w:t>
      </w:r>
      <w:r>
        <w:rPr>
          <w:rFonts w:hint="eastAsia" w:ascii="宋体" w:hAnsi="宋体" w:cs="宋体"/>
          <w:color w:val="auto"/>
          <w:szCs w:val="20"/>
          <w:highlight w:val="none"/>
        </w:rPr>
        <w:t>在投标截止时间后</w:t>
      </w:r>
      <w:r>
        <w:rPr>
          <w:rFonts w:hint="eastAsia" w:ascii="宋体" w:hAnsi="宋体" w:cs="宋体"/>
          <w:color w:val="auto"/>
          <w:szCs w:val="20"/>
          <w:highlight w:val="none"/>
          <w:lang w:val="en-US" w:eastAsia="zh-CN"/>
        </w:rPr>
        <w:t>一</w:t>
      </w:r>
      <w:r>
        <w:rPr>
          <w:rFonts w:hint="eastAsia" w:ascii="宋体" w:hAnsi="宋体" w:cs="宋体"/>
          <w:color w:val="auto"/>
          <w:szCs w:val="20"/>
          <w:highlight w:val="none"/>
        </w:rPr>
        <w:t>小时内，投标人通过</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w:t>
      </w:r>
      <w:r>
        <w:rPr>
          <w:rFonts w:hint="eastAsia" w:ascii="宋体" w:hAnsi="宋体" w:cs="宋体"/>
          <w:color w:val="auto"/>
          <w:szCs w:val="20"/>
          <w:highlight w:val="none"/>
        </w:rPr>
        <w:t>对已递交的电子投标文件进行解密。投标人完成解密后，再由</w:t>
      </w:r>
      <w:r>
        <w:rPr>
          <w:rFonts w:hint="eastAsia" w:ascii="宋体" w:hAnsi="宋体" w:cs="宋体"/>
          <w:color w:val="auto"/>
          <w:szCs w:val="21"/>
          <w:highlight w:val="none"/>
          <w:u w:val="single"/>
        </w:rPr>
        <w:t>招标人或招标代理机构</w:t>
      </w:r>
      <w:r>
        <w:rPr>
          <w:rFonts w:hint="eastAsia" w:ascii="宋体" w:hAnsi="宋体" w:cs="宋体"/>
          <w:color w:val="auto"/>
          <w:szCs w:val="20"/>
          <w:highlight w:val="none"/>
        </w:rPr>
        <w:t>进行解密。解密完成后，公布招标项目名称、投标人名称、投标保证金的递交情况、投标报价、工期及其他内容；</w:t>
      </w:r>
    </w:p>
    <w:p>
      <w:pPr>
        <w:spacing w:line="36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w:t>
      </w:r>
      <w:r>
        <w:rPr>
          <w:rFonts w:hint="eastAsia" w:ascii="宋体" w:hAnsi="宋体" w:cs="宋体"/>
          <w:color w:val="auto"/>
          <w:szCs w:val="21"/>
          <w:highlight w:val="none"/>
        </w:rPr>
        <w:t xml:space="preserve">36.5.3           </w:t>
      </w:r>
      <w:r>
        <w:rPr>
          <w:rFonts w:hint="eastAsia" w:ascii="宋体" w:hAnsi="宋体" w:cs="宋体"/>
          <w:b/>
          <w:color w:val="auto"/>
          <w:szCs w:val="21"/>
          <w:highlight w:val="none"/>
        </w:rPr>
        <w:t>修改类型：修改</w:t>
      </w:r>
    </w:p>
    <w:p>
      <w:pPr>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投标人代表、招标人代表、监标人、记录人等有关人员在开标记录上签字确认；若有关人员不签字的，不影响开标程序；</w:t>
      </w:r>
    </w:p>
    <w:p>
      <w:pPr>
        <w:pBdr>
          <w:bottom w:val="single" w:color="auto" w:sz="6" w:space="1"/>
        </w:pBdr>
        <w:spacing w:line="36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rPr>
        <w:t>投标人代表、招标人代表、监标人、记录人等有关人员在开标记录上签字确认；若有关人员不签字的，不影响开标程序；</w:t>
      </w:r>
      <w:r>
        <w:rPr>
          <w:rFonts w:hint="eastAsia" w:ascii="宋体" w:hAnsi="宋体" w:cs="宋体"/>
          <w:color w:val="auto"/>
          <w:szCs w:val="21"/>
          <w:highlight w:val="none"/>
          <w:u w:val="single"/>
        </w:rPr>
        <w:t>若投标人不参加开标会的，或不签字确认的，视同该投标人认可开标结果。</w:t>
      </w:r>
    </w:p>
    <w:p>
      <w:pPr>
        <w:spacing w:line="48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条款号：38.1             修改类型：修改</w:t>
      </w:r>
    </w:p>
    <w:p>
      <w:pPr>
        <w:spacing w:line="36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pPr>
        <w:pBdr>
          <w:bottom w:val="single" w:color="auto" w:sz="6" w:space="1"/>
        </w:pBdr>
        <w:spacing w:line="360" w:lineRule="auto"/>
        <w:ind w:firstLine="527" w:firstLineChars="250"/>
        <w:rPr>
          <w:rFonts w:ascii="宋体" w:hAnsi="宋体" w:cs="宋体"/>
          <w:color w:val="auto"/>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rPr>
        <w:t>为有助于投标文件的审查、评价和比较，评标期间，经评标委员会或评标委员会专业评审组中两人以上（含两人）以书面形式提出动议，评标委员会或评标委员会专业评审组应当书面发出澄清通知，要求投标人对</w:t>
      </w:r>
      <w:r>
        <w:rPr>
          <w:rFonts w:hint="eastAsia" w:ascii="宋体" w:hAnsi="宋体" w:cs="宋体"/>
          <w:color w:val="auto"/>
          <w:szCs w:val="21"/>
          <w:highlight w:val="none"/>
          <w:u w:val="single"/>
        </w:rPr>
        <w:t>投标文件含义不明确、对同类问题表述不一致、有明显文字和计算错误的内容以及细微偏差的内容作出澄清</w:t>
      </w:r>
      <w:r>
        <w:rPr>
          <w:rFonts w:hint="eastAsia" w:ascii="宋体" w:hAnsi="宋体" w:cs="宋体"/>
          <w:color w:val="auto"/>
          <w:szCs w:val="21"/>
          <w:highlight w:val="none"/>
        </w:rPr>
        <w:t>。</w:t>
      </w:r>
    </w:p>
    <w:p>
      <w:pPr>
        <w:spacing w:line="360" w:lineRule="auto"/>
        <w:ind w:firstLine="472" w:firstLineChars="22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bidi="ar"/>
        </w:rPr>
        <w:t>条款号：39.2           修改类型：修改</w:t>
      </w:r>
    </w:p>
    <w:p>
      <w:pPr>
        <w:spacing w:line="360" w:lineRule="auto"/>
        <w:ind w:firstLine="472" w:firstLineChars="224"/>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bidi="ar"/>
        </w:rPr>
        <w:t>原文：</w:t>
      </w:r>
      <w:r>
        <w:rPr>
          <w:rFonts w:hint="eastAsia" w:ascii="宋体" w:hAnsi="宋体" w:eastAsia="宋体" w:cs="宋体"/>
          <w:color w:val="auto"/>
          <w:sz w:val="21"/>
          <w:szCs w:val="21"/>
          <w:highlight w:val="none"/>
          <w:lang w:bidi="ar"/>
        </w:rPr>
        <w:t>39.2依法必须进行公开招标的项目，招标人应当确定排名第一的中标候选人为中标人；</w:t>
      </w:r>
    </w:p>
    <w:p>
      <w:pPr>
        <w:pBdr>
          <w:bottom w:val="single" w:color="auto" w:sz="6" w:space="1"/>
        </w:pBdr>
        <w:spacing w:line="360" w:lineRule="auto"/>
        <w:ind w:firstLine="527" w:firstLineChars="250"/>
        <w:rPr>
          <w:rFonts w:ascii="宋体" w:hAnsi="宋体" w:cs="宋体"/>
          <w:b/>
          <w:color w:val="auto"/>
          <w:szCs w:val="21"/>
          <w:highlight w:val="none"/>
        </w:rPr>
      </w:pPr>
      <w:r>
        <w:rPr>
          <w:rFonts w:hint="eastAsia" w:ascii="宋体" w:hAnsi="宋体" w:eastAsia="宋体" w:cs="宋体"/>
          <w:b/>
          <w:color w:val="auto"/>
          <w:sz w:val="21"/>
          <w:szCs w:val="21"/>
          <w:highlight w:val="none"/>
          <w:lang w:bidi="ar"/>
        </w:rPr>
        <w:t>现文：</w:t>
      </w:r>
      <w:r>
        <w:rPr>
          <w:rFonts w:hint="eastAsia" w:ascii="宋体" w:hAnsi="宋体" w:eastAsia="宋体" w:cs="宋体"/>
          <w:color w:val="auto"/>
          <w:sz w:val="21"/>
          <w:szCs w:val="21"/>
          <w:highlight w:val="none"/>
          <w:lang w:bidi="ar"/>
        </w:rPr>
        <w:t>39.2依法必须进行公开招标的项目，招标人应当确定排名第一的中标候选人，</w:t>
      </w:r>
      <w:r>
        <w:rPr>
          <w:rFonts w:hint="eastAsia" w:ascii="宋体" w:hAnsi="宋体" w:eastAsia="宋体" w:cs="宋体"/>
          <w:color w:val="auto"/>
          <w:sz w:val="21"/>
          <w:szCs w:val="21"/>
          <w:highlight w:val="none"/>
          <w:u w:val="single"/>
          <w:lang w:bidi="ar"/>
        </w:rPr>
        <w:t>若在填报中标候选人公示信息时被发现委派的项目负责人已在其他在建项目中任职、不符合任职数量规定时，则不能进行中标候选人公示，招标人可以确定排名第二的中标候选人为中标人。</w:t>
      </w:r>
    </w:p>
    <w:p>
      <w:pPr>
        <w:spacing w:line="36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条款号：39.3             修改类型：修改</w:t>
      </w:r>
    </w:p>
    <w:p>
      <w:pPr>
        <w:spacing w:line="36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排名第一的中标候选人放弃中标、或因不可抗力提出不能履行合同，或者招标文件规定应当提交履约担保而在规定的期限内未能提交的，招标人可以确定排名第二的中标候选人为中标人。</w:t>
      </w:r>
    </w:p>
    <w:p>
      <w:pPr>
        <w:pBdr>
          <w:bottom w:val="single" w:color="auto" w:sz="6" w:space="1"/>
        </w:pBdr>
        <w:spacing w:line="360" w:lineRule="auto"/>
        <w:ind w:firstLine="527" w:firstLineChars="250"/>
        <w:rPr>
          <w:rFonts w:ascii="宋体" w:hAnsi="宋体" w:cs="宋体"/>
          <w:color w:val="auto"/>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rPr>
        <w:t>排名第一的中标候选人放弃中标、或因不可抗力提出不能履行合同，或者招标文件规定应当提交履约担保而在规定的期限内未能提交的，</w:t>
      </w:r>
      <w:r>
        <w:rPr>
          <w:rFonts w:hint="eastAsia" w:ascii="宋体" w:hAnsi="宋体" w:cs="宋体"/>
          <w:color w:val="auto"/>
          <w:szCs w:val="21"/>
          <w:highlight w:val="none"/>
          <w:u w:val="single"/>
        </w:rPr>
        <w:t>或经核查发现委派的项目负责人已在其他在建项目中担任本职务的，</w:t>
      </w:r>
      <w:r>
        <w:rPr>
          <w:rFonts w:hint="eastAsia" w:ascii="宋体" w:hAnsi="宋体" w:cs="宋体"/>
          <w:color w:val="auto"/>
          <w:szCs w:val="21"/>
          <w:highlight w:val="none"/>
        </w:rPr>
        <w:t>招标人可以确定排名第二的中标候选人为中标人。</w:t>
      </w:r>
    </w:p>
    <w:p>
      <w:pPr>
        <w:spacing w:line="48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条款号：41.1             修改类型：修改</w:t>
      </w:r>
    </w:p>
    <w:p>
      <w:pPr>
        <w:spacing w:line="36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开标由招标人主持；</w:t>
      </w:r>
    </w:p>
    <w:p>
      <w:pPr>
        <w:pBdr>
          <w:bottom w:val="single" w:color="auto" w:sz="6" w:space="1"/>
        </w:pBdr>
        <w:spacing w:line="360" w:lineRule="auto"/>
        <w:ind w:firstLine="527" w:firstLineChars="250"/>
        <w:rPr>
          <w:rFonts w:ascii="宋体" w:hAnsi="宋体" w:cs="宋体"/>
          <w:color w:val="auto"/>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rPr>
        <w:t>开标由</w:t>
      </w:r>
      <w:r>
        <w:rPr>
          <w:rFonts w:hint="eastAsia" w:ascii="宋体" w:hAnsi="宋体" w:cs="宋体"/>
          <w:color w:val="auto"/>
          <w:szCs w:val="21"/>
          <w:highlight w:val="none"/>
          <w:u w:val="single"/>
        </w:rPr>
        <w:t>招标人或招标代理</w:t>
      </w:r>
      <w:r>
        <w:rPr>
          <w:rFonts w:hint="eastAsia" w:ascii="宋体" w:hAnsi="宋体" w:cs="宋体"/>
          <w:color w:val="auto"/>
          <w:szCs w:val="21"/>
          <w:highlight w:val="none"/>
        </w:rPr>
        <w:t>主持；</w:t>
      </w:r>
    </w:p>
    <w:p>
      <w:pPr>
        <w:spacing w:line="48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条款号：41.2.1             修改类型：修改</w:t>
      </w:r>
    </w:p>
    <w:p>
      <w:pPr>
        <w:spacing w:line="360" w:lineRule="auto"/>
        <w:ind w:firstLine="472" w:firstLineChars="224"/>
        <w:rPr>
          <w:rFonts w:ascii="宋体" w:hAnsi="宋体" w:cs="宋体"/>
          <w:b/>
          <w:color w:val="auto"/>
          <w:sz w:val="18"/>
          <w:szCs w:val="18"/>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投标截止期前，各投标人递交投标文件（包括技术标投标文件、经济标投标文件）至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交易平台。有关投标文件提交的事项详见第一章投标须知。</w:t>
      </w:r>
    </w:p>
    <w:p>
      <w:pPr>
        <w:pBdr>
          <w:bottom w:val="single" w:color="auto" w:sz="6" w:space="1"/>
        </w:pBdr>
        <w:spacing w:line="360" w:lineRule="auto"/>
        <w:ind w:firstLine="527" w:firstLineChars="250"/>
        <w:rPr>
          <w:rFonts w:ascii="宋体" w:hAnsi="宋体" w:cs="宋体"/>
          <w:color w:val="auto"/>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rPr>
        <w:t>投标截止期前，各投标人递交投标文件（包括技术标</w:t>
      </w:r>
      <w:r>
        <w:rPr>
          <w:rFonts w:hint="eastAsia" w:ascii="宋体" w:hAnsi="宋体" w:cs="宋体"/>
          <w:color w:val="auto"/>
          <w:szCs w:val="21"/>
          <w:highlight w:val="none"/>
          <w:u w:val="single"/>
        </w:rPr>
        <w:t>（含资格审查文件）</w:t>
      </w:r>
      <w:r>
        <w:rPr>
          <w:rFonts w:hint="eastAsia" w:ascii="宋体" w:hAnsi="宋体" w:cs="宋体"/>
          <w:color w:val="auto"/>
          <w:szCs w:val="21"/>
          <w:highlight w:val="none"/>
        </w:rPr>
        <w:t>投标文件、经济标投标文件）至</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交易平台。有关投标文件提交的事项详见第一章投标须知。</w:t>
      </w:r>
    </w:p>
    <w:p>
      <w:pPr>
        <w:spacing w:line="360" w:lineRule="auto"/>
        <w:ind w:firstLine="472" w:firstLineChars="22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bidi="ar"/>
        </w:rPr>
        <w:t>条款号： 41.2.</w:t>
      </w:r>
      <w:r>
        <w:rPr>
          <w:rFonts w:hint="eastAsia" w:ascii="宋体" w:hAnsi="宋体" w:cs="宋体"/>
          <w:b/>
          <w:color w:val="auto"/>
          <w:sz w:val="21"/>
          <w:szCs w:val="21"/>
          <w:highlight w:val="none"/>
          <w:lang w:eastAsia="zh-CN" w:bidi="ar"/>
        </w:rPr>
        <w:t>3</w:t>
      </w:r>
      <w:r>
        <w:rPr>
          <w:rFonts w:hint="eastAsia" w:ascii="宋体" w:hAnsi="宋体" w:eastAsia="宋体" w:cs="宋体"/>
          <w:b/>
          <w:color w:val="auto"/>
          <w:sz w:val="21"/>
          <w:szCs w:val="21"/>
          <w:highlight w:val="none"/>
          <w:lang w:bidi="ar"/>
        </w:rPr>
        <w:t xml:space="preserve">            修改类型：修改</w:t>
      </w:r>
    </w:p>
    <w:p>
      <w:pPr>
        <w:spacing w:line="360" w:lineRule="auto"/>
        <w:ind w:firstLine="472" w:firstLineChars="22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bidi="ar"/>
        </w:rPr>
        <w:t>原文：</w:t>
      </w:r>
      <w:r>
        <w:rPr>
          <w:rFonts w:hint="eastAsia" w:ascii="宋体" w:hAnsi="宋体" w:eastAsia="宋体" w:cs="宋体"/>
          <w:bCs/>
          <w:color w:val="auto"/>
          <w:sz w:val="21"/>
          <w:szCs w:val="21"/>
          <w:highlight w:val="none"/>
          <w:lang w:bidi="ar"/>
        </w:rPr>
        <w:t>开标时，投标人代表有权出席开标会，也可以自主决定不参加开标会，若投标人代表对开标过程提出异议，该投标人代表须同时出示本人身份证原件。</w:t>
      </w:r>
    </w:p>
    <w:p>
      <w:pPr>
        <w:pBdr>
          <w:bottom w:val="single" w:color="000001" w:sz="4" w:space="1"/>
        </w:pBdr>
        <w:spacing w:line="360" w:lineRule="auto"/>
        <w:ind w:firstLine="472" w:firstLineChars="224"/>
        <w:rPr>
          <w:rFonts w:hint="eastAsia" w:ascii="宋体" w:hAnsi="宋体" w:cs="宋体"/>
          <w:b/>
          <w:color w:val="auto"/>
          <w:szCs w:val="21"/>
          <w:highlight w:val="none"/>
        </w:rPr>
      </w:pPr>
      <w:r>
        <w:rPr>
          <w:rFonts w:hint="eastAsia" w:ascii="宋体" w:hAnsi="宋体" w:eastAsia="宋体" w:cs="宋体"/>
          <w:b/>
          <w:color w:val="auto"/>
          <w:sz w:val="21"/>
          <w:szCs w:val="21"/>
          <w:highlight w:val="none"/>
          <w:lang w:bidi="ar"/>
        </w:rPr>
        <w:t>现文：</w:t>
      </w:r>
      <w:r>
        <w:rPr>
          <w:rFonts w:hint="eastAsia" w:ascii="宋体" w:hAnsi="宋体" w:eastAsia="宋体" w:cs="宋体"/>
          <w:bCs/>
          <w:color w:val="auto"/>
          <w:sz w:val="21"/>
          <w:szCs w:val="21"/>
          <w:highlight w:val="none"/>
          <w:lang w:bidi="ar"/>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pPr>
        <w:spacing w:line="48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条款号：41.3             修改类型：修改</w:t>
      </w:r>
    </w:p>
    <w:p>
      <w:pPr>
        <w:spacing w:line="360" w:lineRule="auto"/>
        <w:ind w:firstLine="472" w:firstLineChars="224"/>
        <w:rPr>
          <w:rFonts w:ascii="宋体" w:hAnsi="宋体" w:cs="宋体"/>
          <w:b/>
          <w:color w:val="auto"/>
          <w:sz w:val="18"/>
          <w:szCs w:val="18"/>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41.3招标人对开标过程进行记录，并存档备查，投标人在技术标开标记录上签字。</w:t>
      </w:r>
    </w:p>
    <w:p>
      <w:pPr>
        <w:pBdr>
          <w:bottom w:val="single" w:color="auto" w:sz="6" w:space="1"/>
        </w:pBdr>
        <w:spacing w:line="360" w:lineRule="auto"/>
        <w:ind w:firstLine="527" w:firstLineChars="250"/>
        <w:rPr>
          <w:rFonts w:ascii="宋体" w:hAnsi="宋体" w:cs="宋体"/>
          <w:color w:val="auto"/>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rPr>
        <w:t>41.3招标人</w:t>
      </w:r>
      <w:r>
        <w:rPr>
          <w:rFonts w:hint="eastAsia" w:ascii="宋体" w:hAnsi="宋体" w:cs="宋体"/>
          <w:color w:val="auto"/>
          <w:szCs w:val="21"/>
          <w:highlight w:val="none"/>
          <w:u w:val="single"/>
        </w:rPr>
        <w:t>或招标代理</w:t>
      </w:r>
      <w:r>
        <w:rPr>
          <w:rFonts w:hint="eastAsia" w:ascii="宋体" w:hAnsi="宋体" w:cs="宋体"/>
          <w:color w:val="auto"/>
          <w:szCs w:val="21"/>
          <w:highlight w:val="none"/>
        </w:rPr>
        <w:t>对开标过程进行记录，并存档备查，</w:t>
      </w:r>
      <w:r>
        <w:rPr>
          <w:rFonts w:hint="eastAsia" w:ascii="宋体" w:hAnsi="宋体" w:cs="宋体"/>
          <w:color w:val="auto"/>
          <w:szCs w:val="21"/>
          <w:highlight w:val="none"/>
          <w:u w:val="single"/>
          <w:lang w:eastAsia="zh-CN"/>
        </w:rPr>
        <w:t>参加开标会的</w:t>
      </w:r>
      <w:r>
        <w:rPr>
          <w:rFonts w:hint="eastAsia" w:ascii="宋体" w:hAnsi="宋体" w:cs="宋体"/>
          <w:color w:val="auto"/>
          <w:szCs w:val="21"/>
          <w:highlight w:val="none"/>
        </w:rPr>
        <w:t>投标人在开标记录上签字</w:t>
      </w:r>
      <w:r>
        <w:rPr>
          <w:rFonts w:hint="eastAsia" w:ascii="宋体" w:hAnsi="宋体" w:cs="宋体"/>
          <w:color w:val="auto"/>
          <w:szCs w:val="21"/>
          <w:highlight w:val="none"/>
          <w:u w:val="single"/>
        </w:rPr>
        <w:t>，投标人未签字且未提出异议的将被视为默认开标结果</w:t>
      </w:r>
      <w:r>
        <w:rPr>
          <w:rFonts w:hint="eastAsia" w:ascii="宋体" w:hAnsi="宋体" w:cs="宋体"/>
          <w:color w:val="auto"/>
          <w:szCs w:val="21"/>
          <w:highlight w:val="none"/>
        </w:rPr>
        <w:t>。</w:t>
      </w:r>
    </w:p>
    <w:p>
      <w:pPr>
        <w:keepNext w:val="0"/>
        <w:keepLines w:val="0"/>
        <w:widowControl w:val="0"/>
        <w:suppressLineNumbers w:val="0"/>
        <w:pBdr>
          <w:top w:val="none" w:color="auto" w:sz="0" w:space="0"/>
        </w:pBdr>
        <w:spacing w:before="0" w:beforeAutospacing="0" w:after="0" w:afterAutospacing="0" w:line="360" w:lineRule="auto"/>
        <w:ind w:left="0" w:right="0" w:firstLine="422" w:firstLineChars="200"/>
        <w:jc w:val="both"/>
        <w:rPr>
          <w:rFonts w:hint="eastAsia" w:ascii="宋体" w:hAnsi="宋体" w:eastAsia="宋体" w:cs="宋体"/>
          <w:b/>
          <w:bCs w:val="0"/>
          <w:color w:val="auto"/>
          <w:sz w:val="21"/>
          <w:szCs w:val="21"/>
          <w:highlight w:val="none"/>
          <w:lang w:val="en-US"/>
        </w:rPr>
      </w:pPr>
      <w:r>
        <w:rPr>
          <w:rFonts w:hint="eastAsia" w:ascii="宋体" w:hAnsi="宋体" w:eastAsia="宋体" w:cs="宋体"/>
          <w:b/>
          <w:bCs w:val="0"/>
          <w:color w:val="auto"/>
          <w:kern w:val="2"/>
          <w:sz w:val="21"/>
          <w:szCs w:val="21"/>
          <w:highlight w:val="none"/>
          <w:lang w:val="en-US" w:eastAsia="zh-CN" w:bidi="ar"/>
        </w:rPr>
        <w:t>条款号：41.</w:t>
      </w:r>
      <w:r>
        <w:rPr>
          <w:rFonts w:hint="eastAsia" w:ascii="宋体" w:hAnsi="宋体" w:cs="宋体"/>
          <w:b/>
          <w:bCs w:val="0"/>
          <w:color w:val="auto"/>
          <w:kern w:val="2"/>
          <w:sz w:val="21"/>
          <w:szCs w:val="21"/>
          <w:highlight w:val="none"/>
          <w:lang w:val="en-US" w:eastAsia="zh-CN" w:bidi="ar"/>
        </w:rPr>
        <w:t>4</w:t>
      </w:r>
      <w:r>
        <w:rPr>
          <w:rFonts w:hint="eastAsia" w:ascii="宋体" w:hAnsi="宋体" w:eastAsia="宋体" w:cs="宋体"/>
          <w:b/>
          <w:bCs w:val="0"/>
          <w:color w:val="auto"/>
          <w:kern w:val="2"/>
          <w:sz w:val="21"/>
          <w:szCs w:val="21"/>
          <w:highlight w:val="none"/>
          <w:lang w:val="en-US" w:eastAsia="zh-CN" w:bidi="ar"/>
        </w:rPr>
        <w:t xml:space="preserve">                      修改类型：修改</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22"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b/>
          <w:bCs w:val="0"/>
          <w:color w:val="auto"/>
          <w:kern w:val="2"/>
          <w:sz w:val="21"/>
          <w:szCs w:val="21"/>
          <w:highlight w:val="none"/>
          <w:lang w:val="en-US" w:eastAsia="zh-CN" w:bidi="ar"/>
        </w:rPr>
        <w:t>原文：</w:t>
      </w:r>
      <w:r>
        <w:rPr>
          <w:rFonts w:hint="eastAsia" w:ascii="宋体" w:hAnsi="宋体" w:eastAsia="宋体" w:cs="宋体"/>
          <w:bCs/>
          <w:color w:val="auto"/>
          <w:kern w:val="2"/>
          <w:sz w:val="21"/>
          <w:szCs w:val="21"/>
          <w:highlight w:val="none"/>
          <w:lang w:val="en-US" w:eastAsia="zh-CN" w:bidi="ar"/>
        </w:rPr>
        <w:t>41.</w:t>
      </w:r>
      <w:r>
        <w:rPr>
          <w:rFonts w:hint="eastAsia" w:ascii="宋体" w:hAnsi="宋体" w:cs="宋体"/>
          <w:bCs/>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招标人将上述符合要求的投标文件，送至评标委员会进行评审。</w:t>
      </w:r>
    </w:p>
    <w:p>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22" w:firstLineChars="200"/>
        <w:jc w:val="both"/>
        <w:rPr>
          <w:rFonts w:hint="eastAsia" w:ascii="宋体" w:hAnsi="宋体" w:eastAsia="宋体" w:cs="宋体"/>
          <w:b/>
          <w:bCs w:val="0"/>
          <w:color w:val="auto"/>
          <w:sz w:val="21"/>
          <w:szCs w:val="21"/>
          <w:highlight w:val="none"/>
          <w:lang w:val="en-US"/>
        </w:rPr>
      </w:pPr>
      <w:r>
        <w:rPr>
          <w:rFonts w:hint="eastAsia" w:ascii="宋体" w:hAnsi="宋体" w:eastAsia="宋体" w:cs="宋体"/>
          <w:b/>
          <w:bCs w:val="0"/>
          <w:color w:val="auto"/>
          <w:kern w:val="2"/>
          <w:sz w:val="21"/>
          <w:szCs w:val="21"/>
          <w:highlight w:val="none"/>
          <w:lang w:val="en-US" w:eastAsia="zh-CN" w:bidi="ar"/>
        </w:rPr>
        <w:t>现文：</w:t>
      </w:r>
      <w:r>
        <w:rPr>
          <w:rFonts w:hint="eastAsia" w:ascii="宋体" w:hAnsi="宋体" w:eastAsia="宋体" w:cs="宋体"/>
          <w:bCs/>
          <w:color w:val="auto"/>
          <w:kern w:val="2"/>
          <w:sz w:val="21"/>
          <w:szCs w:val="21"/>
          <w:highlight w:val="none"/>
          <w:lang w:val="en-US" w:eastAsia="zh-CN" w:bidi="ar"/>
        </w:rPr>
        <w:t>41.</w:t>
      </w:r>
      <w:r>
        <w:rPr>
          <w:rFonts w:hint="eastAsia" w:ascii="宋体" w:hAnsi="宋体" w:cs="宋体"/>
          <w:bCs/>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招标人</w:t>
      </w:r>
      <w:r>
        <w:rPr>
          <w:rFonts w:hint="eastAsia" w:ascii="宋体" w:hAnsi="宋体" w:eastAsia="宋体" w:cs="宋体"/>
          <w:color w:val="auto"/>
          <w:kern w:val="2"/>
          <w:sz w:val="21"/>
          <w:szCs w:val="21"/>
          <w:highlight w:val="none"/>
          <w:u w:val="single"/>
          <w:lang w:val="en-US" w:eastAsia="zh-CN" w:bidi="ar"/>
        </w:rPr>
        <w:t>或招标代理</w:t>
      </w:r>
      <w:r>
        <w:rPr>
          <w:rFonts w:hint="eastAsia" w:ascii="宋体" w:hAnsi="宋体" w:eastAsia="宋体" w:cs="宋体"/>
          <w:color w:val="auto"/>
          <w:kern w:val="2"/>
          <w:sz w:val="21"/>
          <w:szCs w:val="21"/>
          <w:highlight w:val="none"/>
          <w:lang w:val="en-US" w:eastAsia="zh-CN" w:bidi="ar"/>
        </w:rPr>
        <w:t>将上述符合要求的投标文件，送至评标委员会进行评审。</w:t>
      </w:r>
    </w:p>
    <w:p>
      <w:pPr>
        <w:spacing w:line="48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条款号：42.2             修改类型：修改</w:t>
      </w:r>
    </w:p>
    <w:p>
      <w:pPr>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评标委员会的组成：方式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方式一：评标委员会为综合评标委员会，负责资格审查及评标工作。</w:t>
      </w:r>
    </w:p>
    <w:p>
      <w:pPr>
        <w:spacing w:line="360" w:lineRule="auto"/>
        <w:ind w:firstLine="470" w:firstLineChars="224"/>
        <w:rPr>
          <w:rFonts w:ascii="宋体" w:hAnsi="宋体" w:cs="宋体"/>
          <w:b/>
          <w:color w:val="auto"/>
          <w:sz w:val="15"/>
          <w:szCs w:val="15"/>
          <w:highlight w:val="none"/>
        </w:rPr>
      </w:pPr>
      <w:r>
        <w:rPr>
          <w:rFonts w:hint="eastAsia" w:ascii="宋体" w:hAnsi="宋体" w:cs="宋体"/>
          <w:color w:val="auto"/>
          <w:szCs w:val="21"/>
          <w:highlight w:val="none"/>
        </w:rPr>
        <w:t>方式二：评标委员会由技术评审组和经济评审组组成。其中：资格审查及技术评审由技术评标组负责，经济评审由经济评审组负责。</w:t>
      </w:r>
    </w:p>
    <w:p>
      <w:pPr>
        <w:pStyle w:val="37"/>
        <w:tabs>
          <w:tab w:val="left" w:pos="7380"/>
        </w:tabs>
        <w:snapToGrid w:val="0"/>
        <w:spacing w:after="0"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rPr>
        <w:t>评标委员会的组成：方式</w:t>
      </w:r>
      <w:r>
        <w:rPr>
          <w:rFonts w:hint="eastAsia" w:ascii="宋体" w:hAnsi="宋体" w:cs="宋体"/>
          <w:color w:val="auto"/>
          <w:szCs w:val="21"/>
          <w:highlight w:val="none"/>
          <w:u w:val="single"/>
        </w:rPr>
        <w:t xml:space="preserve"> 一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方式一：评标委员会为综合评标委员会，负责资格审查及评标工作。</w:t>
      </w:r>
    </w:p>
    <w:p>
      <w:pPr>
        <w:pBdr>
          <w:bottom w:val="single" w:color="auto" w:sz="6" w:space="1"/>
        </w:pBdr>
        <w:spacing w:line="360" w:lineRule="auto"/>
        <w:ind w:firstLine="525" w:firstLineChars="250"/>
        <w:rPr>
          <w:rFonts w:ascii="宋体" w:hAnsi="宋体" w:cs="宋体"/>
          <w:color w:val="auto"/>
          <w:sz w:val="18"/>
          <w:szCs w:val="20"/>
          <w:highlight w:val="none"/>
        </w:rPr>
      </w:pPr>
      <w:r>
        <w:rPr>
          <w:rFonts w:hint="eastAsia" w:ascii="宋体" w:hAnsi="宋体" w:cs="宋体"/>
          <w:strike/>
          <w:color w:val="auto"/>
          <w:szCs w:val="21"/>
          <w:highlight w:val="none"/>
        </w:rPr>
        <w:t>方式二：评标委员会由技术评审组和经济评审组组成。其中：资格审查及技术评审由技术评标组负责，经济评审由经济评审组负责。</w:t>
      </w:r>
    </w:p>
    <w:p>
      <w:pPr>
        <w:spacing w:line="48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条款号：45.1             修改类型：修改</w:t>
      </w:r>
    </w:p>
    <w:p>
      <w:pPr>
        <w:spacing w:line="36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若通过技术标有效性审查的投标人中有投标报价均大于等于最高投标限价*D%（D的取值范围为[94,100],由招标人自主确定）的（具体金额为：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元），则本项目招标失败，由招标人依法重新招标。</w:t>
      </w:r>
    </w:p>
    <w:p>
      <w:pPr>
        <w:pBdr>
          <w:bottom w:val="single" w:color="auto" w:sz="6" w:space="1"/>
        </w:pBdr>
        <w:spacing w:line="360" w:lineRule="auto"/>
        <w:ind w:firstLine="527" w:firstLineChars="250"/>
        <w:rPr>
          <w:rFonts w:ascii="宋体" w:hAnsi="宋体" w:cs="宋体"/>
          <w:color w:val="auto"/>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rPr>
        <w:t>若通过技术标有效性审查的投标人中所有投标报价均大于等于最高投标限价，则本项目招标失败，由招标人依法重新招标。</w:t>
      </w:r>
    </w:p>
    <w:p>
      <w:pPr>
        <w:spacing w:line="48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条款号：45.2             修改类型：修改</w:t>
      </w:r>
    </w:p>
    <w:p>
      <w:pPr>
        <w:pStyle w:val="37"/>
        <w:tabs>
          <w:tab w:val="left" w:pos="7380"/>
        </w:tabs>
        <w:snapToGrid w:val="0"/>
        <w:spacing w:after="0"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按方法</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计算评标参考价：</w:t>
      </w:r>
    </w:p>
    <w:p>
      <w:pPr>
        <w:widowControl/>
        <w:spacing w:line="360" w:lineRule="auto"/>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方法一：加权平均法</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技术标或技术标加诚信得分（具体由招标人自定）前N名（N≥5，具体由招标人自定）的经济报价加权平均，计算评标参考价。公式如下：</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评标参考价=Σ（投标人的投标报价*报价权重）。</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其中：报价权重的计算方法为：将N名投标人按技术分由高至低进行排序，第一名投标人的权重为（</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QUOTE </w:instrText>
      </w:r>
      <w:r>
        <w:rPr>
          <w:rFonts w:hint="eastAsia" w:ascii="宋体" w:hAnsi="宋体" w:cs="宋体"/>
          <w:color w:val="auto"/>
          <w:szCs w:val="21"/>
          <w:highlight w:val="none"/>
        </w:rPr>
        <w:drawing>
          <wp:inline distT="0" distB="0" distL="114300" distR="114300">
            <wp:extent cx="381000" cy="447675"/>
            <wp:effectExtent l="0" t="0" r="0" b="889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381000" cy="447675"/>
                    </a:xfrm>
                    <a:prstGeom prst="rect">
                      <a:avLst/>
                    </a:prstGeom>
                    <a:noFill/>
                    <a:ln>
                      <a:noFill/>
                    </a:ln>
                  </pic:spPr>
                </pic:pic>
              </a:graphicData>
            </a:graphic>
          </wp:inline>
        </w:drawing>
      </w:r>
      <w:r>
        <w:rPr>
          <w:rFonts w:hint="eastAsia" w:ascii="宋体" w:hAnsi="宋体" w:cs="宋体"/>
          <w:color w:val="auto"/>
          <w:szCs w:val="21"/>
          <w:highlight w:val="none"/>
        </w:rPr>
        <w:fldChar w:fldCharType="separate"/>
      </w:r>
      <w:r>
        <w:rPr>
          <w:rFonts w:hint="eastAsia" w:ascii="宋体" w:hAnsi="宋体" w:cs="宋体"/>
          <w:color w:val="auto"/>
          <w:szCs w:val="21"/>
          <w:highlight w:val="none"/>
        </w:rPr>
        <w:drawing>
          <wp:inline distT="0" distB="0" distL="114300" distR="114300">
            <wp:extent cx="381000" cy="447675"/>
            <wp:effectExtent l="0" t="0" r="0" b="889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381000" cy="447675"/>
                    </a:xfrm>
                    <a:prstGeom prst="rect">
                      <a:avLst/>
                    </a:prstGeom>
                    <a:noFill/>
                    <a:ln>
                      <a:noFill/>
                    </a:ln>
                  </pic:spPr>
                </pic:pic>
              </a:graphicData>
            </a:graphic>
          </wp:inline>
        </w:drawing>
      </w:r>
      <w:r>
        <w:rPr>
          <w:rFonts w:hint="eastAsia" w:ascii="宋体" w:hAnsi="宋体" w:cs="宋体"/>
          <w:color w:val="auto"/>
          <w:szCs w:val="21"/>
          <w:highlight w:val="none"/>
        </w:rPr>
        <w:fldChar w:fldCharType="end"/>
      </w:r>
      <w:r>
        <w:rPr>
          <w:rFonts w:hint="eastAsia" w:ascii="宋体" w:hAnsi="宋体" w:cs="宋体"/>
          <w:color w:val="auto"/>
          <w:szCs w:val="21"/>
          <w:highlight w:val="none"/>
        </w:rPr>
        <w:t>），第二名投标人的权重为（</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QUOTE </w:instrText>
      </w:r>
      <w:r>
        <w:rPr>
          <w:rFonts w:hint="eastAsia" w:ascii="宋体" w:hAnsi="宋体" w:cs="宋体"/>
          <w:color w:val="auto"/>
          <w:position w:val="-23"/>
          <w:szCs w:val="21"/>
          <w:highlight w:val="none"/>
        </w:rPr>
        <w:drawing>
          <wp:inline distT="0" distB="0" distL="114300" distR="114300">
            <wp:extent cx="323850" cy="400050"/>
            <wp:effectExtent l="0" t="0" r="0"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cs="宋体"/>
          <w:color w:val="auto"/>
          <w:szCs w:val="21"/>
          <w:highlight w:val="none"/>
        </w:rPr>
        <w:fldChar w:fldCharType="separate"/>
      </w:r>
      <w:r>
        <w:rPr>
          <w:rFonts w:hint="eastAsia" w:ascii="宋体" w:hAnsi="宋体" w:cs="宋体"/>
          <w:color w:val="auto"/>
          <w:position w:val="-23"/>
          <w:szCs w:val="21"/>
          <w:highlight w:val="none"/>
        </w:rPr>
        <w:drawing>
          <wp:inline distT="0" distB="0" distL="114300" distR="114300">
            <wp:extent cx="323850" cy="400050"/>
            <wp:effectExtent l="0" t="0" r="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cs="宋体"/>
          <w:color w:val="auto"/>
          <w:szCs w:val="21"/>
          <w:highlight w:val="none"/>
        </w:rPr>
        <w:fldChar w:fldCharType="end"/>
      </w:r>
      <w:r>
        <w:rPr>
          <w:rFonts w:hint="eastAsia" w:ascii="宋体" w:hAnsi="宋体" w:cs="宋体"/>
          <w:color w:val="auto"/>
          <w:szCs w:val="21"/>
          <w:highlight w:val="none"/>
        </w:rPr>
        <w:t>），以此类推，最后一名投标人的权重为（</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QUOTE </w:instrText>
      </w:r>
      <w:r>
        <w:rPr>
          <w:rFonts w:hint="eastAsia" w:ascii="宋体" w:hAnsi="宋体" w:cs="宋体"/>
          <w:color w:val="auto"/>
          <w:position w:val="-23"/>
          <w:szCs w:val="21"/>
          <w:highlight w:val="none"/>
        </w:rPr>
        <w:drawing>
          <wp:inline distT="0" distB="0" distL="114300" distR="114300">
            <wp:extent cx="323850" cy="400050"/>
            <wp:effectExtent l="0" t="0" r="0" b="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cs="宋体"/>
          <w:color w:val="auto"/>
          <w:szCs w:val="21"/>
          <w:highlight w:val="none"/>
        </w:rPr>
        <w:fldChar w:fldCharType="separate"/>
      </w:r>
      <w:r>
        <w:rPr>
          <w:rFonts w:hint="eastAsia" w:ascii="宋体" w:hAnsi="宋体" w:cs="宋体"/>
          <w:color w:val="auto"/>
          <w:position w:val="-23"/>
          <w:szCs w:val="21"/>
          <w:highlight w:val="none"/>
        </w:rPr>
        <w:drawing>
          <wp:inline distT="0" distB="0" distL="114300" distR="114300">
            <wp:extent cx="323850" cy="400050"/>
            <wp:effectExtent l="0" t="0" r="0" b="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cs="宋体"/>
          <w:color w:val="auto"/>
          <w:szCs w:val="21"/>
          <w:highlight w:val="none"/>
        </w:rPr>
        <w:fldChar w:fldCharType="end"/>
      </w:r>
      <w:r>
        <w:rPr>
          <w:rFonts w:hint="eastAsia" w:ascii="宋体" w:hAnsi="宋体" w:cs="宋体"/>
          <w:color w:val="auto"/>
          <w:szCs w:val="21"/>
          <w:highlight w:val="none"/>
        </w:rPr>
        <w:t>）。</w:t>
      </w:r>
    </w:p>
    <w:p>
      <w:pPr>
        <w:widowControl/>
        <w:spacing w:line="360" w:lineRule="auto"/>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方法二：区间抽取法</w:t>
      </w:r>
    </w:p>
    <w:p>
      <w:pPr>
        <w:widowControl/>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设立入围合格分数线（技术标或技术标加诚信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pPr>
        <w:widowControl/>
        <w:snapToGrid w:val="0"/>
        <w:spacing w:line="360" w:lineRule="auto"/>
        <w:ind w:firstLine="420" w:firstLineChars="200"/>
        <w:rPr>
          <w:rFonts w:ascii="宋体" w:hAnsi="宋体" w:cs="宋体"/>
          <w:color w:val="auto"/>
          <w:kern w:val="0"/>
          <w:szCs w:val="21"/>
          <w:highlight w:val="none"/>
          <w:vertAlign w:val="subscript"/>
        </w:rPr>
      </w:pPr>
      <w:r>
        <w:rPr>
          <w:rFonts w:hint="eastAsia" w:ascii="宋体" w:hAnsi="宋体" w:cs="宋体"/>
          <w:color w:val="auto"/>
          <w:kern w:val="0"/>
          <w:szCs w:val="21"/>
          <w:highlight w:val="none"/>
        </w:rPr>
        <w:t>评标参考价=（Q</w:t>
      </w:r>
      <w:r>
        <w:rPr>
          <w:rFonts w:hint="eastAsia" w:ascii="宋体" w:hAnsi="宋体" w:cs="宋体"/>
          <w:color w:val="auto"/>
          <w:kern w:val="0"/>
          <w:szCs w:val="21"/>
          <w:highlight w:val="none"/>
          <w:vertAlign w:val="subscript"/>
        </w:rPr>
        <w:t>高</w:t>
      </w:r>
      <w:r>
        <w:rPr>
          <w:rFonts w:hint="eastAsia" w:ascii="宋体" w:hAnsi="宋体" w:cs="宋体"/>
          <w:color w:val="auto"/>
          <w:kern w:val="0"/>
          <w:szCs w:val="21"/>
          <w:highlight w:val="none"/>
        </w:rPr>
        <w:t>-Q</w:t>
      </w:r>
      <w:r>
        <w:rPr>
          <w:rFonts w:hint="eastAsia" w:ascii="宋体" w:hAnsi="宋体" w:cs="宋体"/>
          <w:color w:val="auto"/>
          <w:kern w:val="0"/>
          <w:szCs w:val="21"/>
          <w:highlight w:val="none"/>
          <w:vertAlign w:val="subscript"/>
        </w:rPr>
        <w:t>低</w:t>
      </w:r>
      <w:r>
        <w:rPr>
          <w:rFonts w:hint="eastAsia" w:ascii="宋体" w:hAnsi="宋体" w:cs="宋体"/>
          <w:color w:val="auto"/>
          <w:kern w:val="0"/>
          <w:szCs w:val="21"/>
          <w:highlight w:val="none"/>
        </w:rPr>
        <w:t>）/100*Ｘ+Q</w:t>
      </w:r>
      <w:r>
        <w:rPr>
          <w:rFonts w:hint="eastAsia" w:ascii="宋体" w:hAnsi="宋体" w:cs="宋体"/>
          <w:color w:val="auto"/>
          <w:kern w:val="0"/>
          <w:szCs w:val="21"/>
          <w:highlight w:val="none"/>
          <w:vertAlign w:val="subscript"/>
        </w:rPr>
        <w:t>低</w:t>
      </w:r>
    </w:p>
    <w:p>
      <w:pPr>
        <w:widowControl/>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Q</w:t>
      </w:r>
      <w:r>
        <w:rPr>
          <w:rFonts w:hint="eastAsia" w:ascii="宋体" w:hAnsi="宋体" w:cs="宋体"/>
          <w:color w:val="auto"/>
          <w:szCs w:val="21"/>
          <w:highlight w:val="none"/>
          <w:vertAlign w:val="subscript"/>
        </w:rPr>
        <w:t>低</w:t>
      </w:r>
      <w:r>
        <w:rPr>
          <w:rFonts w:hint="eastAsia" w:ascii="宋体" w:hAnsi="宋体" w:cs="宋体"/>
          <w:color w:val="auto"/>
          <w:szCs w:val="21"/>
          <w:highlight w:val="none"/>
        </w:rPr>
        <w:t>：为达到或超过技术标及格分数线的投标人最低报价与工程成本警示价两者中的较高值；</w:t>
      </w:r>
    </w:p>
    <w:p>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Q</w:t>
      </w:r>
      <w:r>
        <w:rPr>
          <w:rFonts w:hint="eastAsia" w:ascii="宋体" w:hAnsi="宋体" w:cs="宋体"/>
          <w:color w:val="auto"/>
          <w:kern w:val="0"/>
          <w:szCs w:val="21"/>
          <w:highlight w:val="none"/>
          <w:vertAlign w:val="subscript"/>
        </w:rPr>
        <w:t>高</w:t>
      </w:r>
      <w:r>
        <w:rPr>
          <w:rFonts w:hint="eastAsia" w:ascii="宋体" w:hAnsi="宋体" w:cs="宋体"/>
          <w:color w:val="auto"/>
          <w:szCs w:val="21"/>
          <w:highlight w:val="none"/>
        </w:rPr>
        <w:t>：为（最高投标限价*D%）（D的取值范围为[94,100],由招标人自定）</w:t>
      </w:r>
    </w:p>
    <w:p>
      <w:pPr>
        <w:spacing w:line="360" w:lineRule="auto"/>
        <w:ind w:firstLine="470" w:firstLineChars="224"/>
        <w:rPr>
          <w:rFonts w:ascii="宋体" w:hAnsi="宋体" w:cs="宋体"/>
          <w:b/>
          <w:color w:val="auto"/>
          <w:sz w:val="18"/>
          <w:szCs w:val="18"/>
          <w:highlight w:val="none"/>
        </w:rPr>
      </w:pPr>
      <w:r>
        <w:rPr>
          <w:rFonts w:hint="eastAsia" w:ascii="宋体" w:hAnsi="宋体" w:cs="宋体"/>
          <w:color w:val="auto"/>
          <w:szCs w:val="21"/>
          <w:highlight w:val="none"/>
        </w:rPr>
        <w:t>X:为等分点值，从[0,100]整数中随机抽取</w:t>
      </w:r>
    </w:p>
    <w:p>
      <w:pPr>
        <w:pStyle w:val="37"/>
        <w:tabs>
          <w:tab w:val="left" w:pos="7380"/>
        </w:tabs>
        <w:snapToGrid w:val="0"/>
        <w:spacing w:after="0"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rPr>
        <w:t>按方法</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计算评标参考价：</w:t>
      </w:r>
    </w:p>
    <w:p>
      <w:pPr>
        <w:widowControl/>
        <w:spacing w:line="360" w:lineRule="auto"/>
        <w:ind w:firstLine="422" w:firstLineChars="200"/>
        <w:rPr>
          <w:rFonts w:ascii="宋体" w:hAnsi="宋体" w:cs="宋体"/>
          <w:b/>
          <w:bCs/>
          <w:strike/>
          <w:color w:val="auto"/>
          <w:kern w:val="0"/>
          <w:szCs w:val="21"/>
          <w:highlight w:val="none"/>
        </w:rPr>
      </w:pPr>
      <w:r>
        <w:rPr>
          <w:rFonts w:hint="eastAsia" w:ascii="宋体" w:hAnsi="宋体" w:cs="宋体"/>
          <w:b/>
          <w:bCs/>
          <w:strike/>
          <w:color w:val="auto"/>
          <w:kern w:val="0"/>
          <w:szCs w:val="21"/>
          <w:highlight w:val="none"/>
        </w:rPr>
        <w:t>方法一：加权平均法</w:t>
      </w:r>
    </w:p>
    <w:p>
      <w:pPr>
        <w:spacing w:line="360" w:lineRule="auto"/>
        <w:ind w:firstLine="420" w:firstLineChars="200"/>
        <w:rPr>
          <w:rFonts w:ascii="宋体" w:hAnsi="宋体" w:cs="宋体"/>
          <w:strike/>
          <w:color w:val="auto"/>
          <w:szCs w:val="21"/>
          <w:highlight w:val="none"/>
        </w:rPr>
      </w:pPr>
      <w:r>
        <w:rPr>
          <w:rFonts w:hint="eastAsia" w:ascii="宋体" w:hAnsi="宋体" w:cs="宋体"/>
          <w:strike/>
          <w:color w:val="auto"/>
          <w:szCs w:val="21"/>
          <w:highlight w:val="none"/>
          <w:u w:val="single"/>
        </w:rPr>
        <w:t>技术标前 5 名</w:t>
      </w:r>
      <w:r>
        <w:rPr>
          <w:rFonts w:hint="eastAsia" w:ascii="宋体" w:hAnsi="宋体" w:cs="宋体"/>
          <w:strike/>
          <w:color w:val="auto"/>
          <w:szCs w:val="21"/>
          <w:highlight w:val="none"/>
        </w:rPr>
        <w:t>（N≥5，具体由招标人自定）的经济报价加权平均，计算评标参考价；</w:t>
      </w:r>
      <w:r>
        <w:rPr>
          <w:rFonts w:hint="eastAsia" w:ascii="宋体" w:hAnsi="宋体" w:cs="宋体"/>
          <w:strike/>
          <w:color w:val="auto"/>
          <w:szCs w:val="21"/>
          <w:highlight w:val="none"/>
          <w:u w:val="single"/>
        </w:rPr>
        <w:t>若通过经济标有效性审查的投标单位不足5家，以投标单位家数为N值，计算评标参考价。</w:t>
      </w:r>
      <w:r>
        <w:rPr>
          <w:rFonts w:hint="eastAsia" w:ascii="宋体" w:hAnsi="宋体" w:cs="宋体"/>
          <w:strike/>
          <w:color w:val="auto"/>
          <w:szCs w:val="21"/>
          <w:highlight w:val="none"/>
        </w:rPr>
        <w:t>公式如下：</w:t>
      </w:r>
    </w:p>
    <w:p>
      <w:pPr>
        <w:spacing w:line="360" w:lineRule="auto"/>
        <w:ind w:firstLine="420" w:firstLineChars="200"/>
        <w:rPr>
          <w:rFonts w:ascii="宋体" w:hAnsi="宋体" w:cs="宋体"/>
          <w:strike/>
          <w:color w:val="auto"/>
          <w:szCs w:val="21"/>
          <w:highlight w:val="none"/>
        </w:rPr>
      </w:pPr>
      <w:r>
        <w:rPr>
          <w:rFonts w:hint="eastAsia" w:ascii="宋体" w:hAnsi="宋体" w:cs="宋体"/>
          <w:strike/>
          <w:color w:val="auto"/>
          <w:szCs w:val="21"/>
          <w:highlight w:val="none"/>
        </w:rPr>
        <w:t>评标参考价=Σ（投标人的投标报价*报价权重）。</w:t>
      </w:r>
    </w:p>
    <w:p>
      <w:pPr>
        <w:spacing w:line="360" w:lineRule="auto"/>
        <w:ind w:firstLine="420" w:firstLineChars="200"/>
        <w:rPr>
          <w:rFonts w:ascii="宋体" w:hAnsi="宋体" w:cs="宋体"/>
          <w:strike/>
          <w:color w:val="auto"/>
          <w:szCs w:val="21"/>
          <w:highlight w:val="none"/>
        </w:rPr>
      </w:pPr>
      <w:r>
        <w:rPr>
          <w:rFonts w:hint="eastAsia" w:ascii="宋体" w:hAnsi="宋体" w:cs="宋体"/>
          <w:strike/>
          <w:color w:val="auto"/>
          <w:szCs w:val="21"/>
          <w:highlight w:val="none"/>
        </w:rPr>
        <w:t>其中：报价权重的计算方法为：将N名投标人按技术分由高至低进行排序，第一名投标人的权重为（</w:t>
      </w:r>
      <w:r>
        <w:rPr>
          <w:rFonts w:hint="eastAsia" w:ascii="宋体" w:hAnsi="宋体" w:cs="宋体"/>
          <w:strike/>
          <w:color w:val="auto"/>
          <w:szCs w:val="21"/>
          <w:highlight w:val="none"/>
        </w:rPr>
        <w:fldChar w:fldCharType="begin"/>
      </w:r>
      <w:r>
        <w:rPr>
          <w:rFonts w:hint="eastAsia" w:ascii="宋体" w:hAnsi="宋体" w:cs="宋体"/>
          <w:strike/>
          <w:color w:val="auto"/>
          <w:szCs w:val="21"/>
          <w:highlight w:val="none"/>
        </w:rPr>
        <w:instrText xml:space="preserve"> QUOTE </w:instrText>
      </w:r>
      <w:r>
        <w:rPr>
          <w:rFonts w:hint="eastAsia" w:ascii="宋体" w:hAnsi="宋体" w:cs="宋体"/>
          <w:strike/>
          <w:color w:val="auto"/>
          <w:szCs w:val="21"/>
          <w:highlight w:val="none"/>
        </w:rPr>
        <w:drawing>
          <wp:inline distT="0" distB="0" distL="114300" distR="114300">
            <wp:extent cx="381000" cy="447675"/>
            <wp:effectExtent l="0" t="0" r="0" b="889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381000" cy="447675"/>
                    </a:xfrm>
                    <a:prstGeom prst="rect">
                      <a:avLst/>
                    </a:prstGeom>
                    <a:noFill/>
                    <a:ln>
                      <a:noFill/>
                    </a:ln>
                  </pic:spPr>
                </pic:pic>
              </a:graphicData>
            </a:graphic>
          </wp:inline>
        </w:drawing>
      </w:r>
      <w:r>
        <w:rPr>
          <w:rFonts w:hint="eastAsia" w:ascii="宋体" w:hAnsi="宋体" w:cs="宋体"/>
          <w:strike/>
          <w:color w:val="auto"/>
          <w:szCs w:val="21"/>
          <w:highlight w:val="none"/>
        </w:rPr>
        <w:fldChar w:fldCharType="separate"/>
      </w:r>
      <w:r>
        <w:rPr>
          <w:rFonts w:hint="eastAsia" w:ascii="宋体" w:hAnsi="宋体" w:cs="宋体"/>
          <w:strike/>
          <w:color w:val="auto"/>
          <w:szCs w:val="21"/>
          <w:highlight w:val="none"/>
        </w:rPr>
        <w:drawing>
          <wp:inline distT="0" distB="0" distL="114300" distR="114300">
            <wp:extent cx="381000" cy="447675"/>
            <wp:effectExtent l="0" t="0" r="0" b="889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381000" cy="447675"/>
                    </a:xfrm>
                    <a:prstGeom prst="rect">
                      <a:avLst/>
                    </a:prstGeom>
                    <a:noFill/>
                    <a:ln>
                      <a:noFill/>
                    </a:ln>
                  </pic:spPr>
                </pic:pic>
              </a:graphicData>
            </a:graphic>
          </wp:inline>
        </w:drawing>
      </w:r>
      <w:r>
        <w:rPr>
          <w:rFonts w:hint="eastAsia" w:ascii="宋体" w:hAnsi="宋体" w:cs="宋体"/>
          <w:strike/>
          <w:color w:val="auto"/>
          <w:szCs w:val="21"/>
          <w:highlight w:val="none"/>
        </w:rPr>
        <w:fldChar w:fldCharType="end"/>
      </w:r>
      <w:r>
        <w:rPr>
          <w:rFonts w:hint="eastAsia" w:ascii="宋体" w:hAnsi="宋体" w:cs="宋体"/>
          <w:strike/>
          <w:color w:val="auto"/>
          <w:szCs w:val="21"/>
          <w:highlight w:val="none"/>
        </w:rPr>
        <w:t>），第二名投标人的权重为（</w:t>
      </w:r>
      <w:r>
        <w:rPr>
          <w:rFonts w:hint="eastAsia" w:ascii="宋体" w:hAnsi="宋体" w:cs="宋体"/>
          <w:strike/>
          <w:color w:val="auto"/>
          <w:szCs w:val="21"/>
          <w:highlight w:val="none"/>
        </w:rPr>
        <w:fldChar w:fldCharType="begin"/>
      </w:r>
      <w:r>
        <w:rPr>
          <w:rFonts w:hint="eastAsia" w:ascii="宋体" w:hAnsi="宋体" w:cs="宋体"/>
          <w:strike/>
          <w:color w:val="auto"/>
          <w:szCs w:val="21"/>
          <w:highlight w:val="none"/>
        </w:rPr>
        <w:instrText xml:space="preserve"> QUOTE </w:instrText>
      </w:r>
      <w:r>
        <w:rPr>
          <w:rFonts w:hint="eastAsia" w:ascii="宋体" w:hAnsi="宋体" w:cs="宋体"/>
          <w:strike/>
          <w:color w:val="auto"/>
          <w:position w:val="-23"/>
          <w:szCs w:val="21"/>
          <w:highlight w:val="none"/>
        </w:rPr>
        <w:drawing>
          <wp:inline distT="0" distB="0" distL="114300" distR="114300">
            <wp:extent cx="323850" cy="400050"/>
            <wp:effectExtent l="0" t="0" r="0" b="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cs="宋体"/>
          <w:strike/>
          <w:color w:val="auto"/>
          <w:szCs w:val="21"/>
          <w:highlight w:val="none"/>
        </w:rPr>
        <w:fldChar w:fldCharType="separate"/>
      </w:r>
      <w:r>
        <w:rPr>
          <w:rFonts w:hint="eastAsia" w:ascii="宋体" w:hAnsi="宋体" w:cs="宋体"/>
          <w:strike/>
          <w:color w:val="auto"/>
          <w:position w:val="-23"/>
          <w:szCs w:val="21"/>
          <w:highlight w:val="none"/>
        </w:rPr>
        <w:drawing>
          <wp:inline distT="0" distB="0" distL="114300" distR="114300">
            <wp:extent cx="323850" cy="400050"/>
            <wp:effectExtent l="0" t="0" r="0"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cs="宋体"/>
          <w:strike/>
          <w:color w:val="auto"/>
          <w:szCs w:val="21"/>
          <w:highlight w:val="none"/>
        </w:rPr>
        <w:fldChar w:fldCharType="end"/>
      </w:r>
      <w:r>
        <w:rPr>
          <w:rFonts w:hint="eastAsia" w:ascii="宋体" w:hAnsi="宋体" w:cs="宋体"/>
          <w:strike/>
          <w:color w:val="auto"/>
          <w:szCs w:val="21"/>
          <w:highlight w:val="none"/>
        </w:rPr>
        <w:t>），以此类推，最后一名投标人的权重为（</w:t>
      </w:r>
      <w:r>
        <w:rPr>
          <w:rFonts w:hint="eastAsia" w:ascii="宋体" w:hAnsi="宋体" w:cs="宋体"/>
          <w:strike/>
          <w:color w:val="auto"/>
          <w:szCs w:val="21"/>
          <w:highlight w:val="none"/>
        </w:rPr>
        <w:fldChar w:fldCharType="begin"/>
      </w:r>
      <w:r>
        <w:rPr>
          <w:rFonts w:hint="eastAsia" w:ascii="宋体" w:hAnsi="宋体" w:cs="宋体"/>
          <w:strike/>
          <w:color w:val="auto"/>
          <w:szCs w:val="21"/>
          <w:highlight w:val="none"/>
        </w:rPr>
        <w:instrText xml:space="preserve"> QUOTE </w:instrText>
      </w:r>
      <w:r>
        <w:rPr>
          <w:rFonts w:hint="eastAsia" w:ascii="宋体" w:hAnsi="宋体" w:cs="宋体"/>
          <w:strike/>
          <w:color w:val="auto"/>
          <w:position w:val="-23"/>
          <w:szCs w:val="21"/>
          <w:highlight w:val="none"/>
        </w:rPr>
        <w:drawing>
          <wp:inline distT="0" distB="0" distL="114300" distR="114300">
            <wp:extent cx="323850" cy="400050"/>
            <wp:effectExtent l="0" t="0" r="0" b="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cs="宋体"/>
          <w:strike/>
          <w:color w:val="auto"/>
          <w:szCs w:val="21"/>
          <w:highlight w:val="none"/>
        </w:rPr>
        <w:fldChar w:fldCharType="separate"/>
      </w:r>
      <w:r>
        <w:rPr>
          <w:rFonts w:hint="eastAsia" w:ascii="宋体" w:hAnsi="宋体" w:cs="宋体"/>
          <w:strike/>
          <w:color w:val="auto"/>
          <w:position w:val="-23"/>
          <w:szCs w:val="21"/>
          <w:highlight w:val="none"/>
        </w:rPr>
        <w:drawing>
          <wp:inline distT="0" distB="0" distL="114300" distR="114300">
            <wp:extent cx="323850" cy="400050"/>
            <wp:effectExtent l="0" t="0" r="0" b="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cs="宋体"/>
          <w:strike/>
          <w:color w:val="auto"/>
          <w:szCs w:val="21"/>
          <w:highlight w:val="none"/>
        </w:rPr>
        <w:fldChar w:fldCharType="end"/>
      </w:r>
      <w:r>
        <w:rPr>
          <w:rFonts w:hint="eastAsia" w:ascii="宋体" w:hAnsi="宋体" w:cs="宋体"/>
          <w:strike/>
          <w:color w:val="auto"/>
          <w:szCs w:val="21"/>
          <w:highlight w:val="none"/>
        </w:rPr>
        <w:t>）。</w:t>
      </w:r>
    </w:p>
    <w:p>
      <w:pPr>
        <w:widowControl/>
        <w:spacing w:line="360" w:lineRule="auto"/>
        <w:ind w:firstLine="420" w:firstLineChars="200"/>
        <w:rPr>
          <w:rFonts w:ascii="宋体" w:hAnsi="宋体" w:cs="宋体"/>
          <w:strike/>
          <w:color w:val="auto"/>
          <w:szCs w:val="21"/>
          <w:highlight w:val="none"/>
        </w:rPr>
      </w:pPr>
      <w:r>
        <w:rPr>
          <w:rFonts w:hint="eastAsia" w:ascii="宋体" w:hAnsi="宋体" w:cs="宋体"/>
          <w:strike/>
          <w:color w:val="auto"/>
          <w:szCs w:val="21"/>
          <w:highlight w:val="none"/>
          <w:u w:val="single"/>
        </w:rPr>
        <w:t>技术得分相同的，以投标总报价低的排名靠前；技术得分与投标总报价均相同的投标人，由评标委员会采用记名投票方式，确定技术得分的排名。记名投票方式确定技术得分排名的具体操作步骤为：由评标委员会对出现该情况的投标人进行编号，然后通过记名投票方式，以得票多的排前确定排名。</w:t>
      </w:r>
    </w:p>
    <w:p>
      <w:pPr>
        <w:widowControl/>
        <w:spacing w:line="360" w:lineRule="auto"/>
        <w:ind w:firstLine="422" w:firstLineChars="200"/>
        <w:rPr>
          <w:rFonts w:ascii="宋体" w:hAnsi="宋体" w:cs="宋体"/>
          <w:b/>
          <w:bCs/>
          <w:strike w:val="0"/>
          <w:color w:val="auto"/>
          <w:kern w:val="0"/>
          <w:szCs w:val="21"/>
          <w:highlight w:val="none"/>
        </w:rPr>
      </w:pPr>
      <w:r>
        <w:rPr>
          <w:rFonts w:hint="eastAsia" w:ascii="宋体" w:hAnsi="宋体" w:cs="宋体"/>
          <w:b/>
          <w:bCs/>
          <w:strike w:val="0"/>
          <w:color w:val="auto"/>
          <w:kern w:val="0"/>
          <w:szCs w:val="21"/>
          <w:highlight w:val="none"/>
        </w:rPr>
        <w:t>方法二：区间抽取法</w:t>
      </w:r>
    </w:p>
    <w:p>
      <w:pPr>
        <w:widowControl/>
        <w:snapToGrid w:val="0"/>
        <w:spacing w:line="360" w:lineRule="auto"/>
        <w:ind w:firstLine="420" w:firstLineChars="200"/>
        <w:rPr>
          <w:rFonts w:ascii="宋体" w:hAnsi="宋体" w:cs="宋体"/>
          <w:strike w:val="0"/>
          <w:color w:val="auto"/>
          <w:kern w:val="0"/>
          <w:szCs w:val="21"/>
          <w:highlight w:val="none"/>
        </w:rPr>
      </w:pPr>
      <w:r>
        <w:rPr>
          <w:rFonts w:hint="eastAsia" w:ascii="宋体" w:hAnsi="宋体" w:cs="宋体"/>
          <w:strike w:val="0"/>
          <w:color w:val="auto"/>
          <w:szCs w:val="21"/>
          <w:highlight w:val="none"/>
        </w:rPr>
        <w:t>设立入围合格分数线（</w:t>
      </w:r>
      <w:r>
        <w:rPr>
          <w:rFonts w:hint="eastAsia" w:ascii="宋体" w:hAnsi="宋体" w:cs="宋体"/>
          <w:strike w:val="0"/>
          <w:color w:val="auto"/>
          <w:sz w:val="21"/>
          <w:szCs w:val="21"/>
          <w:highlight w:val="none"/>
          <w:u w:val="none"/>
        </w:rPr>
        <w:t>技术标得分</w:t>
      </w:r>
      <w:r>
        <w:rPr>
          <w:rFonts w:hint="eastAsia" w:ascii="宋体" w:hAnsi="宋体" w:eastAsia="宋体" w:cs="宋体"/>
          <w:strike w:val="0"/>
          <w:color w:val="auto"/>
          <w:sz w:val="21"/>
          <w:szCs w:val="21"/>
          <w:highlight w:val="none"/>
          <w:u w:val="none"/>
          <w:lang w:val="en-US" w:eastAsia="zh-CN"/>
        </w:rPr>
        <w:t>达到8</w:t>
      </w:r>
      <w:r>
        <w:rPr>
          <w:rFonts w:hint="eastAsia" w:ascii="宋体" w:hAnsi="宋体" w:cs="宋体"/>
          <w:strike w:val="0"/>
          <w:color w:val="auto"/>
          <w:sz w:val="21"/>
          <w:szCs w:val="21"/>
          <w:highlight w:val="none"/>
          <w:u w:val="none"/>
          <w:lang w:val="en-US" w:eastAsia="zh-CN"/>
        </w:rPr>
        <w:t>5</w:t>
      </w:r>
      <w:r>
        <w:rPr>
          <w:rFonts w:hint="eastAsia" w:ascii="宋体" w:hAnsi="宋体" w:eastAsia="宋体" w:cs="宋体"/>
          <w:strike w:val="0"/>
          <w:color w:val="auto"/>
          <w:sz w:val="21"/>
          <w:szCs w:val="21"/>
          <w:highlight w:val="none"/>
          <w:u w:val="none"/>
          <w:lang w:val="en-US" w:eastAsia="zh-CN"/>
        </w:rPr>
        <w:t>分</w:t>
      </w:r>
      <w:r>
        <w:rPr>
          <w:rFonts w:hint="eastAsia" w:ascii="宋体" w:hAnsi="宋体" w:cs="宋体"/>
          <w:strike w:val="0"/>
          <w:color w:val="auto"/>
          <w:szCs w:val="21"/>
          <w:highlight w:val="none"/>
        </w:rPr>
        <w:t>），达到或超过及格线的投标人的报价方能参与评标参考价的计算。将达到或超过技术标及格分数线的投标报价由低至高进行排列，按以下公式计算评标参考价，计算公式如下：</w:t>
      </w:r>
    </w:p>
    <w:p>
      <w:pPr>
        <w:widowControl/>
        <w:snapToGrid w:val="0"/>
        <w:spacing w:line="360" w:lineRule="auto"/>
        <w:ind w:firstLine="420" w:firstLineChars="200"/>
        <w:rPr>
          <w:rFonts w:ascii="宋体" w:hAnsi="宋体" w:cs="宋体"/>
          <w:strike w:val="0"/>
          <w:color w:val="auto"/>
          <w:kern w:val="0"/>
          <w:szCs w:val="21"/>
          <w:highlight w:val="none"/>
          <w:vertAlign w:val="subscript"/>
        </w:rPr>
      </w:pPr>
      <w:r>
        <w:rPr>
          <w:rFonts w:hint="eastAsia" w:ascii="宋体" w:hAnsi="宋体" w:cs="宋体"/>
          <w:strike w:val="0"/>
          <w:color w:val="auto"/>
          <w:kern w:val="0"/>
          <w:szCs w:val="21"/>
          <w:highlight w:val="none"/>
        </w:rPr>
        <w:t>评标参考价=（Q</w:t>
      </w:r>
      <w:r>
        <w:rPr>
          <w:rFonts w:hint="eastAsia" w:ascii="宋体" w:hAnsi="宋体" w:cs="宋体"/>
          <w:strike w:val="0"/>
          <w:color w:val="auto"/>
          <w:kern w:val="0"/>
          <w:szCs w:val="21"/>
          <w:highlight w:val="none"/>
          <w:vertAlign w:val="subscript"/>
        </w:rPr>
        <w:t>高</w:t>
      </w:r>
      <w:r>
        <w:rPr>
          <w:rFonts w:hint="eastAsia" w:ascii="宋体" w:hAnsi="宋体" w:cs="宋体"/>
          <w:strike w:val="0"/>
          <w:color w:val="auto"/>
          <w:kern w:val="0"/>
          <w:szCs w:val="21"/>
          <w:highlight w:val="none"/>
        </w:rPr>
        <w:t>-Q</w:t>
      </w:r>
      <w:r>
        <w:rPr>
          <w:rFonts w:hint="eastAsia" w:ascii="宋体" w:hAnsi="宋体" w:cs="宋体"/>
          <w:strike w:val="0"/>
          <w:color w:val="auto"/>
          <w:kern w:val="0"/>
          <w:szCs w:val="21"/>
          <w:highlight w:val="none"/>
          <w:vertAlign w:val="subscript"/>
        </w:rPr>
        <w:t>低</w:t>
      </w:r>
      <w:r>
        <w:rPr>
          <w:rFonts w:hint="eastAsia" w:ascii="宋体" w:hAnsi="宋体" w:cs="宋体"/>
          <w:strike w:val="0"/>
          <w:color w:val="auto"/>
          <w:kern w:val="0"/>
          <w:szCs w:val="21"/>
          <w:highlight w:val="none"/>
        </w:rPr>
        <w:t>）/100*Ｘ+Q</w:t>
      </w:r>
      <w:r>
        <w:rPr>
          <w:rFonts w:hint="eastAsia" w:ascii="宋体" w:hAnsi="宋体" w:cs="宋体"/>
          <w:strike w:val="0"/>
          <w:color w:val="auto"/>
          <w:kern w:val="0"/>
          <w:szCs w:val="21"/>
          <w:highlight w:val="none"/>
          <w:vertAlign w:val="subscript"/>
        </w:rPr>
        <w:t>低</w:t>
      </w:r>
    </w:p>
    <w:p>
      <w:pPr>
        <w:widowControl/>
        <w:snapToGrid w:val="0"/>
        <w:spacing w:line="360" w:lineRule="auto"/>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Q</w:t>
      </w:r>
      <w:r>
        <w:rPr>
          <w:rFonts w:hint="eastAsia" w:ascii="宋体" w:hAnsi="宋体" w:cs="宋体"/>
          <w:strike w:val="0"/>
          <w:color w:val="auto"/>
          <w:szCs w:val="21"/>
          <w:highlight w:val="none"/>
          <w:vertAlign w:val="subscript"/>
        </w:rPr>
        <w:t>低</w:t>
      </w:r>
      <w:r>
        <w:rPr>
          <w:rFonts w:hint="eastAsia" w:ascii="宋体" w:hAnsi="宋体" w:cs="宋体"/>
          <w:strike w:val="0"/>
          <w:color w:val="auto"/>
          <w:szCs w:val="21"/>
          <w:highlight w:val="none"/>
        </w:rPr>
        <w:t>：为达到或超过技术标及格分数线的投标人最低报价与工程成本警示价两者中的较高值；</w:t>
      </w:r>
    </w:p>
    <w:p>
      <w:pPr>
        <w:spacing w:line="360" w:lineRule="auto"/>
        <w:ind w:firstLine="420" w:firstLineChars="200"/>
        <w:rPr>
          <w:rFonts w:ascii="宋体" w:hAnsi="宋体" w:cs="宋体"/>
          <w:strike w:val="0"/>
          <w:color w:val="auto"/>
          <w:szCs w:val="21"/>
          <w:highlight w:val="none"/>
        </w:rPr>
      </w:pPr>
      <w:r>
        <w:rPr>
          <w:rFonts w:hint="eastAsia" w:ascii="宋体" w:hAnsi="宋体" w:cs="宋体"/>
          <w:strike w:val="0"/>
          <w:color w:val="auto"/>
          <w:kern w:val="0"/>
          <w:szCs w:val="21"/>
          <w:highlight w:val="none"/>
        </w:rPr>
        <w:t>Q</w:t>
      </w:r>
      <w:r>
        <w:rPr>
          <w:rFonts w:hint="eastAsia" w:ascii="宋体" w:hAnsi="宋体" w:cs="宋体"/>
          <w:strike w:val="0"/>
          <w:color w:val="auto"/>
          <w:kern w:val="0"/>
          <w:szCs w:val="21"/>
          <w:highlight w:val="none"/>
          <w:vertAlign w:val="subscript"/>
        </w:rPr>
        <w:t>高</w:t>
      </w:r>
      <w:r>
        <w:rPr>
          <w:rFonts w:hint="eastAsia" w:ascii="宋体" w:hAnsi="宋体" w:cs="宋体"/>
          <w:strike w:val="0"/>
          <w:color w:val="auto"/>
          <w:szCs w:val="21"/>
          <w:highlight w:val="none"/>
        </w:rPr>
        <w:t>：为（最高投标限价*D%）（D的取值为[100]）</w:t>
      </w:r>
    </w:p>
    <w:p>
      <w:pPr>
        <w:pBdr>
          <w:bottom w:val="single" w:color="auto" w:sz="6" w:space="1"/>
        </w:pBdr>
        <w:spacing w:line="360" w:lineRule="auto"/>
        <w:ind w:firstLine="525" w:firstLineChars="250"/>
        <w:rPr>
          <w:rFonts w:ascii="宋体" w:hAnsi="宋体" w:cs="宋体"/>
          <w:color w:val="auto"/>
          <w:highlight w:val="none"/>
        </w:rPr>
      </w:pPr>
      <w:r>
        <w:rPr>
          <w:rFonts w:hint="eastAsia" w:ascii="宋体" w:hAnsi="宋体" w:cs="宋体"/>
          <w:strike w:val="0"/>
          <w:color w:val="auto"/>
          <w:szCs w:val="21"/>
          <w:highlight w:val="none"/>
        </w:rPr>
        <w:t>X:为等分点值，从[0,100]整数中随机抽取</w:t>
      </w:r>
    </w:p>
    <w:p>
      <w:pPr>
        <w:spacing w:line="48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条款号：45.4             修改类型：修改</w:t>
      </w:r>
    </w:p>
    <w:p>
      <w:pPr>
        <w:spacing w:line="36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计算通过技术标有效性审查的投标人总得分。投标人总得分=（技术得分×技术得分权重＋经济得分×经济得分权重）×（1-综合诚信评价分数权重）＋综合诚信评价排名得分×综合诚信评价分数权重）。技术、经济得分权重按投标须知前附表的规定执行。总得分四舍五入保留两位小数。</w:t>
      </w:r>
    </w:p>
    <w:p>
      <w:pPr>
        <w:spacing w:line="360" w:lineRule="auto"/>
        <w:ind w:firstLine="422" w:firstLineChars="200"/>
        <w:rPr>
          <w:rFonts w:ascii="宋体" w:hAnsi="宋体" w:cs="宋体"/>
          <w:color w:val="auto"/>
          <w:szCs w:val="21"/>
          <w:highlight w:val="none"/>
          <w:u w:val="single"/>
        </w:rPr>
      </w:pPr>
      <w:r>
        <w:rPr>
          <w:rFonts w:hint="eastAsia" w:ascii="宋体" w:hAnsi="宋体" w:cs="宋体"/>
          <w:b/>
          <w:color w:val="auto"/>
          <w:szCs w:val="21"/>
          <w:highlight w:val="none"/>
        </w:rPr>
        <w:t>现文：</w:t>
      </w:r>
      <w:r>
        <w:rPr>
          <w:rFonts w:hint="eastAsia" w:ascii="宋体" w:hAnsi="宋体" w:cs="宋体"/>
          <w:color w:val="auto"/>
          <w:szCs w:val="21"/>
          <w:highlight w:val="none"/>
          <w:u w:val="none"/>
        </w:rPr>
        <w:t>计算通过技术标有效性审查的投标人总得分。</w:t>
      </w:r>
      <w:r>
        <w:rPr>
          <w:rFonts w:hint="eastAsia" w:ascii="宋体" w:hAnsi="宋体" w:cs="宋体"/>
          <w:color w:val="auto"/>
          <w:szCs w:val="21"/>
          <w:highlight w:val="none"/>
          <w:u w:val="single"/>
        </w:rPr>
        <w:t>投标人总得分=技术得分×技术得分权重（</w:t>
      </w:r>
      <w:r>
        <w:rPr>
          <w:rFonts w:ascii="宋体" w:hAnsi="宋体" w:cs="宋体"/>
          <w:color w:val="auto"/>
          <w:szCs w:val="21"/>
          <w:highlight w:val="none"/>
          <w:u w:val="single"/>
        </w:rPr>
        <w:t>40%）＋经济得分</w:t>
      </w:r>
      <w:bookmarkStart w:id="98" w:name="OLE_LINK5"/>
      <w:r>
        <w:rPr>
          <w:rFonts w:hint="eastAsia" w:ascii="宋体" w:hAnsi="宋体" w:cs="宋体"/>
          <w:color w:val="auto"/>
          <w:szCs w:val="21"/>
          <w:highlight w:val="none"/>
          <w:u w:val="single"/>
        </w:rPr>
        <w:t>×经济得分权重（</w:t>
      </w:r>
      <w:r>
        <w:rPr>
          <w:rFonts w:ascii="宋体" w:hAnsi="宋体" w:cs="宋体"/>
          <w:color w:val="auto"/>
          <w:szCs w:val="21"/>
          <w:highlight w:val="none"/>
          <w:u w:val="single"/>
        </w:rPr>
        <w:t>60%）</w:t>
      </w:r>
      <w:bookmarkEnd w:id="98"/>
      <w:r>
        <w:rPr>
          <w:rFonts w:hint="eastAsia" w:ascii="宋体" w:hAnsi="宋体" w:cs="宋体"/>
          <w:color w:val="auto"/>
          <w:szCs w:val="21"/>
          <w:highlight w:val="none"/>
          <w:u w:val="single"/>
        </w:rPr>
        <w:t>。</w:t>
      </w:r>
      <w:r>
        <w:rPr>
          <w:rFonts w:hint="eastAsia" w:ascii="宋体" w:hAnsi="宋体" w:cs="宋体"/>
          <w:color w:val="auto"/>
          <w:szCs w:val="21"/>
          <w:highlight w:val="none"/>
          <w:u w:val="none"/>
        </w:rPr>
        <w:t>技术、经济得分权重按投标须知前附表的规定执行。总得分四舍五入保留两位小数。</w:t>
      </w:r>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总得分相同的，以技术分较高的排前；总得分及技术分均相同的，以报价较低的排前；如仍存在相同情况，则由评标委员会采用记名投票方式，以得票多的优先。</w:t>
      </w:r>
    </w:p>
    <w:p>
      <w:pPr>
        <w:pBdr>
          <w:bottom w:val="single" w:color="auto" w:sz="6" w:space="1"/>
        </w:pBdr>
        <w:spacing w:line="360" w:lineRule="auto"/>
        <w:ind w:firstLine="422" w:firstLineChars="201"/>
        <w:rPr>
          <w:rFonts w:ascii="宋体" w:hAnsi="宋体" w:cs="宋体"/>
          <w:color w:val="auto"/>
          <w:szCs w:val="21"/>
          <w:highlight w:val="none"/>
        </w:rPr>
      </w:pPr>
      <w:r>
        <w:rPr>
          <w:rFonts w:hint="eastAsia" w:ascii="宋体" w:hAnsi="宋体" w:cs="宋体"/>
          <w:color w:val="auto"/>
          <w:szCs w:val="21"/>
          <w:highlight w:val="none"/>
          <w:u w:val="single"/>
        </w:rPr>
        <w:t>注：投票方式确定排序的具体操作步骤为：由评标会对出现该情况的投标人进行编号，然后通过投票方式依次确定投标人的排序。</w:t>
      </w:r>
    </w:p>
    <w:p>
      <w:pPr>
        <w:spacing w:line="48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条款号：48             修改类型：修改</w:t>
      </w:r>
    </w:p>
    <w:p>
      <w:pPr>
        <w:spacing w:line="36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评标委员会应在通过投标文件经济标有效性审查的投标人中，按步骤45.4确定的投标人第二阶段排序，推荐前3名依次为第一中标候选人至第三中标候选人,并编制评标报告。</w:t>
      </w:r>
    </w:p>
    <w:p>
      <w:pPr>
        <w:pBdr>
          <w:bottom w:val="single" w:color="auto" w:sz="6" w:space="1"/>
        </w:pBdr>
        <w:spacing w:line="360" w:lineRule="auto"/>
        <w:ind w:firstLine="527" w:firstLineChars="250"/>
        <w:rPr>
          <w:rFonts w:ascii="宋体" w:hAnsi="宋体" w:cs="宋体"/>
          <w:color w:val="auto"/>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rPr>
        <w:t>评标委员会应在通过投标文件经济标有效性审查的投标人中，按步骤45.4确定的投标人总得分排序，推荐前3名依次为第一中标候选人至第三中标候选人,并编制评标报告。</w:t>
      </w:r>
    </w:p>
    <w:p>
      <w:pPr>
        <w:pBdr>
          <w:top w:val="single" w:color="auto" w:sz="4" w:space="1"/>
        </w:pBdr>
        <w:spacing w:line="360"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条款号：附表一《资格审查表》                    修改类型：修改</w:t>
      </w:r>
    </w:p>
    <w:p>
      <w:pPr>
        <w:spacing w:line="360" w:lineRule="auto"/>
        <w:ind w:firstLine="424" w:firstLineChars="201"/>
        <w:rPr>
          <w:rFonts w:ascii="宋体" w:hAnsi="宋体" w:cs="宋体"/>
          <w:bCs/>
          <w:color w:val="auto"/>
          <w:szCs w:val="21"/>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详见GZZB2018-3招标文件范本</w:t>
      </w:r>
    </w:p>
    <w:p>
      <w:pPr>
        <w:pBdr>
          <w:bottom w:val="single" w:color="auto" w:sz="6" w:space="1"/>
        </w:pBdr>
        <w:spacing w:line="360" w:lineRule="auto"/>
        <w:ind w:firstLine="424" w:firstLineChars="201"/>
        <w:rPr>
          <w:rFonts w:ascii="宋体" w:hAnsi="宋体" w:cs="宋体"/>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u w:val="single"/>
        </w:rPr>
        <w:t>见后附：附表一《资格审查表》</w:t>
      </w:r>
    </w:p>
    <w:p>
      <w:pPr>
        <w:spacing w:line="360"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条款号：附表二 《技术标有效性审查表》           修改类型：修改</w:t>
      </w:r>
    </w:p>
    <w:p>
      <w:pPr>
        <w:spacing w:line="360" w:lineRule="auto"/>
        <w:ind w:firstLine="424" w:firstLineChars="201"/>
        <w:rPr>
          <w:rFonts w:ascii="宋体" w:hAnsi="宋体" w:cs="宋体"/>
          <w:bCs/>
          <w:color w:val="auto"/>
          <w:szCs w:val="21"/>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详见GZZB2018-3招标文件范本</w:t>
      </w:r>
    </w:p>
    <w:p>
      <w:pPr>
        <w:pBdr>
          <w:bottom w:val="single" w:color="auto" w:sz="6" w:space="1"/>
        </w:pBdr>
        <w:spacing w:line="360" w:lineRule="auto"/>
        <w:ind w:firstLine="424" w:firstLineChars="201"/>
        <w:rPr>
          <w:rFonts w:ascii="宋体" w:hAnsi="宋体" w:cs="宋体"/>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u w:val="single"/>
        </w:rPr>
        <w:t>见后附：附表二《技术标有效性审查表》</w:t>
      </w:r>
    </w:p>
    <w:p>
      <w:pPr>
        <w:spacing w:line="360"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条款号：附表三《经济标有效性审查表》              修改类型：修改</w:t>
      </w:r>
    </w:p>
    <w:p>
      <w:pPr>
        <w:spacing w:line="360"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详见GZZB2018-3招标文件范本</w:t>
      </w:r>
    </w:p>
    <w:p>
      <w:pPr>
        <w:pBdr>
          <w:bottom w:val="single" w:color="auto" w:sz="6" w:space="1"/>
        </w:pBdr>
        <w:spacing w:line="360"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u w:val="single"/>
        </w:rPr>
        <w:t>见后附：附表三《经济标有效性审查表》</w:t>
      </w:r>
    </w:p>
    <w:p>
      <w:pPr>
        <w:spacing w:line="360"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 xml:space="preserve">条款号：附表四《技术标详细审查评分表》            修改类型：修改  </w:t>
      </w:r>
    </w:p>
    <w:p>
      <w:pPr>
        <w:spacing w:line="360" w:lineRule="auto"/>
        <w:ind w:firstLine="424" w:firstLineChars="201"/>
        <w:rPr>
          <w:rFonts w:ascii="宋体" w:hAnsi="宋体" w:cs="宋体"/>
          <w:bCs/>
          <w:color w:val="auto"/>
          <w:szCs w:val="21"/>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详见GZZB2018-3招标文件范本</w:t>
      </w:r>
    </w:p>
    <w:p>
      <w:pPr>
        <w:pBdr>
          <w:bottom w:val="single" w:color="auto" w:sz="6" w:space="1"/>
        </w:pBdr>
        <w:spacing w:line="360"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u w:val="single"/>
        </w:rPr>
        <w:t>见后附：附表四《技术标详细审查评分表》</w:t>
      </w:r>
    </w:p>
    <w:p>
      <w:pPr>
        <w:spacing w:line="360"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条款号：附表五《经济标评分表》                    修改类型：修改</w:t>
      </w:r>
    </w:p>
    <w:p>
      <w:pPr>
        <w:spacing w:line="360"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详见GZZB2018-3招标文件范本</w:t>
      </w:r>
    </w:p>
    <w:p>
      <w:pPr>
        <w:pBdr>
          <w:bottom w:val="single" w:color="auto" w:sz="6" w:space="1"/>
        </w:pBdr>
        <w:spacing w:line="360"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u w:val="single"/>
        </w:rPr>
        <w:t>见后附：附表五《经济标评分表》</w:t>
      </w:r>
    </w:p>
    <w:p>
      <w:pPr>
        <w:spacing w:line="360" w:lineRule="auto"/>
        <w:ind w:firstLine="211" w:firstLineChars="100"/>
        <w:rPr>
          <w:rFonts w:ascii="宋体" w:hAnsi="宋体" w:cs="宋体"/>
          <w:b/>
          <w:color w:val="auto"/>
          <w:szCs w:val="21"/>
          <w:highlight w:val="none"/>
        </w:rPr>
      </w:pPr>
      <w:r>
        <w:rPr>
          <w:rFonts w:hint="eastAsia" w:ascii="宋体" w:hAnsi="宋体" w:cs="宋体"/>
          <w:b/>
          <w:color w:val="auto"/>
          <w:szCs w:val="21"/>
          <w:highlight w:val="none"/>
        </w:rPr>
        <w:t>注：以上修改，仅限于本范本中有可供选择条款的情形。</w:t>
      </w:r>
    </w:p>
    <w:p>
      <w:pPr>
        <w:rPr>
          <w:rFonts w:ascii="宋体" w:hAnsi="宋体" w:cs="宋体"/>
          <w:color w:val="auto"/>
          <w:highlight w:val="none"/>
        </w:rPr>
      </w:pPr>
      <w:r>
        <w:rPr>
          <w:rFonts w:hint="eastAsia" w:ascii="宋体" w:hAnsi="宋体" w:cs="宋体"/>
          <w:b/>
          <w:color w:val="auto"/>
          <w:szCs w:val="21"/>
          <w:highlight w:val="none"/>
        </w:rPr>
        <w:t>（以下无正文）</w:t>
      </w:r>
    </w:p>
    <w:p>
      <w:pPr>
        <w:pStyle w:val="6"/>
        <w:ind w:firstLine="525"/>
        <w:rPr>
          <w:rFonts w:ascii="宋体" w:hAnsi="宋体" w:cs="宋体"/>
          <w:color w:val="auto"/>
          <w:highlight w:val="none"/>
        </w:rPr>
      </w:pPr>
      <w:r>
        <w:rPr>
          <w:rFonts w:hint="eastAsia" w:ascii="宋体" w:hAnsi="宋体" w:cs="宋体"/>
          <w:color w:val="auto"/>
          <w:highlight w:val="none"/>
        </w:rPr>
        <w:br w:type="page"/>
      </w:r>
      <w:bookmarkStart w:id="99" w:name="_Toc113790867"/>
      <w:bookmarkStart w:id="100" w:name="_Toc8951"/>
      <w:bookmarkStart w:id="101" w:name="_Toc9135"/>
      <w:bookmarkStart w:id="102" w:name="_Toc17608"/>
      <w:bookmarkStart w:id="103" w:name="_Toc3869"/>
      <w:r>
        <w:rPr>
          <w:rFonts w:hint="eastAsia" w:ascii="宋体" w:hAnsi="宋体" w:cs="宋体"/>
          <w:color w:val="auto"/>
          <w:highlight w:val="none"/>
        </w:rPr>
        <w:t>二、开标、评标及定标办法</w:t>
      </w:r>
      <w:r>
        <w:rPr>
          <w:rFonts w:hint="eastAsia" w:ascii="宋体" w:hAnsi="宋体" w:cs="宋体"/>
          <w:color w:val="auto"/>
          <w:szCs w:val="30"/>
          <w:highlight w:val="none"/>
        </w:rPr>
        <w:t>通用条款</w:t>
      </w:r>
      <w:bookmarkEnd w:id="99"/>
      <w:bookmarkEnd w:id="100"/>
      <w:bookmarkEnd w:id="101"/>
      <w:bookmarkEnd w:id="102"/>
      <w:bookmarkEnd w:id="103"/>
    </w:p>
    <w:p>
      <w:pPr>
        <w:pStyle w:val="7"/>
        <w:spacing w:before="156" w:after="156"/>
        <w:ind w:firstLine="540" w:firstLineChars="200"/>
        <w:rPr>
          <w:color w:val="auto"/>
          <w:highlight w:val="none"/>
        </w:rPr>
      </w:pPr>
      <w:bookmarkStart w:id="104" w:name="_Toc31658"/>
      <w:bookmarkStart w:id="105" w:name="_Toc11105"/>
      <w:bookmarkStart w:id="106" w:name="_Toc1222655839"/>
      <w:bookmarkStart w:id="107" w:name="_Toc13636"/>
      <w:bookmarkStart w:id="108" w:name="_Toc2499"/>
      <w:bookmarkStart w:id="109" w:name="_Toc1187"/>
      <w:bookmarkStart w:id="110" w:name="_Toc13374"/>
      <w:bookmarkStart w:id="111" w:name="_Toc24386"/>
      <w:bookmarkStart w:id="112" w:name="_Toc31614"/>
      <w:r>
        <w:rPr>
          <w:rFonts w:hint="eastAsia"/>
          <w:color w:val="auto"/>
          <w:highlight w:val="none"/>
        </w:rPr>
        <w:t>（一）总则</w:t>
      </w:r>
      <w:bookmarkEnd w:id="104"/>
      <w:bookmarkEnd w:id="105"/>
      <w:bookmarkEnd w:id="106"/>
      <w:bookmarkEnd w:id="107"/>
      <w:bookmarkEnd w:id="108"/>
      <w:bookmarkEnd w:id="109"/>
      <w:bookmarkEnd w:id="110"/>
      <w:bookmarkEnd w:id="111"/>
      <w:bookmarkEnd w:id="112"/>
    </w:p>
    <w:p>
      <w:pPr>
        <w:spacing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35 开标、评标及定标所依据的规则</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35.1《中华人民共和国招标投标法》；</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35.2《中华人民共和国招标投标法实施条例》；</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35.3《评标委员会和评标方法暂行规定》（七部委第12号令）</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35.4《工程建设项目施工招标投标办法》（七部委2003年第30号令）</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35.5《广东省实施〈中华人民共和国招标投标法〉办法》；</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35.6《房屋建筑和市政基础设施工程施工招标投标管理办法》（建设部令第89号）；</w:t>
      </w:r>
    </w:p>
    <w:p>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35</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7《广东省加强建设工程招标投标监督管理的若干规定》（粤发[2004]4号）；</w:t>
      </w:r>
    </w:p>
    <w:p>
      <w:pPr>
        <w:spacing w:line="360" w:lineRule="auto"/>
        <w:ind w:firstLine="480" w:firstLineChars="200"/>
        <w:rPr>
          <w:rFonts w:hint="eastAsia" w:ascii="宋体" w:hAnsi="宋体" w:cs="宋体"/>
          <w:color w:val="auto"/>
          <w:sz w:val="24"/>
          <w:szCs w:val="24"/>
          <w:highlight w:val="none"/>
        </w:rPr>
      </w:pPr>
      <w:r>
        <w:rPr>
          <w:rFonts w:hint="eastAsia" w:ascii="宋体" w:hAnsi="宋体" w:eastAsia="宋体" w:cs="宋体"/>
          <w:b w:val="0"/>
          <w:color w:val="auto"/>
          <w:kern w:val="2"/>
          <w:sz w:val="24"/>
          <w:szCs w:val="24"/>
          <w:highlight w:val="none"/>
          <w:lang w:val="en-US" w:eastAsia="zh-CN"/>
        </w:rPr>
        <w:t>35.8</w:t>
      </w:r>
      <w:r>
        <w:rPr>
          <w:rFonts w:hint="eastAsia" w:ascii="宋体" w:hAnsi="宋体" w:eastAsia="宋体" w:cs="宋体"/>
          <w:b w:val="0"/>
          <w:color w:val="auto"/>
          <w:kern w:val="2"/>
          <w:sz w:val="24"/>
          <w:szCs w:val="24"/>
          <w:highlight w:val="none"/>
        </w:rPr>
        <w:t>《广州市工程建设项目招标投标管理办法》（穗建规字〔2023〕12号）</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35.9本项目招标文件。</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36．开标</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36.1 招标人按投标须知前附表第18项所规定的时间和地点公开开标，并邀请所有投标人参加。截标后，开标开始时间因故推迟的，相关评标信息仍以原定的开标开始时间的信息为准。</w:t>
      </w:r>
      <w:r>
        <w:rPr>
          <w:rFonts w:hint="eastAsia" w:ascii="宋体" w:hAnsi="宋体" w:cs="宋体"/>
          <w:color w:val="auto"/>
          <w:sz w:val="24"/>
          <w:szCs w:val="24"/>
          <w:highlight w:val="none"/>
          <w:u w:val="single"/>
        </w:rPr>
        <w:t>若投标人不参加开标会的，其投标文件在开标现场的投标人或招标人代表、招标代理机构代表及交易中心代表见证下公开开启、解密、公布，并视同该投标人认可开标结果。</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36.2 招标人在招标文件要求提交投标文件的截止时间前收到的投标文件，开标时都当众予以解密、公布。</w:t>
      </w:r>
    </w:p>
    <w:p>
      <w:pPr>
        <w:spacing w:line="360" w:lineRule="auto"/>
        <w:ind w:firstLine="480" w:firstLineChars="200"/>
        <w:rPr>
          <w:rFonts w:ascii="宋体" w:hAnsi="宋体" w:cs="宋体"/>
          <w:color w:val="auto"/>
          <w:sz w:val="24"/>
          <w:szCs w:val="24"/>
          <w:highlight w:val="none"/>
        </w:rPr>
      </w:pPr>
      <w:r>
        <w:rPr>
          <w:rFonts w:hint="eastAsia" w:ascii="宋体" w:hAnsi="宋体" w:cs="宋体"/>
          <w:strike/>
          <w:color w:val="auto"/>
          <w:sz w:val="24"/>
          <w:szCs w:val="24"/>
          <w:highlight w:val="none"/>
        </w:rPr>
        <w:t>36.3根据投标须知前附表第19项，如需抽取某一种评标办法供评标时使用的，应在开标前抽取。首先对招标文件中约定的若干种评标方法进行编号，再随机抽取某一编号，该编号所对应的评标办法供评标时使用。</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36.4若递交投标文件的投标人不足3家，则重新组织招标。（当N个标段同时招标且不允许兼中时，若有效投标人不足N+2家，则重新组织招标）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36.5按下列程序进行开标：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36.5.1在投标截止时间后半小时内，投标人通过</w:t>
      </w:r>
      <w:r>
        <w:rPr>
          <w:rFonts w:hint="eastAsia" w:ascii="宋体" w:hAnsi="宋体" w:cs="宋体"/>
          <w:color w:val="auto"/>
          <w:sz w:val="24"/>
          <w:szCs w:val="24"/>
          <w:highlight w:val="none"/>
          <w:u w:val="single"/>
        </w:rPr>
        <w:t>广州公共资源交易中心</w:t>
      </w:r>
      <w:r>
        <w:rPr>
          <w:rFonts w:hint="eastAsia" w:ascii="宋体" w:hAnsi="宋体" w:cs="宋体"/>
          <w:color w:val="auto"/>
          <w:sz w:val="24"/>
          <w:szCs w:val="24"/>
          <w:highlight w:val="none"/>
        </w:rPr>
        <w:t>交易平台</w:t>
      </w:r>
      <w:r>
        <w:rPr>
          <w:rFonts w:hint="eastAsia" w:ascii="宋体" w:hAnsi="宋体" w:cs="宋体"/>
          <w:color w:val="auto"/>
          <w:sz w:val="24"/>
          <w:highlight w:val="none"/>
        </w:rPr>
        <w:t>对已递交的电子投标文件进行解密。投标人完成解密后，再由</w:t>
      </w:r>
      <w:r>
        <w:rPr>
          <w:rFonts w:hint="eastAsia" w:ascii="宋体" w:hAnsi="宋体" w:cs="宋体"/>
          <w:color w:val="auto"/>
          <w:sz w:val="24"/>
          <w:highlight w:val="none"/>
          <w:u w:val="single"/>
        </w:rPr>
        <w:t>招标人或招标代理机构</w:t>
      </w:r>
      <w:r>
        <w:rPr>
          <w:rFonts w:hint="eastAsia" w:ascii="宋体" w:hAnsi="宋体" w:cs="宋体"/>
          <w:color w:val="auto"/>
          <w:sz w:val="24"/>
          <w:highlight w:val="none"/>
        </w:rPr>
        <w:t>进行解密。解密完成后，公布招标项目名称、投标人名称、投标保证金的递交情况、投标报价、工期及其他内容；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36.5.2备用光盘的读取按投标须知前附表第36项的规定执行；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36.5.3投标人代表、招标人代表、监标人、记录人等有关人员在开标记录上签字确认；若有关人员不签字的，不影响开标程序；</w:t>
      </w:r>
      <w:r>
        <w:rPr>
          <w:rFonts w:hint="eastAsia" w:ascii="宋体" w:hAnsi="宋体" w:cs="宋体"/>
          <w:color w:val="auto"/>
          <w:sz w:val="24"/>
          <w:highlight w:val="none"/>
          <w:u w:val="single"/>
        </w:rPr>
        <w:t>若投标人不参加开标会的，或不签字确认的，视同该投标人认可开标结果。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36.5.4开标结束。</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36.7开标时，两个（含两个）以上的投标人加密打包投标文件电脑机器特征码一致的，不参与下一程序，并由评标委员会否决其投标。</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37．评标</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37.1评标委员会由招标人依法组建。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37.2评标委员会在开始评标前，应了解评标专家的职责及守则，认真阅读《评标委员会成员声明》</w:t>
      </w:r>
      <w:r>
        <w:rPr>
          <w:rFonts w:hint="eastAsia" w:ascii="宋体" w:hAnsi="宋体" w:cs="宋体"/>
          <w:color w:val="auto"/>
          <w:sz w:val="24"/>
          <w:szCs w:val="24"/>
          <w:highlight w:val="none"/>
          <w:lang w:eastAsia="zh-CN"/>
        </w:rPr>
        <w:t>（</w:t>
      </w:r>
      <w:r>
        <w:rPr>
          <w:rFonts w:hint="eastAsia" w:ascii="宋体" w:hAnsi="宋体" w:eastAsia="宋体" w:cs="宋体"/>
          <w:b w:val="0"/>
          <w:color w:val="auto"/>
          <w:kern w:val="2"/>
          <w:sz w:val="24"/>
          <w:szCs w:val="24"/>
          <w:highlight w:val="none"/>
        </w:rPr>
        <w:t>见附件</w:t>
      </w:r>
      <w:r>
        <w:rPr>
          <w:rFonts w:hint="eastAsia" w:ascii="宋体" w:hAnsi="宋体" w:eastAsia="宋体" w:cs="宋体"/>
          <w:b w:val="0"/>
          <w:color w:val="auto"/>
          <w:kern w:val="2"/>
          <w:sz w:val="24"/>
          <w:szCs w:val="24"/>
          <w:highlight w:val="none"/>
          <w:lang w:eastAsia="zh-CN"/>
        </w:rPr>
        <w:t>）</w:t>
      </w:r>
      <w:r>
        <w:rPr>
          <w:rFonts w:hint="eastAsia" w:ascii="宋体" w:hAnsi="宋体" w:cs="宋体"/>
          <w:color w:val="auto"/>
          <w:sz w:val="24"/>
          <w:szCs w:val="24"/>
          <w:highlight w:val="none"/>
        </w:rPr>
        <w:t>的内容并签名，签字后方可进行评标；</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37.2.1根据评标细则，对</w:t>
      </w:r>
      <w:r>
        <w:rPr>
          <w:rFonts w:hint="eastAsia" w:ascii="宋体" w:hAnsi="宋体" w:cs="宋体"/>
          <w:color w:val="auto"/>
          <w:sz w:val="24"/>
          <w:highlight w:val="none"/>
        </w:rPr>
        <w:t>投标文件</w:t>
      </w:r>
      <w:r>
        <w:rPr>
          <w:rFonts w:hint="eastAsia" w:ascii="宋体" w:hAnsi="宋体" w:cs="宋体"/>
          <w:color w:val="auto"/>
          <w:sz w:val="24"/>
          <w:szCs w:val="24"/>
          <w:highlight w:val="none"/>
        </w:rPr>
        <w:t>进行认真评审，完成评审报告；</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37.2.2向招标人报告评审意见，推荐合格的中标候选人。</w:t>
      </w:r>
    </w:p>
    <w:p>
      <w:pPr>
        <w:spacing w:line="360" w:lineRule="auto"/>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37.2.3</w:t>
      </w:r>
      <w:r>
        <w:rPr>
          <w:rFonts w:hint="eastAsia" w:ascii="宋体" w:hAnsi="宋体" w:cs="宋体"/>
          <w:b/>
          <w:bCs/>
          <w:color w:val="auto"/>
          <w:sz w:val="24"/>
          <w:szCs w:val="24"/>
          <w:highlight w:val="none"/>
        </w:rPr>
        <w:t xml:space="preserve"> </w:t>
      </w:r>
      <w:r>
        <w:rPr>
          <w:rFonts w:hint="eastAsia" w:ascii="宋体" w:hAnsi="宋体" w:cs="宋体"/>
          <w:color w:val="auto"/>
          <w:sz w:val="24"/>
          <w:szCs w:val="24"/>
          <w:highlight w:val="none"/>
        </w:rPr>
        <w:t>所有参加评标人员必须遵守国家、地方政府制定的有关工程招标投标的法则、规定，遵守有关工程招标投标的保密制度；如有违反者，给予行政处分；情节严重，构成犯罪的，由司法机关依法追究其刑事责任。</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37.2.4全体参与评标人员：</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37.2.4.1 必须遵守评标纪律、不得泄密；</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37.2.4.2 必须公正、不得循私；</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37.2.4.3 必须科学、不得草率；</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37.2.4.4 必须客观、不得带有成见；</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37.2.4.5 必须平等、不得强加于人；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37.2.4.6 必须严谨、不得随意马虎。</w:t>
      </w:r>
    </w:p>
    <w:p>
      <w:pPr>
        <w:spacing w:line="360" w:lineRule="auto"/>
        <w:ind w:firstLine="480" w:firstLineChars="200"/>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37.3评标委员会的职责及守则</w:t>
      </w:r>
    </w:p>
    <w:p>
      <w:pPr>
        <w:spacing w:line="360" w:lineRule="auto"/>
        <w:ind w:firstLine="480" w:firstLineChars="200"/>
        <w:rPr>
          <w:rFonts w:ascii="宋体" w:hAnsi="宋体"/>
          <w:color w:val="auto"/>
          <w:sz w:val="24"/>
          <w:szCs w:val="24"/>
        </w:rPr>
      </w:pPr>
      <w:r>
        <w:rPr>
          <w:rFonts w:ascii="宋体" w:hAnsi="宋体"/>
          <w:color w:val="auto"/>
          <w:sz w:val="24"/>
          <w:szCs w:val="24"/>
        </w:rPr>
        <w:t>37.</w:t>
      </w:r>
      <w:r>
        <w:rPr>
          <w:rFonts w:hint="eastAsia" w:ascii="宋体" w:hAnsi="宋体"/>
          <w:color w:val="auto"/>
          <w:sz w:val="24"/>
          <w:szCs w:val="24"/>
          <w:lang w:val="en-US" w:eastAsia="zh-CN"/>
        </w:rPr>
        <w:t>3</w:t>
      </w:r>
      <w:r>
        <w:rPr>
          <w:rFonts w:ascii="宋体" w:hAnsi="宋体"/>
          <w:color w:val="auto"/>
          <w:sz w:val="24"/>
          <w:szCs w:val="24"/>
        </w:rPr>
        <w:t>.1</w:t>
      </w:r>
      <w:r>
        <w:rPr>
          <w:rFonts w:hint="eastAsia" w:ascii="宋体" w:hAnsi="宋体"/>
          <w:color w:val="auto"/>
          <w:sz w:val="24"/>
          <w:szCs w:val="24"/>
        </w:rPr>
        <w:t>根据评标细则，对</w:t>
      </w:r>
      <w:r>
        <w:rPr>
          <w:rFonts w:hint="eastAsia" w:ascii="宋体" w:hAnsi="宋体"/>
          <w:color w:val="auto"/>
          <w:sz w:val="24"/>
        </w:rPr>
        <w:t>投标文件</w:t>
      </w:r>
      <w:r>
        <w:rPr>
          <w:rFonts w:hint="eastAsia" w:ascii="宋体" w:hAnsi="宋体"/>
          <w:color w:val="auto"/>
          <w:sz w:val="24"/>
          <w:szCs w:val="24"/>
        </w:rPr>
        <w:t>进行认真评审，完成评审报告；</w:t>
      </w:r>
    </w:p>
    <w:p>
      <w:pPr>
        <w:spacing w:line="360" w:lineRule="auto"/>
        <w:ind w:firstLine="480" w:firstLineChars="200"/>
        <w:rPr>
          <w:rFonts w:ascii="宋体" w:hAnsi="宋体"/>
          <w:color w:val="auto"/>
          <w:sz w:val="24"/>
          <w:szCs w:val="24"/>
        </w:rPr>
      </w:pPr>
      <w:r>
        <w:rPr>
          <w:rFonts w:ascii="宋体" w:hAnsi="宋体"/>
          <w:color w:val="auto"/>
          <w:sz w:val="24"/>
          <w:szCs w:val="24"/>
        </w:rPr>
        <w:t>37.</w:t>
      </w:r>
      <w:r>
        <w:rPr>
          <w:rFonts w:hint="eastAsia" w:ascii="宋体" w:hAnsi="宋体"/>
          <w:color w:val="auto"/>
          <w:sz w:val="24"/>
          <w:szCs w:val="24"/>
          <w:lang w:val="en-US" w:eastAsia="zh-CN"/>
        </w:rPr>
        <w:t>3</w:t>
      </w:r>
      <w:r>
        <w:rPr>
          <w:rFonts w:ascii="宋体" w:hAnsi="宋体"/>
          <w:color w:val="auto"/>
          <w:sz w:val="24"/>
          <w:szCs w:val="24"/>
        </w:rPr>
        <w:t>.2</w:t>
      </w:r>
      <w:r>
        <w:rPr>
          <w:rFonts w:hint="eastAsia" w:ascii="宋体" w:hAnsi="宋体"/>
          <w:color w:val="auto"/>
          <w:sz w:val="24"/>
          <w:szCs w:val="24"/>
        </w:rPr>
        <w:t>向招标人报告评审意见，推荐合格的中标候选人。</w:t>
      </w:r>
    </w:p>
    <w:p>
      <w:pPr>
        <w:spacing w:line="360" w:lineRule="auto"/>
        <w:ind w:firstLine="480" w:firstLineChars="200"/>
        <w:rPr>
          <w:rFonts w:ascii="宋体" w:hAnsi="宋体"/>
          <w:color w:val="auto"/>
          <w:sz w:val="24"/>
          <w:szCs w:val="24"/>
        </w:rPr>
      </w:pPr>
      <w:r>
        <w:rPr>
          <w:rFonts w:ascii="宋体" w:hAnsi="宋体"/>
          <w:bCs/>
          <w:color w:val="auto"/>
          <w:sz w:val="24"/>
          <w:szCs w:val="24"/>
        </w:rPr>
        <w:t>37.</w:t>
      </w:r>
      <w:r>
        <w:rPr>
          <w:rFonts w:hint="eastAsia" w:ascii="宋体" w:hAnsi="宋体"/>
          <w:bCs/>
          <w:color w:val="auto"/>
          <w:sz w:val="24"/>
          <w:szCs w:val="24"/>
          <w:lang w:val="en-US" w:eastAsia="zh-CN"/>
        </w:rPr>
        <w:t>3</w:t>
      </w:r>
      <w:r>
        <w:rPr>
          <w:rFonts w:ascii="宋体" w:hAnsi="宋体"/>
          <w:bCs/>
          <w:color w:val="auto"/>
          <w:sz w:val="24"/>
          <w:szCs w:val="24"/>
        </w:rPr>
        <w:t>.3</w:t>
      </w:r>
      <w:r>
        <w:rPr>
          <w:rFonts w:hint="eastAsia" w:ascii="宋体" w:hAnsi="宋体"/>
          <w:color w:val="auto"/>
          <w:sz w:val="24"/>
          <w:szCs w:val="24"/>
        </w:rPr>
        <w:t>所有参加评标人员必须遵守国家、地方政府制定的有关工程招标投标的法则、规定，遵守有关工程招标投标的保密制度；如有违反者，给予行政处分；情节严重，构成犯罪的，由司法机关依法追究其刑事责任。</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38．投标文件的澄清</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38.1为有助于投标文件的审查、评价和比较，评标期间，经评标委员会或评标委员会专业评审组中两人以上（含两人）以书面形式提出动议，评标委员会或评标委员会专业评审组应当书面发出澄清通知，要求投标人对</w:t>
      </w:r>
      <w:r>
        <w:rPr>
          <w:rFonts w:hint="eastAsia" w:ascii="宋体" w:hAnsi="宋体" w:cs="宋体"/>
          <w:color w:val="auto"/>
          <w:sz w:val="24"/>
          <w:szCs w:val="24"/>
          <w:highlight w:val="none"/>
          <w:u w:val="single"/>
        </w:rPr>
        <w:t>投标文件含义不明确、对同类问题表述不一致、有明显文字和计算错误的内容以及细微偏差的内容作出澄清</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38.2 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评审的依据。</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38.3 评标委员会或评标委员会专业评审组成员均应当阅读投标人的澄清，但应独立参考澄清对投标文件进行评审。</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38.4如果投标文件实质上不响应招标文件的各项要求，评标委员会将按照符合性审查标准予以拒绝，不接受投标人通过修改或撤销其不符合要求的差异或保留，使之成为具有响应性的投标。</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38.5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39．定标</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39.1 招标人根据评标委员会递交的评标报告，最终审定中标人。</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39.2 依法必须进行公开招标的项目，招标人应当确定排名第一的中标候选人为中标人，</w:t>
      </w:r>
      <w:r>
        <w:rPr>
          <w:rFonts w:hint="eastAsia" w:ascii="宋体" w:hAnsi="宋体" w:cs="宋体"/>
          <w:color w:val="auto"/>
          <w:sz w:val="24"/>
          <w:szCs w:val="24"/>
          <w:highlight w:val="none"/>
          <w:u w:val="single"/>
        </w:rPr>
        <w:t>若在填报中标候选人公示信息时被发现委派的项目负责人已在其他在建项目中任职、不符合任职数量规定</w:t>
      </w:r>
      <w:r>
        <w:rPr>
          <w:rFonts w:hint="eastAsia" w:ascii="宋体" w:hAnsi="宋体" w:cs="宋体"/>
          <w:color w:val="auto"/>
          <w:sz w:val="24"/>
          <w:szCs w:val="24"/>
          <w:highlight w:val="none"/>
          <w:u w:val="single"/>
          <w:lang w:eastAsia="zh-CN"/>
        </w:rPr>
        <w:t>时，则不能进行中标候选人公示，招标人可以确定排名第二的中标候选人为中标人。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39.3排名第一的中标候选人放弃中标、或因不可抗力提出不能履行合同，或者招标文件规定应当提交履约担保而在规定的期限内未能提交的，</w:t>
      </w:r>
      <w:r>
        <w:rPr>
          <w:rFonts w:hint="eastAsia" w:ascii="宋体" w:hAnsi="宋体" w:cs="宋体"/>
          <w:color w:val="auto"/>
          <w:sz w:val="24"/>
          <w:szCs w:val="24"/>
          <w:highlight w:val="none"/>
          <w:u w:val="single"/>
        </w:rPr>
        <w:t>或经核查发现委派的项目负责人已在其他在建项目中</w:t>
      </w:r>
      <w:r>
        <w:rPr>
          <w:rFonts w:hint="eastAsia" w:ascii="宋体" w:hAnsi="宋体" w:cs="宋体"/>
          <w:color w:val="auto"/>
          <w:sz w:val="24"/>
          <w:szCs w:val="24"/>
          <w:highlight w:val="none"/>
          <w:u w:val="single"/>
          <w:lang w:eastAsia="zh-CN"/>
        </w:rPr>
        <w:t>担</w:t>
      </w:r>
      <w:r>
        <w:rPr>
          <w:rFonts w:hint="eastAsia" w:ascii="宋体" w:hAnsi="宋体" w:cs="宋体"/>
          <w:color w:val="auto"/>
          <w:sz w:val="24"/>
          <w:szCs w:val="24"/>
          <w:highlight w:val="none"/>
          <w:u w:val="single"/>
        </w:rPr>
        <w:t>任</w:t>
      </w:r>
      <w:r>
        <w:rPr>
          <w:rFonts w:hint="eastAsia" w:ascii="宋体" w:hAnsi="宋体" w:cs="宋体"/>
          <w:color w:val="auto"/>
          <w:sz w:val="24"/>
          <w:szCs w:val="24"/>
          <w:highlight w:val="none"/>
          <w:u w:val="single"/>
          <w:lang w:eastAsia="zh-CN"/>
        </w:rPr>
        <w:t>本</w:t>
      </w:r>
      <w:r>
        <w:rPr>
          <w:rFonts w:hint="eastAsia" w:ascii="宋体" w:hAnsi="宋体" w:cs="宋体"/>
          <w:color w:val="auto"/>
          <w:sz w:val="24"/>
          <w:szCs w:val="24"/>
          <w:highlight w:val="none"/>
          <w:u w:val="single"/>
        </w:rPr>
        <w:t>职</w:t>
      </w:r>
      <w:r>
        <w:rPr>
          <w:rFonts w:hint="eastAsia" w:ascii="宋体" w:hAnsi="宋体" w:cs="宋体"/>
          <w:color w:val="auto"/>
          <w:sz w:val="24"/>
          <w:szCs w:val="24"/>
          <w:highlight w:val="none"/>
          <w:u w:val="single"/>
          <w:lang w:eastAsia="zh-CN"/>
        </w:rPr>
        <w:t>务</w:t>
      </w:r>
      <w:r>
        <w:rPr>
          <w:rFonts w:hint="eastAsia" w:ascii="宋体" w:hAnsi="宋体" w:cs="宋体"/>
          <w:color w:val="auto"/>
          <w:sz w:val="24"/>
          <w:szCs w:val="24"/>
          <w:highlight w:val="none"/>
          <w:u w:val="single"/>
        </w:rPr>
        <w:t>的，</w:t>
      </w:r>
      <w:r>
        <w:rPr>
          <w:rFonts w:hint="eastAsia" w:ascii="宋体" w:hAnsi="宋体" w:cs="宋体"/>
          <w:color w:val="auto"/>
          <w:sz w:val="24"/>
          <w:szCs w:val="24"/>
          <w:highlight w:val="none"/>
        </w:rPr>
        <w:t>招标人可以确定排名第二的中标候选人为中标人。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39.4排名第二的中标候选人出现前款所列的情形的，招标人可以确定排名第三的中标候选人为中标人。以此类推，如所有中标候选人均出现前款所列的情形，为招标失败，招标人依法重新招标。</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39.5 重新评标的，评标信息（含业绩、奖项等）仍以投标截止时投标人的信息为准。因特殊原因需要延长投标有效期，投标人拒绝延长投标有效期的，仍参与评标，但不被推荐为中标候选人。</w:t>
      </w:r>
    </w:p>
    <w:p>
      <w:pPr>
        <w:pStyle w:val="7"/>
        <w:spacing w:before="156" w:after="156"/>
        <w:ind w:firstLine="540" w:firstLineChars="200"/>
        <w:rPr>
          <w:color w:val="auto"/>
          <w:highlight w:val="none"/>
        </w:rPr>
      </w:pPr>
      <w:bookmarkStart w:id="113" w:name="_Toc2053151577"/>
      <w:bookmarkStart w:id="114" w:name="_Toc24881"/>
      <w:bookmarkStart w:id="115" w:name="_Toc20634"/>
      <w:bookmarkStart w:id="116" w:name="_Toc9619"/>
      <w:bookmarkStart w:id="117" w:name="_Toc20737"/>
      <w:bookmarkStart w:id="118" w:name="_Toc13179"/>
      <w:bookmarkStart w:id="119" w:name="_Toc27160"/>
      <w:bookmarkStart w:id="120" w:name="_Toc24052"/>
      <w:bookmarkStart w:id="121" w:name="_Toc22843"/>
      <w:r>
        <w:rPr>
          <w:rFonts w:hint="eastAsia"/>
          <w:color w:val="auto"/>
          <w:highlight w:val="none"/>
        </w:rPr>
        <w:t>（二）开标评标办法程序和细则</w:t>
      </w:r>
      <w:bookmarkEnd w:id="113"/>
      <w:bookmarkEnd w:id="114"/>
      <w:bookmarkEnd w:id="115"/>
      <w:bookmarkEnd w:id="116"/>
      <w:bookmarkEnd w:id="117"/>
      <w:bookmarkEnd w:id="118"/>
      <w:bookmarkEnd w:id="119"/>
      <w:bookmarkEnd w:id="120"/>
      <w:bookmarkEnd w:id="121"/>
    </w:p>
    <w:p>
      <w:pPr>
        <w:pStyle w:val="7"/>
        <w:spacing w:before="156" w:after="156"/>
        <w:ind w:firstLine="540" w:firstLineChars="200"/>
        <w:rPr>
          <w:color w:val="auto"/>
          <w:highlight w:val="none"/>
        </w:rPr>
      </w:pPr>
      <w:bookmarkStart w:id="122" w:name="_Toc9744"/>
      <w:bookmarkStart w:id="123" w:name="_Toc7179"/>
      <w:bookmarkStart w:id="124" w:name="_Toc30914"/>
      <w:bookmarkStart w:id="125" w:name="_Toc1551314643"/>
      <w:bookmarkStart w:id="126" w:name="_Toc16700"/>
      <w:bookmarkStart w:id="127" w:name="_Toc27998"/>
      <w:bookmarkStart w:id="128" w:name="_Toc26591"/>
      <w:bookmarkStart w:id="129" w:name="_Toc26375"/>
      <w:bookmarkStart w:id="130" w:name="_Toc27923"/>
      <w:r>
        <w:rPr>
          <w:rFonts w:hint="eastAsia"/>
          <w:color w:val="auto"/>
          <w:highlight w:val="none"/>
        </w:rPr>
        <w:t>可选办法七（适合综合评分法四，技术标与经济标同时开启）</w:t>
      </w:r>
      <w:bookmarkEnd w:id="122"/>
      <w:bookmarkEnd w:id="123"/>
      <w:bookmarkEnd w:id="124"/>
      <w:bookmarkEnd w:id="125"/>
      <w:bookmarkEnd w:id="126"/>
      <w:bookmarkEnd w:id="127"/>
      <w:bookmarkEnd w:id="128"/>
      <w:bookmarkEnd w:id="129"/>
      <w:bookmarkEnd w:id="130"/>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40．开标和评标程序</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40.1技术标（含资格审查文件）与经济标投标文件同时公开开标；</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40.2由评标委员会对所有已公开开标的投标人进行资格审查；</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40.3技术标投标文件有效性审查；</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40.4技术标详细审查评分；</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40.5经济标详细审查评分； </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40.6评标委员会按照投标人总得分由高至低排序；</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40.7经济标投标文件有效性审查；</w:t>
      </w:r>
    </w:p>
    <w:p>
      <w:pPr>
        <w:snapToGrid w:val="0"/>
        <w:spacing w:line="360" w:lineRule="auto"/>
        <w:ind w:firstLine="480" w:firstLineChars="200"/>
        <w:rPr>
          <w:rFonts w:ascii="宋体" w:hAnsi="宋体" w:cs="宋体"/>
          <w:color w:val="auto"/>
          <w:szCs w:val="21"/>
          <w:highlight w:val="none"/>
        </w:rPr>
      </w:pPr>
      <w:r>
        <w:rPr>
          <w:rFonts w:hint="eastAsia" w:ascii="宋体" w:hAnsi="宋体" w:cs="宋体"/>
          <w:color w:val="auto"/>
          <w:sz w:val="24"/>
          <w:szCs w:val="24"/>
          <w:highlight w:val="none"/>
        </w:rPr>
        <w:t>40.8评标委员会按排序向招标人推荐中标候选人名单，并递交资格审查报告及评标报告。</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41．开标细则</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41.1开标由</w:t>
      </w:r>
      <w:r>
        <w:rPr>
          <w:rFonts w:hint="eastAsia" w:ascii="宋体" w:hAnsi="宋体" w:cs="宋体"/>
          <w:color w:val="auto"/>
          <w:sz w:val="24"/>
          <w:szCs w:val="24"/>
          <w:highlight w:val="none"/>
          <w:u w:val="single"/>
        </w:rPr>
        <w:t>招标人或招标代理</w:t>
      </w:r>
      <w:r>
        <w:rPr>
          <w:rFonts w:hint="eastAsia" w:ascii="宋体" w:hAnsi="宋体" w:cs="宋体"/>
          <w:color w:val="auto"/>
          <w:sz w:val="24"/>
          <w:szCs w:val="24"/>
          <w:highlight w:val="none"/>
        </w:rPr>
        <w:t>主持；</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41.2 细则</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41.2.1投标截止期前，各投标人递交投标文件（包括技术标</w:t>
      </w:r>
      <w:r>
        <w:rPr>
          <w:rFonts w:hint="eastAsia" w:ascii="宋体" w:hAnsi="宋体" w:cs="宋体"/>
          <w:color w:val="auto"/>
          <w:sz w:val="24"/>
          <w:szCs w:val="24"/>
          <w:highlight w:val="none"/>
          <w:u w:val="single"/>
        </w:rPr>
        <w:t>（含资格审查文件）</w:t>
      </w:r>
      <w:r>
        <w:rPr>
          <w:rFonts w:hint="eastAsia" w:ascii="宋体" w:hAnsi="宋体" w:cs="宋体"/>
          <w:color w:val="auto"/>
          <w:sz w:val="24"/>
          <w:szCs w:val="24"/>
          <w:highlight w:val="none"/>
        </w:rPr>
        <w:t>投标文件、经济标投标文件）至</w:t>
      </w:r>
      <w:r>
        <w:rPr>
          <w:rFonts w:hint="eastAsia" w:ascii="宋体" w:hAnsi="宋体" w:cs="宋体"/>
          <w:color w:val="auto"/>
          <w:sz w:val="24"/>
          <w:szCs w:val="24"/>
          <w:highlight w:val="none"/>
          <w:u w:val="single"/>
        </w:rPr>
        <w:t>广州公共资源交易中心</w:t>
      </w:r>
      <w:r>
        <w:rPr>
          <w:rFonts w:hint="eastAsia" w:ascii="宋体" w:hAnsi="宋体" w:cs="宋体"/>
          <w:color w:val="auto"/>
          <w:sz w:val="24"/>
          <w:szCs w:val="24"/>
          <w:highlight w:val="none"/>
        </w:rPr>
        <w:t xml:space="preserve">交易平台。有关投标文件提交的事项详见第一章投标须知。 </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strike w:val="0"/>
          <w:color w:val="auto"/>
          <w:sz w:val="24"/>
          <w:szCs w:val="24"/>
          <w:highlight w:val="none"/>
        </w:rPr>
        <w:t>41.2.2开标前，首先由招标人随机抽取确定该工程计算评标参考价的等分点值X。</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41.2.3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41.2.4按36.5.1的规定完成解密后，公布下列内容，并予以记录，记录提交评标委员会评审： </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41.2.4.1开标时，公布：a、投标人名称；b、</w:t>
      </w:r>
      <w:r>
        <w:rPr>
          <w:rFonts w:hint="eastAsia" w:ascii="宋体" w:hAnsi="宋体" w:cs="宋体"/>
          <w:color w:val="auto"/>
          <w:sz w:val="24"/>
          <w:highlight w:val="none"/>
        </w:rPr>
        <w:t>投标文件</w:t>
      </w:r>
      <w:r>
        <w:rPr>
          <w:rFonts w:hint="eastAsia" w:ascii="宋体" w:hAnsi="宋体" w:cs="宋体"/>
          <w:color w:val="auto"/>
          <w:sz w:val="24"/>
          <w:szCs w:val="24"/>
          <w:highlight w:val="none"/>
        </w:rPr>
        <w:t>密封情况；c、投标报价；d、投标保证金；e、项目经理（负责人）名称；f、法定代表人证明及授权委托等主要内容及开标记录表中的其他必要内容。投标报价以数字和文字两种方式表述的，应公布文字表述的投标报价。</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41.3招标人</w:t>
      </w:r>
      <w:r>
        <w:rPr>
          <w:rFonts w:hint="eastAsia" w:ascii="宋体" w:hAnsi="宋体" w:cs="宋体"/>
          <w:color w:val="auto"/>
          <w:sz w:val="24"/>
          <w:szCs w:val="24"/>
          <w:highlight w:val="none"/>
          <w:u w:val="single"/>
        </w:rPr>
        <w:t>或招标代理</w:t>
      </w:r>
      <w:r>
        <w:rPr>
          <w:rFonts w:hint="eastAsia" w:ascii="宋体" w:hAnsi="宋体" w:cs="宋体"/>
          <w:color w:val="auto"/>
          <w:sz w:val="24"/>
          <w:szCs w:val="24"/>
          <w:highlight w:val="none"/>
        </w:rPr>
        <w:t>对开标过程进行记录，并存档备查，</w:t>
      </w:r>
      <w:r>
        <w:rPr>
          <w:rFonts w:hint="eastAsia" w:ascii="宋体" w:hAnsi="宋体" w:cs="宋体"/>
          <w:color w:val="auto"/>
          <w:sz w:val="24"/>
          <w:szCs w:val="24"/>
          <w:highlight w:val="none"/>
          <w:lang w:eastAsia="zh-CN"/>
        </w:rPr>
        <w:t>参加开标会的</w:t>
      </w:r>
      <w:r>
        <w:rPr>
          <w:rFonts w:hint="eastAsia" w:ascii="宋体" w:hAnsi="宋体" w:cs="宋体"/>
          <w:color w:val="auto"/>
          <w:sz w:val="24"/>
          <w:szCs w:val="24"/>
          <w:highlight w:val="none"/>
        </w:rPr>
        <w:t>投标人在开标记录上签字</w:t>
      </w:r>
      <w:r>
        <w:rPr>
          <w:rFonts w:hint="eastAsia" w:ascii="宋体" w:hAnsi="宋体" w:cs="宋体"/>
          <w:color w:val="auto"/>
          <w:sz w:val="24"/>
          <w:szCs w:val="24"/>
          <w:highlight w:val="none"/>
          <w:u w:val="single"/>
        </w:rPr>
        <w:t>，投标人未签字且未提出异议的将被视为默认开标结果</w:t>
      </w:r>
      <w:r>
        <w:rPr>
          <w:rFonts w:hint="eastAsia" w:ascii="宋体" w:hAnsi="宋体" w:cs="宋体"/>
          <w:color w:val="auto"/>
          <w:sz w:val="24"/>
          <w:szCs w:val="24"/>
          <w:highlight w:val="none"/>
        </w:rPr>
        <w:t>。</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41.4 招标人</w:t>
      </w:r>
      <w:r>
        <w:rPr>
          <w:rFonts w:hint="eastAsia" w:ascii="宋体" w:hAnsi="宋体" w:cs="宋体"/>
          <w:color w:val="auto"/>
          <w:sz w:val="24"/>
          <w:szCs w:val="24"/>
          <w:highlight w:val="none"/>
          <w:u w:val="single"/>
          <w:lang w:eastAsia="zh-CN"/>
        </w:rPr>
        <w:t>或招标代理</w:t>
      </w:r>
      <w:r>
        <w:rPr>
          <w:rFonts w:hint="eastAsia" w:ascii="宋体" w:hAnsi="宋体" w:cs="宋体"/>
          <w:color w:val="auto"/>
          <w:sz w:val="24"/>
          <w:szCs w:val="24"/>
          <w:highlight w:val="none"/>
        </w:rPr>
        <w:t>将上述符合要求的投标文件，送至评标委员会进行评审。</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42. 资格审查及评标细则</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42.1资格审查及评标均由招标人依法组建的评标委员会负责。</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42.2评标委员会的组成：方式</w:t>
      </w:r>
      <w:r>
        <w:rPr>
          <w:rFonts w:hint="eastAsia" w:ascii="宋体" w:hAnsi="宋体" w:cs="宋体"/>
          <w:color w:val="auto"/>
          <w:sz w:val="24"/>
          <w:szCs w:val="24"/>
          <w:highlight w:val="none"/>
          <w:u w:val="single"/>
        </w:rPr>
        <w:t xml:space="preserve"> 一 </w:t>
      </w:r>
      <w:r>
        <w:rPr>
          <w:rFonts w:hint="eastAsia" w:ascii="宋体" w:hAnsi="宋体" w:cs="宋体"/>
          <w:color w:val="auto"/>
          <w:sz w:val="24"/>
          <w:szCs w:val="24"/>
          <w:highlight w:val="none"/>
        </w:rPr>
        <w:t>。</w:t>
      </w:r>
    </w:p>
    <w:p>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方式一：评标委员会为综合评标委员会，负责资格审查及评标工作。</w:t>
      </w:r>
    </w:p>
    <w:p>
      <w:pPr>
        <w:pStyle w:val="37"/>
        <w:tabs>
          <w:tab w:val="left" w:pos="7380"/>
        </w:tabs>
        <w:snapToGrid w:val="0"/>
        <w:spacing w:after="0" w:line="360" w:lineRule="auto"/>
        <w:rPr>
          <w:rFonts w:ascii="宋体" w:hAnsi="宋体" w:cs="宋体"/>
          <w:strike/>
          <w:color w:val="auto"/>
          <w:sz w:val="24"/>
          <w:szCs w:val="24"/>
          <w:highlight w:val="none"/>
        </w:rPr>
      </w:pPr>
      <w:r>
        <w:rPr>
          <w:rFonts w:hint="eastAsia" w:ascii="宋体" w:hAnsi="宋体" w:cs="宋体"/>
          <w:strike/>
          <w:color w:val="auto"/>
          <w:sz w:val="24"/>
          <w:szCs w:val="24"/>
          <w:highlight w:val="none"/>
        </w:rPr>
        <w:t>方式二：评标委员会由技术评审组和经济评审组组成。其中：资格审查及技术评审由技术评标组负责，经济评审由经济评审组负责。</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43．投标人资格审查</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43.1资格审查文件中全部符合附表一《资格审查表》中情形的，为资格审查合格；否则为资格审查不合格。如评标委员会成员的评审意见不一致时，以评标委员会过半数成员的意见作为评标委员会对该情形的认定结论。</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43.2汇总资格审查情况，编写资格审查报告。</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43.3资格审查不合格的投标文件不参加下一阶段的评标，不参与评标参考价的计算。</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43.4资格审查时，投标企业名称已经工商变更的，但企业及个人的资质证书未完成企业名称变更，仍然承认其有效。资质证书、安全生产许可证之间登记的信息不一致，应当允许投标人澄清，不得直接否决其投标。</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43.5资审合格后，投标人的资格发生变化而不满足投标人合格条件，在发出中标通知书前，资格问题仍未解决的，招标人将取消其中标资格。</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43.6资格审查合格的投标人少于3名的（当N个标段同时招标且不允许兼中时，资格审查合格的投标人少于N+2名），则本项目招标失败。</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44．技术标评审</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44.1技术标的有效性审查：投标文件中没有任一种列于本办法附表二《技术标有效性审查表》中情形的，为有效投标文件。否则其投标文件将被否决。被否决的投标人不参与下一阶段评审，不参与评标参考价的计算。如评标委员会的评审意见不一致时，以评标委员会过半数成员的意见作为评标委员会对该情形的认定结论。若通过技术标有效性审查的投标人不足3名（当N个标段同时招标且不允许兼中时，若通过技术标有效性审查投标人不足N+2名），则本项目招标失败。</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44.2技术标详细审查评分：评标委员会按照附表四《技术标详细审查评分表》的标准，对通过技术标有效性审查的投标文件技术标进行详细审查，评出技术分，得分四舍五入精确到小数点后两位。</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45．经济标评审和得分汇总</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45.1若通过技术标有效性审查的投标人中所有投标报价均大于等于最高投标限价，则本项目招标失败，由招标人依法重新招标。</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45.2按方法</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二</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计算评标参考价：</w:t>
      </w:r>
    </w:p>
    <w:p>
      <w:pPr>
        <w:widowControl/>
        <w:spacing w:line="360" w:lineRule="auto"/>
        <w:ind w:firstLine="482" w:firstLineChars="200"/>
        <w:rPr>
          <w:rFonts w:ascii="宋体" w:hAnsi="宋体" w:cs="宋体"/>
          <w:b/>
          <w:bCs/>
          <w:color w:val="auto"/>
          <w:kern w:val="0"/>
          <w:sz w:val="24"/>
          <w:szCs w:val="24"/>
          <w:highlight w:val="none"/>
          <w:u w:val="single"/>
        </w:rPr>
      </w:pPr>
      <w:r>
        <w:rPr>
          <w:rFonts w:hint="eastAsia" w:ascii="宋体" w:hAnsi="宋体" w:cs="宋体"/>
          <w:b/>
          <w:bCs/>
          <w:color w:val="auto"/>
          <w:kern w:val="0"/>
          <w:sz w:val="24"/>
          <w:szCs w:val="24"/>
          <w:highlight w:val="none"/>
          <w:u w:val="single"/>
        </w:rPr>
        <w:t>方法一：加权平均法</w:t>
      </w:r>
    </w:p>
    <w:p>
      <w:pPr>
        <w:spacing w:line="360" w:lineRule="auto"/>
        <w:ind w:firstLine="480" w:firstLineChars="200"/>
        <w:rPr>
          <w:rFonts w:ascii="宋体" w:hAnsi="宋体" w:cs="宋体"/>
          <w:strike/>
          <w:color w:val="auto"/>
          <w:sz w:val="24"/>
          <w:szCs w:val="24"/>
          <w:highlight w:val="none"/>
          <w:u w:val="single"/>
        </w:rPr>
      </w:pPr>
      <w:r>
        <w:rPr>
          <w:rFonts w:hint="eastAsia" w:ascii="宋体" w:hAnsi="宋体" w:cs="宋体"/>
          <w:strike/>
          <w:color w:val="auto"/>
          <w:sz w:val="24"/>
          <w:szCs w:val="24"/>
          <w:highlight w:val="none"/>
          <w:u w:val="single"/>
        </w:rPr>
        <w:t>技术标得分前5名（N≥5，具体由招标人自定）的经济报价加权平均，计算评标参考价；若通过经济标有效性审查的投标单位不足5家，以投标单位家数为N值，计算评标参考价。公式如下：</w:t>
      </w:r>
    </w:p>
    <w:p>
      <w:pPr>
        <w:spacing w:line="360" w:lineRule="auto"/>
        <w:ind w:firstLine="480" w:firstLineChars="200"/>
        <w:rPr>
          <w:rFonts w:ascii="宋体" w:hAnsi="宋体" w:cs="宋体"/>
          <w:strike/>
          <w:color w:val="auto"/>
          <w:sz w:val="24"/>
          <w:szCs w:val="24"/>
          <w:highlight w:val="none"/>
          <w:u w:val="single"/>
        </w:rPr>
      </w:pPr>
      <w:r>
        <w:rPr>
          <w:rFonts w:hint="eastAsia" w:ascii="宋体" w:hAnsi="宋体" w:cs="宋体"/>
          <w:strike/>
          <w:color w:val="auto"/>
          <w:sz w:val="24"/>
          <w:szCs w:val="24"/>
          <w:highlight w:val="none"/>
          <w:u w:val="single"/>
        </w:rPr>
        <w:t>评标参考价=Σ（投标人的投标报价*报价权重）。</w:t>
      </w:r>
    </w:p>
    <w:p>
      <w:pPr>
        <w:spacing w:line="360" w:lineRule="auto"/>
        <w:ind w:firstLine="480" w:firstLineChars="200"/>
        <w:rPr>
          <w:rFonts w:ascii="宋体" w:hAnsi="宋体" w:cs="宋体"/>
          <w:strike/>
          <w:color w:val="auto"/>
          <w:sz w:val="24"/>
          <w:szCs w:val="24"/>
          <w:highlight w:val="none"/>
          <w:u w:val="single"/>
        </w:rPr>
      </w:pPr>
      <w:r>
        <w:rPr>
          <w:rFonts w:hint="eastAsia" w:ascii="宋体" w:hAnsi="宋体" w:cs="宋体"/>
          <w:strike/>
          <w:color w:val="auto"/>
          <w:sz w:val="24"/>
          <w:szCs w:val="24"/>
          <w:highlight w:val="none"/>
          <w:u w:val="single"/>
        </w:rPr>
        <w:t>其中：报价权重的计算方法为：将N名投标人按技术分由高至低进行排序，第一名投标人的权重为（</w:t>
      </w:r>
      <w:r>
        <w:rPr>
          <w:rFonts w:hint="eastAsia" w:ascii="宋体" w:hAnsi="宋体" w:cs="宋体"/>
          <w:strike/>
          <w:color w:val="auto"/>
          <w:sz w:val="24"/>
          <w:szCs w:val="24"/>
          <w:highlight w:val="none"/>
          <w:u w:val="single"/>
        </w:rPr>
        <w:fldChar w:fldCharType="begin"/>
      </w:r>
      <w:r>
        <w:rPr>
          <w:rFonts w:hint="eastAsia" w:ascii="宋体" w:hAnsi="宋体" w:cs="宋体"/>
          <w:strike/>
          <w:color w:val="auto"/>
          <w:sz w:val="24"/>
          <w:szCs w:val="24"/>
          <w:highlight w:val="none"/>
          <w:u w:val="single"/>
        </w:rPr>
        <w:instrText xml:space="preserve"> QUOTE </w:instrText>
      </w:r>
      <w:r>
        <w:rPr>
          <w:rFonts w:hint="eastAsia" w:ascii="宋体" w:hAnsi="宋体" w:cs="宋体"/>
          <w:strike/>
          <w:color w:val="auto"/>
          <w:sz w:val="24"/>
          <w:szCs w:val="24"/>
          <w:highlight w:val="none"/>
          <w:u w:val="single"/>
        </w:rPr>
        <w:drawing>
          <wp:inline distT="0" distB="0" distL="114300" distR="114300">
            <wp:extent cx="381000" cy="447675"/>
            <wp:effectExtent l="0" t="0" r="0" b="889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381000" cy="447675"/>
                    </a:xfrm>
                    <a:prstGeom prst="rect">
                      <a:avLst/>
                    </a:prstGeom>
                    <a:noFill/>
                    <a:ln>
                      <a:noFill/>
                    </a:ln>
                  </pic:spPr>
                </pic:pic>
              </a:graphicData>
            </a:graphic>
          </wp:inline>
        </w:drawing>
      </w:r>
      <w:r>
        <w:rPr>
          <w:rFonts w:hint="eastAsia" w:ascii="宋体" w:hAnsi="宋体" w:cs="宋体"/>
          <w:strike/>
          <w:color w:val="auto"/>
          <w:sz w:val="24"/>
          <w:szCs w:val="24"/>
          <w:highlight w:val="none"/>
          <w:u w:val="single"/>
        </w:rPr>
        <w:fldChar w:fldCharType="separate"/>
      </w:r>
      <w:r>
        <w:rPr>
          <w:rFonts w:hint="eastAsia" w:ascii="宋体" w:hAnsi="宋体" w:cs="宋体"/>
          <w:strike/>
          <w:color w:val="auto"/>
          <w:sz w:val="24"/>
          <w:szCs w:val="24"/>
          <w:highlight w:val="none"/>
          <w:u w:val="single"/>
        </w:rPr>
        <w:drawing>
          <wp:inline distT="0" distB="0" distL="114300" distR="114300">
            <wp:extent cx="381000" cy="447675"/>
            <wp:effectExtent l="0" t="0" r="0" b="889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381000" cy="447675"/>
                    </a:xfrm>
                    <a:prstGeom prst="rect">
                      <a:avLst/>
                    </a:prstGeom>
                    <a:noFill/>
                    <a:ln>
                      <a:noFill/>
                    </a:ln>
                  </pic:spPr>
                </pic:pic>
              </a:graphicData>
            </a:graphic>
          </wp:inline>
        </w:drawing>
      </w:r>
      <w:r>
        <w:rPr>
          <w:rFonts w:hint="eastAsia" w:ascii="宋体" w:hAnsi="宋体" w:cs="宋体"/>
          <w:strike/>
          <w:color w:val="auto"/>
          <w:sz w:val="24"/>
          <w:szCs w:val="24"/>
          <w:highlight w:val="none"/>
          <w:u w:val="single"/>
        </w:rPr>
        <w:fldChar w:fldCharType="end"/>
      </w:r>
      <w:r>
        <w:rPr>
          <w:rFonts w:hint="eastAsia" w:ascii="宋体" w:hAnsi="宋体" w:cs="宋体"/>
          <w:strike/>
          <w:color w:val="auto"/>
          <w:sz w:val="24"/>
          <w:szCs w:val="24"/>
          <w:highlight w:val="none"/>
          <w:u w:val="single"/>
        </w:rPr>
        <w:t>），第二名投标人的权重为（</w:t>
      </w:r>
      <w:r>
        <w:rPr>
          <w:rFonts w:hint="eastAsia" w:ascii="宋体" w:hAnsi="宋体" w:cs="宋体"/>
          <w:strike/>
          <w:color w:val="auto"/>
          <w:sz w:val="24"/>
          <w:szCs w:val="24"/>
          <w:highlight w:val="none"/>
          <w:u w:val="single"/>
        </w:rPr>
        <w:fldChar w:fldCharType="begin"/>
      </w:r>
      <w:r>
        <w:rPr>
          <w:rFonts w:hint="eastAsia" w:ascii="宋体" w:hAnsi="宋体" w:cs="宋体"/>
          <w:strike/>
          <w:color w:val="auto"/>
          <w:sz w:val="24"/>
          <w:szCs w:val="24"/>
          <w:highlight w:val="none"/>
          <w:u w:val="single"/>
        </w:rPr>
        <w:instrText xml:space="preserve"> QUOTE </w:instrText>
      </w:r>
      <w:r>
        <w:rPr>
          <w:rFonts w:hint="eastAsia" w:ascii="宋体" w:hAnsi="宋体" w:cs="宋体"/>
          <w:strike/>
          <w:color w:val="auto"/>
          <w:position w:val="-23"/>
          <w:sz w:val="24"/>
          <w:szCs w:val="24"/>
          <w:highlight w:val="none"/>
          <w:u w:val="single"/>
        </w:rPr>
        <w:drawing>
          <wp:inline distT="0" distB="0" distL="114300" distR="114300">
            <wp:extent cx="323850" cy="400050"/>
            <wp:effectExtent l="0" t="0" r="0"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cs="宋体"/>
          <w:strike/>
          <w:color w:val="auto"/>
          <w:sz w:val="24"/>
          <w:szCs w:val="24"/>
          <w:highlight w:val="none"/>
          <w:u w:val="single"/>
        </w:rPr>
        <w:fldChar w:fldCharType="separate"/>
      </w:r>
      <w:r>
        <w:rPr>
          <w:rFonts w:hint="eastAsia" w:ascii="宋体" w:hAnsi="宋体" w:cs="宋体"/>
          <w:strike/>
          <w:color w:val="auto"/>
          <w:position w:val="-23"/>
          <w:sz w:val="24"/>
          <w:szCs w:val="24"/>
          <w:highlight w:val="none"/>
          <w:u w:val="single"/>
        </w:rPr>
        <w:drawing>
          <wp:inline distT="0" distB="0" distL="114300" distR="114300">
            <wp:extent cx="323850" cy="400050"/>
            <wp:effectExtent l="0" t="0" r="0" b="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cs="宋体"/>
          <w:strike/>
          <w:color w:val="auto"/>
          <w:sz w:val="24"/>
          <w:szCs w:val="24"/>
          <w:highlight w:val="none"/>
          <w:u w:val="single"/>
        </w:rPr>
        <w:fldChar w:fldCharType="end"/>
      </w:r>
      <w:r>
        <w:rPr>
          <w:rFonts w:hint="eastAsia" w:ascii="宋体" w:hAnsi="宋体" w:cs="宋体"/>
          <w:strike/>
          <w:color w:val="auto"/>
          <w:sz w:val="24"/>
          <w:szCs w:val="24"/>
          <w:highlight w:val="none"/>
          <w:u w:val="single"/>
        </w:rPr>
        <w:t>），以此类推，最后一名投标人的权重为（</w:t>
      </w:r>
      <w:r>
        <w:rPr>
          <w:rFonts w:hint="eastAsia" w:ascii="宋体" w:hAnsi="宋体" w:cs="宋体"/>
          <w:strike/>
          <w:color w:val="auto"/>
          <w:sz w:val="24"/>
          <w:szCs w:val="24"/>
          <w:highlight w:val="none"/>
          <w:u w:val="single"/>
        </w:rPr>
        <w:fldChar w:fldCharType="begin"/>
      </w:r>
      <w:r>
        <w:rPr>
          <w:rFonts w:hint="eastAsia" w:ascii="宋体" w:hAnsi="宋体" w:cs="宋体"/>
          <w:strike/>
          <w:color w:val="auto"/>
          <w:sz w:val="24"/>
          <w:szCs w:val="24"/>
          <w:highlight w:val="none"/>
          <w:u w:val="single"/>
        </w:rPr>
        <w:instrText xml:space="preserve"> QUOTE </w:instrText>
      </w:r>
      <w:r>
        <w:rPr>
          <w:rFonts w:hint="eastAsia" w:ascii="宋体" w:hAnsi="宋体" w:cs="宋体"/>
          <w:strike/>
          <w:color w:val="auto"/>
          <w:position w:val="-23"/>
          <w:sz w:val="24"/>
          <w:szCs w:val="24"/>
          <w:highlight w:val="none"/>
          <w:u w:val="single"/>
        </w:rPr>
        <w:drawing>
          <wp:inline distT="0" distB="0" distL="114300" distR="114300">
            <wp:extent cx="323850" cy="400050"/>
            <wp:effectExtent l="0" t="0" r="0" b="0"/>
            <wp:docPr id="4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2"/>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cs="宋体"/>
          <w:strike/>
          <w:color w:val="auto"/>
          <w:sz w:val="24"/>
          <w:szCs w:val="24"/>
          <w:highlight w:val="none"/>
          <w:u w:val="single"/>
        </w:rPr>
        <w:fldChar w:fldCharType="separate"/>
      </w:r>
      <w:r>
        <w:rPr>
          <w:rFonts w:hint="eastAsia" w:ascii="宋体" w:hAnsi="宋体" w:cs="宋体"/>
          <w:strike/>
          <w:color w:val="auto"/>
          <w:position w:val="-23"/>
          <w:sz w:val="24"/>
          <w:szCs w:val="24"/>
          <w:highlight w:val="none"/>
          <w:u w:val="single"/>
        </w:rPr>
        <w:drawing>
          <wp:inline distT="0" distB="0" distL="114300" distR="114300">
            <wp:extent cx="323850" cy="400050"/>
            <wp:effectExtent l="0" t="0" r="0" b="0"/>
            <wp:docPr id="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1"/>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cs="宋体"/>
          <w:strike/>
          <w:color w:val="auto"/>
          <w:sz w:val="24"/>
          <w:szCs w:val="24"/>
          <w:highlight w:val="none"/>
          <w:u w:val="single"/>
        </w:rPr>
        <w:fldChar w:fldCharType="end"/>
      </w:r>
      <w:r>
        <w:rPr>
          <w:rFonts w:hint="eastAsia" w:ascii="宋体" w:hAnsi="宋体" w:cs="宋体"/>
          <w:strike/>
          <w:color w:val="auto"/>
          <w:sz w:val="24"/>
          <w:szCs w:val="24"/>
          <w:highlight w:val="none"/>
          <w:u w:val="single"/>
        </w:rPr>
        <w:t>）。</w:t>
      </w:r>
    </w:p>
    <w:p>
      <w:pPr>
        <w:pStyle w:val="9"/>
        <w:spacing w:line="360" w:lineRule="auto"/>
        <w:rPr>
          <w:rFonts w:ascii="宋体" w:hAnsi="宋体" w:cs="宋体"/>
          <w:strike/>
          <w:color w:val="auto"/>
          <w:sz w:val="24"/>
          <w:szCs w:val="24"/>
          <w:highlight w:val="none"/>
          <w:u w:val="single"/>
        </w:rPr>
      </w:pPr>
      <w:r>
        <w:rPr>
          <w:rFonts w:hint="eastAsia" w:ascii="宋体" w:hAnsi="宋体" w:cs="宋体"/>
          <w:strike/>
          <w:color w:val="auto"/>
          <w:sz w:val="24"/>
          <w:szCs w:val="24"/>
          <w:highlight w:val="none"/>
          <w:u w:val="single"/>
        </w:rPr>
        <w:t>技术得分相同的，以投标总报价低的排名靠前；技术得分与投标总报价均相同的投标人，由评标委员会采用记名投票方式，确定技术得分的排名。记名投票方式确定技术得分排名的具体操作步骤为：由评标委员会对出现该情况的投标人进行编号，然后通过记名投票方式，以得票多的排前确定排名。</w:t>
      </w:r>
    </w:p>
    <w:p>
      <w:pPr>
        <w:pStyle w:val="9"/>
        <w:rPr>
          <w:rFonts w:ascii="宋体" w:hAnsi="宋体" w:cs="宋体"/>
          <w:color w:val="auto"/>
          <w:highlight w:val="none"/>
        </w:rPr>
      </w:pPr>
    </w:p>
    <w:p>
      <w:pPr>
        <w:widowControl/>
        <w:spacing w:line="360" w:lineRule="auto"/>
        <w:ind w:firstLine="482" w:firstLineChars="200"/>
        <w:rPr>
          <w:rFonts w:hint="eastAsia" w:ascii="宋体" w:hAnsi="宋体" w:cs="宋体"/>
          <w:b/>
          <w:bCs/>
          <w:strike w:val="0"/>
          <w:color w:val="auto"/>
          <w:kern w:val="0"/>
          <w:sz w:val="24"/>
          <w:szCs w:val="24"/>
          <w:highlight w:val="none"/>
        </w:rPr>
      </w:pPr>
      <w:r>
        <w:rPr>
          <w:rFonts w:hint="eastAsia" w:ascii="宋体" w:hAnsi="宋体" w:cs="宋体"/>
          <w:b/>
          <w:bCs/>
          <w:strike w:val="0"/>
          <w:color w:val="auto"/>
          <w:kern w:val="0"/>
          <w:sz w:val="24"/>
          <w:szCs w:val="24"/>
          <w:highlight w:val="none"/>
        </w:rPr>
        <w:t>方法二：区间抽取法</w:t>
      </w:r>
    </w:p>
    <w:p>
      <w:pPr>
        <w:widowControl/>
        <w:spacing w:line="360" w:lineRule="auto"/>
        <w:ind w:firstLine="480" w:firstLineChars="200"/>
        <w:rPr>
          <w:rFonts w:hint="eastAsia" w:ascii="宋体" w:hAnsi="宋体" w:cs="宋体"/>
          <w:b w:val="0"/>
          <w:bCs w:val="0"/>
          <w:strike w:val="0"/>
          <w:color w:val="auto"/>
          <w:kern w:val="0"/>
          <w:sz w:val="24"/>
          <w:szCs w:val="24"/>
          <w:highlight w:val="none"/>
        </w:rPr>
      </w:pPr>
      <w:r>
        <w:rPr>
          <w:rFonts w:hint="eastAsia" w:ascii="宋体" w:hAnsi="宋体" w:cs="宋体"/>
          <w:b w:val="0"/>
          <w:bCs w:val="0"/>
          <w:strike w:val="0"/>
          <w:color w:val="auto"/>
          <w:kern w:val="0"/>
          <w:sz w:val="24"/>
          <w:szCs w:val="24"/>
          <w:highlight w:val="none"/>
        </w:rPr>
        <w:t>设立入围合格分数线（技术标得分</w:t>
      </w:r>
      <w:r>
        <w:rPr>
          <w:rFonts w:hint="eastAsia" w:ascii="宋体" w:hAnsi="宋体" w:cs="宋体"/>
          <w:b w:val="0"/>
          <w:bCs w:val="0"/>
          <w:strike w:val="0"/>
          <w:color w:val="auto"/>
          <w:kern w:val="0"/>
          <w:sz w:val="24"/>
          <w:szCs w:val="24"/>
          <w:highlight w:val="none"/>
          <w:lang w:val="en-US" w:eastAsia="zh-CN"/>
        </w:rPr>
        <w:t>达到85分</w:t>
      </w:r>
      <w:r>
        <w:rPr>
          <w:rFonts w:hint="eastAsia" w:ascii="宋体" w:hAnsi="宋体" w:cs="宋体"/>
          <w:b w:val="0"/>
          <w:bCs w:val="0"/>
          <w:strike w:val="0"/>
          <w:color w:val="auto"/>
          <w:kern w:val="0"/>
          <w:sz w:val="24"/>
          <w:szCs w:val="24"/>
          <w:highlight w:val="none"/>
        </w:rPr>
        <w:t>），达到或超过及格线的投标人的报价方能参与评标参考价的计算。将达到或超过技术标及格分数线的投标报价由低至高进行排列，按以下公式计算评标参考价，计算公式如下：</w:t>
      </w:r>
    </w:p>
    <w:p>
      <w:pPr>
        <w:widowControl/>
        <w:spacing w:line="360" w:lineRule="auto"/>
        <w:ind w:firstLine="480" w:firstLineChars="200"/>
        <w:rPr>
          <w:rFonts w:hint="eastAsia" w:ascii="宋体" w:hAnsi="宋体" w:cs="宋体"/>
          <w:b w:val="0"/>
          <w:bCs w:val="0"/>
          <w:strike w:val="0"/>
          <w:color w:val="auto"/>
          <w:kern w:val="0"/>
          <w:sz w:val="24"/>
          <w:szCs w:val="24"/>
          <w:highlight w:val="none"/>
        </w:rPr>
      </w:pPr>
      <w:r>
        <w:rPr>
          <w:rFonts w:hint="eastAsia" w:ascii="宋体" w:hAnsi="宋体" w:cs="宋体"/>
          <w:b w:val="0"/>
          <w:bCs w:val="0"/>
          <w:strike w:val="0"/>
          <w:color w:val="auto"/>
          <w:kern w:val="0"/>
          <w:sz w:val="24"/>
          <w:szCs w:val="24"/>
          <w:highlight w:val="none"/>
        </w:rPr>
        <w:t>评标参考价=（Q高-Q低）/100*Ｘ+Q低</w:t>
      </w:r>
    </w:p>
    <w:p>
      <w:pPr>
        <w:widowControl/>
        <w:spacing w:line="360" w:lineRule="auto"/>
        <w:ind w:firstLine="480" w:firstLineChars="200"/>
        <w:rPr>
          <w:rFonts w:hint="eastAsia" w:ascii="宋体" w:hAnsi="宋体" w:cs="宋体"/>
          <w:b w:val="0"/>
          <w:bCs w:val="0"/>
          <w:strike w:val="0"/>
          <w:color w:val="auto"/>
          <w:kern w:val="0"/>
          <w:sz w:val="24"/>
          <w:szCs w:val="24"/>
          <w:highlight w:val="none"/>
        </w:rPr>
      </w:pPr>
      <w:r>
        <w:rPr>
          <w:rFonts w:hint="eastAsia" w:ascii="宋体" w:hAnsi="宋体" w:cs="宋体"/>
          <w:b w:val="0"/>
          <w:bCs w:val="0"/>
          <w:strike w:val="0"/>
          <w:color w:val="auto"/>
          <w:kern w:val="0"/>
          <w:sz w:val="24"/>
          <w:szCs w:val="24"/>
          <w:highlight w:val="none"/>
        </w:rPr>
        <w:t>Q低：为达到或超过技术标及格分数线的投标人最低报价与工程成本警示价两者中的较高值；</w:t>
      </w:r>
    </w:p>
    <w:p>
      <w:pPr>
        <w:widowControl/>
        <w:spacing w:line="360" w:lineRule="auto"/>
        <w:ind w:firstLine="480" w:firstLineChars="200"/>
        <w:rPr>
          <w:rFonts w:hint="eastAsia" w:ascii="宋体" w:hAnsi="宋体" w:cs="宋体"/>
          <w:b w:val="0"/>
          <w:bCs w:val="0"/>
          <w:strike w:val="0"/>
          <w:color w:val="auto"/>
          <w:kern w:val="0"/>
          <w:sz w:val="24"/>
          <w:szCs w:val="24"/>
          <w:highlight w:val="none"/>
        </w:rPr>
      </w:pPr>
      <w:r>
        <w:rPr>
          <w:rFonts w:hint="eastAsia" w:ascii="宋体" w:hAnsi="宋体" w:cs="宋体"/>
          <w:b w:val="0"/>
          <w:bCs w:val="0"/>
          <w:strike w:val="0"/>
          <w:color w:val="auto"/>
          <w:kern w:val="0"/>
          <w:sz w:val="24"/>
          <w:szCs w:val="24"/>
          <w:highlight w:val="none"/>
        </w:rPr>
        <w:t>Q高：为最高投标限价</w:t>
      </w:r>
    </w:p>
    <w:p>
      <w:pPr>
        <w:spacing w:line="360" w:lineRule="auto"/>
        <w:ind w:firstLine="480" w:firstLineChars="200"/>
        <w:rPr>
          <w:rFonts w:ascii="宋体" w:hAnsi="宋体" w:cs="宋体"/>
          <w:color w:val="auto"/>
          <w:sz w:val="24"/>
          <w:szCs w:val="24"/>
          <w:highlight w:val="none"/>
        </w:rPr>
      </w:pPr>
      <w:r>
        <w:rPr>
          <w:rFonts w:hint="eastAsia" w:ascii="宋体" w:hAnsi="宋体" w:cs="宋体"/>
          <w:b w:val="0"/>
          <w:bCs w:val="0"/>
          <w:strike w:val="0"/>
          <w:color w:val="auto"/>
          <w:kern w:val="0"/>
          <w:sz w:val="24"/>
          <w:szCs w:val="24"/>
          <w:highlight w:val="none"/>
        </w:rPr>
        <w:t xml:space="preserve">    X:为等分点值，在开标前从[0,100]整数中随机抽取</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kern w:val="0"/>
          <w:sz w:val="24"/>
          <w:szCs w:val="24"/>
          <w:highlight w:val="none"/>
        </w:rPr>
        <w:t>45.3</w:t>
      </w:r>
      <w:r>
        <w:rPr>
          <w:rFonts w:hint="eastAsia" w:ascii="宋体" w:hAnsi="宋体" w:cs="宋体"/>
          <w:color w:val="auto"/>
          <w:sz w:val="24"/>
          <w:szCs w:val="24"/>
          <w:highlight w:val="none"/>
        </w:rPr>
        <w:t>当标价等于评标参考价时得100分，标价每高于评标参考价1%，扣</w:t>
      </w:r>
      <w:r>
        <w:rPr>
          <w:rFonts w:hint="eastAsia" w:ascii="宋体" w:hAnsi="宋体" w:cs="宋体"/>
          <w:color w:val="auto"/>
          <w:sz w:val="24"/>
          <w:szCs w:val="24"/>
          <w:highlight w:val="none"/>
          <w:u w:val="single"/>
          <w:lang w:val="en-US" w:eastAsia="zh-CN"/>
        </w:rPr>
        <w:t>1.5</w:t>
      </w:r>
      <w:r>
        <w:rPr>
          <w:rFonts w:hint="eastAsia" w:ascii="宋体" w:hAnsi="宋体" w:cs="宋体"/>
          <w:color w:val="auto"/>
          <w:sz w:val="24"/>
          <w:szCs w:val="24"/>
          <w:highlight w:val="none"/>
        </w:rPr>
        <w:t>分，每低于评标参考价1%，扣1分，扣至0分为止，得出经济分，按插值法精确到小数点后两位。</w:t>
      </w:r>
    </w:p>
    <w:p>
      <w:pPr>
        <w:pStyle w:val="37"/>
        <w:tabs>
          <w:tab w:val="left" w:pos="7380"/>
        </w:tabs>
        <w:snapToGrid w:val="0"/>
        <w:spacing w:after="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45.4</w:t>
      </w:r>
      <w:r>
        <w:rPr>
          <w:rFonts w:hint="eastAsia" w:ascii="宋体" w:hAnsi="宋体" w:cs="宋体"/>
          <w:color w:val="auto"/>
          <w:sz w:val="24"/>
          <w:szCs w:val="24"/>
          <w:highlight w:val="none"/>
          <w:u w:val="none"/>
        </w:rPr>
        <w:t>计算通过技术标有效性审查的投标人总得分。</w:t>
      </w:r>
      <w:r>
        <w:rPr>
          <w:rFonts w:hint="eastAsia" w:ascii="宋体" w:hAnsi="宋体" w:cs="宋体"/>
          <w:color w:val="auto"/>
          <w:sz w:val="24"/>
          <w:szCs w:val="24"/>
          <w:highlight w:val="none"/>
          <w:u w:val="single"/>
        </w:rPr>
        <w:t>投标人总得分=技术得分×技术得分权重（40%）＋经济得分</w:t>
      </w:r>
      <w:bookmarkStart w:id="131" w:name="OLE_LINK4"/>
      <w:r>
        <w:rPr>
          <w:rFonts w:hint="eastAsia" w:ascii="宋体" w:hAnsi="宋体" w:cs="宋体"/>
          <w:color w:val="auto"/>
          <w:sz w:val="24"/>
          <w:szCs w:val="24"/>
          <w:highlight w:val="none"/>
          <w:u w:val="single"/>
        </w:rPr>
        <w:t>×</w:t>
      </w:r>
      <w:bookmarkStart w:id="132" w:name="OLE_LINK2"/>
      <w:r>
        <w:rPr>
          <w:rFonts w:hint="eastAsia" w:ascii="宋体" w:hAnsi="宋体" w:cs="宋体"/>
          <w:color w:val="auto"/>
          <w:sz w:val="24"/>
          <w:szCs w:val="24"/>
          <w:highlight w:val="none"/>
          <w:u w:val="single"/>
        </w:rPr>
        <w:t>经济得分权重（60%）</w:t>
      </w:r>
      <w:bookmarkEnd w:id="131"/>
      <w:bookmarkEnd w:id="132"/>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none"/>
        </w:rPr>
        <w:t>技术、经济得分权重按投标须知前附表的规定执行。总得分四舍五入保留两位小数。</w:t>
      </w:r>
    </w:p>
    <w:p>
      <w:pPr>
        <w:pStyle w:val="37"/>
        <w:tabs>
          <w:tab w:val="left" w:pos="7380"/>
        </w:tabs>
        <w:snapToGrid w:val="0"/>
        <w:spacing w:after="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总得分相同的，以技术分较高的排前；总得分及技术分均相同的，以报价较低的排前；如仍存在相同情况，则由评标委员会采用记名投票方式，以得票多的优先。</w:t>
      </w:r>
    </w:p>
    <w:p>
      <w:pPr>
        <w:pStyle w:val="37"/>
        <w:tabs>
          <w:tab w:val="left" w:pos="7380"/>
        </w:tabs>
        <w:snapToGrid w:val="0"/>
        <w:spacing w:after="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注：投票方式确定排序的具体操作步骤为：由评标会对出现该情况的投标人进行编号，然后通过投票方式依次确定投标人的排序。</w:t>
      </w:r>
    </w:p>
    <w:p>
      <w:pPr>
        <w:pStyle w:val="37"/>
        <w:tabs>
          <w:tab w:val="left" w:pos="7380"/>
        </w:tabs>
        <w:snapToGri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46.经济标的有效性审查</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46.1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46.2经济标的算术校核。评标委员会对进行经济标有效性审查的投标文件投标报价按照就低不就高的原则进行算术校核，具体</w:t>
      </w:r>
      <w:r>
        <w:rPr>
          <w:rFonts w:hint="eastAsia" w:ascii="宋体" w:hAnsi="宋体" w:cs="宋体"/>
          <w:color w:val="auto"/>
          <w:sz w:val="24"/>
          <w:szCs w:val="24"/>
          <w:highlight w:val="none"/>
        </w:rPr>
        <w:tab/>
      </w:r>
      <w:r>
        <w:rPr>
          <w:rFonts w:hint="eastAsia" w:ascii="宋体" w:hAnsi="宋体" w:cs="宋体"/>
          <w:color w:val="auto"/>
          <w:sz w:val="24"/>
          <w:szCs w:val="24"/>
          <w:highlight w:val="none"/>
        </w:rPr>
        <w:t>标准如下：</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46.2.1如果数字表示的金额和用文字表示的金额不一致时，应以文字表示的金额为准；</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46.2.2经算术复核的投标人报价与其投标报价不一致时，按就低不就高原则确定其最终报价；</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46.2.3当单价与数量均符合招标文件要求时，若单价与数量的乘积与合价不一致时，按就低不就高原则确定修改单价或是合价。当单价与数量的乘积小于合价，以单价为准，修改合价，除非评标委员会认为单价有明显的小数点错误，此时应以标出的合价为准，并修改单价；当单价与数量的乘积大于合价，以合价为准，修改单价；</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46.2.4当合价、金额累加错误时，按就低不就高原则，如果累加修正值小于原累加值，则按累加修正值；如果累加修正值大于原累加值，则按原累加值；</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46.2.5如果投标人的有关规费、暂列金额、暂估价、绿色施工安全防护措施费等未按招标文件规定的金额填写的，由评标委员会按照招标文件规定的金额进行修正；</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46.2.6①分部分项工程量比招标文件少、单位比招标文件小或错误时，以招标文件的工程量或单位为准，合价不变，修改综合单价。分部分项工程量比招标文件多或单位比招标文件大时，工程量、单位、综合单价及合价均不作修改；②分部分项项目对比招标文件（招标工程量清单）漏项的，则该漏项费用视为已分配在其他项目中，不再修改；③分部分项工程量清单中的综合单价与综合单价分析表中的综合单价不一致时，以价低者为准；④分部分项工程量计价表中的项目编码或项目名称或计量单位或工程数量缺省或不填时，由评委以招标文件中招标人工程量清单为准进行修正；若同时缺省或不填项目编码和项目名称，则该项按增项处理；⑤分部分项项目增项的，不予修改；⑥其它招标文件规定需要修改的，均以就低不就高原则进行修改；</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46.2.7按就低不就高原则，当修正后报价小于原报价，总价按修正后报价；当修正后报价大于原报价，总价按原报价，并在签订合同时载明在结算价中扣除修正报价与原报价的差额。</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46.2.8按上述修正错误的原则及方法调整或修正投标文件的投标报价，调整后的投标报价对投标人起约束作用。如果投标人不接受修正后的报价，则取消其投标资格，并且其投标保证金也将不予退还。</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47.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3名投标人通过经济标有效性审查，经济标有效性审查结束。</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48.评标委员会应在通过投标文件经济标有效性审查的投标人中，按步骤45.4确定的投标人总得分排序，推荐前3名依次为第一中标候选人至第三中标候选人,并编制评标报告。</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49.若通过经济标有效性审查的投标人不足三家，应当依法重新招标。（当N个标段同时招标且不允许兼中时，若有效投标人不足N+2家，应当依法重新招标）</w:t>
      </w:r>
    </w:p>
    <w:p>
      <w:pPr>
        <w:pStyle w:val="21"/>
        <w:rPr>
          <w:rFonts w:hint="eastAsia" w:ascii="宋体" w:hAnsi="宋体" w:cs="宋体"/>
          <w:color w:val="auto"/>
          <w:sz w:val="24"/>
          <w:szCs w:val="24"/>
          <w:highlight w:val="none"/>
        </w:rPr>
        <w:sectPr>
          <w:footerReference r:id="rId10" w:type="default"/>
          <w:endnotePr>
            <w:numFmt w:val="decimal"/>
          </w:endnotePr>
          <w:pgSz w:w="11906" w:h="16838"/>
          <w:pgMar w:top="1134" w:right="1418" w:bottom="1247" w:left="1418" w:header="851" w:footer="850" w:gutter="0"/>
          <w:pgNumType w:fmt="decimal" w:start="1"/>
          <w:cols w:space="720" w:num="1"/>
          <w:docGrid w:type="lines" w:linePitch="312" w:charSpace="0"/>
        </w:sectPr>
      </w:pPr>
    </w:p>
    <w:p>
      <w:pPr>
        <w:jc w:val="left"/>
        <w:rPr>
          <w:rFonts w:ascii="黑体" w:hAnsi="黑体" w:eastAsia="黑体"/>
          <w:sz w:val="32"/>
          <w:szCs w:val="32"/>
        </w:rPr>
      </w:pPr>
      <w:r>
        <w:rPr>
          <w:rFonts w:hint="eastAsia" w:ascii="黑体" w:hAnsi="黑体" w:eastAsia="黑体"/>
          <w:sz w:val="32"/>
          <w:szCs w:val="32"/>
        </w:rPr>
        <w:t>附件</w:t>
      </w:r>
    </w:p>
    <w:p>
      <w:pPr>
        <w:ind w:firstLine="640" w:firstLineChars="200"/>
        <w:jc w:val="center"/>
        <w:rPr>
          <w:rFonts w:ascii="黑体" w:hAnsi="黑体" w:eastAsia="黑体"/>
          <w:sz w:val="32"/>
          <w:szCs w:val="32"/>
        </w:rPr>
      </w:pPr>
      <w:r>
        <w:rPr>
          <w:rFonts w:hint="eastAsia" w:ascii="黑体" w:hAnsi="黑体" w:eastAsia="黑体"/>
          <w:sz w:val="32"/>
          <w:szCs w:val="32"/>
        </w:rPr>
        <w:t>评标委员会成员声明</w:t>
      </w:r>
    </w:p>
    <w:p>
      <w:pPr>
        <w:rPr>
          <w:rFonts w:ascii="仿宋_GB2312" w:eastAsia="仿宋_GB2312"/>
          <w:sz w:val="32"/>
          <w:szCs w:val="32"/>
        </w:rPr>
      </w:pPr>
      <w:r>
        <w:rPr>
          <w:rFonts w:hint="eastAsia" w:ascii="仿宋_GB2312" w:eastAsia="仿宋_GB2312"/>
          <w:sz w:val="32"/>
          <w:szCs w:val="32"/>
          <w:u w:val="single"/>
        </w:rPr>
        <w:t xml:space="preserve">   本项目招标人  </w:t>
      </w:r>
      <w:r>
        <w:rPr>
          <w:rFonts w:hint="eastAsia" w:ascii="仿宋_GB2312" w:eastAsia="仿宋_GB2312"/>
          <w:sz w:val="32"/>
          <w:szCs w:val="32"/>
        </w:rPr>
        <w:t>：</w:t>
      </w:r>
    </w:p>
    <w:p>
      <w:pPr>
        <w:ind w:firstLine="640" w:firstLineChars="200"/>
        <w:rPr>
          <w:rFonts w:ascii="仿宋_GB2312" w:eastAsia="仿宋_GB2312"/>
          <w:sz w:val="32"/>
          <w:szCs w:val="32"/>
        </w:rPr>
      </w:pPr>
      <w:r>
        <w:rPr>
          <w:rFonts w:hint="eastAsia" w:ascii="仿宋_GB2312" w:eastAsia="仿宋_GB2312"/>
          <w:sz w:val="32"/>
          <w:szCs w:val="32"/>
        </w:rPr>
        <w:t>本人就参与</w:t>
      </w:r>
      <w:r>
        <w:rPr>
          <w:rFonts w:hint="eastAsia" w:ascii="仿宋_GB2312" w:eastAsia="仿宋_GB2312"/>
          <w:sz w:val="32"/>
          <w:szCs w:val="32"/>
          <w:u w:val="single"/>
        </w:rPr>
        <w:t xml:space="preserve">               </w:t>
      </w:r>
      <w:r>
        <w:rPr>
          <w:rFonts w:hint="eastAsia" w:ascii="仿宋_GB2312" w:eastAsia="仿宋_GB2312"/>
          <w:sz w:val="32"/>
          <w:szCs w:val="32"/>
        </w:rPr>
        <w:t>项目的评标工作，作出郑重声明：</w:t>
      </w:r>
    </w:p>
    <w:p>
      <w:pPr>
        <w:ind w:firstLine="640" w:firstLineChars="200"/>
        <w:rPr>
          <w:rFonts w:ascii="仿宋_GB2312" w:eastAsia="仿宋_GB2312"/>
          <w:sz w:val="32"/>
          <w:szCs w:val="32"/>
        </w:rPr>
      </w:pPr>
      <w:r>
        <w:rPr>
          <w:rFonts w:hint="eastAsia" w:ascii="仿宋_GB2312" w:eastAsia="仿宋_GB2312"/>
          <w:sz w:val="32"/>
          <w:szCs w:val="32"/>
        </w:rPr>
        <w:t>一、本人严格遵守评标场所管理规定，服从评标场所现场管理。本人完全知悉并自愿在评审过程中通过电子手写签名板产生电子形式的签名，并认同由此方式产生的签名与本人手写、电子签名具有同等效力；本人使用该签名所签署的评标（审）材料及内容均为本人充分理解并符合本人真实意思表示。</w:t>
      </w:r>
    </w:p>
    <w:p>
      <w:pPr>
        <w:ind w:firstLine="640" w:firstLineChars="200"/>
        <w:rPr>
          <w:rFonts w:ascii="仿宋_GB2312" w:eastAsia="仿宋_GB2312"/>
          <w:sz w:val="32"/>
          <w:szCs w:val="32"/>
        </w:rPr>
      </w:pPr>
      <w:r>
        <w:rPr>
          <w:rFonts w:hint="eastAsia" w:ascii="仿宋_GB2312" w:eastAsia="仿宋_GB2312"/>
          <w:sz w:val="32"/>
          <w:szCs w:val="32"/>
        </w:rPr>
        <w:t>二、在本项目评标开始前，本人不存在以下需要向招标人提出回避的情形：（一）接收到任何单位或者个人授意本人倾向或者排斥本项目特定投标人的电话、短信、微信等；（二）私下接触本项目投标人；（三）收受本项目投标人、中介人、其他利害关系人的财物或者其他好处；（四）法律法规等规定的回避情形。</w:t>
      </w:r>
    </w:p>
    <w:p>
      <w:pPr>
        <w:ind w:firstLine="640" w:firstLineChars="200"/>
        <w:rPr>
          <w:rFonts w:ascii="仿宋_GB2312" w:eastAsia="仿宋_GB2312"/>
          <w:sz w:val="32"/>
          <w:szCs w:val="32"/>
        </w:rPr>
      </w:pPr>
      <w:r>
        <w:rPr>
          <w:rFonts w:hint="eastAsia" w:ascii="仿宋_GB2312" w:eastAsia="仿宋_GB2312"/>
          <w:sz w:val="32"/>
          <w:szCs w:val="32"/>
        </w:rPr>
        <w:t>三、本人将按照本项目招标文件规定的评标标准和方法，客观、公正地对投标文件提出评审意见，不故意拖延评标时间，或者敷衍塞责随意评标，不透露本项目评标委员会成员身份，不透露对本项目投标文件的评审和比较、中标候选人的推荐情况、在评标过程中知悉的国家秘密和商业秘密以及与评标有关的其他情况。在本项目评标过程中，本人不对评标委员会其他成员的独立评审施加不当影响；不接受任何单位或者个人明示或者暗示提出的倾向或者排斥本项目特定投标人的要求；不对评标委员会其他成员或者其他人员发表带有倾向性、误导性的言论或者暗示性的意见建议。</w:t>
      </w:r>
    </w:p>
    <w:p>
      <w:pPr>
        <w:ind w:firstLine="640" w:firstLineChars="200"/>
        <w:rPr>
          <w:rFonts w:ascii="仿宋_GB2312" w:eastAsia="仿宋_GB2312"/>
          <w:sz w:val="32"/>
          <w:szCs w:val="32"/>
        </w:rPr>
      </w:pPr>
      <w:r>
        <w:rPr>
          <w:rFonts w:hint="eastAsia" w:ascii="仿宋_GB2312" w:eastAsia="仿宋_GB2312"/>
          <w:sz w:val="32"/>
          <w:szCs w:val="32"/>
        </w:rPr>
        <w:t>四、评标结束后，如果本项目需要复核或者存在异议的，本人理解招标人将暂缓支付评审酬劳。本人保证在招标人要求的时间内配合招标人进行复核或者异议处理工作，也保证在规定时间内配合招标监督机构依法对本项目评审情况进行的调查。如果本人存在评审错误的，本人将主动改正错误，配合招标人挽回损失。</w:t>
      </w:r>
    </w:p>
    <w:p>
      <w:pPr>
        <w:ind w:firstLine="640" w:firstLineChars="200"/>
        <w:rPr>
          <w:rFonts w:ascii="仿宋_GB2312" w:eastAsia="仿宋_GB2312"/>
          <w:sz w:val="32"/>
          <w:szCs w:val="32"/>
        </w:rPr>
      </w:pPr>
      <w:r>
        <w:rPr>
          <w:rFonts w:hint="eastAsia" w:ascii="仿宋_GB2312" w:eastAsia="仿宋_GB2312"/>
          <w:sz w:val="32"/>
          <w:szCs w:val="32"/>
        </w:rPr>
        <w:t>五、招标监督机构依法处理本项目投诉、信访或者举报时，经调查后确认本人存在评审错误的，本人接受招标人不支付本项目评审酬劳、将本人列入招标人评标专家回避名单等相关处理措施，本人也接受本项目招标监督机构依法对本人进行的处理。</w:t>
      </w:r>
    </w:p>
    <w:p>
      <w:pPr>
        <w:ind w:firstLine="640" w:firstLineChars="200"/>
        <w:rPr>
          <w:rFonts w:ascii="仿宋_GB2312" w:eastAsia="仿宋_GB2312"/>
          <w:sz w:val="32"/>
          <w:szCs w:val="32"/>
        </w:rPr>
      </w:pPr>
      <w:r>
        <w:rPr>
          <w:rFonts w:hint="eastAsia" w:ascii="仿宋_GB2312" w:eastAsia="仿宋_GB2312"/>
          <w:sz w:val="32"/>
          <w:szCs w:val="32"/>
        </w:rPr>
        <w:t>如果本人违反上述声明内容，造成的后果由本人自行承担。</w:t>
      </w:r>
    </w:p>
    <w:p>
      <w:pPr>
        <w:ind w:firstLine="640" w:firstLineChars="200"/>
        <w:rPr>
          <w:rFonts w:ascii="仿宋_GB2312" w:eastAsia="仿宋_GB2312"/>
          <w:sz w:val="32"/>
          <w:szCs w:val="32"/>
        </w:rPr>
      </w:pPr>
    </w:p>
    <w:p>
      <w:pPr>
        <w:ind w:firstLine="640" w:firstLineChars="200"/>
        <w:rPr>
          <w:rFonts w:ascii="仿宋_GB2312" w:eastAsia="仿宋_GB2312"/>
          <w:sz w:val="32"/>
          <w:szCs w:val="32"/>
          <w:u w:val="single"/>
        </w:rPr>
      </w:pPr>
      <w:r>
        <w:rPr>
          <w:rFonts w:hint="eastAsia" w:ascii="仿宋_GB2312" w:eastAsia="仿宋_GB2312"/>
          <w:sz w:val="32"/>
          <w:szCs w:val="32"/>
        </w:rPr>
        <w:t xml:space="preserve">                             声明人：</w:t>
      </w:r>
      <w:r>
        <w:rPr>
          <w:rFonts w:hint="eastAsia" w:ascii="仿宋_GB2312" w:eastAsia="仿宋_GB2312"/>
          <w:sz w:val="32"/>
          <w:szCs w:val="32"/>
          <w:u w:val="single"/>
        </w:rPr>
        <w:t xml:space="preserve">（签名）  </w:t>
      </w:r>
    </w:p>
    <w:p>
      <w:pPr>
        <w:rPr>
          <w:rFonts w:ascii="仿宋_GB2312" w:eastAsia="仿宋_GB2312"/>
          <w:sz w:val="32"/>
          <w:szCs w:val="32"/>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hint="eastAsia" w:ascii="宋体" w:hAnsi="宋体" w:cs="宋体"/>
          <w:b/>
          <w:bCs/>
          <w:color w:val="auto"/>
          <w:szCs w:val="21"/>
          <w:highlight w:val="none"/>
        </w:rPr>
      </w:pPr>
    </w:p>
    <w:p>
      <w:pPr>
        <w:widowControl/>
        <w:snapToGrid/>
        <w:spacing w:line="240" w:lineRule="auto"/>
        <w:ind w:right="0"/>
        <w:jc w:val="left"/>
        <w:rPr>
          <w:rFonts w:ascii="宋体" w:hAnsi="宋体" w:cs="宋体"/>
          <w:b/>
          <w:bCs/>
          <w:color w:val="auto"/>
          <w:szCs w:val="21"/>
          <w:highlight w:val="none"/>
        </w:rPr>
      </w:pPr>
      <w:r>
        <w:rPr>
          <w:rFonts w:hint="eastAsia" w:ascii="宋体" w:hAnsi="宋体" w:cs="宋体"/>
          <w:b/>
          <w:bCs/>
          <w:color w:val="auto"/>
          <w:szCs w:val="21"/>
          <w:highlight w:val="none"/>
        </w:rPr>
        <w:t>附表一：</w:t>
      </w:r>
    </w:p>
    <w:p>
      <w:pPr>
        <w:jc w:val="center"/>
        <w:outlineLvl w:val="2"/>
        <w:rPr>
          <w:rFonts w:ascii="宋体" w:hAnsi="宋体" w:cs="宋体"/>
          <w:b/>
          <w:color w:val="auto"/>
          <w:sz w:val="32"/>
          <w:szCs w:val="32"/>
          <w:highlight w:val="none"/>
        </w:rPr>
      </w:pPr>
      <w:bookmarkStart w:id="133" w:name="_Toc30504"/>
      <w:bookmarkStart w:id="134" w:name="_Toc21241"/>
      <w:bookmarkStart w:id="135" w:name="_Toc7933"/>
      <w:bookmarkStart w:id="136" w:name="_Toc6983"/>
      <w:bookmarkStart w:id="137" w:name="_Toc16331"/>
      <w:bookmarkStart w:id="138" w:name="_Toc346246674"/>
      <w:bookmarkStart w:id="139" w:name="_Toc16139"/>
      <w:bookmarkStart w:id="140" w:name="_Toc18755"/>
      <w:bookmarkStart w:id="141" w:name="_Toc12199"/>
      <w:r>
        <w:rPr>
          <w:rFonts w:hint="eastAsia" w:ascii="宋体" w:hAnsi="宋体" w:cs="宋体"/>
          <w:b/>
          <w:color w:val="auto"/>
          <w:sz w:val="32"/>
          <w:szCs w:val="32"/>
          <w:highlight w:val="none"/>
        </w:rPr>
        <w:t>资格审查表</w:t>
      </w:r>
      <w:bookmarkEnd w:id="133"/>
      <w:bookmarkEnd w:id="134"/>
      <w:bookmarkEnd w:id="135"/>
      <w:bookmarkEnd w:id="136"/>
      <w:bookmarkEnd w:id="137"/>
      <w:bookmarkEnd w:id="138"/>
      <w:bookmarkEnd w:id="139"/>
      <w:bookmarkEnd w:id="140"/>
      <w:bookmarkEnd w:id="141"/>
    </w:p>
    <w:p>
      <w:pPr>
        <w:spacing w:line="480" w:lineRule="auto"/>
        <w:rPr>
          <w:rFonts w:ascii="宋体" w:hAnsi="宋体" w:cs="宋体"/>
          <w:color w:val="auto"/>
          <w:sz w:val="24"/>
          <w:szCs w:val="24"/>
          <w:highlight w:val="none"/>
        </w:rPr>
      </w:pPr>
      <w:r>
        <w:rPr>
          <w:rFonts w:hint="eastAsia" w:ascii="宋体" w:hAnsi="宋体" w:cs="宋体"/>
          <w:color w:val="auto"/>
          <w:sz w:val="24"/>
          <w:szCs w:val="24"/>
          <w:highlight w:val="none"/>
        </w:rPr>
        <w:t>工程名称：</w:t>
      </w:r>
    </w:p>
    <w:p>
      <w:pPr>
        <w:spacing w:line="480" w:lineRule="auto"/>
        <w:rPr>
          <w:rFonts w:ascii="宋体" w:hAnsi="宋体" w:cs="宋体"/>
          <w:color w:val="auto"/>
          <w:sz w:val="24"/>
          <w:szCs w:val="24"/>
          <w:highlight w:val="none"/>
        </w:rPr>
      </w:pPr>
      <w:r>
        <w:rPr>
          <w:rFonts w:hint="eastAsia" w:ascii="宋体" w:hAnsi="宋体" w:cs="宋体"/>
          <w:color w:val="auto"/>
          <w:sz w:val="24"/>
          <w:szCs w:val="24"/>
          <w:highlight w:val="none"/>
        </w:rPr>
        <w:t>投标人名称：</w:t>
      </w:r>
    </w:p>
    <w:tbl>
      <w:tblPr>
        <w:tblStyle w:val="38"/>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3780"/>
        <w:gridCol w:w="3420"/>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b/>
                <w:color w:val="auto"/>
                <w:szCs w:val="21"/>
                <w:highlight w:val="none"/>
              </w:rPr>
            </w:pPr>
            <w:r>
              <w:rPr>
                <w:rFonts w:hint="eastAsia" w:ascii="宋体" w:hAnsi="宋体" w:cs="宋体"/>
                <w:b/>
                <w:color w:val="auto"/>
                <w:szCs w:val="21"/>
                <w:highlight w:val="none"/>
              </w:rPr>
              <w:t>审查项目</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b/>
                <w:color w:val="auto"/>
                <w:szCs w:val="21"/>
                <w:highlight w:val="none"/>
              </w:rPr>
            </w:pPr>
            <w:r>
              <w:rPr>
                <w:rFonts w:hint="eastAsia" w:ascii="宋体" w:hAnsi="宋体" w:cs="宋体"/>
                <w:b/>
                <w:color w:val="auto"/>
                <w:szCs w:val="21"/>
                <w:highlight w:val="none"/>
              </w:rPr>
              <w:t>须审查的资料</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b/>
                <w:color w:val="auto"/>
                <w:szCs w:val="21"/>
                <w:highlight w:val="none"/>
              </w:rPr>
            </w:pPr>
            <w:r>
              <w:rPr>
                <w:rFonts w:hint="eastAsia" w:ascii="宋体" w:hAnsi="宋体" w:cs="宋体"/>
                <w:b/>
                <w:color w:val="auto"/>
                <w:szCs w:val="21"/>
                <w:highlight w:val="none"/>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1</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投标人参加投标的意思表达清楚，投标人代表被授权有效</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投标人声明、法定代表人证明书；委托投标的还应提供法人授权委托证明书</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2</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投标人均具有独立法人资格，按国家法律经营</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eastAsia="宋体" w:cs="宋体"/>
                <w:b w:val="0"/>
                <w:bCs w:val="0"/>
                <w:color w:val="auto"/>
                <w:kern w:val="2"/>
                <w:sz w:val="21"/>
                <w:szCs w:val="21"/>
                <w:highlight w:val="none"/>
              </w:rPr>
              <w:t>营业执照扫描件或电子证照</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3</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投标人均持有建设行政主管部门颁发的企业资质证书及安全生产许可证；投标人资质符合公告要求</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资质证书扫描件或电子证照、安全生产许可证扫描件或电子证照、压力管道安装许可证扫描件</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4</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投标人拟担任本工程项目负责人符合公告要求</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有效期内的建造师注册证书扫描件或电子证书（注：打印建造师电子证书后，在个人签名处手写本人签名再扫描提交。）</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5</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持有项目负责人安全</w:t>
            </w:r>
            <w:r>
              <w:rPr>
                <w:rFonts w:hint="eastAsia" w:ascii="宋体" w:hAnsi="宋体" w:cs="宋体"/>
                <w:color w:val="auto"/>
                <w:szCs w:val="21"/>
                <w:highlight w:val="none"/>
                <w:lang w:val="en-US" w:eastAsia="zh-CN"/>
              </w:rPr>
              <w:t>生产</w:t>
            </w:r>
            <w:r>
              <w:rPr>
                <w:rFonts w:hint="eastAsia" w:ascii="宋体" w:hAnsi="宋体" w:cs="宋体"/>
                <w:color w:val="auto"/>
                <w:szCs w:val="21"/>
                <w:highlight w:val="none"/>
              </w:rPr>
              <w:t>考核合格证（B类）或建筑施工企业项目负责人安全生产考核合格证书</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项目负责人安全生产考核合格证（B类）或建筑施工企业项目负责人安全生产考核合格证证书扫描件或电子证书</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6</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投标人拟担任本工程技术负责人符合公告要求</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拟委托技术负责人的</w:t>
            </w:r>
            <w:r>
              <w:rPr>
                <w:rFonts w:hint="eastAsia" w:ascii="宋体" w:hAnsi="宋体" w:cs="宋体"/>
                <w:color w:val="auto"/>
                <w:szCs w:val="21"/>
                <w:highlight w:val="none"/>
                <w:u w:val="single"/>
              </w:rPr>
              <w:t>职称证书（须提供证书原件扫描件）</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7</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专职安全员须具有安全生产考核合格证（C</w:t>
            </w:r>
            <w:r>
              <w:rPr>
                <w:rFonts w:hint="eastAsia" w:ascii="宋体" w:hAnsi="宋体" w:cs="宋体"/>
                <w:color w:val="auto"/>
                <w:szCs w:val="21"/>
                <w:highlight w:val="none"/>
                <w:lang w:val="en-US" w:eastAsia="zh-CN"/>
              </w:rPr>
              <w:t>类</w:t>
            </w:r>
            <w:r>
              <w:rPr>
                <w:rFonts w:hint="eastAsia" w:ascii="宋体" w:hAnsi="宋体" w:cs="宋体"/>
                <w:color w:val="auto"/>
                <w:szCs w:val="21"/>
                <w:highlight w:val="none"/>
              </w:rPr>
              <w:t>）或建筑施工企业专职安全生产管理人员安全生产考核合格证（C3类）</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专职安全员的安全生产考核合格证（C类）或建筑施工企业专职安全生产管理人员安全生产考核合格证（C3类）证书扫描件或电子证书</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8</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投标人完成过的类似业绩符合公告要求</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业绩证明文件</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9</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投标人提供的投标人声明符合公告要求</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投标人声明</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10</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投标人声明中签字的项目负责人和技术负责人与本项目拟派的项目负责人和技术负责人一致</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eastAsia="宋体" w:cs="宋体"/>
                <w:color w:val="auto"/>
                <w:szCs w:val="21"/>
                <w:highlight w:val="none"/>
                <w:lang w:bidi="ar"/>
              </w:rPr>
              <w:t>网上投标时选择拟投标的项目负责人、资格审查文件中拟委派的技术负责人与投标人声明中签字的项目负责人和技术负责人一致</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11</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本项目不接受联合体投标</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eastAsia="宋体" w:cs="宋体"/>
                <w:color w:val="auto"/>
                <w:szCs w:val="21"/>
                <w:highlight w:val="none"/>
                <w:u w:val="single"/>
                <w:lang w:bidi="ar"/>
              </w:rPr>
              <w:t>未以联合体进行投标</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12</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资格审查前，投标人须在广州市住房和城乡建设局建立企业信用档案及拟担任本工程项目负责人、专职安全员须是本企业中的在册人员</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r>
              <w:rPr>
                <w:rFonts w:hint="eastAsia" w:ascii="宋体" w:hAnsi="宋体" w:cs="宋体"/>
                <w:color w:val="auto"/>
                <w:szCs w:val="21"/>
                <w:highlight w:val="none"/>
              </w:rPr>
              <w:t>投标人在广州市住建行业信用管理平台内企业信用档案的企业和人员信息</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cs="宋体"/>
                <w:color w:val="auto"/>
                <w:szCs w:val="21"/>
                <w:highlight w:val="none"/>
              </w:rPr>
            </w:pPr>
            <w:r>
              <w:rPr>
                <w:rFonts w:hint="eastAsia" w:ascii="宋体" w:hAnsi="宋体" w:cs="宋体"/>
                <w:color w:val="auto"/>
                <w:szCs w:val="21"/>
                <w:highlight w:val="none"/>
              </w:rPr>
              <w:t>投标人未出现以下情形：与其它投标人的单位负责人为同一人或者存在控股、管理关系的（按投标人提供的《投标人声明》第八条内容进行评审）。</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cs="宋体"/>
                <w:color w:val="auto"/>
                <w:szCs w:val="21"/>
                <w:highlight w:val="none"/>
              </w:rPr>
            </w:pPr>
            <w:r>
              <w:rPr>
                <w:rFonts w:hint="eastAsia" w:ascii="宋体" w:hAnsi="宋体" w:cs="宋体"/>
                <w:color w:val="auto"/>
                <w:szCs w:val="21"/>
                <w:highlight w:val="none"/>
              </w:rPr>
              <w:t>投标人声明</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14</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bidi="ar"/>
              </w:rPr>
              <w:t>未被列入拖欠农民工工资失信联合惩戒对象名单</w:t>
            </w:r>
          </w:p>
        </w:tc>
        <w:tc>
          <w:tcPr>
            <w:tcW w:w="3420"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bidi="ar"/>
              </w:rPr>
              <w:t>投标人无需提供资料，按交易系统比对的结果进行评审</w:t>
            </w:r>
          </w:p>
        </w:tc>
        <w:tc>
          <w:tcPr>
            <w:tcW w:w="118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ascii="宋体" w:hAnsi="宋体" w:cs="宋体"/>
                <w:color w:val="auto"/>
                <w:szCs w:val="21"/>
                <w:highlight w:val="none"/>
              </w:rPr>
            </w:pPr>
          </w:p>
        </w:tc>
      </w:tr>
    </w:tbl>
    <w:p>
      <w:pPr>
        <w:spacing w:line="480" w:lineRule="auto"/>
        <w:ind w:firstLine="470" w:firstLineChars="224"/>
        <w:rPr>
          <w:rFonts w:hint="eastAsia" w:ascii="宋体" w:hAnsi="宋体" w:cs="宋体"/>
          <w:color w:val="auto"/>
          <w:szCs w:val="21"/>
          <w:highlight w:val="none"/>
        </w:rPr>
      </w:pPr>
      <w:r>
        <w:rPr>
          <w:rFonts w:hint="eastAsia" w:ascii="宋体" w:hAnsi="宋体" w:cs="宋体"/>
          <w:color w:val="auto"/>
          <w:szCs w:val="21"/>
          <w:highlight w:val="none"/>
        </w:rPr>
        <w:t>备注：</w:t>
      </w:r>
    </w:p>
    <w:p>
      <w:pPr>
        <w:spacing w:line="480" w:lineRule="auto"/>
        <w:ind w:firstLine="470" w:firstLineChars="224"/>
        <w:rPr>
          <w:rFonts w:hint="eastAsia" w:ascii="宋体" w:hAnsi="宋体" w:cs="宋体"/>
          <w:color w:val="auto"/>
          <w:szCs w:val="21"/>
          <w:highlight w:val="none"/>
        </w:rPr>
      </w:pPr>
      <w:r>
        <w:rPr>
          <w:rFonts w:hint="eastAsia" w:ascii="宋体" w:hAnsi="宋体" w:cs="宋体"/>
          <w:color w:val="auto"/>
          <w:szCs w:val="21"/>
          <w:highlight w:val="none"/>
        </w:rPr>
        <w:t xml:space="preserve">1、每一项目符合的打“○”，不符合的打“×”； </w:t>
      </w:r>
    </w:p>
    <w:p>
      <w:pPr>
        <w:spacing w:line="480" w:lineRule="auto"/>
        <w:ind w:firstLine="470" w:firstLineChars="224"/>
        <w:rPr>
          <w:rFonts w:hint="eastAsia" w:ascii="宋体" w:hAnsi="宋体" w:cs="宋体"/>
          <w:color w:val="auto"/>
          <w:szCs w:val="21"/>
          <w:highlight w:val="none"/>
        </w:rPr>
      </w:pPr>
      <w:r>
        <w:rPr>
          <w:rFonts w:hint="eastAsia" w:ascii="宋体" w:hAnsi="宋体" w:cs="宋体"/>
          <w:color w:val="auto"/>
          <w:szCs w:val="21"/>
          <w:highlight w:val="none"/>
        </w:rPr>
        <w:t>2、若评委意见不一致时，则按少数服从多数的原则，作出评审结论。汇总后，出现一个“×”的结论为“不通过”。</w:t>
      </w:r>
    </w:p>
    <w:p>
      <w:pPr>
        <w:spacing w:line="480" w:lineRule="auto"/>
        <w:ind w:firstLine="470" w:firstLineChars="224"/>
        <w:rPr>
          <w:rFonts w:ascii="宋体" w:hAnsi="宋体" w:cs="宋体"/>
          <w:color w:val="auto"/>
          <w:szCs w:val="21"/>
          <w:highlight w:val="none"/>
        </w:rPr>
      </w:pPr>
      <w:r>
        <w:rPr>
          <w:rFonts w:hint="eastAsia" w:ascii="宋体" w:hAnsi="宋体" w:cs="宋体"/>
          <w:color w:val="auto"/>
          <w:szCs w:val="21"/>
          <w:highlight w:val="none"/>
        </w:rPr>
        <w:t>3.不得将文件顺序、明显的文字错误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pPr>
        <w:spacing w:line="480" w:lineRule="auto"/>
        <w:ind w:firstLine="470" w:firstLineChars="224"/>
        <w:rPr>
          <w:rFonts w:hint="eastAsia" w:ascii="宋体" w:hAnsi="宋体" w:cs="宋体"/>
          <w:color w:val="auto"/>
          <w:szCs w:val="21"/>
          <w:highlight w:val="none"/>
        </w:rPr>
      </w:pPr>
    </w:p>
    <w:p>
      <w:pPr>
        <w:rPr>
          <w:rFonts w:ascii="宋体" w:hAnsi="宋体" w:cs="宋体"/>
          <w:color w:val="auto"/>
          <w:highlight w:val="none"/>
        </w:rPr>
        <w:sectPr>
          <w:endnotePr>
            <w:numFmt w:val="decimal"/>
          </w:endnotePr>
          <w:pgSz w:w="11906" w:h="16838"/>
          <w:pgMar w:top="1134" w:right="1418" w:bottom="1247" w:left="1418" w:header="851" w:footer="907" w:gutter="0"/>
          <w:pgNumType w:fmt="decimal"/>
          <w:cols w:space="720" w:num="1"/>
          <w:docGrid w:type="lines" w:linePitch="312" w:charSpace="0"/>
        </w:sectPr>
      </w:pPr>
    </w:p>
    <w:p>
      <w:pPr>
        <w:rPr>
          <w:rFonts w:ascii="宋体" w:hAnsi="宋体" w:cs="宋体"/>
          <w:b/>
          <w:bCs/>
          <w:color w:val="auto"/>
          <w:szCs w:val="21"/>
          <w:highlight w:val="none"/>
        </w:rPr>
      </w:pPr>
      <w:r>
        <w:rPr>
          <w:rFonts w:hint="eastAsia" w:ascii="宋体" w:hAnsi="宋体" w:cs="宋体"/>
          <w:b/>
          <w:bCs/>
          <w:color w:val="auto"/>
          <w:szCs w:val="21"/>
          <w:highlight w:val="none"/>
        </w:rPr>
        <w:t>附表二：</w:t>
      </w:r>
    </w:p>
    <w:p>
      <w:pPr>
        <w:jc w:val="center"/>
        <w:outlineLvl w:val="2"/>
        <w:rPr>
          <w:rFonts w:ascii="宋体" w:hAnsi="宋体" w:cs="宋体"/>
          <w:b/>
          <w:color w:val="auto"/>
          <w:sz w:val="36"/>
          <w:szCs w:val="36"/>
          <w:highlight w:val="none"/>
        </w:rPr>
      </w:pPr>
      <w:bookmarkStart w:id="142" w:name="_Toc4281"/>
      <w:bookmarkStart w:id="143" w:name="_Toc12370"/>
      <w:bookmarkStart w:id="144" w:name="_Toc1834650195"/>
      <w:bookmarkStart w:id="145" w:name="_Toc11015"/>
      <w:bookmarkStart w:id="146" w:name="_Toc14192"/>
      <w:bookmarkStart w:id="147" w:name="_Toc10700"/>
      <w:bookmarkStart w:id="148" w:name="_Toc16647"/>
      <w:bookmarkStart w:id="149" w:name="_Toc3878"/>
      <w:bookmarkStart w:id="150" w:name="_Toc29381"/>
      <w:r>
        <w:rPr>
          <w:rFonts w:hint="eastAsia" w:ascii="宋体" w:hAnsi="宋体" w:cs="宋体"/>
          <w:b/>
          <w:color w:val="auto"/>
          <w:sz w:val="36"/>
          <w:szCs w:val="36"/>
          <w:highlight w:val="none"/>
        </w:rPr>
        <w:t>技术标有效性审查表</w:t>
      </w:r>
      <w:bookmarkEnd w:id="142"/>
      <w:bookmarkEnd w:id="143"/>
      <w:bookmarkEnd w:id="144"/>
      <w:bookmarkEnd w:id="145"/>
      <w:bookmarkEnd w:id="146"/>
      <w:bookmarkEnd w:id="147"/>
      <w:bookmarkEnd w:id="148"/>
      <w:bookmarkEnd w:id="149"/>
      <w:bookmarkEnd w:id="150"/>
    </w:p>
    <w:p>
      <w:pPr>
        <w:rPr>
          <w:rFonts w:ascii="宋体" w:hAnsi="宋体" w:cs="宋体"/>
          <w:color w:val="auto"/>
          <w:szCs w:val="21"/>
          <w:highlight w:val="none"/>
        </w:rPr>
      </w:pPr>
      <w:r>
        <w:rPr>
          <w:rFonts w:hint="eastAsia" w:ascii="宋体" w:hAnsi="宋体" w:cs="宋体"/>
          <w:color w:val="auto"/>
          <w:szCs w:val="21"/>
          <w:highlight w:val="none"/>
        </w:rPr>
        <w:t>工程名称：</w:t>
      </w:r>
    </w:p>
    <w:tbl>
      <w:tblPr>
        <w:tblStyle w:val="38"/>
        <w:tblW w:w="14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5158"/>
        <w:gridCol w:w="1350"/>
        <w:gridCol w:w="1416"/>
        <w:gridCol w:w="1400"/>
        <w:gridCol w:w="1584"/>
        <w:gridCol w:w="1500"/>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cs="宋体"/>
                <w:color w:val="auto"/>
                <w:szCs w:val="21"/>
                <w:highlight w:val="none"/>
              </w:rPr>
              <w:t>序号</w:t>
            </w:r>
          </w:p>
        </w:tc>
        <w:tc>
          <w:tcPr>
            <w:tcW w:w="5158" w:type="dxa"/>
            <w:tcBorders>
              <w:top w:val="single" w:color="auto" w:sz="4" w:space="0"/>
              <w:left w:val="single" w:color="auto" w:sz="4" w:space="0"/>
              <w:bottom w:val="single" w:color="auto" w:sz="4" w:space="0"/>
              <w:right w:val="single" w:color="auto" w:sz="4" w:space="0"/>
              <w:tl2br w:val="single" w:color="auto" w:sz="4" w:space="0"/>
            </w:tcBorders>
          </w:tcPr>
          <w:p>
            <w:pPr>
              <w:adjustRightInd w:val="0"/>
              <w:rPr>
                <w:rFonts w:ascii="宋体" w:hAnsi="宋体" w:cs="宋体"/>
                <w:color w:val="auto"/>
                <w:szCs w:val="21"/>
                <w:highlight w:val="none"/>
              </w:rPr>
            </w:pPr>
            <w:r>
              <w:rPr>
                <w:rFonts w:hint="eastAsia" w:ascii="宋体" w:hAnsi="宋体" w:cs="宋体"/>
                <w:color w:val="auto"/>
                <w:szCs w:val="21"/>
                <w:highlight w:val="none"/>
              </w:rPr>
              <w:t xml:space="preserve">                               投标人</w:t>
            </w:r>
          </w:p>
          <w:p>
            <w:pPr>
              <w:adjustRightInd w:val="0"/>
              <w:rPr>
                <w:rFonts w:ascii="宋体" w:hAnsi="宋体" w:cs="宋体"/>
                <w:color w:val="auto"/>
                <w:szCs w:val="21"/>
                <w:highlight w:val="none"/>
              </w:rPr>
            </w:pPr>
            <w:r>
              <w:rPr>
                <w:rFonts w:hint="eastAsia" w:ascii="宋体" w:hAnsi="宋体" w:cs="宋体"/>
                <w:color w:val="auto"/>
                <w:szCs w:val="21"/>
                <w:highlight w:val="none"/>
              </w:rPr>
              <w:t>评审内容</w:t>
            </w:r>
          </w:p>
        </w:tc>
        <w:tc>
          <w:tcPr>
            <w:tcW w:w="135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84"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19"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cs="宋体"/>
                <w:color w:val="auto"/>
                <w:szCs w:val="21"/>
                <w:highlight w:val="none"/>
              </w:rPr>
              <w:t>1</w:t>
            </w:r>
          </w:p>
        </w:tc>
        <w:tc>
          <w:tcPr>
            <w:tcW w:w="5158"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u w:val="single"/>
                <w:lang w:bidi="ar"/>
              </w:rPr>
              <w:t>《广州建设工程施工招标投标书》中的投标总工期</w:t>
            </w:r>
            <w:r>
              <w:rPr>
                <w:rFonts w:hint="eastAsia" w:ascii="宋体" w:hAnsi="宋体" w:eastAsia="宋体" w:cs="宋体"/>
                <w:color w:val="auto"/>
                <w:szCs w:val="21"/>
                <w:highlight w:val="none"/>
                <w:lang w:bidi="ar"/>
              </w:rPr>
              <w:t>不能满足完成投标项目工期的</w:t>
            </w:r>
            <w:r>
              <w:rPr>
                <w:rFonts w:hint="eastAsia" w:ascii="宋体" w:hAnsi="宋体" w:cs="宋体"/>
                <w:color w:val="auto"/>
                <w:szCs w:val="21"/>
                <w:highlight w:val="none"/>
                <w:lang w:eastAsia="zh-CN"/>
              </w:rPr>
              <w:t>；</w:t>
            </w:r>
          </w:p>
        </w:tc>
        <w:tc>
          <w:tcPr>
            <w:tcW w:w="135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84"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19"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cs="宋体"/>
                <w:color w:val="auto"/>
                <w:szCs w:val="21"/>
                <w:highlight w:val="none"/>
              </w:rPr>
              <w:t>2</w:t>
            </w:r>
          </w:p>
        </w:tc>
        <w:tc>
          <w:tcPr>
            <w:tcW w:w="5158"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eastAsia="宋体" w:cs="宋体"/>
                <w:color w:val="auto"/>
                <w:szCs w:val="21"/>
                <w:highlight w:val="none"/>
                <w:u w:val="single"/>
                <w:lang w:bidi="ar"/>
              </w:rPr>
              <w:t>《广州建设工程施工招标投标书》中的工程质量标准不符合招标文件要求的</w:t>
            </w:r>
            <w:r>
              <w:rPr>
                <w:rFonts w:hint="eastAsia" w:ascii="宋体" w:hAnsi="宋体" w:cs="宋体"/>
                <w:color w:val="auto"/>
                <w:szCs w:val="21"/>
                <w:highlight w:val="none"/>
              </w:rPr>
              <w:t>；</w:t>
            </w:r>
          </w:p>
        </w:tc>
        <w:tc>
          <w:tcPr>
            <w:tcW w:w="135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84"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19"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cs="宋体"/>
                <w:color w:val="auto"/>
                <w:szCs w:val="21"/>
                <w:highlight w:val="none"/>
              </w:rPr>
              <w:t>3</w:t>
            </w:r>
          </w:p>
        </w:tc>
        <w:tc>
          <w:tcPr>
            <w:tcW w:w="5158"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cs="宋体"/>
                <w:color w:val="auto"/>
                <w:szCs w:val="21"/>
                <w:highlight w:val="none"/>
              </w:rPr>
              <w:t>投标文件中没有有效的法定代表人证明书，或由委托代理人签署</w:t>
            </w:r>
            <w:r>
              <w:rPr>
                <w:rFonts w:hint="eastAsia" w:ascii="宋体" w:hAnsi="宋体" w:cs="宋体"/>
                <w:color w:val="auto"/>
                <w:szCs w:val="21"/>
                <w:highlight w:val="none"/>
                <w:lang w:eastAsia="zh-CN"/>
              </w:rPr>
              <w:t>或盖章</w:t>
            </w:r>
            <w:r>
              <w:rPr>
                <w:rFonts w:hint="eastAsia" w:ascii="宋体" w:hAnsi="宋体" w:cs="宋体"/>
                <w:color w:val="auto"/>
                <w:szCs w:val="21"/>
                <w:highlight w:val="none"/>
              </w:rPr>
              <w:t>的投标文件中没有法定代表人授权书；</w:t>
            </w:r>
          </w:p>
        </w:tc>
        <w:tc>
          <w:tcPr>
            <w:tcW w:w="135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84"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19"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ascii="宋体" w:hAnsi="宋体" w:cs="宋体"/>
                <w:color w:val="auto"/>
                <w:szCs w:val="21"/>
                <w:highlight w:val="none"/>
              </w:rPr>
              <w:t>4</w:t>
            </w:r>
          </w:p>
        </w:tc>
        <w:tc>
          <w:tcPr>
            <w:tcW w:w="5158"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cs="宋体"/>
                <w:color w:val="auto"/>
                <w:szCs w:val="21"/>
                <w:highlight w:val="none"/>
              </w:rPr>
              <w:t>投标文件的封面没有加盖投标人的企业公章并经投标人代表签署的；</w:t>
            </w:r>
          </w:p>
        </w:tc>
        <w:tc>
          <w:tcPr>
            <w:tcW w:w="135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84"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19"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cs="宋体"/>
                <w:color w:val="auto"/>
                <w:szCs w:val="21"/>
                <w:highlight w:val="none"/>
              </w:rPr>
              <w:t>5</w:t>
            </w:r>
          </w:p>
        </w:tc>
        <w:tc>
          <w:tcPr>
            <w:tcW w:w="5158"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cs="宋体"/>
                <w:color w:val="auto"/>
                <w:szCs w:val="21"/>
                <w:highlight w:val="none"/>
              </w:rPr>
              <w:t>投标文件未按规定的格式填写，或主要内容不全，或关键字迹模糊、无法辨认的；</w:t>
            </w:r>
          </w:p>
        </w:tc>
        <w:tc>
          <w:tcPr>
            <w:tcW w:w="135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84"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19"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cs="宋体"/>
                <w:color w:val="auto"/>
                <w:szCs w:val="21"/>
                <w:highlight w:val="none"/>
              </w:rPr>
              <w:t>6</w:t>
            </w:r>
          </w:p>
        </w:tc>
        <w:tc>
          <w:tcPr>
            <w:tcW w:w="5158"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cs="宋体"/>
                <w:color w:val="auto"/>
                <w:szCs w:val="21"/>
                <w:highlight w:val="none"/>
              </w:rPr>
              <w:t>投标人之间存在《广东省实施&lt;中华人民共和国招标投标法&gt;》第十六条所禁止的情形的；</w:t>
            </w:r>
          </w:p>
        </w:tc>
        <w:tc>
          <w:tcPr>
            <w:tcW w:w="135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shd w:val="pct10" w:color="auto" w:fill="FFFFFF"/>
              </w:rPr>
            </w:pPr>
          </w:p>
        </w:tc>
        <w:tc>
          <w:tcPr>
            <w:tcW w:w="1416"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shd w:val="pct10" w:color="auto" w:fill="FFFFFF"/>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shd w:val="pct10" w:color="auto" w:fill="FFFFFF"/>
              </w:rPr>
            </w:pPr>
          </w:p>
        </w:tc>
        <w:tc>
          <w:tcPr>
            <w:tcW w:w="1584"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shd w:val="pct10" w:color="auto" w:fill="FFFFFF"/>
              </w:rPr>
            </w:pPr>
          </w:p>
        </w:tc>
        <w:tc>
          <w:tcPr>
            <w:tcW w:w="15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shd w:val="pct10" w:color="auto" w:fill="FFFFFF"/>
              </w:rPr>
            </w:pPr>
          </w:p>
        </w:tc>
        <w:tc>
          <w:tcPr>
            <w:tcW w:w="1519"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cs="宋体"/>
                <w:color w:val="auto"/>
                <w:szCs w:val="21"/>
                <w:highlight w:val="none"/>
              </w:rPr>
              <w:t>7</w:t>
            </w:r>
          </w:p>
        </w:tc>
        <w:tc>
          <w:tcPr>
            <w:tcW w:w="5158"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cs="宋体"/>
                <w:color w:val="auto"/>
                <w:szCs w:val="21"/>
                <w:highlight w:val="none"/>
              </w:rPr>
              <w:t>无《参与编制技术标投标文件人员名单》的</w:t>
            </w:r>
            <w:r>
              <w:rPr>
                <w:rFonts w:hint="eastAsia" w:ascii="宋体" w:hAnsi="宋体" w:cs="宋体"/>
                <w:color w:val="auto"/>
                <w:szCs w:val="21"/>
                <w:highlight w:val="none"/>
                <w:lang w:eastAsia="zh-CN"/>
              </w:rPr>
              <w:t>；</w:t>
            </w:r>
          </w:p>
        </w:tc>
        <w:tc>
          <w:tcPr>
            <w:tcW w:w="135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84"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19"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cs="宋体"/>
                <w:color w:val="auto"/>
                <w:szCs w:val="21"/>
                <w:highlight w:val="none"/>
              </w:rPr>
              <w:t>8</w:t>
            </w:r>
          </w:p>
        </w:tc>
        <w:tc>
          <w:tcPr>
            <w:tcW w:w="5158"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投标人未按要求提交投标保证金的</w:t>
            </w:r>
            <w:r>
              <w:rPr>
                <w:rFonts w:hint="eastAsia" w:ascii="宋体" w:hAnsi="宋体" w:cs="宋体"/>
                <w:color w:val="auto"/>
                <w:szCs w:val="21"/>
                <w:highlight w:val="none"/>
                <w:lang w:eastAsia="zh-CN"/>
              </w:rPr>
              <w:t>；</w:t>
            </w:r>
          </w:p>
        </w:tc>
        <w:tc>
          <w:tcPr>
            <w:tcW w:w="135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84"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19"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s="宋体"/>
                <w:color w:val="auto"/>
                <w:szCs w:val="21"/>
                <w:highlight w:val="none"/>
              </w:rPr>
            </w:pPr>
            <w:r>
              <w:rPr>
                <w:rFonts w:hint="eastAsia" w:ascii="宋体" w:hAnsi="宋体" w:cs="宋体"/>
                <w:color w:val="auto"/>
                <w:szCs w:val="21"/>
                <w:highlight w:val="none"/>
              </w:rPr>
              <w:t>9</w:t>
            </w:r>
          </w:p>
        </w:tc>
        <w:tc>
          <w:tcPr>
            <w:tcW w:w="5158"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投标人与其他投标人加密打包投标文件电脑机器特征码一致的(以</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交易平台评标系统的检索信息为准)</w:t>
            </w:r>
            <w:r>
              <w:rPr>
                <w:rFonts w:hint="eastAsia" w:ascii="宋体" w:hAnsi="宋体" w:cs="宋体"/>
                <w:color w:val="auto"/>
                <w:szCs w:val="21"/>
                <w:highlight w:val="none"/>
                <w:lang w:eastAsia="zh-CN"/>
              </w:rPr>
              <w:t>。</w:t>
            </w:r>
          </w:p>
        </w:tc>
        <w:tc>
          <w:tcPr>
            <w:tcW w:w="135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16"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84"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00"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c>
          <w:tcPr>
            <w:tcW w:w="1519" w:type="dxa"/>
            <w:tcBorders>
              <w:top w:val="single" w:color="auto" w:sz="4" w:space="0"/>
              <w:left w:val="single" w:color="auto" w:sz="4" w:space="0"/>
              <w:bottom w:val="single" w:color="auto" w:sz="4" w:space="0"/>
              <w:right w:val="single" w:color="auto" w:sz="4" w:space="0"/>
            </w:tcBorders>
          </w:tcPr>
          <w:p>
            <w:pPr>
              <w:adjustRightInd w:val="0"/>
              <w:rPr>
                <w:rFonts w:ascii="宋体" w:hAnsi="宋体" w:cs="宋体"/>
                <w:color w:val="auto"/>
                <w:szCs w:val="21"/>
                <w:highlight w:val="none"/>
              </w:rPr>
            </w:pPr>
          </w:p>
        </w:tc>
      </w:tr>
    </w:tbl>
    <w:p>
      <w:pPr>
        <w:rPr>
          <w:rFonts w:hint="eastAsia" w:ascii="宋体" w:hAnsi="宋体" w:cs="宋体"/>
          <w:color w:val="auto"/>
          <w:szCs w:val="21"/>
          <w:highlight w:val="none"/>
        </w:rPr>
      </w:pPr>
      <w:r>
        <w:rPr>
          <w:rFonts w:hint="eastAsia" w:ascii="宋体" w:hAnsi="宋体" w:cs="宋体"/>
          <w:color w:val="auto"/>
          <w:szCs w:val="21"/>
          <w:highlight w:val="none"/>
        </w:rPr>
        <w:t>注：注：1.本表使用GZZB2018-3招标文件范本，与范本内容不同之处均以下划线标明。技术标评审中，响应性、承诺性内容不应作为评分因素，可在该表中对上述内容进行符合性审查。审查标准须具备可操作性。</w:t>
      </w:r>
    </w:p>
    <w:p>
      <w:pPr>
        <w:rPr>
          <w:rFonts w:hint="eastAsia" w:ascii="宋体" w:hAnsi="宋体" w:cs="宋体"/>
          <w:color w:val="auto"/>
          <w:szCs w:val="21"/>
          <w:highlight w:val="none"/>
        </w:rPr>
      </w:pPr>
      <w:r>
        <w:rPr>
          <w:rFonts w:hint="eastAsia" w:ascii="宋体" w:hAnsi="宋体" w:cs="宋体"/>
          <w:color w:val="auto"/>
          <w:szCs w:val="21"/>
          <w:highlight w:val="none"/>
        </w:rPr>
        <w:t>2.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pPr>
        <w:rPr>
          <w:rFonts w:hint="eastAsia" w:ascii="宋体" w:hAnsi="宋体" w:cs="宋体"/>
          <w:color w:val="auto"/>
          <w:szCs w:val="21"/>
          <w:highlight w:val="none"/>
        </w:rPr>
      </w:pPr>
      <w:r>
        <w:rPr>
          <w:rFonts w:hint="eastAsia" w:ascii="宋体" w:hAnsi="宋体" w:cs="宋体"/>
          <w:color w:val="auto"/>
          <w:szCs w:val="21"/>
          <w:highlight w:val="none"/>
        </w:rPr>
        <w:t>3.凡出现以上任何一项情形，结论均为无效，否则就为有效。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4.如对本表中某种情形的评审意见不一致时，以评标委员会过半数成员的意见作为评标委员会对该情形的认定结论。</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评委签名：</w:t>
      </w:r>
    </w:p>
    <w:p>
      <w:pPr>
        <w:rPr>
          <w:rFonts w:ascii="宋体" w:hAnsi="宋体" w:cs="宋体"/>
          <w:color w:val="auto"/>
          <w:szCs w:val="21"/>
          <w:highlight w:val="none"/>
        </w:rPr>
      </w:pPr>
      <w:r>
        <w:rPr>
          <w:rFonts w:hint="eastAsia" w:ascii="宋体" w:hAnsi="宋体" w:cs="宋体"/>
          <w:color w:val="auto"/>
          <w:highlight w:val="none"/>
        </w:rPr>
        <w:br w:type="page"/>
      </w:r>
      <w:r>
        <w:rPr>
          <w:rFonts w:hint="eastAsia" w:ascii="宋体" w:hAnsi="宋体" w:cs="宋体"/>
          <w:b/>
          <w:bCs/>
          <w:color w:val="auto"/>
          <w:szCs w:val="21"/>
          <w:highlight w:val="none"/>
        </w:rPr>
        <w:t>附表三：</w:t>
      </w:r>
    </w:p>
    <w:p>
      <w:pPr>
        <w:jc w:val="center"/>
        <w:outlineLvl w:val="2"/>
        <w:rPr>
          <w:rFonts w:ascii="宋体" w:hAnsi="宋体" w:cs="宋体"/>
          <w:b/>
          <w:color w:val="auto"/>
          <w:sz w:val="36"/>
          <w:szCs w:val="36"/>
          <w:highlight w:val="none"/>
        </w:rPr>
      </w:pPr>
      <w:bookmarkStart w:id="151" w:name="_Toc10733"/>
      <w:bookmarkStart w:id="152" w:name="_Toc24399"/>
      <w:bookmarkStart w:id="153" w:name="_Toc16936"/>
      <w:bookmarkStart w:id="154" w:name="_Toc1395623739"/>
      <w:bookmarkStart w:id="155" w:name="_Toc9200"/>
      <w:bookmarkStart w:id="156" w:name="_Toc28636"/>
      <w:bookmarkStart w:id="157" w:name="_Toc11731"/>
      <w:bookmarkStart w:id="158" w:name="_Toc3142"/>
      <w:bookmarkStart w:id="159" w:name="_Toc31841"/>
      <w:r>
        <w:rPr>
          <w:rFonts w:hint="eastAsia" w:ascii="宋体" w:hAnsi="宋体" w:cs="宋体"/>
          <w:b/>
          <w:color w:val="auto"/>
          <w:sz w:val="36"/>
          <w:szCs w:val="36"/>
          <w:highlight w:val="none"/>
        </w:rPr>
        <w:t>经济标有效性审查表</w:t>
      </w:r>
      <w:bookmarkEnd w:id="151"/>
      <w:bookmarkEnd w:id="152"/>
      <w:bookmarkEnd w:id="153"/>
      <w:bookmarkEnd w:id="154"/>
      <w:bookmarkEnd w:id="155"/>
      <w:bookmarkEnd w:id="156"/>
      <w:bookmarkEnd w:id="157"/>
      <w:bookmarkEnd w:id="158"/>
      <w:bookmarkEnd w:id="159"/>
    </w:p>
    <w:p>
      <w:pPr>
        <w:rPr>
          <w:rFonts w:ascii="宋体" w:hAnsi="宋体" w:cs="宋体"/>
          <w:color w:val="auto"/>
          <w:szCs w:val="21"/>
          <w:highlight w:val="none"/>
        </w:rPr>
      </w:pPr>
      <w:r>
        <w:rPr>
          <w:rFonts w:hint="eastAsia" w:ascii="宋体" w:hAnsi="宋体" w:cs="宋体"/>
          <w:color w:val="auto"/>
          <w:szCs w:val="21"/>
          <w:highlight w:val="none"/>
        </w:rPr>
        <w:t>工程名称：</w:t>
      </w:r>
    </w:p>
    <w:tbl>
      <w:tblPr>
        <w:tblStyle w:val="38"/>
        <w:tblW w:w="15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6473"/>
        <w:gridCol w:w="1320"/>
        <w:gridCol w:w="1370"/>
        <w:gridCol w:w="1350"/>
        <w:gridCol w:w="1176"/>
        <w:gridCol w:w="1397"/>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序号</w:t>
            </w:r>
          </w:p>
        </w:tc>
        <w:tc>
          <w:tcPr>
            <w:tcW w:w="6473" w:type="dxa"/>
            <w:tcBorders>
              <w:top w:val="single" w:color="auto" w:sz="4" w:space="0"/>
              <w:left w:val="single" w:color="auto" w:sz="4" w:space="0"/>
              <w:bottom w:val="single" w:color="auto" w:sz="4" w:space="0"/>
              <w:right w:val="single" w:color="auto" w:sz="4" w:space="0"/>
              <w:tl2br w:val="single" w:color="auto" w:sz="4" w:space="0"/>
            </w:tcBorders>
          </w:tcPr>
          <w:p>
            <w:pPr>
              <w:rPr>
                <w:rFonts w:ascii="宋体" w:hAnsi="宋体" w:cs="宋体"/>
                <w:color w:val="auto"/>
                <w:szCs w:val="21"/>
                <w:highlight w:val="none"/>
              </w:rPr>
            </w:pPr>
            <w:r>
              <w:rPr>
                <w:rFonts w:hint="eastAsia" w:ascii="宋体" w:hAnsi="宋体" w:cs="宋体"/>
                <w:color w:val="auto"/>
                <w:szCs w:val="21"/>
                <w:highlight w:val="none"/>
              </w:rPr>
              <w:t xml:space="preserve">                                                投标人</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评审内容</w:t>
            </w:r>
          </w:p>
        </w:tc>
        <w:tc>
          <w:tcPr>
            <w:tcW w:w="132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7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5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176"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w:t>
            </w:r>
          </w:p>
        </w:tc>
        <w:tc>
          <w:tcPr>
            <w:tcW w:w="647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投标文件的封面没有加盖投标人的企业公章并经投标人代表签署的；</w:t>
            </w:r>
          </w:p>
        </w:tc>
        <w:tc>
          <w:tcPr>
            <w:tcW w:w="132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7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5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176"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w:t>
            </w:r>
          </w:p>
        </w:tc>
        <w:tc>
          <w:tcPr>
            <w:tcW w:w="647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对同一招标项目出现两个或以上的投标报价，且没有申明哪个有效；</w:t>
            </w:r>
          </w:p>
        </w:tc>
        <w:tc>
          <w:tcPr>
            <w:tcW w:w="132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7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5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176"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3</w:t>
            </w:r>
          </w:p>
        </w:tc>
        <w:tc>
          <w:tcPr>
            <w:tcW w:w="647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投标报价高于最高投标限价的；</w:t>
            </w:r>
          </w:p>
        </w:tc>
        <w:tc>
          <w:tcPr>
            <w:tcW w:w="132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7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5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176"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4</w:t>
            </w:r>
          </w:p>
        </w:tc>
        <w:tc>
          <w:tcPr>
            <w:tcW w:w="64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2" w:leftChars="-1"/>
              <w:jc w:val="left"/>
              <w:rPr>
                <w:rFonts w:ascii="宋体" w:hAnsi="宋体" w:cs="宋体"/>
                <w:color w:val="auto"/>
                <w:szCs w:val="21"/>
                <w:highlight w:val="none"/>
              </w:rPr>
            </w:pPr>
            <w:r>
              <w:rPr>
                <w:rFonts w:hint="eastAsia" w:ascii="宋体" w:hAnsi="宋体" w:cs="宋体"/>
                <w:color w:val="auto"/>
                <w:szCs w:val="21"/>
                <w:highlight w:val="none"/>
              </w:rPr>
              <w:t>投标报价低于成本的；</w:t>
            </w:r>
          </w:p>
        </w:tc>
        <w:tc>
          <w:tcPr>
            <w:tcW w:w="132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7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5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176"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5</w:t>
            </w:r>
          </w:p>
        </w:tc>
        <w:tc>
          <w:tcPr>
            <w:tcW w:w="647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投标文件未按规定的格式填写，或主要内容不全，或关键字迹模糊、无法辨认的；</w:t>
            </w:r>
          </w:p>
        </w:tc>
        <w:tc>
          <w:tcPr>
            <w:tcW w:w="132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7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5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176"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647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投标人之间存在《广东省实施&lt;中华人民共和国招标投标法&gt;》第十六条所禁止的情形的；</w:t>
            </w:r>
          </w:p>
        </w:tc>
        <w:tc>
          <w:tcPr>
            <w:tcW w:w="132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7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5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176"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p>
        </w:tc>
        <w:tc>
          <w:tcPr>
            <w:tcW w:w="647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无《参与编制经济标投标文件人员名单》的；</w:t>
            </w:r>
          </w:p>
        </w:tc>
        <w:tc>
          <w:tcPr>
            <w:tcW w:w="132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7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5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176"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647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无《对投标文件编制的承诺》</w:t>
            </w:r>
            <w:r>
              <w:rPr>
                <w:rFonts w:hint="eastAsia" w:ascii="宋体" w:hAnsi="宋体" w:cs="宋体"/>
                <w:color w:val="auto"/>
                <w:szCs w:val="21"/>
                <w:highlight w:val="none"/>
                <w:lang w:eastAsia="zh-CN"/>
              </w:rPr>
              <w:t>。</w:t>
            </w:r>
          </w:p>
        </w:tc>
        <w:tc>
          <w:tcPr>
            <w:tcW w:w="132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7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5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176"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highlight w:val="none"/>
              </w:rPr>
            </w:pPr>
          </w:p>
        </w:tc>
      </w:tr>
    </w:tbl>
    <w:p>
      <w:pPr>
        <w:ind w:firstLine="458"/>
        <w:rPr>
          <w:rFonts w:hint="eastAsia" w:ascii="宋体" w:hAnsi="宋体" w:cs="宋体"/>
          <w:color w:val="auto"/>
          <w:szCs w:val="21"/>
          <w:highlight w:val="none"/>
        </w:rPr>
      </w:pPr>
      <w:r>
        <w:rPr>
          <w:rFonts w:hint="eastAsia" w:ascii="宋体" w:hAnsi="宋体" w:cs="宋体"/>
          <w:color w:val="auto"/>
          <w:szCs w:val="21"/>
          <w:highlight w:val="none"/>
        </w:rPr>
        <w:t>注：1.本表使用GZZB2018-3招标文件范本，与范本内容不同之处均以下划线标明。</w:t>
      </w:r>
    </w:p>
    <w:p>
      <w:pPr>
        <w:ind w:firstLine="458"/>
        <w:rPr>
          <w:rFonts w:hint="eastAsia" w:ascii="宋体" w:hAnsi="宋体" w:cs="宋体"/>
          <w:color w:val="auto"/>
          <w:szCs w:val="21"/>
          <w:highlight w:val="none"/>
        </w:rPr>
      </w:pPr>
      <w:r>
        <w:rPr>
          <w:rFonts w:hint="eastAsia" w:ascii="宋体" w:hAnsi="宋体" w:cs="宋体"/>
          <w:color w:val="auto"/>
          <w:szCs w:val="21"/>
          <w:highlight w:val="none"/>
        </w:rPr>
        <w:t>2.凡出现以上任何一项情形，结论均为无效，否则就为有效。</w:t>
      </w:r>
    </w:p>
    <w:p>
      <w:pPr>
        <w:ind w:firstLine="458"/>
        <w:rPr>
          <w:rFonts w:hint="eastAsia" w:ascii="宋体" w:hAnsi="宋体" w:cs="宋体"/>
          <w:color w:val="auto"/>
          <w:szCs w:val="21"/>
          <w:highlight w:val="none"/>
        </w:rPr>
      </w:pPr>
      <w:r>
        <w:rPr>
          <w:rFonts w:hint="eastAsia" w:ascii="宋体" w:hAnsi="宋体" w:cs="宋体"/>
          <w:color w:val="auto"/>
          <w:szCs w:val="21"/>
          <w:highlight w:val="none"/>
        </w:rPr>
        <w:t>3.如对本表中某种情形的评审意见不一致时，以评标委员会过半数成员的意见作为评标委员会对该情形的认定结论。</w:t>
      </w:r>
    </w:p>
    <w:p>
      <w:pPr>
        <w:ind w:firstLine="458"/>
        <w:rPr>
          <w:rFonts w:ascii="宋体" w:hAnsi="宋体" w:cs="宋体"/>
          <w:color w:val="auto"/>
          <w:szCs w:val="21"/>
          <w:highlight w:val="none"/>
        </w:rPr>
      </w:pPr>
      <w:r>
        <w:rPr>
          <w:rFonts w:hint="eastAsia" w:ascii="宋体" w:hAnsi="宋体" w:cs="宋体"/>
          <w:color w:val="auto"/>
          <w:szCs w:val="21"/>
          <w:highlight w:val="none"/>
        </w:rPr>
        <w:t>4.不得将文件顺序、明显的文字错误等列为否决投标的情形。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pStyle w:val="37"/>
        <w:ind w:firstLine="458"/>
        <w:rPr>
          <w:rFonts w:ascii="宋体" w:hAnsi="宋体" w:cs="宋体"/>
          <w:color w:val="auto"/>
          <w:szCs w:val="21"/>
          <w:highlight w:val="none"/>
        </w:rPr>
        <w:sectPr>
          <w:footerReference r:id="rId12" w:type="first"/>
          <w:footerReference r:id="rId11" w:type="default"/>
          <w:endnotePr>
            <w:numFmt w:val="decimal"/>
          </w:endnotePr>
          <w:pgSz w:w="16838" w:h="11906" w:orient="landscape"/>
          <w:pgMar w:top="1418" w:right="1247" w:bottom="1418" w:left="1134" w:header="851" w:footer="907" w:gutter="0"/>
          <w:pgNumType w:fmt="decimal"/>
          <w:cols w:space="720" w:num="1"/>
          <w:titlePg/>
          <w:docGrid w:type="lines" w:linePitch="312" w:charSpace="0"/>
        </w:sectPr>
      </w:pPr>
      <w:r>
        <w:rPr>
          <w:rFonts w:hint="eastAsia" w:ascii="宋体" w:hAnsi="宋体" w:cs="宋体"/>
          <w:color w:val="auto"/>
          <w:szCs w:val="21"/>
          <w:highlight w:val="none"/>
        </w:rPr>
        <w:t>评委签名：</w:t>
      </w:r>
    </w:p>
    <w:p>
      <w:pPr>
        <w:jc w:val="left"/>
        <w:rPr>
          <w:rFonts w:ascii="宋体" w:hAnsi="宋体" w:cs="宋体"/>
          <w:color w:val="auto"/>
          <w:szCs w:val="21"/>
          <w:highlight w:val="none"/>
        </w:rPr>
      </w:pPr>
      <w:r>
        <w:rPr>
          <w:rFonts w:hint="eastAsia" w:ascii="宋体" w:hAnsi="宋体" w:cs="宋体"/>
          <w:b/>
          <w:bCs/>
          <w:color w:val="auto"/>
          <w:szCs w:val="21"/>
          <w:highlight w:val="none"/>
        </w:rPr>
        <w:t xml:space="preserve">附表四： </w:t>
      </w:r>
      <w:r>
        <w:rPr>
          <w:rFonts w:hint="eastAsia" w:ascii="宋体" w:hAnsi="宋体" w:cs="宋体"/>
          <w:color w:val="auto"/>
          <w:szCs w:val="21"/>
          <w:highlight w:val="none"/>
        </w:rPr>
        <w:t xml:space="preserve">                                   </w:t>
      </w:r>
    </w:p>
    <w:p>
      <w:pPr>
        <w:jc w:val="center"/>
        <w:outlineLvl w:val="2"/>
        <w:rPr>
          <w:rFonts w:ascii="宋体" w:hAnsi="宋体" w:cs="宋体"/>
          <w:color w:val="auto"/>
          <w:highlight w:val="none"/>
        </w:rPr>
      </w:pPr>
      <w:bookmarkStart w:id="160" w:name="_Toc24222"/>
      <w:bookmarkStart w:id="161" w:name="_Toc30942"/>
      <w:bookmarkStart w:id="162" w:name="_Toc1431788839"/>
      <w:bookmarkStart w:id="163" w:name="_Toc13995"/>
      <w:r>
        <w:rPr>
          <w:rFonts w:hint="eastAsia" w:ascii="宋体" w:hAnsi="宋体" w:cs="宋体"/>
          <w:b/>
          <w:color w:val="auto"/>
          <w:sz w:val="36"/>
          <w:szCs w:val="36"/>
          <w:highlight w:val="none"/>
        </w:rPr>
        <w:t>技术标详细审查评分表</w:t>
      </w:r>
      <w:bookmarkEnd w:id="160"/>
      <w:bookmarkEnd w:id="161"/>
      <w:bookmarkEnd w:id="162"/>
      <w:bookmarkEnd w:id="163"/>
    </w:p>
    <w:tbl>
      <w:tblPr>
        <w:tblStyle w:val="38"/>
        <w:tblW w:w="13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55"/>
        <w:gridCol w:w="1084"/>
        <w:gridCol w:w="734"/>
        <w:gridCol w:w="948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blHeader/>
          <w:jc w:val="center"/>
        </w:trPr>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43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评审因素</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分值</w:t>
            </w:r>
          </w:p>
        </w:tc>
        <w:tc>
          <w:tcPr>
            <w:tcW w:w="94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评分标准</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1</w:t>
            </w:r>
          </w:p>
        </w:tc>
        <w:tc>
          <w:tcPr>
            <w:tcW w:w="143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资信业绩</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40</w:t>
            </w:r>
          </w:p>
        </w:tc>
        <w:tc>
          <w:tcPr>
            <w:tcW w:w="948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673" w:type="dxa"/>
            <w:tcBorders>
              <w:top w:val="single" w:color="auto" w:sz="4" w:space="0"/>
              <w:left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1.1</w:t>
            </w:r>
          </w:p>
        </w:tc>
        <w:tc>
          <w:tcPr>
            <w:tcW w:w="1439" w:type="dxa"/>
            <w:gridSpan w:val="2"/>
            <w:tcBorders>
              <w:top w:val="single" w:color="auto" w:sz="4" w:space="0"/>
              <w:left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企业业绩</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lang w:eastAsia="zh-CN"/>
              </w:rPr>
            </w:pPr>
            <w:r>
              <w:rPr>
                <w:rFonts w:hint="eastAsia" w:ascii="宋体" w:hAnsi="宋体" w:cs="宋体"/>
                <w:szCs w:val="21"/>
                <w:highlight w:val="none"/>
              </w:rPr>
              <w:t>1</w:t>
            </w:r>
            <w:r>
              <w:rPr>
                <w:rFonts w:hint="eastAsia" w:ascii="宋体" w:hAnsi="宋体" w:cs="宋体"/>
                <w:szCs w:val="21"/>
                <w:highlight w:val="none"/>
                <w:lang w:val="en-US" w:eastAsia="zh-CN"/>
              </w:rPr>
              <w:t>2</w:t>
            </w:r>
          </w:p>
        </w:tc>
        <w:tc>
          <w:tcPr>
            <w:tcW w:w="9482" w:type="dxa"/>
            <w:tcBorders>
              <w:top w:val="single" w:color="auto" w:sz="4" w:space="0"/>
              <w:left w:val="single" w:color="auto" w:sz="4" w:space="0"/>
              <w:bottom w:val="single" w:color="auto" w:sz="4" w:space="0"/>
              <w:right w:val="single" w:color="auto" w:sz="4" w:space="0"/>
            </w:tcBorders>
            <w:vAlign w:val="center"/>
          </w:tcPr>
          <w:p>
            <w:pPr>
              <w:numPr>
                <w:ilvl w:val="-1"/>
                <w:numId w:val="0"/>
              </w:numPr>
              <w:rPr>
                <w:rFonts w:hint="default" w:eastAsia="宋体"/>
                <w:highlight w:val="none"/>
                <w:lang w:val="en-US" w:eastAsia="zh-CN"/>
              </w:rPr>
            </w:pPr>
            <w:r>
              <w:rPr>
                <w:rFonts w:hint="eastAsia" w:ascii="宋体" w:hAnsi="宋体" w:cs="宋体"/>
                <w:highlight w:val="none"/>
              </w:rPr>
              <w:t>自20</w:t>
            </w:r>
            <w:r>
              <w:rPr>
                <w:rFonts w:hint="eastAsia" w:ascii="宋体" w:hAnsi="宋体" w:cs="宋体"/>
                <w:highlight w:val="none"/>
                <w:lang w:val="en-US" w:eastAsia="zh-CN"/>
              </w:rPr>
              <w:t>20</w:t>
            </w:r>
            <w:r>
              <w:rPr>
                <w:rFonts w:hint="eastAsia" w:ascii="宋体" w:hAnsi="宋体" w:cs="宋体"/>
                <w:highlight w:val="none"/>
              </w:rPr>
              <w:t>年1月1日至今已完成质量合格的设计压力4.0MPa或以上压力等级的天然气输送管道工程施工业绩，每一个符合要求的业绩得</w:t>
            </w:r>
            <w:r>
              <w:rPr>
                <w:rFonts w:hint="eastAsia" w:ascii="宋体" w:hAnsi="宋体" w:cs="宋体"/>
                <w:highlight w:val="none"/>
                <w:lang w:val="en-US" w:eastAsia="zh-CN"/>
              </w:rPr>
              <w:t>3</w:t>
            </w:r>
            <w:r>
              <w:rPr>
                <w:rFonts w:hint="eastAsia" w:ascii="宋体" w:hAnsi="宋体" w:cs="宋体"/>
                <w:highlight w:val="none"/>
              </w:rPr>
              <w:t>分，本项最高得</w:t>
            </w:r>
            <w:r>
              <w:rPr>
                <w:rFonts w:hint="eastAsia" w:ascii="宋体" w:hAnsi="宋体" w:cs="宋体"/>
                <w:highlight w:val="none"/>
                <w:lang w:val="en-US" w:eastAsia="zh-CN"/>
              </w:rPr>
              <w:t>12</w:t>
            </w:r>
            <w:r>
              <w:rPr>
                <w:rFonts w:hint="eastAsia" w:ascii="宋体" w:hAnsi="宋体" w:cs="宋体"/>
                <w:highlight w:val="none"/>
              </w:rPr>
              <w:t>分</w:t>
            </w:r>
            <w:r>
              <w:rPr>
                <w:rFonts w:hint="eastAsia" w:ascii="宋体" w:hAnsi="宋体" w:cs="宋体"/>
                <w:highlight w:val="none"/>
                <w:lang w:eastAsia="zh-CN"/>
              </w:rPr>
              <w:t>。（</w:t>
            </w:r>
            <w:r>
              <w:rPr>
                <w:rFonts w:hint="eastAsia" w:ascii="宋体" w:hAnsi="宋体" w:cs="宋体"/>
                <w:highlight w:val="none"/>
                <w:lang w:val="en-US" w:eastAsia="zh-CN"/>
              </w:rPr>
              <w:t>资格审查所用业绩不在此栏计分）</w:t>
            </w:r>
          </w:p>
          <w:p>
            <w:pPr>
              <w:rPr>
                <w:rFonts w:ascii="华文中宋" w:hAnsi="华文中宋" w:eastAsia="华文中宋" w:cs="宋体"/>
                <w:highlight w:val="none"/>
              </w:rPr>
            </w:pPr>
            <w:r>
              <w:rPr>
                <w:rFonts w:hint="eastAsia" w:ascii="宋体" w:hAnsi="宋体" w:cs="宋体"/>
                <w:highlight w:val="none"/>
              </w:rPr>
              <w:t>注：</w:t>
            </w:r>
            <w:r>
              <w:rPr>
                <w:rFonts w:hint="eastAsia" w:ascii="宋体" w:hAnsi="宋体" w:cs="宋体"/>
                <w:highlight w:val="none"/>
                <w:lang w:val="en-US" w:eastAsia="zh-CN"/>
              </w:rPr>
              <w:t>1）</w:t>
            </w:r>
            <w:r>
              <w:rPr>
                <w:rFonts w:hint="eastAsia" w:ascii="宋体" w:hAnsi="宋体" w:cs="宋体"/>
                <w:highlight w:val="none"/>
              </w:rPr>
              <w:t>施工业绩证明文件：需同时提供：①中标通知书或免招标的相关证明；②施工合同；③竣工</w:t>
            </w:r>
            <w:r>
              <w:rPr>
                <w:rFonts w:ascii="宋体" w:hAnsi="宋体" w:cs="宋体"/>
                <w:highlight w:val="none"/>
              </w:rPr>
              <w:t>/交工验收报告（或竣工/交工验收证明），如以上资料不能证明业绩规模的技术指标（指</w:t>
            </w:r>
            <w:r>
              <w:rPr>
                <w:rFonts w:hint="eastAsia" w:ascii="宋体" w:hAnsi="宋体" w:cs="宋体"/>
                <w:highlight w:val="none"/>
              </w:rPr>
              <w:t>设计压力、</w:t>
            </w:r>
            <w:r>
              <w:rPr>
                <w:rFonts w:ascii="宋体" w:hAnsi="宋体" w:cs="宋体"/>
                <w:highlight w:val="none"/>
              </w:rPr>
              <w:t>面积、高度、跨度、管径等）的，须另提供可证明业绩技术指标的其他资料。由总承包单位依法分包的工程业绩，需同时提供总承包单位的中标通知书或免招标的相关证明、经业主和总承包单位确认的分包合同、竣工/交工验收报告（或竣工/交工验收证明），如以上资料不能证明业绩规模的技术指标（指</w:t>
            </w:r>
            <w:r>
              <w:rPr>
                <w:rFonts w:hint="eastAsia" w:ascii="宋体" w:hAnsi="宋体" w:cs="宋体"/>
                <w:highlight w:val="none"/>
                <w:lang w:val="en-US" w:eastAsia="zh-CN"/>
              </w:rPr>
              <w:t>设计压力、</w:t>
            </w:r>
            <w:r>
              <w:rPr>
                <w:rFonts w:hint="default" w:ascii="宋体" w:hAnsi="宋体" w:cs="宋体"/>
                <w:highlight w:val="none"/>
                <w:lang w:val="en-US"/>
              </w:rPr>
              <w:t>面积</w:t>
            </w:r>
            <w:r>
              <w:rPr>
                <w:rFonts w:ascii="宋体" w:hAnsi="宋体" w:cs="宋体"/>
                <w:highlight w:val="none"/>
              </w:rPr>
              <w:t>、高度、跨度、管径等）的，须另提供可证明业绩技术指标的其他资料；完成时间以竣工/交工验收文件为准。验收文件至少具有建设单位、设计、施工和监理单位盖章。</w:t>
            </w:r>
          </w:p>
          <w:p>
            <w:pPr>
              <w:rPr>
                <w:rFonts w:ascii="宋体" w:hAnsi="宋体" w:cs="宋体"/>
                <w:color w:val="auto"/>
                <w:szCs w:val="21"/>
                <w:highlight w:val="none"/>
              </w:rPr>
            </w:pPr>
            <w:r>
              <w:rPr>
                <w:rFonts w:hint="eastAsia" w:ascii="宋体" w:hAnsi="宋体" w:cs="宋体"/>
                <w:highlight w:val="none"/>
              </w:rPr>
              <w:t>2）需提供原件备查。本项最高得1</w:t>
            </w:r>
            <w:r>
              <w:rPr>
                <w:rFonts w:hint="eastAsia" w:ascii="宋体" w:hAnsi="宋体" w:cs="宋体"/>
                <w:highlight w:val="none"/>
                <w:lang w:val="en-US" w:eastAsia="zh-CN"/>
              </w:rPr>
              <w:t>2</w:t>
            </w:r>
            <w:r>
              <w:rPr>
                <w:rFonts w:hint="eastAsia" w:ascii="宋体" w:hAnsi="宋体" w:cs="宋体"/>
                <w:highlight w:val="none"/>
              </w:rPr>
              <w:t>分。</w:t>
            </w:r>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673" w:type="dxa"/>
            <w:tcBorders>
              <w:top w:val="single" w:color="auto" w:sz="4" w:space="0"/>
              <w:left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1.2</w:t>
            </w:r>
          </w:p>
        </w:tc>
        <w:tc>
          <w:tcPr>
            <w:tcW w:w="1439" w:type="dxa"/>
            <w:gridSpan w:val="2"/>
            <w:tcBorders>
              <w:top w:val="single" w:color="auto" w:sz="4" w:space="0"/>
              <w:left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highlight w:val="none"/>
              </w:rPr>
              <w:t>企业信用</w:t>
            </w:r>
          </w:p>
        </w:tc>
        <w:tc>
          <w:tcPr>
            <w:tcW w:w="734"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5</w:t>
            </w:r>
          </w:p>
        </w:tc>
        <w:tc>
          <w:tcPr>
            <w:tcW w:w="9482" w:type="dxa"/>
            <w:tcBorders>
              <w:top w:val="single" w:color="auto" w:sz="4" w:space="0"/>
              <w:left w:val="single" w:color="auto" w:sz="4" w:space="0"/>
              <w:right w:val="single" w:color="auto" w:sz="4" w:space="0"/>
            </w:tcBorders>
            <w:vAlign w:val="center"/>
          </w:tcPr>
          <w:p>
            <w:pPr>
              <w:widowControl/>
              <w:numPr>
                <w:ilvl w:val="0"/>
                <w:numId w:val="5"/>
              </w:numPr>
              <w:jc w:val="left"/>
              <w:rPr>
                <w:rFonts w:ascii="宋体" w:hAnsi="宋体" w:cs="宋体"/>
                <w:color w:val="auto"/>
                <w:szCs w:val="21"/>
                <w:highlight w:val="none"/>
              </w:rPr>
            </w:pP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24</w:t>
            </w:r>
            <w:r>
              <w:rPr>
                <w:rFonts w:hint="eastAsia" w:ascii="宋体" w:hAnsi="宋体" w:cs="宋体"/>
                <w:color w:val="auto"/>
                <w:szCs w:val="21"/>
                <w:highlight w:val="none"/>
              </w:rPr>
              <w:t>年连续三年在信用中国网站有诚实守信记录的，得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pPr>
              <w:widowControl/>
              <w:numPr>
                <w:ilvl w:val="0"/>
                <w:numId w:val="5"/>
              </w:numPr>
              <w:jc w:val="left"/>
              <w:rPr>
                <w:rFonts w:ascii="宋体" w:hAnsi="宋体" w:cs="宋体"/>
                <w:color w:val="auto"/>
                <w:szCs w:val="21"/>
                <w:highlight w:val="none"/>
              </w:rPr>
            </w:pP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24</w:t>
            </w:r>
            <w:r>
              <w:rPr>
                <w:rFonts w:hint="eastAsia" w:ascii="宋体" w:hAnsi="宋体" w:cs="宋体"/>
                <w:color w:val="auto"/>
                <w:szCs w:val="21"/>
                <w:highlight w:val="none"/>
              </w:rPr>
              <w:t>年任两年在信用中国网站有诚实守信记录的，得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p>
          <w:p>
            <w:pPr>
              <w:widowControl/>
              <w:numPr>
                <w:ilvl w:val="0"/>
                <w:numId w:val="5"/>
              </w:numPr>
              <w:jc w:val="left"/>
              <w:rPr>
                <w:rFonts w:ascii="宋体" w:hAnsi="宋体" w:cs="宋体"/>
                <w:color w:val="auto"/>
                <w:szCs w:val="21"/>
                <w:highlight w:val="none"/>
              </w:rPr>
            </w:pP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24</w:t>
            </w:r>
            <w:r>
              <w:rPr>
                <w:rFonts w:hint="eastAsia" w:ascii="宋体" w:hAnsi="宋体" w:cs="宋体"/>
                <w:color w:val="auto"/>
                <w:szCs w:val="21"/>
                <w:highlight w:val="none"/>
              </w:rPr>
              <w:t>年任一年在信用中国网站有诚实守信记录的，得1分</w:t>
            </w:r>
            <w:r>
              <w:rPr>
                <w:rFonts w:hint="eastAsia" w:ascii="宋体" w:hAnsi="宋体" w:cs="宋体"/>
                <w:color w:val="auto"/>
                <w:szCs w:val="21"/>
                <w:highlight w:val="none"/>
                <w:lang w:val="en-US" w:eastAsia="zh-CN"/>
              </w:rPr>
              <w:t>。</w:t>
            </w:r>
          </w:p>
          <w:p>
            <w:pPr>
              <w:rPr>
                <w:rFonts w:hint="eastAsia" w:ascii="宋体" w:hAnsi="宋体" w:eastAsia="宋体" w:cs="宋体"/>
                <w:color w:val="auto"/>
                <w:highlight w:val="none"/>
                <w:lang w:eastAsia="zh-CN"/>
              </w:rPr>
            </w:pPr>
            <w:r>
              <w:rPr>
                <w:rFonts w:hint="eastAsia" w:ascii="宋体" w:hAnsi="宋体" w:cs="宋体"/>
                <w:color w:val="auto"/>
                <w:szCs w:val="21"/>
                <w:highlight w:val="none"/>
              </w:rPr>
              <w:t>须提供信用中国网站截图</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不提供不得分。</w:t>
            </w:r>
            <w:r>
              <w:rPr>
                <w:rFonts w:hint="eastAsia" w:ascii="宋体" w:hAnsi="宋体" w:cs="宋体"/>
                <w:color w:val="auto"/>
                <w:szCs w:val="21"/>
                <w:highlight w:val="none"/>
              </w:rPr>
              <w:t>（网站https://www.creditchina.gov.cn/）</w:t>
            </w:r>
            <w:r>
              <w:rPr>
                <w:rFonts w:hint="eastAsia" w:ascii="宋体" w:hAnsi="宋体" w:cs="宋体"/>
                <w:color w:val="auto"/>
                <w:szCs w:val="21"/>
                <w:highlight w:val="none"/>
                <w:lang w:eastAsia="zh-CN"/>
              </w:rPr>
              <w:t>。</w:t>
            </w:r>
          </w:p>
        </w:tc>
        <w:tc>
          <w:tcPr>
            <w:tcW w:w="850" w:type="dxa"/>
            <w:tcBorders>
              <w:top w:val="single" w:color="auto" w:sz="4" w:space="0"/>
              <w:left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73" w:type="dxa"/>
            <w:vMerge w:val="restart"/>
            <w:tcBorders>
              <w:top w:val="single" w:color="auto" w:sz="4" w:space="0"/>
              <w:left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1.3</w:t>
            </w:r>
          </w:p>
        </w:tc>
        <w:tc>
          <w:tcPr>
            <w:tcW w:w="1439" w:type="dxa"/>
            <w:gridSpan w:val="2"/>
            <w:vMerge w:val="restart"/>
            <w:tcBorders>
              <w:top w:val="single" w:color="auto" w:sz="4" w:space="0"/>
              <w:left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t>项目管理机构能力</w:t>
            </w:r>
          </w:p>
        </w:tc>
        <w:tc>
          <w:tcPr>
            <w:tcW w:w="734" w:type="dxa"/>
            <w:tcBorders>
              <w:top w:val="single" w:color="auto" w:sz="4" w:space="0"/>
              <w:left w:val="single" w:color="auto" w:sz="4" w:space="0"/>
              <w:right w:val="single" w:color="auto" w:sz="4" w:space="0"/>
            </w:tcBorders>
            <w:vAlign w:val="center"/>
          </w:tcPr>
          <w:p>
            <w:pPr>
              <w:jc w:val="center"/>
              <w:rPr>
                <w:rFonts w:hint="default" w:ascii="宋体" w:hAnsi="宋体" w:cs="宋体"/>
                <w:color w:val="auto"/>
                <w:szCs w:val="21"/>
                <w:highlight w:val="none"/>
                <w:lang w:val="en-US" w:eastAsia="zh-CN"/>
              </w:rPr>
            </w:pPr>
            <w:r>
              <w:rPr>
                <w:rFonts w:hint="eastAsia" w:ascii="宋体" w:hAnsi="宋体" w:cs="宋体"/>
                <w:szCs w:val="21"/>
                <w:highlight w:val="none"/>
                <w:lang w:val="en-US" w:eastAsia="zh-CN"/>
              </w:rPr>
              <w:t>10</w:t>
            </w:r>
          </w:p>
        </w:tc>
        <w:tc>
          <w:tcPr>
            <w:tcW w:w="9482" w:type="dxa"/>
            <w:tcBorders>
              <w:top w:val="single" w:color="auto" w:sz="4" w:space="0"/>
              <w:left w:val="single" w:color="auto" w:sz="4" w:space="0"/>
              <w:right w:val="single" w:color="auto" w:sz="4" w:space="0"/>
            </w:tcBorders>
            <w:vAlign w:val="center"/>
          </w:tcPr>
          <w:p>
            <w:pPr>
              <w:rPr>
                <w:rFonts w:ascii="宋体" w:hAnsi="宋体" w:cs="宋体"/>
                <w:highlight w:val="none"/>
              </w:rPr>
            </w:pPr>
            <w:r>
              <w:rPr>
                <w:rFonts w:hint="eastAsia" w:ascii="宋体" w:hAnsi="宋体" w:cs="宋体"/>
                <w:highlight w:val="none"/>
              </w:rPr>
              <w:t>1. 技术负责人具有高级工程师或以上职称，同时职称证书上的专业为城市燃气类专业或石油化工类或机电类专业的，得</w:t>
            </w:r>
            <w:r>
              <w:rPr>
                <w:rFonts w:hint="eastAsia" w:ascii="宋体" w:hAnsi="宋体" w:cs="宋体"/>
                <w:highlight w:val="none"/>
                <w:lang w:val="en-US" w:eastAsia="zh-CN"/>
              </w:rPr>
              <w:t>10</w:t>
            </w:r>
            <w:r>
              <w:rPr>
                <w:rFonts w:hint="eastAsia" w:ascii="宋体" w:hAnsi="宋体" w:cs="宋体"/>
                <w:highlight w:val="none"/>
              </w:rPr>
              <w:t xml:space="preserve">分；  </w:t>
            </w:r>
          </w:p>
          <w:p>
            <w:pPr>
              <w:rPr>
                <w:rFonts w:hint="eastAsia" w:ascii="宋体" w:hAnsi="宋体" w:eastAsia="宋体" w:cs="宋体"/>
                <w:highlight w:val="none"/>
                <w:lang w:eastAsia="zh-CN"/>
              </w:rPr>
            </w:pPr>
            <w:r>
              <w:rPr>
                <w:rFonts w:hint="eastAsia" w:ascii="宋体" w:hAnsi="宋体" w:cs="宋体"/>
                <w:highlight w:val="none"/>
              </w:rPr>
              <w:t>2. 技术负责人具有中级工程师职称，同时职称证书上的专业为城市燃气类专业或石油化工类或机电类专业的，得</w:t>
            </w:r>
            <w:r>
              <w:rPr>
                <w:rFonts w:hint="eastAsia" w:ascii="宋体" w:hAnsi="宋体" w:cs="宋体"/>
                <w:highlight w:val="none"/>
                <w:lang w:val="en-US" w:eastAsia="zh-CN"/>
              </w:rPr>
              <w:t>6</w:t>
            </w:r>
            <w:r>
              <w:rPr>
                <w:rFonts w:hint="eastAsia" w:ascii="宋体" w:hAnsi="宋体" w:cs="宋体"/>
                <w:highlight w:val="none"/>
              </w:rPr>
              <w:t>分</w:t>
            </w:r>
            <w:r>
              <w:rPr>
                <w:rFonts w:hint="eastAsia" w:ascii="宋体" w:hAnsi="宋体" w:cs="宋体"/>
                <w:highlight w:val="none"/>
                <w:lang w:eastAsia="zh-CN"/>
              </w:rPr>
              <w:t>。</w:t>
            </w:r>
          </w:p>
          <w:p>
            <w:pPr>
              <w:rPr>
                <w:rFonts w:hint="eastAsia" w:ascii="宋体" w:hAnsi="宋体" w:cs="宋体"/>
                <w:color w:val="auto"/>
                <w:szCs w:val="21"/>
                <w:highlight w:val="none"/>
              </w:rPr>
            </w:pPr>
            <w:r>
              <w:rPr>
                <w:rFonts w:hint="eastAsia" w:ascii="宋体" w:hAnsi="宋体" w:cs="宋体"/>
                <w:szCs w:val="21"/>
                <w:highlight w:val="none"/>
              </w:rPr>
              <w:t>需提供相关证件原件扫描件及近1个月（即</w:t>
            </w:r>
            <w:r>
              <w:rPr>
                <w:rFonts w:hint="eastAsia" w:ascii="宋体" w:hAnsi="宋体" w:cs="宋体"/>
                <w:szCs w:val="21"/>
                <w:highlight w:val="none"/>
                <w:lang w:eastAsia="zh-CN"/>
              </w:rPr>
              <w:t>2025</w:t>
            </w:r>
            <w:r>
              <w:rPr>
                <w:rFonts w:hint="eastAsia" w:ascii="宋体" w:hAnsi="宋体" w:cs="宋体"/>
                <w:szCs w:val="21"/>
                <w:highlight w:val="none"/>
              </w:rPr>
              <w:t>年</w:t>
            </w:r>
            <w:r>
              <w:rPr>
                <w:rFonts w:hint="eastAsia" w:ascii="宋体" w:hAnsi="宋体" w:cs="宋体"/>
                <w:szCs w:val="21"/>
                <w:highlight w:val="none"/>
                <w:lang w:val="en-US" w:eastAsia="zh-CN"/>
              </w:rPr>
              <w:t>5月</w:t>
            </w:r>
            <w:r>
              <w:rPr>
                <w:rFonts w:hint="eastAsia" w:ascii="宋体" w:hAnsi="宋体" w:cs="宋体"/>
                <w:szCs w:val="21"/>
                <w:highlight w:val="none"/>
              </w:rPr>
              <w:t>）在投标人单位（不含投标人的子公司或母公司等）参保的社保缴纳记录证明。不提供或提供不齐全不得分。</w:t>
            </w:r>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73" w:type="dxa"/>
            <w:vMerge w:val="continue"/>
            <w:tcBorders>
              <w:left w:val="single" w:color="auto" w:sz="4" w:space="0"/>
              <w:right w:val="single" w:color="auto" w:sz="4" w:space="0"/>
            </w:tcBorders>
            <w:vAlign w:val="center"/>
          </w:tcPr>
          <w:p>
            <w:pPr>
              <w:jc w:val="center"/>
              <w:rPr>
                <w:rFonts w:ascii="宋体" w:hAnsi="宋体" w:cs="宋体"/>
                <w:color w:val="auto"/>
                <w:szCs w:val="21"/>
                <w:highlight w:val="none"/>
              </w:rPr>
            </w:pPr>
          </w:p>
        </w:tc>
        <w:tc>
          <w:tcPr>
            <w:tcW w:w="1439" w:type="dxa"/>
            <w:gridSpan w:val="2"/>
            <w:vMerge w:val="continue"/>
            <w:tcBorders>
              <w:left w:val="single" w:color="auto" w:sz="4" w:space="0"/>
              <w:right w:val="single" w:color="auto" w:sz="4" w:space="0"/>
            </w:tcBorders>
            <w:vAlign w:val="center"/>
          </w:tcPr>
          <w:p>
            <w:pPr>
              <w:jc w:val="center"/>
              <w:rPr>
                <w:rFonts w:ascii="宋体" w:hAnsi="宋体" w:cs="宋体"/>
                <w:color w:val="auto"/>
                <w:szCs w:val="21"/>
                <w:highlight w:val="none"/>
              </w:rPr>
            </w:pP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9482" w:type="dxa"/>
            <w:tcBorders>
              <w:top w:val="single" w:color="auto" w:sz="4" w:space="0"/>
              <w:left w:val="single" w:color="auto" w:sz="4" w:space="0"/>
              <w:bottom w:val="single" w:color="auto" w:sz="4" w:space="0"/>
              <w:right w:val="single" w:color="auto" w:sz="4" w:space="0"/>
            </w:tcBorders>
            <w:vAlign w:val="center"/>
          </w:tcPr>
          <w:p>
            <w:pPr>
              <w:numPr>
                <w:ilvl w:val="-1"/>
                <w:numId w:val="0"/>
              </w:numPr>
              <w:rPr>
                <w:rFonts w:ascii="宋体" w:hAnsi="宋体" w:cs="宋体"/>
                <w:color w:val="auto"/>
                <w:highlight w:val="none"/>
              </w:rPr>
            </w:pPr>
            <w:r>
              <w:rPr>
                <w:rFonts w:hint="eastAsia" w:ascii="宋体" w:hAnsi="宋体" w:cs="宋体"/>
                <w:color w:val="auto"/>
                <w:highlight w:val="none"/>
              </w:rPr>
              <w:t>投入本项目具有合格资质的施工员</w:t>
            </w:r>
            <w:r>
              <w:rPr>
                <w:rFonts w:hint="eastAsia" w:ascii="宋体" w:hAnsi="宋体" w:cs="宋体"/>
                <w:color w:val="auto"/>
                <w:highlight w:val="none"/>
                <w:lang w:val="en-US" w:eastAsia="zh-CN"/>
              </w:rPr>
              <w:t>3名及以上的</w:t>
            </w:r>
            <w:r>
              <w:rPr>
                <w:rFonts w:hint="eastAsia" w:ascii="宋体" w:hAnsi="宋体" w:cs="宋体"/>
                <w:color w:val="auto"/>
                <w:highlight w:val="none"/>
              </w:rPr>
              <w:t>，得5分</w:t>
            </w:r>
            <w:r>
              <w:rPr>
                <w:rFonts w:hint="eastAsia" w:ascii="宋体" w:hAnsi="宋体" w:cs="宋体"/>
                <w:color w:val="auto"/>
                <w:highlight w:val="none"/>
                <w:lang w:eastAsia="zh-CN"/>
              </w:rPr>
              <w:t>。</w:t>
            </w:r>
          </w:p>
          <w:p>
            <w:pPr>
              <w:rPr>
                <w:rFonts w:ascii="宋体" w:hAnsi="宋体" w:cs="宋体"/>
                <w:color w:val="auto"/>
                <w:szCs w:val="21"/>
                <w:highlight w:val="none"/>
              </w:rPr>
            </w:pPr>
            <w:r>
              <w:rPr>
                <w:rFonts w:hint="eastAsia" w:ascii="宋体" w:hAnsi="宋体" w:cs="宋体"/>
                <w:color w:val="auto"/>
                <w:szCs w:val="21"/>
                <w:highlight w:val="none"/>
              </w:rPr>
              <w:t>需提供相关证件原件扫描件及近1个月（即</w:t>
            </w:r>
            <w:r>
              <w:rPr>
                <w:rFonts w:hint="eastAsia" w:ascii="宋体" w:hAnsi="宋体" w:cs="宋体"/>
                <w:color w:val="auto"/>
                <w:szCs w:val="21"/>
                <w:highlight w:val="none"/>
                <w:lang w:eastAsia="zh-CN"/>
              </w:rPr>
              <w:t>2025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5月</w:t>
            </w:r>
            <w:r>
              <w:rPr>
                <w:rFonts w:hint="eastAsia" w:ascii="宋体" w:hAnsi="宋体" w:cs="宋体"/>
                <w:color w:val="auto"/>
                <w:szCs w:val="21"/>
                <w:highlight w:val="none"/>
              </w:rPr>
              <w:t>）在投标人单位（不含投标人的子公司或母公司等）参保的社保缴纳记录证明。不提供或提供不齐全不得分。</w:t>
            </w:r>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73" w:type="dxa"/>
            <w:vMerge w:val="continue"/>
            <w:tcBorders>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c>
          <w:tcPr>
            <w:tcW w:w="1439" w:type="dxa"/>
            <w:gridSpan w:val="2"/>
            <w:vMerge w:val="continue"/>
            <w:tcBorders>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3</w:t>
            </w:r>
          </w:p>
        </w:tc>
        <w:tc>
          <w:tcPr>
            <w:tcW w:w="948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r>
              <w:rPr>
                <w:rFonts w:hint="eastAsia" w:ascii="宋体" w:hAnsi="宋体" w:cs="宋体"/>
                <w:color w:val="auto"/>
                <w:highlight w:val="none"/>
              </w:rPr>
              <w:t>投入本项目具有合格资质的安全员2名及以上的，得</w:t>
            </w:r>
            <w:r>
              <w:rPr>
                <w:rFonts w:hint="eastAsia" w:ascii="宋体" w:hAnsi="宋体" w:cs="宋体"/>
                <w:color w:val="auto"/>
                <w:highlight w:val="none"/>
                <w:lang w:val="en-US" w:eastAsia="zh-CN"/>
              </w:rPr>
              <w:t>3</w:t>
            </w:r>
            <w:r>
              <w:rPr>
                <w:rFonts w:hint="eastAsia" w:ascii="宋体" w:hAnsi="宋体" w:cs="宋体"/>
                <w:color w:val="auto"/>
                <w:highlight w:val="none"/>
              </w:rPr>
              <w:t>分。</w:t>
            </w:r>
          </w:p>
          <w:p>
            <w:pPr>
              <w:rPr>
                <w:rFonts w:ascii="宋体" w:hAnsi="宋体" w:cs="宋体"/>
                <w:color w:val="auto"/>
                <w:szCs w:val="21"/>
                <w:highlight w:val="none"/>
              </w:rPr>
            </w:pPr>
            <w:r>
              <w:rPr>
                <w:rFonts w:hint="eastAsia" w:ascii="宋体" w:hAnsi="宋体" w:cs="宋体"/>
                <w:color w:val="auto"/>
                <w:szCs w:val="21"/>
                <w:highlight w:val="none"/>
              </w:rPr>
              <w:t>需提供相关证件原件扫描件及近1个月（即</w:t>
            </w:r>
            <w:r>
              <w:rPr>
                <w:rFonts w:hint="eastAsia" w:ascii="宋体" w:hAnsi="宋体" w:cs="宋体"/>
                <w:color w:val="auto"/>
                <w:szCs w:val="21"/>
                <w:highlight w:val="none"/>
                <w:lang w:eastAsia="zh-CN"/>
              </w:rPr>
              <w:t>2025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5月</w:t>
            </w:r>
            <w:r>
              <w:rPr>
                <w:rFonts w:hint="eastAsia" w:ascii="宋体" w:hAnsi="宋体" w:cs="宋体"/>
                <w:color w:val="auto"/>
                <w:szCs w:val="21"/>
                <w:highlight w:val="none"/>
              </w:rPr>
              <w:t>）在投标人单位（不含投标人的子公司或母公司等）参保的社保缴纳记录证明。不提供或提供不齐全不得分。</w:t>
            </w:r>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1.4</w:t>
            </w:r>
          </w:p>
        </w:tc>
        <w:tc>
          <w:tcPr>
            <w:tcW w:w="143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机械设备力量</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94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s="宋体"/>
                <w:color w:val="auto"/>
                <w:szCs w:val="21"/>
                <w:highlight w:val="none"/>
              </w:rPr>
            </w:pPr>
            <w:r>
              <w:rPr>
                <w:rFonts w:hint="eastAsia" w:ascii="宋体" w:hAnsi="宋体" w:cs="宋体"/>
                <w:color w:val="auto"/>
                <w:szCs w:val="21"/>
                <w:highlight w:val="none"/>
              </w:rPr>
              <w:t>具有符合本工程施工需要的</w:t>
            </w:r>
            <w:r>
              <w:rPr>
                <w:rFonts w:hint="eastAsia" w:ascii="宋体" w:hAnsi="宋体" w:cs="宋体"/>
                <w:color w:val="auto"/>
                <w:szCs w:val="21"/>
                <w:highlight w:val="none"/>
                <w:lang w:val="en-US" w:eastAsia="zh-CN"/>
              </w:rPr>
              <w:t>主要</w:t>
            </w:r>
            <w:r>
              <w:rPr>
                <w:rFonts w:hint="eastAsia" w:ascii="宋体" w:hAnsi="宋体" w:cs="宋体"/>
                <w:color w:val="auto"/>
                <w:szCs w:val="21"/>
                <w:highlight w:val="none"/>
              </w:rPr>
              <w:t>机械设备，包括</w:t>
            </w:r>
            <w:r>
              <w:rPr>
                <w:rFonts w:hint="eastAsia" w:ascii="宋体" w:hAnsi="宋体" w:cs="宋体"/>
                <w:color w:val="auto"/>
                <w:szCs w:val="21"/>
                <w:highlight w:val="none"/>
                <w:lang w:val="en-US" w:eastAsia="zh-CN"/>
              </w:rPr>
              <w:t>半</w:t>
            </w:r>
            <w:r>
              <w:rPr>
                <w:rFonts w:hint="eastAsia" w:ascii="宋体" w:hAnsi="宋体" w:cs="宋体"/>
                <w:color w:val="auto"/>
                <w:szCs w:val="21"/>
                <w:highlight w:val="none"/>
              </w:rPr>
              <w:t>自动电焊机</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套、</w:t>
            </w:r>
            <w:r>
              <w:rPr>
                <w:rFonts w:hint="eastAsia" w:ascii="宋体" w:hAnsi="宋体" w:cs="宋体"/>
                <w:color w:val="auto"/>
                <w:szCs w:val="21"/>
                <w:highlight w:val="none"/>
                <w:lang w:val="en-US" w:eastAsia="zh-CN"/>
              </w:rPr>
              <w:t>50</w:t>
            </w:r>
            <w:r>
              <w:rPr>
                <w:rFonts w:hint="eastAsia" w:ascii="宋体" w:hAnsi="宋体" w:cs="宋体"/>
                <w:color w:val="auto"/>
                <w:szCs w:val="21"/>
                <w:highlight w:val="none"/>
              </w:rPr>
              <w:t>KW或以上发电机1套、垂直冷弯弯管机（口径Φ500或以上）1套；</w:t>
            </w:r>
          </w:p>
          <w:p>
            <w:pPr>
              <w:pStyle w:val="78"/>
              <w:numPr>
                <w:ilvl w:val="0"/>
                <w:numId w:val="6"/>
              </w:numPr>
              <w:ind w:firstLine="0" w:firstLineChars="0"/>
              <w:rPr>
                <w:rFonts w:ascii="宋体" w:hAnsi="宋体" w:cs="宋体"/>
                <w:color w:val="auto"/>
                <w:szCs w:val="21"/>
                <w:highlight w:val="none"/>
              </w:rPr>
            </w:pPr>
            <w:r>
              <w:rPr>
                <w:rFonts w:hint="eastAsia" w:ascii="宋体" w:hAnsi="宋体" w:cs="宋体"/>
                <w:color w:val="auto"/>
                <w:szCs w:val="21"/>
                <w:highlight w:val="none"/>
              </w:rPr>
              <w:t>全部设备为自有的（提供设备发票），得5分；</w:t>
            </w:r>
          </w:p>
          <w:p>
            <w:pPr>
              <w:pStyle w:val="78"/>
              <w:numPr>
                <w:ilvl w:val="0"/>
                <w:numId w:val="6"/>
              </w:numPr>
              <w:ind w:firstLine="0" w:firstLineChars="0"/>
              <w:rPr>
                <w:rFonts w:ascii="宋体" w:hAnsi="宋体" w:cs="宋体"/>
                <w:color w:val="auto"/>
                <w:szCs w:val="21"/>
                <w:highlight w:val="none"/>
              </w:rPr>
            </w:pPr>
            <w:r>
              <w:rPr>
                <w:rFonts w:hint="eastAsia" w:ascii="宋体" w:hAnsi="宋体" w:cs="宋体"/>
                <w:color w:val="auto"/>
                <w:szCs w:val="21"/>
                <w:highlight w:val="none"/>
              </w:rPr>
              <w:t>如机械设备为部分自有的（提供设备发票），部分为租赁且有租赁合同的，得4分；</w:t>
            </w:r>
          </w:p>
          <w:p>
            <w:pPr>
              <w:pStyle w:val="78"/>
              <w:numPr>
                <w:ilvl w:val="0"/>
                <w:numId w:val="6"/>
              </w:numPr>
              <w:ind w:firstLine="0" w:firstLineChars="0"/>
              <w:rPr>
                <w:rFonts w:ascii="宋体" w:hAnsi="宋体" w:cs="宋体"/>
                <w:color w:val="auto"/>
                <w:szCs w:val="21"/>
                <w:highlight w:val="none"/>
              </w:rPr>
            </w:pPr>
            <w:r>
              <w:rPr>
                <w:rFonts w:hint="eastAsia" w:ascii="宋体" w:hAnsi="宋体" w:cs="宋体"/>
                <w:color w:val="auto"/>
                <w:szCs w:val="21"/>
                <w:highlight w:val="none"/>
              </w:rPr>
              <w:t>全部设备为租赁的或缺少以上任一套设备(即非自有又无租赁合同的)的此项不得分。</w:t>
            </w:r>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
                <w:color w:val="auto"/>
                <w:szCs w:val="21"/>
                <w:highlight w:val="none"/>
              </w:rPr>
              <w:t>2</w:t>
            </w:r>
          </w:p>
        </w:tc>
        <w:tc>
          <w:tcPr>
            <w:tcW w:w="143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
                <w:color w:val="auto"/>
                <w:szCs w:val="21"/>
                <w:highlight w:val="none"/>
              </w:rPr>
              <w:t>施工组织设计</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
                <w:color w:val="auto"/>
                <w:szCs w:val="21"/>
                <w:highlight w:val="none"/>
              </w:rPr>
              <w:t>60</w:t>
            </w:r>
          </w:p>
        </w:tc>
        <w:tc>
          <w:tcPr>
            <w:tcW w:w="948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Cs w:val="21"/>
                <w:highlight w:val="none"/>
              </w:rPr>
            </w:pPr>
            <w:r>
              <w:rPr>
                <w:rFonts w:hint="eastAsia" w:ascii="宋体" w:hAnsi="宋体" w:cs="宋体"/>
                <w:color w:val="auto"/>
                <w:szCs w:val="21"/>
                <w:highlight w:val="none"/>
              </w:rPr>
              <w:t>2.1</w:t>
            </w:r>
          </w:p>
        </w:tc>
        <w:tc>
          <w:tcPr>
            <w:tcW w:w="355" w:type="dxa"/>
            <w:vMerge w:val="restart"/>
            <w:tcBorders>
              <w:top w:val="single" w:color="auto" w:sz="4" w:space="0"/>
              <w:left w:val="single" w:color="auto" w:sz="4" w:space="0"/>
              <w:right w:val="single" w:color="auto" w:sz="4" w:space="0"/>
            </w:tcBorders>
            <w:vAlign w:val="center"/>
          </w:tcPr>
          <w:p>
            <w:pPr>
              <w:jc w:val="center"/>
              <w:rPr>
                <w:rFonts w:ascii="宋体" w:hAnsi="宋体" w:cs="宋体"/>
                <w:color w:val="auto"/>
                <w:szCs w:val="21"/>
                <w:highlight w:val="none"/>
              </w:rPr>
            </w:pPr>
          </w:p>
          <w:p>
            <w:pPr>
              <w:jc w:val="center"/>
              <w:rPr>
                <w:rFonts w:ascii="宋体" w:hAnsi="宋体" w:cs="宋体"/>
                <w:color w:val="auto"/>
                <w:szCs w:val="21"/>
                <w:highlight w:val="none"/>
              </w:rPr>
            </w:pPr>
          </w:p>
          <w:p>
            <w:pPr>
              <w:jc w:val="center"/>
              <w:rPr>
                <w:rFonts w:ascii="宋体" w:hAnsi="宋体" w:cs="宋体"/>
                <w:color w:val="auto"/>
                <w:szCs w:val="21"/>
                <w:highlight w:val="none"/>
              </w:rPr>
            </w:pPr>
          </w:p>
          <w:p>
            <w:pPr>
              <w:jc w:val="center"/>
              <w:rPr>
                <w:rFonts w:ascii="宋体" w:hAnsi="宋体" w:cs="宋体"/>
                <w:color w:val="auto"/>
                <w:szCs w:val="21"/>
                <w:highlight w:val="none"/>
              </w:rPr>
            </w:pPr>
          </w:p>
          <w:p>
            <w:pPr>
              <w:jc w:val="center"/>
              <w:rPr>
                <w:rFonts w:ascii="宋体" w:hAnsi="宋体" w:cs="宋体"/>
                <w:color w:val="auto"/>
                <w:szCs w:val="21"/>
                <w:highlight w:val="none"/>
              </w:rPr>
            </w:pPr>
            <w:bookmarkStart w:id="164" w:name="OLE_LINK13"/>
          </w:p>
          <w:p>
            <w:pPr>
              <w:jc w:val="center"/>
              <w:rPr>
                <w:rFonts w:ascii="宋体" w:hAnsi="宋体" w:cs="宋体"/>
                <w:color w:val="auto"/>
                <w:szCs w:val="21"/>
                <w:highlight w:val="none"/>
              </w:rPr>
            </w:pPr>
            <w:r>
              <w:rPr>
                <w:rFonts w:hint="eastAsia" w:ascii="宋体" w:hAnsi="宋体" w:cs="宋体"/>
                <w:color w:val="auto"/>
                <w:szCs w:val="21"/>
                <w:highlight w:val="none"/>
              </w:rPr>
              <w:t>施工组织方案</w:t>
            </w:r>
          </w:p>
          <w:bookmarkEnd w:id="164"/>
          <w:p>
            <w:pPr>
              <w:jc w:val="center"/>
              <w:rPr>
                <w:rFonts w:ascii="宋体" w:hAnsi="宋体" w:cs="宋体"/>
                <w:color w:val="auto"/>
                <w:szCs w:val="21"/>
                <w:highlight w:val="none"/>
              </w:rPr>
            </w:pPr>
          </w:p>
          <w:p>
            <w:pPr>
              <w:spacing w:line="320" w:lineRule="exact"/>
              <w:jc w:val="center"/>
              <w:rPr>
                <w:rFonts w:ascii="宋体" w:hAnsi="宋体" w:cs="宋体"/>
                <w:color w:val="auto"/>
                <w:kern w:val="0"/>
                <w:szCs w:val="21"/>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项目管理组织与协调</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b/>
                <w:color w:val="auto"/>
                <w:szCs w:val="21"/>
                <w:highlight w:val="none"/>
                <w:lang w:val="en-US" w:eastAsia="zh-CN"/>
              </w:rPr>
            </w:pPr>
            <w:r>
              <w:rPr>
                <w:rFonts w:hint="eastAsia" w:ascii="宋体" w:hAnsi="宋体" w:cs="宋体"/>
                <w:color w:val="auto"/>
                <w:szCs w:val="21"/>
                <w:highlight w:val="none"/>
                <w:lang w:val="en-US" w:eastAsia="zh-CN"/>
              </w:rPr>
              <w:t>20</w:t>
            </w:r>
          </w:p>
        </w:tc>
        <w:tc>
          <w:tcPr>
            <w:tcW w:w="948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编制项目管理组织和协调方案，内容完整、详细，并针对重点、难点分析，提出的处理措施可行。</w:t>
            </w:r>
          </w:p>
          <w:p>
            <w:pPr>
              <w:rPr>
                <w:rFonts w:ascii="宋体" w:hAnsi="宋体" w:cs="宋体"/>
                <w:color w:val="auto"/>
                <w:szCs w:val="21"/>
                <w:highlight w:val="none"/>
              </w:rPr>
            </w:pPr>
            <w:r>
              <w:rPr>
                <w:rFonts w:hint="eastAsia" w:ascii="宋体" w:hAnsi="宋体" w:cs="宋体"/>
                <w:color w:val="auto"/>
                <w:szCs w:val="21"/>
                <w:highlight w:val="none"/>
              </w:rPr>
              <w:t>对投标人的方案进行从优到差排序，</w:t>
            </w:r>
            <w:r>
              <w:rPr>
                <w:rFonts w:hint="eastAsia" w:ascii="宋体" w:hAnsi="宋体" w:cs="宋体"/>
                <w:color w:val="auto"/>
                <w:szCs w:val="21"/>
                <w:highlight w:val="none"/>
                <w:lang w:val="en-US" w:eastAsia="zh-CN"/>
              </w:rPr>
              <w:t>优</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20-16</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良</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15-11</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10-6</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差</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5-0</w:t>
            </w:r>
            <w:r>
              <w:rPr>
                <w:rFonts w:hint="eastAsia" w:ascii="宋体" w:hAnsi="宋体" w:cs="宋体"/>
                <w:color w:val="auto"/>
                <w:szCs w:val="21"/>
                <w:highlight w:val="none"/>
              </w:rPr>
              <w:t>分。</w:t>
            </w:r>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2.2</w:t>
            </w:r>
          </w:p>
        </w:tc>
        <w:tc>
          <w:tcPr>
            <w:tcW w:w="355" w:type="dxa"/>
            <w:vMerge w:val="continue"/>
            <w:tcBorders>
              <w:left w:val="single" w:color="auto" w:sz="4" w:space="0"/>
              <w:right w:val="single" w:color="auto" w:sz="4" w:space="0"/>
            </w:tcBorders>
            <w:vAlign w:val="center"/>
          </w:tcPr>
          <w:p>
            <w:pPr>
              <w:jc w:val="center"/>
              <w:rPr>
                <w:rFonts w:ascii="宋体" w:hAnsi="宋体" w:cs="宋体"/>
                <w:color w:val="auto"/>
                <w:szCs w:val="21"/>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质量保证</w:t>
            </w:r>
          </w:p>
          <w:p>
            <w:pPr>
              <w:jc w:val="center"/>
              <w:rPr>
                <w:rFonts w:ascii="宋体" w:hAnsi="宋体" w:cs="宋体"/>
                <w:color w:val="auto"/>
                <w:szCs w:val="21"/>
                <w:highlight w:val="none"/>
              </w:rPr>
            </w:pPr>
            <w:r>
              <w:rPr>
                <w:rFonts w:hint="eastAsia" w:ascii="宋体" w:hAnsi="宋体" w:cs="宋体"/>
                <w:color w:val="auto"/>
                <w:szCs w:val="21"/>
                <w:highlight w:val="none"/>
              </w:rPr>
              <w:t>措施</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12</w:t>
            </w:r>
          </w:p>
        </w:tc>
        <w:tc>
          <w:tcPr>
            <w:tcW w:w="9482"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color w:val="auto"/>
                <w:highlight w:val="none"/>
              </w:rPr>
            </w:pPr>
            <w:r>
              <w:rPr>
                <w:rFonts w:hint="eastAsia" w:ascii="宋体" w:hAnsi="宋体" w:cs="宋体"/>
                <w:color w:val="auto"/>
                <w:highlight w:val="none"/>
              </w:rPr>
              <w:t>编制工程质量保证措施方案，工程质量的检测手段与保证措施明确、具体、先进、各项措施落实可行，针对性强。</w:t>
            </w:r>
          </w:p>
          <w:p>
            <w:pPr>
              <w:rPr>
                <w:rFonts w:ascii="宋体" w:hAnsi="宋体" w:cs="宋体"/>
                <w:color w:val="auto"/>
                <w:szCs w:val="21"/>
                <w:highlight w:val="none"/>
              </w:rPr>
            </w:pPr>
            <w:r>
              <w:rPr>
                <w:rFonts w:hint="eastAsia" w:ascii="宋体" w:hAnsi="宋体" w:cs="宋体"/>
                <w:color w:val="auto"/>
                <w:szCs w:val="21"/>
                <w:highlight w:val="none"/>
              </w:rPr>
              <w:t>对投标人的措施进行从优到差排序，</w:t>
            </w:r>
            <w:r>
              <w:rPr>
                <w:rFonts w:hint="eastAsia" w:ascii="宋体" w:hAnsi="宋体" w:cs="宋体"/>
                <w:color w:val="auto"/>
                <w:szCs w:val="21"/>
                <w:highlight w:val="none"/>
                <w:lang w:val="en-US" w:eastAsia="zh-CN"/>
              </w:rPr>
              <w:t>优</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12-10</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良</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9-7</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6-4</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差</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分。</w:t>
            </w:r>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2.3</w:t>
            </w:r>
          </w:p>
        </w:tc>
        <w:tc>
          <w:tcPr>
            <w:tcW w:w="355" w:type="dxa"/>
            <w:vMerge w:val="continue"/>
            <w:tcBorders>
              <w:left w:val="single" w:color="auto" w:sz="4" w:space="0"/>
              <w:right w:val="single" w:color="auto" w:sz="4" w:space="0"/>
            </w:tcBorders>
            <w:vAlign w:val="center"/>
          </w:tcPr>
          <w:p>
            <w:pPr>
              <w:jc w:val="center"/>
              <w:rPr>
                <w:rFonts w:ascii="宋体" w:hAnsi="宋体" w:cs="宋体"/>
                <w:color w:val="auto"/>
                <w:szCs w:val="21"/>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进度保证</w:t>
            </w:r>
          </w:p>
          <w:p>
            <w:pPr>
              <w:jc w:val="center"/>
              <w:rPr>
                <w:rFonts w:ascii="宋体" w:hAnsi="宋体" w:cs="宋体"/>
                <w:color w:val="auto"/>
                <w:szCs w:val="21"/>
                <w:highlight w:val="none"/>
              </w:rPr>
            </w:pPr>
            <w:r>
              <w:rPr>
                <w:rFonts w:hint="eastAsia" w:ascii="宋体" w:hAnsi="宋体" w:cs="宋体"/>
                <w:color w:val="auto"/>
                <w:szCs w:val="21"/>
                <w:highlight w:val="none"/>
              </w:rPr>
              <w:t>措施</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15</w:t>
            </w:r>
          </w:p>
        </w:tc>
        <w:tc>
          <w:tcPr>
            <w:tcW w:w="9482"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color w:val="auto"/>
                <w:highlight w:val="none"/>
              </w:rPr>
            </w:pPr>
            <w:r>
              <w:rPr>
                <w:rFonts w:hint="eastAsia" w:ascii="宋体" w:hAnsi="宋体" w:cs="宋体"/>
                <w:color w:val="auto"/>
                <w:kern w:val="0"/>
                <w:szCs w:val="21"/>
                <w:highlight w:val="none"/>
              </w:rPr>
              <w:t>包括了招标文件中对施工进度计划编制要求的所有内容，编制依据充分，关键线路清晰、准确、完整，计划编制合理、可行。关键节点的控制措施有力、合理、可行。对施工中可能出现的影响进度计划实现的各方面因素作出了充分的预计分析并制订了切实可行</w:t>
            </w:r>
            <w:r>
              <w:rPr>
                <w:rFonts w:hint="eastAsia" w:ascii="宋体" w:hAnsi="宋体" w:cs="宋体"/>
                <w:color w:val="auto"/>
                <w:szCs w:val="21"/>
                <w:highlight w:val="none"/>
              </w:rPr>
              <w:t>的解决方案及保证措施。工期紧急情况下需保证能外调新增合格施工人员与设备的保证措施方案。</w:t>
            </w:r>
          </w:p>
          <w:p>
            <w:pPr>
              <w:rPr>
                <w:rFonts w:ascii="宋体" w:hAnsi="宋体" w:cs="宋体"/>
                <w:color w:val="auto"/>
                <w:szCs w:val="21"/>
                <w:highlight w:val="none"/>
              </w:rPr>
            </w:pPr>
            <w:r>
              <w:rPr>
                <w:rFonts w:hint="eastAsia" w:ascii="宋体" w:hAnsi="宋体" w:cs="宋体"/>
                <w:color w:val="auto"/>
                <w:szCs w:val="21"/>
                <w:highlight w:val="none"/>
              </w:rPr>
              <w:t>对投标人的措施进行从优到差排序，</w:t>
            </w:r>
            <w:r>
              <w:rPr>
                <w:rFonts w:hint="eastAsia" w:ascii="宋体" w:hAnsi="宋体" w:cs="宋体"/>
                <w:color w:val="auto"/>
                <w:szCs w:val="21"/>
                <w:highlight w:val="none"/>
                <w:lang w:val="en-US" w:eastAsia="zh-CN"/>
              </w:rPr>
              <w:t>优</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15-12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良</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11-9</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8-5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差</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4-0</w:t>
            </w:r>
            <w:r>
              <w:rPr>
                <w:rFonts w:hint="eastAsia" w:ascii="宋体" w:hAnsi="宋体" w:cs="宋体"/>
                <w:color w:val="auto"/>
                <w:szCs w:val="21"/>
                <w:highlight w:val="none"/>
              </w:rPr>
              <w:t>分。</w:t>
            </w:r>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2.4</w:t>
            </w:r>
          </w:p>
        </w:tc>
        <w:tc>
          <w:tcPr>
            <w:tcW w:w="355" w:type="dxa"/>
            <w:vMerge w:val="continue"/>
            <w:tcBorders>
              <w:left w:val="single" w:color="auto" w:sz="4" w:space="0"/>
              <w:right w:val="single" w:color="auto" w:sz="4" w:space="0"/>
            </w:tcBorders>
            <w:vAlign w:val="center"/>
          </w:tcPr>
          <w:p>
            <w:pPr>
              <w:jc w:val="center"/>
              <w:rPr>
                <w:rFonts w:ascii="宋体" w:hAnsi="宋体" w:cs="宋体"/>
                <w:color w:val="auto"/>
                <w:szCs w:val="21"/>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安全文明施工保证措施</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9482"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color w:val="auto"/>
                <w:szCs w:val="21"/>
                <w:highlight w:val="none"/>
              </w:rPr>
            </w:pPr>
            <w:r>
              <w:rPr>
                <w:rFonts w:hint="eastAsia" w:ascii="宋体" w:hAnsi="宋体" w:cs="宋体"/>
                <w:color w:val="auto"/>
                <w:szCs w:val="21"/>
                <w:highlight w:val="none"/>
              </w:rPr>
              <w:t>针对项目特点，从安全管理人员投入、施工人员安全培训、机械设备定期检查（保养或保修）、材料堆放保管、施工现场安全围挡、安全运输、安全知识宣传等方面提出切实可行的安全文明施工保证措施，制定方案，确保实现工程安全管理和环境管理目标。安全管理体系与环保管理体系健全、针对性风险防范措施方案内容完整、详细。</w:t>
            </w:r>
          </w:p>
          <w:p>
            <w:pPr>
              <w:spacing w:line="320" w:lineRule="exact"/>
              <w:rPr>
                <w:rFonts w:ascii="宋体" w:hAnsi="宋体" w:cs="宋体"/>
                <w:color w:val="auto"/>
                <w:szCs w:val="21"/>
                <w:highlight w:val="none"/>
              </w:rPr>
            </w:pPr>
            <w:r>
              <w:rPr>
                <w:rFonts w:hint="eastAsia" w:ascii="宋体" w:hAnsi="宋体" w:cs="宋体"/>
                <w:color w:val="auto"/>
                <w:szCs w:val="21"/>
                <w:highlight w:val="none"/>
              </w:rPr>
              <w:t>对投标人的措施进行从优到差排序，</w:t>
            </w:r>
            <w:r>
              <w:rPr>
                <w:rFonts w:hint="eastAsia" w:ascii="宋体" w:hAnsi="宋体" w:cs="宋体"/>
                <w:color w:val="auto"/>
                <w:szCs w:val="21"/>
                <w:highlight w:val="none"/>
                <w:lang w:val="en-US" w:eastAsia="zh-CN"/>
              </w:rPr>
              <w:t>优</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8-7</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良</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6-5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4-2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差</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2.5</w:t>
            </w:r>
          </w:p>
        </w:tc>
        <w:tc>
          <w:tcPr>
            <w:tcW w:w="355" w:type="dxa"/>
            <w:vMerge w:val="continue"/>
            <w:tcBorders>
              <w:left w:val="single" w:color="auto" w:sz="4" w:space="0"/>
              <w:bottom w:val="single" w:color="auto" w:sz="4" w:space="0"/>
              <w:right w:val="single" w:color="auto" w:sz="4" w:space="0"/>
            </w:tcBorders>
            <w:vAlign w:val="center"/>
          </w:tcPr>
          <w:p>
            <w:pPr>
              <w:spacing w:line="320" w:lineRule="exact"/>
              <w:jc w:val="center"/>
              <w:rPr>
                <w:rFonts w:ascii="宋体" w:hAnsi="宋体" w:cs="宋体"/>
                <w:color w:val="auto"/>
                <w:kern w:val="0"/>
                <w:szCs w:val="21"/>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应急预案</w:t>
            </w:r>
          </w:p>
        </w:tc>
        <w:tc>
          <w:tcPr>
            <w:tcW w:w="7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5</w:t>
            </w:r>
          </w:p>
        </w:tc>
        <w:tc>
          <w:tcPr>
            <w:tcW w:w="9482"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color w:val="auto"/>
                <w:szCs w:val="21"/>
                <w:highlight w:val="none"/>
              </w:rPr>
            </w:pPr>
            <w:r>
              <w:rPr>
                <w:rFonts w:hint="eastAsia" w:ascii="宋体" w:hAnsi="宋体" w:cs="宋体"/>
                <w:color w:val="auto"/>
                <w:szCs w:val="21"/>
                <w:highlight w:val="none"/>
              </w:rPr>
              <w:t>针对本工程具有重大风险的工作内容，有切实可行的应急预案。</w:t>
            </w:r>
          </w:p>
          <w:p>
            <w:pPr>
              <w:spacing w:line="320" w:lineRule="exact"/>
              <w:rPr>
                <w:rFonts w:ascii="宋体" w:hAnsi="宋体" w:cs="宋体"/>
                <w:color w:val="auto"/>
                <w:szCs w:val="21"/>
                <w:highlight w:val="none"/>
              </w:rPr>
            </w:pPr>
            <w:r>
              <w:rPr>
                <w:rFonts w:hint="eastAsia" w:ascii="宋体" w:hAnsi="宋体" w:cs="宋体"/>
                <w:color w:val="auto"/>
                <w:szCs w:val="21"/>
                <w:highlight w:val="none"/>
              </w:rPr>
              <w:t>对投标人的应急预案进行从优到差排序，</w:t>
            </w:r>
            <w:r>
              <w:rPr>
                <w:rFonts w:hint="eastAsia" w:ascii="宋体" w:hAnsi="宋体" w:cs="宋体"/>
                <w:color w:val="auto"/>
                <w:szCs w:val="21"/>
                <w:highlight w:val="none"/>
                <w:lang w:val="en-US" w:eastAsia="zh-CN"/>
              </w:rPr>
              <w:t>优</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良</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差</w:t>
            </w:r>
            <w:r>
              <w:rPr>
                <w:rFonts w:hint="eastAsia" w:ascii="宋体" w:hAnsi="宋体" w:cs="宋体"/>
                <w:color w:val="auto"/>
                <w:szCs w:val="21"/>
                <w:highlight w:val="none"/>
              </w:rPr>
              <w:t>得1分。</w:t>
            </w:r>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112"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zh-CN"/>
              </w:rPr>
              <w:t>合计</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hint="default"/>
                <w:color w:val="auto"/>
                <w:highlight w:val="none"/>
                <w:lang w:val="en-US" w:eastAsia="zh-CN"/>
              </w:rPr>
            </w:pPr>
          </w:p>
        </w:tc>
        <w:tc>
          <w:tcPr>
            <w:tcW w:w="948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1439"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投标与履约情况</w:t>
            </w:r>
          </w:p>
        </w:tc>
        <w:tc>
          <w:tcPr>
            <w:tcW w:w="73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-90</w:t>
            </w:r>
          </w:p>
        </w:tc>
        <w:tc>
          <w:tcPr>
            <w:tcW w:w="9482"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cs="宋体"/>
                <w:color w:val="auto"/>
                <w:szCs w:val="21"/>
                <w:highlight w:val="none"/>
              </w:rPr>
            </w:pPr>
            <w:bookmarkStart w:id="165" w:name="OLE_LINK16"/>
            <w:r>
              <w:rPr>
                <w:rFonts w:hint="eastAsia" w:ascii="宋体" w:hAnsi="宋体" w:eastAsia="宋体" w:cs="宋体"/>
                <w:color w:val="auto"/>
                <w:sz w:val="21"/>
                <w:szCs w:val="21"/>
                <w:highlight w:val="none"/>
              </w:rPr>
              <w:t>递交投标文件截止日前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被广州燃气集团或其上级单位列入不良供应商且在有效期内的（由招标人提供证明文件）</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扣90分</w:t>
            </w:r>
            <w:r>
              <w:rPr>
                <w:rFonts w:hint="eastAsia" w:ascii="宋体" w:hAnsi="宋体" w:cs="宋体"/>
                <w:color w:val="auto"/>
                <w:sz w:val="21"/>
                <w:szCs w:val="21"/>
                <w:highlight w:val="none"/>
                <w:lang w:eastAsia="zh-CN"/>
              </w:rPr>
              <w:t>。</w:t>
            </w:r>
            <w:bookmarkEnd w:id="165"/>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11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总</w:t>
            </w:r>
            <w:r>
              <w:rPr>
                <w:rFonts w:hint="eastAsia" w:ascii="宋体" w:hAnsi="宋体" w:cs="宋体"/>
                <w:color w:val="auto"/>
                <w:szCs w:val="21"/>
                <w:highlight w:val="none"/>
                <w:lang w:val="zh-CN"/>
              </w:rPr>
              <w:t>计</w:t>
            </w:r>
          </w:p>
        </w:tc>
        <w:tc>
          <w:tcPr>
            <w:tcW w:w="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cs="宋体"/>
                <w:color w:val="auto"/>
                <w:szCs w:val="21"/>
                <w:highlight w:val="none"/>
              </w:rPr>
            </w:pPr>
          </w:p>
        </w:tc>
        <w:tc>
          <w:tcPr>
            <w:tcW w:w="948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p>
        </w:tc>
      </w:tr>
    </w:tbl>
    <w:p>
      <w:pPr>
        <w:widowControl/>
        <w:tabs>
          <w:tab w:val="left" w:pos="180"/>
        </w:tabs>
        <w:spacing w:line="360" w:lineRule="auto"/>
        <w:jc w:val="left"/>
        <w:rPr>
          <w:rFonts w:ascii="宋体" w:hAnsi="宋体" w:cs="宋体"/>
          <w:bCs/>
          <w:color w:val="auto"/>
          <w:kern w:val="0"/>
          <w:szCs w:val="21"/>
          <w:highlight w:val="none"/>
        </w:rPr>
      </w:pPr>
      <w:r>
        <w:rPr>
          <w:rFonts w:hint="eastAsia" w:ascii="宋体" w:hAnsi="宋体" w:cs="宋体"/>
          <w:bCs/>
          <w:color w:val="auto"/>
          <w:kern w:val="0"/>
          <w:szCs w:val="21"/>
          <w:highlight w:val="none"/>
        </w:rPr>
        <w:t>注：</w:t>
      </w:r>
    </w:p>
    <w:p>
      <w:pPr>
        <w:widowControl/>
        <w:tabs>
          <w:tab w:val="left" w:pos="180"/>
        </w:tabs>
        <w:spacing w:line="360" w:lineRule="auto"/>
        <w:ind w:firstLine="420" w:firstLineChars="200"/>
        <w:jc w:val="left"/>
        <w:rPr>
          <w:rFonts w:ascii="宋体" w:hAnsi="宋体" w:cs="宋体"/>
          <w:bCs/>
          <w:color w:val="auto"/>
          <w:kern w:val="0"/>
          <w:szCs w:val="21"/>
          <w:highlight w:val="none"/>
        </w:rPr>
      </w:pPr>
      <w:r>
        <w:rPr>
          <w:rFonts w:hint="eastAsia" w:ascii="宋体" w:hAnsi="宋体" w:cs="宋体"/>
          <w:bCs/>
          <w:color w:val="auto"/>
          <w:kern w:val="0"/>
          <w:szCs w:val="21"/>
          <w:highlight w:val="none"/>
        </w:rPr>
        <w:t>1.上述人员需提供相关证件原件扫描件及近1个月（</w:t>
      </w:r>
      <w:r>
        <w:rPr>
          <w:rFonts w:hint="eastAsia" w:ascii="宋体" w:hAnsi="宋体" w:cs="宋体"/>
          <w:color w:val="auto"/>
          <w:szCs w:val="21"/>
          <w:highlight w:val="none"/>
        </w:rPr>
        <w:t>即</w:t>
      </w:r>
      <w:r>
        <w:rPr>
          <w:rFonts w:hint="eastAsia" w:ascii="宋体" w:hAnsi="宋体" w:cs="宋体"/>
          <w:color w:val="auto"/>
          <w:szCs w:val="21"/>
          <w:highlight w:val="none"/>
          <w:lang w:eastAsia="zh-CN"/>
        </w:rPr>
        <w:t>2025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5月</w:t>
      </w:r>
      <w:r>
        <w:rPr>
          <w:rFonts w:hint="eastAsia" w:ascii="宋体" w:hAnsi="宋体" w:cs="宋体"/>
          <w:bCs/>
          <w:color w:val="auto"/>
          <w:kern w:val="0"/>
          <w:szCs w:val="21"/>
          <w:highlight w:val="none"/>
        </w:rPr>
        <w:t>）在投标人单位（不含投标人的子公司或母公司）参保的社保缴纳记录证明原件扫描件。</w:t>
      </w:r>
    </w:p>
    <w:p>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2.业绩取自投标人提供的证明资料：</w:t>
      </w:r>
    </w:p>
    <w:p>
      <w:pPr>
        <w:spacing w:line="360" w:lineRule="auto"/>
        <w:ind w:firstLine="420" w:firstLineChars="200"/>
        <w:rPr>
          <w:rFonts w:ascii="宋体" w:hAnsi="宋体" w:cs="宋体"/>
          <w:bCs/>
          <w:color w:val="auto"/>
          <w:kern w:val="0"/>
          <w:szCs w:val="21"/>
          <w:highlight w:val="none"/>
          <w:u w:val="single"/>
        </w:rPr>
      </w:pPr>
      <w:r>
        <w:rPr>
          <w:rFonts w:hint="eastAsia" w:ascii="宋体" w:hAnsi="宋体" w:cs="宋体"/>
          <w:bCs/>
          <w:color w:val="auto"/>
          <w:kern w:val="0"/>
          <w:szCs w:val="21"/>
          <w:highlight w:val="none"/>
          <w:u w:val="single"/>
        </w:rPr>
        <w:t>施工业绩证明文件，需同时提供：①中标通知书或免招标的相关证明；②施工合同；③竣工/交工验收报告（或竣工/交工验收证明），如以上资料不能证明业绩规模的技术指标（指设计压力、面积、高度、跨度、管径等）的，须另提供可证明业绩技术指标的其他资料。由总承包单位依法分包的工程业绩，需同时提供总承包单位的中标通知书或免招标的相关证明、经业主和总承包单位确认的分包合同、竣工/交工验收报告（或竣工/交工验收证明），如以上资料不能证明业绩规模的技术指标（指设计压力、面积、高度、跨度、管径等）的，须另提供可证明业绩技术指标的其他资料；完成时间以竣工/交工验收文件为准。验收文件至少具有建设单位、设计、施工和监理单位盖章。</w:t>
      </w:r>
    </w:p>
    <w:p>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3.投标人得分为各评委评分汇总后的算术平均值（若分数出现小数点时，保留小数点后二位，第三位小数四舍五入）。</w:t>
      </w:r>
    </w:p>
    <w:p>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4. 所有“原件扫描件”投标资料，均要求原件备查。原件备查指投标申请人确保在招标期间应招标人和建设行政管理部门及工程招标监督机构提出要求后2天内提供原件复查。</w:t>
      </w:r>
    </w:p>
    <w:p>
      <w:pPr>
        <w:rPr>
          <w:rFonts w:ascii="宋体" w:hAnsi="宋体" w:cs="宋体"/>
          <w:bCs/>
          <w:color w:val="auto"/>
          <w:kern w:val="0"/>
          <w:szCs w:val="21"/>
          <w:highlight w:val="none"/>
        </w:rPr>
      </w:pPr>
      <w:r>
        <w:rPr>
          <w:rFonts w:hint="eastAsia" w:ascii="宋体" w:hAnsi="宋体" w:cs="宋体"/>
          <w:bCs/>
          <w:color w:val="auto"/>
          <w:kern w:val="0"/>
          <w:szCs w:val="21"/>
          <w:highlight w:val="none"/>
        </w:rPr>
        <w:t>评委签名：</w:t>
      </w:r>
    </w:p>
    <w:p>
      <w:pPr>
        <w:rPr>
          <w:rFonts w:ascii="宋体" w:hAnsi="宋体" w:cs="宋体"/>
          <w:color w:val="auto"/>
          <w:highlight w:val="none"/>
        </w:rPr>
      </w:pPr>
      <w:r>
        <w:rPr>
          <w:rFonts w:hint="eastAsia" w:ascii="宋体" w:hAnsi="宋体" w:cs="宋体"/>
          <w:color w:val="auto"/>
          <w:highlight w:val="none"/>
        </w:rPr>
        <w:br w:type="page"/>
      </w:r>
    </w:p>
    <w:p>
      <w:pPr>
        <w:rPr>
          <w:strike w:val="0"/>
          <w:sz w:val="24"/>
          <w:szCs w:val="24"/>
        </w:rPr>
      </w:pPr>
      <w:bookmarkStart w:id="166" w:name="_Toc7437"/>
      <w:bookmarkStart w:id="167" w:name="_Toc1520752438"/>
      <w:bookmarkStart w:id="168" w:name="_Toc8839"/>
      <w:bookmarkStart w:id="169" w:name="_Toc16955"/>
      <w:bookmarkStart w:id="170" w:name="_Toc4395"/>
      <w:r>
        <w:rPr>
          <w:rFonts w:hint="eastAsia"/>
          <w:strike w:val="0"/>
          <w:szCs w:val="21"/>
        </w:rPr>
        <w:t>附表五（适用于区间抽取法）</w:t>
      </w:r>
    </w:p>
    <w:p>
      <w:pPr>
        <w:jc w:val="center"/>
        <w:rPr>
          <w:b/>
          <w:strike w:val="0"/>
          <w:sz w:val="36"/>
          <w:szCs w:val="36"/>
        </w:rPr>
      </w:pPr>
      <w:r>
        <w:rPr>
          <w:rFonts w:hint="eastAsia"/>
          <w:b/>
          <w:strike w:val="0"/>
          <w:sz w:val="36"/>
          <w:szCs w:val="36"/>
        </w:rPr>
        <w:t>经济标评分表</w:t>
      </w:r>
    </w:p>
    <w:p>
      <w:pPr>
        <w:rPr>
          <w:strike w:val="0"/>
          <w:szCs w:val="21"/>
        </w:rPr>
      </w:pPr>
      <w:r>
        <w:rPr>
          <w:rFonts w:hint="eastAsia"/>
          <w:strike w:val="0"/>
          <w:szCs w:val="21"/>
        </w:rPr>
        <w:t>工程名称：</w:t>
      </w:r>
    </w:p>
    <w:tbl>
      <w:tblPr>
        <w:tblStyle w:val="38"/>
        <w:tblW w:w="1444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031"/>
        <w:gridCol w:w="1031"/>
        <w:gridCol w:w="1031"/>
        <w:gridCol w:w="1031"/>
        <w:gridCol w:w="1031"/>
        <w:gridCol w:w="1031"/>
        <w:gridCol w:w="1031"/>
        <w:gridCol w:w="1031"/>
        <w:gridCol w:w="1031"/>
        <w:gridCol w:w="1031"/>
        <w:gridCol w:w="1031"/>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074"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r>
              <w:rPr>
                <w:rFonts w:hint="eastAsia" w:ascii="宋体" w:hAnsi="宋体"/>
                <w:strike w:val="0"/>
                <w:szCs w:val="21"/>
              </w:rPr>
              <w:t>投标人名称</w:t>
            </w: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2"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74"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r>
              <w:rPr>
                <w:rFonts w:hint="eastAsia" w:ascii="宋体" w:hAnsi="宋体"/>
                <w:strike w:val="0"/>
                <w:szCs w:val="21"/>
              </w:rPr>
              <w:t>投标报价</w:t>
            </w:r>
            <w:r>
              <w:rPr>
                <w:rFonts w:ascii="宋体" w:hAnsi="宋体"/>
                <w:strike w:val="0"/>
                <w:szCs w:val="21"/>
              </w:rPr>
              <w:t>PT</w:t>
            </w:r>
            <w:r>
              <w:rPr>
                <w:rFonts w:hint="eastAsia" w:ascii="宋体" w:hAnsi="宋体"/>
                <w:strike w:val="0"/>
                <w:szCs w:val="21"/>
              </w:rPr>
              <w:t>（元）</w:t>
            </w: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2"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r>
              <w:rPr>
                <w:rFonts w:hint="eastAsia" w:ascii="宋体" w:hAnsi="宋体"/>
                <w:strike w:val="0"/>
                <w:szCs w:val="21"/>
              </w:rPr>
              <w:t>计算评标参考价的等分点值X</w:t>
            </w:r>
          </w:p>
        </w:tc>
        <w:tc>
          <w:tcPr>
            <w:tcW w:w="12373" w:type="dxa"/>
            <w:gridSpan w:val="12"/>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r>
              <w:rPr>
                <w:rFonts w:hint="eastAsia" w:ascii="宋体" w:hAnsi="宋体"/>
                <w:strike w:val="0"/>
                <w:szCs w:val="21"/>
              </w:rPr>
              <w:t>评标参考价PC（元）</w:t>
            </w:r>
          </w:p>
        </w:tc>
        <w:tc>
          <w:tcPr>
            <w:tcW w:w="12373" w:type="dxa"/>
            <w:gridSpan w:val="12"/>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r>
              <w:rPr>
                <w:rFonts w:hint="eastAsia" w:ascii="宋体" w:hAnsi="宋体"/>
                <w:strike w:val="0"/>
                <w:szCs w:val="21"/>
              </w:rPr>
              <w:t>偏差（（</w:t>
            </w:r>
            <w:r>
              <w:rPr>
                <w:rFonts w:ascii="宋体" w:hAnsi="宋体"/>
                <w:strike w:val="0"/>
                <w:szCs w:val="21"/>
              </w:rPr>
              <w:t>PT-PC</w:t>
            </w:r>
            <w:r>
              <w:rPr>
                <w:rFonts w:hint="eastAsia" w:ascii="宋体" w:hAnsi="宋体"/>
                <w:strike w:val="0"/>
                <w:szCs w:val="21"/>
              </w:rPr>
              <w:t>）</w:t>
            </w:r>
            <w:r>
              <w:rPr>
                <w:rFonts w:ascii="宋体" w:hAnsi="宋体"/>
                <w:strike w:val="0"/>
                <w:szCs w:val="21"/>
              </w:rPr>
              <w:t>/PC</w:t>
            </w:r>
            <w:r>
              <w:rPr>
                <w:rFonts w:hint="eastAsia" w:ascii="宋体" w:hAnsi="宋体"/>
                <w:strike w:val="0"/>
                <w:szCs w:val="21"/>
              </w:rPr>
              <w:t>）（</w:t>
            </w:r>
            <w:r>
              <w:rPr>
                <w:rFonts w:ascii="宋体" w:hAnsi="宋体"/>
                <w:strike w:val="0"/>
                <w:szCs w:val="21"/>
              </w:rPr>
              <w:t>%</w:t>
            </w:r>
            <w:r>
              <w:rPr>
                <w:rFonts w:hint="eastAsia" w:ascii="宋体" w:hAnsi="宋体"/>
                <w:strike w:val="0"/>
                <w:szCs w:val="21"/>
              </w:rPr>
              <w:t>）</w:t>
            </w: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2"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74"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r>
              <w:rPr>
                <w:rFonts w:hint="eastAsia" w:ascii="宋体" w:hAnsi="宋体"/>
                <w:strike w:val="0"/>
                <w:szCs w:val="21"/>
              </w:rPr>
              <w:t>减分（</w:t>
            </w:r>
            <w:r>
              <w:rPr>
                <w:rFonts w:ascii="宋体" w:hAnsi="宋体"/>
                <w:strike w:val="0"/>
                <w:szCs w:val="21"/>
              </w:rPr>
              <w:t>A</w:t>
            </w:r>
            <w:r>
              <w:rPr>
                <w:rFonts w:hint="eastAsia" w:ascii="宋体" w:hAnsi="宋体"/>
                <w:strike w:val="0"/>
                <w:szCs w:val="21"/>
              </w:rPr>
              <w:t>）</w:t>
            </w: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2"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r>
              <w:rPr>
                <w:rFonts w:hint="eastAsia" w:ascii="宋体" w:hAnsi="宋体"/>
                <w:strike w:val="0"/>
                <w:szCs w:val="21"/>
              </w:rPr>
              <w:t>得分</w:t>
            </w:r>
            <w:r>
              <w:rPr>
                <w:rFonts w:ascii="宋体" w:hAnsi="宋体"/>
                <w:strike w:val="0"/>
                <w:szCs w:val="21"/>
              </w:rPr>
              <w:t>(I=100-A)</w:t>
            </w: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2"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r>
              <w:rPr>
                <w:rFonts w:hint="eastAsia" w:ascii="宋体" w:hAnsi="宋体"/>
                <w:strike w:val="0"/>
                <w:szCs w:val="21"/>
              </w:rPr>
              <w:t>得分排名次序</w:t>
            </w: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1"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c>
          <w:tcPr>
            <w:tcW w:w="1032" w:type="dxa"/>
            <w:tcBorders>
              <w:top w:val="single" w:color="auto" w:sz="4" w:space="0"/>
              <w:left w:val="single" w:color="auto" w:sz="4" w:space="0"/>
              <w:bottom w:val="single" w:color="auto" w:sz="4" w:space="0"/>
              <w:right w:val="single" w:color="auto" w:sz="4" w:space="0"/>
            </w:tcBorders>
            <w:vAlign w:val="center"/>
          </w:tcPr>
          <w:p>
            <w:pPr>
              <w:rPr>
                <w:rFonts w:ascii="宋体" w:hAnsi="宋体"/>
                <w:strike w:val="0"/>
                <w:szCs w:val="21"/>
              </w:rPr>
            </w:pPr>
          </w:p>
        </w:tc>
      </w:tr>
    </w:tbl>
    <w:p>
      <w:pPr>
        <w:rPr>
          <w:rFonts w:hint="eastAsia"/>
          <w:strike w:val="0"/>
          <w:szCs w:val="21"/>
        </w:rPr>
      </w:pPr>
    </w:p>
    <w:p>
      <w:pPr>
        <w:rPr>
          <w:rFonts w:hint="eastAsia"/>
          <w:strike w:val="0"/>
          <w:szCs w:val="21"/>
        </w:rPr>
      </w:pPr>
    </w:p>
    <w:p>
      <w:pPr>
        <w:rPr>
          <w:strike w:val="0"/>
          <w:szCs w:val="21"/>
        </w:rPr>
      </w:pPr>
      <w:r>
        <w:rPr>
          <w:rFonts w:hint="eastAsia"/>
          <w:strike w:val="0"/>
          <w:szCs w:val="21"/>
        </w:rPr>
        <w:t>评委签名：</w:t>
      </w:r>
    </w:p>
    <w:p>
      <w:pPr>
        <w:rPr>
          <w:szCs w:val="21"/>
        </w:rPr>
      </w:pPr>
    </w:p>
    <w:p>
      <w:pPr>
        <w:rPr>
          <w:szCs w:val="21"/>
        </w:rPr>
      </w:pPr>
    </w:p>
    <w:p>
      <w:pPr>
        <w:rPr>
          <w:szCs w:val="21"/>
        </w:rPr>
      </w:pPr>
    </w:p>
    <w:p>
      <w:pPr>
        <w:rPr>
          <w:szCs w:val="21"/>
        </w:rPr>
      </w:pPr>
    </w:p>
    <w:bookmarkEnd w:id="166"/>
    <w:bookmarkEnd w:id="167"/>
    <w:bookmarkEnd w:id="168"/>
    <w:bookmarkEnd w:id="169"/>
    <w:bookmarkEnd w:id="170"/>
    <w:p>
      <w:pPr>
        <w:rPr>
          <w:rFonts w:hint="eastAsia" w:ascii="宋体" w:hAnsi="宋体" w:eastAsia="宋体" w:cs="宋体"/>
          <w:b/>
          <w:color w:val="auto"/>
          <w:szCs w:val="21"/>
          <w:highlight w:val="none"/>
          <w:lang w:eastAsia="zh-CN"/>
        </w:rPr>
      </w:pPr>
      <w:r>
        <w:rPr>
          <w:rFonts w:hint="eastAsia" w:ascii="宋体" w:hAnsi="宋体" w:cs="宋体"/>
          <w:color w:val="auto"/>
          <w:szCs w:val="21"/>
          <w:highlight w:val="none"/>
        </w:rPr>
        <w:t>附表</w:t>
      </w:r>
      <w:r>
        <w:rPr>
          <w:rFonts w:hint="default" w:ascii="宋体" w:hAnsi="宋体" w:cs="宋体"/>
          <w:color w:val="auto"/>
          <w:szCs w:val="21"/>
          <w:highlight w:val="none"/>
          <w:lang w:val="en-US"/>
        </w:rPr>
        <w:t>六</w:t>
      </w:r>
    </w:p>
    <w:p>
      <w:pPr>
        <w:jc w:val="center"/>
        <w:outlineLvl w:val="2"/>
        <w:rPr>
          <w:rFonts w:ascii="宋体" w:hAnsi="宋体" w:cs="宋体"/>
          <w:b/>
          <w:color w:val="auto"/>
          <w:sz w:val="36"/>
          <w:szCs w:val="36"/>
          <w:highlight w:val="none"/>
        </w:rPr>
      </w:pPr>
      <w:bookmarkStart w:id="171" w:name="_Toc14889"/>
      <w:bookmarkStart w:id="172" w:name="_Toc1897"/>
      <w:bookmarkStart w:id="173" w:name="_Toc720"/>
      <w:bookmarkStart w:id="174" w:name="_Toc2083342519"/>
      <w:bookmarkStart w:id="175" w:name="_Toc14944"/>
      <w:r>
        <w:rPr>
          <w:rFonts w:hint="eastAsia" w:ascii="宋体" w:hAnsi="宋体" w:cs="宋体"/>
          <w:b/>
          <w:color w:val="auto"/>
          <w:sz w:val="36"/>
          <w:szCs w:val="36"/>
          <w:highlight w:val="none"/>
        </w:rPr>
        <w:t>算术复核表</w:t>
      </w:r>
      <w:bookmarkEnd w:id="171"/>
      <w:bookmarkEnd w:id="172"/>
      <w:bookmarkEnd w:id="173"/>
      <w:bookmarkEnd w:id="174"/>
      <w:bookmarkEnd w:id="175"/>
    </w:p>
    <w:p>
      <w:pPr>
        <w:rPr>
          <w:rFonts w:ascii="宋体" w:hAnsi="宋体" w:cs="宋体"/>
          <w:color w:val="auto"/>
          <w:kern w:val="0"/>
          <w:szCs w:val="21"/>
          <w:highlight w:val="none"/>
        </w:rPr>
      </w:pPr>
      <w:r>
        <w:rPr>
          <w:rFonts w:hint="eastAsia" w:ascii="宋体" w:hAnsi="宋体" w:cs="宋体"/>
          <w:color w:val="auto"/>
          <w:kern w:val="0"/>
          <w:szCs w:val="21"/>
          <w:highlight w:val="none"/>
        </w:rPr>
        <w:t>工程名称：                                           投标人:                                                  单位：元</w:t>
      </w:r>
    </w:p>
    <w:tbl>
      <w:tblPr>
        <w:tblStyle w:val="38"/>
        <w:tblW w:w="14820" w:type="dxa"/>
        <w:tblInd w:w="113" w:type="dxa"/>
        <w:tblLayout w:type="fixed"/>
        <w:tblCellMar>
          <w:top w:w="0" w:type="dxa"/>
          <w:left w:w="108" w:type="dxa"/>
          <w:bottom w:w="0" w:type="dxa"/>
          <w:right w:w="108" w:type="dxa"/>
        </w:tblCellMar>
      </w:tblPr>
      <w:tblGrid>
        <w:gridCol w:w="645"/>
        <w:gridCol w:w="4488"/>
        <w:gridCol w:w="1602"/>
        <w:gridCol w:w="1575"/>
        <w:gridCol w:w="1575"/>
        <w:gridCol w:w="1470"/>
        <w:gridCol w:w="3465"/>
      </w:tblGrid>
      <w:tr>
        <w:trPr>
          <w:trHeight w:val="705" w:hRule="atLeast"/>
        </w:trPr>
        <w:tc>
          <w:tcPr>
            <w:tcW w:w="64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编号</w:t>
            </w:r>
          </w:p>
        </w:tc>
        <w:tc>
          <w:tcPr>
            <w:tcW w:w="4488" w:type="dxa"/>
            <w:tcBorders>
              <w:top w:val="single" w:color="auto" w:sz="4" w:space="0"/>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算术校核项目</w:t>
            </w:r>
          </w:p>
        </w:tc>
        <w:tc>
          <w:tcPr>
            <w:tcW w:w="1602" w:type="dxa"/>
            <w:tcBorders>
              <w:top w:val="single" w:color="auto" w:sz="4" w:space="0"/>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修正前投标</w:t>
            </w:r>
          </w:p>
          <w:p>
            <w:pPr>
              <w:rPr>
                <w:rFonts w:ascii="宋体" w:hAnsi="宋体" w:cs="宋体"/>
                <w:color w:val="auto"/>
                <w:kern w:val="0"/>
                <w:szCs w:val="21"/>
                <w:highlight w:val="none"/>
              </w:rPr>
            </w:pPr>
            <w:r>
              <w:rPr>
                <w:rFonts w:hint="eastAsia" w:ascii="宋体" w:hAnsi="宋体" w:cs="宋体"/>
                <w:color w:val="auto"/>
                <w:kern w:val="0"/>
                <w:szCs w:val="21"/>
                <w:highlight w:val="none"/>
              </w:rPr>
              <w:t>报价A</w:t>
            </w:r>
          </w:p>
        </w:tc>
        <w:tc>
          <w:tcPr>
            <w:tcW w:w="1575" w:type="dxa"/>
            <w:tcBorders>
              <w:top w:val="single" w:color="auto" w:sz="4" w:space="0"/>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修正后投标</w:t>
            </w:r>
          </w:p>
          <w:p>
            <w:pPr>
              <w:rPr>
                <w:rFonts w:ascii="宋体" w:hAnsi="宋体" w:cs="宋体"/>
                <w:color w:val="auto"/>
                <w:kern w:val="0"/>
                <w:szCs w:val="21"/>
                <w:highlight w:val="none"/>
              </w:rPr>
            </w:pPr>
            <w:r>
              <w:rPr>
                <w:rFonts w:hint="eastAsia" w:ascii="宋体" w:hAnsi="宋体" w:cs="宋体"/>
                <w:color w:val="auto"/>
                <w:kern w:val="0"/>
                <w:szCs w:val="21"/>
                <w:highlight w:val="none"/>
              </w:rPr>
              <w:t>报价B</w:t>
            </w:r>
          </w:p>
        </w:tc>
        <w:tc>
          <w:tcPr>
            <w:tcW w:w="1575"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修正率</w:t>
            </w:r>
          </w:p>
          <w:p>
            <w:pPr>
              <w:rPr>
                <w:rFonts w:ascii="宋体" w:hAnsi="宋体" w:cs="宋体"/>
                <w:color w:val="auto"/>
                <w:kern w:val="0"/>
                <w:szCs w:val="21"/>
                <w:highlight w:val="none"/>
              </w:rPr>
            </w:pPr>
            <w:r>
              <w:rPr>
                <w:rFonts w:hint="eastAsia" w:ascii="宋体" w:hAnsi="宋体" w:cs="宋体"/>
                <w:color w:val="auto"/>
                <w:kern w:val="0"/>
                <w:szCs w:val="21"/>
                <w:highlight w:val="none"/>
              </w:rPr>
              <w:t>r=|A-B|/A*100%</w:t>
            </w:r>
          </w:p>
        </w:tc>
        <w:tc>
          <w:tcPr>
            <w:tcW w:w="1470" w:type="dxa"/>
            <w:tcBorders>
              <w:top w:val="single" w:color="auto" w:sz="4" w:space="0"/>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经评审的最终投标报价</w:t>
            </w:r>
          </w:p>
        </w:tc>
        <w:tc>
          <w:tcPr>
            <w:tcW w:w="3465" w:type="dxa"/>
            <w:tcBorders>
              <w:top w:val="single" w:color="auto" w:sz="4" w:space="0"/>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当B&gt;A时，修正后报价与原报价的差额；当B≤A时,R=0</w:t>
            </w: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4488"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[单位工程1]</w:t>
            </w:r>
          </w:p>
        </w:tc>
        <w:tc>
          <w:tcPr>
            <w:tcW w:w="1602"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pP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4488"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[单位工程2]</w:t>
            </w:r>
          </w:p>
        </w:tc>
        <w:tc>
          <w:tcPr>
            <w:tcW w:w="1602"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pP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4488"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602"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pP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4488"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602"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pP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4488"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602"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pP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n</w:t>
            </w:r>
          </w:p>
        </w:tc>
        <w:tc>
          <w:tcPr>
            <w:tcW w:w="4488"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[单位工程n]</w:t>
            </w:r>
          </w:p>
        </w:tc>
        <w:tc>
          <w:tcPr>
            <w:tcW w:w="1602"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pP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4488"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投标总报价</w:t>
            </w:r>
          </w:p>
        </w:tc>
        <w:tc>
          <w:tcPr>
            <w:tcW w:w="1602"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575" w:type="dxa"/>
            <w:tcBorders>
              <w:top w:val="nil"/>
              <w:left w:val="nil"/>
              <w:bottom w:val="single" w:color="auto" w:sz="4" w:space="0"/>
              <w:right w:val="single" w:color="auto" w:sz="4" w:space="0"/>
              <w:tr2bl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pPr>
              <w:rPr>
                <w:rFonts w:ascii="宋体" w:hAnsi="宋体" w:cs="宋体"/>
                <w:color w:val="auto"/>
                <w:kern w:val="0"/>
                <w:szCs w:val="21"/>
                <w:highlight w:val="none"/>
              </w:rPr>
            </w:pPr>
            <w:r>
              <w:rPr>
                <w:rFonts w:hint="eastAsia" w:ascii="宋体" w:hAnsi="宋体" w:cs="宋体"/>
                <w:color w:val="auto"/>
                <w:kern w:val="0"/>
                <w:szCs w:val="21"/>
                <w:highlight w:val="none"/>
              </w:rPr>
              <w:t>∑A=A</w:t>
            </w:r>
            <w:r>
              <w:rPr>
                <w:rFonts w:hint="eastAsia" w:ascii="宋体" w:hAnsi="宋体" w:cs="宋体"/>
                <w:color w:val="auto"/>
                <w:kern w:val="0"/>
                <w:szCs w:val="21"/>
                <w:highlight w:val="none"/>
                <w:vertAlign w:val="subscript"/>
              </w:rPr>
              <w:t>1</w:t>
            </w:r>
            <w:r>
              <w:rPr>
                <w:rFonts w:hint="eastAsia" w:ascii="宋体" w:hAnsi="宋体" w:cs="宋体"/>
                <w:color w:val="auto"/>
                <w:kern w:val="0"/>
                <w:szCs w:val="21"/>
                <w:highlight w:val="none"/>
              </w:rPr>
              <w:t>+A</w:t>
            </w:r>
            <w:r>
              <w:rPr>
                <w:rFonts w:hint="eastAsia" w:ascii="宋体" w:hAnsi="宋体" w:cs="宋体"/>
                <w:color w:val="auto"/>
                <w:kern w:val="0"/>
                <w:szCs w:val="21"/>
                <w:highlight w:val="none"/>
                <w:vertAlign w:val="subscript"/>
              </w:rPr>
              <w:t>2</w:t>
            </w:r>
            <w:r>
              <w:rPr>
                <w:rFonts w:hint="eastAsia" w:ascii="宋体" w:hAnsi="宋体" w:cs="宋体"/>
                <w:color w:val="auto"/>
                <w:kern w:val="0"/>
                <w:szCs w:val="21"/>
                <w:highlight w:val="none"/>
              </w:rPr>
              <w:t>+…An；∑B=B</w:t>
            </w:r>
            <w:r>
              <w:rPr>
                <w:rFonts w:hint="eastAsia" w:ascii="宋体" w:hAnsi="宋体" w:cs="宋体"/>
                <w:color w:val="auto"/>
                <w:kern w:val="0"/>
                <w:szCs w:val="21"/>
                <w:highlight w:val="none"/>
                <w:vertAlign w:val="subscript"/>
              </w:rPr>
              <w:t>1</w:t>
            </w:r>
            <w:r>
              <w:rPr>
                <w:rFonts w:hint="eastAsia" w:ascii="宋体" w:hAnsi="宋体" w:cs="宋体"/>
                <w:color w:val="auto"/>
                <w:kern w:val="0"/>
                <w:szCs w:val="21"/>
                <w:highlight w:val="none"/>
              </w:rPr>
              <w:t>+B</w:t>
            </w:r>
            <w:r>
              <w:rPr>
                <w:rFonts w:hint="eastAsia" w:ascii="宋体" w:hAnsi="宋体" w:cs="宋体"/>
                <w:color w:val="auto"/>
                <w:kern w:val="0"/>
                <w:szCs w:val="21"/>
                <w:highlight w:val="none"/>
                <w:vertAlign w:val="subscript"/>
              </w:rPr>
              <w:t>2</w:t>
            </w:r>
            <w:r>
              <w:rPr>
                <w:rFonts w:hint="eastAsia" w:ascii="宋体" w:hAnsi="宋体" w:cs="宋体"/>
                <w:color w:val="auto"/>
                <w:kern w:val="0"/>
                <w:szCs w:val="21"/>
                <w:highlight w:val="none"/>
              </w:rPr>
              <w:t>+…Bn</w:t>
            </w:r>
          </w:p>
        </w:tc>
      </w:tr>
    </w:tbl>
    <w:p>
      <w:pPr>
        <w:rPr>
          <w:rFonts w:ascii="宋体" w:hAnsi="宋体" w:cs="宋体"/>
          <w:color w:val="auto"/>
          <w:kern w:val="0"/>
          <w:szCs w:val="21"/>
          <w:highlight w:val="none"/>
        </w:rPr>
      </w:pPr>
      <w:r>
        <w:rPr>
          <w:rFonts w:hint="eastAsia" w:ascii="宋体" w:hAnsi="宋体" w:cs="宋体"/>
          <w:color w:val="auto"/>
          <w:kern w:val="0"/>
          <w:szCs w:val="21"/>
          <w:highlight w:val="none"/>
        </w:rPr>
        <w:t>修正原则：</w:t>
      </w:r>
      <w:r>
        <w:rPr>
          <w:rFonts w:hint="eastAsia" w:ascii="宋体" w:hAnsi="宋体" w:cs="宋体"/>
          <w:color w:val="auto"/>
          <w:szCs w:val="21"/>
          <w:highlight w:val="none"/>
        </w:rPr>
        <w:t>按就低不就高原则，当修正后报价小于原报价，总价按修正后报价；当修正后报价大于原报价，总价按原报价，并在签订合同时载明在结算价中扣除修正报价与原报价的差额。</w:t>
      </w:r>
      <w:r>
        <w:rPr>
          <w:rFonts w:hint="eastAsia" w:ascii="宋体" w:hAnsi="宋体" w:cs="宋体"/>
          <w:color w:val="auto"/>
          <w:kern w:val="0"/>
          <w:szCs w:val="21"/>
          <w:highlight w:val="none"/>
        </w:rPr>
        <w:tab/>
      </w:r>
    </w:p>
    <w:p>
      <w:pPr>
        <w:rPr>
          <w:rFonts w:ascii="宋体" w:hAnsi="宋体" w:cs="宋体"/>
          <w:color w:val="auto"/>
          <w:kern w:val="0"/>
          <w:szCs w:val="21"/>
          <w:highlight w:val="none"/>
        </w:rPr>
      </w:pPr>
      <w:r>
        <w:rPr>
          <w:rFonts w:hint="eastAsia" w:ascii="宋体" w:hAnsi="宋体" w:cs="宋体"/>
          <w:color w:val="auto"/>
          <w:kern w:val="0"/>
          <w:szCs w:val="21"/>
          <w:highlight w:val="none"/>
        </w:rPr>
        <w:t>评委签名：</w:t>
      </w:r>
      <w:r>
        <w:rPr>
          <w:rFonts w:hint="eastAsia" w:ascii="宋体" w:hAnsi="宋体" w:cs="宋体"/>
          <w:color w:val="auto"/>
          <w:kern w:val="0"/>
          <w:szCs w:val="21"/>
          <w:highlight w:val="none"/>
        </w:rPr>
        <w:tab/>
      </w:r>
      <w:r>
        <w:rPr>
          <w:rFonts w:hint="eastAsia" w:ascii="宋体" w:hAnsi="宋体" w:cs="宋体"/>
          <w:color w:val="auto"/>
          <w:kern w:val="0"/>
          <w:szCs w:val="21"/>
          <w:highlight w:val="none"/>
        </w:rPr>
        <w:tab/>
      </w:r>
      <w:r>
        <w:rPr>
          <w:rFonts w:hint="eastAsia" w:ascii="宋体" w:hAnsi="宋体" w:cs="宋体"/>
          <w:color w:val="auto"/>
          <w:kern w:val="0"/>
          <w:szCs w:val="21"/>
          <w:highlight w:val="none"/>
        </w:rPr>
        <w:tab/>
      </w:r>
      <w:r>
        <w:rPr>
          <w:rFonts w:hint="eastAsia" w:ascii="宋体" w:hAnsi="宋体" w:cs="宋体"/>
          <w:color w:val="auto"/>
          <w:kern w:val="0"/>
          <w:szCs w:val="21"/>
          <w:highlight w:val="none"/>
        </w:rPr>
        <w:tab/>
      </w:r>
      <w:r>
        <w:rPr>
          <w:rFonts w:hint="eastAsia" w:ascii="宋体" w:hAnsi="宋体" w:cs="宋体"/>
          <w:color w:val="auto"/>
          <w:kern w:val="0"/>
          <w:szCs w:val="21"/>
          <w:highlight w:val="none"/>
        </w:rPr>
        <w:tab/>
      </w:r>
      <w:r>
        <w:rPr>
          <w:rFonts w:hint="eastAsia" w:ascii="宋体" w:hAnsi="宋体" w:cs="宋体"/>
          <w:color w:val="auto"/>
          <w:kern w:val="0"/>
          <w:szCs w:val="21"/>
          <w:highlight w:val="none"/>
        </w:rPr>
        <w:t>日期：</w:t>
      </w:r>
    </w:p>
    <w:p>
      <w:pPr>
        <w:rPr>
          <w:rFonts w:ascii="宋体" w:hAnsi="宋体" w:cs="宋体"/>
          <w:color w:val="auto"/>
          <w:highlight w:val="none"/>
        </w:rPr>
      </w:pPr>
    </w:p>
    <w:p>
      <w:pPr>
        <w:rPr>
          <w:rFonts w:ascii="宋体" w:hAnsi="宋体" w:cs="宋体"/>
          <w:color w:val="auto"/>
          <w:highlight w:val="none"/>
        </w:rPr>
      </w:pPr>
      <w:r>
        <w:rPr>
          <w:rFonts w:hint="eastAsia" w:ascii="宋体" w:hAnsi="宋体" w:cs="宋体"/>
          <w:color w:val="auto"/>
          <w:highlight w:val="none"/>
        </w:rPr>
        <w:br w:type="page"/>
      </w:r>
    </w:p>
    <w:p>
      <w:pPr>
        <w:jc w:val="center"/>
        <w:rPr>
          <w:rFonts w:ascii="宋体" w:hAnsi="宋体" w:cs="宋体"/>
          <w:b/>
          <w:color w:val="auto"/>
          <w:sz w:val="36"/>
          <w:szCs w:val="36"/>
          <w:highlight w:val="none"/>
        </w:rPr>
      </w:pPr>
      <w:r>
        <w:rPr>
          <w:rFonts w:hint="eastAsia" w:ascii="宋体" w:hAnsi="宋体" w:cs="宋体"/>
          <w:b/>
          <w:color w:val="auto"/>
          <w:sz w:val="36"/>
          <w:szCs w:val="36"/>
          <w:highlight w:val="none"/>
        </w:rPr>
        <w:t>算术复核表</w:t>
      </w:r>
    </w:p>
    <w:p>
      <w:pPr>
        <w:rPr>
          <w:rFonts w:ascii="宋体" w:hAnsi="宋体" w:cs="宋体"/>
          <w:color w:val="auto"/>
          <w:szCs w:val="21"/>
          <w:highlight w:val="none"/>
        </w:rPr>
      </w:pPr>
      <w:r>
        <w:rPr>
          <w:rFonts w:hint="eastAsia" w:ascii="宋体" w:hAnsi="宋体" w:cs="宋体"/>
          <w:color w:val="auto"/>
          <w:szCs w:val="21"/>
          <w:highlight w:val="none"/>
        </w:rPr>
        <w:t>工程名称：</w:t>
      </w:r>
    </w:p>
    <w:tbl>
      <w:tblPr>
        <w:tblStyle w:val="38"/>
        <w:tblW w:w="1417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4297"/>
        <w:gridCol w:w="2330"/>
        <w:gridCol w:w="3101"/>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rFonts w:ascii="宋体" w:hAnsi="宋体" w:cs="宋体"/>
                <w:b/>
                <w:color w:val="auto"/>
                <w:sz w:val="28"/>
                <w:szCs w:val="28"/>
                <w:highlight w:val="none"/>
              </w:rPr>
            </w:pPr>
            <w:r>
              <w:rPr>
                <w:rFonts w:hint="eastAsia" w:ascii="宋体" w:hAnsi="宋体" w:cs="宋体"/>
                <w:b/>
                <w:color w:val="auto"/>
                <w:sz w:val="28"/>
                <w:szCs w:val="28"/>
                <w:highlight w:val="none"/>
              </w:rPr>
              <w:t>编号</w:t>
            </w:r>
          </w:p>
        </w:tc>
        <w:tc>
          <w:tcPr>
            <w:tcW w:w="4297" w:type="dxa"/>
            <w:tcBorders>
              <w:top w:val="single" w:color="auto" w:sz="4" w:space="0"/>
              <w:left w:val="single" w:color="auto" w:sz="4" w:space="0"/>
              <w:bottom w:val="single" w:color="auto" w:sz="4" w:space="0"/>
              <w:right w:val="single" w:color="auto" w:sz="4" w:space="0"/>
            </w:tcBorders>
          </w:tcPr>
          <w:p>
            <w:pPr>
              <w:rPr>
                <w:rFonts w:ascii="宋体" w:hAnsi="宋体" w:cs="宋体"/>
                <w:b/>
                <w:color w:val="auto"/>
                <w:sz w:val="28"/>
                <w:szCs w:val="28"/>
                <w:highlight w:val="none"/>
              </w:rPr>
            </w:pPr>
            <w:r>
              <w:rPr>
                <w:rFonts w:hint="eastAsia" w:ascii="宋体" w:hAnsi="宋体" w:cs="宋体"/>
                <w:b/>
                <w:color w:val="auto"/>
                <w:sz w:val="28"/>
                <w:szCs w:val="28"/>
                <w:highlight w:val="none"/>
              </w:rPr>
              <w:t>投标人名称</w:t>
            </w:r>
          </w:p>
        </w:tc>
        <w:tc>
          <w:tcPr>
            <w:tcW w:w="2330" w:type="dxa"/>
            <w:tcBorders>
              <w:top w:val="single" w:color="auto" w:sz="4" w:space="0"/>
              <w:left w:val="single" w:color="auto" w:sz="4" w:space="0"/>
              <w:bottom w:val="single" w:color="auto" w:sz="4" w:space="0"/>
              <w:right w:val="single" w:color="auto" w:sz="4" w:space="0"/>
            </w:tcBorders>
          </w:tcPr>
          <w:p>
            <w:pPr>
              <w:rPr>
                <w:rFonts w:ascii="宋体" w:hAnsi="宋体" w:cs="宋体"/>
                <w:b/>
                <w:color w:val="auto"/>
                <w:sz w:val="28"/>
                <w:szCs w:val="28"/>
                <w:highlight w:val="none"/>
              </w:rPr>
            </w:pPr>
            <w:r>
              <w:rPr>
                <w:rFonts w:hint="eastAsia" w:ascii="宋体" w:hAnsi="宋体" w:cs="宋体"/>
                <w:b/>
                <w:color w:val="auto"/>
                <w:sz w:val="28"/>
                <w:szCs w:val="28"/>
                <w:highlight w:val="none"/>
              </w:rPr>
              <w:t>原投标报价（A）</w:t>
            </w:r>
          </w:p>
        </w:tc>
        <w:tc>
          <w:tcPr>
            <w:tcW w:w="3101" w:type="dxa"/>
            <w:tcBorders>
              <w:top w:val="single" w:color="auto" w:sz="4" w:space="0"/>
              <w:left w:val="single" w:color="auto" w:sz="4" w:space="0"/>
              <w:bottom w:val="single" w:color="auto" w:sz="4" w:space="0"/>
              <w:right w:val="single" w:color="auto" w:sz="4" w:space="0"/>
            </w:tcBorders>
          </w:tcPr>
          <w:p>
            <w:pPr>
              <w:rPr>
                <w:rFonts w:ascii="宋体" w:hAnsi="宋体" w:cs="宋体"/>
                <w:b/>
                <w:color w:val="auto"/>
                <w:sz w:val="28"/>
                <w:szCs w:val="28"/>
                <w:highlight w:val="none"/>
              </w:rPr>
            </w:pPr>
            <w:r>
              <w:rPr>
                <w:rFonts w:hint="eastAsia" w:ascii="宋体" w:hAnsi="宋体" w:cs="宋体"/>
                <w:b/>
                <w:color w:val="auto"/>
                <w:sz w:val="28"/>
                <w:szCs w:val="28"/>
                <w:highlight w:val="none"/>
              </w:rPr>
              <w:t>算数复核后投标报价（B）</w:t>
            </w:r>
          </w:p>
        </w:tc>
        <w:tc>
          <w:tcPr>
            <w:tcW w:w="3423" w:type="dxa"/>
            <w:tcBorders>
              <w:top w:val="single" w:color="auto" w:sz="4" w:space="0"/>
              <w:left w:val="single" w:color="auto" w:sz="4" w:space="0"/>
              <w:bottom w:val="single" w:color="auto" w:sz="4" w:space="0"/>
              <w:right w:val="single" w:color="auto" w:sz="4" w:space="0"/>
            </w:tcBorders>
          </w:tcPr>
          <w:p>
            <w:pPr>
              <w:rPr>
                <w:rFonts w:ascii="宋体" w:hAnsi="宋体" w:cs="宋体"/>
                <w:b/>
                <w:color w:val="auto"/>
                <w:sz w:val="28"/>
                <w:szCs w:val="28"/>
                <w:highlight w:val="none"/>
              </w:rPr>
            </w:pPr>
            <w:r>
              <w:rPr>
                <w:rFonts w:hint="eastAsia" w:ascii="宋体" w:hAnsi="宋体" w:cs="宋体"/>
                <w:b/>
                <w:color w:val="auto"/>
                <w:sz w:val="28"/>
                <w:szCs w:val="28"/>
                <w:highlight w:val="none"/>
              </w:rPr>
              <w:t>误差率（r=|A-B|/A*100%）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 w:val="36"/>
                <w:szCs w:val="36"/>
                <w:highlight w:val="none"/>
              </w:rPr>
            </w:pPr>
          </w:p>
        </w:tc>
      </w:tr>
    </w:tbl>
    <w:p>
      <w:pPr>
        <w:rPr>
          <w:rFonts w:ascii="宋体" w:hAnsi="宋体" w:cs="宋体"/>
          <w:color w:val="auto"/>
          <w:szCs w:val="21"/>
          <w:highlight w:val="none"/>
        </w:rPr>
      </w:pPr>
      <w:r>
        <w:rPr>
          <w:rFonts w:hint="eastAsia" w:ascii="宋体" w:hAnsi="宋体" w:cs="宋体"/>
          <w:color w:val="auto"/>
          <w:szCs w:val="21"/>
          <w:highlight w:val="none"/>
        </w:rPr>
        <w:t>评委签名：</w:t>
      </w:r>
    </w:p>
    <w:p>
      <w:pPr>
        <w:spacing w:line="360" w:lineRule="auto"/>
        <w:jc w:val="center"/>
        <w:rPr>
          <w:rFonts w:ascii="宋体" w:hAnsi="宋体" w:cs="宋体"/>
          <w:color w:val="auto"/>
          <w:szCs w:val="21"/>
          <w:highlight w:val="none"/>
        </w:rPr>
        <w:sectPr>
          <w:headerReference r:id="rId15" w:type="first"/>
          <w:footerReference r:id="rId18" w:type="first"/>
          <w:headerReference r:id="rId13" w:type="default"/>
          <w:footerReference r:id="rId16" w:type="default"/>
          <w:headerReference r:id="rId14" w:type="even"/>
          <w:footerReference r:id="rId17" w:type="even"/>
          <w:endnotePr>
            <w:numFmt w:val="decimal"/>
          </w:endnotePr>
          <w:pgSz w:w="16838" w:h="11906" w:orient="landscape"/>
          <w:pgMar w:top="1418" w:right="1247" w:bottom="1418" w:left="1134" w:header="851" w:footer="907" w:gutter="0"/>
          <w:pgNumType w:fmt="decimal"/>
          <w:cols w:space="720" w:num="1"/>
          <w:titlePg/>
          <w:docGrid w:type="lines" w:linePitch="312" w:charSpace="0"/>
        </w:sectPr>
      </w:pPr>
    </w:p>
    <w:p>
      <w:pPr>
        <w:pStyle w:val="5"/>
        <w:jc w:val="center"/>
        <w:rPr>
          <w:rFonts w:ascii="宋体" w:hAnsi="宋体" w:cs="宋体"/>
          <w:b/>
          <w:bCs/>
          <w:color w:val="auto"/>
          <w:highlight w:val="none"/>
        </w:rPr>
      </w:pPr>
      <w:bookmarkStart w:id="176" w:name="_Toc20429"/>
      <w:bookmarkStart w:id="177" w:name="_Toc10242"/>
      <w:bookmarkStart w:id="178" w:name="_Toc17748"/>
      <w:bookmarkStart w:id="179" w:name="_Toc1630"/>
      <w:bookmarkStart w:id="180" w:name="_Toc16852498"/>
      <w:r>
        <w:rPr>
          <w:rFonts w:hint="eastAsia" w:ascii="宋体" w:hAnsi="宋体" w:cs="宋体"/>
          <w:b/>
          <w:bCs/>
          <w:color w:val="auto"/>
          <w:highlight w:val="none"/>
        </w:rPr>
        <w:t>第三章  合同条款</w:t>
      </w:r>
      <w:bookmarkEnd w:id="176"/>
      <w:bookmarkEnd w:id="177"/>
      <w:bookmarkEnd w:id="178"/>
      <w:bookmarkEnd w:id="179"/>
      <w:bookmarkEnd w:id="180"/>
    </w:p>
    <w:p>
      <w:pPr>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（另册）</w:t>
      </w:r>
    </w:p>
    <w:p>
      <w:pPr>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37"/>
        <w:spacing w:line="360" w:lineRule="auto"/>
        <w:rPr>
          <w:rFonts w:ascii="宋体" w:hAnsi="宋体" w:cs="宋体"/>
          <w:color w:val="auto"/>
          <w:sz w:val="24"/>
          <w:szCs w:val="24"/>
          <w:highlight w:val="none"/>
        </w:rPr>
      </w:pPr>
    </w:p>
    <w:p>
      <w:pPr>
        <w:pStyle w:val="21"/>
        <w:spacing w:line="360" w:lineRule="auto"/>
        <w:rPr>
          <w:rFonts w:hAnsi="宋体" w:cs="宋体"/>
          <w:color w:val="auto"/>
          <w:sz w:val="24"/>
          <w:szCs w:val="24"/>
          <w:highlight w:val="none"/>
        </w:rPr>
      </w:pPr>
    </w:p>
    <w:p>
      <w:pPr>
        <w:pStyle w:val="21"/>
        <w:spacing w:line="360" w:lineRule="auto"/>
        <w:jc w:val="center"/>
        <w:outlineLvl w:val="0"/>
        <w:rPr>
          <w:rStyle w:val="110"/>
          <w:rFonts w:hint="eastAsia" w:ascii="宋体" w:hAnsi="宋体" w:cs="宋体"/>
          <w:color w:val="auto"/>
          <w:highlight w:val="none"/>
        </w:rPr>
        <w:sectPr>
          <w:pgSz w:w="11906" w:h="16838"/>
          <w:pgMar w:top="1247" w:right="1418" w:bottom="1134" w:left="1588" w:header="851" w:footer="850" w:gutter="0"/>
          <w:pgNumType w:fmt="decimal"/>
          <w:cols w:space="720" w:num="1"/>
          <w:titlePg/>
          <w:docGrid w:type="lines" w:linePitch="312" w:charSpace="0"/>
        </w:sectPr>
      </w:pPr>
      <w:bookmarkStart w:id="181" w:name="_Toc14846"/>
      <w:bookmarkStart w:id="182" w:name="_Toc16046"/>
      <w:bookmarkStart w:id="183" w:name="_Toc1919576129"/>
      <w:bookmarkStart w:id="184" w:name="_Toc31977"/>
      <w:bookmarkStart w:id="185" w:name="_Toc9576"/>
    </w:p>
    <w:p>
      <w:pPr>
        <w:pStyle w:val="21"/>
        <w:spacing w:line="360" w:lineRule="auto"/>
        <w:jc w:val="center"/>
        <w:outlineLvl w:val="0"/>
        <w:rPr>
          <w:rFonts w:hAnsi="宋体" w:cs="宋体"/>
          <w:color w:val="auto"/>
          <w:highlight w:val="none"/>
        </w:rPr>
      </w:pPr>
      <w:r>
        <w:rPr>
          <w:rStyle w:val="110"/>
          <w:rFonts w:hint="eastAsia" w:ascii="宋体" w:hAnsi="宋体" w:cs="宋体"/>
          <w:color w:val="auto"/>
          <w:highlight w:val="none"/>
        </w:rPr>
        <w:t>第四章  投标文件格式</w:t>
      </w:r>
      <w:bookmarkEnd w:id="181"/>
      <w:bookmarkEnd w:id="182"/>
      <w:bookmarkEnd w:id="183"/>
      <w:bookmarkEnd w:id="184"/>
      <w:bookmarkEnd w:id="185"/>
    </w:p>
    <w:p>
      <w:pPr>
        <w:pStyle w:val="6"/>
        <w:ind w:left="0"/>
        <w:jc w:val="both"/>
        <w:rPr>
          <w:rFonts w:ascii="宋体" w:hAnsi="宋体" w:cs="宋体"/>
          <w:color w:val="auto"/>
          <w:highlight w:val="none"/>
        </w:rPr>
      </w:pPr>
      <w:r>
        <w:rPr>
          <w:rFonts w:hint="eastAsia" w:ascii="宋体" w:hAnsi="宋体" w:cs="宋体"/>
          <w:color w:val="auto"/>
          <w:highlight w:val="none"/>
        </w:rPr>
        <w:br w:type="page"/>
      </w:r>
      <w:bookmarkStart w:id="186" w:name="_Toc31591"/>
      <w:bookmarkStart w:id="187" w:name="_Toc2647"/>
      <w:bookmarkStart w:id="188" w:name="_Toc14890"/>
      <w:bookmarkStart w:id="189" w:name="_Toc7207"/>
      <w:bookmarkStart w:id="190" w:name="_Toc669171222"/>
      <w:r>
        <w:rPr>
          <w:rFonts w:hint="eastAsia" w:ascii="宋体" w:hAnsi="宋体" w:cs="宋体"/>
          <w:color w:val="auto"/>
          <w:highlight w:val="none"/>
        </w:rPr>
        <w:t>格式一：广州建设工程施工招标投标书</w:t>
      </w:r>
      <w:bookmarkEnd w:id="186"/>
      <w:bookmarkEnd w:id="187"/>
      <w:bookmarkEnd w:id="188"/>
      <w:bookmarkEnd w:id="189"/>
      <w:bookmarkEnd w:id="190"/>
    </w:p>
    <w:p>
      <w:pPr>
        <w:autoSpaceDE w:val="0"/>
        <w:autoSpaceDN w:val="0"/>
        <w:adjustRightInd w:val="0"/>
        <w:ind w:left="-540" w:leftChars="-257" w:firstLine="1135" w:firstLineChars="257"/>
        <w:jc w:val="center"/>
        <w:rPr>
          <w:rFonts w:ascii="宋体" w:hAnsi="宋体" w:cs="宋体"/>
          <w:b/>
          <w:bCs/>
          <w:color w:val="auto"/>
          <w:sz w:val="44"/>
          <w:szCs w:val="44"/>
          <w:highlight w:val="none"/>
          <w:lang w:val="zh-CN"/>
        </w:rPr>
      </w:pPr>
    </w:p>
    <w:p>
      <w:pPr>
        <w:autoSpaceDE w:val="0"/>
        <w:autoSpaceDN w:val="0"/>
        <w:adjustRightInd w:val="0"/>
        <w:ind w:left="-540" w:leftChars="-257" w:firstLine="1135" w:firstLineChars="257"/>
        <w:jc w:val="center"/>
        <w:rPr>
          <w:rFonts w:ascii="宋体" w:hAnsi="宋体" w:cs="宋体"/>
          <w:b/>
          <w:bCs/>
          <w:color w:val="auto"/>
          <w:sz w:val="52"/>
          <w:szCs w:val="52"/>
          <w:highlight w:val="none"/>
        </w:rPr>
      </w:pPr>
      <w:r>
        <w:rPr>
          <w:rFonts w:hint="eastAsia" w:ascii="宋体" w:hAnsi="宋体" w:cs="宋体"/>
          <w:b/>
          <w:bCs/>
          <w:color w:val="auto"/>
          <w:sz w:val="44"/>
          <w:szCs w:val="44"/>
          <w:highlight w:val="none"/>
          <w:lang w:val="zh-CN"/>
        </w:rPr>
        <w:t>广州建设工程施工招标投标书</w:t>
      </w:r>
    </w:p>
    <w:tbl>
      <w:tblPr>
        <w:tblStyle w:val="38"/>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4"/>
        <w:gridCol w:w="5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42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工 程 名 称</w:t>
            </w:r>
          </w:p>
        </w:tc>
        <w:tc>
          <w:tcPr>
            <w:tcW w:w="5145"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宋体" w:hAnsi="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42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投标总报价（元）</w:t>
            </w:r>
          </w:p>
        </w:tc>
        <w:tc>
          <w:tcPr>
            <w:tcW w:w="51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42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其中：</w:t>
            </w:r>
            <w:r>
              <w:rPr>
                <w:rFonts w:hint="eastAsia" w:ascii="宋体" w:hAnsi="宋体" w:cs="宋体"/>
                <w:b/>
                <w:bCs/>
                <w:color w:val="auto"/>
                <w:sz w:val="24"/>
                <w:szCs w:val="24"/>
                <w:highlight w:val="none"/>
                <w:lang w:val="zh-CN"/>
              </w:rPr>
              <w:t>人工费</w:t>
            </w:r>
            <w:r>
              <w:rPr>
                <w:rFonts w:hint="eastAsia" w:ascii="宋体" w:hAnsi="宋体" w:cs="宋体"/>
                <w:b/>
                <w:color w:val="auto"/>
                <w:sz w:val="24"/>
                <w:szCs w:val="24"/>
                <w:highlight w:val="none"/>
                <w:lang w:val="zh-CN"/>
              </w:rPr>
              <w:t>（元）</w:t>
            </w:r>
          </w:p>
        </w:tc>
        <w:tc>
          <w:tcPr>
            <w:tcW w:w="51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423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其中：</w:t>
            </w:r>
            <w:r>
              <w:rPr>
                <w:rFonts w:hint="eastAsia" w:ascii="宋体" w:hAnsi="宋体" w:cs="宋体"/>
                <w:b/>
                <w:color w:val="auto"/>
                <w:sz w:val="24"/>
                <w:szCs w:val="24"/>
                <w:highlight w:val="none"/>
                <w:lang w:val="zh-CN"/>
              </w:rPr>
              <w:t>绿色施工安全防护措施费（元）</w:t>
            </w:r>
          </w:p>
        </w:tc>
        <w:tc>
          <w:tcPr>
            <w:tcW w:w="51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42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 w:val="24"/>
                <w:szCs w:val="24"/>
                <w:highlight w:val="none"/>
                <w:lang w:val="zh-CN"/>
              </w:rPr>
            </w:pPr>
            <w:r>
              <w:rPr>
                <w:rFonts w:hint="eastAsia" w:ascii="宋体" w:hAnsi="宋体" w:cs="宋体"/>
                <w:b/>
                <w:color w:val="auto"/>
                <w:sz w:val="24"/>
                <w:szCs w:val="24"/>
                <w:highlight w:val="none"/>
                <w:lang w:val="zh-CN"/>
              </w:rPr>
              <w:t>投标总工期</w:t>
            </w:r>
          </w:p>
        </w:tc>
        <w:tc>
          <w:tcPr>
            <w:tcW w:w="5145"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宋体" w:hAnsi="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42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 w:val="24"/>
                <w:szCs w:val="24"/>
                <w:highlight w:val="none"/>
              </w:rPr>
            </w:pPr>
            <w:r>
              <w:rPr>
                <w:rFonts w:hint="eastAsia" w:ascii="宋体" w:hAnsi="宋体" w:cs="宋体"/>
                <w:b/>
                <w:color w:val="auto"/>
                <w:sz w:val="24"/>
                <w:szCs w:val="24"/>
                <w:highlight w:val="none"/>
                <w:lang w:val="zh-CN"/>
              </w:rPr>
              <w:t>工程质量标准</w:t>
            </w:r>
          </w:p>
        </w:tc>
        <w:tc>
          <w:tcPr>
            <w:tcW w:w="5145"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宋体" w:hAnsi="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42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保 修 期 限</w:t>
            </w:r>
          </w:p>
        </w:tc>
        <w:tc>
          <w:tcPr>
            <w:tcW w:w="5145"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宋体" w:hAnsi="宋体" w:cs="宋体"/>
                <w:b/>
                <w:bCs/>
                <w:color w:val="auto"/>
                <w:sz w:val="24"/>
                <w:szCs w:val="24"/>
                <w:highlight w:val="none"/>
                <w:lang w:val="zh-CN"/>
              </w:rPr>
            </w:pPr>
          </w:p>
        </w:tc>
      </w:tr>
    </w:tbl>
    <w:p>
      <w:pPr>
        <w:tabs>
          <w:tab w:val="left" w:pos="720"/>
        </w:tabs>
        <w:snapToGrid w:val="0"/>
        <w:spacing w:line="360" w:lineRule="auto"/>
        <w:rPr>
          <w:rFonts w:ascii="宋体" w:hAnsi="宋体" w:cs="宋体"/>
          <w:color w:val="auto"/>
          <w:sz w:val="24"/>
          <w:szCs w:val="24"/>
          <w:highlight w:val="none"/>
        </w:rPr>
      </w:pPr>
    </w:p>
    <w:p>
      <w:pPr>
        <w:pStyle w:val="74"/>
        <w:rPr>
          <w:rFonts w:ascii="宋体" w:hAnsi="宋体" w:cs="宋体"/>
          <w:color w:val="auto"/>
          <w:sz w:val="24"/>
          <w:szCs w:val="24"/>
          <w:highlight w:val="none"/>
        </w:rPr>
      </w:pPr>
    </w:p>
    <w:p>
      <w:pPr>
        <w:pStyle w:val="74"/>
        <w:rPr>
          <w:rFonts w:ascii="宋体" w:hAnsi="宋体" w:cs="宋体"/>
          <w:color w:val="auto"/>
          <w:sz w:val="24"/>
          <w:szCs w:val="24"/>
          <w:highlight w:val="none"/>
        </w:rPr>
      </w:pPr>
    </w:p>
    <w:p>
      <w:pPr>
        <w:pStyle w:val="74"/>
        <w:rPr>
          <w:rFonts w:ascii="宋体" w:hAnsi="宋体" w:cs="宋体"/>
          <w:color w:val="auto"/>
          <w:sz w:val="24"/>
          <w:szCs w:val="24"/>
          <w:highlight w:val="none"/>
        </w:rPr>
      </w:pPr>
    </w:p>
    <w:p>
      <w:pPr>
        <w:pStyle w:val="74"/>
        <w:rPr>
          <w:rFonts w:ascii="宋体" w:hAnsi="宋体" w:cs="宋体"/>
          <w:color w:val="auto"/>
          <w:sz w:val="24"/>
          <w:szCs w:val="24"/>
          <w:highlight w:val="none"/>
        </w:rPr>
      </w:pPr>
    </w:p>
    <w:p>
      <w:pPr>
        <w:pStyle w:val="74"/>
        <w:rPr>
          <w:rFonts w:ascii="宋体" w:hAnsi="宋体" w:cs="宋体"/>
          <w:color w:val="auto"/>
          <w:sz w:val="24"/>
          <w:szCs w:val="24"/>
          <w:highlight w:val="none"/>
        </w:rPr>
      </w:pPr>
    </w:p>
    <w:p>
      <w:pPr>
        <w:pStyle w:val="74"/>
        <w:rPr>
          <w:rFonts w:ascii="宋体" w:hAnsi="宋体" w:cs="宋体"/>
          <w:color w:val="auto"/>
          <w:sz w:val="24"/>
          <w:szCs w:val="24"/>
          <w:highlight w:val="none"/>
        </w:rPr>
      </w:pPr>
    </w:p>
    <w:p>
      <w:pPr>
        <w:pStyle w:val="74"/>
        <w:rPr>
          <w:rFonts w:ascii="宋体" w:hAnsi="宋体" w:cs="宋体"/>
          <w:color w:val="auto"/>
          <w:sz w:val="24"/>
          <w:szCs w:val="24"/>
          <w:highlight w:val="none"/>
        </w:rPr>
      </w:pPr>
    </w:p>
    <w:p>
      <w:pPr>
        <w:pStyle w:val="74"/>
        <w:rPr>
          <w:rFonts w:ascii="宋体" w:hAnsi="宋体" w:cs="宋体"/>
          <w:color w:val="auto"/>
          <w:sz w:val="24"/>
          <w:szCs w:val="24"/>
          <w:highlight w:val="none"/>
        </w:rPr>
      </w:pPr>
    </w:p>
    <w:p>
      <w:pPr>
        <w:pStyle w:val="6"/>
        <w:spacing w:before="0" w:after="0" w:line="240" w:lineRule="auto"/>
        <w:ind w:left="0"/>
        <w:jc w:val="left"/>
        <w:rPr>
          <w:rFonts w:ascii="宋体" w:hAnsi="宋体" w:cs="宋体"/>
          <w:color w:val="auto"/>
          <w:highlight w:val="none"/>
        </w:rPr>
      </w:pPr>
      <w:r>
        <w:rPr>
          <w:rFonts w:hint="eastAsia" w:ascii="宋体" w:hAnsi="宋体" w:cs="宋体"/>
          <w:color w:val="auto"/>
          <w:highlight w:val="none"/>
        </w:rPr>
        <w:br w:type="page"/>
      </w:r>
      <w:bookmarkStart w:id="191" w:name="_Toc12984"/>
      <w:bookmarkStart w:id="192" w:name="_Toc28877"/>
      <w:bookmarkStart w:id="193" w:name="_Toc11917"/>
      <w:bookmarkStart w:id="194" w:name="_Toc4867"/>
      <w:bookmarkStart w:id="195" w:name="_Toc388868815"/>
      <w:r>
        <w:rPr>
          <w:rFonts w:hint="eastAsia" w:ascii="宋体" w:hAnsi="宋体" w:cs="宋体"/>
          <w:color w:val="auto"/>
          <w:highlight w:val="none"/>
        </w:rPr>
        <w:t>格式二：技术标投标文件封面</w:t>
      </w:r>
      <w:bookmarkEnd w:id="191"/>
      <w:bookmarkEnd w:id="192"/>
      <w:bookmarkEnd w:id="193"/>
      <w:bookmarkEnd w:id="194"/>
      <w:bookmarkEnd w:id="195"/>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59"/>
        <w:ind w:firstLine="0" w:firstLineChars="0"/>
        <w:jc w:val="center"/>
        <w:rPr>
          <w:rFonts w:ascii="宋体" w:hAnsi="宋体" w:cs="宋体"/>
          <w:color w:val="auto"/>
          <w:sz w:val="36"/>
          <w:szCs w:val="36"/>
          <w:highlight w:val="none"/>
        </w:rPr>
      </w:pPr>
      <w:r>
        <w:rPr>
          <w:rFonts w:hint="eastAsia" w:ascii="宋体" w:hAnsi="宋体" w:cs="宋体"/>
          <w:b/>
          <w:color w:val="auto"/>
          <w:sz w:val="36"/>
          <w:szCs w:val="36"/>
          <w:highlight w:val="none"/>
          <w:u w:val="single"/>
        </w:rPr>
        <w:t>[工程名称]</w:t>
      </w:r>
    </w:p>
    <w:p>
      <w:pPr>
        <w:pStyle w:val="59"/>
        <w:ind w:firstLine="496"/>
        <w:rPr>
          <w:rFonts w:ascii="宋体" w:hAnsi="宋体" w:cs="宋体"/>
          <w:color w:val="auto"/>
          <w:highlight w:val="none"/>
        </w:rPr>
      </w:pPr>
    </w:p>
    <w:p>
      <w:pPr>
        <w:pStyle w:val="69"/>
        <w:rPr>
          <w:rFonts w:ascii="宋体" w:hAnsi="宋体" w:eastAsia="宋体" w:cs="宋体"/>
          <w:b w:val="0"/>
          <w:color w:val="auto"/>
          <w:highlight w:val="none"/>
        </w:rPr>
      </w:pPr>
    </w:p>
    <w:p>
      <w:pPr>
        <w:pStyle w:val="59"/>
        <w:ind w:firstLine="0" w:firstLineChars="0"/>
        <w:jc w:val="center"/>
        <w:rPr>
          <w:rFonts w:ascii="宋体" w:hAnsi="宋体" w:cs="宋体"/>
          <w:b/>
          <w:color w:val="auto"/>
          <w:sz w:val="36"/>
          <w:szCs w:val="36"/>
          <w:highlight w:val="none"/>
        </w:rPr>
      </w:pPr>
      <w:r>
        <w:rPr>
          <w:rFonts w:hint="eastAsia" w:ascii="宋体" w:hAnsi="宋体" w:cs="宋体"/>
          <w:b/>
          <w:color w:val="auto"/>
          <w:sz w:val="36"/>
          <w:szCs w:val="36"/>
          <w:highlight w:val="none"/>
        </w:rPr>
        <w:t>技术标投标文件（含资格审查文件）</w:t>
      </w:r>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64"/>
        <w:ind w:firstLine="616"/>
        <w:rPr>
          <w:rFonts w:ascii="宋体" w:hAnsi="宋体" w:cs="宋体"/>
          <w:color w:val="auto"/>
          <w:highlight w:val="none"/>
        </w:rPr>
      </w:pPr>
      <w:r>
        <w:rPr>
          <w:rFonts w:hint="eastAsia" w:ascii="宋体" w:hAnsi="宋体" w:cs="宋体"/>
          <w:color w:val="auto"/>
          <w:highlight w:val="none"/>
        </w:rPr>
        <w:t>投标人：</w:t>
      </w:r>
      <w:r>
        <w:rPr>
          <w:rFonts w:hint="eastAsia" w:ascii="宋体" w:hAnsi="宋体" w:cs="宋体"/>
          <w:color w:val="auto"/>
          <w:highlight w:val="none"/>
          <w:u w:val="single"/>
        </w:rPr>
        <w:t xml:space="preserve">                            （盖章）</w:t>
      </w:r>
    </w:p>
    <w:p>
      <w:pPr>
        <w:pStyle w:val="64"/>
        <w:ind w:firstLine="1848" w:firstLineChars="600"/>
        <w:rPr>
          <w:rFonts w:ascii="宋体" w:hAnsi="宋体" w:cs="宋体"/>
          <w:color w:val="auto"/>
          <w:highlight w:val="none"/>
          <w:u w:val="single"/>
        </w:rPr>
      </w:pPr>
      <w:r>
        <w:rPr>
          <w:rFonts w:hint="eastAsia" w:ascii="宋体" w:hAnsi="宋体" w:cs="宋体"/>
          <w:color w:val="auto"/>
          <w:highlight w:val="none"/>
          <w:u w:val="single"/>
        </w:rPr>
        <w:t xml:space="preserve">                                </w:t>
      </w:r>
    </w:p>
    <w:p>
      <w:pPr>
        <w:pStyle w:val="59"/>
        <w:ind w:firstLine="496"/>
        <w:rPr>
          <w:rFonts w:ascii="宋体" w:hAnsi="宋体" w:cs="宋体"/>
          <w:color w:val="auto"/>
          <w:highlight w:val="none"/>
        </w:rPr>
      </w:pPr>
    </w:p>
    <w:p>
      <w:pPr>
        <w:pStyle w:val="64"/>
        <w:ind w:firstLine="616"/>
        <w:rPr>
          <w:rFonts w:ascii="宋体" w:hAnsi="宋体" w:cs="宋体"/>
          <w:color w:val="auto"/>
          <w:highlight w:val="none"/>
        </w:rPr>
      </w:pPr>
      <w:r>
        <w:rPr>
          <w:rFonts w:hint="eastAsia" w:ascii="宋体" w:hAnsi="宋体" w:cs="宋体"/>
          <w:color w:val="auto"/>
          <w:highlight w:val="none"/>
        </w:rPr>
        <w:t>法定代表人或其委托代理人：</w:t>
      </w:r>
      <w:r>
        <w:rPr>
          <w:rFonts w:hint="eastAsia" w:ascii="宋体" w:hAnsi="宋体" w:cs="宋体"/>
          <w:color w:val="auto"/>
          <w:highlight w:val="none"/>
          <w:u w:val="single"/>
        </w:rPr>
        <w:t xml:space="preserve">       （签字或盖章）</w:t>
      </w:r>
    </w:p>
    <w:p>
      <w:pPr>
        <w:pStyle w:val="64"/>
        <w:ind w:firstLine="616"/>
        <w:rPr>
          <w:rFonts w:ascii="宋体" w:hAnsi="宋体" w:cs="宋体"/>
          <w:color w:val="auto"/>
          <w:sz w:val="24"/>
          <w:szCs w:val="24"/>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pPr>
        <w:autoSpaceDE w:val="0"/>
        <w:autoSpaceDN w:val="0"/>
        <w:adjustRightInd w:val="0"/>
        <w:rPr>
          <w:rFonts w:ascii="宋体" w:hAnsi="宋体" w:cs="宋体"/>
          <w:color w:val="auto"/>
          <w:sz w:val="24"/>
          <w:szCs w:val="24"/>
          <w:highlight w:val="none"/>
        </w:rPr>
      </w:pPr>
    </w:p>
    <w:p>
      <w:pPr>
        <w:autoSpaceDE w:val="0"/>
        <w:autoSpaceDN w:val="0"/>
        <w:adjustRightInd w:val="0"/>
        <w:rPr>
          <w:rFonts w:ascii="宋体" w:hAnsi="宋体" w:cs="宋体"/>
          <w:color w:val="auto"/>
          <w:sz w:val="24"/>
          <w:szCs w:val="24"/>
          <w:highlight w:val="none"/>
        </w:rPr>
      </w:pPr>
    </w:p>
    <w:p>
      <w:pPr>
        <w:autoSpaceDE w:val="0"/>
        <w:autoSpaceDN w:val="0"/>
        <w:adjustRightInd w:val="0"/>
        <w:rPr>
          <w:rFonts w:ascii="宋体" w:hAnsi="宋体" w:cs="宋体"/>
          <w:color w:val="auto"/>
          <w:sz w:val="24"/>
          <w:szCs w:val="24"/>
          <w:highlight w:val="none"/>
        </w:rPr>
      </w:pPr>
    </w:p>
    <w:p>
      <w:pPr>
        <w:autoSpaceDE w:val="0"/>
        <w:autoSpaceDN w:val="0"/>
        <w:adjustRightInd w:val="0"/>
        <w:rPr>
          <w:rFonts w:ascii="宋体" w:hAnsi="宋体" w:cs="宋体"/>
          <w:color w:val="auto"/>
          <w:sz w:val="24"/>
          <w:szCs w:val="24"/>
          <w:highlight w:val="none"/>
        </w:rPr>
      </w:pPr>
    </w:p>
    <w:p>
      <w:pPr>
        <w:pStyle w:val="74"/>
        <w:rPr>
          <w:rFonts w:ascii="宋体" w:hAnsi="宋体" w:cs="宋体"/>
          <w:color w:val="auto"/>
          <w:sz w:val="24"/>
          <w:szCs w:val="24"/>
          <w:highlight w:val="none"/>
        </w:rPr>
      </w:pPr>
    </w:p>
    <w:p>
      <w:pPr>
        <w:pStyle w:val="74"/>
        <w:rPr>
          <w:rFonts w:ascii="宋体" w:hAnsi="宋体" w:cs="宋体"/>
          <w:color w:val="auto"/>
          <w:sz w:val="24"/>
          <w:szCs w:val="24"/>
          <w:highlight w:val="none"/>
        </w:rPr>
      </w:pPr>
    </w:p>
    <w:p>
      <w:pPr>
        <w:pStyle w:val="74"/>
        <w:rPr>
          <w:rFonts w:ascii="宋体" w:hAnsi="宋体" w:cs="宋体"/>
          <w:color w:val="auto"/>
          <w:sz w:val="24"/>
          <w:szCs w:val="24"/>
          <w:highlight w:val="none"/>
        </w:rPr>
      </w:pPr>
    </w:p>
    <w:p>
      <w:pPr>
        <w:pStyle w:val="6"/>
        <w:spacing w:before="0" w:after="0" w:line="240" w:lineRule="auto"/>
        <w:ind w:left="0"/>
        <w:jc w:val="left"/>
        <w:rPr>
          <w:rFonts w:ascii="宋体" w:hAnsi="宋体" w:cs="宋体"/>
          <w:color w:val="auto"/>
          <w:highlight w:val="none"/>
        </w:rPr>
      </w:pPr>
      <w:bookmarkStart w:id="196" w:name="_Toc55169946"/>
      <w:r>
        <w:rPr>
          <w:rFonts w:hint="eastAsia" w:ascii="宋体" w:hAnsi="宋体" w:cs="宋体"/>
          <w:color w:val="auto"/>
          <w:highlight w:val="none"/>
        </w:rPr>
        <w:br w:type="page"/>
      </w:r>
      <w:bookmarkStart w:id="197" w:name="_Toc25946"/>
      <w:bookmarkStart w:id="198" w:name="_Toc11097"/>
      <w:bookmarkStart w:id="199" w:name="_Toc28408"/>
      <w:bookmarkStart w:id="200" w:name="_Toc1168"/>
      <w:bookmarkStart w:id="201" w:name="_Toc925435884"/>
      <w:r>
        <w:rPr>
          <w:rFonts w:hint="eastAsia" w:ascii="宋体" w:hAnsi="宋体" w:cs="宋体"/>
          <w:color w:val="auto"/>
          <w:highlight w:val="none"/>
        </w:rPr>
        <w:t>格式三：经济标投标文件封面</w:t>
      </w:r>
      <w:bookmarkEnd w:id="196"/>
      <w:bookmarkEnd w:id="197"/>
      <w:bookmarkEnd w:id="198"/>
      <w:bookmarkEnd w:id="199"/>
      <w:bookmarkEnd w:id="200"/>
      <w:bookmarkEnd w:id="201"/>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59"/>
        <w:ind w:firstLine="0" w:firstLineChars="0"/>
        <w:jc w:val="center"/>
        <w:rPr>
          <w:rFonts w:ascii="宋体" w:hAnsi="宋体" w:cs="宋体"/>
          <w:color w:val="auto"/>
          <w:sz w:val="36"/>
          <w:szCs w:val="36"/>
          <w:highlight w:val="none"/>
        </w:rPr>
      </w:pPr>
      <w:r>
        <w:rPr>
          <w:rFonts w:hint="eastAsia" w:ascii="宋体" w:hAnsi="宋体" w:cs="宋体"/>
          <w:b/>
          <w:color w:val="auto"/>
          <w:sz w:val="36"/>
          <w:szCs w:val="36"/>
          <w:highlight w:val="none"/>
          <w:u w:val="single"/>
        </w:rPr>
        <w:t>[工程名称]</w:t>
      </w:r>
    </w:p>
    <w:p>
      <w:pPr>
        <w:pStyle w:val="59"/>
        <w:ind w:firstLine="496"/>
        <w:rPr>
          <w:rFonts w:ascii="宋体" w:hAnsi="宋体" w:cs="宋体"/>
          <w:color w:val="auto"/>
          <w:highlight w:val="none"/>
        </w:rPr>
      </w:pPr>
    </w:p>
    <w:p>
      <w:pPr>
        <w:pStyle w:val="69"/>
        <w:rPr>
          <w:rFonts w:ascii="宋体" w:hAnsi="宋体" w:eastAsia="宋体" w:cs="宋体"/>
          <w:b w:val="0"/>
          <w:color w:val="auto"/>
          <w:highlight w:val="none"/>
        </w:rPr>
      </w:pPr>
    </w:p>
    <w:p>
      <w:pPr>
        <w:pStyle w:val="59"/>
        <w:ind w:firstLine="0" w:firstLineChars="0"/>
        <w:jc w:val="center"/>
        <w:rPr>
          <w:rFonts w:ascii="宋体" w:hAnsi="宋体" w:cs="宋体"/>
          <w:b/>
          <w:color w:val="auto"/>
          <w:sz w:val="36"/>
          <w:szCs w:val="36"/>
          <w:highlight w:val="none"/>
        </w:rPr>
      </w:pPr>
      <w:r>
        <w:rPr>
          <w:rFonts w:hint="eastAsia" w:ascii="宋体" w:hAnsi="宋体" w:cs="宋体"/>
          <w:b/>
          <w:color w:val="auto"/>
          <w:sz w:val="36"/>
          <w:szCs w:val="36"/>
          <w:highlight w:val="none"/>
        </w:rPr>
        <w:t>经济标投标文件</w:t>
      </w:r>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59"/>
        <w:ind w:firstLine="496"/>
        <w:rPr>
          <w:rFonts w:ascii="宋体" w:hAnsi="宋体" w:cs="宋体"/>
          <w:color w:val="auto"/>
          <w:highlight w:val="none"/>
        </w:rPr>
      </w:pPr>
    </w:p>
    <w:p>
      <w:pPr>
        <w:pStyle w:val="64"/>
        <w:ind w:firstLine="616"/>
        <w:rPr>
          <w:rFonts w:ascii="宋体" w:hAnsi="宋体" w:cs="宋体"/>
          <w:color w:val="auto"/>
          <w:highlight w:val="none"/>
        </w:rPr>
      </w:pPr>
      <w:r>
        <w:rPr>
          <w:rFonts w:hint="eastAsia" w:ascii="宋体" w:hAnsi="宋体" w:cs="宋体"/>
          <w:color w:val="auto"/>
          <w:highlight w:val="none"/>
        </w:rPr>
        <w:t>投标人：</w:t>
      </w:r>
      <w:r>
        <w:rPr>
          <w:rFonts w:hint="eastAsia" w:ascii="宋体" w:hAnsi="宋体" w:cs="宋体"/>
          <w:color w:val="auto"/>
          <w:highlight w:val="none"/>
          <w:u w:val="single"/>
        </w:rPr>
        <w:t xml:space="preserve">                             （盖章）</w:t>
      </w:r>
    </w:p>
    <w:p>
      <w:pPr>
        <w:pStyle w:val="64"/>
        <w:ind w:firstLine="1848" w:firstLineChars="600"/>
        <w:rPr>
          <w:rFonts w:ascii="宋体" w:hAnsi="宋体" w:cs="宋体"/>
          <w:color w:val="auto"/>
          <w:highlight w:val="none"/>
          <w:u w:val="single"/>
        </w:rPr>
      </w:pPr>
      <w:r>
        <w:rPr>
          <w:rFonts w:hint="eastAsia" w:ascii="宋体" w:hAnsi="宋体" w:cs="宋体"/>
          <w:color w:val="auto"/>
          <w:highlight w:val="none"/>
          <w:u w:val="single"/>
        </w:rPr>
        <w:t xml:space="preserve">                               </w:t>
      </w:r>
    </w:p>
    <w:p>
      <w:pPr>
        <w:pStyle w:val="64"/>
        <w:ind w:firstLine="616"/>
        <w:rPr>
          <w:rFonts w:ascii="宋体" w:hAnsi="宋体" w:cs="宋体"/>
          <w:color w:val="auto"/>
          <w:highlight w:val="none"/>
        </w:rPr>
      </w:pPr>
    </w:p>
    <w:p>
      <w:pPr>
        <w:pStyle w:val="64"/>
        <w:ind w:firstLine="616"/>
        <w:rPr>
          <w:rFonts w:ascii="宋体" w:hAnsi="宋体" w:cs="宋体"/>
          <w:color w:val="auto"/>
          <w:highlight w:val="none"/>
        </w:rPr>
      </w:pPr>
      <w:r>
        <w:rPr>
          <w:rFonts w:hint="eastAsia" w:ascii="宋体" w:hAnsi="宋体" w:cs="宋体"/>
          <w:color w:val="auto"/>
          <w:highlight w:val="none"/>
        </w:rPr>
        <w:t>法定代表人或其委托代理人：</w:t>
      </w:r>
      <w:r>
        <w:rPr>
          <w:rFonts w:hint="eastAsia" w:ascii="宋体" w:hAnsi="宋体" w:cs="宋体"/>
          <w:color w:val="auto"/>
          <w:highlight w:val="none"/>
          <w:u w:val="single"/>
        </w:rPr>
        <w:t xml:space="preserve">       （签字或盖章）</w:t>
      </w:r>
    </w:p>
    <w:p>
      <w:pPr>
        <w:pStyle w:val="64"/>
        <w:ind w:firstLine="616"/>
        <w:rPr>
          <w:rFonts w:ascii="宋体" w:hAnsi="宋体" w:cs="宋体"/>
          <w:color w:val="auto"/>
          <w:sz w:val="24"/>
          <w:szCs w:val="24"/>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pPr>
        <w:autoSpaceDE w:val="0"/>
        <w:autoSpaceDN w:val="0"/>
        <w:adjustRightInd w:val="0"/>
        <w:rPr>
          <w:rFonts w:ascii="宋体" w:hAnsi="宋体" w:cs="宋体"/>
          <w:color w:val="auto"/>
          <w:sz w:val="24"/>
          <w:szCs w:val="24"/>
          <w:highlight w:val="none"/>
        </w:rPr>
      </w:pPr>
    </w:p>
    <w:p>
      <w:pPr>
        <w:autoSpaceDE w:val="0"/>
        <w:autoSpaceDN w:val="0"/>
        <w:adjustRightInd w:val="0"/>
        <w:rPr>
          <w:rFonts w:ascii="宋体" w:hAnsi="宋体" w:cs="宋体"/>
          <w:color w:val="auto"/>
          <w:sz w:val="24"/>
          <w:szCs w:val="24"/>
          <w:highlight w:val="none"/>
        </w:rPr>
      </w:pPr>
    </w:p>
    <w:p>
      <w:pPr>
        <w:autoSpaceDE w:val="0"/>
        <w:autoSpaceDN w:val="0"/>
        <w:adjustRightInd w:val="0"/>
        <w:rPr>
          <w:rFonts w:ascii="宋体" w:hAnsi="宋体" w:cs="宋体"/>
          <w:color w:val="auto"/>
          <w:sz w:val="24"/>
          <w:szCs w:val="24"/>
          <w:highlight w:val="none"/>
        </w:rPr>
      </w:pPr>
    </w:p>
    <w:p>
      <w:pPr>
        <w:autoSpaceDE w:val="0"/>
        <w:autoSpaceDN w:val="0"/>
        <w:adjustRightInd w:val="0"/>
        <w:rPr>
          <w:rFonts w:ascii="宋体" w:hAnsi="宋体" w:cs="宋体"/>
          <w:color w:val="auto"/>
          <w:sz w:val="24"/>
          <w:szCs w:val="24"/>
          <w:highlight w:val="none"/>
        </w:rPr>
      </w:pPr>
    </w:p>
    <w:p>
      <w:pPr>
        <w:pStyle w:val="74"/>
        <w:rPr>
          <w:rFonts w:ascii="宋体" w:hAnsi="宋体" w:cs="宋体"/>
          <w:color w:val="auto"/>
          <w:sz w:val="24"/>
          <w:szCs w:val="24"/>
          <w:highlight w:val="none"/>
        </w:rPr>
      </w:pPr>
    </w:p>
    <w:p>
      <w:pPr>
        <w:autoSpaceDE w:val="0"/>
        <w:autoSpaceDN w:val="0"/>
        <w:adjustRightInd w:val="0"/>
        <w:rPr>
          <w:rFonts w:ascii="宋体" w:hAnsi="宋体" w:cs="宋体"/>
          <w:color w:val="auto"/>
          <w:sz w:val="24"/>
          <w:szCs w:val="24"/>
          <w:highlight w:val="none"/>
        </w:rPr>
      </w:pPr>
    </w:p>
    <w:p>
      <w:pPr>
        <w:widowControl/>
        <w:topLinePunct/>
        <w:adjustRightInd w:val="0"/>
        <w:snapToGrid w:val="0"/>
        <w:spacing w:after="200"/>
        <w:jc w:val="left"/>
        <w:outlineLvl w:val="1"/>
        <w:rPr>
          <w:rFonts w:hint="eastAsia" w:ascii="宋体" w:hAnsi="宋体" w:eastAsia="宋体" w:cs="宋体"/>
          <w:color w:val="auto"/>
          <w:spacing w:val="4"/>
          <w:kern w:val="0"/>
          <w:sz w:val="24"/>
          <w:szCs w:val="24"/>
          <w:highlight w:val="none"/>
        </w:rPr>
      </w:pPr>
      <w:bookmarkStart w:id="202" w:name="_Toc55169948"/>
      <w:bookmarkStart w:id="203" w:name="_Toc12262586"/>
      <w:r>
        <w:rPr>
          <w:rFonts w:hint="eastAsia" w:ascii="宋体" w:hAnsi="宋体" w:cs="宋体"/>
          <w:color w:val="auto"/>
          <w:highlight w:val="none"/>
        </w:rPr>
        <w:br w:type="page"/>
      </w:r>
      <w:bookmarkStart w:id="204" w:name="_Toc29167"/>
      <w:bookmarkStart w:id="205" w:name="_Toc1724330814"/>
      <w:bookmarkStart w:id="206" w:name="_Toc23746"/>
      <w:bookmarkStart w:id="207" w:name="_Toc8780"/>
      <w:bookmarkStart w:id="208" w:name="_Toc9053"/>
      <w:r>
        <w:rPr>
          <w:rFonts w:hint="eastAsia" w:ascii="宋体" w:hAnsi="宋体" w:cs="宋体"/>
          <w:color w:val="auto"/>
          <w:highlight w:val="none"/>
          <w:lang w:val="en-US" w:eastAsia="zh-CN"/>
        </w:rPr>
        <w:t>格</w:t>
      </w:r>
      <w:r>
        <w:rPr>
          <w:rFonts w:hint="eastAsia" w:ascii="宋体" w:hAnsi="宋体" w:eastAsia="宋体" w:cs="宋体"/>
          <w:color w:val="auto"/>
          <w:spacing w:val="4"/>
          <w:kern w:val="0"/>
          <w:sz w:val="24"/>
          <w:szCs w:val="24"/>
          <w:highlight w:val="none"/>
        </w:rPr>
        <w:t>式四：法定代表人证明书、授权委托书</w:t>
      </w:r>
      <w:bookmarkEnd w:id="204"/>
      <w:bookmarkEnd w:id="205"/>
    </w:p>
    <w:p>
      <w:pPr>
        <w:widowControl/>
        <w:topLinePunct/>
        <w:adjustRightInd w:val="0"/>
        <w:snapToGrid w:val="0"/>
        <w:spacing w:after="200"/>
        <w:jc w:val="center"/>
        <w:rPr>
          <w:rFonts w:hint="eastAsia" w:ascii="宋体" w:hAnsi="宋体" w:eastAsia="宋体" w:cs="宋体"/>
          <w:b/>
          <w:bCs/>
          <w:color w:val="auto"/>
          <w:spacing w:val="4"/>
          <w:kern w:val="0"/>
          <w:sz w:val="32"/>
          <w:szCs w:val="32"/>
          <w:highlight w:val="none"/>
        </w:rPr>
      </w:pPr>
      <w:r>
        <w:rPr>
          <w:rFonts w:hint="eastAsia" w:ascii="宋体" w:hAnsi="宋体" w:eastAsia="宋体" w:cs="宋体"/>
          <w:b/>
          <w:bCs/>
          <w:color w:val="auto"/>
          <w:spacing w:val="4"/>
          <w:kern w:val="0"/>
          <w:sz w:val="32"/>
          <w:szCs w:val="32"/>
          <w:highlight w:val="none"/>
        </w:rPr>
        <w:t>法定代表人证明书、授权委托书</w:t>
      </w: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r>
        <w:rPr>
          <w:rFonts w:hint="eastAsia" w:ascii="宋体" w:hAnsi="宋体" w:eastAsia="宋体" w:cs="宋体"/>
          <w:snapToGrid w:val="0"/>
          <w:color w:val="auto"/>
          <w:spacing w:val="4"/>
          <w:sz w:val="24"/>
          <w:szCs w:val="24"/>
          <w:highlight w:val="none"/>
        </w:rPr>
        <w:t>（1）法定代表人证明书</w:t>
      </w:r>
    </w:p>
    <w:p>
      <w:pPr>
        <w:topLinePunct/>
        <w:adjustRightInd w:val="0"/>
        <w:snapToGrid w:val="0"/>
        <w:spacing w:line="360" w:lineRule="auto"/>
        <w:jc w:val="right"/>
        <w:rPr>
          <w:rFonts w:hint="eastAsia" w:ascii="宋体" w:hAnsi="宋体" w:eastAsia="宋体" w:cs="宋体"/>
          <w:snapToGrid w:val="0"/>
          <w:color w:val="auto"/>
          <w:spacing w:val="4"/>
          <w:sz w:val="24"/>
          <w:szCs w:val="24"/>
          <w:highlight w:val="none"/>
        </w:rPr>
      </w:pPr>
      <w:r>
        <w:rPr>
          <w:rFonts w:hint="eastAsia" w:ascii="宋体" w:hAnsi="宋体" w:eastAsia="宋体" w:cs="宋体"/>
          <w:snapToGrid w:val="0"/>
          <w:color w:val="auto"/>
          <w:spacing w:val="4"/>
          <w:sz w:val="24"/>
          <w:szCs w:val="24"/>
          <w:highlight w:val="none"/>
        </w:rPr>
        <w:t>（　 ）第　号</w:t>
      </w:r>
    </w:p>
    <w:p>
      <w:pPr>
        <w:topLinePunct/>
        <w:adjustRightInd w:val="0"/>
        <w:snapToGrid w:val="0"/>
        <w:spacing w:line="240" w:lineRule="exact"/>
        <w:ind w:right="248"/>
        <w:jc w:val="left"/>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r>
        <w:rPr>
          <w:rFonts w:hint="eastAsia" w:ascii="宋体" w:hAnsi="宋体" w:eastAsia="宋体" w:cs="宋体"/>
          <w:color w:val="auto"/>
          <w:spacing w:val="4"/>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55880</wp:posOffset>
                </wp:positionV>
                <wp:extent cx="5791200" cy="2809875"/>
                <wp:effectExtent l="6350" t="6350" r="19050" b="28575"/>
                <wp:wrapNone/>
                <wp:docPr id="445" name="文本框 445"/>
                <wp:cNvGraphicFramePr/>
                <a:graphic xmlns:a="http://schemas.openxmlformats.org/drawingml/2006/main">
                  <a:graphicData uri="http://schemas.microsoft.com/office/word/2010/wordprocessingShape">
                    <wps:wsp>
                      <wps:cNvSpPr txBox="1"/>
                      <wps:spPr>
                        <a:xfrm>
                          <a:off x="0" y="0"/>
                          <a:ext cx="5791200" cy="2809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9"/>
                              <w:ind w:firstLine="0" w:firstLineChars="0"/>
                              <w:rPr>
                                <w:rFonts w:ascii="宋体" w:hAnsi="宋体"/>
                                <w:szCs w:val="28"/>
                              </w:rPr>
                            </w:pPr>
                            <w:r>
                              <w:rPr>
                                <w:rFonts w:hint="eastAsia" w:ascii="宋体" w:hAnsi="宋体"/>
                                <w:szCs w:val="28"/>
                              </w:rPr>
                              <w:t>　　</w:t>
                            </w:r>
                            <w:r>
                              <w:rPr>
                                <w:rFonts w:hint="eastAsia" w:ascii="宋体" w:hAnsi="宋体"/>
                                <w:szCs w:val="28"/>
                                <w:u w:val="single"/>
                              </w:rPr>
                              <w:t>　　　　　　</w:t>
                            </w:r>
                            <w:r>
                              <w:rPr>
                                <w:rFonts w:hint="eastAsia" w:ascii="宋体" w:hAnsi="宋体"/>
                                <w:szCs w:val="28"/>
                              </w:rPr>
                              <w:t>现任我单位</w:t>
                            </w:r>
                            <w:r>
                              <w:rPr>
                                <w:rFonts w:hint="eastAsia" w:ascii="宋体" w:hAnsi="宋体"/>
                                <w:szCs w:val="28"/>
                                <w:u w:val="single"/>
                              </w:rPr>
                              <w:t>　　　　　</w:t>
                            </w:r>
                            <w:r>
                              <w:rPr>
                                <w:rFonts w:hint="eastAsia" w:ascii="宋体" w:hAnsi="宋体"/>
                                <w:szCs w:val="28"/>
                              </w:rPr>
                              <w:t>职务，为法定代表人（负责人），</w:t>
                            </w:r>
                          </w:p>
                          <w:p>
                            <w:pPr>
                              <w:pStyle w:val="59"/>
                              <w:ind w:firstLine="0" w:firstLineChars="0"/>
                              <w:rPr>
                                <w:rFonts w:ascii="宋体" w:hAnsi="宋体"/>
                                <w:szCs w:val="28"/>
                              </w:rPr>
                            </w:pPr>
                            <w:r>
                              <w:rPr>
                                <w:rFonts w:hint="eastAsia" w:ascii="宋体" w:hAnsi="宋体"/>
                                <w:szCs w:val="28"/>
                              </w:rPr>
                              <w:t>特此证明。</w:t>
                            </w:r>
                          </w:p>
                          <w:p>
                            <w:pPr>
                              <w:pStyle w:val="59"/>
                              <w:ind w:firstLine="0" w:firstLineChars="0"/>
                              <w:rPr>
                                <w:rFonts w:ascii="宋体" w:hAnsi="宋体"/>
                                <w:szCs w:val="28"/>
                              </w:rPr>
                            </w:pPr>
                            <w:r>
                              <w:rPr>
                                <w:rFonts w:hint="eastAsia" w:ascii="宋体" w:hAnsi="宋体"/>
                                <w:szCs w:val="28"/>
                              </w:rPr>
                              <w:t>有效期限：</w:t>
                            </w:r>
                            <w:r>
                              <w:rPr>
                                <w:rFonts w:hint="eastAsia" w:ascii="宋体" w:hAnsi="宋体"/>
                                <w:szCs w:val="28"/>
                                <w:u w:val="single"/>
                              </w:rPr>
                              <w:t xml:space="preserve">                                  </w:t>
                            </w:r>
                          </w:p>
                          <w:p>
                            <w:pPr>
                              <w:pStyle w:val="59"/>
                              <w:ind w:firstLine="0" w:firstLineChars="0"/>
                              <w:rPr>
                                <w:rFonts w:ascii="宋体" w:hAnsi="宋体"/>
                                <w:szCs w:val="28"/>
                              </w:rPr>
                            </w:pPr>
                            <w:r>
                              <w:rPr>
                                <w:rFonts w:hint="eastAsia" w:ascii="宋体" w:hAnsi="宋体"/>
                                <w:szCs w:val="28"/>
                              </w:rPr>
                              <w:t>附：法定代表人（负责人）性别：</w:t>
                            </w:r>
                            <w:r>
                              <w:rPr>
                                <w:rFonts w:hint="eastAsia" w:ascii="宋体" w:hAnsi="宋体"/>
                                <w:szCs w:val="28"/>
                                <w:u w:val="single"/>
                              </w:rPr>
                              <w:t>　　</w:t>
                            </w:r>
                            <w:r>
                              <w:rPr>
                                <w:rFonts w:hint="eastAsia" w:ascii="宋体" w:hAnsi="宋体"/>
                                <w:szCs w:val="28"/>
                              </w:rPr>
                              <w:t>年龄：</w:t>
                            </w:r>
                            <w:r>
                              <w:rPr>
                                <w:rFonts w:hint="eastAsia" w:ascii="宋体" w:hAnsi="宋体"/>
                                <w:szCs w:val="28"/>
                                <w:u w:val="single"/>
                              </w:rPr>
                              <w:t>　　</w:t>
                            </w:r>
                            <w:r>
                              <w:rPr>
                                <w:rFonts w:hint="eastAsia" w:ascii="宋体" w:hAnsi="宋体"/>
                                <w:szCs w:val="28"/>
                              </w:rPr>
                              <w:t>身份证号码：</w:t>
                            </w:r>
                            <w:r>
                              <w:rPr>
                                <w:rFonts w:hint="eastAsia" w:ascii="宋体" w:hAnsi="宋体"/>
                                <w:szCs w:val="28"/>
                                <w:u w:val="single"/>
                              </w:rPr>
                              <w:t xml:space="preserve">             </w:t>
                            </w:r>
                          </w:p>
                          <w:p>
                            <w:pPr>
                              <w:pStyle w:val="59"/>
                              <w:ind w:firstLine="0" w:firstLineChars="0"/>
                              <w:rPr>
                                <w:rFonts w:ascii="宋体" w:hAnsi="宋体"/>
                                <w:szCs w:val="28"/>
                              </w:rPr>
                            </w:pPr>
                            <w:r>
                              <w:rPr>
                                <w:rFonts w:hint="eastAsia" w:ascii="宋体" w:hAnsi="宋体"/>
                                <w:szCs w:val="28"/>
                              </w:rPr>
                              <w:t>注册号码：</w:t>
                            </w:r>
                            <w:r>
                              <w:rPr>
                                <w:rFonts w:hint="eastAsia" w:ascii="宋体" w:hAnsi="宋体"/>
                                <w:szCs w:val="28"/>
                                <w:u w:val="single"/>
                              </w:rPr>
                              <w:t>　　　　　　　　　　</w:t>
                            </w:r>
                            <w:r>
                              <w:rPr>
                                <w:rFonts w:hint="eastAsia" w:ascii="宋体" w:hAnsi="宋体"/>
                                <w:szCs w:val="28"/>
                              </w:rPr>
                              <w:t>企业类型：</w:t>
                            </w:r>
                            <w:r>
                              <w:rPr>
                                <w:rFonts w:hint="eastAsia" w:ascii="宋体" w:hAnsi="宋体"/>
                                <w:szCs w:val="28"/>
                                <w:u w:val="single"/>
                              </w:rPr>
                              <w:t xml:space="preserve">                          </w:t>
                            </w:r>
                          </w:p>
                          <w:p>
                            <w:pPr>
                              <w:pStyle w:val="59"/>
                              <w:ind w:firstLine="0" w:firstLineChars="0"/>
                              <w:rPr>
                                <w:rFonts w:ascii="宋体" w:hAnsi="宋体"/>
                                <w:szCs w:val="28"/>
                              </w:rPr>
                            </w:pPr>
                            <w:r>
                              <w:rPr>
                                <w:rFonts w:hint="eastAsia" w:ascii="宋体" w:hAnsi="宋体"/>
                                <w:szCs w:val="28"/>
                              </w:rPr>
                              <w:t>经营范围：</w:t>
                            </w:r>
                            <w:r>
                              <w:rPr>
                                <w:rFonts w:hint="eastAsia" w:ascii="宋体" w:hAnsi="宋体"/>
                                <w:szCs w:val="28"/>
                                <w:u w:val="single"/>
                              </w:rPr>
                              <w:t xml:space="preserve">                                       </w:t>
                            </w:r>
                          </w:p>
                          <w:p>
                            <w:pPr>
                              <w:pStyle w:val="59"/>
                              <w:ind w:firstLine="0" w:firstLineChars="0"/>
                              <w:rPr>
                                <w:rFonts w:ascii="宋体" w:hAnsi="宋体"/>
                                <w:szCs w:val="28"/>
                              </w:rPr>
                            </w:pPr>
                            <w:r>
                              <w:rPr>
                                <w:rFonts w:hint="eastAsia" w:ascii="宋体" w:hAnsi="宋体"/>
                                <w:szCs w:val="28"/>
                              </w:rPr>
                              <w:t>　　　　　　　　　　单位：　　　　　　　　　　　（盖章）</w:t>
                            </w:r>
                          </w:p>
                          <w:p>
                            <w:pPr>
                              <w:pStyle w:val="59"/>
                              <w:ind w:firstLine="0" w:firstLineChars="0"/>
                              <w:rPr>
                                <w:rFonts w:ascii="宋体" w:hAnsi="宋体"/>
                                <w:szCs w:val="28"/>
                              </w:rPr>
                            </w:pPr>
                            <w:r>
                              <w:rPr>
                                <w:rFonts w:hint="eastAsia" w:ascii="宋体" w:hAnsi="宋体"/>
                                <w:szCs w:val="28"/>
                              </w:rPr>
                              <w:t>　　　　　　　　　　　　　　　　　　　　　    年　月　　日</w:t>
                            </w:r>
                          </w:p>
                        </w:txbxContent>
                      </wps:txbx>
                      <wps:bodyPr upright="1"/>
                    </wps:wsp>
                  </a:graphicData>
                </a:graphic>
              </wp:anchor>
            </w:drawing>
          </mc:Choice>
          <mc:Fallback>
            <w:pict>
              <v:shape id="_x0000_s1026" o:spid="_x0000_s1026" o:spt="202" type="#_x0000_t202" style="position:absolute;left:0pt;margin-left:0pt;margin-top:4.4pt;height:221.25pt;width:456pt;z-index:251665408;mso-width-relative:page;mso-height-relative:page;" fillcolor="#FFFFFF" filled="t" stroked="t" coordsize="21600,21600" o:gfxdata="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Yme19UAAAAGAQAADwAAAAAAAAABACAA&#10;AAAiAAAAZHJzL2Rvd25yZXYueG1sUEsBAhQAFAAAAAgAh07iQDZSN9gQAgAAOwQAAA4AAAAAAAAA&#10;AQAgAAAAJAEAAGRycy9lMm9Eb2MueG1sUEsFBgAAAAAGAAYAWQEAAKYFAAAAAA==&#10;">
                <v:fill on="t" focussize="0,0"/>
                <v:stroke color="#000000" joinstyle="miter"/>
                <v:imagedata o:title=""/>
                <o:lock v:ext="edit" aspectratio="f"/>
                <v:textbox>
                  <w:txbxContent>
                    <w:p>
                      <w:pPr>
                        <w:pStyle w:val="59"/>
                        <w:ind w:firstLine="0" w:firstLineChars="0"/>
                        <w:rPr>
                          <w:rFonts w:ascii="宋体" w:hAnsi="宋体"/>
                          <w:szCs w:val="28"/>
                        </w:rPr>
                      </w:pPr>
                      <w:r>
                        <w:rPr>
                          <w:rFonts w:hint="eastAsia" w:ascii="宋体" w:hAnsi="宋体"/>
                          <w:szCs w:val="28"/>
                        </w:rPr>
                        <w:t>　　</w:t>
                      </w:r>
                      <w:r>
                        <w:rPr>
                          <w:rFonts w:hint="eastAsia" w:ascii="宋体" w:hAnsi="宋体"/>
                          <w:szCs w:val="28"/>
                          <w:u w:val="single"/>
                        </w:rPr>
                        <w:t>　　　　　　</w:t>
                      </w:r>
                      <w:r>
                        <w:rPr>
                          <w:rFonts w:hint="eastAsia" w:ascii="宋体" w:hAnsi="宋体"/>
                          <w:szCs w:val="28"/>
                        </w:rPr>
                        <w:t>现任我单位</w:t>
                      </w:r>
                      <w:r>
                        <w:rPr>
                          <w:rFonts w:hint="eastAsia" w:ascii="宋体" w:hAnsi="宋体"/>
                          <w:szCs w:val="28"/>
                          <w:u w:val="single"/>
                        </w:rPr>
                        <w:t>　　　　　</w:t>
                      </w:r>
                      <w:r>
                        <w:rPr>
                          <w:rFonts w:hint="eastAsia" w:ascii="宋体" w:hAnsi="宋体"/>
                          <w:szCs w:val="28"/>
                        </w:rPr>
                        <w:t>职务，为法定代表人（负责人），</w:t>
                      </w:r>
                    </w:p>
                    <w:p>
                      <w:pPr>
                        <w:pStyle w:val="59"/>
                        <w:ind w:firstLine="0" w:firstLineChars="0"/>
                        <w:rPr>
                          <w:rFonts w:ascii="宋体" w:hAnsi="宋体"/>
                          <w:szCs w:val="28"/>
                        </w:rPr>
                      </w:pPr>
                      <w:r>
                        <w:rPr>
                          <w:rFonts w:hint="eastAsia" w:ascii="宋体" w:hAnsi="宋体"/>
                          <w:szCs w:val="28"/>
                        </w:rPr>
                        <w:t>特此证明。</w:t>
                      </w:r>
                    </w:p>
                    <w:p>
                      <w:pPr>
                        <w:pStyle w:val="59"/>
                        <w:ind w:firstLine="0" w:firstLineChars="0"/>
                        <w:rPr>
                          <w:rFonts w:ascii="宋体" w:hAnsi="宋体"/>
                          <w:szCs w:val="28"/>
                        </w:rPr>
                      </w:pPr>
                      <w:r>
                        <w:rPr>
                          <w:rFonts w:hint="eastAsia" w:ascii="宋体" w:hAnsi="宋体"/>
                          <w:szCs w:val="28"/>
                        </w:rPr>
                        <w:t>有效期限：</w:t>
                      </w:r>
                      <w:r>
                        <w:rPr>
                          <w:rFonts w:hint="eastAsia" w:ascii="宋体" w:hAnsi="宋体"/>
                          <w:szCs w:val="28"/>
                          <w:u w:val="single"/>
                        </w:rPr>
                        <w:t xml:space="preserve">                                  </w:t>
                      </w:r>
                    </w:p>
                    <w:p>
                      <w:pPr>
                        <w:pStyle w:val="59"/>
                        <w:ind w:firstLine="0" w:firstLineChars="0"/>
                        <w:rPr>
                          <w:rFonts w:ascii="宋体" w:hAnsi="宋体"/>
                          <w:szCs w:val="28"/>
                        </w:rPr>
                      </w:pPr>
                      <w:r>
                        <w:rPr>
                          <w:rFonts w:hint="eastAsia" w:ascii="宋体" w:hAnsi="宋体"/>
                          <w:szCs w:val="28"/>
                        </w:rPr>
                        <w:t>附：法定代表人（负责人）性别：</w:t>
                      </w:r>
                      <w:r>
                        <w:rPr>
                          <w:rFonts w:hint="eastAsia" w:ascii="宋体" w:hAnsi="宋体"/>
                          <w:szCs w:val="28"/>
                          <w:u w:val="single"/>
                        </w:rPr>
                        <w:t>　　</w:t>
                      </w:r>
                      <w:r>
                        <w:rPr>
                          <w:rFonts w:hint="eastAsia" w:ascii="宋体" w:hAnsi="宋体"/>
                          <w:szCs w:val="28"/>
                        </w:rPr>
                        <w:t>年龄：</w:t>
                      </w:r>
                      <w:r>
                        <w:rPr>
                          <w:rFonts w:hint="eastAsia" w:ascii="宋体" w:hAnsi="宋体"/>
                          <w:szCs w:val="28"/>
                          <w:u w:val="single"/>
                        </w:rPr>
                        <w:t>　　</w:t>
                      </w:r>
                      <w:r>
                        <w:rPr>
                          <w:rFonts w:hint="eastAsia" w:ascii="宋体" w:hAnsi="宋体"/>
                          <w:szCs w:val="28"/>
                        </w:rPr>
                        <w:t>身份证号码：</w:t>
                      </w:r>
                      <w:r>
                        <w:rPr>
                          <w:rFonts w:hint="eastAsia" w:ascii="宋体" w:hAnsi="宋体"/>
                          <w:szCs w:val="28"/>
                          <w:u w:val="single"/>
                        </w:rPr>
                        <w:t xml:space="preserve">             </w:t>
                      </w:r>
                    </w:p>
                    <w:p>
                      <w:pPr>
                        <w:pStyle w:val="59"/>
                        <w:ind w:firstLine="0" w:firstLineChars="0"/>
                        <w:rPr>
                          <w:rFonts w:ascii="宋体" w:hAnsi="宋体"/>
                          <w:szCs w:val="28"/>
                        </w:rPr>
                      </w:pPr>
                      <w:r>
                        <w:rPr>
                          <w:rFonts w:hint="eastAsia" w:ascii="宋体" w:hAnsi="宋体"/>
                          <w:szCs w:val="28"/>
                        </w:rPr>
                        <w:t>注册号码：</w:t>
                      </w:r>
                      <w:r>
                        <w:rPr>
                          <w:rFonts w:hint="eastAsia" w:ascii="宋体" w:hAnsi="宋体"/>
                          <w:szCs w:val="28"/>
                          <w:u w:val="single"/>
                        </w:rPr>
                        <w:t>　　　　　　　　　　</w:t>
                      </w:r>
                      <w:r>
                        <w:rPr>
                          <w:rFonts w:hint="eastAsia" w:ascii="宋体" w:hAnsi="宋体"/>
                          <w:szCs w:val="28"/>
                        </w:rPr>
                        <w:t>企业类型：</w:t>
                      </w:r>
                      <w:r>
                        <w:rPr>
                          <w:rFonts w:hint="eastAsia" w:ascii="宋体" w:hAnsi="宋体"/>
                          <w:szCs w:val="28"/>
                          <w:u w:val="single"/>
                        </w:rPr>
                        <w:t xml:space="preserve">                          </w:t>
                      </w:r>
                    </w:p>
                    <w:p>
                      <w:pPr>
                        <w:pStyle w:val="59"/>
                        <w:ind w:firstLine="0" w:firstLineChars="0"/>
                        <w:rPr>
                          <w:rFonts w:ascii="宋体" w:hAnsi="宋体"/>
                          <w:szCs w:val="28"/>
                        </w:rPr>
                      </w:pPr>
                      <w:r>
                        <w:rPr>
                          <w:rFonts w:hint="eastAsia" w:ascii="宋体" w:hAnsi="宋体"/>
                          <w:szCs w:val="28"/>
                        </w:rPr>
                        <w:t>经营范围：</w:t>
                      </w:r>
                      <w:r>
                        <w:rPr>
                          <w:rFonts w:hint="eastAsia" w:ascii="宋体" w:hAnsi="宋体"/>
                          <w:szCs w:val="28"/>
                          <w:u w:val="single"/>
                        </w:rPr>
                        <w:t xml:space="preserve">                                       </w:t>
                      </w:r>
                    </w:p>
                    <w:p>
                      <w:pPr>
                        <w:pStyle w:val="59"/>
                        <w:ind w:firstLine="0" w:firstLineChars="0"/>
                        <w:rPr>
                          <w:rFonts w:ascii="宋体" w:hAnsi="宋体"/>
                          <w:szCs w:val="28"/>
                        </w:rPr>
                      </w:pPr>
                      <w:r>
                        <w:rPr>
                          <w:rFonts w:hint="eastAsia" w:ascii="宋体" w:hAnsi="宋体"/>
                          <w:szCs w:val="28"/>
                        </w:rPr>
                        <w:t>　　　　　　　　　　单位：　　　　　　　　　　　（盖章）</w:t>
                      </w:r>
                    </w:p>
                    <w:p>
                      <w:pPr>
                        <w:pStyle w:val="59"/>
                        <w:ind w:firstLine="0" w:firstLineChars="0"/>
                        <w:rPr>
                          <w:rFonts w:ascii="宋体" w:hAnsi="宋体"/>
                          <w:szCs w:val="28"/>
                        </w:rPr>
                      </w:pPr>
                      <w:r>
                        <w:rPr>
                          <w:rFonts w:hint="eastAsia" w:ascii="宋体" w:hAnsi="宋体"/>
                          <w:szCs w:val="28"/>
                        </w:rPr>
                        <w:t>　　　　　　　　　　　　　　　　　　　　　    年　月　　日</w:t>
                      </w:r>
                    </w:p>
                  </w:txbxContent>
                </v:textbox>
              </v:shape>
            </w:pict>
          </mc:Fallback>
        </mc:AlternateContent>
      </w: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rPr>
          <w:rFonts w:hint="eastAsia" w:ascii="宋体" w:hAnsi="宋体" w:eastAsia="宋体" w:cs="宋体"/>
          <w:snapToGrid w:val="0"/>
          <w:color w:val="auto"/>
          <w:spacing w:val="4"/>
          <w:sz w:val="24"/>
          <w:szCs w:val="24"/>
          <w:highlight w:val="none"/>
        </w:rPr>
      </w:pPr>
      <w:r>
        <w:rPr>
          <w:rFonts w:hint="eastAsia" w:ascii="宋体" w:hAnsi="宋体" w:eastAsia="宋体" w:cs="宋体"/>
          <w:snapToGrid w:val="0"/>
          <w:color w:val="auto"/>
          <w:spacing w:val="4"/>
          <w:sz w:val="24"/>
          <w:szCs w:val="24"/>
          <w:highlight w:val="none"/>
        </w:rPr>
        <w:t>（2）法定代表人授权委托书</w:t>
      </w:r>
    </w:p>
    <w:p>
      <w:pPr>
        <w:topLinePunct/>
        <w:adjustRightInd w:val="0"/>
        <w:snapToGrid w:val="0"/>
        <w:rPr>
          <w:rFonts w:hint="eastAsia" w:ascii="宋体" w:hAnsi="宋体" w:eastAsia="宋体" w:cs="宋体"/>
          <w:snapToGrid w:val="0"/>
          <w:color w:val="auto"/>
          <w:spacing w:val="4"/>
          <w:sz w:val="24"/>
          <w:szCs w:val="24"/>
          <w:highlight w:val="none"/>
        </w:rPr>
      </w:pPr>
      <w:r>
        <w:rPr>
          <w:rFonts w:hint="eastAsia" w:ascii="宋体" w:hAnsi="宋体" w:eastAsia="宋体" w:cs="宋体"/>
          <w:snapToGrid w:val="0"/>
          <w:color w:val="auto"/>
          <w:spacing w:val="4"/>
          <w:sz w:val="24"/>
          <w:szCs w:val="24"/>
          <w:highlight w:val="none"/>
        </w:rPr>
        <w:t xml:space="preserve">                                                 （   ）第  号</w:t>
      </w: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r>
        <w:rPr>
          <w:rFonts w:hint="eastAsia" w:ascii="宋体" w:hAnsi="宋体" w:eastAsia="宋体" w:cs="宋体"/>
          <w:color w:val="auto"/>
          <w:spacing w:val="4"/>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-9525</wp:posOffset>
                </wp:positionH>
                <wp:positionV relativeFrom="paragraph">
                  <wp:posOffset>99695</wp:posOffset>
                </wp:positionV>
                <wp:extent cx="5791200" cy="2748915"/>
                <wp:effectExtent l="6350" t="6350" r="19050" b="13335"/>
                <wp:wrapNone/>
                <wp:docPr id="446" name="文本框 446"/>
                <wp:cNvGraphicFramePr/>
                <a:graphic xmlns:a="http://schemas.openxmlformats.org/drawingml/2006/main">
                  <a:graphicData uri="http://schemas.microsoft.com/office/word/2010/wordprocessingShape">
                    <wps:wsp>
                      <wps:cNvSpPr txBox="1"/>
                      <wps:spPr>
                        <a:xfrm>
                          <a:off x="0" y="0"/>
                          <a:ext cx="5791200" cy="2748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9"/>
                              <w:ind w:firstLine="0" w:firstLineChars="0"/>
                              <w:rPr>
                                <w:rFonts w:ascii="宋体" w:hAnsi="宋体"/>
                              </w:rPr>
                            </w:pPr>
                            <w:r>
                              <w:rPr>
                                <w:rFonts w:hint="eastAsia" w:ascii="宋体" w:hAnsi="宋体"/>
                              </w:rPr>
                              <w:t>兹授权</w:t>
                            </w:r>
                            <w:r>
                              <w:rPr>
                                <w:rFonts w:ascii="宋体" w:hAnsi="宋体"/>
                                <w:u w:val="single"/>
                              </w:rPr>
                              <w:t xml:space="preserve">                </w:t>
                            </w:r>
                            <w:r>
                              <w:rPr>
                                <w:rFonts w:hint="eastAsia" w:ascii="宋体" w:hAnsi="宋体"/>
                              </w:rPr>
                              <w:t>为我方委托代理人，其权限是：</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p>
                          <w:p>
                            <w:pPr>
                              <w:pStyle w:val="59"/>
                              <w:ind w:firstLine="0" w:firstLineChars="0"/>
                              <w:rPr>
                                <w:rFonts w:hint="eastAsia" w:ascii="宋体" w:hAnsi="宋体"/>
                              </w:rPr>
                            </w:pPr>
                            <w:r>
                              <w:rPr>
                                <w:rFonts w:hint="eastAsia" w:ascii="宋体" w:hAnsi="宋体"/>
                              </w:rPr>
                              <w:t>有效期限：</w:t>
                            </w:r>
                            <w:r>
                              <w:rPr>
                                <w:rFonts w:ascii="宋体" w:hAnsi="宋体"/>
                                <w:u w:val="single"/>
                              </w:rPr>
                              <w:t xml:space="preserve">                                                   </w:t>
                            </w:r>
                            <w:r>
                              <w:rPr>
                                <w:rFonts w:hint="eastAsia" w:ascii="宋体" w:hAnsi="宋体"/>
                                <w:u w:val="single"/>
                              </w:rPr>
                              <w:t xml:space="preserve">     </w:t>
                            </w:r>
                          </w:p>
                          <w:p>
                            <w:pPr>
                              <w:pStyle w:val="59"/>
                              <w:ind w:firstLine="0" w:firstLineChars="0"/>
                              <w:rPr>
                                <w:rFonts w:ascii="宋体" w:hAnsi="宋体"/>
                              </w:rPr>
                            </w:pPr>
                            <w:r>
                              <w:rPr>
                                <w:rFonts w:hint="eastAsia" w:ascii="宋体" w:hAnsi="宋体"/>
                              </w:rPr>
                              <w:t>附：代理人性别：</w:t>
                            </w:r>
                            <w:r>
                              <w:rPr>
                                <w:rFonts w:ascii="宋体" w:hAnsi="宋体"/>
                                <w:u w:val="single"/>
                              </w:rPr>
                              <w:t xml:space="preserve">     </w:t>
                            </w:r>
                            <w:r>
                              <w:rPr>
                                <w:rFonts w:hint="eastAsia" w:ascii="宋体" w:hAnsi="宋体"/>
                              </w:rPr>
                              <w:t>年龄：</w:t>
                            </w:r>
                            <w:r>
                              <w:rPr>
                                <w:rFonts w:ascii="宋体" w:hAnsi="宋体"/>
                                <w:u w:val="single"/>
                              </w:rPr>
                              <w:t xml:space="preserve">     </w:t>
                            </w:r>
                            <w:r>
                              <w:rPr>
                                <w:rFonts w:hint="eastAsia" w:ascii="宋体" w:hAnsi="宋体"/>
                              </w:rPr>
                              <w:t>身份证号码：</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p>
                          <w:p>
                            <w:pPr>
                              <w:pStyle w:val="59"/>
                              <w:ind w:firstLine="0" w:firstLineChars="0"/>
                              <w:rPr>
                                <w:rFonts w:ascii="宋体" w:hAnsi="宋体"/>
                              </w:rPr>
                            </w:pPr>
                            <w:r>
                              <w:rPr>
                                <w:rFonts w:hint="eastAsia" w:ascii="宋体" w:hAnsi="宋体"/>
                              </w:rPr>
                              <w:t>注册号码：</w:t>
                            </w:r>
                            <w:r>
                              <w:rPr>
                                <w:rFonts w:ascii="宋体" w:hAnsi="宋体"/>
                                <w:u w:val="single"/>
                              </w:rPr>
                              <w:t xml:space="preserve">                  </w:t>
                            </w:r>
                            <w:r>
                              <w:rPr>
                                <w:rFonts w:hint="eastAsia" w:ascii="宋体" w:hAnsi="宋体"/>
                              </w:rPr>
                              <w:t>企业类型：</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p>
                          <w:p>
                            <w:pPr>
                              <w:pStyle w:val="59"/>
                              <w:ind w:firstLine="0" w:firstLineChars="0"/>
                              <w:rPr>
                                <w:rFonts w:ascii="宋体" w:hAnsi="宋体"/>
                              </w:rPr>
                            </w:pPr>
                            <w:r>
                              <w:rPr>
                                <w:rFonts w:hint="eastAsia" w:ascii="宋体" w:hAnsi="宋体"/>
                              </w:rPr>
                              <w:t>经营范围：</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p>
                          <w:p>
                            <w:pPr>
                              <w:pStyle w:val="59"/>
                              <w:ind w:firstLine="0" w:firstLineChars="0"/>
                              <w:rPr>
                                <w:rFonts w:ascii="宋体" w:hAnsi="宋体"/>
                              </w:rPr>
                            </w:pPr>
                            <w:r>
                              <w:rPr>
                                <w:rFonts w:hint="eastAsia" w:ascii="宋体" w:hAnsi="宋体"/>
                              </w:rPr>
                              <w:t>法定代表人（负责人）：</w:t>
                            </w:r>
                            <w:r>
                              <w:rPr>
                                <w:rFonts w:ascii="宋体" w:hAnsi="宋体"/>
                                <w:u w:val="single"/>
                              </w:rPr>
                              <w:t xml:space="preserve">                 </w:t>
                            </w:r>
                            <w:r>
                              <w:rPr>
                                <w:rFonts w:hint="eastAsia" w:ascii="宋体" w:hAnsi="宋体"/>
                              </w:rPr>
                              <w:t>（签字或盖章）</w:t>
                            </w:r>
                          </w:p>
                          <w:p>
                            <w:pPr>
                              <w:pStyle w:val="59"/>
                              <w:ind w:firstLine="0" w:firstLineChars="0"/>
                              <w:rPr>
                                <w:rFonts w:ascii="宋体" w:hAnsi="宋体"/>
                              </w:rPr>
                            </w:pPr>
                            <w:r>
                              <w:rPr>
                                <w:rFonts w:hint="eastAsia" w:ascii="宋体" w:hAnsi="宋体"/>
                              </w:rPr>
                              <w:t>授权单位：（盖章）</w:t>
                            </w:r>
                            <w:r>
                              <w:rPr>
                                <w:rFonts w:ascii="宋体" w:hAnsi="宋体"/>
                                <w:u w:val="single"/>
                              </w:rPr>
                              <w:t xml:space="preserve">                      </w:t>
                            </w:r>
                          </w:p>
                          <w:p>
                            <w:pPr>
                              <w:pStyle w:val="59"/>
                              <w:ind w:firstLine="0" w:firstLineChars="0"/>
                              <w:rPr>
                                <w:rFonts w:ascii="宋体" w:hAns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txbxContent>
                      </wps:txbx>
                      <wps:bodyPr upright="1"/>
                    </wps:wsp>
                  </a:graphicData>
                </a:graphic>
              </wp:anchor>
            </w:drawing>
          </mc:Choice>
          <mc:Fallback>
            <w:pict>
              <v:shape id="_x0000_s1026" o:spid="_x0000_s1026" o:spt="202" type="#_x0000_t202" style="position:absolute;left:0pt;margin-left:-0.75pt;margin-top:7.85pt;height:216.45pt;width:456pt;z-index:251664384;mso-width-relative:page;mso-height-relative:page;" fillcolor="#FFFFFF" filled="t" stroked="t" coordsize="21600,21600" o:gfxdata="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90AOj2AAAAAkBAAAPAAAAAAAAAAEA&#10;IAAAACIAAABkcnMvZG93bnJldi54bWxQSwECFAAUAAAACACHTuJAVva+pA8CAAA7BAAADgAAAAAA&#10;AAABACAAAAAnAQAAZHJzL2Uyb0RvYy54bWxQSwUGAAAAAAYABgBZAQAAqAUAAAAA&#10;">
                <v:fill on="t" focussize="0,0"/>
                <v:stroke color="#000000" joinstyle="miter"/>
                <v:imagedata o:title=""/>
                <o:lock v:ext="edit" aspectratio="f"/>
                <v:textbox>
                  <w:txbxContent>
                    <w:p>
                      <w:pPr>
                        <w:pStyle w:val="59"/>
                        <w:ind w:firstLine="0" w:firstLineChars="0"/>
                        <w:rPr>
                          <w:rFonts w:ascii="宋体" w:hAnsi="宋体"/>
                        </w:rPr>
                      </w:pPr>
                      <w:r>
                        <w:rPr>
                          <w:rFonts w:hint="eastAsia" w:ascii="宋体" w:hAnsi="宋体"/>
                        </w:rPr>
                        <w:t>兹授权</w:t>
                      </w:r>
                      <w:r>
                        <w:rPr>
                          <w:rFonts w:ascii="宋体" w:hAnsi="宋体"/>
                          <w:u w:val="single"/>
                        </w:rPr>
                        <w:t xml:space="preserve">                </w:t>
                      </w:r>
                      <w:r>
                        <w:rPr>
                          <w:rFonts w:hint="eastAsia" w:ascii="宋体" w:hAnsi="宋体"/>
                        </w:rPr>
                        <w:t>为我方委托代理人，其权限是：</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p>
                    <w:p>
                      <w:pPr>
                        <w:pStyle w:val="59"/>
                        <w:ind w:firstLine="0" w:firstLineChars="0"/>
                        <w:rPr>
                          <w:rFonts w:hint="eastAsia" w:ascii="宋体" w:hAnsi="宋体"/>
                        </w:rPr>
                      </w:pPr>
                      <w:r>
                        <w:rPr>
                          <w:rFonts w:hint="eastAsia" w:ascii="宋体" w:hAnsi="宋体"/>
                        </w:rPr>
                        <w:t>有效期限：</w:t>
                      </w:r>
                      <w:r>
                        <w:rPr>
                          <w:rFonts w:ascii="宋体" w:hAnsi="宋体"/>
                          <w:u w:val="single"/>
                        </w:rPr>
                        <w:t xml:space="preserve">                                                   </w:t>
                      </w:r>
                      <w:r>
                        <w:rPr>
                          <w:rFonts w:hint="eastAsia" w:ascii="宋体" w:hAnsi="宋体"/>
                          <w:u w:val="single"/>
                        </w:rPr>
                        <w:t xml:space="preserve">     </w:t>
                      </w:r>
                    </w:p>
                    <w:p>
                      <w:pPr>
                        <w:pStyle w:val="59"/>
                        <w:ind w:firstLine="0" w:firstLineChars="0"/>
                        <w:rPr>
                          <w:rFonts w:ascii="宋体" w:hAnsi="宋体"/>
                        </w:rPr>
                      </w:pPr>
                      <w:r>
                        <w:rPr>
                          <w:rFonts w:hint="eastAsia" w:ascii="宋体" w:hAnsi="宋体"/>
                        </w:rPr>
                        <w:t>附：代理人性别：</w:t>
                      </w:r>
                      <w:r>
                        <w:rPr>
                          <w:rFonts w:ascii="宋体" w:hAnsi="宋体"/>
                          <w:u w:val="single"/>
                        </w:rPr>
                        <w:t xml:space="preserve">     </w:t>
                      </w:r>
                      <w:r>
                        <w:rPr>
                          <w:rFonts w:hint="eastAsia" w:ascii="宋体" w:hAnsi="宋体"/>
                        </w:rPr>
                        <w:t>年龄：</w:t>
                      </w:r>
                      <w:r>
                        <w:rPr>
                          <w:rFonts w:ascii="宋体" w:hAnsi="宋体"/>
                          <w:u w:val="single"/>
                        </w:rPr>
                        <w:t xml:space="preserve">     </w:t>
                      </w:r>
                      <w:r>
                        <w:rPr>
                          <w:rFonts w:hint="eastAsia" w:ascii="宋体" w:hAnsi="宋体"/>
                        </w:rPr>
                        <w:t>身份证号码：</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p>
                    <w:p>
                      <w:pPr>
                        <w:pStyle w:val="59"/>
                        <w:ind w:firstLine="0" w:firstLineChars="0"/>
                        <w:rPr>
                          <w:rFonts w:ascii="宋体" w:hAnsi="宋体"/>
                        </w:rPr>
                      </w:pPr>
                      <w:r>
                        <w:rPr>
                          <w:rFonts w:hint="eastAsia" w:ascii="宋体" w:hAnsi="宋体"/>
                        </w:rPr>
                        <w:t>注册号码：</w:t>
                      </w:r>
                      <w:r>
                        <w:rPr>
                          <w:rFonts w:ascii="宋体" w:hAnsi="宋体"/>
                          <w:u w:val="single"/>
                        </w:rPr>
                        <w:t xml:space="preserve">                  </w:t>
                      </w:r>
                      <w:r>
                        <w:rPr>
                          <w:rFonts w:hint="eastAsia" w:ascii="宋体" w:hAnsi="宋体"/>
                        </w:rPr>
                        <w:t>企业类型：</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p>
                    <w:p>
                      <w:pPr>
                        <w:pStyle w:val="59"/>
                        <w:ind w:firstLine="0" w:firstLineChars="0"/>
                        <w:rPr>
                          <w:rFonts w:ascii="宋体" w:hAnsi="宋体"/>
                        </w:rPr>
                      </w:pPr>
                      <w:r>
                        <w:rPr>
                          <w:rFonts w:hint="eastAsia" w:ascii="宋体" w:hAnsi="宋体"/>
                        </w:rPr>
                        <w:t>经营范围：</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p>
                    <w:p>
                      <w:pPr>
                        <w:pStyle w:val="59"/>
                        <w:ind w:firstLine="0" w:firstLineChars="0"/>
                        <w:rPr>
                          <w:rFonts w:ascii="宋体" w:hAnsi="宋体"/>
                        </w:rPr>
                      </w:pPr>
                      <w:r>
                        <w:rPr>
                          <w:rFonts w:hint="eastAsia" w:ascii="宋体" w:hAnsi="宋体"/>
                        </w:rPr>
                        <w:t>法定代表人（负责人）：</w:t>
                      </w:r>
                      <w:r>
                        <w:rPr>
                          <w:rFonts w:ascii="宋体" w:hAnsi="宋体"/>
                          <w:u w:val="single"/>
                        </w:rPr>
                        <w:t xml:space="preserve">                 </w:t>
                      </w:r>
                      <w:r>
                        <w:rPr>
                          <w:rFonts w:hint="eastAsia" w:ascii="宋体" w:hAnsi="宋体"/>
                        </w:rPr>
                        <w:t>（签字或盖章）</w:t>
                      </w:r>
                    </w:p>
                    <w:p>
                      <w:pPr>
                        <w:pStyle w:val="59"/>
                        <w:ind w:firstLine="0" w:firstLineChars="0"/>
                        <w:rPr>
                          <w:rFonts w:ascii="宋体" w:hAnsi="宋体"/>
                        </w:rPr>
                      </w:pPr>
                      <w:r>
                        <w:rPr>
                          <w:rFonts w:hint="eastAsia" w:ascii="宋体" w:hAnsi="宋体"/>
                        </w:rPr>
                        <w:t>授权单位：（盖章）</w:t>
                      </w:r>
                      <w:r>
                        <w:rPr>
                          <w:rFonts w:ascii="宋体" w:hAnsi="宋体"/>
                          <w:u w:val="single"/>
                        </w:rPr>
                        <w:t xml:space="preserve">                      </w:t>
                      </w:r>
                    </w:p>
                    <w:p>
                      <w:pPr>
                        <w:pStyle w:val="59"/>
                        <w:ind w:firstLine="0" w:firstLineChars="0"/>
                        <w:rPr>
                          <w:rFonts w:ascii="宋体" w:hAns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txbxContent>
                </v:textbox>
              </v:shape>
            </w:pict>
          </mc:Fallback>
        </mc:AlternateContent>
      </w: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topLinePunct/>
        <w:adjustRightInd w:val="0"/>
        <w:snapToGrid w:val="0"/>
        <w:spacing w:line="360" w:lineRule="auto"/>
        <w:rPr>
          <w:rFonts w:hint="eastAsia" w:ascii="宋体" w:hAnsi="宋体" w:eastAsia="宋体" w:cs="宋体"/>
          <w:snapToGrid w:val="0"/>
          <w:color w:val="auto"/>
          <w:spacing w:val="4"/>
          <w:sz w:val="24"/>
          <w:szCs w:val="24"/>
          <w:highlight w:val="none"/>
        </w:rPr>
      </w:pPr>
    </w:p>
    <w:p>
      <w:pPr>
        <w:rPr>
          <w:rFonts w:hint="eastAsia" w:ascii="宋体" w:hAnsi="宋体" w:eastAsia="宋体" w:cs="宋体"/>
          <w:color w:val="auto"/>
          <w:highlight w:val="none"/>
        </w:rPr>
      </w:pPr>
      <w:bookmarkStart w:id="209" w:name="_Toc4340136"/>
      <w:bookmarkStart w:id="210" w:name="_Toc4486079"/>
      <w:bookmarkStart w:id="211" w:name="_Toc3736"/>
      <w:bookmarkStart w:id="212" w:name="_Toc4489947"/>
      <w:bookmarkStart w:id="213" w:name="_Toc4339798"/>
      <w:r>
        <w:rPr>
          <w:rFonts w:hint="eastAsia" w:ascii="宋体" w:hAnsi="宋体" w:eastAsia="宋体" w:cs="宋体"/>
          <w:color w:val="auto"/>
          <w:highlight w:val="none"/>
        </w:rPr>
        <w:t>注：按提供的格式或使用从工商管理部门购买的格式填写。</w:t>
      </w:r>
      <w:bookmarkEnd w:id="209"/>
      <w:bookmarkEnd w:id="210"/>
      <w:bookmarkEnd w:id="211"/>
      <w:bookmarkEnd w:id="212"/>
      <w:bookmarkEnd w:id="213"/>
    </w:p>
    <w:p>
      <w:pPr>
        <w:widowControl/>
        <w:topLinePunct/>
        <w:adjustRightInd w:val="0"/>
        <w:snapToGrid w:val="0"/>
        <w:spacing w:after="200"/>
        <w:jc w:val="left"/>
        <w:rPr>
          <w:rFonts w:hint="eastAsia" w:ascii="宋体" w:hAnsi="宋体" w:eastAsia="宋体" w:cs="宋体"/>
          <w:color w:val="auto"/>
          <w:spacing w:val="4"/>
          <w:kern w:val="0"/>
          <w:sz w:val="24"/>
          <w:szCs w:val="24"/>
          <w:highlight w:val="none"/>
        </w:rPr>
      </w:pPr>
    </w:p>
    <w:p>
      <w:pPr>
        <w:widowControl w:val="0"/>
        <w:ind w:left="0" w:leftChars="0" w:firstLineChars="0"/>
        <w:outlineLvl w:val="9"/>
        <w:rPr>
          <w:rFonts w:hint="eastAsia" w:ascii="宋体" w:hAnsi="宋体" w:cs="宋体"/>
          <w:color w:val="auto"/>
          <w:highlight w:val="none"/>
        </w:rPr>
      </w:pPr>
      <w:r>
        <w:rPr>
          <w:rFonts w:hint="eastAsia" w:ascii="宋体" w:hAnsi="宋体" w:cs="宋体"/>
          <w:color w:val="auto"/>
          <w:highlight w:val="none"/>
        </w:rPr>
        <w:br w:type="page"/>
      </w:r>
    </w:p>
    <w:p>
      <w:pPr>
        <w:pStyle w:val="2"/>
        <w:widowControl w:val="0"/>
        <w:spacing w:after="200"/>
        <w:ind w:left="0" w:leftChars="0" w:firstLine="0" w:firstLineChars="0"/>
        <w:outlineLvl w:val="1"/>
        <w:rPr>
          <w:rFonts w:ascii="宋体" w:hAnsi="宋体" w:cs="宋体"/>
          <w:b/>
          <w:color w:val="auto"/>
          <w:sz w:val="24"/>
          <w:szCs w:val="24"/>
          <w:highlight w:val="none"/>
        </w:rPr>
      </w:pPr>
      <w:bookmarkStart w:id="214" w:name="_Toc536174633"/>
      <w:bookmarkStart w:id="215" w:name="_Toc8125"/>
      <w:r>
        <w:rPr>
          <w:rFonts w:hint="eastAsia" w:ascii="宋体" w:hAnsi="宋体" w:cs="宋体"/>
          <w:b/>
          <w:color w:val="auto"/>
          <w:sz w:val="24"/>
          <w:szCs w:val="24"/>
          <w:highlight w:val="none"/>
        </w:rPr>
        <w:t>格式</w:t>
      </w:r>
      <w:r>
        <w:rPr>
          <w:rFonts w:hint="eastAsia" w:ascii="宋体" w:hAnsi="宋体" w:cs="宋体"/>
          <w:b/>
          <w:color w:val="auto"/>
          <w:sz w:val="24"/>
          <w:szCs w:val="24"/>
          <w:highlight w:val="none"/>
          <w:lang w:val="en-US" w:eastAsia="zh-CN"/>
        </w:rPr>
        <w:t>五</w:t>
      </w:r>
      <w:r>
        <w:rPr>
          <w:rFonts w:hint="eastAsia" w:ascii="宋体" w:hAnsi="宋体" w:cs="宋体"/>
          <w:b/>
          <w:color w:val="auto"/>
          <w:sz w:val="24"/>
          <w:szCs w:val="24"/>
          <w:highlight w:val="none"/>
        </w:rPr>
        <w:t>：类似业绩一览表</w:t>
      </w:r>
      <w:bookmarkEnd w:id="206"/>
      <w:bookmarkEnd w:id="207"/>
      <w:bookmarkEnd w:id="214"/>
      <w:bookmarkEnd w:id="215"/>
    </w:p>
    <w:p>
      <w:pPr>
        <w:tabs>
          <w:tab w:val="left" w:pos="720"/>
        </w:tabs>
        <w:snapToGrid w:val="0"/>
        <w:spacing w:before="240"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类似业绩一览表</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912"/>
        <w:gridCol w:w="2188"/>
        <w:gridCol w:w="1577"/>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Pr>
          <w:p>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597" w:type="pct"/>
          </w:tcPr>
          <w:p>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rPr>
              <w:t>项目名称</w:t>
            </w:r>
          </w:p>
        </w:tc>
        <w:tc>
          <w:tcPr>
            <w:tcW w:w="1200" w:type="pct"/>
          </w:tcPr>
          <w:p>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rPr>
              <w:t>项目类别</w:t>
            </w:r>
          </w:p>
        </w:tc>
        <w:tc>
          <w:tcPr>
            <w:tcW w:w="865" w:type="pct"/>
          </w:tcPr>
          <w:p>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rPr>
              <w:t>时间</w:t>
            </w:r>
          </w:p>
        </w:tc>
        <w:tc>
          <w:tcPr>
            <w:tcW w:w="865" w:type="pct"/>
          </w:tcPr>
          <w:p>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Pr>
          <w:p>
            <w:pPr>
              <w:spacing w:line="440" w:lineRule="exact"/>
              <w:rPr>
                <w:rFonts w:ascii="宋体" w:hAnsi="宋体" w:cs="宋体"/>
                <w:color w:val="auto"/>
                <w:sz w:val="24"/>
                <w:highlight w:val="none"/>
              </w:rPr>
            </w:pPr>
          </w:p>
        </w:tc>
        <w:tc>
          <w:tcPr>
            <w:tcW w:w="1597" w:type="pct"/>
          </w:tcPr>
          <w:p>
            <w:pPr>
              <w:spacing w:line="440" w:lineRule="exact"/>
              <w:rPr>
                <w:rFonts w:ascii="宋体" w:hAnsi="宋体" w:cs="宋体"/>
                <w:color w:val="auto"/>
                <w:sz w:val="24"/>
                <w:highlight w:val="none"/>
              </w:rPr>
            </w:pPr>
          </w:p>
        </w:tc>
        <w:tc>
          <w:tcPr>
            <w:tcW w:w="1200" w:type="pct"/>
          </w:tcPr>
          <w:p>
            <w:pPr>
              <w:spacing w:line="440" w:lineRule="exact"/>
              <w:rPr>
                <w:rFonts w:ascii="宋体" w:hAnsi="宋体" w:cs="宋体"/>
                <w:color w:val="auto"/>
                <w:sz w:val="24"/>
                <w:highlight w:val="none"/>
              </w:rPr>
            </w:pPr>
          </w:p>
        </w:tc>
        <w:tc>
          <w:tcPr>
            <w:tcW w:w="865" w:type="pct"/>
          </w:tcPr>
          <w:p>
            <w:pPr>
              <w:spacing w:line="440" w:lineRule="exact"/>
              <w:rPr>
                <w:rFonts w:ascii="宋体" w:hAnsi="宋体" w:cs="宋体"/>
                <w:color w:val="auto"/>
                <w:sz w:val="24"/>
                <w:highlight w:val="none"/>
              </w:rPr>
            </w:pPr>
          </w:p>
        </w:tc>
        <w:tc>
          <w:tcPr>
            <w:tcW w:w="865" w:type="pct"/>
          </w:tcPr>
          <w:p>
            <w:pPr>
              <w:spacing w:line="440" w:lineRule="exact"/>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Pr>
          <w:p>
            <w:pPr>
              <w:spacing w:line="440" w:lineRule="exact"/>
              <w:rPr>
                <w:rFonts w:ascii="宋体" w:hAnsi="宋体" w:cs="宋体"/>
                <w:color w:val="auto"/>
                <w:sz w:val="24"/>
                <w:highlight w:val="none"/>
              </w:rPr>
            </w:pPr>
          </w:p>
        </w:tc>
        <w:tc>
          <w:tcPr>
            <w:tcW w:w="1597" w:type="pct"/>
          </w:tcPr>
          <w:p>
            <w:pPr>
              <w:spacing w:line="440" w:lineRule="exact"/>
              <w:rPr>
                <w:rFonts w:ascii="宋体" w:hAnsi="宋体" w:cs="宋体"/>
                <w:color w:val="auto"/>
                <w:sz w:val="24"/>
                <w:highlight w:val="none"/>
              </w:rPr>
            </w:pPr>
          </w:p>
        </w:tc>
        <w:tc>
          <w:tcPr>
            <w:tcW w:w="1200" w:type="pct"/>
          </w:tcPr>
          <w:p>
            <w:pPr>
              <w:spacing w:line="440" w:lineRule="exact"/>
              <w:rPr>
                <w:rFonts w:ascii="宋体" w:hAnsi="宋体" w:cs="宋体"/>
                <w:color w:val="auto"/>
                <w:sz w:val="24"/>
                <w:highlight w:val="none"/>
              </w:rPr>
            </w:pPr>
          </w:p>
        </w:tc>
        <w:tc>
          <w:tcPr>
            <w:tcW w:w="865" w:type="pct"/>
          </w:tcPr>
          <w:p>
            <w:pPr>
              <w:spacing w:line="440" w:lineRule="exact"/>
              <w:rPr>
                <w:rFonts w:ascii="宋体" w:hAnsi="宋体" w:cs="宋体"/>
                <w:color w:val="auto"/>
                <w:sz w:val="24"/>
                <w:highlight w:val="none"/>
              </w:rPr>
            </w:pPr>
          </w:p>
        </w:tc>
        <w:tc>
          <w:tcPr>
            <w:tcW w:w="865" w:type="pct"/>
          </w:tcPr>
          <w:p>
            <w:pPr>
              <w:spacing w:line="440" w:lineRule="exact"/>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Pr>
          <w:p>
            <w:pPr>
              <w:spacing w:line="440" w:lineRule="exact"/>
              <w:rPr>
                <w:rFonts w:ascii="宋体" w:hAnsi="宋体" w:cs="宋体"/>
                <w:color w:val="auto"/>
                <w:sz w:val="24"/>
                <w:highlight w:val="none"/>
              </w:rPr>
            </w:pPr>
          </w:p>
        </w:tc>
        <w:tc>
          <w:tcPr>
            <w:tcW w:w="1597" w:type="pct"/>
          </w:tcPr>
          <w:p>
            <w:pPr>
              <w:spacing w:line="440" w:lineRule="exact"/>
              <w:rPr>
                <w:rFonts w:ascii="宋体" w:hAnsi="宋体" w:cs="宋体"/>
                <w:color w:val="auto"/>
                <w:sz w:val="24"/>
                <w:highlight w:val="none"/>
              </w:rPr>
            </w:pPr>
          </w:p>
        </w:tc>
        <w:tc>
          <w:tcPr>
            <w:tcW w:w="1200" w:type="pct"/>
          </w:tcPr>
          <w:p>
            <w:pPr>
              <w:spacing w:line="440" w:lineRule="exact"/>
              <w:rPr>
                <w:rFonts w:ascii="宋体" w:hAnsi="宋体" w:cs="宋体"/>
                <w:color w:val="auto"/>
                <w:sz w:val="24"/>
                <w:highlight w:val="none"/>
              </w:rPr>
            </w:pPr>
          </w:p>
        </w:tc>
        <w:tc>
          <w:tcPr>
            <w:tcW w:w="865" w:type="pct"/>
          </w:tcPr>
          <w:p>
            <w:pPr>
              <w:spacing w:line="440" w:lineRule="exact"/>
              <w:rPr>
                <w:rFonts w:ascii="宋体" w:hAnsi="宋体" w:cs="宋体"/>
                <w:color w:val="auto"/>
                <w:sz w:val="24"/>
                <w:highlight w:val="none"/>
              </w:rPr>
            </w:pPr>
          </w:p>
        </w:tc>
        <w:tc>
          <w:tcPr>
            <w:tcW w:w="865" w:type="pct"/>
          </w:tcPr>
          <w:p>
            <w:pPr>
              <w:spacing w:line="440" w:lineRule="exact"/>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Pr>
          <w:p>
            <w:pPr>
              <w:spacing w:line="440" w:lineRule="exact"/>
              <w:rPr>
                <w:rFonts w:ascii="宋体" w:hAnsi="宋体" w:cs="宋体"/>
                <w:color w:val="auto"/>
                <w:sz w:val="24"/>
                <w:highlight w:val="none"/>
              </w:rPr>
            </w:pPr>
          </w:p>
        </w:tc>
        <w:tc>
          <w:tcPr>
            <w:tcW w:w="1597" w:type="pct"/>
          </w:tcPr>
          <w:p>
            <w:pPr>
              <w:spacing w:line="440" w:lineRule="exact"/>
              <w:rPr>
                <w:rFonts w:ascii="宋体" w:hAnsi="宋体" w:cs="宋体"/>
                <w:color w:val="auto"/>
                <w:sz w:val="24"/>
                <w:highlight w:val="none"/>
              </w:rPr>
            </w:pPr>
          </w:p>
        </w:tc>
        <w:tc>
          <w:tcPr>
            <w:tcW w:w="1200" w:type="pct"/>
          </w:tcPr>
          <w:p>
            <w:pPr>
              <w:spacing w:line="440" w:lineRule="exact"/>
              <w:rPr>
                <w:rFonts w:ascii="宋体" w:hAnsi="宋体" w:cs="宋体"/>
                <w:color w:val="auto"/>
                <w:sz w:val="24"/>
                <w:highlight w:val="none"/>
              </w:rPr>
            </w:pPr>
          </w:p>
        </w:tc>
        <w:tc>
          <w:tcPr>
            <w:tcW w:w="865" w:type="pct"/>
          </w:tcPr>
          <w:p>
            <w:pPr>
              <w:spacing w:line="440" w:lineRule="exact"/>
              <w:rPr>
                <w:rFonts w:ascii="宋体" w:hAnsi="宋体" w:cs="宋体"/>
                <w:color w:val="auto"/>
                <w:sz w:val="24"/>
                <w:highlight w:val="none"/>
              </w:rPr>
            </w:pPr>
          </w:p>
        </w:tc>
        <w:tc>
          <w:tcPr>
            <w:tcW w:w="865" w:type="pct"/>
          </w:tcPr>
          <w:p>
            <w:pPr>
              <w:spacing w:line="440" w:lineRule="exact"/>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Pr>
          <w:p>
            <w:pPr>
              <w:spacing w:line="440" w:lineRule="exact"/>
              <w:rPr>
                <w:rFonts w:ascii="宋体" w:hAnsi="宋体" w:cs="宋体"/>
                <w:color w:val="auto"/>
                <w:sz w:val="24"/>
                <w:highlight w:val="none"/>
              </w:rPr>
            </w:pPr>
          </w:p>
        </w:tc>
        <w:tc>
          <w:tcPr>
            <w:tcW w:w="1597" w:type="pct"/>
          </w:tcPr>
          <w:p>
            <w:pPr>
              <w:spacing w:line="440" w:lineRule="exact"/>
              <w:rPr>
                <w:rFonts w:ascii="宋体" w:hAnsi="宋体" w:cs="宋体"/>
                <w:color w:val="auto"/>
                <w:sz w:val="24"/>
                <w:highlight w:val="none"/>
              </w:rPr>
            </w:pPr>
          </w:p>
        </w:tc>
        <w:tc>
          <w:tcPr>
            <w:tcW w:w="1200" w:type="pct"/>
          </w:tcPr>
          <w:p>
            <w:pPr>
              <w:spacing w:line="440" w:lineRule="exact"/>
              <w:rPr>
                <w:rFonts w:ascii="宋体" w:hAnsi="宋体" w:cs="宋体"/>
                <w:color w:val="auto"/>
                <w:sz w:val="24"/>
                <w:highlight w:val="none"/>
              </w:rPr>
            </w:pPr>
          </w:p>
        </w:tc>
        <w:tc>
          <w:tcPr>
            <w:tcW w:w="865" w:type="pct"/>
          </w:tcPr>
          <w:p>
            <w:pPr>
              <w:spacing w:line="440" w:lineRule="exact"/>
              <w:rPr>
                <w:rFonts w:ascii="宋体" w:hAnsi="宋体" w:cs="宋体"/>
                <w:color w:val="auto"/>
                <w:sz w:val="24"/>
                <w:highlight w:val="none"/>
              </w:rPr>
            </w:pPr>
          </w:p>
        </w:tc>
        <w:tc>
          <w:tcPr>
            <w:tcW w:w="865" w:type="pct"/>
          </w:tcPr>
          <w:p>
            <w:pPr>
              <w:spacing w:line="440" w:lineRule="exact"/>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Pr>
          <w:p>
            <w:pPr>
              <w:spacing w:line="440" w:lineRule="exact"/>
              <w:rPr>
                <w:rFonts w:ascii="宋体" w:hAnsi="宋体" w:cs="宋体"/>
                <w:color w:val="auto"/>
                <w:sz w:val="24"/>
                <w:highlight w:val="none"/>
              </w:rPr>
            </w:pPr>
          </w:p>
        </w:tc>
        <w:tc>
          <w:tcPr>
            <w:tcW w:w="1597" w:type="pct"/>
          </w:tcPr>
          <w:p>
            <w:pPr>
              <w:spacing w:line="440" w:lineRule="exact"/>
              <w:rPr>
                <w:rFonts w:ascii="宋体" w:hAnsi="宋体" w:cs="宋体"/>
                <w:color w:val="auto"/>
                <w:sz w:val="24"/>
                <w:highlight w:val="none"/>
              </w:rPr>
            </w:pPr>
          </w:p>
        </w:tc>
        <w:tc>
          <w:tcPr>
            <w:tcW w:w="1200" w:type="pct"/>
          </w:tcPr>
          <w:p>
            <w:pPr>
              <w:spacing w:line="440" w:lineRule="exact"/>
              <w:rPr>
                <w:rFonts w:ascii="宋体" w:hAnsi="宋体" w:cs="宋体"/>
                <w:color w:val="auto"/>
                <w:sz w:val="24"/>
                <w:highlight w:val="none"/>
              </w:rPr>
            </w:pPr>
          </w:p>
        </w:tc>
        <w:tc>
          <w:tcPr>
            <w:tcW w:w="865" w:type="pct"/>
          </w:tcPr>
          <w:p>
            <w:pPr>
              <w:spacing w:line="440" w:lineRule="exact"/>
              <w:rPr>
                <w:rFonts w:ascii="宋体" w:hAnsi="宋体" w:cs="宋体"/>
                <w:color w:val="auto"/>
                <w:sz w:val="24"/>
                <w:highlight w:val="none"/>
              </w:rPr>
            </w:pPr>
          </w:p>
        </w:tc>
        <w:tc>
          <w:tcPr>
            <w:tcW w:w="865" w:type="pct"/>
          </w:tcPr>
          <w:p>
            <w:pPr>
              <w:spacing w:line="440" w:lineRule="exact"/>
              <w:rPr>
                <w:rFonts w:ascii="宋体" w:hAnsi="宋体" w:cs="宋体"/>
                <w:color w:val="auto"/>
                <w:sz w:val="24"/>
                <w:highlight w:val="none"/>
              </w:rPr>
            </w:pPr>
          </w:p>
        </w:tc>
      </w:tr>
    </w:tbl>
    <w:p>
      <w:pPr>
        <w:tabs>
          <w:tab w:val="right" w:leader="dot" w:pos="9060"/>
        </w:tabs>
        <w:rPr>
          <w:rFonts w:ascii="宋体" w:hAnsi="宋体" w:cs="宋体"/>
          <w:bCs/>
          <w:color w:val="auto"/>
          <w:szCs w:val="21"/>
          <w:highlight w:val="none"/>
        </w:rPr>
      </w:pPr>
      <w:r>
        <w:rPr>
          <w:rFonts w:hint="eastAsia" w:ascii="宋体" w:hAnsi="宋体" w:cs="宋体"/>
          <w:b/>
          <w:color w:val="auto"/>
          <w:szCs w:val="21"/>
          <w:highlight w:val="none"/>
        </w:rPr>
        <w:t>注：</w:t>
      </w:r>
      <w:r>
        <w:rPr>
          <w:rFonts w:hint="eastAsia" w:ascii="宋体" w:hAnsi="宋体" w:cs="宋体"/>
          <w:bCs/>
          <w:color w:val="auto"/>
          <w:szCs w:val="21"/>
          <w:highlight w:val="none"/>
        </w:rPr>
        <w:t>业绩取自投标人提供的证明资料：</w:t>
      </w:r>
    </w:p>
    <w:p>
      <w:pPr>
        <w:tabs>
          <w:tab w:val="right" w:leader="dot" w:pos="906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业绩</w:t>
      </w:r>
      <w:r>
        <w:rPr>
          <w:rFonts w:hint="eastAsia" w:ascii="宋体" w:hAnsi="宋体" w:cs="宋体"/>
          <w:bCs/>
          <w:color w:val="auto"/>
          <w:szCs w:val="21"/>
          <w:highlight w:val="none"/>
          <w:lang w:eastAsia="zh-CN"/>
        </w:rPr>
        <w:t>证明文件</w:t>
      </w:r>
      <w:r>
        <w:rPr>
          <w:rFonts w:hint="eastAsia" w:ascii="宋体" w:hAnsi="宋体" w:cs="宋体"/>
          <w:bCs/>
          <w:color w:val="auto"/>
          <w:szCs w:val="21"/>
          <w:highlight w:val="none"/>
        </w:rPr>
        <w:t>，</w:t>
      </w:r>
      <w:r>
        <w:rPr>
          <w:rFonts w:hint="eastAsia" w:ascii="宋体" w:hAnsi="宋体" w:cs="宋体"/>
          <w:color w:val="auto"/>
          <w:highlight w:val="none"/>
        </w:rPr>
        <w:t>需同时提供：①中标通知书或免招标的相关证明；②施工合同；③竣工</w:t>
      </w:r>
      <w:r>
        <w:rPr>
          <w:rFonts w:ascii="宋体" w:hAnsi="宋体" w:cs="宋体"/>
          <w:color w:val="auto"/>
          <w:highlight w:val="none"/>
        </w:rPr>
        <w:t>/交工验收报告（或竣工/交工验收证明），如以上资料不能证明业绩规模的技术指标（指</w:t>
      </w:r>
      <w:r>
        <w:rPr>
          <w:rFonts w:hint="eastAsia" w:ascii="宋体" w:hAnsi="宋体" w:cs="宋体"/>
          <w:color w:val="auto"/>
          <w:highlight w:val="none"/>
        </w:rPr>
        <w:t>设计压力、</w:t>
      </w:r>
      <w:r>
        <w:rPr>
          <w:rFonts w:ascii="宋体" w:hAnsi="宋体" w:cs="宋体"/>
          <w:color w:val="auto"/>
          <w:highlight w:val="none"/>
        </w:rPr>
        <w:t>面积、高度、跨度、管径等）的，须另提供可证明业绩技术指标的其他资料。由总承包单位依法分包的工程业绩，需同时提供总承包单位的中标通知书或免招标的相关证明、经业主和总承包单位确认的分包合同、竣工/交工验收报告（或竣工/交工验收证明），如以上资料不能证明业绩规模的技术指标（指</w:t>
      </w:r>
      <w:r>
        <w:rPr>
          <w:rFonts w:hint="eastAsia" w:ascii="宋体" w:hAnsi="宋体" w:cs="宋体"/>
          <w:bCs/>
          <w:color w:val="auto"/>
          <w:kern w:val="0"/>
          <w:szCs w:val="21"/>
          <w:highlight w:val="none"/>
          <w:u w:val="none"/>
        </w:rPr>
        <w:t>设计压力、</w:t>
      </w:r>
      <w:r>
        <w:rPr>
          <w:rFonts w:ascii="宋体" w:hAnsi="宋体" w:cs="宋体"/>
          <w:color w:val="auto"/>
          <w:highlight w:val="none"/>
        </w:rPr>
        <w:t>面积、高度、跨度、管径等）的，须另提供可证明业绩技术指标的其他资料；完成时间以竣工/交工验收文件为准。验收文件至少具有建设单位、设计、施工和监理单位盖章。</w:t>
      </w:r>
    </w:p>
    <w:p>
      <w:pPr>
        <w:rPr>
          <w:color w:val="auto"/>
          <w:highlight w:val="none"/>
        </w:rPr>
      </w:pPr>
      <w:r>
        <w:rPr>
          <w:rFonts w:hint="eastAsia" w:ascii="宋体" w:hAnsi="宋体" w:cs="宋体"/>
          <w:bCs/>
          <w:color w:val="auto"/>
          <w:szCs w:val="21"/>
          <w:highlight w:val="none"/>
        </w:rPr>
        <w:br w:type="page"/>
      </w:r>
    </w:p>
    <w:bookmarkEnd w:id="202"/>
    <w:bookmarkEnd w:id="203"/>
    <w:bookmarkEnd w:id="208"/>
    <w:p>
      <w:pPr>
        <w:pStyle w:val="6"/>
        <w:spacing w:before="0" w:after="200" w:line="240" w:lineRule="auto"/>
        <w:ind w:left="0"/>
        <w:jc w:val="left"/>
        <w:rPr>
          <w:rFonts w:ascii="宋体" w:hAnsi="宋体" w:cs="宋体"/>
          <w:color w:val="auto"/>
          <w:highlight w:val="none"/>
        </w:rPr>
      </w:pPr>
      <w:bookmarkStart w:id="216" w:name="_Toc12718"/>
      <w:bookmarkStart w:id="217" w:name="_Toc12043"/>
      <w:bookmarkStart w:id="218" w:name="_Toc12298"/>
      <w:bookmarkStart w:id="219" w:name="_Toc645674019"/>
      <w:bookmarkStart w:id="220" w:name="_Toc25604"/>
      <w:bookmarkStart w:id="221" w:name="_Toc12262587"/>
      <w:bookmarkStart w:id="222" w:name="_Toc55169949"/>
      <w:r>
        <w:rPr>
          <w:rFonts w:hint="eastAsia" w:ascii="宋体" w:hAnsi="宋体" w:cs="宋体"/>
          <w:color w:val="auto"/>
          <w:highlight w:val="none"/>
        </w:rPr>
        <w:t>格式</w:t>
      </w:r>
      <w:r>
        <w:rPr>
          <w:rFonts w:hint="eastAsia" w:ascii="宋体" w:hAnsi="宋体" w:cs="宋体"/>
          <w:color w:val="auto"/>
          <w:highlight w:val="none"/>
          <w:lang w:val="en-US" w:eastAsia="zh-CN"/>
        </w:rPr>
        <w:t>六</w:t>
      </w:r>
      <w:r>
        <w:rPr>
          <w:rFonts w:hint="eastAsia" w:ascii="宋体" w:hAnsi="宋体" w:cs="宋体"/>
          <w:color w:val="auto"/>
          <w:highlight w:val="none"/>
        </w:rPr>
        <w:t>：投标文件编制人员名单</w:t>
      </w:r>
      <w:bookmarkEnd w:id="216"/>
      <w:bookmarkEnd w:id="217"/>
      <w:bookmarkEnd w:id="218"/>
      <w:bookmarkEnd w:id="219"/>
      <w:bookmarkEnd w:id="220"/>
      <w:bookmarkEnd w:id="221"/>
      <w:bookmarkEnd w:id="222"/>
    </w:p>
    <w:p>
      <w:pPr>
        <w:tabs>
          <w:tab w:val="left" w:pos="720"/>
        </w:tabs>
        <w:snapToGri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投标文件编制人员名单</w:t>
      </w:r>
    </w:p>
    <w:p>
      <w:pPr>
        <w:tabs>
          <w:tab w:val="left" w:pos="720"/>
        </w:tabs>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一、参与编制技术标投标文件人员名单</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1479"/>
        <w:gridCol w:w="2498"/>
        <w:gridCol w:w="2396"/>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5000" w:type="pct"/>
            <w:gridSpan w:val="5"/>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职务</w:t>
            </w: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所承担工作</w:t>
            </w: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身份证号码</w:t>
            </w: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bl>
    <w:p>
      <w:pPr>
        <w:tabs>
          <w:tab w:val="left" w:pos="720"/>
        </w:tabs>
        <w:snapToGrid w:val="0"/>
        <w:spacing w:line="360" w:lineRule="auto"/>
        <w:rPr>
          <w:rFonts w:ascii="宋体" w:hAnsi="宋体" w:cs="宋体"/>
          <w:color w:val="auto"/>
          <w:sz w:val="24"/>
          <w:szCs w:val="24"/>
          <w:highlight w:val="none"/>
        </w:rPr>
      </w:pPr>
    </w:p>
    <w:p>
      <w:pPr>
        <w:tabs>
          <w:tab w:val="left" w:pos="720"/>
        </w:tabs>
        <w:snapToGrid w:val="0"/>
        <w:spacing w:line="360" w:lineRule="auto"/>
        <w:rPr>
          <w:rFonts w:ascii="宋体" w:hAnsi="宋体" w:cs="宋体"/>
          <w:color w:val="auto"/>
          <w:sz w:val="24"/>
          <w:szCs w:val="24"/>
          <w:highlight w:val="none"/>
        </w:rPr>
      </w:pPr>
    </w:p>
    <w:p>
      <w:pPr>
        <w:tabs>
          <w:tab w:val="left" w:pos="720"/>
        </w:tabs>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二、参与编制经济标投标文件人员名单</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1479"/>
        <w:gridCol w:w="2498"/>
        <w:gridCol w:w="2396"/>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5000" w:type="pct"/>
            <w:gridSpan w:val="5"/>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职务</w:t>
            </w: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所承担工作</w:t>
            </w: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身份证号码</w:t>
            </w: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0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70"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131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ascii="宋体" w:hAnsi="宋体" w:cs="宋体"/>
                <w:color w:val="auto"/>
                <w:szCs w:val="21"/>
                <w:highlight w:val="none"/>
              </w:rPr>
            </w:pPr>
          </w:p>
        </w:tc>
      </w:tr>
    </w:tbl>
    <w:p>
      <w:pPr>
        <w:tabs>
          <w:tab w:val="left" w:pos="720"/>
        </w:tabs>
        <w:snapToGrid w:val="0"/>
        <w:spacing w:line="360" w:lineRule="auto"/>
        <w:rPr>
          <w:rFonts w:ascii="宋体" w:hAnsi="宋体" w:cs="宋体"/>
          <w:color w:val="auto"/>
          <w:sz w:val="24"/>
          <w:szCs w:val="24"/>
          <w:highlight w:val="none"/>
        </w:rPr>
      </w:pPr>
    </w:p>
    <w:p>
      <w:pPr>
        <w:pStyle w:val="37"/>
        <w:spacing w:after="0" w:line="360" w:lineRule="auto"/>
        <w:ind w:left="-2" w:leftChars="-1" w:firstLine="367" w:firstLineChars="175"/>
        <w:jc w:val="left"/>
        <w:rPr>
          <w:rFonts w:ascii="宋体" w:hAnsi="宋体" w:cs="宋体"/>
          <w:color w:val="auto"/>
          <w:szCs w:val="21"/>
          <w:highlight w:val="none"/>
        </w:rPr>
      </w:pPr>
      <w:r>
        <w:rPr>
          <w:rFonts w:hint="eastAsia" w:ascii="宋体" w:hAnsi="宋体" w:cs="宋体"/>
          <w:color w:val="auto"/>
          <w:szCs w:val="21"/>
          <w:highlight w:val="none"/>
        </w:rPr>
        <w:t>注：参与编制投标文件所有人员名单应包括如编制技术投标方案、编制各种专业工程量清单投标报价、负责清样校对、负责打印及复印等所有人员在内的人员名单。</w:t>
      </w:r>
    </w:p>
    <w:p>
      <w:pPr>
        <w:pStyle w:val="6"/>
        <w:spacing w:before="0" w:after="200" w:line="240" w:lineRule="auto"/>
        <w:ind w:left="0"/>
        <w:jc w:val="left"/>
        <w:rPr>
          <w:rFonts w:ascii="宋体" w:hAnsi="宋体" w:cs="宋体"/>
          <w:color w:val="auto"/>
          <w:highlight w:val="none"/>
        </w:rPr>
      </w:pPr>
      <w:bookmarkStart w:id="223" w:name="_Toc10436"/>
      <w:bookmarkStart w:id="224" w:name="_Toc55169950"/>
      <w:r>
        <w:rPr>
          <w:rFonts w:hint="eastAsia" w:ascii="宋体" w:hAnsi="宋体" w:cs="宋体"/>
          <w:color w:val="auto"/>
          <w:highlight w:val="none"/>
        </w:rPr>
        <w:br w:type="page"/>
      </w:r>
      <w:bookmarkStart w:id="225" w:name="_Toc4083"/>
      <w:bookmarkStart w:id="226" w:name="_Toc608369042"/>
      <w:bookmarkStart w:id="227" w:name="_Toc4259"/>
      <w:bookmarkStart w:id="228" w:name="_Toc11823"/>
      <w:r>
        <w:rPr>
          <w:rFonts w:hint="eastAsia" w:ascii="宋体" w:hAnsi="宋体" w:cs="宋体"/>
          <w:color w:val="auto"/>
          <w:highlight w:val="none"/>
        </w:rPr>
        <w:t>格式</w:t>
      </w:r>
      <w:r>
        <w:rPr>
          <w:rFonts w:hint="eastAsia" w:ascii="宋体" w:hAnsi="宋体" w:cs="宋体"/>
          <w:color w:val="auto"/>
          <w:highlight w:val="none"/>
          <w:lang w:val="en-US" w:eastAsia="zh-CN"/>
        </w:rPr>
        <w:t>七</w:t>
      </w:r>
      <w:r>
        <w:rPr>
          <w:rFonts w:hint="eastAsia" w:ascii="宋体" w:hAnsi="宋体" w:cs="宋体"/>
          <w:color w:val="auto"/>
          <w:highlight w:val="none"/>
        </w:rPr>
        <w:t>：对投标文件编制的承诺</w:t>
      </w:r>
      <w:bookmarkEnd w:id="223"/>
      <w:bookmarkEnd w:id="224"/>
      <w:bookmarkEnd w:id="225"/>
      <w:bookmarkEnd w:id="226"/>
      <w:bookmarkEnd w:id="227"/>
      <w:bookmarkEnd w:id="228"/>
    </w:p>
    <w:p>
      <w:pPr>
        <w:pStyle w:val="37"/>
        <w:spacing w:after="0" w:line="360" w:lineRule="auto"/>
        <w:ind w:firstLine="0"/>
        <w:jc w:val="center"/>
        <w:rPr>
          <w:rFonts w:ascii="宋体" w:hAnsi="宋体" w:cs="宋体"/>
          <w:color w:val="auto"/>
          <w:sz w:val="32"/>
          <w:szCs w:val="32"/>
          <w:highlight w:val="none"/>
        </w:rPr>
      </w:pPr>
      <w:r>
        <w:rPr>
          <w:rFonts w:hint="eastAsia" w:ascii="宋体" w:hAnsi="宋体" w:cs="宋体"/>
          <w:b/>
          <w:color w:val="auto"/>
          <w:sz w:val="32"/>
          <w:szCs w:val="32"/>
          <w:highlight w:val="none"/>
        </w:rPr>
        <w:t>对投标文件编制的承诺</w:t>
      </w:r>
    </w:p>
    <w:p>
      <w:pPr>
        <w:pStyle w:val="37"/>
        <w:spacing w:after="0" w:line="360" w:lineRule="auto"/>
        <w:ind w:left="-2" w:leftChars="-1" w:firstLine="540" w:firstLineChars="225"/>
        <w:rPr>
          <w:rFonts w:ascii="宋体" w:hAnsi="宋体" w:cs="宋体"/>
          <w:color w:val="auto"/>
          <w:sz w:val="24"/>
          <w:szCs w:val="24"/>
          <w:highlight w:val="none"/>
        </w:rPr>
      </w:pPr>
      <w:r>
        <w:rPr>
          <w:rFonts w:hint="eastAsia" w:ascii="宋体" w:hAnsi="宋体" w:cs="宋体"/>
          <w:color w:val="auto"/>
          <w:sz w:val="24"/>
          <w:szCs w:val="24"/>
          <w:highlight w:val="none"/>
        </w:rPr>
        <w:t>本公司授权</w:t>
      </w:r>
      <w:r>
        <w:rPr>
          <w:rFonts w:hint="eastAsia" w:ascii="宋体" w:hAnsi="宋体" w:cs="宋体"/>
          <w:color w:val="auto"/>
          <w:sz w:val="24"/>
          <w:szCs w:val="24"/>
          <w:highlight w:val="none"/>
          <w:u w:val="single"/>
        </w:rPr>
        <w:t xml:space="preserve">         （身份证号：               ）</w:t>
      </w:r>
      <w:r>
        <w:rPr>
          <w:rFonts w:hint="eastAsia" w:ascii="宋体" w:hAnsi="宋体" w:cs="宋体"/>
          <w:color w:val="auto"/>
          <w:sz w:val="24"/>
          <w:szCs w:val="24"/>
          <w:highlight w:val="none"/>
        </w:rPr>
        <w:t>负责对投标文件的编制及内容进行解释、说明，并承诺以下事项：</w:t>
      </w:r>
    </w:p>
    <w:p>
      <w:pPr>
        <w:pStyle w:val="37"/>
        <w:spacing w:after="0" w:line="360" w:lineRule="auto"/>
        <w:ind w:left="-2" w:leftChars="-1" w:firstLine="540" w:firstLineChars="225"/>
        <w:rPr>
          <w:rFonts w:ascii="宋体" w:hAnsi="宋体" w:cs="宋体"/>
          <w:color w:val="auto"/>
          <w:sz w:val="24"/>
          <w:szCs w:val="24"/>
          <w:highlight w:val="none"/>
        </w:rPr>
      </w:pPr>
      <w:r>
        <w:rPr>
          <w:rFonts w:hint="eastAsia" w:ascii="宋体" w:hAnsi="宋体" w:cs="宋体"/>
          <w:color w:val="auto"/>
          <w:sz w:val="24"/>
          <w:szCs w:val="24"/>
          <w:highlight w:val="none"/>
        </w:rPr>
        <w:t>1.被授权人清楚投标文件编制的具体情况，包括技术方案文件、工程量清单、以及投标文件的加密打包的理解；</w:t>
      </w:r>
    </w:p>
    <w:p>
      <w:pPr>
        <w:pStyle w:val="37"/>
        <w:spacing w:after="0" w:line="360" w:lineRule="auto"/>
        <w:ind w:left="-2" w:leftChars="-1" w:firstLine="540" w:firstLineChars="225"/>
        <w:rPr>
          <w:rFonts w:ascii="宋体" w:hAnsi="宋体" w:cs="宋体"/>
          <w:color w:val="auto"/>
          <w:sz w:val="24"/>
          <w:szCs w:val="24"/>
          <w:highlight w:val="none"/>
        </w:rPr>
      </w:pPr>
      <w:r>
        <w:rPr>
          <w:rFonts w:hint="eastAsia" w:ascii="宋体" w:hAnsi="宋体" w:cs="宋体"/>
          <w:color w:val="auto"/>
          <w:sz w:val="24"/>
          <w:szCs w:val="24"/>
          <w:highlight w:val="none"/>
        </w:rPr>
        <w:t>2.在本项目开标至评标结束前，努力确保被授权人在项目评标所在地附近；</w:t>
      </w:r>
    </w:p>
    <w:p>
      <w:pPr>
        <w:pStyle w:val="37"/>
        <w:spacing w:after="0" w:line="360" w:lineRule="auto"/>
        <w:ind w:left="-2" w:leftChars="-1" w:firstLine="540" w:firstLineChars="225"/>
        <w:rPr>
          <w:rFonts w:ascii="宋体" w:hAnsi="宋体" w:cs="宋体"/>
          <w:color w:val="auto"/>
          <w:sz w:val="24"/>
          <w:szCs w:val="24"/>
          <w:highlight w:val="none"/>
        </w:rPr>
      </w:pPr>
      <w:r>
        <w:rPr>
          <w:rFonts w:hint="eastAsia" w:ascii="宋体" w:hAnsi="宋体" w:cs="宋体"/>
          <w:color w:val="auto"/>
          <w:sz w:val="24"/>
          <w:szCs w:val="24"/>
          <w:highlight w:val="none"/>
        </w:rPr>
        <w:t>3.从评标委员会要求澄清起二小时内，被授权人应如实地书面澄清。</w:t>
      </w:r>
    </w:p>
    <w:p>
      <w:pPr>
        <w:pStyle w:val="37"/>
        <w:spacing w:after="0" w:line="360" w:lineRule="auto"/>
        <w:ind w:left="-2" w:leftChars="-1" w:firstLine="540" w:firstLineChars="225"/>
        <w:rPr>
          <w:rFonts w:ascii="宋体" w:hAnsi="宋体" w:cs="宋体"/>
          <w:color w:val="auto"/>
          <w:sz w:val="24"/>
          <w:szCs w:val="24"/>
          <w:highlight w:val="none"/>
        </w:rPr>
      </w:pPr>
      <w:r>
        <w:rPr>
          <w:rFonts w:hint="eastAsia" w:ascii="宋体" w:hAnsi="宋体" w:cs="宋体"/>
          <w:color w:val="auto"/>
          <w:sz w:val="24"/>
          <w:szCs w:val="24"/>
          <w:highlight w:val="none"/>
        </w:rPr>
        <w:t xml:space="preserve">如由于未遵守上述承诺内容之一导致无法进行澄清的，我公司认可和接受评标委员会作出的评审结论。                                 </w:t>
      </w:r>
    </w:p>
    <w:p>
      <w:pPr>
        <w:pStyle w:val="37"/>
        <w:spacing w:after="0" w:line="360"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 xml:space="preserve"> </w:t>
      </w:r>
    </w:p>
    <w:p>
      <w:pPr>
        <w:pStyle w:val="37"/>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附件：《投标文件编制情况》</w:t>
      </w:r>
    </w:p>
    <w:p>
      <w:pPr>
        <w:spacing w:line="360" w:lineRule="auto"/>
        <w:ind w:right="90" w:firstLine="3240" w:firstLineChars="135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投标人名称：            </w:t>
      </w:r>
    </w:p>
    <w:p>
      <w:pPr>
        <w:spacing w:line="360" w:lineRule="auto"/>
        <w:ind w:firstLine="2160" w:firstLineChars="900"/>
        <w:rPr>
          <w:rFonts w:ascii="宋体" w:hAnsi="宋体" w:cs="宋体"/>
          <w:color w:val="auto"/>
          <w:sz w:val="24"/>
          <w:szCs w:val="24"/>
          <w:highlight w:val="none"/>
          <w:u w:val="single"/>
        </w:rPr>
      </w:pPr>
      <w:r>
        <w:rPr>
          <w:rFonts w:hint="eastAsia" w:ascii="宋体" w:hAnsi="宋体" w:cs="宋体"/>
          <w:color w:val="auto"/>
          <w:sz w:val="24"/>
          <w:szCs w:val="24"/>
          <w:highlight w:val="none"/>
        </w:rPr>
        <w:t xml:space="preserve">          日期：      年   月   日</w:t>
      </w:r>
      <w:r>
        <w:rPr>
          <w:rFonts w:hint="eastAsia" w:ascii="宋体" w:hAnsi="宋体" w:cs="宋体"/>
          <w:color w:val="auto"/>
          <w:sz w:val="24"/>
          <w:szCs w:val="24"/>
          <w:highlight w:val="none"/>
          <w:u w:val="single"/>
        </w:rPr>
        <w:t xml:space="preserve">                  </w:t>
      </w:r>
    </w:p>
    <w:p>
      <w:pPr>
        <w:spacing w:line="360" w:lineRule="auto"/>
        <w:ind w:firstLine="4440" w:firstLineChars="1850"/>
        <w:jc w:val="center"/>
        <w:rPr>
          <w:rFonts w:ascii="宋体" w:hAnsi="宋体" w:cs="宋体"/>
          <w:color w:val="auto"/>
          <w:sz w:val="24"/>
          <w:szCs w:val="24"/>
          <w:highlight w:val="none"/>
        </w:rPr>
      </w:pPr>
      <w:r>
        <w:rPr>
          <w:rFonts w:hint="eastAsia" w:ascii="宋体" w:hAnsi="宋体" w:cs="宋体"/>
          <w:color w:val="auto"/>
          <w:sz w:val="24"/>
          <w:szCs w:val="24"/>
          <w:highlight w:val="none"/>
        </w:rPr>
        <w:t xml:space="preserve"> 日期：      年   月   日 </w:t>
      </w:r>
      <w:r>
        <w:rPr>
          <w:rFonts w:hint="eastAsia" w:ascii="宋体" w:hAnsi="宋体" w:cs="宋体"/>
          <w:color w:val="auto"/>
          <w:sz w:val="18"/>
          <w:szCs w:val="18"/>
          <w:highlight w:val="none"/>
        </w:rPr>
        <w:t xml:space="preserve"> </w:t>
      </w:r>
      <w:r>
        <w:rPr>
          <w:rFonts w:hint="eastAsia" w:ascii="宋体" w:hAnsi="宋体" w:cs="宋体"/>
          <w:color w:val="auto"/>
          <w:sz w:val="24"/>
          <w:szCs w:val="24"/>
          <w:highlight w:val="none"/>
        </w:rPr>
        <w:t xml:space="preserve">    </w:t>
      </w:r>
    </w:p>
    <w:p>
      <w:pPr>
        <w:pStyle w:val="74"/>
        <w:rPr>
          <w:rFonts w:ascii="宋体" w:hAnsi="宋体" w:cs="宋体"/>
          <w:color w:val="auto"/>
          <w:highlight w:val="none"/>
        </w:rPr>
      </w:pPr>
    </w:p>
    <w:p>
      <w:pPr>
        <w:pStyle w:val="37"/>
        <w:spacing w:after="0" w:line="360" w:lineRule="auto"/>
        <w:ind w:firstLine="643" w:firstLineChars="200"/>
        <w:jc w:val="center"/>
        <w:rPr>
          <w:rFonts w:ascii="宋体" w:hAnsi="宋体" w:cs="宋体"/>
          <w:color w:val="auto"/>
          <w:sz w:val="18"/>
          <w:szCs w:val="18"/>
          <w:highlight w:val="none"/>
        </w:rPr>
      </w:pPr>
      <w:r>
        <w:rPr>
          <w:rFonts w:hint="eastAsia" w:ascii="宋体" w:hAnsi="宋体" w:cs="宋体"/>
          <w:b/>
          <w:color w:val="auto"/>
          <w:sz w:val="32"/>
          <w:szCs w:val="32"/>
          <w:highlight w:val="none"/>
        </w:rPr>
        <w:t>投标文件编制情况</w:t>
      </w:r>
    </w:p>
    <w:p>
      <w:pPr>
        <w:pStyle w:val="37"/>
        <w:spacing w:after="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1.投标文件报价编制方式: □自行编制的，编制的负责人：</w:t>
      </w:r>
      <w:r>
        <w:rPr>
          <w:rFonts w:hint="eastAsia" w:ascii="宋体" w:hAnsi="宋体" w:cs="宋体"/>
          <w:color w:val="auto"/>
          <w:sz w:val="24"/>
          <w:szCs w:val="24"/>
          <w:highlight w:val="none"/>
          <w:u w:val="single"/>
        </w:rPr>
        <w:t xml:space="preserve"> （盖造价工程师执业专用章或全国建设工程造价员章，执业单位应与投标人一致） </w:t>
      </w:r>
      <w:r>
        <w:rPr>
          <w:rFonts w:hint="eastAsia" w:ascii="宋体" w:hAnsi="宋体" w:cs="宋体"/>
          <w:color w:val="auto"/>
          <w:sz w:val="24"/>
          <w:szCs w:val="24"/>
          <w:highlight w:val="none"/>
        </w:rPr>
        <w:t>。□委托编制的，受委托单位</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，编制的负责人：</w:t>
      </w:r>
      <w:r>
        <w:rPr>
          <w:rFonts w:hint="eastAsia" w:ascii="宋体" w:hAnsi="宋体" w:cs="宋体"/>
          <w:color w:val="auto"/>
          <w:sz w:val="24"/>
          <w:szCs w:val="24"/>
          <w:highlight w:val="none"/>
          <w:u w:val="single"/>
        </w:rPr>
        <w:t xml:space="preserve"> （盖造价工程师执业专用章或全国建设工程造价员章，执业单位应与受委托单位一致） </w:t>
      </w:r>
      <w:r>
        <w:rPr>
          <w:rFonts w:hint="eastAsia" w:ascii="宋体" w:hAnsi="宋体" w:cs="宋体"/>
          <w:color w:val="auto"/>
          <w:sz w:val="24"/>
          <w:szCs w:val="24"/>
          <w:highlight w:val="none"/>
        </w:rPr>
        <w:t>。</w:t>
      </w:r>
    </w:p>
    <w:p>
      <w:pPr>
        <w:pStyle w:val="37"/>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2.投标文件加密打包的电脑情况</w:t>
      </w:r>
    </w:p>
    <w:tbl>
      <w:tblPr>
        <w:tblStyle w:val="38"/>
        <w:tblW w:w="8306" w:type="dxa"/>
        <w:tblInd w:w="108" w:type="dxa"/>
        <w:tblLayout w:type="fixed"/>
        <w:tblCellMar>
          <w:top w:w="0" w:type="dxa"/>
          <w:left w:w="108" w:type="dxa"/>
          <w:bottom w:w="0" w:type="dxa"/>
          <w:right w:w="108" w:type="dxa"/>
        </w:tblCellMar>
      </w:tblPr>
      <w:tblGrid>
        <w:gridCol w:w="8306"/>
      </w:tblGrid>
      <w:tr>
        <w:trPr>
          <w:trHeight w:val="2819" w:hRule="atLeast"/>
        </w:trPr>
        <w:tc>
          <w:tcPr>
            <w:tcW w:w="8306" w:type="dxa"/>
          </w:tcPr>
          <w:p>
            <w:pPr>
              <w:pStyle w:val="37"/>
              <w:spacing w:after="0"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投标文件加密打包的电脑     自有    □      外包    □     其他    □</w:t>
            </w:r>
          </w:p>
          <w:p>
            <w:pPr>
              <w:pStyle w:val="37"/>
              <w:spacing w:after="0"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电脑类型</w:t>
            </w:r>
          </w:p>
          <w:p>
            <w:pPr>
              <w:pStyle w:val="37"/>
              <w:spacing w:after="0"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电脑所属单位</w:t>
            </w:r>
          </w:p>
          <w:p>
            <w:pPr>
              <w:pStyle w:val="37"/>
              <w:spacing w:after="0"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电脑所在地址        （如××市××区(县) ××街（路）××号××大厦××房）</w:t>
            </w:r>
          </w:p>
        </w:tc>
      </w:tr>
    </w:tbl>
    <w:p>
      <w:pPr>
        <w:spacing w:line="360" w:lineRule="auto"/>
        <w:rPr>
          <w:rFonts w:ascii="宋体" w:hAnsi="宋体" w:cs="宋体"/>
          <w:color w:val="auto"/>
          <w:sz w:val="24"/>
          <w:szCs w:val="24"/>
          <w:highlight w:val="none"/>
        </w:rPr>
      </w:pPr>
    </w:p>
    <w:p>
      <w:pPr>
        <w:pStyle w:val="74"/>
        <w:rPr>
          <w:rFonts w:ascii="宋体" w:hAnsi="宋体" w:cs="宋体"/>
          <w:color w:val="auto"/>
          <w:sz w:val="24"/>
          <w:szCs w:val="24"/>
          <w:highlight w:val="none"/>
        </w:rPr>
      </w:pPr>
    </w:p>
    <w:p>
      <w:pPr>
        <w:pStyle w:val="74"/>
        <w:rPr>
          <w:rFonts w:ascii="宋体" w:hAnsi="宋体" w:cs="宋体"/>
          <w:color w:val="auto"/>
          <w:sz w:val="24"/>
          <w:szCs w:val="24"/>
          <w:highlight w:val="none"/>
        </w:rPr>
      </w:pPr>
    </w:p>
    <w:p>
      <w:pPr>
        <w:pStyle w:val="6"/>
        <w:spacing w:before="0" w:after="200" w:line="240" w:lineRule="auto"/>
        <w:ind w:left="0"/>
        <w:jc w:val="left"/>
        <w:rPr>
          <w:rFonts w:ascii="宋体" w:hAnsi="宋体" w:cs="宋体"/>
          <w:color w:val="auto"/>
          <w:highlight w:val="none"/>
        </w:rPr>
      </w:pPr>
      <w:bookmarkStart w:id="229" w:name="_Toc688845527"/>
      <w:bookmarkStart w:id="230" w:name="_Toc386"/>
      <w:bookmarkStart w:id="231" w:name="_Toc485303614"/>
      <w:bookmarkStart w:id="232" w:name="_Toc441233479"/>
      <w:bookmarkStart w:id="233" w:name="_Toc11140"/>
      <w:bookmarkStart w:id="234" w:name="_Toc27732"/>
      <w:bookmarkStart w:id="235" w:name="_Toc203"/>
      <w:bookmarkStart w:id="236" w:name="_Toc3463595"/>
      <w:bookmarkStart w:id="237" w:name="_Toc526967084"/>
      <w:r>
        <w:rPr>
          <w:rFonts w:hint="eastAsia" w:ascii="宋体" w:hAnsi="宋体" w:cs="宋体"/>
          <w:color w:val="auto"/>
          <w:highlight w:val="none"/>
        </w:rPr>
        <w:t>格式</w:t>
      </w:r>
      <w:r>
        <w:rPr>
          <w:rFonts w:hint="eastAsia" w:ascii="宋体" w:hAnsi="宋体" w:cs="宋体"/>
          <w:color w:val="auto"/>
          <w:highlight w:val="none"/>
          <w:lang w:val="en-US" w:eastAsia="zh-CN"/>
        </w:rPr>
        <w:t>八</w:t>
      </w:r>
      <w:r>
        <w:rPr>
          <w:rFonts w:hint="eastAsia" w:ascii="宋体" w:hAnsi="宋体" w:cs="宋体"/>
          <w:color w:val="auto"/>
          <w:highlight w:val="none"/>
        </w:rPr>
        <w:t>：投标函</w:t>
      </w:r>
      <w:bookmarkEnd w:id="229"/>
      <w:bookmarkEnd w:id="230"/>
      <w:bookmarkEnd w:id="231"/>
      <w:bookmarkEnd w:id="232"/>
      <w:bookmarkEnd w:id="233"/>
      <w:bookmarkEnd w:id="234"/>
      <w:bookmarkEnd w:id="235"/>
      <w:bookmarkEnd w:id="236"/>
      <w:bookmarkEnd w:id="237"/>
    </w:p>
    <w:p>
      <w:pPr>
        <w:pStyle w:val="58"/>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投 标 函</w:t>
      </w:r>
    </w:p>
    <w:p>
      <w:pPr>
        <w:pStyle w:val="59"/>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致：</w:t>
      </w:r>
      <w:r>
        <w:rPr>
          <w:rFonts w:hint="eastAsia" w:ascii="宋体" w:hAnsi="宋体" w:cs="宋体"/>
          <w:color w:val="auto"/>
          <w:sz w:val="21"/>
          <w:szCs w:val="21"/>
          <w:highlight w:val="none"/>
          <w:u w:val="single"/>
        </w:rPr>
        <w:t>广州燃气集团有限公司</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1.根据招标人</w:t>
      </w:r>
      <w:r>
        <w:rPr>
          <w:rFonts w:hint="eastAsia" w:ascii="宋体" w:hAnsi="宋体" w:cs="宋体"/>
          <w:color w:val="auto"/>
          <w:sz w:val="21"/>
          <w:szCs w:val="21"/>
          <w:highlight w:val="none"/>
          <w:u w:val="single"/>
        </w:rPr>
        <w:t xml:space="preserve"> （工程项目名称） </w:t>
      </w:r>
      <w:r>
        <w:rPr>
          <w:rFonts w:hint="eastAsia" w:ascii="宋体" w:hAnsi="宋体" w:cs="宋体"/>
          <w:color w:val="auto"/>
          <w:sz w:val="21"/>
          <w:szCs w:val="21"/>
          <w:highlight w:val="none"/>
        </w:rPr>
        <w:t>招标文件，遵照《中华人民共和国招标投标法》等有关规定，经踏勘项目现场和研究上述招标文件、相关招标资料及其他有关文件后，我方愿按我方投标总价并遵照上述文件要求承包上述工程的施工、竣工，并承担任何质量缺陷保修责任。</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2.我方已详细审核全部招标文件，包括修改文件（如有时）及有关附件。</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3.如果我方中标，我方保证按照合同文件中规定的开工日期开始施工，并按规定的预计竣工日期完成和交付全部工程。</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4.如果我方中标，我方承诺在充分考虑场地环境变化及政策性调整等风险因素的前提下，继续补充完善施工组织设计，直至招标人满意为止并加以实施，由此产生的费用已包含在投标报价中。</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5.如果我方中标，我方承诺按《建设工程质量管理条例》（中华人民共和国国务院令第279号）、《建设工程安全生产管理条例》（中华人民共和国国务院令第393号）的规定对承包工程的全部建设工程质量和施工现场的安全生产负责。</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6.如果我方中标，我方将按照招标文件的规定，按时提交履约担保，以保障本项目优质、优价、按期、顺利完成。</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7.我方同意所提交的投标文件在招标文件投标须知中第15条规定的投标有效期内有效，在此期限届满之前，本投标书始终将对我方具有约束力，并随时接受中标。</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8.在合同协议书正式签署生效之前，本投标书连同你单位的中标通知书将构成我们双方之间共同遵守的文件，对双方具有约束力。</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9.随同本投标文件，我方已提交投标担保。如果我方在投标文件有效期内撤回投标文件；或在接到中标通知书后30天内未能或拒绝签订合同协议书；或未能</w:t>
      </w:r>
      <w:r>
        <w:rPr>
          <w:rFonts w:hint="eastAsia" w:ascii="宋体" w:hAnsi="宋体" w:cs="宋体"/>
          <w:b/>
          <w:color w:val="auto"/>
          <w:sz w:val="21"/>
          <w:szCs w:val="21"/>
          <w:highlight w:val="none"/>
        </w:rPr>
        <w:t>按招标文件要求</w:t>
      </w:r>
      <w:r>
        <w:rPr>
          <w:rFonts w:hint="eastAsia" w:ascii="宋体" w:hAnsi="宋体" w:cs="宋体"/>
          <w:color w:val="auto"/>
          <w:sz w:val="21"/>
          <w:szCs w:val="21"/>
          <w:highlight w:val="none"/>
        </w:rPr>
        <w:t>提交履约担保，你单位有权没收投标保证金，另选中标单位。</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10.我方理解，你单位不一定接受最低标价的投标或你单位接到的其它任何投标。同时也理解，你单位不负担我方的任何投标费用。</w:t>
      </w:r>
    </w:p>
    <w:p>
      <w:pPr>
        <w:pStyle w:val="59"/>
        <w:ind w:firstLine="436"/>
        <w:rPr>
          <w:rFonts w:ascii="宋体" w:hAnsi="宋体" w:cs="宋体"/>
          <w:color w:val="auto"/>
          <w:sz w:val="21"/>
          <w:szCs w:val="21"/>
          <w:highlight w:val="none"/>
        </w:rPr>
      </w:pPr>
    </w:p>
    <w:p>
      <w:pPr>
        <w:pStyle w:val="59"/>
        <w:spacing w:line="480" w:lineRule="auto"/>
        <w:ind w:firstLine="436"/>
        <w:rPr>
          <w:rFonts w:ascii="宋体" w:hAnsi="宋体" w:cs="宋体"/>
          <w:color w:val="auto"/>
          <w:sz w:val="21"/>
          <w:szCs w:val="21"/>
          <w:highlight w:val="none"/>
        </w:rPr>
      </w:pPr>
    </w:p>
    <w:p>
      <w:pPr>
        <w:spacing w:line="360" w:lineRule="auto"/>
        <w:ind w:right="90" w:firstLine="0" w:firstLineChars="0"/>
        <w:rPr>
          <w:rFonts w:ascii="宋体" w:hAnsi="宋体" w:cs="宋体"/>
          <w:color w:val="auto"/>
          <w:szCs w:val="21"/>
          <w:highlight w:val="none"/>
          <w:u w:val="singl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p>
    <w:p>
      <w:pPr>
        <w:spacing w:line="360" w:lineRule="auto"/>
        <w:ind w:firstLine="0" w:firstLineChars="0"/>
        <w:rPr>
          <w:rFonts w:ascii="宋体" w:hAnsi="宋体" w:cs="宋体"/>
          <w:color w:val="auto"/>
          <w:szCs w:val="21"/>
          <w:highlight w:val="none"/>
          <w:u w:val="single"/>
        </w:rPr>
      </w:pPr>
      <w:r>
        <w:rPr>
          <w:rFonts w:hint="eastAsia" w:ascii="宋体" w:hAnsi="宋体" w:cs="宋体"/>
          <w:color w:val="auto"/>
          <w:szCs w:val="21"/>
          <w:highlight w:val="none"/>
        </w:rPr>
        <w:t>法定代表人或</w:t>
      </w:r>
      <w:r>
        <w:rPr>
          <w:rFonts w:hint="eastAsia" w:cs="宋体" w:asciiTheme="minorEastAsia" w:hAnsiTheme="minorEastAsia" w:eastAsiaTheme="minorEastAsia"/>
          <w:color w:val="auto"/>
          <w:szCs w:val="21"/>
          <w:highlight w:val="none"/>
        </w:rPr>
        <w:t>其委托代理人</w:t>
      </w:r>
      <w:r>
        <w:rPr>
          <w:rFonts w:hint="eastAsia" w:ascii="宋体" w:hAnsi="宋体" w:cs="宋体"/>
          <w:color w:val="auto"/>
          <w:szCs w:val="21"/>
          <w:highlight w:val="none"/>
        </w:rPr>
        <w:t>（签字或盖章）：</w:t>
      </w:r>
      <w:r>
        <w:rPr>
          <w:rFonts w:hint="eastAsia" w:ascii="宋体" w:hAnsi="宋体" w:cs="宋体"/>
          <w:color w:val="auto"/>
          <w:szCs w:val="21"/>
          <w:highlight w:val="none"/>
          <w:u w:val="single"/>
        </w:rPr>
        <w:t xml:space="preserve">                  </w:t>
      </w:r>
    </w:p>
    <w:p>
      <w:pPr>
        <w:spacing w:line="360" w:lineRule="auto"/>
        <w:rPr>
          <w:rFonts w:ascii="宋体" w:hAnsi="宋体" w:cs="宋体"/>
          <w:color w:val="auto"/>
          <w:highlight w:val="none"/>
        </w:rPr>
      </w:pPr>
      <w:r>
        <w:rPr>
          <w:rFonts w:hint="eastAsia" w:ascii="宋体" w:hAnsi="宋体" w:cs="宋体"/>
          <w:color w:val="auto"/>
          <w:highlight w:val="none"/>
        </w:rPr>
        <w:t xml:space="preserve">日期：      年   月   日 </w:t>
      </w:r>
    </w:p>
    <w:p>
      <w:pPr>
        <w:pStyle w:val="6"/>
        <w:spacing w:before="0" w:after="200" w:line="240" w:lineRule="auto"/>
        <w:ind w:left="0"/>
        <w:jc w:val="left"/>
        <w:rPr>
          <w:rFonts w:hint="eastAsia" w:ascii="宋体" w:hAnsi="宋体" w:eastAsia="宋体" w:cs="宋体"/>
          <w:color w:val="auto"/>
          <w:highlight w:val="none"/>
          <w:lang w:val="en-US" w:eastAsia="zh-CN"/>
        </w:rPr>
      </w:pPr>
      <w:bookmarkStart w:id="238" w:name="_Toc3463602"/>
      <w:r>
        <w:rPr>
          <w:rFonts w:hint="eastAsia" w:ascii="宋体" w:hAnsi="宋体" w:cs="宋体"/>
          <w:color w:val="auto"/>
          <w:highlight w:val="none"/>
        </w:rPr>
        <w:br w:type="page"/>
      </w:r>
      <w:bookmarkStart w:id="239" w:name="_Toc342431312"/>
      <w:bookmarkStart w:id="240" w:name="_Toc24930"/>
      <w:bookmarkStart w:id="241" w:name="_Toc16618"/>
      <w:bookmarkStart w:id="242" w:name="_Toc17099"/>
      <w:bookmarkStart w:id="243" w:name="_Toc23640"/>
      <w:r>
        <w:rPr>
          <w:rFonts w:hint="eastAsia" w:ascii="宋体" w:hAnsi="宋体" w:cs="宋体"/>
          <w:color w:val="auto"/>
          <w:highlight w:val="none"/>
        </w:rPr>
        <w:t>格式</w:t>
      </w:r>
      <w:r>
        <w:rPr>
          <w:rFonts w:hint="eastAsia" w:ascii="宋体" w:hAnsi="宋体" w:cs="宋体"/>
          <w:color w:val="auto"/>
          <w:highlight w:val="none"/>
          <w:lang w:val="en-US" w:eastAsia="zh-CN"/>
        </w:rPr>
        <w:t>九</w:t>
      </w:r>
      <w:r>
        <w:rPr>
          <w:rFonts w:hint="eastAsia" w:ascii="宋体" w:hAnsi="宋体" w:cs="宋体"/>
          <w:color w:val="auto"/>
          <w:highlight w:val="none"/>
        </w:rPr>
        <w:t>：</w:t>
      </w:r>
      <w:bookmarkStart w:id="244" w:name="_Toc526967097"/>
      <w:bookmarkStart w:id="245" w:name="_Toc485303628"/>
      <w:r>
        <w:rPr>
          <w:rFonts w:hint="eastAsia" w:ascii="宋体" w:hAnsi="宋体" w:eastAsia="宋体" w:cs="宋体"/>
          <w:color w:val="auto"/>
          <w:highlight w:val="none"/>
          <w:lang w:val="en-US" w:eastAsia="zh-CN"/>
        </w:rPr>
        <w:t>投入主要人员汇总表</w:t>
      </w:r>
      <w:bookmarkEnd w:id="239"/>
      <w:bookmarkEnd w:id="240"/>
    </w:p>
    <w:p>
      <w:pPr>
        <w:tabs>
          <w:tab w:val="right" w:leader="dot" w:pos="9060"/>
        </w:tabs>
        <w:spacing w:before="157" w:beforeLines="50" w:after="157" w:afterLines="50" w:line="360" w:lineRule="auto"/>
        <w:ind w:left="0"/>
        <w:jc w:val="center"/>
        <w:rPr>
          <w:rFonts w:hint="eastAsia"/>
          <w:b/>
          <w:bCs/>
          <w:color w:val="auto"/>
          <w:sz w:val="32"/>
          <w:szCs w:val="36"/>
          <w:highlight w:val="none"/>
          <w:lang w:val="en-US" w:eastAsia="zh-CN"/>
        </w:rPr>
      </w:pPr>
      <w:r>
        <w:rPr>
          <w:rFonts w:hint="eastAsia"/>
          <w:b/>
          <w:bCs/>
          <w:color w:val="auto"/>
          <w:sz w:val="32"/>
          <w:szCs w:val="36"/>
          <w:highlight w:val="none"/>
          <w:lang w:val="en-US" w:eastAsia="zh-CN"/>
        </w:rPr>
        <w:t>投入主要人员汇总表</w:t>
      </w:r>
    </w:p>
    <w:tbl>
      <w:tblPr>
        <w:tblStyle w:val="38"/>
        <w:tblW w:w="8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149"/>
        <w:gridCol w:w="1037"/>
        <w:gridCol w:w="1037"/>
        <w:gridCol w:w="1037"/>
        <w:gridCol w:w="3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48" w:type="dxa"/>
            <w:gridSpan w:val="2"/>
            <w:tcBorders>
              <w:top w:val="single" w:color="auto" w:sz="4" w:space="0"/>
              <w:left w:val="single" w:color="auto" w:sz="4" w:space="0"/>
              <w:bottom w:val="single" w:color="auto" w:sz="4" w:space="0"/>
              <w:right w:val="single" w:color="auto" w:sz="4" w:space="0"/>
            </w:tcBorders>
            <w:vAlign w:val="center"/>
          </w:tcPr>
          <w:p>
            <w:pPr>
              <w:tabs>
                <w:tab w:val="left" w:pos="284"/>
              </w:tabs>
              <w:wordWrap w:val="0"/>
              <w:autoSpaceDE w:val="0"/>
              <w:ind w:firstLine="630" w:firstLineChars="300"/>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名称</w:t>
            </w:r>
          </w:p>
        </w:tc>
        <w:tc>
          <w:tcPr>
            <w:tcW w:w="1037" w:type="dxa"/>
            <w:tcBorders>
              <w:top w:val="single" w:color="auto" w:sz="4" w:space="0"/>
              <w:left w:val="single" w:color="auto" w:sz="4" w:space="0"/>
              <w:bottom w:val="single" w:color="auto" w:sz="4" w:space="0"/>
              <w:right w:val="single" w:color="auto" w:sz="4" w:space="0"/>
            </w:tcBorders>
            <w:vAlign w:val="center"/>
          </w:tcPr>
          <w:p>
            <w:pPr>
              <w:tabs>
                <w:tab w:val="left" w:pos="284"/>
              </w:tabs>
              <w:wordWrap w:val="0"/>
              <w:autoSpaceDE w:val="0"/>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姓名</w:t>
            </w:r>
          </w:p>
        </w:tc>
        <w:tc>
          <w:tcPr>
            <w:tcW w:w="1037" w:type="dxa"/>
            <w:tcBorders>
              <w:top w:val="single" w:color="auto" w:sz="4" w:space="0"/>
              <w:left w:val="single" w:color="auto" w:sz="4" w:space="0"/>
              <w:bottom w:val="single" w:color="auto" w:sz="4" w:space="0"/>
              <w:right w:val="single" w:color="auto" w:sz="4" w:space="0"/>
            </w:tcBorders>
            <w:vAlign w:val="center"/>
          </w:tcPr>
          <w:p>
            <w:pPr>
              <w:tabs>
                <w:tab w:val="left" w:pos="284"/>
              </w:tabs>
              <w:wordWrap w:val="0"/>
              <w:autoSpaceDE w:val="0"/>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职务</w:t>
            </w:r>
          </w:p>
        </w:tc>
        <w:tc>
          <w:tcPr>
            <w:tcW w:w="1037" w:type="dxa"/>
            <w:tcBorders>
              <w:top w:val="single" w:color="auto" w:sz="4" w:space="0"/>
              <w:left w:val="single" w:color="auto" w:sz="4" w:space="0"/>
              <w:bottom w:val="single" w:color="auto" w:sz="4" w:space="0"/>
              <w:right w:val="single" w:color="auto" w:sz="4" w:space="0"/>
            </w:tcBorders>
            <w:vAlign w:val="center"/>
          </w:tcPr>
          <w:p>
            <w:pPr>
              <w:tabs>
                <w:tab w:val="left" w:pos="284"/>
              </w:tabs>
              <w:wordWrap w:val="0"/>
              <w:autoSpaceDE w:val="0"/>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职称</w:t>
            </w:r>
          </w:p>
        </w:tc>
        <w:tc>
          <w:tcPr>
            <w:tcW w:w="3040" w:type="dxa"/>
            <w:tcBorders>
              <w:top w:val="single" w:color="auto" w:sz="4" w:space="0"/>
              <w:left w:val="single" w:color="auto" w:sz="4" w:space="0"/>
              <w:bottom w:val="single" w:color="auto" w:sz="4" w:space="0"/>
              <w:right w:val="single" w:color="auto" w:sz="4" w:space="0"/>
            </w:tcBorders>
            <w:vAlign w:val="center"/>
          </w:tcPr>
          <w:p>
            <w:pPr>
              <w:tabs>
                <w:tab w:val="left" w:pos="284"/>
              </w:tabs>
              <w:wordWrap w:val="0"/>
              <w:autoSpaceDE w:val="0"/>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主要资历、经验及承担的项目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9" w:type="dxa"/>
            <w:vMerge w:val="restart"/>
            <w:tcBorders>
              <w:top w:val="single" w:color="auto" w:sz="4" w:space="0"/>
              <w:left w:val="single" w:color="auto" w:sz="4" w:space="0"/>
              <w:bottom w:val="single" w:color="auto" w:sz="4" w:space="0"/>
              <w:right w:val="single" w:color="auto" w:sz="4" w:space="0"/>
            </w:tcBorders>
            <w:vAlign w:val="center"/>
          </w:tcPr>
          <w:p>
            <w:pPr>
              <w:tabs>
                <w:tab w:val="left" w:pos="284"/>
              </w:tabs>
              <w:wordWrap w:val="0"/>
              <w:autoSpaceDE w:val="0"/>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总部</w:t>
            </w:r>
          </w:p>
        </w:tc>
        <w:tc>
          <w:tcPr>
            <w:tcW w:w="2149" w:type="dxa"/>
            <w:tcBorders>
              <w:top w:val="single" w:color="auto" w:sz="4" w:space="0"/>
              <w:left w:val="single" w:color="auto" w:sz="4" w:space="0"/>
              <w:bottom w:val="single" w:color="auto" w:sz="4" w:space="0"/>
              <w:right w:val="single" w:color="auto" w:sz="4" w:space="0"/>
            </w:tcBorders>
            <w:vAlign w:val="center"/>
          </w:tcPr>
          <w:p>
            <w:pPr>
              <w:tabs>
                <w:tab w:val="left" w:pos="284"/>
              </w:tabs>
              <w:wordWrap w:val="0"/>
              <w:autoSpaceDE w:val="0"/>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1、项目主管</w:t>
            </w: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jc w:val="center"/>
              <w:outlineLvl w:val="0"/>
              <w:rPr>
                <w:rFonts w:cs="宋体" w:asciiTheme="minorEastAsia" w:hAnsiTheme="minorEastAsia" w:eastAsiaTheme="minorEastAsia"/>
                <w:color w:val="auto"/>
                <w:szCs w:val="21"/>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3040"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jc w:val="center"/>
              <w:outlineLvl w:val="0"/>
              <w:rPr>
                <w:rFonts w:cs="宋体"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wordWrap w:val="0"/>
              <w:jc w:val="left"/>
              <w:rPr>
                <w:rFonts w:cs="宋体" w:asciiTheme="minorEastAsia" w:hAnsiTheme="minorEastAsia" w:eastAsiaTheme="minorEastAsia"/>
                <w:color w:val="auto"/>
                <w:szCs w:val="21"/>
                <w:highlight w:val="none"/>
              </w:rPr>
            </w:pPr>
          </w:p>
        </w:tc>
        <w:tc>
          <w:tcPr>
            <w:tcW w:w="2149" w:type="dxa"/>
            <w:tcBorders>
              <w:top w:val="single" w:color="auto" w:sz="4" w:space="0"/>
              <w:left w:val="single" w:color="auto" w:sz="4" w:space="0"/>
              <w:bottom w:val="single" w:color="auto" w:sz="4" w:space="0"/>
              <w:right w:val="single" w:color="auto" w:sz="4" w:space="0"/>
            </w:tcBorders>
            <w:vAlign w:val="center"/>
          </w:tcPr>
          <w:p>
            <w:pPr>
              <w:tabs>
                <w:tab w:val="left" w:pos="284"/>
              </w:tabs>
              <w:wordWrap w:val="0"/>
              <w:autoSpaceDE w:val="0"/>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2、其他人员</w:t>
            </w: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3040"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9" w:type="dxa"/>
            <w:vMerge w:val="restart"/>
            <w:tcBorders>
              <w:top w:val="single" w:color="auto" w:sz="4" w:space="0"/>
              <w:left w:val="single" w:color="auto" w:sz="4" w:space="0"/>
              <w:bottom w:val="single" w:color="auto" w:sz="4" w:space="0"/>
              <w:right w:val="single" w:color="auto" w:sz="4" w:space="0"/>
            </w:tcBorders>
            <w:vAlign w:val="center"/>
          </w:tcPr>
          <w:p>
            <w:pPr>
              <w:tabs>
                <w:tab w:val="left" w:pos="284"/>
              </w:tabs>
              <w:wordWrap w:val="0"/>
              <w:autoSpaceDE w:val="0"/>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现场</w:t>
            </w:r>
          </w:p>
        </w:tc>
        <w:tc>
          <w:tcPr>
            <w:tcW w:w="2149" w:type="dxa"/>
            <w:tcBorders>
              <w:top w:val="single" w:color="auto" w:sz="4" w:space="0"/>
              <w:left w:val="single" w:color="auto" w:sz="4" w:space="0"/>
              <w:bottom w:val="single" w:color="auto" w:sz="4" w:space="0"/>
              <w:right w:val="single" w:color="auto" w:sz="4" w:space="0"/>
            </w:tcBorders>
            <w:vAlign w:val="center"/>
          </w:tcPr>
          <w:p>
            <w:pPr>
              <w:tabs>
                <w:tab w:val="left" w:pos="284"/>
              </w:tabs>
              <w:wordWrap w:val="0"/>
              <w:autoSpaceDE w:val="0"/>
              <w:jc w:val="left"/>
              <w:rPr>
                <w:rFonts w:hint="eastAsia" w:cs="宋体" w:asciiTheme="minorEastAsia" w:hAnsiTheme="minorEastAsia" w:eastAsiaTheme="minorEastAsia"/>
                <w:color w:val="auto"/>
                <w:szCs w:val="21"/>
                <w:highlight w:val="none"/>
                <w:lang w:eastAsia="zh-CN"/>
              </w:rPr>
            </w:pPr>
            <w:r>
              <w:rPr>
                <w:rFonts w:hint="eastAsia" w:cs="宋体" w:asciiTheme="minorEastAsia" w:hAnsiTheme="minorEastAsia" w:eastAsiaTheme="minorEastAsia"/>
                <w:color w:val="auto"/>
                <w:szCs w:val="21"/>
                <w:highlight w:val="none"/>
              </w:rPr>
              <w:t>1、项目</w:t>
            </w:r>
            <w:r>
              <w:rPr>
                <w:rFonts w:hint="eastAsia" w:cs="宋体" w:asciiTheme="minorEastAsia" w:hAnsiTheme="minorEastAsia" w:eastAsiaTheme="minorEastAsia"/>
                <w:color w:val="auto"/>
                <w:szCs w:val="21"/>
                <w:highlight w:val="none"/>
                <w:lang w:val="en-US" w:eastAsia="zh-CN"/>
              </w:rPr>
              <w:t>负责人</w:t>
            </w: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3040"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wordWrap w:val="0"/>
              <w:jc w:val="left"/>
              <w:rPr>
                <w:rFonts w:cs="宋体" w:asciiTheme="minorEastAsia" w:hAnsiTheme="minorEastAsia" w:eastAsiaTheme="minorEastAsia"/>
                <w:color w:val="auto"/>
                <w:szCs w:val="21"/>
                <w:highlight w:val="none"/>
              </w:rPr>
            </w:pPr>
          </w:p>
        </w:tc>
        <w:tc>
          <w:tcPr>
            <w:tcW w:w="2149" w:type="dxa"/>
            <w:tcBorders>
              <w:top w:val="single" w:color="auto" w:sz="4" w:space="0"/>
              <w:left w:val="single" w:color="auto" w:sz="4" w:space="0"/>
              <w:bottom w:val="single" w:color="auto" w:sz="4" w:space="0"/>
              <w:right w:val="single" w:color="auto" w:sz="4" w:space="0"/>
            </w:tcBorders>
            <w:vAlign w:val="center"/>
          </w:tcPr>
          <w:p>
            <w:pPr>
              <w:tabs>
                <w:tab w:val="left" w:pos="284"/>
              </w:tabs>
              <w:wordWrap w:val="0"/>
              <w:autoSpaceDE w:val="0"/>
              <w:jc w:val="left"/>
              <w:rPr>
                <w:rFonts w:hint="default" w:cs="宋体"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color w:val="auto"/>
                <w:szCs w:val="21"/>
                <w:highlight w:val="none"/>
                <w:lang w:val="en-US" w:eastAsia="zh-CN"/>
              </w:rPr>
              <w:t>2、技术负责人</w:t>
            </w: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3040"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wordWrap w:val="0"/>
              <w:jc w:val="left"/>
              <w:rPr>
                <w:rFonts w:cs="宋体" w:asciiTheme="minorEastAsia" w:hAnsiTheme="minorEastAsia" w:eastAsiaTheme="minorEastAsia"/>
                <w:color w:val="auto"/>
                <w:szCs w:val="21"/>
                <w:highlight w:val="none"/>
              </w:rPr>
            </w:pPr>
          </w:p>
        </w:tc>
        <w:tc>
          <w:tcPr>
            <w:tcW w:w="2149" w:type="dxa"/>
            <w:tcBorders>
              <w:top w:val="single" w:color="auto" w:sz="4" w:space="0"/>
              <w:left w:val="single" w:color="auto" w:sz="4" w:space="0"/>
              <w:bottom w:val="single" w:color="auto" w:sz="4" w:space="0"/>
              <w:right w:val="single" w:color="auto" w:sz="4" w:space="0"/>
            </w:tcBorders>
            <w:vAlign w:val="center"/>
          </w:tcPr>
          <w:p>
            <w:pPr>
              <w:tabs>
                <w:tab w:val="left" w:pos="284"/>
              </w:tabs>
              <w:wordWrap w:val="0"/>
              <w:autoSpaceDE w:val="0"/>
              <w:jc w:val="left"/>
              <w:rPr>
                <w:rFonts w:hint="default" w:cs="宋体"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color w:val="auto"/>
                <w:szCs w:val="21"/>
                <w:highlight w:val="none"/>
                <w:lang w:val="en-US" w:eastAsia="zh-CN"/>
              </w:rPr>
              <w:t>3、安全员</w:t>
            </w: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3040"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wordWrap w:val="0"/>
              <w:jc w:val="left"/>
              <w:rPr>
                <w:rFonts w:cs="宋体" w:asciiTheme="minorEastAsia" w:hAnsiTheme="minorEastAsia" w:eastAsiaTheme="minorEastAsia"/>
                <w:color w:val="auto"/>
                <w:szCs w:val="21"/>
                <w:highlight w:val="none"/>
              </w:rPr>
            </w:pPr>
          </w:p>
        </w:tc>
        <w:tc>
          <w:tcPr>
            <w:tcW w:w="2149" w:type="dxa"/>
            <w:tcBorders>
              <w:top w:val="single" w:color="auto" w:sz="4" w:space="0"/>
              <w:left w:val="single" w:color="auto" w:sz="4" w:space="0"/>
              <w:bottom w:val="single" w:color="auto" w:sz="4" w:space="0"/>
              <w:right w:val="single" w:color="auto" w:sz="4" w:space="0"/>
            </w:tcBorders>
            <w:vAlign w:val="center"/>
          </w:tcPr>
          <w:p>
            <w:pPr>
              <w:tabs>
                <w:tab w:val="left" w:pos="284"/>
              </w:tabs>
              <w:wordWrap w:val="0"/>
              <w:autoSpaceDE w:val="0"/>
              <w:jc w:val="left"/>
              <w:rPr>
                <w:rFonts w:hint="default" w:cs="宋体"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color w:val="auto"/>
                <w:szCs w:val="21"/>
                <w:highlight w:val="none"/>
                <w:lang w:val="en-US" w:eastAsia="zh-CN"/>
              </w:rPr>
              <w:t>4、施工员</w:t>
            </w: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3040"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wordWrap w:val="0"/>
              <w:jc w:val="left"/>
              <w:rPr>
                <w:rFonts w:cs="宋体" w:asciiTheme="minorEastAsia" w:hAnsiTheme="minorEastAsia" w:eastAsiaTheme="minorEastAsia"/>
                <w:color w:val="auto"/>
                <w:szCs w:val="21"/>
                <w:highlight w:val="none"/>
              </w:rPr>
            </w:pPr>
          </w:p>
        </w:tc>
        <w:tc>
          <w:tcPr>
            <w:tcW w:w="2149" w:type="dxa"/>
            <w:tcBorders>
              <w:top w:val="single" w:color="auto" w:sz="4" w:space="0"/>
              <w:left w:val="single" w:color="auto" w:sz="4" w:space="0"/>
              <w:bottom w:val="single" w:color="auto" w:sz="4" w:space="0"/>
              <w:right w:val="single" w:color="auto" w:sz="4" w:space="0"/>
            </w:tcBorders>
            <w:vAlign w:val="center"/>
          </w:tcPr>
          <w:p>
            <w:pPr>
              <w:tabs>
                <w:tab w:val="left" w:pos="284"/>
              </w:tabs>
              <w:wordWrap w:val="0"/>
              <w:autoSpaceDE w:val="0"/>
              <w:jc w:val="center"/>
              <w:rPr>
                <w:rFonts w:hint="default" w:cs="宋体"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color w:val="auto"/>
                <w:szCs w:val="21"/>
                <w:highlight w:val="none"/>
                <w:lang w:val="en-US" w:eastAsia="zh-CN"/>
              </w:rPr>
              <w:t>...</w:t>
            </w: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c>
          <w:tcPr>
            <w:tcW w:w="3040" w:type="dxa"/>
            <w:tcBorders>
              <w:top w:val="single" w:color="auto" w:sz="4" w:space="0"/>
              <w:left w:val="single" w:color="auto" w:sz="4" w:space="0"/>
              <w:bottom w:val="single" w:color="auto" w:sz="4" w:space="0"/>
              <w:right w:val="single" w:color="auto" w:sz="4" w:space="0"/>
            </w:tcBorders>
            <w:vAlign w:val="center"/>
          </w:tcPr>
          <w:p>
            <w:pPr>
              <w:keepNext/>
              <w:keepLines/>
              <w:tabs>
                <w:tab w:val="left" w:pos="284"/>
              </w:tabs>
              <w:wordWrap w:val="0"/>
              <w:autoSpaceDE w:val="0"/>
              <w:spacing w:before="340" w:after="330"/>
              <w:jc w:val="center"/>
              <w:outlineLvl w:val="0"/>
              <w:rPr>
                <w:rFonts w:cs="宋体" w:asciiTheme="minorEastAsia" w:hAnsiTheme="minorEastAsia" w:eastAsiaTheme="minorEastAsia"/>
                <w:color w:val="auto"/>
                <w:szCs w:val="21"/>
                <w:highlight w:val="none"/>
              </w:rPr>
            </w:pPr>
          </w:p>
        </w:tc>
      </w:tr>
    </w:tbl>
    <w:p>
      <w:pPr>
        <w:tabs>
          <w:tab w:val="left" w:pos="1440"/>
        </w:tabs>
        <w:wordWrap w:val="0"/>
        <w:spacing w:line="360" w:lineRule="auto"/>
        <w:ind w:firstLine="480" w:firstLineChars="200"/>
        <w:rPr>
          <w:rFonts w:cs="宋体" w:asciiTheme="minorEastAsia" w:hAnsiTheme="minorEastAsia" w:eastAsiaTheme="minorEastAsia"/>
          <w:color w:val="auto"/>
          <w:sz w:val="24"/>
          <w:szCs w:val="28"/>
          <w:highlight w:val="none"/>
        </w:rPr>
      </w:pPr>
    </w:p>
    <w:p>
      <w:pPr>
        <w:wordWrap w:val="0"/>
        <w:adjustRightInd w:val="0"/>
        <w:snapToGrid w:val="0"/>
        <w:spacing w:line="360" w:lineRule="auto"/>
        <w:jc w:val="both"/>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投标人（</w:t>
      </w:r>
      <w:r>
        <w:rPr>
          <w:rFonts w:hint="eastAsia" w:cs="宋体" w:asciiTheme="minorEastAsia" w:hAnsiTheme="minorEastAsia" w:eastAsiaTheme="minorEastAsia"/>
          <w:color w:val="auto"/>
          <w:szCs w:val="21"/>
          <w:highlight w:val="none"/>
          <w:lang w:val="en-US" w:eastAsia="zh-CN"/>
        </w:rPr>
        <w:t>盖</w:t>
      </w:r>
      <w:r>
        <w:rPr>
          <w:rFonts w:hint="eastAsia" w:cs="宋体" w:asciiTheme="minorEastAsia" w:hAnsiTheme="minorEastAsia" w:eastAsiaTheme="minorEastAsia"/>
          <w:color w:val="auto"/>
          <w:szCs w:val="21"/>
          <w:highlight w:val="none"/>
        </w:rPr>
        <w:t>章）：</w:t>
      </w:r>
    </w:p>
    <w:p>
      <w:pPr>
        <w:pStyle w:val="2"/>
        <w:ind w:left="0" w:leftChars="0" w:firstLine="0" w:firstLineChars="0"/>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szCs w:val="21"/>
          <w:highlight w:val="none"/>
        </w:rPr>
        <w:t>法定代表人或其委托代理人（签字或盖章）：</w:t>
      </w:r>
    </w:p>
    <w:p>
      <w:pPr>
        <w:tabs>
          <w:tab w:val="left" w:pos="1440"/>
        </w:tabs>
        <w:wordWrap w:val="0"/>
        <w:adjustRightInd w:val="0"/>
        <w:snapToGrid w:val="0"/>
        <w:spacing w:line="360" w:lineRule="auto"/>
        <w:jc w:val="both"/>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Cs w:val="21"/>
          <w:highlight w:val="none"/>
        </w:rPr>
        <w:t>日期：</w:t>
      </w:r>
      <w:r>
        <w:rPr>
          <w:rFonts w:hint="eastAsia" w:ascii="宋体" w:hAnsi="宋体" w:cs="宋体"/>
          <w:color w:val="auto"/>
          <w:highlight w:val="none"/>
        </w:rPr>
        <w:t xml:space="preserve">     </w:t>
      </w:r>
      <w:r>
        <w:rPr>
          <w:rFonts w:hint="eastAsia" w:cs="宋体" w:asciiTheme="minorEastAsia" w:hAnsiTheme="minorEastAsia" w:eastAsiaTheme="minorEastAsia"/>
          <w:color w:val="auto"/>
          <w:szCs w:val="21"/>
          <w:highlight w:val="none"/>
        </w:rPr>
        <w:t xml:space="preserve">年  </w:t>
      </w:r>
      <w:r>
        <w:rPr>
          <w:rFonts w:hint="eastAsia" w:cs="宋体" w:asciiTheme="minorEastAsia" w:hAnsiTheme="minorEastAsia" w:eastAsiaTheme="minorEastAsia"/>
          <w:color w:val="auto"/>
          <w:szCs w:val="21"/>
          <w:highlight w:val="none"/>
          <w:lang w:val="en-US" w:eastAsia="zh-CN"/>
        </w:rPr>
        <w:t xml:space="preserve"> </w:t>
      </w:r>
      <w:r>
        <w:rPr>
          <w:rFonts w:hint="eastAsia" w:cs="宋体" w:asciiTheme="minorEastAsia" w:hAnsiTheme="minorEastAsia" w:eastAsiaTheme="minorEastAsia"/>
          <w:color w:val="auto"/>
          <w:szCs w:val="21"/>
          <w:highlight w:val="none"/>
        </w:rPr>
        <w:t xml:space="preserve">月 </w:t>
      </w:r>
      <w:r>
        <w:rPr>
          <w:rFonts w:hint="eastAsia" w:cs="宋体" w:asciiTheme="minorEastAsia" w:hAnsiTheme="minorEastAsia" w:eastAsiaTheme="minorEastAsia"/>
          <w:color w:val="auto"/>
          <w:szCs w:val="21"/>
          <w:highlight w:val="none"/>
          <w:lang w:val="en-US" w:eastAsia="zh-CN"/>
        </w:rPr>
        <w:t xml:space="preserve"> </w:t>
      </w:r>
      <w:r>
        <w:rPr>
          <w:rFonts w:hint="eastAsia" w:cs="宋体" w:asciiTheme="minorEastAsia" w:hAnsiTheme="minorEastAsia" w:eastAsiaTheme="minorEastAsia"/>
          <w:color w:val="auto"/>
          <w:szCs w:val="21"/>
          <w:highlight w:val="none"/>
        </w:rPr>
        <w:t xml:space="preserve"> 日</w:t>
      </w:r>
    </w:p>
    <w:p>
      <w:pPr>
        <w:tabs>
          <w:tab w:val="right" w:leader="dot" w:pos="9060"/>
        </w:tabs>
        <w:spacing w:before="157" w:beforeLines="50" w:after="157" w:afterLines="50" w:line="360" w:lineRule="auto"/>
        <w:ind w:left="0"/>
        <w:jc w:val="center"/>
        <w:rPr>
          <w:rFonts w:hint="eastAsia"/>
          <w:color w:val="auto"/>
          <w:highlight w:val="none"/>
        </w:rPr>
      </w:pPr>
      <w:r>
        <w:rPr>
          <w:rFonts w:hint="eastAsia"/>
          <w:color w:val="auto"/>
          <w:highlight w:val="none"/>
        </w:rPr>
        <w:br w:type="page"/>
      </w:r>
    </w:p>
    <w:p>
      <w:pPr>
        <w:pStyle w:val="6"/>
        <w:spacing w:before="0" w:after="200" w:line="240" w:lineRule="auto"/>
        <w:ind w:left="0"/>
        <w:jc w:val="left"/>
        <w:rPr>
          <w:rFonts w:ascii="宋体" w:hAnsi="宋体" w:cs="宋体"/>
          <w:color w:val="auto"/>
          <w:highlight w:val="none"/>
        </w:rPr>
      </w:pPr>
      <w:bookmarkStart w:id="246" w:name="_Toc2134370471"/>
      <w:bookmarkStart w:id="247" w:name="_Toc4089"/>
      <w:r>
        <w:rPr>
          <w:rFonts w:hint="eastAsia" w:ascii="宋体" w:hAnsi="宋体" w:cs="宋体"/>
          <w:color w:val="auto"/>
          <w:highlight w:val="none"/>
        </w:rPr>
        <w:t>格式</w:t>
      </w:r>
      <w:r>
        <w:rPr>
          <w:rFonts w:hint="eastAsia" w:ascii="宋体" w:hAnsi="宋体" w:cs="宋体"/>
          <w:color w:val="auto"/>
          <w:highlight w:val="none"/>
          <w:lang w:val="en-US" w:eastAsia="zh-CN"/>
        </w:rPr>
        <w:t>十</w:t>
      </w:r>
      <w:r>
        <w:rPr>
          <w:rFonts w:hint="eastAsia" w:ascii="宋体" w:hAnsi="宋体" w:cs="宋体"/>
          <w:color w:val="auto"/>
          <w:highlight w:val="none"/>
        </w:rPr>
        <w:t>：承诺书</w:t>
      </w:r>
      <w:bookmarkEnd w:id="238"/>
      <w:bookmarkEnd w:id="241"/>
      <w:bookmarkEnd w:id="242"/>
      <w:bookmarkEnd w:id="243"/>
      <w:bookmarkEnd w:id="244"/>
      <w:bookmarkEnd w:id="245"/>
      <w:bookmarkEnd w:id="246"/>
      <w:bookmarkEnd w:id="247"/>
    </w:p>
    <w:p>
      <w:pPr>
        <w:pStyle w:val="58"/>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承  诺  书</w:t>
      </w:r>
    </w:p>
    <w:p>
      <w:pPr>
        <w:pStyle w:val="59"/>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致：广州燃气集团有限公司</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经详细阅读本工程招标文件、招标答疑纪要和踏勘现场，我司已理解招标人对本招标项目工程管理的高标准及严格要求，在此，我司郑重作出以下承诺：</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一、我司已按投标须知的要求完成了对现场的踏勘工作，已充分了解施工现场的条件。如若中标，我司理解招标人向投标人提供的有关现场的数据和资料，是招标人现有的能被投标人利用的资料。招标人对投标人做出的任何推论、理解和结论均不需负任何的责任。我司承诺不会因施工期间现场条件发生的任何阻碍而向招标人索赔工期或费用，并保证不因施工期间现场条件发生的任何阻碍而影响投标承诺的竣工日期。</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二、我司已全面细致熟悉、复核和理解本招标项目招标时的所有图纸、资料和设计文件，已完全理解本工程的特点和设计意图。经认真审查，我司认为本招标项目图纸、资料和设计文件完整，不存在错项、漏项的情况，满足和符合施工要求；如工程实施过程中发生因上述图纸、资料和设计文件不完整而导致的变更，我司承诺在不影响工程顺利推进的前提下，及时主动报招标人审批同意，其中因我司原因而发生的，我司承诺不要求增加任何费用。</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三、经认真审查，我司认为本招标项目图纸、资料和设计文件中不存在不能施工、不便于施工的技术问题；施工期间如仍需发生施工工艺、重大技术方案的调整，我司承诺在不影响工程顺利推进的前提下，及时主动报招标人审批同意，其中因我司原因而发生的，我司承诺不要求增加任何费用并由此造成的责任由我司承担。</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四、经认真进行市场调查，我司承诺本招标项目材料、设备来源有保证，可按投标承诺及时组织到货，无需代换，图纸、资料和设计文件中所要求的条件我司全部能够满足。</w:t>
      </w:r>
    </w:p>
    <w:p>
      <w:pPr>
        <w:pStyle w:val="59"/>
        <w:ind w:firstLine="436"/>
        <w:rPr>
          <w:rFonts w:ascii="宋体" w:hAnsi="宋体" w:cs="宋体"/>
          <w:color w:val="auto"/>
          <w:spacing w:val="2"/>
          <w:position w:val="2"/>
          <w:sz w:val="21"/>
          <w:szCs w:val="21"/>
          <w:highlight w:val="none"/>
        </w:rPr>
      </w:pPr>
      <w:r>
        <w:rPr>
          <w:rFonts w:hint="eastAsia" w:ascii="宋体" w:hAnsi="宋体" w:cs="宋体"/>
          <w:color w:val="auto"/>
          <w:sz w:val="21"/>
          <w:szCs w:val="21"/>
          <w:highlight w:val="none"/>
        </w:rPr>
        <w:t>五、</w:t>
      </w:r>
      <w:r>
        <w:rPr>
          <w:rFonts w:hint="eastAsia" w:ascii="宋体" w:hAnsi="宋体" w:cs="宋体"/>
          <w:color w:val="auto"/>
          <w:spacing w:val="2"/>
          <w:position w:val="2"/>
          <w:sz w:val="21"/>
          <w:szCs w:val="21"/>
          <w:highlight w:val="none"/>
        </w:rPr>
        <w:t>鉴于本工程的重要性、复杂性和工期的紧迫性，为确保按时、按质完成本工程的施工任务，我司经慎重考虑，承诺按招标文件的要求投入人员。否则，按合同约定处理，并承担违约责任。</w:t>
      </w:r>
    </w:p>
    <w:p>
      <w:pPr>
        <w:pStyle w:val="59"/>
        <w:ind w:firstLine="428"/>
        <w:rPr>
          <w:rFonts w:ascii="宋体" w:hAnsi="宋体" w:cs="宋体"/>
          <w:color w:val="auto"/>
          <w:sz w:val="21"/>
          <w:szCs w:val="21"/>
          <w:highlight w:val="none"/>
        </w:rPr>
      </w:pPr>
      <w:r>
        <w:rPr>
          <w:rFonts w:hint="eastAsia" w:ascii="宋体" w:hAnsi="宋体" w:cs="宋体"/>
          <w:color w:val="auto"/>
          <w:spacing w:val="2"/>
          <w:position w:val="2"/>
          <w:sz w:val="21"/>
          <w:szCs w:val="21"/>
          <w:highlight w:val="none"/>
        </w:rPr>
        <w:t>六、</w:t>
      </w:r>
      <w:r>
        <w:rPr>
          <w:rFonts w:hint="eastAsia" w:ascii="宋体" w:hAnsi="宋体" w:cs="宋体"/>
          <w:color w:val="auto"/>
          <w:sz w:val="21"/>
          <w:szCs w:val="21"/>
          <w:highlight w:val="none"/>
        </w:rPr>
        <w:t>如果我司中标，我司承诺自中标通知书发出之日起至本项目工程结算经有权审核部门审定之日止确保建设管理相关单位驻现场办公的交通和办公设备设施等满足招标人的要求，服从招标人统一调配，相关费用已包含在我司中标总价中。</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七、我司已充分阅读并结合我司实际全面理解招标文件第三章合同格式的所有内容，如有疑问，已在答疑阶段提出，经慎重考虑，我司承诺全面响应招标人提出合同条款的全部内容，并已在投标报价中充分考虑招标人合同管理各项要求可能带来的我司成本增加和我司现场施工与相关管理要求的困难。如果我司的投标被接受，将保证按招标文件规定的时间及合同条款与贵司签订合同，且在办理合同签订手续时积极主动配合招标人，不提出任何违反招标文件合同条款精神的任何书面要求和疑问，否则，同意被视为自动放弃中标，由招标人没收我司提交的投标保证金，对由此造成的后果由我司承担相应的法律责任。</w:t>
      </w:r>
    </w:p>
    <w:p>
      <w:pPr>
        <w:pStyle w:val="59"/>
        <w:ind w:firstLine="436"/>
        <w:rPr>
          <w:rFonts w:ascii="宋体" w:hAnsi="宋体" w:cs="宋体"/>
          <w:bCs/>
          <w:color w:val="auto"/>
          <w:sz w:val="21"/>
          <w:szCs w:val="21"/>
          <w:highlight w:val="none"/>
        </w:rPr>
      </w:pPr>
      <w:r>
        <w:rPr>
          <w:rFonts w:hint="eastAsia" w:ascii="宋体" w:hAnsi="宋体" w:cs="宋体"/>
          <w:color w:val="auto"/>
          <w:sz w:val="21"/>
          <w:szCs w:val="21"/>
          <w:highlight w:val="none"/>
        </w:rPr>
        <w:t>八、我司保证本工程文明施工和职业健康安全管理方案完全满足国家、省、市政府、主管部门颁布的安全生产规程与规定，完全满足《建筑施工安全检查标准》（JGJ59-2011）、《广州市建设工程现场文明施工管理办法》（穗建质[2008]937号）、《关于进一步规范建设工程施工现场围蔽的通知》（穗建质[2008]1008号）、《广州市城乡建设委员会关于印发广州市加强建筑工地环保管理工作方案的通知(穗建质〔2014〕754号)》、《关于完善广州市建设工程施工围蔽管理提升实施技术要求和标准图集的通知》（穗建质〔2016〕1085号）、《广州市提升建设工程安全文明施工管理水平的工作指引》（穗建质[2017]815号）和《广州市建筑工程安全生产措施费管理办法》（穗建筑[2003]106号）各项规定和招标文件要求。否则，愿意无条件接受招标人的任何处罚，直至被清退出场，并为此承担相应的法律责任。</w:t>
      </w:r>
    </w:p>
    <w:p>
      <w:pPr>
        <w:pStyle w:val="59"/>
        <w:ind w:firstLine="412"/>
        <w:rPr>
          <w:rFonts w:ascii="宋体" w:hAnsi="宋体" w:cs="宋体"/>
          <w:bCs/>
          <w:color w:val="auto"/>
          <w:spacing w:val="-2"/>
          <w:sz w:val="21"/>
          <w:szCs w:val="21"/>
          <w:highlight w:val="none"/>
        </w:rPr>
      </w:pPr>
      <w:r>
        <w:rPr>
          <w:rFonts w:hint="eastAsia" w:ascii="宋体" w:hAnsi="宋体" w:cs="宋体"/>
          <w:bCs/>
          <w:color w:val="auto"/>
          <w:spacing w:val="-2"/>
          <w:sz w:val="21"/>
          <w:szCs w:val="21"/>
          <w:highlight w:val="none"/>
        </w:rPr>
        <w:t>九、</w:t>
      </w:r>
      <w:r>
        <w:rPr>
          <w:rFonts w:hint="eastAsia" w:ascii="宋体" w:hAnsi="宋体" w:cs="宋体"/>
          <w:color w:val="auto"/>
          <w:spacing w:val="-2"/>
          <w:sz w:val="21"/>
          <w:szCs w:val="21"/>
          <w:highlight w:val="none"/>
        </w:rPr>
        <w:t>我司保证本工程竣工验收、竣工资料和竣工备案管理完全符合国家、省、市政府、主管部门颁布的竣工验收和档案管理各项规定及招标文件中提出的各项管理要求。</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十、我司保证在本项目投标中不存在围标、串标等违法、违规行为，如经招标监管部门查实存在上述行为，我司同意由招标人没收我司提交的投标保证金，并对由此造成的后果承担相应的法律责任。</w:t>
      </w:r>
    </w:p>
    <w:p>
      <w:pPr>
        <w:pStyle w:val="59"/>
        <w:ind w:firstLine="436"/>
        <w:rPr>
          <w:rFonts w:ascii="宋体" w:hAnsi="宋体" w:cs="宋体"/>
          <w:bCs/>
          <w:color w:val="auto"/>
          <w:sz w:val="21"/>
          <w:szCs w:val="21"/>
          <w:highlight w:val="none"/>
        </w:rPr>
      </w:pPr>
      <w:r>
        <w:rPr>
          <w:rFonts w:hint="eastAsia" w:ascii="宋体" w:hAnsi="宋体" w:cs="宋体"/>
          <w:color w:val="auto"/>
          <w:sz w:val="21"/>
          <w:szCs w:val="21"/>
          <w:highlight w:val="none"/>
        </w:rPr>
        <w:t>十一、如果我司中标，我司保证实际投入本项目的人员、材料、机械、设备与我司递交的投标文件一致，且不低于本项目招标文件的要求。若不满足招标文件要求或考核不通过，我司承诺无条件按招标人的要求进行更换，直至招标人满意为止。</w:t>
      </w:r>
      <w:r>
        <w:rPr>
          <w:rFonts w:hint="eastAsia" w:ascii="宋体" w:hAnsi="宋体" w:cs="宋体"/>
          <w:bCs/>
          <w:color w:val="auto"/>
          <w:sz w:val="21"/>
          <w:szCs w:val="21"/>
          <w:highlight w:val="none"/>
        </w:rPr>
        <w:t>经招标人和总监理工程师考核，我司未按投标文件投入主要人员或经过更换后的人员不能满足本项目要求的，</w:t>
      </w:r>
      <w:r>
        <w:rPr>
          <w:rFonts w:hint="eastAsia" w:ascii="宋体" w:hAnsi="宋体" w:cs="宋体"/>
          <w:color w:val="auto"/>
          <w:sz w:val="21"/>
          <w:szCs w:val="21"/>
          <w:highlight w:val="none"/>
        </w:rPr>
        <w:t>我司承诺</w:t>
      </w:r>
      <w:r>
        <w:rPr>
          <w:rFonts w:hint="eastAsia" w:ascii="宋体" w:hAnsi="宋体" w:cs="宋体"/>
          <w:bCs/>
          <w:color w:val="auto"/>
          <w:sz w:val="21"/>
          <w:szCs w:val="21"/>
          <w:highlight w:val="none"/>
        </w:rPr>
        <w:t>除无条件按招标人的要求更换外，还应按合同约定的金额向招标人支付违约金。</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十二、如果我司中标，对招标人、监理人为确保工程质量管理和工程进度而下达的调整项目经理部组成人员的指令、通知，我司承诺无条件地在限期内执行并调整到位。</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十三、</w:t>
      </w:r>
      <w:r>
        <w:rPr>
          <w:rFonts w:hint="eastAsia" w:ascii="宋体" w:hAnsi="宋体" w:cs="宋体"/>
          <w:color w:val="auto"/>
          <w:sz w:val="21"/>
          <w:szCs w:val="21"/>
          <w:highlight w:val="none"/>
          <w:u w:val="single"/>
        </w:rPr>
        <w:t>如果我方中标，我方承诺按《广东省建设工程施工扬尘污染防治管理办法（试）》（粤办函[2017]708号）、《广东省住房和城乡建设厅关于采取切实措施坚决遏制施工扬尘污染的紧急通知》（粤建发电[2018]20号）和《广东省房屋建筑和市政基础设施工程用工实名管理暂行办法》（粤建规范[2018]1号），在投标文件中编制建设工程施工扬尘污染防治和用工实名管理专项方案以及费用使用计划作为工程施工合同组成部分。</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十四、如果我司中标，我司保证在规定时间内按招标人要求提交详细的施工组织设计并应用于实际施工过程中，且保证该施工组织设计不低于本投标文件中施工组织设计所承诺的标准，并无条件根据招标人的要求修改完善。如违反上述承诺，由此引起的质量、工期、安全等相关责任完全由我司承担愿意无条件接受招标人的任何处罚，直至被清退出场，并为此承担相应的法律责任。</w:t>
      </w:r>
    </w:p>
    <w:p>
      <w:pPr>
        <w:pStyle w:val="59"/>
        <w:ind w:firstLine="436"/>
        <w:rPr>
          <w:rFonts w:ascii="宋体" w:hAnsi="宋体" w:cs="宋体"/>
          <w:color w:val="auto"/>
          <w:sz w:val="21"/>
          <w:szCs w:val="21"/>
          <w:highlight w:val="none"/>
        </w:rPr>
      </w:pPr>
      <w:r>
        <w:rPr>
          <w:rFonts w:hint="eastAsia" w:ascii="宋体" w:hAnsi="宋体" w:cs="宋体"/>
          <w:color w:val="auto"/>
          <w:sz w:val="21"/>
          <w:szCs w:val="21"/>
          <w:highlight w:val="none"/>
        </w:rPr>
        <w:t>十五、我方承诺响应本招标文件第五章技术条件的要求，包括但不限于：工期进度要求、项目管理人员配备要求、投入机械设备和相关工作要求表上面的内容，如我方未能按照以上要求开展工作，我方无条件接受招标人的处罚并承担由此对招标人造成的损失。</w:t>
      </w:r>
    </w:p>
    <w:p>
      <w:pPr>
        <w:pStyle w:val="59"/>
        <w:ind w:firstLine="436"/>
        <w:rPr>
          <w:rFonts w:ascii="宋体" w:hAnsi="宋体" w:cs="宋体"/>
          <w:color w:val="auto"/>
          <w:sz w:val="21"/>
          <w:szCs w:val="21"/>
          <w:highlight w:val="none"/>
        </w:rPr>
      </w:pPr>
    </w:p>
    <w:p>
      <w:pPr>
        <w:pStyle w:val="59"/>
        <w:ind w:firstLine="436"/>
        <w:rPr>
          <w:rFonts w:ascii="宋体" w:hAnsi="宋体" w:cs="宋体"/>
          <w:color w:val="auto"/>
          <w:sz w:val="21"/>
          <w:szCs w:val="21"/>
          <w:highlight w:val="none"/>
        </w:rPr>
      </w:pPr>
    </w:p>
    <w:p>
      <w:pPr>
        <w:spacing w:line="360" w:lineRule="auto"/>
        <w:ind w:right="90" w:firstLine="0" w:firstLineChars="0"/>
        <w:rPr>
          <w:rFonts w:ascii="宋体" w:hAnsi="宋体" w:cs="宋体"/>
          <w:color w:val="auto"/>
          <w:szCs w:val="21"/>
          <w:highlight w:val="none"/>
          <w:u w:val="singl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p>
    <w:p>
      <w:pPr>
        <w:spacing w:line="360" w:lineRule="auto"/>
        <w:ind w:firstLine="0" w:firstLineChars="0"/>
        <w:rPr>
          <w:rFonts w:ascii="宋体" w:hAnsi="宋体" w:cs="宋体"/>
          <w:color w:val="auto"/>
          <w:szCs w:val="21"/>
          <w:highlight w:val="none"/>
          <w:u w:val="single"/>
        </w:rPr>
      </w:pPr>
      <w:r>
        <w:rPr>
          <w:rFonts w:hint="eastAsia" w:ascii="宋体" w:hAnsi="宋体" w:cs="宋体"/>
          <w:color w:val="auto"/>
          <w:szCs w:val="21"/>
          <w:highlight w:val="none"/>
        </w:rPr>
        <w:t>法定代表人或</w:t>
      </w:r>
      <w:r>
        <w:rPr>
          <w:rFonts w:hint="eastAsia" w:cs="宋体" w:asciiTheme="minorEastAsia" w:hAnsiTheme="minorEastAsia" w:eastAsiaTheme="minorEastAsia"/>
          <w:color w:val="auto"/>
          <w:szCs w:val="21"/>
          <w:highlight w:val="none"/>
        </w:rPr>
        <w:t>其委托代理人</w:t>
      </w:r>
      <w:r>
        <w:rPr>
          <w:rFonts w:hint="eastAsia" w:ascii="宋体" w:hAnsi="宋体" w:cs="宋体"/>
          <w:color w:val="auto"/>
          <w:szCs w:val="21"/>
          <w:highlight w:val="none"/>
        </w:rPr>
        <w:t>（签字或盖章）：</w:t>
      </w:r>
      <w:r>
        <w:rPr>
          <w:rFonts w:hint="eastAsia" w:ascii="宋体" w:hAnsi="宋体" w:cs="宋体"/>
          <w:color w:val="auto"/>
          <w:szCs w:val="21"/>
          <w:highlight w:val="none"/>
          <w:u w:val="single"/>
        </w:rPr>
        <w:t xml:space="preserve">                  </w:t>
      </w:r>
    </w:p>
    <w:p>
      <w:pPr>
        <w:jc w:val="both"/>
        <w:rPr>
          <w:rFonts w:ascii="宋体" w:hAnsi="宋体" w:cs="宋体"/>
          <w:color w:val="auto"/>
          <w:highlight w:val="none"/>
        </w:rPr>
      </w:pPr>
      <w:r>
        <w:rPr>
          <w:rFonts w:hint="eastAsia" w:ascii="宋体" w:hAnsi="宋体" w:cs="宋体"/>
          <w:color w:val="auto"/>
          <w:highlight w:val="none"/>
        </w:rPr>
        <w:t>日期：      年   月   日</w:t>
      </w:r>
    </w:p>
    <w:p>
      <w:pPr>
        <w:autoSpaceDE w:val="0"/>
        <w:autoSpaceDN w:val="0"/>
        <w:adjustRightInd w:val="0"/>
        <w:spacing w:after="200"/>
        <w:outlineLvl w:val="1"/>
        <w:rPr>
          <w:rFonts w:ascii="宋体" w:hAnsi="宋体" w:cs="宋体"/>
          <w:b/>
          <w:color w:val="auto"/>
          <w:highlight w:val="none"/>
        </w:rPr>
      </w:pPr>
      <w:r>
        <w:rPr>
          <w:rFonts w:hint="eastAsia" w:ascii="宋体" w:hAnsi="宋体" w:cs="宋体"/>
          <w:color w:val="auto"/>
          <w:highlight w:val="none"/>
        </w:rPr>
        <w:br w:type="page"/>
      </w:r>
      <w:bookmarkStart w:id="248" w:name="_Toc10366"/>
      <w:bookmarkStart w:id="249" w:name="_Toc22720"/>
      <w:bookmarkStart w:id="250" w:name="_Toc797666609"/>
      <w:bookmarkStart w:id="251" w:name="_Toc3463603"/>
      <w:bookmarkStart w:id="252" w:name="_Toc526967098"/>
      <w:bookmarkStart w:id="253" w:name="_Toc14968"/>
      <w:bookmarkStart w:id="254" w:name="_Toc485303629"/>
      <w:bookmarkStart w:id="255" w:name="_Toc441233497"/>
      <w:bookmarkStart w:id="256" w:name="_Toc19397"/>
      <w:r>
        <w:rPr>
          <w:rStyle w:val="105"/>
          <w:rFonts w:hint="eastAsia" w:ascii="宋体" w:hAnsi="宋体" w:cs="宋体"/>
          <w:color w:val="auto"/>
          <w:highlight w:val="none"/>
        </w:rPr>
        <w:t>格式</w:t>
      </w:r>
      <w:r>
        <w:rPr>
          <w:rStyle w:val="105"/>
          <w:rFonts w:hint="eastAsia" w:ascii="宋体" w:hAnsi="宋体" w:cs="宋体"/>
          <w:color w:val="auto"/>
          <w:highlight w:val="none"/>
          <w:lang w:val="en-US" w:eastAsia="zh-CN"/>
        </w:rPr>
        <w:t>十一</w:t>
      </w:r>
      <w:r>
        <w:rPr>
          <w:rStyle w:val="105"/>
          <w:rFonts w:hint="eastAsia" w:ascii="宋体" w:hAnsi="宋体" w:cs="宋体"/>
          <w:color w:val="auto"/>
          <w:highlight w:val="none"/>
        </w:rPr>
        <w:t>：工期响应承诺书</w:t>
      </w:r>
      <w:bookmarkEnd w:id="248"/>
      <w:bookmarkEnd w:id="249"/>
      <w:bookmarkEnd w:id="250"/>
      <w:bookmarkEnd w:id="251"/>
      <w:bookmarkEnd w:id="252"/>
      <w:bookmarkEnd w:id="253"/>
      <w:bookmarkEnd w:id="254"/>
      <w:bookmarkEnd w:id="255"/>
      <w:bookmarkEnd w:id="256"/>
    </w:p>
    <w:p>
      <w:pPr>
        <w:pStyle w:val="58"/>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工期响应承诺书</w:t>
      </w:r>
    </w:p>
    <w:p>
      <w:pPr>
        <w:spacing w:line="360" w:lineRule="auto"/>
        <w:rPr>
          <w:rFonts w:ascii="宋体" w:hAnsi="宋体" w:cs="宋体"/>
          <w:b/>
          <w:color w:val="auto"/>
          <w:szCs w:val="21"/>
          <w:highlight w:val="none"/>
          <w:u w:val="single"/>
        </w:rPr>
      </w:pPr>
      <w:r>
        <w:rPr>
          <w:rFonts w:hint="eastAsia" w:ascii="宋体" w:hAnsi="宋体" w:cs="宋体"/>
          <w:b/>
          <w:bCs/>
          <w:color w:val="auto"/>
          <w:sz w:val="24"/>
          <w:szCs w:val="24"/>
          <w:highlight w:val="none"/>
        </w:rPr>
        <w:t>致：</w:t>
      </w:r>
      <w:r>
        <w:rPr>
          <w:rFonts w:hint="eastAsia" w:ascii="宋体" w:hAnsi="宋体" w:cs="宋体"/>
          <w:color w:val="auto"/>
          <w:szCs w:val="20"/>
          <w:highlight w:val="none"/>
          <w:u w:val="single"/>
        </w:rPr>
        <w:t>广州燃气集团有限公司</w:t>
      </w:r>
    </w:p>
    <w:p>
      <w:pPr>
        <w:spacing w:line="360" w:lineRule="auto"/>
        <w:ind w:firstLine="435"/>
        <w:rPr>
          <w:rFonts w:ascii="宋体" w:hAnsi="宋体" w:cs="宋体"/>
          <w:color w:val="auto"/>
          <w:highlight w:val="none"/>
        </w:rPr>
      </w:pPr>
      <w:r>
        <w:rPr>
          <w:rFonts w:hint="eastAsia" w:ascii="宋体" w:hAnsi="宋体" w:cs="宋体"/>
          <w:color w:val="auto"/>
          <w:szCs w:val="24"/>
          <w:highlight w:val="none"/>
        </w:rPr>
        <w:t>我方在</w:t>
      </w:r>
      <w:r>
        <w:rPr>
          <w:rFonts w:hint="eastAsia" w:ascii="宋体" w:hAnsi="宋体" w:cs="宋体"/>
          <w:b/>
          <w:color w:val="auto"/>
          <w:szCs w:val="21"/>
          <w:highlight w:val="none"/>
          <w:u w:val="single"/>
        </w:rPr>
        <w:t xml:space="preserve">    [项目名称]    </w:t>
      </w:r>
      <w:r>
        <w:rPr>
          <w:rFonts w:hint="eastAsia" w:ascii="宋体" w:hAnsi="宋体" w:cs="宋体"/>
          <w:color w:val="auto"/>
          <w:szCs w:val="21"/>
          <w:highlight w:val="none"/>
        </w:rPr>
        <w:t>工程</w:t>
      </w:r>
      <w:r>
        <w:rPr>
          <w:rFonts w:hint="eastAsia" w:ascii="宋体" w:hAnsi="宋体" w:cs="宋体"/>
          <w:color w:val="auto"/>
          <w:szCs w:val="24"/>
          <w:highlight w:val="none"/>
        </w:rPr>
        <w:t>招标中，如有幸中标，在此郑重承诺：</w:t>
      </w:r>
    </w:p>
    <w:p>
      <w:pPr>
        <w:spacing w:line="360" w:lineRule="auto"/>
        <w:ind w:firstLine="435"/>
        <w:rPr>
          <w:rFonts w:ascii="宋体" w:hAnsi="宋体" w:cs="宋体"/>
          <w:color w:val="auto"/>
          <w:highlight w:val="none"/>
        </w:rPr>
      </w:pPr>
      <w:r>
        <w:rPr>
          <w:rFonts w:hint="eastAsia" w:ascii="宋体" w:hAnsi="宋体" w:cs="宋体"/>
          <w:color w:val="auto"/>
          <w:highlight w:val="none"/>
        </w:rPr>
        <w:t>我司已按投标须知第5款的要求完成了踏勘现场的工作，并充分了解现场条件。如若中标，我司理解招标人向投标人提供的有关现场的数据和资料，是招标人现有的能被投标人利用的资料。招标人对投标人做出的任何推论、理解和结论均不负责任。我司承诺不会因任何现场条件的阻碍而向招标人拖延工期或索赔费用。在保证工程质量的前提下，</w:t>
      </w:r>
      <w:r>
        <w:rPr>
          <w:rFonts w:hint="eastAsia" w:ascii="宋体" w:hAnsi="宋体" w:cs="宋体"/>
          <w:b/>
          <w:color w:val="auto"/>
          <w:highlight w:val="none"/>
          <w:u w:val="single"/>
        </w:rPr>
        <w:t>我司承诺在    天内（即比招标文件要求的    日历天提前    天）完工。</w:t>
      </w:r>
    </w:p>
    <w:p>
      <w:pPr>
        <w:spacing w:line="360" w:lineRule="auto"/>
        <w:ind w:firstLine="435"/>
        <w:rPr>
          <w:rFonts w:ascii="宋体" w:hAnsi="宋体" w:cs="宋体"/>
          <w:color w:val="auto"/>
          <w:highlight w:val="none"/>
        </w:rPr>
      </w:pPr>
      <w:r>
        <w:rPr>
          <w:rFonts w:hint="eastAsia" w:ascii="宋体" w:hAnsi="宋体" w:cs="宋体"/>
          <w:color w:val="auto"/>
          <w:highlight w:val="none"/>
        </w:rPr>
        <w:t>若工程未能在上述时间内完工，招标人有权无条件没收我司的履约担保，我司将对此无任何异议。我司已考虑了此部分工作的难度和风险，其费用已在措施费中充分考虑，保证不因任何现场条件的阻碍而影响投标承诺的竣工日期。</w:t>
      </w:r>
    </w:p>
    <w:p>
      <w:pPr>
        <w:pStyle w:val="37"/>
        <w:spacing w:after="0" w:line="360" w:lineRule="auto"/>
        <w:ind w:left="-2" w:leftChars="-1" w:firstLine="367" w:firstLineChars="175"/>
        <w:rPr>
          <w:rFonts w:ascii="宋体" w:hAnsi="宋体" w:cs="宋体"/>
          <w:color w:val="auto"/>
          <w:szCs w:val="24"/>
          <w:highlight w:val="none"/>
        </w:rPr>
      </w:pPr>
    </w:p>
    <w:p>
      <w:pPr>
        <w:spacing w:line="360" w:lineRule="auto"/>
        <w:ind w:left="630" w:leftChars="300" w:firstLine="525" w:firstLineChars="250"/>
        <w:rPr>
          <w:rFonts w:ascii="宋体" w:hAnsi="宋体" w:cs="宋体"/>
          <w:color w:val="auto"/>
          <w:szCs w:val="24"/>
          <w:highlight w:val="none"/>
        </w:rPr>
      </w:pPr>
    </w:p>
    <w:p>
      <w:pPr>
        <w:spacing w:line="360" w:lineRule="auto"/>
        <w:ind w:right="90" w:firstLine="0" w:firstLineChars="0"/>
        <w:rPr>
          <w:rFonts w:ascii="宋体" w:hAnsi="宋体" w:cs="宋体"/>
          <w:color w:val="auto"/>
          <w:szCs w:val="21"/>
          <w:highlight w:val="none"/>
          <w:u w:val="singl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p>
    <w:p>
      <w:pPr>
        <w:spacing w:line="360" w:lineRule="auto"/>
        <w:ind w:firstLine="0" w:firstLineChars="0"/>
        <w:jc w:val="left"/>
        <w:rPr>
          <w:rFonts w:hint="eastAsia" w:ascii="宋体" w:hAnsi="宋体" w:cs="宋体"/>
          <w:color w:val="auto"/>
          <w:szCs w:val="21"/>
          <w:highlight w:val="none"/>
          <w:u w:val="single"/>
        </w:rPr>
      </w:pPr>
      <w:r>
        <w:rPr>
          <w:rFonts w:hint="eastAsia" w:ascii="宋体" w:hAnsi="宋体" w:cs="宋体"/>
          <w:color w:val="auto"/>
          <w:szCs w:val="21"/>
          <w:highlight w:val="none"/>
        </w:rPr>
        <w:t>法定代表人或</w:t>
      </w:r>
      <w:r>
        <w:rPr>
          <w:rFonts w:hint="eastAsia" w:cs="宋体" w:asciiTheme="minorEastAsia" w:hAnsiTheme="minorEastAsia" w:eastAsiaTheme="minorEastAsia"/>
          <w:color w:val="auto"/>
          <w:szCs w:val="21"/>
          <w:highlight w:val="none"/>
        </w:rPr>
        <w:t>其委托代理人</w:t>
      </w:r>
      <w:r>
        <w:rPr>
          <w:rFonts w:hint="eastAsia" w:ascii="宋体" w:hAnsi="宋体" w:cs="宋体"/>
          <w:color w:val="auto"/>
          <w:szCs w:val="21"/>
          <w:highlight w:val="none"/>
        </w:rPr>
        <w:t>（签字或盖章）：</w:t>
      </w:r>
      <w:r>
        <w:rPr>
          <w:rFonts w:hint="eastAsia" w:ascii="宋体" w:hAnsi="宋体" w:cs="宋体"/>
          <w:color w:val="auto"/>
          <w:szCs w:val="21"/>
          <w:highlight w:val="none"/>
          <w:u w:val="single"/>
        </w:rPr>
        <w:t xml:space="preserve">                  </w:t>
      </w:r>
    </w:p>
    <w:p>
      <w:pPr>
        <w:spacing w:line="36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日期：      年   月   日</w:t>
      </w:r>
    </w:p>
    <w:p>
      <w:pPr>
        <w:spacing w:after="0" w:line="360" w:lineRule="auto"/>
        <w:ind w:right="420" w:firstLine="0" w:firstLineChars="0"/>
        <w:jc w:val="right"/>
        <w:rPr>
          <w:rFonts w:ascii="宋体" w:hAnsi="宋体" w:cs="宋体"/>
          <w:color w:val="auto"/>
          <w:szCs w:val="24"/>
          <w:highlight w:val="none"/>
        </w:rPr>
      </w:pPr>
    </w:p>
    <w:p>
      <w:pPr>
        <w:pStyle w:val="76"/>
        <w:spacing w:line="360" w:lineRule="auto"/>
        <w:rPr>
          <w:rFonts w:ascii="宋体" w:eastAsia="宋体" w:cs="宋体"/>
          <w:b w:val="0"/>
          <w:color w:val="auto"/>
          <w:highlight w:val="none"/>
        </w:rPr>
        <w:sectPr>
          <w:footerReference r:id="rId20" w:type="first"/>
          <w:footerReference r:id="rId19" w:type="default"/>
          <w:pgSz w:w="11906" w:h="16838"/>
          <w:pgMar w:top="1247" w:right="1418" w:bottom="1134" w:left="1588" w:header="851" w:footer="850" w:gutter="0"/>
          <w:pgNumType w:fmt="decimal"/>
          <w:cols w:space="720" w:num="1"/>
          <w:titlePg/>
          <w:docGrid w:type="lines" w:linePitch="312" w:charSpace="0"/>
        </w:sectPr>
      </w:pPr>
    </w:p>
    <w:p>
      <w:pPr>
        <w:pStyle w:val="6"/>
        <w:spacing w:before="0" w:after="200" w:line="240" w:lineRule="auto"/>
        <w:ind w:left="0"/>
        <w:jc w:val="left"/>
        <w:rPr>
          <w:rFonts w:ascii="宋体" w:hAnsi="宋体" w:cs="宋体"/>
          <w:color w:val="auto"/>
          <w:highlight w:val="none"/>
        </w:rPr>
      </w:pPr>
      <w:bookmarkStart w:id="257" w:name="_Toc3463604"/>
      <w:bookmarkStart w:id="258" w:name="_Toc1344"/>
      <w:bookmarkStart w:id="259" w:name="_Toc9907"/>
      <w:bookmarkStart w:id="260" w:name="_Toc4669"/>
      <w:bookmarkStart w:id="261" w:name="_Toc10364"/>
      <w:bookmarkStart w:id="262" w:name="_Toc1789772889"/>
      <w:bookmarkStart w:id="263" w:name="_Toc485303630"/>
      <w:bookmarkStart w:id="264" w:name="_Toc526967099"/>
      <w:r>
        <w:rPr>
          <w:rFonts w:hint="eastAsia" w:ascii="宋体" w:hAnsi="宋体" w:cs="宋体"/>
          <w:color w:val="auto"/>
          <w:highlight w:val="none"/>
        </w:rPr>
        <w:t>格式十</w:t>
      </w:r>
      <w:r>
        <w:rPr>
          <w:rFonts w:hint="eastAsia" w:ascii="宋体" w:hAnsi="宋体" w:cs="宋体"/>
          <w:color w:val="auto"/>
          <w:highlight w:val="none"/>
          <w:lang w:val="en-US" w:eastAsia="zh-CN"/>
        </w:rPr>
        <w:t>二</w:t>
      </w:r>
      <w:r>
        <w:rPr>
          <w:rFonts w:hint="eastAsia" w:ascii="宋体" w:hAnsi="宋体" w:cs="宋体"/>
          <w:color w:val="auto"/>
          <w:highlight w:val="none"/>
        </w:rPr>
        <w:t>：合同响应承诺书</w:t>
      </w:r>
      <w:bookmarkEnd w:id="257"/>
      <w:bookmarkEnd w:id="258"/>
      <w:bookmarkEnd w:id="259"/>
      <w:bookmarkEnd w:id="260"/>
      <w:bookmarkEnd w:id="261"/>
      <w:bookmarkEnd w:id="262"/>
      <w:bookmarkEnd w:id="263"/>
      <w:bookmarkEnd w:id="264"/>
    </w:p>
    <w:p>
      <w:pPr>
        <w:pStyle w:val="58"/>
        <w:rPr>
          <w:rFonts w:ascii="宋体" w:hAnsi="宋体" w:eastAsia="宋体" w:cs="宋体"/>
          <w:b/>
          <w:bCs/>
          <w:color w:val="auto"/>
          <w:sz w:val="32"/>
          <w:szCs w:val="32"/>
          <w:highlight w:val="none"/>
        </w:rPr>
      </w:pPr>
      <w:bookmarkStart w:id="265" w:name="_Toc458983473"/>
      <w:r>
        <w:rPr>
          <w:rFonts w:hint="eastAsia" w:ascii="宋体" w:hAnsi="宋体" w:eastAsia="宋体" w:cs="宋体"/>
          <w:b/>
          <w:bCs/>
          <w:color w:val="auto"/>
          <w:sz w:val="32"/>
          <w:szCs w:val="32"/>
          <w:highlight w:val="none"/>
        </w:rPr>
        <w:t>合同响应承诺书</w:t>
      </w:r>
      <w:bookmarkEnd w:id="265"/>
    </w:p>
    <w:p>
      <w:pPr>
        <w:spacing w:line="360" w:lineRule="auto"/>
        <w:rPr>
          <w:rFonts w:ascii="宋体" w:hAnsi="宋体" w:cs="宋体"/>
          <w:b/>
          <w:color w:val="auto"/>
          <w:szCs w:val="21"/>
          <w:highlight w:val="none"/>
          <w:u w:val="single"/>
        </w:rPr>
      </w:pPr>
      <w:r>
        <w:rPr>
          <w:rFonts w:hint="eastAsia" w:ascii="宋体" w:hAnsi="宋体" w:cs="宋体"/>
          <w:b/>
          <w:bCs/>
          <w:color w:val="auto"/>
          <w:sz w:val="24"/>
          <w:szCs w:val="24"/>
          <w:highlight w:val="none"/>
        </w:rPr>
        <w:t>致：</w:t>
      </w:r>
      <w:r>
        <w:rPr>
          <w:rFonts w:hint="eastAsia" w:ascii="宋体" w:hAnsi="宋体" w:cs="宋体"/>
          <w:color w:val="auto"/>
          <w:szCs w:val="20"/>
          <w:highlight w:val="none"/>
          <w:u w:val="single"/>
        </w:rPr>
        <w:t>广州燃气集团有限公司</w:t>
      </w:r>
    </w:p>
    <w:p>
      <w:pPr>
        <w:spacing w:line="360" w:lineRule="auto"/>
        <w:ind w:firstLine="420" w:firstLineChars="200"/>
        <w:rPr>
          <w:rFonts w:ascii="宋体" w:hAnsi="宋体" w:cs="宋体"/>
          <w:color w:val="auto"/>
          <w:szCs w:val="24"/>
          <w:highlight w:val="none"/>
        </w:rPr>
      </w:pPr>
      <w:r>
        <w:rPr>
          <w:rFonts w:hint="eastAsia" w:ascii="宋体" w:hAnsi="宋体" w:cs="宋体"/>
          <w:color w:val="auto"/>
          <w:szCs w:val="24"/>
          <w:highlight w:val="none"/>
        </w:rPr>
        <w:t>我公司在</w:t>
      </w:r>
      <w:r>
        <w:rPr>
          <w:rFonts w:hint="eastAsia" w:ascii="宋体" w:hAnsi="宋体" w:cs="宋体"/>
          <w:b/>
          <w:color w:val="auto"/>
          <w:szCs w:val="21"/>
          <w:highlight w:val="none"/>
          <w:u w:val="single"/>
        </w:rPr>
        <w:t xml:space="preserve">    [项目名称]   </w:t>
      </w:r>
      <w:r>
        <w:rPr>
          <w:rFonts w:hint="eastAsia" w:ascii="宋体" w:hAnsi="宋体" w:cs="宋体"/>
          <w:color w:val="auto"/>
          <w:szCs w:val="21"/>
          <w:highlight w:val="none"/>
        </w:rPr>
        <w:t>工程</w:t>
      </w:r>
      <w:r>
        <w:rPr>
          <w:rFonts w:hint="eastAsia" w:ascii="宋体" w:hAnsi="宋体" w:cs="宋体"/>
          <w:color w:val="auto"/>
          <w:szCs w:val="24"/>
          <w:highlight w:val="none"/>
        </w:rPr>
        <w:t>招标中，若有幸中标，在此郑重承诺：</w:t>
      </w:r>
    </w:p>
    <w:p>
      <w:pPr>
        <w:tabs>
          <w:tab w:val="left" w:pos="6937"/>
        </w:tabs>
        <w:spacing w:line="360" w:lineRule="auto"/>
        <w:ind w:firstLine="424" w:firstLineChars="202"/>
        <w:rPr>
          <w:rFonts w:ascii="宋体" w:hAnsi="宋体" w:cs="宋体"/>
          <w:color w:val="auto"/>
          <w:szCs w:val="24"/>
          <w:highlight w:val="none"/>
        </w:rPr>
      </w:pPr>
      <w:r>
        <w:rPr>
          <w:rFonts w:hint="eastAsia" w:ascii="宋体" w:hAnsi="宋体" w:cs="宋体"/>
          <w:color w:val="auto"/>
          <w:szCs w:val="24"/>
          <w:highlight w:val="none"/>
        </w:rPr>
        <w:t>1、我公司承诺，按照招标文件合同条款约定的方式提供履约担保，并完全同意发包人对本项目工程款的监管。</w:t>
      </w:r>
    </w:p>
    <w:p>
      <w:pPr>
        <w:spacing w:line="360" w:lineRule="auto"/>
        <w:ind w:firstLine="420" w:firstLineChars="200"/>
        <w:rPr>
          <w:rFonts w:ascii="宋体" w:hAnsi="宋体" w:cs="宋体"/>
          <w:color w:val="auto"/>
          <w:szCs w:val="24"/>
          <w:highlight w:val="none"/>
        </w:rPr>
      </w:pPr>
      <w:r>
        <w:rPr>
          <w:rFonts w:hint="eastAsia" w:ascii="宋体" w:hAnsi="宋体" w:cs="宋体"/>
          <w:color w:val="auto"/>
          <w:szCs w:val="24"/>
          <w:highlight w:val="none"/>
        </w:rPr>
        <w:t>2、我公司承诺，完全响应招标文件的所有条款，包括但不限于质量目标、工期目标、验收标准、计量支付办法、结算方式、保修责任、材料（设备）采购相关规定等，并履行合同全部义务。</w:t>
      </w:r>
    </w:p>
    <w:p>
      <w:pPr>
        <w:spacing w:line="360" w:lineRule="auto"/>
        <w:ind w:firstLine="420" w:firstLineChars="200"/>
        <w:rPr>
          <w:rFonts w:ascii="宋体" w:hAnsi="宋体" w:cs="宋体"/>
          <w:color w:val="auto"/>
          <w:szCs w:val="24"/>
          <w:highlight w:val="none"/>
        </w:rPr>
      </w:pPr>
      <w:r>
        <w:rPr>
          <w:rFonts w:hint="eastAsia" w:ascii="宋体" w:hAnsi="宋体" w:cs="宋体"/>
          <w:color w:val="auto"/>
          <w:szCs w:val="24"/>
          <w:highlight w:val="none"/>
        </w:rPr>
        <w:t>3、我公司承诺按不低于现场最低配备要求配备相应的管理人员、劳动力、机械设备、检测仪器和其他设备。在实际施工过程中，为实现工期目标需增加人力、机械、设备时，我公司完全接受发包人、监理单位的安排，按要求增加相应人力、机械、设备等，所产生的费用已在投标报价中考虑，不再向发包人另行申请增加费用。</w:t>
      </w:r>
    </w:p>
    <w:p>
      <w:pPr>
        <w:spacing w:line="360" w:lineRule="auto"/>
        <w:ind w:firstLine="420" w:firstLineChars="200"/>
        <w:rPr>
          <w:rFonts w:ascii="宋体" w:hAnsi="宋体" w:cs="宋体"/>
          <w:color w:val="auto"/>
          <w:szCs w:val="24"/>
          <w:highlight w:val="none"/>
        </w:rPr>
      </w:pPr>
      <w:r>
        <w:rPr>
          <w:rFonts w:hint="eastAsia" w:ascii="宋体" w:hAnsi="宋体" w:cs="宋体"/>
          <w:color w:val="auto"/>
          <w:szCs w:val="24"/>
          <w:highlight w:val="none"/>
        </w:rPr>
        <w:t>4、我公司理解，在施工过程中，发包人有权变更、增加（增加工程量或增加新工作内容）或减少某部分工作内容，我公司愿意全力配合和支持发包人的要求。若发包人变更增加部分工作内容时，我公司承诺按发包人的要求组织施工；若发包人减少部分工作内容时，我公司承诺按实施工和办理结算，不另行追究发包人有关赔偿费用和责任。</w:t>
      </w:r>
    </w:p>
    <w:p>
      <w:pPr>
        <w:spacing w:line="360" w:lineRule="auto"/>
        <w:ind w:firstLine="420" w:firstLineChars="200"/>
        <w:rPr>
          <w:rFonts w:ascii="宋体" w:hAnsi="宋体" w:cs="宋体"/>
          <w:color w:val="auto"/>
          <w:szCs w:val="24"/>
          <w:highlight w:val="none"/>
        </w:rPr>
      </w:pPr>
      <w:r>
        <w:rPr>
          <w:rFonts w:hint="eastAsia" w:ascii="宋体" w:hAnsi="宋体" w:cs="宋体"/>
          <w:color w:val="auto"/>
          <w:szCs w:val="24"/>
          <w:highlight w:val="none"/>
        </w:rPr>
        <w:t>5、我公司承诺，</w:t>
      </w:r>
      <w:r>
        <w:rPr>
          <w:rFonts w:hint="eastAsia" w:ascii="宋体" w:hAnsi="宋体" w:cs="宋体"/>
          <w:b/>
          <w:color w:val="auto"/>
          <w:szCs w:val="24"/>
          <w:highlight w:val="none"/>
        </w:rPr>
        <w:t>在中标通知书发出之日起争取10日历天，最多不超过30日历天内与招标人签订施工合同。</w:t>
      </w:r>
    </w:p>
    <w:p>
      <w:pPr>
        <w:spacing w:line="360" w:lineRule="auto"/>
        <w:ind w:firstLine="420" w:firstLineChars="200"/>
        <w:rPr>
          <w:rFonts w:ascii="宋体" w:hAnsi="宋体" w:cs="宋体"/>
          <w:color w:val="auto"/>
          <w:szCs w:val="24"/>
          <w:highlight w:val="none"/>
        </w:rPr>
      </w:pPr>
      <w:r>
        <w:rPr>
          <w:rFonts w:hint="eastAsia" w:ascii="宋体" w:hAnsi="宋体" w:cs="宋体"/>
          <w:color w:val="auto"/>
          <w:szCs w:val="24"/>
          <w:highlight w:val="none"/>
        </w:rPr>
        <w:t>6、若我公司中标后在签订合同时，出现资质不符或被建设主管部门处罚等情况，导致不能承担合同约定工作内容时，我公司承诺由此造成的一切损失由我公司承担，并同意放弃中标资格。</w:t>
      </w:r>
    </w:p>
    <w:p>
      <w:pPr>
        <w:spacing w:line="360" w:lineRule="auto"/>
        <w:ind w:firstLine="420" w:firstLineChars="200"/>
        <w:rPr>
          <w:rFonts w:ascii="宋体" w:hAnsi="宋体" w:cs="宋体"/>
          <w:color w:val="auto"/>
          <w:szCs w:val="24"/>
          <w:highlight w:val="none"/>
        </w:rPr>
      </w:pPr>
      <w:r>
        <w:rPr>
          <w:rFonts w:hint="eastAsia" w:ascii="宋体" w:hAnsi="宋体" w:cs="宋体"/>
          <w:color w:val="auto"/>
          <w:szCs w:val="24"/>
          <w:highlight w:val="none"/>
        </w:rPr>
        <w:t>7、我公司承诺，不转包中标项目；若需对专业工程进行分包时，严格按照招标投标等相关法律、法规及合同要求进行分包。</w:t>
      </w:r>
    </w:p>
    <w:p>
      <w:pPr>
        <w:spacing w:line="360" w:lineRule="auto"/>
        <w:ind w:firstLine="420" w:firstLineChars="200"/>
        <w:rPr>
          <w:rFonts w:ascii="宋体" w:hAnsi="宋体" w:cs="宋体"/>
          <w:color w:val="auto"/>
          <w:szCs w:val="24"/>
          <w:highlight w:val="none"/>
        </w:rPr>
      </w:pPr>
      <w:r>
        <w:rPr>
          <w:rFonts w:hint="eastAsia" w:ascii="宋体" w:hAnsi="宋体" w:cs="宋体"/>
          <w:color w:val="auto"/>
          <w:szCs w:val="24"/>
          <w:highlight w:val="none"/>
        </w:rPr>
        <w:t>8、我公司承诺，项目竣工验收后60日历天内整理结算资料送监理单位审核。</w:t>
      </w:r>
    </w:p>
    <w:p>
      <w:pPr>
        <w:spacing w:line="360" w:lineRule="auto"/>
        <w:ind w:firstLine="420" w:firstLineChars="200"/>
        <w:rPr>
          <w:rFonts w:ascii="宋体" w:hAnsi="宋体" w:cs="宋体"/>
          <w:color w:val="auto"/>
          <w:szCs w:val="24"/>
          <w:highlight w:val="none"/>
        </w:rPr>
      </w:pPr>
      <w:r>
        <w:rPr>
          <w:rFonts w:hint="eastAsia" w:ascii="宋体" w:hAnsi="宋体" w:cs="宋体"/>
          <w:color w:val="auto"/>
          <w:szCs w:val="24"/>
          <w:highlight w:val="none"/>
        </w:rPr>
        <w:t>9、我公司承诺，配合发包人做好见证取样的材料设备检测有关工作，配合发包人做好现场材料（设备）使用评价等相关工作。若在施工过程中由于我公司管理不善，导致材料设备检测批次增加，造成检测费用超过该项的概算或预算费用10%或以上的，所增加的费用由我公司负责支付。</w:t>
      </w:r>
    </w:p>
    <w:p>
      <w:pPr>
        <w:spacing w:line="360" w:lineRule="auto"/>
        <w:ind w:firstLine="420" w:firstLineChars="200"/>
        <w:rPr>
          <w:rFonts w:ascii="宋体" w:hAnsi="宋体" w:cs="宋体"/>
          <w:color w:val="auto"/>
          <w:szCs w:val="24"/>
          <w:highlight w:val="none"/>
        </w:rPr>
      </w:pPr>
      <w:r>
        <w:rPr>
          <w:rFonts w:hint="eastAsia" w:ascii="宋体" w:hAnsi="宋体" w:cs="宋体"/>
          <w:color w:val="auto"/>
          <w:szCs w:val="24"/>
          <w:highlight w:val="none"/>
        </w:rPr>
        <w:t>10、我公司承诺，在投标时已充分了解项目情况，并结合项目编制投标文件，对投标时的措施费进行包干，竣工结算时不作调整。我公司在开工前结合现场实际重新编制施工组织方案报监理单位、发包人审批后方能实施，费用已在投标报价中充分考虑。</w:t>
      </w:r>
    </w:p>
    <w:p>
      <w:pPr>
        <w:spacing w:line="360" w:lineRule="auto"/>
        <w:ind w:firstLine="420" w:firstLineChars="200"/>
        <w:rPr>
          <w:rFonts w:ascii="宋体" w:hAnsi="宋体" w:cs="宋体"/>
          <w:color w:val="auto"/>
          <w:szCs w:val="24"/>
          <w:highlight w:val="none"/>
        </w:rPr>
      </w:pPr>
      <w:r>
        <w:rPr>
          <w:rFonts w:hint="eastAsia" w:ascii="宋体" w:hAnsi="宋体" w:cs="宋体"/>
          <w:color w:val="auto"/>
          <w:szCs w:val="24"/>
          <w:highlight w:val="none"/>
        </w:rPr>
        <w:t>若我公司违背上述承诺，若合同已有具体违约措施的，我公司接受按合同对我公司进行处罚；若合同没有具体处罚措施的，我公司接受招标人（发包人）取消我公司中标资格、或没收保证金、或没收履约担保、或停止支付工程款、或处以罚款、或通报批评、或终止合同等处罚，并承担由此造成的一切经济损失。</w:t>
      </w:r>
    </w:p>
    <w:p>
      <w:pPr>
        <w:spacing w:line="360" w:lineRule="auto"/>
        <w:ind w:left="630" w:leftChars="300" w:firstLine="525" w:firstLineChars="250"/>
        <w:rPr>
          <w:rFonts w:ascii="宋体" w:hAnsi="宋体" w:cs="宋体"/>
          <w:color w:val="auto"/>
          <w:szCs w:val="24"/>
          <w:highlight w:val="none"/>
        </w:rPr>
      </w:pPr>
    </w:p>
    <w:p>
      <w:pPr>
        <w:spacing w:line="360" w:lineRule="auto"/>
        <w:ind w:left="630" w:leftChars="300" w:firstLine="525" w:firstLineChars="250"/>
        <w:rPr>
          <w:rFonts w:ascii="宋体" w:hAnsi="宋体" w:cs="宋体"/>
          <w:color w:val="auto"/>
          <w:szCs w:val="24"/>
          <w:highlight w:val="none"/>
        </w:rPr>
      </w:pPr>
    </w:p>
    <w:p>
      <w:pPr>
        <w:spacing w:line="360" w:lineRule="auto"/>
        <w:ind w:right="90" w:firstLine="0" w:firstLineChars="0"/>
        <w:rPr>
          <w:rFonts w:ascii="宋体" w:hAnsi="宋体" w:cs="宋体"/>
          <w:color w:val="auto"/>
          <w:szCs w:val="21"/>
          <w:highlight w:val="none"/>
          <w:u w:val="singl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p>
    <w:p>
      <w:pPr>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法定代表人或</w:t>
      </w:r>
      <w:r>
        <w:rPr>
          <w:rFonts w:hint="eastAsia" w:cs="宋体" w:asciiTheme="minorEastAsia" w:hAnsiTheme="minorEastAsia" w:eastAsiaTheme="minorEastAsia"/>
          <w:color w:val="auto"/>
          <w:szCs w:val="21"/>
          <w:highlight w:val="none"/>
        </w:rPr>
        <w:t>其委托代理人</w:t>
      </w:r>
      <w:r>
        <w:rPr>
          <w:rFonts w:hint="eastAsia" w:ascii="宋体" w:hAnsi="宋体" w:cs="宋体"/>
          <w:color w:val="auto"/>
          <w:szCs w:val="21"/>
          <w:highlight w:val="none"/>
        </w:rPr>
        <w:t>（签字或盖章）：</w:t>
      </w:r>
      <w:r>
        <w:rPr>
          <w:rFonts w:hint="eastAsia" w:ascii="宋体" w:hAnsi="宋体" w:cs="宋体"/>
          <w:color w:val="auto"/>
          <w:szCs w:val="21"/>
          <w:highlight w:val="none"/>
          <w:u w:val="single"/>
        </w:rPr>
        <w:t xml:space="preserve">                  </w:t>
      </w:r>
    </w:p>
    <w:p>
      <w:pPr>
        <w:spacing w:line="360" w:lineRule="auto"/>
        <w:ind w:firstLine="0" w:firstLineChars="0"/>
        <w:jc w:val="left"/>
        <w:rPr>
          <w:rFonts w:hint="eastAsia" w:ascii="宋体" w:hAnsi="宋体" w:cs="宋体"/>
          <w:color w:val="auto"/>
          <w:szCs w:val="24"/>
          <w:highlight w:val="none"/>
        </w:rPr>
      </w:pPr>
      <w:r>
        <w:rPr>
          <w:rFonts w:hint="eastAsia" w:ascii="宋体" w:hAnsi="宋体" w:cs="宋体"/>
          <w:color w:val="auto"/>
          <w:highlight w:val="none"/>
        </w:rPr>
        <w:t>日期：      年   月   日</w:t>
      </w:r>
    </w:p>
    <w:p>
      <w:pPr>
        <w:autoSpaceDE/>
        <w:autoSpaceDN/>
        <w:adjustRightInd w:val="0"/>
        <w:spacing w:after="200" w:line="240" w:lineRule="auto"/>
        <w:outlineLvl w:val="1"/>
        <w:rPr>
          <w:rFonts w:ascii="宋体" w:hAnsi="宋体" w:cs="宋体"/>
          <w:b/>
          <w:color w:val="auto"/>
          <w:sz w:val="24"/>
          <w:szCs w:val="24"/>
          <w:highlight w:val="none"/>
        </w:rPr>
      </w:pPr>
      <w:r>
        <w:rPr>
          <w:rFonts w:hint="eastAsia" w:ascii="宋体" w:hAnsi="宋体" w:cs="宋体"/>
          <w:color w:val="auto"/>
          <w:szCs w:val="24"/>
          <w:highlight w:val="none"/>
        </w:rPr>
        <w:br w:type="page"/>
      </w:r>
      <w:bookmarkStart w:id="266" w:name="_Toc909501894"/>
      <w:bookmarkStart w:id="267" w:name="_Toc636"/>
      <w:bookmarkStart w:id="268" w:name="_Toc25176"/>
      <w:bookmarkStart w:id="269" w:name="_Toc18185"/>
      <w:r>
        <w:rPr>
          <w:rFonts w:hint="eastAsia" w:ascii="宋体" w:hAnsi="宋体" w:cs="宋体"/>
          <w:b/>
          <w:color w:val="auto"/>
          <w:sz w:val="24"/>
          <w:szCs w:val="24"/>
          <w:highlight w:val="none"/>
        </w:rPr>
        <w:t>格式十</w:t>
      </w:r>
      <w:r>
        <w:rPr>
          <w:rFonts w:hint="eastAsia" w:ascii="宋体" w:hAnsi="宋体" w:cs="宋体"/>
          <w:b/>
          <w:color w:val="auto"/>
          <w:sz w:val="24"/>
          <w:szCs w:val="24"/>
          <w:highlight w:val="none"/>
          <w:lang w:val="en-US" w:eastAsia="zh-CN"/>
        </w:rPr>
        <w:t>三</w:t>
      </w:r>
      <w:r>
        <w:rPr>
          <w:rFonts w:hint="eastAsia" w:ascii="宋体" w:hAnsi="宋体" w:cs="宋体"/>
          <w:b/>
          <w:color w:val="auto"/>
          <w:sz w:val="24"/>
          <w:szCs w:val="24"/>
          <w:highlight w:val="none"/>
        </w:rPr>
        <w:t>：危险性较大的分部分项工程安全管理措施</w:t>
      </w:r>
      <w:bookmarkEnd w:id="266"/>
      <w:bookmarkEnd w:id="267"/>
      <w:bookmarkEnd w:id="268"/>
      <w:bookmarkEnd w:id="269"/>
    </w:p>
    <w:p>
      <w:pPr>
        <w:topLinePunct/>
        <w:adjustRightInd w:val="0"/>
        <w:snapToGrid w:val="0"/>
        <w:spacing w:line="360" w:lineRule="auto"/>
        <w:jc w:val="center"/>
        <w:rPr>
          <w:rFonts w:ascii="宋体" w:hAnsi="宋体" w:cs="宋体"/>
          <w:b/>
          <w:color w:val="auto"/>
          <w:spacing w:val="4"/>
          <w:kern w:val="0"/>
          <w:sz w:val="32"/>
          <w:szCs w:val="32"/>
          <w:highlight w:val="none"/>
        </w:rPr>
      </w:pPr>
      <w:r>
        <w:rPr>
          <w:rFonts w:hint="eastAsia" w:ascii="宋体" w:hAnsi="宋体" w:cs="宋体"/>
          <w:b/>
          <w:color w:val="auto"/>
          <w:spacing w:val="4"/>
          <w:kern w:val="0"/>
          <w:sz w:val="32"/>
          <w:szCs w:val="32"/>
          <w:highlight w:val="none"/>
        </w:rPr>
        <w:t>危险性较大的分部分项工程安全管理措施</w:t>
      </w:r>
    </w:p>
    <w:p>
      <w:pPr>
        <w:numPr>
          <w:ilvl w:val="0"/>
          <w:numId w:val="7"/>
        </w:numPr>
        <w:autoSpaceDE w:val="0"/>
        <w:autoSpaceDN w:val="0"/>
        <w:adjustRightInd w:val="0"/>
        <w:spacing w:line="360" w:lineRule="auto"/>
        <w:jc w:val="left"/>
        <w:rPr>
          <w:rFonts w:ascii="宋体" w:hAnsi="宋体" w:cs="宋体"/>
          <w:snapToGrid w:val="0"/>
          <w:color w:val="auto"/>
          <w:spacing w:val="4"/>
          <w:kern w:val="0"/>
          <w:sz w:val="24"/>
          <w:szCs w:val="24"/>
          <w:highlight w:val="none"/>
        </w:rPr>
      </w:pPr>
      <w:r>
        <w:rPr>
          <w:rFonts w:hint="eastAsia" w:ascii="宋体" w:hAnsi="宋体" w:cs="宋体"/>
          <w:color w:val="auto"/>
          <w:sz w:val="24"/>
          <w:szCs w:val="28"/>
          <w:highlight w:val="none"/>
        </w:rPr>
        <w:t>根据中华人民共和国住房和城乡建设部令第37号《危险性较大的分部分项工程安全管理规定》（以下简称“37号文”），投标人在投标时须补充完善危大工程清单并</w:t>
      </w:r>
      <w:r>
        <w:rPr>
          <w:rFonts w:hint="eastAsia" w:ascii="宋体" w:hAnsi="宋体" w:cs="宋体"/>
          <w:snapToGrid w:val="0"/>
          <w:color w:val="auto"/>
          <w:spacing w:val="4"/>
          <w:kern w:val="0"/>
          <w:sz w:val="24"/>
          <w:szCs w:val="24"/>
          <w:highlight w:val="none"/>
        </w:rPr>
        <w:t>结合本工程的类型和特点，科学、合理地设置本项目的危险性较大的分部分项工程安全管理措施，危险性较大的分部分项工程安全管理措施由投标人结合招标人对本工程的具体要求自行设定。</w:t>
      </w:r>
    </w:p>
    <w:p>
      <w:pPr>
        <w:numPr>
          <w:ilvl w:val="0"/>
          <w:numId w:val="7"/>
        </w:numPr>
        <w:autoSpaceDE w:val="0"/>
        <w:autoSpaceDN w:val="0"/>
        <w:adjustRightInd w:val="0"/>
        <w:spacing w:line="360" w:lineRule="auto"/>
        <w:jc w:val="left"/>
        <w:rPr>
          <w:rFonts w:ascii="宋体" w:hAnsi="宋体" w:cs="宋体"/>
          <w:color w:val="auto"/>
          <w:sz w:val="24"/>
          <w:szCs w:val="28"/>
          <w:highlight w:val="none"/>
        </w:rPr>
      </w:pPr>
      <w:r>
        <w:rPr>
          <w:rFonts w:hint="eastAsia" w:ascii="宋体" w:hAnsi="宋体" w:cs="宋体"/>
          <w:color w:val="auto"/>
          <w:sz w:val="24"/>
          <w:szCs w:val="28"/>
          <w:highlight w:val="none"/>
        </w:rPr>
        <w:t>招标人根据设计文件的要求及37号文的规定列出“危险性较大的分部分项工程清单及超过一定规模的危险性较大的分部分项工程清单”中与本招标项目相关的清单项，具体详第4点</w:t>
      </w:r>
      <w:r>
        <w:rPr>
          <w:rFonts w:hint="eastAsia" w:ascii="宋体" w:hAnsi="宋体" w:cs="宋体"/>
          <w:color w:val="auto"/>
          <w:sz w:val="24"/>
          <w:szCs w:val="36"/>
          <w:highlight w:val="none"/>
        </w:rPr>
        <w:t>。</w:t>
      </w:r>
    </w:p>
    <w:p>
      <w:pPr>
        <w:numPr>
          <w:ilvl w:val="0"/>
          <w:numId w:val="7"/>
        </w:numPr>
        <w:autoSpaceDE w:val="0"/>
        <w:autoSpaceDN w:val="0"/>
        <w:adjustRightInd w:val="0"/>
        <w:spacing w:line="360" w:lineRule="auto"/>
        <w:jc w:val="left"/>
        <w:rPr>
          <w:rFonts w:ascii="宋体" w:hAnsi="宋体" w:cs="宋体"/>
          <w:color w:val="auto"/>
          <w:sz w:val="24"/>
          <w:szCs w:val="28"/>
          <w:highlight w:val="none"/>
        </w:rPr>
      </w:pPr>
      <w:r>
        <w:rPr>
          <w:rFonts w:hint="eastAsia" w:ascii="宋体" w:hAnsi="宋体" w:cs="宋体"/>
          <w:color w:val="auto"/>
          <w:sz w:val="24"/>
          <w:szCs w:val="28"/>
          <w:highlight w:val="none"/>
        </w:rPr>
        <w:t>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pPr>
        <w:numPr>
          <w:ilvl w:val="0"/>
          <w:numId w:val="7"/>
        </w:numPr>
        <w:autoSpaceDE w:val="0"/>
        <w:autoSpaceDN w:val="0"/>
        <w:adjustRightInd w:val="0"/>
        <w:spacing w:line="360" w:lineRule="auto"/>
        <w:jc w:val="left"/>
        <w:rPr>
          <w:rFonts w:ascii="宋体" w:hAnsi="宋体" w:cs="宋体"/>
          <w:color w:val="auto"/>
          <w:sz w:val="24"/>
          <w:szCs w:val="28"/>
          <w:highlight w:val="none"/>
        </w:rPr>
      </w:pPr>
      <w:r>
        <w:rPr>
          <w:rFonts w:hint="eastAsia" w:ascii="宋体" w:hAnsi="宋体" w:cs="宋体"/>
          <w:color w:val="auto"/>
          <w:sz w:val="24"/>
          <w:szCs w:val="28"/>
          <w:highlight w:val="none"/>
        </w:rPr>
        <w:t>危险性较大的分部分项工程清单及超过一定规模的危险性较大的分部分项工程清单：</w:t>
      </w:r>
    </w:p>
    <w:tbl>
      <w:tblPr>
        <w:tblStyle w:val="38"/>
        <w:tblW w:w="8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0"/>
        <w:gridCol w:w="1749"/>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0" w:type="dxa"/>
            <w:vAlign w:val="center"/>
          </w:tcPr>
          <w:p>
            <w:pPr>
              <w:jc w:val="center"/>
              <w:rPr>
                <w:rFonts w:ascii="宋体" w:hAnsi="宋体" w:cs="宋体"/>
                <w:b/>
                <w:color w:val="auto"/>
                <w:sz w:val="24"/>
                <w:highlight w:val="none"/>
              </w:rPr>
            </w:pPr>
            <w:r>
              <w:rPr>
                <w:rFonts w:hint="eastAsia" w:ascii="宋体" w:hAnsi="宋体" w:cs="宋体"/>
                <w:b/>
                <w:color w:val="auto"/>
                <w:sz w:val="24"/>
                <w:highlight w:val="none"/>
              </w:rPr>
              <w:t>一、危险性较大的分部分项工程清单</w:t>
            </w:r>
          </w:p>
        </w:tc>
        <w:tc>
          <w:tcPr>
            <w:tcW w:w="1749" w:type="dxa"/>
            <w:vAlign w:val="center"/>
          </w:tcPr>
          <w:p>
            <w:pPr>
              <w:jc w:val="center"/>
              <w:rPr>
                <w:rFonts w:ascii="宋体" w:hAnsi="宋体" w:cs="宋体"/>
                <w:color w:val="auto"/>
                <w:sz w:val="24"/>
                <w:szCs w:val="36"/>
                <w:highlight w:val="none"/>
              </w:rPr>
            </w:pPr>
            <w:r>
              <w:rPr>
                <w:rFonts w:hint="eastAsia" w:ascii="宋体" w:hAnsi="宋体" w:cs="宋体"/>
                <w:color w:val="auto"/>
                <w:sz w:val="24"/>
                <w:szCs w:val="36"/>
                <w:highlight w:val="none"/>
              </w:rPr>
              <w:t>安全管理措施</w:t>
            </w:r>
          </w:p>
        </w:tc>
        <w:tc>
          <w:tcPr>
            <w:tcW w:w="981" w:type="dxa"/>
            <w:vAlign w:val="center"/>
          </w:tcPr>
          <w:p>
            <w:pPr>
              <w:jc w:val="center"/>
              <w:rPr>
                <w:rFonts w:ascii="宋体" w:hAnsi="宋体" w:cs="宋体"/>
                <w:color w:val="auto"/>
                <w:sz w:val="24"/>
                <w:szCs w:val="36"/>
                <w:highlight w:val="none"/>
              </w:rPr>
            </w:pPr>
            <w:r>
              <w:rPr>
                <w:rFonts w:hint="eastAsia" w:ascii="宋体" w:hAnsi="宋体" w:cs="宋体"/>
                <w:color w:val="auto"/>
                <w:sz w:val="24"/>
                <w:szCs w:val="36"/>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0" w:type="dxa"/>
          </w:tcPr>
          <w:p>
            <w:pP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详见图纸。</w:t>
            </w:r>
          </w:p>
        </w:tc>
        <w:tc>
          <w:tcPr>
            <w:tcW w:w="1749" w:type="dxa"/>
            <w:vAlign w:val="center"/>
          </w:tcPr>
          <w:p>
            <w:pPr>
              <w:jc w:val="center"/>
              <w:rPr>
                <w:rFonts w:ascii="宋体" w:hAnsi="宋体" w:cs="宋体"/>
                <w:color w:val="auto"/>
                <w:highlight w:val="none"/>
              </w:rPr>
            </w:pPr>
          </w:p>
        </w:tc>
        <w:tc>
          <w:tcPr>
            <w:tcW w:w="981" w:type="dxa"/>
            <w:vAlign w:val="center"/>
          </w:tcPr>
          <w:p>
            <w:pPr>
              <w:jc w:val="center"/>
              <w:rPr>
                <w:rFonts w:ascii="宋体" w:hAnsi="宋体" w:cs="宋体"/>
                <w:color w:val="auto"/>
                <w:sz w:val="24"/>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0" w:type="dxa"/>
            <w:vAlign w:val="center"/>
          </w:tcPr>
          <w:p>
            <w:pPr>
              <w:jc w:val="center"/>
              <w:rPr>
                <w:rFonts w:ascii="宋体" w:hAnsi="宋体" w:cs="宋体"/>
                <w:b/>
                <w:color w:val="auto"/>
                <w:sz w:val="24"/>
                <w:highlight w:val="none"/>
              </w:rPr>
            </w:pPr>
            <w:r>
              <w:rPr>
                <w:rFonts w:hint="eastAsia" w:ascii="宋体" w:hAnsi="宋体" w:cs="宋体"/>
                <w:b/>
                <w:color w:val="auto"/>
                <w:sz w:val="24"/>
                <w:highlight w:val="none"/>
              </w:rPr>
              <w:t>二、超过一定规模的危险性较大的分部分项工程清单</w:t>
            </w:r>
          </w:p>
        </w:tc>
        <w:tc>
          <w:tcPr>
            <w:tcW w:w="1749" w:type="dxa"/>
            <w:vAlign w:val="center"/>
          </w:tcPr>
          <w:p>
            <w:pPr>
              <w:jc w:val="center"/>
              <w:rPr>
                <w:rFonts w:ascii="宋体" w:hAnsi="宋体" w:cs="宋体"/>
                <w:color w:val="auto"/>
                <w:sz w:val="24"/>
                <w:szCs w:val="36"/>
                <w:highlight w:val="none"/>
              </w:rPr>
            </w:pPr>
            <w:r>
              <w:rPr>
                <w:rFonts w:hint="eastAsia" w:ascii="宋体" w:hAnsi="宋体" w:cs="宋体"/>
                <w:color w:val="auto"/>
                <w:sz w:val="24"/>
                <w:szCs w:val="36"/>
                <w:highlight w:val="none"/>
              </w:rPr>
              <w:t>安全管理措施</w:t>
            </w:r>
          </w:p>
        </w:tc>
        <w:tc>
          <w:tcPr>
            <w:tcW w:w="981" w:type="dxa"/>
            <w:vAlign w:val="center"/>
          </w:tcPr>
          <w:p>
            <w:pPr>
              <w:jc w:val="center"/>
              <w:rPr>
                <w:rFonts w:ascii="宋体" w:hAnsi="宋体" w:cs="宋体"/>
                <w:color w:val="auto"/>
                <w:sz w:val="24"/>
                <w:szCs w:val="36"/>
                <w:highlight w:val="none"/>
              </w:rPr>
            </w:pPr>
            <w:r>
              <w:rPr>
                <w:rFonts w:hint="eastAsia" w:ascii="宋体" w:hAnsi="宋体" w:cs="宋体"/>
                <w:color w:val="auto"/>
                <w:sz w:val="24"/>
                <w:szCs w:val="36"/>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0" w:type="dxa"/>
          </w:tcPr>
          <w:p>
            <w:pPr>
              <w:rPr>
                <w:rFonts w:ascii="宋体" w:hAnsi="宋体" w:cs="宋体"/>
                <w:color w:val="auto"/>
                <w:highlight w:val="none"/>
              </w:rPr>
            </w:pPr>
            <w:r>
              <w:rPr>
                <w:rFonts w:hint="eastAsia" w:ascii="宋体" w:hAnsi="宋体" w:cs="宋体"/>
                <w:color w:val="auto"/>
                <w:highlight w:val="none"/>
                <w:lang w:val="en-US" w:eastAsia="zh-CN"/>
              </w:rPr>
              <w:t>详见图纸。</w:t>
            </w:r>
          </w:p>
        </w:tc>
        <w:tc>
          <w:tcPr>
            <w:tcW w:w="1749" w:type="dxa"/>
            <w:vAlign w:val="center"/>
          </w:tcPr>
          <w:p>
            <w:pPr>
              <w:jc w:val="center"/>
              <w:rPr>
                <w:rFonts w:ascii="宋体" w:hAnsi="宋体" w:cs="宋体"/>
                <w:color w:val="auto"/>
                <w:sz w:val="24"/>
                <w:szCs w:val="36"/>
                <w:highlight w:val="none"/>
              </w:rPr>
            </w:pPr>
          </w:p>
        </w:tc>
        <w:tc>
          <w:tcPr>
            <w:tcW w:w="981" w:type="dxa"/>
            <w:vAlign w:val="center"/>
          </w:tcPr>
          <w:p>
            <w:pPr>
              <w:jc w:val="center"/>
              <w:rPr>
                <w:rFonts w:ascii="宋体" w:hAnsi="宋体" w:cs="宋体"/>
                <w:color w:val="auto"/>
                <w:sz w:val="24"/>
                <w:szCs w:val="36"/>
                <w:highlight w:val="none"/>
              </w:rPr>
            </w:pPr>
          </w:p>
        </w:tc>
      </w:tr>
    </w:tbl>
    <w:p>
      <w:pPr>
        <w:topLinePunct/>
        <w:adjustRightInd w:val="0"/>
        <w:snapToGrid w:val="0"/>
        <w:ind w:firstLine="0" w:firstLineChars="0"/>
        <w:rPr>
          <w:rFonts w:hint="eastAsia" w:ascii="宋体" w:hAnsi="宋体" w:cs="宋体"/>
          <w:color w:val="auto"/>
          <w:spacing w:val="4"/>
          <w:kern w:val="0"/>
          <w:szCs w:val="21"/>
          <w:highlight w:val="none"/>
          <w:u w:val="single"/>
        </w:rPr>
      </w:pPr>
    </w:p>
    <w:p>
      <w:pPr>
        <w:topLinePunct/>
        <w:adjustRightInd w:val="0"/>
        <w:snapToGrid w:val="0"/>
        <w:ind w:firstLine="436" w:firstLineChars="200"/>
        <w:rPr>
          <w:rFonts w:ascii="宋体" w:hAnsi="宋体" w:cs="宋体"/>
          <w:color w:val="auto"/>
          <w:spacing w:val="4"/>
          <w:kern w:val="0"/>
          <w:szCs w:val="21"/>
          <w:highlight w:val="none"/>
          <w:u w:val="single"/>
        </w:rPr>
      </w:pPr>
      <w:r>
        <w:rPr>
          <w:rFonts w:hint="eastAsia" w:ascii="宋体" w:hAnsi="宋体" w:cs="宋体"/>
          <w:color w:val="auto"/>
          <w:spacing w:val="4"/>
          <w:kern w:val="0"/>
          <w:szCs w:val="21"/>
          <w:highlight w:val="none"/>
          <w:u w:val="single"/>
        </w:rPr>
        <w:t>注：若投标人根据项目情况认为需要提供的，请在上表清单中列出来并提供相应的安全管理措施。</w:t>
      </w:r>
    </w:p>
    <w:p>
      <w:pPr>
        <w:topLinePunct/>
        <w:adjustRightInd w:val="0"/>
        <w:snapToGrid w:val="0"/>
        <w:spacing w:line="360" w:lineRule="auto"/>
        <w:ind w:firstLine="496" w:firstLineChars="200"/>
        <w:rPr>
          <w:rFonts w:ascii="宋体" w:hAnsi="宋体" w:cs="宋体"/>
          <w:color w:val="auto"/>
          <w:spacing w:val="4"/>
          <w:kern w:val="0"/>
          <w:sz w:val="24"/>
          <w:szCs w:val="24"/>
          <w:highlight w:val="none"/>
        </w:rPr>
      </w:pPr>
    </w:p>
    <w:p>
      <w:pPr>
        <w:topLinePunct/>
        <w:adjustRightInd w:val="0"/>
        <w:snapToGrid w:val="0"/>
        <w:spacing w:line="360" w:lineRule="auto"/>
        <w:ind w:firstLine="0" w:firstLineChars="0"/>
        <w:rPr>
          <w:rFonts w:ascii="宋体" w:hAnsi="宋体" w:cs="宋体"/>
          <w:snapToGrid w:val="0"/>
          <w:color w:val="auto"/>
          <w:spacing w:val="4"/>
          <w:kern w:val="0"/>
          <w:sz w:val="24"/>
          <w:szCs w:val="24"/>
          <w:highlight w:val="none"/>
        </w:rPr>
      </w:pPr>
      <w:r>
        <w:rPr>
          <w:rFonts w:hint="eastAsia" w:ascii="宋体" w:hAnsi="宋体" w:cs="宋体"/>
          <w:snapToGrid w:val="0"/>
          <w:color w:val="auto"/>
          <w:spacing w:val="4"/>
          <w:kern w:val="0"/>
          <w:sz w:val="24"/>
          <w:szCs w:val="24"/>
          <w:highlight w:val="none"/>
        </w:rPr>
        <w:t xml:space="preserve">投标人（盖章）：    </w:t>
      </w:r>
    </w:p>
    <w:p>
      <w:pPr>
        <w:topLinePunct/>
        <w:adjustRightInd w:val="0"/>
        <w:snapToGrid w:val="0"/>
        <w:spacing w:line="360" w:lineRule="auto"/>
        <w:ind w:firstLine="0" w:firstLineChars="0"/>
        <w:rPr>
          <w:rFonts w:ascii="宋体" w:hAnsi="宋体" w:cs="宋体"/>
          <w:snapToGrid w:val="0"/>
          <w:color w:val="auto"/>
          <w:spacing w:val="4"/>
          <w:kern w:val="0"/>
          <w:sz w:val="24"/>
          <w:szCs w:val="24"/>
          <w:highlight w:val="none"/>
        </w:rPr>
      </w:pPr>
      <w:r>
        <w:rPr>
          <w:rFonts w:hint="eastAsia" w:ascii="宋体" w:hAnsi="宋体" w:cs="宋体"/>
          <w:snapToGrid w:val="0"/>
          <w:color w:val="auto"/>
          <w:spacing w:val="4"/>
          <w:kern w:val="0"/>
          <w:sz w:val="24"/>
          <w:szCs w:val="24"/>
          <w:highlight w:val="none"/>
        </w:rPr>
        <w:t>法定代表人或其委托代理人（签字或盖章）：</w:t>
      </w:r>
    </w:p>
    <w:p>
      <w:pPr>
        <w:autoSpaceDE w:val="0"/>
        <w:autoSpaceDN w:val="0"/>
        <w:adjustRightInd w:val="0"/>
        <w:spacing w:line="360" w:lineRule="auto"/>
        <w:ind w:firstLine="0" w:firstLineChars="0"/>
        <w:rPr>
          <w:rFonts w:ascii="宋体" w:hAnsi="宋体" w:cs="宋体"/>
          <w:color w:val="auto"/>
          <w:sz w:val="24"/>
          <w:szCs w:val="20"/>
          <w:highlight w:val="none"/>
        </w:rPr>
      </w:pPr>
      <w:r>
        <w:rPr>
          <w:rFonts w:hint="eastAsia" w:ascii="宋体" w:hAnsi="宋体" w:cs="宋体"/>
          <w:snapToGrid w:val="0"/>
          <w:color w:val="auto"/>
          <w:spacing w:val="4"/>
          <w:kern w:val="0"/>
          <w:sz w:val="24"/>
          <w:szCs w:val="24"/>
          <w:highlight w:val="none"/>
        </w:rPr>
        <w:t>日期：    年    月    日</w:t>
      </w:r>
    </w:p>
    <w:p>
      <w:pPr>
        <w:spacing w:line="360" w:lineRule="auto"/>
        <w:ind w:firstLine="630" w:firstLineChars="300"/>
        <w:jc w:val="left"/>
        <w:rPr>
          <w:rFonts w:ascii="宋体" w:hAnsi="宋体" w:cs="宋体"/>
          <w:color w:val="auto"/>
          <w:szCs w:val="24"/>
          <w:highlight w:val="none"/>
        </w:rPr>
      </w:pPr>
    </w:p>
    <w:p>
      <w:pPr>
        <w:autoSpaceDE w:val="0"/>
        <w:autoSpaceDN w:val="0"/>
        <w:adjustRightInd w:val="0"/>
        <w:rPr>
          <w:rFonts w:ascii="宋体" w:hAnsi="宋体" w:cs="宋体"/>
          <w:color w:val="auto"/>
          <w:szCs w:val="21"/>
          <w:highlight w:val="none"/>
        </w:rPr>
      </w:pPr>
    </w:p>
    <w:p>
      <w:pPr>
        <w:pStyle w:val="74"/>
        <w:rPr>
          <w:rFonts w:ascii="宋体" w:hAnsi="宋体" w:cs="宋体"/>
          <w:color w:val="auto"/>
          <w:sz w:val="24"/>
          <w:szCs w:val="24"/>
          <w:highlight w:val="none"/>
        </w:rPr>
      </w:pPr>
    </w:p>
    <w:p>
      <w:pPr>
        <w:pStyle w:val="74"/>
        <w:rPr>
          <w:rFonts w:ascii="宋体" w:hAnsi="宋体" w:cs="宋体"/>
          <w:color w:val="auto"/>
          <w:sz w:val="24"/>
          <w:szCs w:val="24"/>
          <w:highlight w:val="none"/>
        </w:rPr>
      </w:pPr>
    </w:p>
    <w:p>
      <w:pPr>
        <w:pStyle w:val="74"/>
        <w:rPr>
          <w:rFonts w:ascii="宋体" w:hAnsi="宋体" w:cs="宋体"/>
          <w:color w:val="auto"/>
          <w:sz w:val="24"/>
          <w:szCs w:val="24"/>
          <w:highlight w:val="none"/>
        </w:rPr>
        <w:sectPr>
          <w:pgSz w:w="11906" w:h="16838"/>
          <w:pgMar w:top="1440" w:right="1800" w:bottom="1440" w:left="1800" w:header="851" w:footer="850" w:gutter="0"/>
          <w:pgNumType w:fmt="decimal"/>
          <w:cols w:space="720" w:num="1"/>
          <w:docGrid w:type="lines" w:linePitch="312" w:charSpace="0"/>
        </w:sectPr>
      </w:pPr>
    </w:p>
    <w:p>
      <w:pPr>
        <w:pStyle w:val="6"/>
        <w:spacing w:before="0" w:after="200" w:line="240" w:lineRule="auto"/>
        <w:ind w:left="0"/>
        <w:jc w:val="left"/>
        <w:rPr>
          <w:rFonts w:hint="eastAsia" w:ascii="宋体" w:hAnsi="宋体" w:eastAsia="宋体" w:cs="宋体"/>
          <w:b/>
          <w:color w:val="auto"/>
          <w:sz w:val="24"/>
          <w:szCs w:val="24"/>
          <w:highlight w:val="none"/>
          <w:lang w:val="en-US" w:eastAsia="zh-CN"/>
        </w:rPr>
      </w:pPr>
      <w:bookmarkStart w:id="270" w:name="_Toc209733112"/>
      <w:bookmarkStart w:id="271" w:name="_Toc31981"/>
      <w:bookmarkStart w:id="272" w:name="_Toc10104"/>
      <w:bookmarkStart w:id="273" w:name="_Toc30"/>
      <w:bookmarkStart w:id="274" w:name="_Toc31930"/>
      <w:bookmarkStart w:id="275" w:name="_Toc30362"/>
      <w:r>
        <w:rPr>
          <w:rFonts w:hint="eastAsia" w:ascii="宋体" w:hAnsi="宋体" w:eastAsia="宋体" w:cs="宋体"/>
          <w:b/>
          <w:color w:val="auto"/>
          <w:sz w:val="24"/>
          <w:szCs w:val="24"/>
          <w:highlight w:val="none"/>
          <w:lang w:eastAsia="zh-CN"/>
        </w:rPr>
        <w:t>格式十</w:t>
      </w:r>
      <w:r>
        <w:rPr>
          <w:rFonts w:hint="eastAsia" w:ascii="宋体" w:hAnsi="宋体" w:cs="宋体"/>
          <w:b/>
          <w:color w:val="auto"/>
          <w:sz w:val="24"/>
          <w:szCs w:val="24"/>
          <w:highlight w:val="none"/>
          <w:lang w:val="en-US" w:eastAsia="zh-CN"/>
        </w:rPr>
        <w:t>四</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投标报价汇总表</w:t>
      </w:r>
      <w:bookmarkEnd w:id="270"/>
      <w:bookmarkEnd w:id="271"/>
      <w:bookmarkEnd w:id="272"/>
    </w:p>
    <w:p>
      <w:pPr>
        <w:pStyle w:val="21"/>
        <w:spacing w:line="360" w:lineRule="auto"/>
        <w:jc w:val="center"/>
        <w:rPr>
          <w:rFonts w:hAnsi="宋体" w:eastAsia="宋体"/>
          <w:b/>
          <w:color w:val="auto"/>
          <w:sz w:val="32"/>
          <w:szCs w:val="22"/>
          <w:highlight w:val="none"/>
        </w:rPr>
      </w:pPr>
      <w:r>
        <w:rPr>
          <w:rFonts w:hint="eastAsia" w:hAnsi="宋体" w:eastAsia="宋体"/>
          <w:b/>
          <w:color w:val="auto"/>
          <w:sz w:val="32"/>
          <w:szCs w:val="22"/>
          <w:highlight w:val="none"/>
        </w:rPr>
        <w:t>投标报价汇总表</w:t>
      </w:r>
    </w:p>
    <w:p>
      <w:pPr>
        <w:pStyle w:val="21"/>
        <w:spacing w:line="360" w:lineRule="auto"/>
        <w:rPr>
          <w:rFonts w:hAnsi="宋体" w:eastAsia="宋体"/>
          <w:color w:val="auto"/>
          <w:szCs w:val="21"/>
          <w:highlight w:val="none"/>
        </w:rPr>
      </w:pPr>
      <w:r>
        <w:rPr>
          <w:rFonts w:hint="eastAsia" w:hAnsi="宋体" w:eastAsia="宋体"/>
          <w:color w:val="auto"/>
          <w:szCs w:val="21"/>
          <w:highlight w:val="none"/>
        </w:rPr>
        <w:t xml:space="preserve">项目名称： </w:t>
      </w:r>
      <w:r>
        <w:rPr>
          <w:rFonts w:hint="eastAsia" w:hAnsi="宋体"/>
          <w:color w:val="auto"/>
          <w:szCs w:val="21"/>
          <w:highlight w:val="none"/>
          <w:lang w:eastAsia="zh-CN"/>
        </w:rPr>
        <w:t>白云恒运天然气发电项目燃气管线工程</w:t>
      </w:r>
      <w:r>
        <w:rPr>
          <w:rFonts w:hint="eastAsia" w:hAnsi="宋体" w:eastAsia="宋体"/>
          <w:color w:val="auto"/>
          <w:szCs w:val="21"/>
          <w:highlight w:val="none"/>
        </w:rPr>
        <w:t>施工总承包</w:t>
      </w:r>
    </w:p>
    <w:tbl>
      <w:tblPr>
        <w:tblStyle w:val="38"/>
        <w:tblpPr w:leftFromText="180" w:rightFromText="180" w:vertAnchor="text" w:horzAnchor="page" w:tblpX="1318" w:tblpY="447"/>
        <w:tblOverlap w:val="never"/>
        <w:tblW w:w="9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2109"/>
        <w:gridCol w:w="1730"/>
        <w:gridCol w:w="1200"/>
        <w:gridCol w:w="1861"/>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5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auto"/>
                <w:highlight w:val="none"/>
              </w:rPr>
            </w:pPr>
            <w:r>
              <w:rPr>
                <w:rFonts w:hint="eastAsia" w:ascii="宋体" w:hAnsi="宋体"/>
                <w:color w:val="auto"/>
                <w:highlight w:val="none"/>
              </w:rPr>
              <w:t>序号</w:t>
            </w:r>
          </w:p>
        </w:tc>
        <w:tc>
          <w:tcPr>
            <w:tcW w:w="21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olor w:val="auto"/>
                <w:highlight w:val="none"/>
              </w:rPr>
              <w:t>名称</w:t>
            </w:r>
          </w:p>
        </w:tc>
        <w:tc>
          <w:tcPr>
            <w:tcW w:w="17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r>
              <w:rPr>
                <w:rFonts w:hint="eastAsia" w:ascii="宋体" w:hAnsi="宋体"/>
                <w:color w:val="auto"/>
                <w:highlight w:val="none"/>
              </w:rPr>
              <w:t>含增值税总报价</w:t>
            </w:r>
          </w:p>
          <w:p>
            <w:pPr>
              <w:jc w:val="center"/>
              <w:rPr>
                <w:rFonts w:ascii="宋体" w:hAnsi="宋体"/>
                <w:color w:val="auto"/>
                <w:highlight w:val="none"/>
              </w:rPr>
            </w:pPr>
            <w:r>
              <w:rPr>
                <w:rFonts w:hint="eastAsia" w:ascii="宋体" w:hAnsi="宋体"/>
                <w:color w:val="auto"/>
                <w:highlight w:val="none"/>
              </w:rPr>
              <w:t>（元）</w:t>
            </w:r>
          </w:p>
        </w:tc>
        <w:tc>
          <w:tcPr>
            <w:tcW w:w="12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r>
              <w:rPr>
                <w:rFonts w:hint="eastAsia" w:ascii="宋体" w:hAnsi="宋体"/>
                <w:color w:val="auto"/>
                <w:highlight w:val="none"/>
              </w:rPr>
              <w:t>增值税税率（%）</w:t>
            </w:r>
          </w:p>
        </w:tc>
        <w:tc>
          <w:tcPr>
            <w:tcW w:w="186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其中：绿色施工安全防护措施费（元）</w:t>
            </w:r>
          </w:p>
        </w:tc>
        <w:tc>
          <w:tcPr>
            <w:tcW w:w="18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r>
              <w:rPr>
                <w:rFonts w:hint="eastAsia" w:ascii="宋体" w:hAnsi="宋体"/>
                <w:color w:val="auto"/>
                <w:highlight w:val="none"/>
              </w:rPr>
              <w:t>不含增值税总报价</w:t>
            </w:r>
          </w:p>
          <w:p>
            <w:pPr>
              <w:jc w:val="center"/>
              <w:rPr>
                <w:color w:val="auto"/>
                <w:highlight w:val="none"/>
              </w:rPr>
            </w:pPr>
            <w:r>
              <w:rPr>
                <w:rFonts w:hint="eastAsia" w:ascii="宋体" w:hAnsi="宋体"/>
                <w:color w:val="auto"/>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655"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olor w:val="auto"/>
                <w:highlight w:val="none"/>
                <w:lang w:val="en-US" w:eastAsia="zh-CN"/>
              </w:rPr>
            </w:pPr>
            <w:r>
              <w:rPr>
                <w:rFonts w:hint="eastAsia" w:ascii="宋体" w:hAnsi="宋体"/>
                <w:color w:val="auto"/>
                <w:highlight w:val="none"/>
                <w:lang w:val="en-US" w:eastAsia="zh-CN"/>
              </w:rPr>
              <w:t>1</w:t>
            </w:r>
          </w:p>
        </w:tc>
        <w:tc>
          <w:tcPr>
            <w:tcW w:w="2109" w:type="dxa"/>
            <w:tcBorders>
              <w:top w:val="single" w:color="auto" w:sz="4" w:space="0"/>
              <w:left w:val="single" w:color="auto" w:sz="4" w:space="0"/>
              <w:bottom w:val="single" w:color="auto" w:sz="4" w:space="0"/>
              <w:right w:val="single" w:color="auto" w:sz="4" w:space="0"/>
            </w:tcBorders>
            <w:vAlign w:val="center"/>
          </w:tcPr>
          <w:p>
            <w:pPr>
              <w:pStyle w:val="21"/>
              <w:spacing w:line="360" w:lineRule="auto"/>
              <w:rPr>
                <w:rFonts w:hint="eastAsia" w:hAnsi="宋体" w:eastAsia="宋体"/>
                <w:color w:val="auto"/>
                <w:szCs w:val="21"/>
                <w:highlight w:val="none"/>
                <w:lang w:eastAsia="zh-CN"/>
              </w:rPr>
            </w:pPr>
            <w:r>
              <w:rPr>
                <w:rFonts w:hint="eastAsia" w:hAnsi="宋体"/>
                <w:color w:val="auto"/>
                <w:szCs w:val="21"/>
                <w:highlight w:val="none"/>
                <w:lang w:eastAsia="zh-CN"/>
              </w:rPr>
              <w:t>白云恒运天然气发电项目燃气管线工程施工部分</w:t>
            </w:r>
          </w:p>
        </w:tc>
        <w:tc>
          <w:tcPr>
            <w:tcW w:w="173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r>
              <w:rPr>
                <w:rFonts w:hint="eastAsia" w:ascii="宋体" w:hAnsi="宋体"/>
                <w:color w:val="auto"/>
                <w:highlight w:val="none"/>
              </w:rPr>
              <w:t>小写：</w:t>
            </w:r>
          </w:p>
          <w:p>
            <w:pPr>
              <w:rPr>
                <w:rFonts w:ascii="宋体" w:hAnsi="宋体"/>
                <w:color w:val="auto"/>
                <w:highlight w:val="none"/>
              </w:rPr>
            </w:pPr>
          </w:p>
          <w:p>
            <w:pPr>
              <w:rPr>
                <w:rFonts w:hint="eastAsia" w:ascii="宋体" w:hAnsi="宋体"/>
                <w:color w:val="auto"/>
                <w:highlight w:val="none"/>
              </w:rPr>
            </w:pPr>
            <w:r>
              <w:rPr>
                <w:rFonts w:hint="eastAsia" w:ascii="宋体" w:hAnsi="宋体"/>
                <w:color w:val="auto"/>
                <w:highlight w:val="none"/>
              </w:rPr>
              <w:t>大写：</w:t>
            </w:r>
          </w:p>
        </w:tc>
        <w:tc>
          <w:tcPr>
            <w:tcW w:w="120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186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olor w:val="auto"/>
                <w:highlight w:val="none"/>
              </w:rPr>
            </w:pPr>
          </w:p>
        </w:tc>
        <w:tc>
          <w:tcPr>
            <w:tcW w:w="18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r>
              <w:rPr>
                <w:rFonts w:hint="eastAsia" w:ascii="宋体" w:hAnsi="宋体"/>
                <w:color w:val="auto"/>
                <w:highlight w:val="none"/>
              </w:rPr>
              <w:t>小写：</w:t>
            </w:r>
          </w:p>
          <w:p>
            <w:pPr>
              <w:rPr>
                <w:rFonts w:ascii="宋体" w:hAnsi="宋体"/>
                <w:color w:val="auto"/>
                <w:highlight w:val="none"/>
              </w:rPr>
            </w:pPr>
          </w:p>
          <w:p>
            <w:pPr>
              <w:rPr>
                <w:color w:val="auto"/>
                <w:highlight w:val="none"/>
              </w:rPr>
            </w:pPr>
            <w:r>
              <w:rPr>
                <w:rFonts w:hint="eastAsia" w:ascii="宋体" w:hAnsi="宋体"/>
                <w:color w:val="auto"/>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jc w:val="center"/>
        </w:trPr>
        <w:tc>
          <w:tcPr>
            <w:tcW w:w="655"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olor w:val="auto"/>
                <w:highlight w:val="none"/>
                <w:lang w:val="en-US" w:eastAsia="zh-CN"/>
              </w:rPr>
            </w:pPr>
            <w:r>
              <w:rPr>
                <w:rFonts w:hint="eastAsia" w:ascii="宋体" w:hAnsi="宋体"/>
                <w:color w:val="auto"/>
                <w:highlight w:val="none"/>
                <w:lang w:val="en-US" w:eastAsia="zh-CN"/>
              </w:rPr>
              <w:t>2</w:t>
            </w:r>
          </w:p>
        </w:tc>
        <w:tc>
          <w:tcPr>
            <w:tcW w:w="2109" w:type="dxa"/>
            <w:tcBorders>
              <w:top w:val="single" w:color="auto" w:sz="4" w:space="0"/>
              <w:left w:val="single" w:color="auto" w:sz="4" w:space="0"/>
              <w:bottom w:val="single" w:color="auto" w:sz="4" w:space="0"/>
              <w:right w:val="single" w:color="auto" w:sz="4" w:space="0"/>
            </w:tcBorders>
            <w:vAlign w:val="center"/>
          </w:tcPr>
          <w:p>
            <w:pPr>
              <w:pStyle w:val="21"/>
              <w:spacing w:line="360" w:lineRule="auto"/>
              <w:rPr>
                <w:rFonts w:hint="eastAsia" w:hAnsi="宋体" w:eastAsia="宋体"/>
                <w:color w:val="auto"/>
                <w:szCs w:val="21"/>
                <w:highlight w:val="none"/>
              </w:rPr>
            </w:pPr>
            <w:r>
              <w:rPr>
                <w:rFonts w:hint="eastAsia" w:hAnsi="宋体"/>
                <w:color w:val="auto"/>
                <w:szCs w:val="21"/>
                <w:highlight w:val="none"/>
                <w:lang w:eastAsia="zh-CN"/>
              </w:rPr>
              <w:t>白云恒运天然气发电项目燃气管线工程</w:t>
            </w:r>
            <w:r>
              <w:rPr>
                <w:rFonts w:hint="eastAsia" w:hAnsi="宋体"/>
                <w:color w:val="auto"/>
                <w:szCs w:val="21"/>
                <w:highlight w:val="none"/>
                <w:lang w:val="en-US" w:eastAsia="zh-CN"/>
              </w:rPr>
              <w:t>其他</w:t>
            </w:r>
            <w:r>
              <w:rPr>
                <w:rFonts w:hint="eastAsia" w:hAnsi="宋体" w:eastAsia="宋体"/>
                <w:color w:val="auto"/>
                <w:szCs w:val="21"/>
                <w:highlight w:val="none"/>
              </w:rPr>
              <w:t>部分</w:t>
            </w:r>
          </w:p>
        </w:tc>
        <w:tc>
          <w:tcPr>
            <w:tcW w:w="173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r>
              <w:rPr>
                <w:rFonts w:hint="eastAsia" w:ascii="宋体" w:hAnsi="宋体"/>
                <w:color w:val="auto"/>
                <w:highlight w:val="none"/>
              </w:rPr>
              <w:t>小写：</w:t>
            </w:r>
          </w:p>
          <w:p>
            <w:pPr>
              <w:rPr>
                <w:rFonts w:ascii="宋体" w:hAnsi="宋体"/>
                <w:color w:val="auto"/>
                <w:highlight w:val="none"/>
              </w:rPr>
            </w:pPr>
          </w:p>
          <w:p>
            <w:pPr>
              <w:rPr>
                <w:rFonts w:hint="eastAsia" w:ascii="宋体" w:hAnsi="宋体"/>
                <w:color w:val="auto"/>
                <w:highlight w:val="none"/>
              </w:rPr>
            </w:pPr>
            <w:r>
              <w:rPr>
                <w:rFonts w:hint="eastAsia" w:ascii="宋体" w:hAnsi="宋体"/>
                <w:color w:val="auto"/>
                <w:highlight w:val="none"/>
              </w:rPr>
              <w:t>大写：</w:t>
            </w:r>
          </w:p>
        </w:tc>
        <w:tc>
          <w:tcPr>
            <w:tcW w:w="120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186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olor w:val="auto"/>
                <w:highlight w:val="none"/>
              </w:rPr>
            </w:pPr>
          </w:p>
        </w:tc>
        <w:tc>
          <w:tcPr>
            <w:tcW w:w="18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r>
              <w:rPr>
                <w:rFonts w:hint="eastAsia" w:ascii="宋体" w:hAnsi="宋体"/>
                <w:color w:val="auto"/>
                <w:highlight w:val="none"/>
              </w:rPr>
              <w:t>小写：</w:t>
            </w:r>
          </w:p>
          <w:p>
            <w:pPr>
              <w:rPr>
                <w:rFonts w:ascii="宋体" w:hAnsi="宋体"/>
                <w:color w:val="auto"/>
                <w:highlight w:val="none"/>
              </w:rPr>
            </w:pPr>
          </w:p>
          <w:p>
            <w:pPr>
              <w:rPr>
                <w:color w:val="auto"/>
                <w:highlight w:val="none"/>
              </w:rPr>
            </w:pPr>
            <w:r>
              <w:rPr>
                <w:rFonts w:hint="eastAsia" w:ascii="宋体" w:hAnsi="宋体"/>
                <w:color w:val="auto"/>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65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olor w:val="auto"/>
                <w:highlight w:val="none"/>
                <w:lang w:val="en-US" w:eastAsia="zh-CN"/>
              </w:rPr>
            </w:pPr>
          </w:p>
        </w:tc>
        <w:tc>
          <w:tcPr>
            <w:tcW w:w="2109" w:type="dxa"/>
            <w:tcBorders>
              <w:top w:val="single" w:color="auto" w:sz="4" w:space="0"/>
              <w:left w:val="single" w:color="auto" w:sz="4" w:space="0"/>
              <w:bottom w:val="single" w:color="auto" w:sz="4" w:space="0"/>
              <w:right w:val="single" w:color="auto" w:sz="4" w:space="0"/>
            </w:tcBorders>
            <w:vAlign w:val="center"/>
          </w:tcPr>
          <w:p>
            <w:pPr>
              <w:pStyle w:val="21"/>
              <w:spacing w:line="360" w:lineRule="auto"/>
              <w:rPr>
                <w:rFonts w:hint="eastAsia" w:hAnsi="宋体" w:eastAsia="宋体"/>
                <w:color w:val="auto"/>
                <w:szCs w:val="21"/>
                <w:highlight w:val="none"/>
                <w:lang w:val="en-US" w:eastAsia="zh-CN"/>
              </w:rPr>
            </w:pPr>
            <w:r>
              <w:rPr>
                <w:rFonts w:hint="eastAsia" w:hAnsi="宋体" w:eastAsia="宋体"/>
                <w:color w:val="auto"/>
                <w:szCs w:val="21"/>
                <w:highlight w:val="none"/>
                <w:lang w:val="en-US" w:eastAsia="zh-CN"/>
              </w:rPr>
              <w:t>合计</w:t>
            </w:r>
          </w:p>
        </w:tc>
        <w:tc>
          <w:tcPr>
            <w:tcW w:w="173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r>
              <w:rPr>
                <w:rFonts w:hint="eastAsia" w:ascii="宋体" w:hAnsi="宋体"/>
                <w:color w:val="auto"/>
                <w:highlight w:val="none"/>
              </w:rPr>
              <w:t>小写：</w:t>
            </w:r>
          </w:p>
          <w:p>
            <w:pPr>
              <w:rPr>
                <w:rFonts w:ascii="宋体" w:hAnsi="宋体"/>
                <w:color w:val="auto"/>
                <w:highlight w:val="none"/>
              </w:rPr>
            </w:pPr>
          </w:p>
          <w:p>
            <w:pPr>
              <w:rPr>
                <w:rFonts w:hint="eastAsia" w:ascii="宋体" w:hAnsi="宋体"/>
                <w:color w:val="auto"/>
                <w:highlight w:val="none"/>
              </w:rPr>
            </w:pPr>
            <w:r>
              <w:rPr>
                <w:rFonts w:hint="eastAsia" w:ascii="宋体" w:hAnsi="宋体"/>
                <w:color w:val="auto"/>
                <w:highlight w:val="none"/>
              </w:rPr>
              <w:t>大写：</w:t>
            </w:r>
          </w:p>
        </w:tc>
        <w:tc>
          <w:tcPr>
            <w:tcW w:w="120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186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olor w:val="auto"/>
                <w:highlight w:val="none"/>
              </w:rPr>
            </w:pPr>
          </w:p>
        </w:tc>
        <w:tc>
          <w:tcPr>
            <w:tcW w:w="18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r>
              <w:rPr>
                <w:rFonts w:hint="eastAsia" w:ascii="宋体" w:hAnsi="宋体"/>
                <w:color w:val="auto"/>
                <w:highlight w:val="none"/>
              </w:rPr>
              <w:t>小写：</w:t>
            </w:r>
          </w:p>
          <w:p>
            <w:pPr>
              <w:rPr>
                <w:rFonts w:ascii="宋体" w:hAnsi="宋体"/>
                <w:color w:val="auto"/>
                <w:highlight w:val="none"/>
              </w:rPr>
            </w:pPr>
          </w:p>
          <w:p>
            <w:pPr>
              <w:rPr>
                <w:color w:val="auto"/>
                <w:highlight w:val="none"/>
              </w:rPr>
            </w:pPr>
            <w:r>
              <w:rPr>
                <w:rFonts w:hint="eastAsia" w:ascii="宋体" w:hAnsi="宋体"/>
                <w:color w:val="auto"/>
                <w:highlight w:val="none"/>
              </w:rPr>
              <w:t>大写：</w:t>
            </w:r>
          </w:p>
        </w:tc>
      </w:tr>
    </w:tbl>
    <w:p>
      <w:pPr>
        <w:spacing w:line="360" w:lineRule="auto"/>
        <w:ind w:firstLine="4200" w:firstLineChars="2000"/>
        <w:rPr>
          <w:rFonts w:hint="eastAsia" w:ascii="宋体"/>
          <w:color w:val="auto"/>
          <w:highlight w:val="none"/>
        </w:rPr>
      </w:pPr>
    </w:p>
    <w:p>
      <w:pPr>
        <w:spacing w:line="360" w:lineRule="auto"/>
        <w:ind w:firstLine="4200" w:firstLineChars="2000"/>
        <w:rPr>
          <w:rFonts w:hint="eastAsia" w:ascii="宋体"/>
          <w:color w:val="auto"/>
          <w:highlight w:val="none"/>
        </w:rPr>
      </w:pPr>
    </w:p>
    <w:p>
      <w:pPr>
        <w:spacing w:line="360" w:lineRule="auto"/>
        <w:ind w:right="90" w:firstLine="0" w:firstLineChars="0"/>
        <w:rPr>
          <w:rFonts w:ascii="宋体" w:hAnsi="宋体" w:cs="宋体"/>
          <w:color w:val="auto"/>
          <w:szCs w:val="21"/>
          <w:highlight w:val="none"/>
          <w:u w:val="singl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p>
    <w:p>
      <w:pPr>
        <w:spacing w:line="360" w:lineRule="auto"/>
        <w:ind w:firstLine="0" w:firstLineChars="0"/>
        <w:rPr>
          <w:rFonts w:ascii="宋体" w:hAnsi="宋体" w:cs="宋体"/>
          <w:color w:val="auto"/>
          <w:szCs w:val="21"/>
          <w:highlight w:val="none"/>
          <w:u w:val="single"/>
        </w:rPr>
      </w:pPr>
      <w:r>
        <w:rPr>
          <w:rFonts w:hint="eastAsia" w:ascii="宋体" w:hAnsi="宋体" w:cs="宋体"/>
          <w:color w:val="auto"/>
          <w:szCs w:val="21"/>
          <w:highlight w:val="none"/>
        </w:rPr>
        <w:t>法定代表人或</w:t>
      </w:r>
      <w:r>
        <w:rPr>
          <w:rFonts w:hint="eastAsia" w:cs="宋体" w:asciiTheme="minorEastAsia" w:hAnsiTheme="minorEastAsia" w:eastAsiaTheme="minorEastAsia"/>
          <w:color w:val="auto"/>
          <w:szCs w:val="21"/>
          <w:highlight w:val="none"/>
        </w:rPr>
        <w:t>其委托代理人</w:t>
      </w:r>
      <w:r>
        <w:rPr>
          <w:rFonts w:hint="eastAsia" w:ascii="宋体" w:hAnsi="宋体" w:cs="宋体"/>
          <w:color w:val="auto"/>
          <w:szCs w:val="21"/>
          <w:highlight w:val="none"/>
        </w:rPr>
        <w:t>（签字或盖章）：</w:t>
      </w:r>
      <w:r>
        <w:rPr>
          <w:rFonts w:hint="eastAsia" w:ascii="宋体" w:hAnsi="宋体" w:cs="宋体"/>
          <w:color w:val="auto"/>
          <w:szCs w:val="21"/>
          <w:highlight w:val="none"/>
          <w:u w:val="single"/>
        </w:rPr>
        <w:t xml:space="preserve">                  </w:t>
      </w:r>
    </w:p>
    <w:p>
      <w:pPr>
        <w:pStyle w:val="2"/>
        <w:ind w:left="0" w:leftChars="0" w:firstLine="0" w:firstLineChars="0"/>
        <w:rPr>
          <w:rFonts w:hint="default"/>
          <w:color w:val="auto"/>
          <w:highlight w:val="none"/>
          <w:lang w:val="en-US" w:eastAsia="zh-CN"/>
        </w:rPr>
      </w:pPr>
      <w:r>
        <w:rPr>
          <w:rFonts w:hint="eastAsia" w:ascii="宋体" w:hAnsi="宋体" w:cs="宋体"/>
          <w:color w:val="auto"/>
          <w:highlight w:val="none"/>
        </w:rPr>
        <w:t>日期：      年   月   日</w:t>
      </w:r>
    </w:p>
    <w:p>
      <w:pPr>
        <w:pStyle w:val="2"/>
        <w:rPr>
          <w:rFonts w:hint="default"/>
          <w:color w:val="auto"/>
          <w:highlight w:val="none"/>
          <w:lang w:val="en-US" w:eastAsia="zh-CN"/>
        </w:rPr>
      </w:pPr>
    </w:p>
    <w:p>
      <w:pPr>
        <w:pStyle w:val="74"/>
        <w:rPr>
          <w:rFonts w:hint="eastAsia"/>
          <w:color w:val="auto"/>
          <w:highlight w:val="none"/>
        </w:rPr>
        <w:sectPr>
          <w:footerReference r:id="rId21" w:type="default"/>
          <w:endnotePr>
            <w:numFmt w:val="decimal"/>
          </w:endnotePr>
          <w:pgSz w:w="11906" w:h="16838"/>
          <w:pgMar w:top="1440" w:right="1800" w:bottom="1440" w:left="1800" w:header="0" w:footer="850" w:gutter="0"/>
          <w:pgNumType w:fmt="decimal"/>
          <w:cols w:space="720" w:num="1"/>
          <w:docGrid w:linePitch="286" w:charSpace="0"/>
        </w:sectPr>
      </w:pPr>
    </w:p>
    <w:p>
      <w:pPr>
        <w:pStyle w:val="6"/>
        <w:spacing w:before="0" w:after="200" w:line="240" w:lineRule="auto"/>
        <w:ind w:left="0"/>
        <w:jc w:val="left"/>
        <w:rPr>
          <w:rFonts w:hint="eastAsia" w:ascii="宋体" w:hAnsi="宋体" w:eastAsia="宋体" w:cs="宋体"/>
          <w:b/>
          <w:color w:val="auto"/>
          <w:sz w:val="24"/>
          <w:szCs w:val="24"/>
          <w:highlight w:val="none"/>
          <w:lang w:val="en-US" w:eastAsia="zh-CN"/>
        </w:rPr>
      </w:pPr>
      <w:bookmarkStart w:id="276" w:name="_Toc28955"/>
      <w:bookmarkStart w:id="277" w:name="_Toc963748657"/>
      <w:r>
        <w:rPr>
          <w:rFonts w:hint="eastAsia" w:ascii="宋体" w:hAnsi="宋体" w:eastAsia="宋体" w:cs="宋体"/>
          <w:b/>
          <w:color w:val="auto"/>
          <w:sz w:val="24"/>
          <w:szCs w:val="24"/>
          <w:highlight w:val="none"/>
          <w:lang w:eastAsia="zh-CN"/>
        </w:rPr>
        <w:t>格式十</w:t>
      </w:r>
      <w:r>
        <w:rPr>
          <w:rFonts w:hint="eastAsia" w:ascii="宋体" w:hAnsi="宋体" w:cs="宋体"/>
          <w:b/>
          <w:color w:val="auto"/>
          <w:sz w:val="24"/>
          <w:szCs w:val="24"/>
          <w:highlight w:val="none"/>
          <w:lang w:val="en-US" w:eastAsia="zh-CN"/>
        </w:rPr>
        <w:t>五</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其他部分</w:t>
      </w:r>
      <w:r>
        <w:rPr>
          <w:rFonts w:hint="eastAsia" w:ascii="宋体" w:hAnsi="宋体" w:eastAsia="宋体" w:cs="宋体"/>
          <w:b/>
          <w:color w:val="auto"/>
          <w:sz w:val="24"/>
          <w:highlight w:val="none"/>
        </w:rPr>
        <w:t>服务投标报价表</w:t>
      </w:r>
      <w:r>
        <w:rPr>
          <w:rFonts w:hint="eastAsia" w:ascii="宋体" w:hAnsi="宋体" w:cs="宋体"/>
          <w:b/>
          <w:color w:val="auto"/>
          <w:sz w:val="24"/>
          <w:highlight w:val="none"/>
          <w:lang w:eastAsia="zh-CN"/>
        </w:rPr>
        <w:t>及</w:t>
      </w:r>
      <w:r>
        <w:rPr>
          <w:rFonts w:hint="eastAsia" w:ascii="宋体" w:hAnsi="宋体" w:eastAsia="宋体" w:cs="宋体"/>
          <w:b/>
          <w:color w:val="auto"/>
          <w:sz w:val="24"/>
          <w:highlight w:val="none"/>
        </w:rPr>
        <w:t>清单报价明细表</w:t>
      </w:r>
      <w:bookmarkEnd w:id="276"/>
      <w:bookmarkEnd w:id="277"/>
    </w:p>
    <w:p>
      <w:pPr>
        <w:pStyle w:val="21"/>
        <w:spacing w:line="360" w:lineRule="auto"/>
        <w:jc w:val="center"/>
        <w:rPr>
          <w:rFonts w:hAnsi="宋体" w:eastAsia="宋体"/>
          <w:b/>
          <w:color w:val="auto"/>
          <w:sz w:val="32"/>
          <w:szCs w:val="22"/>
          <w:highlight w:val="none"/>
        </w:rPr>
      </w:pPr>
      <w:r>
        <w:rPr>
          <w:rFonts w:hint="eastAsia" w:hAnsi="宋体"/>
          <w:b/>
          <w:color w:val="auto"/>
          <w:sz w:val="32"/>
          <w:szCs w:val="22"/>
          <w:highlight w:val="none"/>
          <w:lang w:eastAsia="zh-CN"/>
        </w:rPr>
        <w:t>其他部分</w:t>
      </w:r>
      <w:r>
        <w:rPr>
          <w:rFonts w:hint="eastAsia" w:hAnsi="宋体" w:eastAsia="宋体"/>
          <w:b/>
          <w:color w:val="auto"/>
          <w:sz w:val="32"/>
          <w:szCs w:val="22"/>
          <w:highlight w:val="none"/>
        </w:rPr>
        <w:t>服务投标报价表</w:t>
      </w:r>
    </w:p>
    <w:p>
      <w:pPr>
        <w:pStyle w:val="21"/>
        <w:spacing w:line="360" w:lineRule="auto"/>
        <w:rPr>
          <w:rFonts w:hint="eastAsia" w:hAnsi="宋体" w:eastAsia="宋体"/>
          <w:color w:val="auto"/>
          <w:szCs w:val="21"/>
          <w:highlight w:val="none"/>
        </w:rPr>
      </w:pPr>
      <w:r>
        <w:rPr>
          <w:rFonts w:hint="eastAsia" w:hAnsi="宋体" w:eastAsia="宋体"/>
          <w:color w:val="auto"/>
          <w:szCs w:val="21"/>
          <w:highlight w:val="none"/>
        </w:rPr>
        <w:t>项目名称：</w:t>
      </w:r>
      <w:r>
        <w:rPr>
          <w:rFonts w:hint="eastAsia" w:hAnsi="宋体"/>
          <w:color w:val="auto"/>
          <w:szCs w:val="21"/>
          <w:highlight w:val="none"/>
          <w:lang w:eastAsia="zh-CN"/>
        </w:rPr>
        <w:t>白云恒运天然气发电项目燃气管线工程其他部分</w:t>
      </w:r>
      <w:r>
        <w:rPr>
          <w:rFonts w:hint="eastAsia" w:hAnsi="宋体" w:eastAsia="宋体"/>
          <w:color w:val="auto"/>
          <w:szCs w:val="21"/>
          <w:highlight w:val="none"/>
        </w:rPr>
        <w:t>服务</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2401"/>
        <w:gridCol w:w="1950"/>
        <w:gridCol w:w="1353"/>
        <w:gridCol w:w="2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20"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auto"/>
                <w:highlight w:val="none"/>
              </w:rPr>
            </w:pPr>
            <w:r>
              <w:rPr>
                <w:rFonts w:hint="eastAsia" w:ascii="宋体" w:hAnsi="宋体"/>
                <w:color w:val="auto"/>
                <w:highlight w:val="none"/>
              </w:rPr>
              <w:t>序号</w:t>
            </w:r>
          </w:p>
        </w:tc>
        <w:tc>
          <w:tcPr>
            <w:tcW w:w="1409"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auto"/>
                <w:highlight w:val="none"/>
              </w:rPr>
            </w:pPr>
            <w:r>
              <w:rPr>
                <w:rFonts w:hint="eastAsia" w:ascii="宋体" w:hAnsi="宋体"/>
                <w:color w:val="auto"/>
                <w:highlight w:val="none"/>
              </w:rPr>
              <w:t>标的名称</w:t>
            </w:r>
          </w:p>
        </w:tc>
        <w:tc>
          <w:tcPr>
            <w:tcW w:w="114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r>
              <w:rPr>
                <w:rFonts w:hint="eastAsia" w:ascii="宋体" w:hAnsi="宋体"/>
                <w:color w:val="auto"/>
                <w:highlight w:val="none"/>
              </w:rPr>
              <w:t>含增值税总报价</w:t>
            </w:r>
          </w:p>
          <w:p>
            <w:pPr>
              <w:jc w:val="center"/>
              <w:rPr>
                <w:rFonts w:ascii="宋体" w:hAnsi="宋体"/>
                <w:color w:val="auto"/>
                <w:highlight w:val="none"/>
              </w:rPr>
            </w:pPr>
            <w:r>
              <w:rPr>
                <w:rFonts w:hint="eastAsia" w:ascii="宋体" w:hAnsi="宋体"/>
                <w:color w:val="auto"/>
                <w:highlight w:val="none"/>
              </w:rPr>
              <w:t>（元）</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r>
              <w:rPr>
                <w:rFonts w:hint="eastAsia" w:ascii="宋体" w:hAnsi="宋体"/>
                <w:color w:val="auto"/>
                <w:highlight w:val="none"/>
              </w:rPr>
              <w:t>增值税税率（%）</w:t>
            </w:r>
          </w:p>
        </w:tc>
        <w:tc>
          <w:tcPr>
            <w:tcW w:w="1231"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r>
              <w:rPr>
                <w:rFonts w:hint="eastAsia" w:ascii="宋体" w:hAnsi="宋体"/>
                <w:color w:val="auto"/>
                <w:highlight w:val="none"/>
              </w:rPr>
              <w:t>不含增值税总报价</w:t>
            </w:r>
          </w:p>
          <w:p>
            <w:pPr>
              <w:jc w:val="center"/>
              <w:rPr>
                <w:rFonts w:ascii="宋体" w:hAnsi="宋体"/>
                <w:color w:val="auto"/>
                <w:highlight w:val="none"/>
              </w:rPr>
            </w:pPr>
            <w:r>
              <w:rPr>
                <w:rFonts w:hint="eastAsia" w:ascii="宋体" w:hAnsi="宋体"/>
                <w:color w:val="auto"/>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420" w:type="pct"/>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r>
              <w:rPr>
                <w:rFonts w:hint="eastAsia" w:ascii="宋体" w:hAnsi="宋体"/>
                <w:color w:val="auto"/>
                <w:highlight w:val="none"/>
              </w:rPr>
              <w:t>1</w:t>
            </w:r>
          </w:p>
        </w:tc>
        <w:tc>
          <w:tcPr>
            <w:tcW w:w="1409" w:type="pct"/>
            <w:tcBorders>
              <w:top w:val="single" w:color="auto" w:sz="4" w:space="0"/>
              <w:left w:val="single" w:color="auto" w:sz="4" w:space="0"/>
              <w:bottom w:val="single" w:color="auto" w:sz="4" w:space="0"/>
              <w:right w:val="single" w:color="auto" w:sz="4" w:space="0"/>
            </w:tcBorders>
            <w:vAlign w:val="center"/>
          </w:tcPr>
          <w:p>
            <w:pPr>
              <w:pStyle w:val="21"/>
              <w:spacing w:line="360" w:lineRule="auto"/>
              <w:rPr>
                <w:rFonts w:hAnsi="宋体" w:eastAsia="宋体"/>
                <w:color w:val="auto"/>
                <w:szCs w:val="21"/>
                <w:highlight w:val="none"/>
              </w:rPr>
            </w:pPr>
            <w:r>
              <w:rPr>
                <w:rFonts w:hint="eastAsia" w:hAnsi="宋体"/>
                <w:color w:val="auto"/>
                <w:szCs w:val="21"/>
                <w:highlight w:val="none"/>
                <w:lang w:eastAsia="zh-CN"/>
              </w:rPr>
              <w:t>白云恒运天然气发电项目燃气管线工程其他部分</w:t>
            </w:r>
            <w:r>
              <w:rPr>
                <w:rFonts w:hint="eastAsia" w:hAnsi="宋体" w:eastAsia="宋体"/>
                <w:color w:val="auto"/>
                <w:szCs w:val="21"/>
                <w:highlight w:val="none"/>
              </w:rPr>
              <w:t>服务</w:t>
            </w:r>
          </w:p>
        </w:tc>
        <w:tc>
          <w:tcPr>
            <w:tcW w:w="1144" w:type="pct"/>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r>
              <w:rPr>
                <w:rFonts w:hint="eastAsia" w:ascii="宋体" w:hAnsi="宋体"/>
                <w:color w:val="auto"/>
                <w:highlight w:val="none"/>
              </w:rPr>
              <w:t>小写：</w:t>
            </w:r>
          </w:p>
          <w:p>
            <w:pPr>
              <w:rPr>
                <w:rFonts w:ascii="宋体" w:hAnsi="宋体"/>
                <w:color w:val="auto"/>
                <w:highlight w:val="none"/>
              </w:rPr>
            </w:pPr>
          </w:p>
          <w:p>
            <w:pPr>
              <w:rPr>
                <w:rFonts w:ascii="宋体" w:hAnsi="宋体"/>
                <w:color w:val="auto"/>
                <w:highlight w:val="none"/>
              </w:rPr>
            </w:pPr>
            <w:r>
              <w:rPr>
                <w:rFonts w:hint="eastAsia" w:ascii="宋体" w:hAnsi="宋体"/>
                <w:color w:val="auto"/>
                <w:highlight w:val="none"/>
              </w:rPr>
              <w:t>大写：</w:t>
            </w:r>
          </w:p>
        </w:tc>
        <w:tc>
          <w:tcPr>
            <w:tcW w:w="794" w:type="pct"/>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1231" w:type="pct"/>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r>
              <w:rPr>
                <w:rFonts w:hint="eastAsia" w:ascii="宋体" w:hAnsi="宋体"/>
                <w:color w:val="auto"/>
                <w:highlight w:val="none"/>
              </w:rPr>
              <w:t>小写：</w:t>
            </w:r>
          </w:p>
          <w:p>
            <w:pPr>
              <w:rPr>
                <w:rFonts w:ascii="宋体" w:hAnsi="宋体"/>
                <w:color w:val="auto"/>
                <w:highlight w:val="none"/>
              </w:rPr>
            </w:pPr>
          </w:p>
          <w:p>
            <w:pPr>
              <w:rPr>
                <w:rFonts w:ascii="宋体" w:hAnsi="宋体"/>
                <w:color w:val="auto"/>
                <w:highlight w:val="none"/>
              </w:rPr>
            </w:pPr>
            <w:r>
              <w:rPr>
                <w:rFonts w:hint="eastAsia" w:ascii="宋体" w:hAnsi="宋体"/>
                <w:color w:val="auto"/>
                <w:highlight w:val="none"/>
              </w:rPr>
              <w:t>大写：</w:t>
            </w:r>
          </w:p>
        </w:tc>
      </w:tr>
    </w:tbl>
    <w:p>
      <w:pPr>
        <w:spacing w:line="400" w:lineRule="exact"/>
        <w:rPr>
          <w:rFonts w:ascii="宋体" w:hAnsi="宋体"/>
          <w:b/>
          <w:bCs/>
          <w:color w:val="auto"/>
          <w:highlight w:val="none"/>
        </w:rPr>
      </w:pPr>
      <w:r>
        <w:rPr>
          <w:rFonts w:hint="eastAsia" w:ascii="宋体" w:hAnsi="宋体"/>
          <w:b/>
          <w:bCs/>
          <w:color w:val="auto"/>
          <w:highlight w:val="none"/>
        </w:rPr>
        <w:t>备注：</w:t>
      </w:r>
    </w:p>
    <w:p>
      <w:pPr>
        <w:spacing w:line="360" w:lineRule="auto"/>
        <w:rPr>
          <w:rFonts w:ascii="宋体" w:hAnsi="宋体"/>
          <w:color w:val="auto"/>
          <w:highlight w:val="none"/>
        </w:rPr>
      </w:pPr>
      <w:r>
        <w:rPr>
          <w:rFonts w:hint="eastAsia" w:ascii="宋体" w:hAnsi="宋体"/>
          <w:color w:val="auto"/>
          <w:highlight w:val="none"/>
        </w:rPr>
        <w:t>1、投标人须按要求填写所有信息，不得随意更改本表格式。</w:t>
      </w:r>
    </w:p>
    <w:p>
      <w:pPr>
        <w:tabs>
          <w:tab w:val="left" w:pos="378"/>
          <w:tab w:val="left" w:pos="840"/>
          <w:tab w:val="left" w:pos="1620"/>
        </w:tabs>
        <w:snapToGrid w:val="0"/>
        <w:spacing w:line="360" w:lineRule="auto"/>
        <w:rPr>
          <w:rFonts w:ascii="宋体" w:hAnsi="宋体"/>
          <w:color w:val="auto"/>
          <w:highlight w:val="none"/>
        </w:rPr>
      </w:pPr>
      <w:r>
        <w:rPr>
          <w:rFonts w:hint="eastAsia" w:ascii="宋体" w:hAnsi="宋体"/>
          <w:color w:val="auto"/>
          <w:highlight w:val="none"/>
        </w:rPr>
        <w:t>2、此表是投标文件的必要文件，是投标文件的组成部分。</w:t>
      </w:r>
    </w:p>
    <w:p>
      <w:pPr>
        <w:autoSpaceDE w:val="0"/>
        <w:autoSpaceDN w:val="0"/>
        <w:adjustRightInd w:val="0"/>
        <w:spacing w:line="360" w:lineRule="auto"/>
        <w:rPr>
          <w:rFonts w:ascii="宋体" w:hAnsi="宋体" w:cs="宋体"/>
          <w:color w:val="auto"/>
          <w:highlight w:val="none"/>
        </w:rPr>
      </w:pPr>
      <w:r>
        <w:rPr>
          <w:rFonts w:hint="eastAsia" w:ascii="宋体" w:hAnsi="宋体" w:cs="宋体"/>
          <w:color w:val="auto"/>
          <w:highlight w:val="none"/>
        </w:rPr>
        <w:t>3、由投标人根据招标文件、现场勘察等进行投标报价。</w:t>
      </w:r>
    </w:p>
    <w:p>
      <w:pPr>
        <w:tabs>
          <w:tab w:val="left" w:pos="378"/>
          <w:tab w:val="left" w:pos="840"/>
          <w:tab w:val="left" w:pos="1620"/>
        </w:tabs>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本工程</w:t>
      </w:r>
      <w:r>
        <w:rPr>
          <w:rFonts w:hint="eastAsia" w:ascii="宋体" w:hAnsi="宋体" w:cs="宋体"/>
          <w:color w:val="auto"/>
          <w:highlight w:val="none"/>
          <w:lang w:val="en-US" w:eastAsia="zh-CN"/>
        </w:rPr>
        <w:t>其他部分服务</w:t>
      </w:r>
      <w:r>
        <w:rPr>
          <w:rFonts w:hint="eastAsia" w:ascii="宋体" w:hAnsi="宋体" w:cs="宋体"/>
          <w:color w:val="auto"/>
          <w:highlight w:val="none"/>
        </w:rPr>
        <w:t>采用按项目</w:t>
      </w:r>
      <w:r>
        <w:rPr>
          <w:rFonts w:hint="eastAsia" w:ascii="宋体" w:hAnsi="宋体" w:cs="宋体"/>
          <w:b w:val="0"/>
          <w:bCs w:val="0"/>
          <w:color w:val="auto"/>
          <w:highlight w:val="none"/>
        </w:rPr>
        <w:t>总价包干，投标人必须提供清单报价明细表，投标人根据招标文件及合同要求，结合踏勘现场实际情况等，填</w:t>
      </w:r>
      <w:r>
        <w:rPr>
          <w:rFonts w:hint="eastAsia" w:ascii="宋体" w:hAnsi="宋体" w:cs="宋体"/>
          <w:color w:val="auto"/>
          <w:highlight w:val="none"/>
        </w:rPr>
        <w:t>报清单报价明细表中的补偿内容综合单价（综合单价包含成本、利润、税金等一切费用）和合价等。投标人报价必须综合考虑工程中所有费用及风险，报包干价，除招标文件另有约定外，在工程实施过程中将不予变更；每一条清单只允许有一个报价，任何有选择的报价将不予接受。投标人未填报单价和合价的工程项目，视为该项费用已包括在其他有价款的单价或合价内，在实施后，招标人将不予以另外支付。</w:t>
      </w:r>
    </w:p>
    <w:p>
      <w:pPr>
        <w:tabs>
          <w:tab w:val="left" w:pos="378"/>
          <w:tab w:val="left" w:pos="840"/>
          <w:tab w:val="left" w:pos="1620"/>
        </w:tabs>
        <w:snapToGrid w:val="0"/>
        <w:spacing w:line="360" w:lineRule="auto"/>
        <w:rPr>
          <w:rFonts w:ascii="宋体" w:hAnsi="宋体"/>
          <w:b/>
          <w:bCs/>
          <w:color w:val="auto"/>
          <w:highlight w:val="none"/>
        </w:rPr>
      </w:pPr>
      <w:r>
        <w:rPr>
          <w:rFonts w:ascii="宋体" w:hAnsi="宋体" w:cs="宋体"/>
          <w:color w:val="auto"/>
          <w:highlight w:val="none"/>
        </w:rPr>
        <w:t>5、本项目报价单位为元，按四舍五入保留小数点后两位。</w:t>
      </w:r>
    </w:p>
    <w:p>
      <w:pPr>
        <w:pStyle w:val="21"/>
        <w:spacing w:line="360" w:lineRule="auto"/>
        <w:ind w:firstLine="3990"/>
        <w:rPr>
          <w:rFonts w:hAnsi="宋体"/>
          <w:color w:val="auto"/>
          <w:highlight w:val="none"/>
        </w:rPr>
      </w:pPr>
    </w:p>
    <w:p>
      <w:pPr>
        <w:spacing w:line="360" w:lineRule="auto"/>
        <w:ind w:firstLine="4200" w:firstLineChars="2000"/>
        <w:rPr>
          <w:rFonts w:hint="eastAsia" w:ascii="宋体"/>
          <w:color w:val="auto"/>
          <w:highlight w:val="none"/>
        </w:rPr>
      </w:pPr>
    </w:p>
    <w:p>
      <w:pPr>
        <w:spacing w:line="360" w:lineRule="auto"/>
        <w:ind w:firstLine="4200" w:firstLineChars="2000"/>
        <w:rPr>
          <w:rFonts w:hint="eastAsia" w:ascii="宋体"/>
          <w:color w:val="auto"/>
          <w:highlight w:val="none"/>
        </w:rPr>
      </w:pPr>
    </w:p>
    <w:p>
      <w:pPr>
        <w:spacing w:line="360" w:lineRule="auto"/>
        <w:ind w:firstLine="4200" w:firstLineChars="2000"/>
        <w:rPr>
          <w:rFonts w:hint="eastAsia" w:ascii="宋体"/>
          <w:color w:val="auto"/>
          <w:highlight w:val="none"/>
        </w:rPr>
      </w:pPr>
    </w:p>
    <w:p>
      <w:pPr>
        <w:spacing w:line="360" w:lineRule="auto"/>
        <w:ind w:right="90" w:firstLine="0" w:firstLineChars="0"/>
        <w:rPr>
          <w:rFonts w:ascii="宋体" w:hAnsi="宋体" w:cs="宋体"/>
          <w:color w:val="auto"/>
          <w:szCs w:val="21"/>
          <w:highlight w:val="none"/>
          <w:u w:val="singl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p>
    <w:p>
      <w:pPr>
        <w:spacing w:line="360" w:lineRule="auto"/>
        <w:ind w:firstLine="0" w:firstLineChars="0"/>
        <w:rPr>
          <w:rFonts w:ascii="宋体" w:hAnsi="宋体" w:cs="宋体"/>
          <w:color w:val="auto"/>
          <w:szCs w:val="21"/>
          <w:highlight w:val="none"/>
          <w:u w:val="single"/>
        </w:rPr>
      </w:pPr>
      <w:r>
        <w:rPr>
          <w:rFonts w:hint="eastAsia" w:ascii="宋体" w:hAnsi="宋体" w:cs="宋体"/>
          <w:color w:val="auto"/>
          <w:szCs w:val="21"/>
          <w:highlight w:val="none"/>
        </w:rPr>
        <w:t>法定代表人或</w:t>
      </w:r>
      <w:r>
        <w:rPr>
          <w:rFonts w:hint="eastAsia" w:cs="宋体" w:asciiTheme="minorEastAsia" w:hAnsiTheme="minorEastAsia" w:eastAsiaTheme="minorEastAsia"/>
          <w:color w:val="auto"/>
          <w:szCs w:val="21"/>
          <w:highlight w:val="none"/>
        </w:rPr>
        <w:t>其委托代理人</w:t>
      </w:r>
      <w:r>
        <w:rPr>
          <w:rFonts w:hint="eastAsia" w:ascii="宋体" w:hAnsi="宋体" w:cs="宋体"/>
          <w:color w:val="auto"/>
          <w:szCs w:val="21"/>
          <w:highlight w:val="none"/>
        </w:rPr>
        <w:t>（签字或盖章）：</w:t>
      </w:r>
      <w:r>
        <w:rPr>
          <w:rFonts w:hint="eastAsia" w:ascii="宋体" w:hAnsi="宋体" w:cs="宋体"/>
          <w:color w:val="auto"/>
          <w:szCs w:val="21"/>
          <w:highlight w:val="none"/>
          <w:u w:val="single"/>
        </w:rPr>
        <w:t xml:space="preserve">                  </w:t>
      </w:r>
    </w:p>
    <w:p>
      <w:pPr>
        <w:pStyle w:val="2"/>
        <w:ind w:left="0" w:leftChars="0" w:firstLine="0" w:firstLineChars="0"/>
        <w:rPr>
          <w:rFonts w:hint="eastAsia" w:hAnsi="Calibri" w:eastAsia="宋体"/>
          <w:color w:val="auto"/>
          <w:szCs w:val="21"/>
          <w:highlight w:val="none"/>
        </w:rPr>
      </w:pPr>
      <w:r>
        <w:rPr>
          <w:rFonts w:hint="eastAsia" w:ascii="宋体" w:hAnsi="宋体" w:cs="宋体"/>
          <w:color w:val="auto"/>
          <w:highlight w:val="none"/>
        </w:rPr>
        <w:t>日期：      年   月   日</w:t>
      </w:r>
    </w:p>
    <w:p>
      <w:pPr>
        <w:pStyle w:val="2"/>
        <w:ind w:left="0" w:leftChars="0" w:firstLine="0" w:firstLineChars="0"/>
        <w:rPr>
          <w:rFonts w:hint="default"/>
          <w:color w:val="auto"/>
          <w:highlight w:val="none"/>
          <w:lang w:val="en-US" w:eastAsia="zh-CN"/>
        </w:rPr>
      </w:pPr>
    </w:p>
    <w:p>
      <w:pPr>
        <w:pStyle w:val="74"/>
        <w:rPr>
          <w:rFonts w:hint="eastAsia"/>
          <w:color w:val="auto"/>
          <w:highlight w:val="none"/>
        </w:rPr>
        <w:sectPr>
          <w:endnotePr>
            <w:numFmt w:val="decimal"/>
          </w:endnotePr>
          <w:pgSz w:w="11906" w:h="16838"/>
          <w:pgMar w:top="1440" w:right="1800" w:bottom="1440" w:left="1800" w:header="0" w:footer="850" w:gutter="0"/>
          <w:pgNumType w:fmt="decimal"/>
          <w:cols w:space="720" w:num="1"/>
          <w:docGrid w:linePitch="286" w:charSpace="0"/>
        </w:sectPr>
      </w:pPr>
    </w:p>
    <w:p>
      <w:pPr>
        <w:pStyle w:val="21"/>
        <w:spacing w:line="360" w:lineRule="auto"/>
        <w:jc w:val="center"/>
        <w:rPr>
          <w:rFonts w:hAnsi="宋体" w:eastAsia="宋体"/>
          <w:b/>
          <w:color w:val="auto"/>
          <w:sz w:val="32"/>
          <w:szCs w:val="22"/>
          <w:highlight w:val="none"/>
        </w:rPr>
      </w:pPr>
      <w:r>
        <w:rPr>
          <w:rFonts w:hint="eastAsia" w:hAnsi="宋体"/>
          <w:b/>
          <w:color w:val="auto"/>
          <w:sz w:val="32"/>
          <w:szCs w:val="22"/>
          <w:highlight w:val="none"/>
          <w:lang w:eastAsia="zh-CN"/>
        </w:rPr>
        <w:t>其他部分</w:t>
      </w:r>
      <w:r>
        <w:rPr>
          <w:rFonts w:hint="eastAsia" w:hAnsi="宋体" w:eastAsia="宋体"/>
          <w:b/>
          <w:color w:val="auto"/>
          <w:sz w:val="32"/>
          <w:szCs w:val="22"/>
          <w:highlight w:val="none"/>
        </w:rPr>
        <w:t>服务清单报价明细表</w:t>
      </w:r>
    </w:p>
    <w:tbl>
      <w:tblPr>
        <w:tblStyle w:val="38"/>
        <w:tblW w:w="4997" w:type="pct"/>
        <w:jc w:val="center"/>
        <w:tblLayout w:type="autofit"/>
        <w:tblCellMar>
          <w:top w:w="0" w:type="dxa"/>
          <w:left w:w="108" w:type="dxa"/>
          <w:bottom w:w="0" w:type="dxa"/>
          <w:right w:w="108" w:type="dxa"/>
        </w:tblCellMar>
      </w:tblPr>
      <w:tblGrid>
        <w:gridCol w:w="685"/>
        <w:gridCol w:w="2747"/>
        <w:gridCol w:w="764"/>
        <w:gridCol w:w="726"/>
        <w:gridCol w:w="1190"/>
        <w:gridCol w:w="1190"/>
        <w:gridCol w:w="1215"/>
      </w:tblGrid>
      <w:tr>
        <w:tblPrEx>
          <w:tblCellMar>
            <w:top w:w="0" w:type="dxa"/>
            <w:left w:w="108" w:type="dxa"/>
            <w:bottom w:w="0" w:type="dxa"/>
            <w:right w:w="108" w:type="dxa"/>
          </w:tblCellMar>
        </w:tblPrEx>
        <w:trPr>
          <w:trHeight w:val="690" w:hRule="atLeast"/>
          <w:jc w:val="center"/>
        </w:trPr>
        <w:tc>
          <w:tcPr>
            <w:tcW w:w="402"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序号</w:t>
            </w:r>
          </w:p>
        </w:tc>
        <w:tc>
          <w:tcPr>
            <w:tcW w:w="1612" w:type="pct"/>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lang w:val="en-US" w:eastAsia="zh-CN"/>
              </w:rPr>
              <w:t>项目</w:t>
            </w:r>
          </w:p>
        </w:tc>
        <w:tc>
          <w:tcPr>
            <w:tcW w:w="448" w:type="pct"/>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单位</w:t>
            </w:r>
          </w:p>
        </w:tc>
        <w:tc>
          <w:tcPr>
            <w:tcW w:w="426" w:type="pct"/>
            <w:tcBorders>
              <w:top w:val="single" w:color="auto" w:sz="4" w:space="0"/>
              <w:left w:val="nil"/>
              <w:bottom w:val="single" w:color="auto" w:sz="4" w:space="0"/>
              <w:right w:val="single" w:color="auto" w:sz="4" w:space="0"/>
            </w:tcBorders>
            <w:vAlign w:val="center"/>
          </w:tcPr>
          <w:p>
            <w:pPr>
              <w:spacing w:line="360" w:lineRule="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数量</w:t>
            </w:r>
          </w:p>
        </w:tc>
        <w:tc>
          <w:tcPr>
            <w:tcW w:w="698" w:type="pct"/>
            <w:tcBorders>
              <w:top w:val="single" w:color="auto" w:sz="4" w:space="0"/>
              <w:left w:val="nil"/>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综合单价（元）</w:t>
            </w:r>
          </w:p>
        </w:tc>
        <w:tc>
          <w:tcPr>
            <w:tcW w:w="698" w:type="pct"/>
            <w:tcBorders>
              <w:top w:val="single" w:color="auto" w:sz="4" w:space="0"/>
              <w:left w:val="nil"/>
              <w:bottom w:val="single" w:color="auto" w:sz="4" w:space="0"/>
              <w:right w:val="single" w:color="auto" w:sz="4" w:space="0"/>
            </w:tcBorders>
            <w:vAlign w:val="center"/>
          </w:tcPr>
          <w:p>
            <w:pPr>
              <w:spacing w:line="360" w:lineRule="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合价（元）</w:t>
            </w:r>
          </w:p>
        </w:tc>
        <w:tc>
          <w:tcPr>
            <w:tcW w:w="713" w:type="pct"/>
            <w:tcBorders>
              <w:top w:val="single" w:color="auto" w:sz="4" w:space="0"/>
              <w:left w:val="nil"/>
              <w:bottom w:val="single" w:color="auto" w:sz="4" w:space="0"/>
              <w:right w:val="single" w:color="auto" w:sz="4" w:space="0"/>
            </w:tcBorders>
            <w:vAlign w:val="center"/>
          </w:tcPr>
          <w:p>
            <w:pPr>
              <w:spacing w:line="360" w:lineRule="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备注</w:t>
            </w:r>
          </w:p>
        </w:tc>
      </w:tr>
      <w:tr>
        <w:tblPrEx>
          <w:tblCellMar>
            <w:top w:w="0" w:type="dxa"/>
            <w:left w:w="108" w:type="dxa"/>
            <w:bottom w:w="0" w:type="dxa"/>
            <w:right w:w="108" w:type="dxa"/>
          </w:tblCellMar>
        </w:tblPrEx>
        <w:trPr>
          <w:trHeight w:val="270" w:hRule="atLeast"/>
          <w:jc w:val="center"/>
        </w:trPr>
        <w:tc>
          <w:tcPr>
            <w:tcW w:w="402" w:type="pct"/>
            <w:tcBorders>
              <w:top w:val="nil"/>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1</w:t>
            </w:r>
          </w:p>
        </w:tc>
        <w:tc>
          <w:tcPr>
            <w:tcW w:w="1612" w:type="pct"/>
            <w:tcBorders>
              <w:top w:val="nil"/>
              <w:left w:val="nil"/>
              <w:bottom w:val="single" w:color="auto" w:sz="4" w:space="0"/>
              <w:right w:val="single" w:color="auto" w:sz="4" w:space="0"/>
            </w:tcBorders>
            <w:vAlign w:val="center"/>
          </w:tcPr>
          <w:p>
            <w:pPr>
              <w:spacing w:line="360" w:lineRule="auto"/>
              <w:jc w:val="center"/>
              <w:rPr>
                <w:rFonts w:hint="default"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交通疏导</w:t>
            </w:r>
          </w:p>
        </w:tc>
        <w:tc>
          <w:tcPr>
            <w:tcW w:w="448"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项</w:t>
            </w:r>
          </w:p>
        </w:tc>
        <w:tc>
          <w:tcPr>
            <w:tcW w:w="426"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1</w:t>
            </w:r>
          </w:p>
        </w:tc>
        <w:tc>
          <w:tcPr>
            <w:tcW w:w="698" w:type="pct"/>
            <w:tcBorders>
              <w:top w:val="nil"/>
              <w:left w:val="nil"/>
              <w:bottom w:val="single" w:color="auto" w:sz="4" w:space="0"/>
              <w:right w:val="single" w:color="auto" w:sz="4" w:space="0"/>
            </w:tcBorders>
            <w:vAlign w:val="center"/>
          </w:tcPr>
          <w:p>
            <w:pPr>
              <w:widowControl/>
              <w:jc w:val="left"/>
              <w:rPr>
                <w:rFonts w:hint="eastAsia" w:ascii="宋体" w:hAnsi="宋体" w:cs="宋体"/>
                <w:color w:val="auto"/>
                <w:kern w:val="0"/>
                <w:sz w:val="22"/>
                <w:szCs w:val="22"/>
                <w:highlight w:val="none"/>
              </w:rPr>
            </w:pPr>
          </w:p>
        </w:tc>
        <w:tc>
          <w:tcPr>
            <w:tcW w:w="698"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713"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r>
      <w:tr>
        <w:tblPrEx>
          <w:tblCellMar>
            <w:top w:w="0" w:type="dxa"/>
            <w:left w:w="108" w:type="dxa"/>
            <w:bottom w:w="0" w:type="dxa"/>
            <w:right w:w="108" w:type="dxa"/>
          </w:tblCellMar>
        </w:tblPrEx>
        <w:trPr>
          <w:trHeight w:val="270" w:hRule="atLeast"/>
          <w:jc w:val="center"/>
        </w:trPr>
        <w:tc>
          <w:tcPr>
            <w:tcW w:w="402" w:type="pct"/>
            <w:tcBorders>
              <w:top w:val="nil"/>
              <w:left w:val="single" w:color="auto" w:sz="4" w:space="0"/>
              <w:bottom w:val="single" w:color="auto" w:sz="4" w:space="0"/>
              <w:right w:val="single" w:color="auto" w:sz="4" w:space="0"/>
            </w:tcBorders>
            <w:vAlign w:val="center"/>
          </w:tcPr>
          <w:p>
            <w:pPr>
              <w:spacing w:line="360" w:lineRule="auto"/>
              <w:jc w:val="center"/>
              <w:rPr>
                <w:rFonts w:hint="default"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2</w:t>
            </w:r>
          </w:p>
        </w:tc>
        <w:tc>
          <w:tcPr>
            <w:tcW w:w="1612" w:type="pct"/>
            <w:tcBorders>
              <w:top w:val="nil"/>
              <w:left w:val="nil"/>
              <w:bottom w:val="single" w:color="auto" w:sz="4" w:space="0"/>
              <w:right w:val="single" w:color="auto" w:sz="4" w:space="0"/>
            </w:tcBorders>
            <w:vAlign w:val="center"/>
          </w:tcPr>
          <w:p>
            <w:pPr>
              <w:spacing w:line="360" w:lineRule="auto"/>
              <w:jc w:val="center"/>
              <w:rPr>
                <w:rFonts w:hint="default"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路灯迁移保护、原貌恢复</w:t>
            </w:r>
          </w:p>
        </w:tc>
        <w:tc>
          <w:tcPr>
            <w:tcW w:w="448" w:type="pct"/>
            <w:tcBorders>
              <w:top w:val="nil"/>
              <w:left w:val="nil"/>
              <w:bottom w:val="single" w:color="auto" w:sz="4" w:space="0"/>
              <w:right w:val="single" w:color="auto" w:sz="4" w:space="0"/>
            </w:tcBorders>
            <w:vAlign w:val="center"/>
          </w:tcPr>
          <w:p>
            <w:pPr>
              <w:widowControl/>
              <w:jc w:val="center"/>
              <w:rPr>
                <w:rFonts w:hint="eastAsia"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项</w:t>
            </w:r>
          </w:p>
        </w:tc>
        <w:tc>
          <w:tcPr>
            <w:tcW w:w="426" w:type="pct"/>
            <w:tcBorders>
              <w:top w:val="nil"/>
              <w:left w:val="nil"/>
              <w:bottom w:val="single" w:color="auto" w:sz="4" w:space="0"/>
              <w:right w:val="single" w:color="auto" w:sz="4" w:space="0"/>
            </w:tcBorders>
            <w:vAlign w:val="center"/>
          </w:tcPr>
          <w:p>
            <w:pPr>
              <w:widowControl/>
              <w:jc w:val="center"/>
              <w:rPr>
                <w:rFonts w:hint="eastAsia"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1</w:t>
            </w:r>
          </w:p>
        </w:tc>
        <w:tc>
          <w:tcPr>
            <w:tcW w:w="698" w:type="pct"/>
            <w:tcBorders>
              <w:top w:val="nil"/>
              <w:left w:val="nil"/>
              <w:bottom w:val="single" w:color="auto" w:sz="4" w:space="0"/>
              <w:right w:val="single" w:color="auto" w:sz="4" w:space="0"/>
            </w:tcBorders>
            <w:vAlign w:val="center"/>
          </w:tcPr>
          <w:p>
            <w:pPr>
              <w:widowControl/>
              <w:jc w:val="left"/>
              <w:rPr>
                <w:rFonts w:hint="eastAsia" w:ascii="宋体" w:hAnsi="宋体" w:cs="宋体"/>
                <w:color w:val="auto"/>
                <w:kern w:val="0"/>
                <w:sz w:val="22"/>
                <w:szCs w:val="22"/>
                <w:highlight w:val="none"/>
              </w:rPr>
            </w:pPr>
          </w:p>
        </w:tc>
        <w:tc>
          <w:tcPr>
            <w:tcW w:w="698" w:type="pct"/>
            <w:tcBorders>
              <w:top w:val="nil"/>
              <w:left w:val="nil"/>
              <w:bottom w:val="single" w:color="auto" w:sz="4" w:space="0"/>
              <w:right w:val="single" w:color="auto" w:sz="4" w:space="0"/>
            </w:tcBorders>
            <w:vAlign w:val="center"/>
          </w:tcPr>
          <w:p>
            <w:pPr>
              <w:widowControl/>
              <w:jc w:val="left"/>
              <w:rPr>
                <w:rFonts w:hint="eastAsia" w:ascii="宋体" w:hAnsi="宋体" w:cs="宋体"/>
                <w:color w:val="auto"/>
                <w:kern w:val="0"/>
                <w:sz w:val="22"/>
                <w:szCs w:val="22"/>
                <w:highlight w:val="none"/>
              </w:rPr>
            </w:pPr>
          </w:p>
        </w:tc>
        <w:tc>
          <w:tcPr>
            <w:tcW w:w="713" w:type="pct"/>
            <w:tcBorders>
              <w:top w:val="nil"/>
              <w:left w:val="nil"/>
              <w:bottom w:val="single" w:color="auto" w:sz="4" w:space="0"/>
              <w:right w:val="single" w:color="auto" w:sz="4" w:space="0"/>
            </w:tcBorders>
            <w:vAlign w:val="center"/>
          </w:tcPr>
          <w:p>
            <w:pPr>
              <w:widowControl/>
              <w:jc w:val="left"/>
              <w:rPr>
                <w:rFonts w:hint="eastAsia"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jc w:val="center"/>
        </w:trPr>
        <w:tc>
          <w:tcPr>
            <w:tcW w:w="402" w:type="pct"/>
            <w:tcBorders>
              <w:top w:val="nil"/>
              <w:left w:val="single" w:color="auto" w:sz="4" w:space="0"/>
              <w:bottom w:val="single" w:color="auto" w:sz="4" w:space="0"/>
              <w:right w:val="single" w:color="auto" w:sz="4" w:space="0"/>
            </w:tcBorders>
            <w:vAlign w:val="center"/>
          </w:tcPr>
          <w:p>
            <w:pPr>
              <w:spacing w:line="360" w:lineRule="auto"/>
              <w:jc w:val="center"/>
              <w:rPr>
                <w:rFonts w:hint="default"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3</w:t>
            </w:r>
          </w:p>
        </w:tc>
        <w:tc>
          <w:tcPr>
            <w:tcW w:w="1612" w:type="pct"/>
            <w:tcBorders>
              <w:top w:val="nil"/>
              <w:left w:val="nil"/>
              <w:bottom w:val="single" w:color="auto" w:sz="4" w:space="0"/>
              <w:right w:val="single" w:color="auto" w:sz="4" w:space="0"/>
            </w:tcBorders>
            <w:vAlign w:val="center"/>
          </w:tcPr>
          <w:p>
            <w:pPr>
              <w:spacing w:line="360" w:lineRule="auto"/>
              <w:jc w:val="center"/>
              <w:rPr>
                <w:rFonts w:hint="default"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树木迁移保护、回迁养护</w:t>
            </w:r>
          </w:p>
        </w:tc>
        <w:tc>
          <w:tcPr>
            <w:tcW w:w="448" w:type="pct"/>
            <w:tcBorders>
              <w:top w:val="nil"/>
              <w:left w:val="nil"/>
              <w:bottom w:val="single" w:color="auto" w:sz="4" w:space="0"/>
              <w:right w:val="single" w:color="auto" w:sz="4" w:space="0"/>
            </w:tcBorders>
            <w:vAlign w:val="center"/>
          </w:tcPr>
          <w:p>
            <w:pPr>
              <w:widowControl/>
              <w:jc w:val="center"/>
              <w:rPr>
                <w:rFonts w:hint="eastAsia"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项</w:t>
            </w:r>
          </w:p>
        </w:tc>
        <w:tc>
          <w:tcPr>
            <w:tcW w:w="426" w:type="pct"/>
            <w:tcBorders>
              <w:top w:val="nil"/>
              <w:left w:val="nil"/>
              <w:bottom w:val="single" w:color="auto" w:sz="4" w:space="0"/>
              <w:right w:val="single" w:color="auto" w:sz="4" w:space="0"/>
            </w:tcBorders>
            <w:vAlign w:val="center"/>
          </w:tcPr>
          <w:p>
            <w:pPr>
              <w:widowControl/>
              <w:jc w:val="center"/>
              <w:rPr>
                <w:rFonts w:hint="eastAsia"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1</w:t>
            </w:r>
          </w:p>
        </w:tc>
        <w:tc>
          <w:tcPr>
            <w:tcW w:w="698" w:type="pct"/>
            <w:tcBorders>
              <w:top w:val="nil"/>
              <w:left w:val="nil"/>
              <w:bottom w:val="single" w:color="auto" w:sz="4" w:space="0"/>
              <w:right w:val="single" w:color="auto" w:sz="4" w:space="0"/>
            </w:tcBorders>
            <w:vAlign w:val="center"/>
          </w:tcPr>
          <w:p>
            <w:pPr>
              <w:widowControl/>
              <w:jc w:val="left"/>
              <w:rPr>
                <w:rFonts w:hint="eastAsia" w:ascii="宋体" w:hAnsi="宋体" w:cs="宋体"/>
                <w:color w:val="auto"/>
                <w:kern w:val="0"/>
                <w:sz w:val="22"/>
                <w:szCs w:val="22"/>
                <w:highlight w:val="none"/>
              </w:rPr>
            </w:pPr>
          </w:p>
        </w:tc>
        <w:tc>
          <w:tcPr>
            <w:tcW w:w="698" w:type="pct"/>
            <w:tcBorders>
              <w:top w:val="nil"/>
              <w:left w:val="nil"/>
              <w:bottom w:val="single" w:color="auto" w:sz="4" w:space="0"/>
              <w:right w:val="single" w:color="auto" w:sz="4" w:space="0"/>
            </w:tcBorders>
            <w:vAlign w:val="center"/>
          </w:tcPr>
          <w:p>
            <w:pPr>
              <w:widowControl/>
              <w:jc w:val="left"/>
              <w:rPr>
                <w:rFonts w:hint="eastAsia" w:ascii="宋体" w:hAnsi="宋体" w:cs="宋体"/>
                <w:color w:val="auto"/>
                <w:kern w:val="0"/>
                <w:sz w:val="22"/>
                <w:szCs w:val="22"/>
                <w:highlight w:val="none"/>
              </w:rPr>
            </w:pPr>
          </w:p>
        </w:tc>
        <w:tc>
          <w:tcPr>
            <w:tcW w:w="713" w:type="pct"/>
            <w:tcBorders>
              <w:top w:val="nil"/>
              <w:left w:val="nil"/>
              <w:bottom w:val="single" w:color="auto" w:sz="4" w:space="0"/>
              <w:right w:val="single" w:color="auto" w:sz="4" w:space="0"/>
            </w:tcBorders>
            <w:vAlign w:val="center"/>
          </w:tcPr>
          <w:p>
            <w:pPr>
              <w:widowControl/>
              <w:jc w:val="left"/>
              <w:rPr>
                <w:rFonts w:hint="eastAsia"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jc w:val="center"/>
        </w:trPr>
        <w:tc>
          <w:tcPr>
            <w:tcW w:w="402" w:type="pct"/>
            <w:tcBorders>
              <w:top w:val="nil"/>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4</w:t>
            </w:r>
          </w:p>
        </w:tc>
        <w:tc>
          <w:tcPr>
            <w:tcW w:w="1612" w:type="pct"/>
            <w:tcBorders>
              <w:top w:val="nil"/>
              <w:left w:val="nil"/>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0"/>
                <w:sz w:val="22"/>
                <w:szCs w:val="22"/>
                <w:highlight w:val="none"/>
                <w:lang w:val="en-US" w:eastAsia="zh-CN" w:bidi="ar-SA"/>
              </w:rPr>
            </w:pPr>
            <w:r>
              <w:rPr>
                <w:rFonts w:hint="eastAsia" w:ascii="宋体" w:hAnsi="宋体" w:cs="宋体"/>
                <w:color w:val="auto"/>
                <w:kern w:val="0"/>
                <w:sz w:val="22"/>
                <w:szCs w:val="22"/>
                <w:highlight w:val="none"/>
                <w:lang w:val="en-US" w:eastAsia="zh-CN"/>
              </w:rPr>
              <w:t>地下管线迁移</w:t>
            </w:r>
            <w:r>
              <w:rPr>
                <w:rFonts w:hint="eastAsia" w:ascii="宋体" w:hAnsi="宋体" w:cs="宋体"/>
                <w:color w:val="auto"/>
                <w:kern w:val="0"/>
                <w:sz w:val="22"/>
                <w:szCs w:val="22"/>
                <w:highlight w:val="none"/>
                <w:lang w:eastAsia="zh-CN"/>
              </w:rPr>
              <w:t>、</w:t>
            </w:r>
            <w:r>
              <w:rPr>
                <w:rFonts w:hint="eastAsia" w:ascii="宋体" w:hAnsi="宋体" w:cs="宋体"/>
                <w:color w:val="auto"/>
                <w:kern w:val="0"/>
                <w:sz w:val="22"/>
                <w:szCs w:val="22"/>
                <w:highlight w:val="none"/>
                <w:lang w:val="en-US" w:eastAsia="zh-CN"/>
              </w:rPr>
              <w:t>修复及</w:t>
            </w:r>
            <w:r>
              <w:rPr>
                <w:rFonts w:hint="eastAsia" w:ascii="宋体" w:hAnsi="宋体" w:cs="宋体"/>
                <w:color w:val="auto"/>
                <w:kern w:val="0"/>
                <w:sz w:val="22"/>
                <w:szCs w:val="22"/>
                <w:highlight w:val="none"/>
              </w:rPr>
              <w:t>补偿</w:t>
            </w:r>
          </w:p>
        </w:tc>
        <w:tc>
          <w:tcPr>
            <w:tcW w:w="448"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项</w:t>
            </w:r>
          </w:p>
        </w:tc>
        <w:tc>
          <w:tcPr>
            <w:tcW w:w="426"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1</w:t>
            </w:r>
          </w:p>
        </w:tc>
        <w:tc>
          <w:tcPr>
            <w:tcW w:w="698" w:type="pct"/>
            <w:tcBorders>
              <w:top w:val="nil"/>
              <w:left w:val="nil"/>
              <w:bottom w:val="single" w:color="auto" w:sz="4" w:space="0"/>
              <w:right w:val="single" w:color="auto" w:sz="4" w:space="0"/>
            </w:tcBorders>
            <w:vAlign w:val="center"/>
          </w:tcPr>
          <w:p>
            <w:pPr>
              <w:widowControl/>
              <w:jc w:val="left"/>
              <w:rPr>
                <w:rFonts w:hint="eastAsia" w:ascii="宋体" w:hAnsi="宋体" w:cs="宋体"/>
                <w:color w:val="auto"/>
                <w:kern w:val="0"/>
                <w:sz w:val="22"/>
                <w:szCs w:val="22"/>
                <w:highlight w:val="none"/>
              </w:rPr>
            </w:pPr>
          </w:p>
        </w:tc>
        <w:tc>
          <w:tcPr>
            <w:tcW w:w="698"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713"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r>
      <w:tr>
        <w:tblPrEx>
          <w:tblCellMar>
            <w:top w:w="0" w:type="dxa"/>
            <w:left w:w="108" w:type="dxa"/>
            <w:bottom w:w="0" w:type="dxa"/>
            <w:right w:w="108" w:type="dxa"/>
          </w:tblCellMar>
        </w:tblPrEx>
        <w:trPr>
          <w:trHeight w:val="270" w:hRule="atLeast"/>
          <w:jc w:val="center"/>
        </w:trPr>
        <w:tc>
          <w:tcPr>
            <w:tcW w:w="402" w:type="pct"/>
            <w:tcBorders>
              <w:top w:val="nil"/>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5</w:t>
            </w:r>
          </w:p>
        </w:tc>
        <w:tc>
          <w:tcPr>
            <w:tcW w:w="1612" w:type="pct"/>
            <w:tcBorders>
              <w:top w:val="nil"/>
              <w:left w:val="nil"/>
              <w:bottom w:val="single" w:color="auto" w:sz="4" w:space="0"/>
              <w:right w:val="single" w:color="auto" w:sz="4" w:space="0"/>
            </w:tcBorders>
            <w:vAlign w:val="center"/>
          </w:tcPr>
          <w:p>
            <w:pPr>
              <w:spacing w:line="360" w:lineRule="auto"/>
              <w:jc w:val="center"/>
              <w:rPr>
                <w:rFonts w:hint="default"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rPr>
              <w:t>相关政策处理工作</w:t>
            </w:r>
            <w:r>
              <w:rPr>
                <w:rFonts w:hint="eastAsia" w:ascii="宋体" w:hAnsi="宋体" w:cs="宋体"/>
                <w:color w:val="auto"/>
                <w:kern w:val="0"/>
                <w:sz w:val="22"/>
                <w:szCs w:val="22"/>
                <w:highlight w:val="none"/>
                <w:lang w:eastAsia="zh-CN"/>
              </w:rPr>
              <w:t>（</w:t>
            </w:r>
            <w:r>
              <w:rPr>
                <w:rFonts w:hint="eastAsia" w:ascii="宋体" w:hAnsi="宋体" w:cs="宋体"/>
                <w:color w:val="auto"/>
                <w:kern w:val="0"/>
                <w:sz w:val="22"/>
                <w:szCs w:val="22"/>
                <w:highlight w:val="none"/>
                <w:lang w:val="en-US" w:eastAsia="zh-CN"/>
              </w:rPr>
              <w:t>含过河涌、公路、市政道路、地铁、电力管廊等有关安全评估、专家评审、产权占用等相关的赔偿/补偿和咨询服务费用</w:t>
            </w:r>
            <w:r>
              <w:rPr>
                <w:rFonts w:hint="eastAsia" w:ascii="宋体" w:hAnsi="宋体" w:cs="宋体"/>
                <w:color w:val="auto"/>
                <w:kern w:val="0"/>
                <w:sz w:val="22"/>
                <w:szCs w:val="22"/>
                <w:highlight w:val="none"/>
                <w:lang w:eastAsia="zh-CN"/>
              </w:rPr>
              <w:t>）</w:t>
            </w:r>
          </w:p>
        </w:tc>
        <w:tc>
          <w:tcPr>
            <w:tcW w:w="448"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项</w:t>
            </w:r>
          </w:p>
        </w:tc>
        <w:tc>
          <w:tcPr>
            <w:tcW w:w="426"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1</w:t>
            </w:r>
          </w:p>
        </w:tc>
        <w:tc>
          <w:tcPr>
            <w:tcW w:w="698" w:type="pct"/>
            <w:tcBorders>
              <w:top w:val="nil"/>
              <w:left w:val="nil"/>
              <w:bottom w:val="single" w:color="auto" w:sz="4" w:space="0"/>
              <w:right w:val="single" w:color="auto" w:sz="4" w:space="0"/>
            </w:tcBorders>
            <w:vAlign w:val="center"/>
          </w:tcPr>
          <w:p>
            <w:pPr>
              <w:widowControl/>
              <w:jc w:val="left"/>
              <w:rPr>
                <w:rFonts w:hint="eastAsia" w:ascii="宋体" w:hAnsi="宋体" w:cs="宋体"/>
                <w:color w:val="auto"/>
                <w:kern w:val="0"/>
                <w:sz w:val="22"/>
                <w:szCs w:val="22"/>
                <w:highlight w:val="none"/>
              </w:rPr>
            </w:pPr>
          </w:p>
        </w:tc>
        <w:tc>
          <w:tcPr>
            <w:tcW w:w="698"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713"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r>
      <w:tr>
        <w:tblPrEx>
          <w:tblCellMar>
            <w:top w:w="0" w:type="dxa"/>
            <w:left w:w="108" w:type="dxa"/>
            <w:bottom w:w="0" w:type="dxa"/>
            <w:right w:w="108" w:type="dxa"/>
          </w:tblCellMar>
        </w:tblPrEx>
        <w:trPr>
          <w:trHeight w:val="270" w:hRule="atLeast"/>
          <w:jc w:val="center"/>
        </w:trPr>
        <w:tc>
          <w:tcPr>
            <w:tcW w:w="402"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6</w:t>
            </w:r>
          </w:p>
        </w:tc>
        <w:tc>
          <w:tcPr>
            <w:tcW w:w="1612" w:type="pct"/>
            <w:tcBorders>
              <w:top w:val="nil"/>
              <w:left w:val="nil"/>
              <w:bottom w:val="single" w:color="auto" w:sz="4" w:space="0"/>
              <w:right w:val="single" w:color="auto" w:sz="4" w:space="0"/>
            </w:tcBorders>
            <w:vAlign w:val="center"/>
          </w:tcPr>
          <w:p>
            <w:pPr>
              <w:spacing w:line="360" w:lineRule="auto"/>
              <w:rPr>
                <w:rFonts w:hint="default"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其他工作</w:t>
            </w:r>
          </w:p>
        </w:tc>
        <w:tc>
          <w:tcPr>
            <w:tcW w:w="448"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项</w:t>
            </w:r>
          </w:p>
        </w:tc>
        <w:tc>
          <w:tcPr>
            <w:tcW w:w="426"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1</w:t>
            </w:r>
          </w:p>
        </w:tc>
        <w:tc>
          <w:tcPr>
            <w:tcW w:w="698" w:type="pct"/>
            <w:tcBorders>
              <w:top w:val="nil"/>
              <w:left w:val="nil"/>
              <w:bottom w:val="single" w:color="auto" w:sz="4" w:space="0"/>
              <w:right w:val="single" w:color="auto" w:sz="4" w:space="0"/>
            </w:tcBorders>
            <w:vAlign w:val="center"/>
          </w:tcPr>
          <w:p>
            <w:pPr>
              <w:widowControl/>
              <w:jc w:val="left"/>
              <w:rPr>
                <w:rFonts w:hint="eastAsia" w:ascii="宋体" w:hAnsi="宋体" w:cs="宋体"/>
                <w:color w:val="auto"/>
                <w:kern w:val="0"/>
                <w:sz w:val="22"/>
                <w:szCs w:val="22"/>
                <w:highlight w:val="none"/>
              </w:rPr>
            </w:pPr>
          </w:p>
        </w:tc>
        <w:tc>
          <w:tcPr>
            <w:tcW w:w="698"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713"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eastAsia="宋体" w:cs="Times New Roman"/>
                <w:color w:val="auto"/>
                <w:kern w:val="2"/>
                <w:sz w:val="24"/>
                <w:szCs w:val="24"/>
                <w:highlight w:val="none"/>
                <w:lang w:val="en-US" w:eastAsia="zh-CN" w:bidi="ar-SA"/>
              </w:rPr>
              <w:t>详见合同要求</w:t>
            </w:r>
          </w:p>
        </w:tc>
      </w:tr>
      <w:tr>
        <w:tblPrEx>
          <w:tblCellMar>
            <w:top w:w="0" w:type="dxa"/>
            <w:left w:w="108" w:type="dxa"/>
            <w:bottom w:w="0" w:type="dxa"/>
            <w:right w:w="108" w:type="dxa"/>
          </w:tblCellMar>
        </w:tblPrEx>
        <w:trPr>
          <w:trHeight w:val="270" w:hRule="atLeast"/>
          <w:jc w:val="center"/>
        </w:trPr>
        <w:tc>
          <w:tcPr>
            <w:tcW w:w="402" w:type="pct"/>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rPr>
              <w:t>　</w:t>
            </w:r>
          </w:p>
        </w:tc>
        <w:tc>
          <w:tcPr>
            <w:tcW w:w="1612" w:type="pct"/>
            <w:tcBorders>
              <w:top w:val="nil"/>
              <w:left w:val="nil"/>
              <w:bottom w:val="single" w:color="auto" w:sz="4" w:space="0"/>
              <w:right w:val="single" w:color="auto" w:sz="4" w:space="0"/>
            </w:tcBorders>
            <w:vAlign w:val="center"/>
          </w:tcPr>
          <w:p>
            <w:pPr>
              <w:spacing w:line="360" w:lineRule="auto"/>
              <w:rPr>
                <w:rFonts w:hint="eastAsia" w:ascii="宋体" w:hAnsi="宋体" w:cs="宋体"/>
                <w:color w:val="auto"/>
                <w:kern w:val="0"/>
                <w:sz w:val="22"/>
                <w:szCs w:val="22"/>
                <w:highlight w:val="none"/>
              </w:rPr>
            </w:pPr>
          </w:p>
        </w:tc>
        <w:tc>
          <w:tcPr>
            <w:tcW w:w="448"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426"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698" w:type="pct"/>
            <w:tcBorders>
              <w:top w:val="nil"/>
              <w:left w:val="nil"/>
              <w:bottom w:val="single" w:color="auto" w:sz="4" w:space="0"/>
              <w:right w:val="single" w:color="auto" w:sz="4" w:space="0"/>
            </w:tcBorders>
            <w:vAlign w:val="center"/>
          </w:tcPr>
          <w:p>
            <w:pPr>
              <w:widowControl/>
              <w:jc w:val="left"/>
              <w:rPr>
                <w:rFonts w:hint="eastAsia" w:ascii="宋体" w:hAnsi="宋体" w:cs="宋体"/>
                <w:color w:val="auto"/>
                <w:kern w:val="0"/>
                <w:sz w:val="22"/>
                <w:szCs w:val="22"/>
                <w:highlight w:val="none"/>
              </w:rPr>
            </w:pPr>
          </w:p>
        </w:tc>
        <w:tc>
          <w:tcPr>
            <w:tcW w:w="698"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713"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r>
      <w:tr>
        <w:tblPrEx>
          <w:tblCellMar>
            <w:top w:w="0" w:type="dxa"/>
            <w:left w:w="108" w:type="dxa"/>
            <w:bottom w:w="0" w:type="dxa"/>
            <w:right w:w="108" w:type="dxa"/>
          </w:tblCellMar>
        </w:tblPrEx>
        <w:trPr>
          <w:trHeight w:val="270" w:hRule="atLeast"/>
          <w:jc w:val="center"/>
        </w:trPr>
        <w:tc>
          <w:tcPr>
            <w:tcW w:w="402"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612"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448"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426"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698" w:type="pct"/>
            <w:tcBorders>
              <w:top w:val="nil"/>
              <w:left w:val="nil"/>
              <w:bottom w:val="single" w:color="auto" w:sz="4" w:space="0"/>
              <w:right w:val="single" w:color="auto" w:sz="4" w:space="0"/>
            </w:tcBorders>
            <w:vAlign w:val="center"/>
          </w:tcPr>
          <w:p>
            <w:pPr>
              <w:widowControl/>
              <w:jc w:val="left"/>
              <w:rPr>
                <w:rFonts w:hint="eastAsia" w:ascii="宋体" w:hAnsi="宋体" w:cs="宋体"/>
                <w:color w:val="auto"/>
                <w:kern w:val="0"/>
                <w:sz w:val="22"/>
                <w:szCs w:val="22"/>
                <w:highlight w:val="none"/>
              </w:rPr>
            </w:pPr>
          </w:p>
        </w:tc>
        <w:tc>
          <w:tcPr>
            <w:tcW w:w="698"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713"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r>
      <w:tr>
        <w:tblPrEx>
          <w:tblCellMar>
            <w:top w:w="0" w:type="dxa"/>
            <w:left w:w="108" w:type="dxa"/>
            <w:bottom w:w="0" w:type="dxa"/>
            <w:right w:w="108" w:type="dxa"/>
          </w:tblCellMar>
        </w:tblPrEx>
        <w:trPr>
          <w:trHeight w:val="270" w:hRule="atLeast"/>
          <w:jc w:val="center"/>
        </w:trPr>
        <w:tc>
          <w:tcPr>
            <w:tcW w:w="402"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612"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448"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426"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698" w:type="pct"/>
            <w:tcBorders>
              <w:top w:val="nil"/>
              <w:left w:val="nil"/>
              <w:bottom w:val="single" w:color="auto" w:sz="4" w:space="0"/>
              <w:right w:val="single" w:color="auto" w:sz="4" w:space="0"/>
            </w:tcBorders>
            <w:vAlign w:val="center"/>
          </w:tcPr>
          <w:p>
            <w:pPr>
              <w:widowControl/>
              <w:jc w:val="left"/>
              <w:rPr>
                <w:rFonts w:hint="eastAsia" w:ascii="宋体" w:hAnsi="宋体" w:cs="宋体"/>
                <w:color w:val="auto"/>
                <w:kern w:val="0"/>
                <w:sz w:val="22"/>
                <w:szCs w:val="22"/>
                <w:highlight w:val="none"/>
              </w:rPr>
            </w:pPr>
          </w:p>
        </w:tc>
        <w:tc>
          <w:tcPr>
            <w:tcW w:w="698"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713"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r>
      <w:tr>
        <w:tblPrEx>
          <w:tblCellMar>
            <w:top w:w="0" w:type="dxa"/>
            <w:left w:w="108" w:type="dxa"/>
            <w:bottom w:w="0" w:type="dxa"/>
            <w:right w:w="108" w:type="dxa"/>
          </w:tblCellMar>
        </w:tblPrEx>
        <w:trPr>
          <w:trHeight w:val="270" w:hRule="atLeast"/>
          <w:jc w:val="center"/>
        </w:trPr>
        <w:tc>
          <w:tcPr>
            <w:tcW w:w="402" w:type="pc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612"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448"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426"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698" w:type="pct"/>
            <w:tcBorders>
              <w:top w:val="nil"/>
              <w:left w:val="nil"/>
              <w:bottom w:val="single" w:color="auto" w:sz="4" w:space="0"/>
              <w:right w:val="single" w:color="auto" w:sz="4" w:space="0"/>
            </w:tcBorders>
            <w:vAlign w:val="center"/>
          </w:tcPr>
          <w:p>
            <w:pPr>
              <w:widowControl/>
              <w:jc w:val="left"/>
              <w:rPr>
                <w:rFonts w:hint="eastAsia" w:ascii="宋体" w:hAnsi="宋体" w:cs="宋体"/>
                <w:color w:val="auto"/>
                <w:kern w:val="0"/>
                <w:sz w:val="22"/>
                <w:szCs w:val="22"/>
                <w:highlight w:val="none"/>
              </w:rPr>
            </w:pPr>
          </w:p>
        </w:tc>
        <w:tc>
          <w:tcPr>
            <w:tcW w:w="698"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713" w:type="pct"/>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r>
    </w:tbl>
    <w:p>
      <w:pPr>
        <w:spacing w:line="360" w:lineRule="auto"/>
        <w:ind w:firstLine="431" w:firstLineChars="196"/>
        <w:rPr>
          <w:b/>
          <w:strike/>
          <w:color w:val="auto"/>
          <w:highlight w:val="none"/>
        </w:rPr>
      </w:pPr>
      <w:r>
        <w:rPr>
          <w:rFonts w:hint="eastAsia" w:ascii="宋体" w:hAnsi="宋体" w:cs="宋体"/>
          <w:color w:val="auto"/>
          <w:kern w:val="0"/>
          <w:sz w:val="22"/>
          <w:szCs w:val="22"/>
          <w:highlight w:val="none"/>
        </w:rPr>
        <w:t>投标人必须提供清单报价明细表，投标人根据招标文件及合同要求，结合</w:t>
      </w:r>
      <w:r>
        <w:rPr>
          <w:rFonts w:hint="eastAsia" w:ascii="宋体" w:hAnsi="宋体" w:cs="宋体"/>
          <w:b w:val="0"/>
          <w:bCs w:val="0"/>
          <w:color w:val="auto"/>
          <w:kern w:val="0"/>
          <w:sz w:val="22"/>
          <w:szCs w:val="22"/>
          <w:highlight w:val="none"/>
        </w:rPr>
        <w:t>踏勘现场实际情况等，填报清单报价明细表中的补偿内容综合单价（综合单价包含成本、利</w:t>
      </w:r>
      <w:r>
        <w:rPr>
          <w:rFonts w:hint="eastAsia" w:ascii="宋体" w:hAnsi="宋体" w:cs="宋体"/>
          <w:color w:val="auto"/>
          <w:kern w:val="0"/>
          <w:sz w:val="22"/>
          <w:szCs w:val="22"/>
          <w:highlight w:val="none"/>
        </w:rPr>
        <w:t>润、税金等一切费用）和合价等。投标人报价必须综合考虑工程中所有费用及风险，报包干价，除招标文件另有约定外，在工程实施过程中将不予变更；每一条清单只允许有一个报价，任何有选择的报价将不予接受。投标人未填报单价和合价的工程项目，视为该项费用已包括在其他有价款的单价或合价内，在实施后，招标人将不予以另外支付。</w:t>
      </w:r>
    </w:p>
    <w:p>
      <w:pPr>
        <w:rPr>
          <w:color w:val="auto"/>
          <w:highlight w:val="none"/>
        </w:rPr>
      </w:pPr>
    </w:p>
    <w:p>
      <w:pPr>
        <w:rPr>
          <w:color w:val="auto"/>
          <w:highlight w:val="none"/>
        </w:rPr>
      </w:pPr>
    </w:p>
    <w:p>
      <w:pPr>
        <w:rPr>
          <w:rFonts w:ascii="宋体" w:hAnsi="宋体"/>
          <w:color w:val="auto"/>
          <w:szCs w:val="20"/>
          <w:highlight w:val="none"/>
        </w:rPr>
      </w:pPr>
    </w:p>
    <w:p>
      <w:pPr>
        <w:spacing w:line="360" w:lineRule="auto"/>
        <w:ind w:right="90" w:firstLine="0" w:firstLineChars="0"/>
        <w:rPr>
          <w:rFonts w:ascii="宋体" w:hAnsi="宋体" w:cs="宋体"/>
          <w:color w:val="auto"/>
          <w:szCs w:val="21"/>
          <w:highlight w:val="none"/>
          <w:u w:val="singl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p>
    <w:p>
      <w:pPr>
        <w:spacing w:line="360" w:lineRule="auto"/>
        <w:ind w:firstLine="0" w:firstLineChars="0"/>
        <w:rPr>
          <w:rFonts w:ascii="宋体" w:hAnsi="宋体" w:cs="宋体"/>
          <w:color w:val="auto"/>
          <w:szCs w:val="21"/>
          <w:highlight w:val="none"/>
          <w:u w:val="single"/>
        </w:rPr>
      </w:pPr>
      <w:r>
        <w:rPr>
          <w:rFonts w:hint="eastAsia" w:ascii="宋体" w:hAnsi="宋体" w:cs="宋体"/>
          <w:color w:val="auto"/>
          <w:szCs w:val="21"/>
          <w:highlight w:val="none"/>
        </w:rPr>
        <w:t>法定代表人或</w:t>
      </w:r>
      <w:r>
        <w:rPr>
          <w:rFonts w:hint="eastAsia" w:cs="宋体" w:asciiTheme="minorEastAsia" w:hAnsiTheme="minorEastAsia" w:eastAsiaTheme="minorEastAsia"/>
          <w:color w:val="auto"/>
          <w:szCs w:val="21"/>
          <w:highlight w:val="none"/>
        </w:rPr>
        <w:t>其委托代理人</w:t>
      </w:r>
      <w:r>
        <w:rPr>
          <w:rFonts w:hint="eastAsia" w:ascii="宋体" w:hAnsi="宋体" w:cs="宋体"/>
          <w:color w:val="auto"/>
          <w:szCs w:val="21"/>
          <w:highlight w:val="none"/>
        </w:rPr>
        <w:t>（签字或盖章）：</w:t>
      </w:r>
      <w:r>
        <w:rPr>
          <w:rFonts w:hint="eastAsia" w:ascii="宋体" w:hAnsi="宋体" w:cs="宋体"/>
          <w:color w:val="auto"/>
          <w:szCs w:val="21"/>
          <w:highlight w:val="none"/>
          <w:u w:val="single"/>
        </w:rPr>
        <w:t xml:space="preserve">                  </w:t>
      </w:r>
    </w:p>
    <w:p>
      <w:pPr>
        <w:pStyle w:val="74"/>
        <w:rPr>
          <w:rFonts w:hint="eastAsia" w:ascii="宋体" w:hAnsi="宋体" w:cs="宋体"/>
          <w:color w:val="auto"/>
          <w:highlight w:val="none"/>
        </w:rPr>
      </w:pPr>
      <w:r>
        <w:rPr>
          <w:rFonts w:hint="eastAsia" w:ascii="宋体" w:hAnsi="宋体" w:cs="宋体"/>
          <w:color w:val="auto"/>
          <w:highlight w:val="none"/>
        </w:rPr>
        <w:t>日期：      年   月   日</w:t>
      </w:r>
    </w:p>
    <w:p>
      <w:pPr>
        <w:ind w:firstLineChars="500"/>
        <w:rPr>
          <w:rStyle w:val="110"/>
          <w:rFonts w:hint="eastAsia" w:ascii="宋体" w:hAnsi="宋体" w:cs="宋体"/>
          <w:color w:val="auto"/>
          <w:highlight w:val="none"/>
        </w:rPr>
      </w:pPr>
      <w:bookmarkStart w:id="278" w:name="_Toc1402012525"/>
      <w:bookmarkStart w:id="279" w:name="_Toc31813"/>
      <w:r>
        <w:rPr>
          <w:rStyle w:val="110"/>
          <w:rFonts w:hint="eastAsia" w:ascii="宋体" w:hAnsi="宋体" w:cs="宋体"/>
          <w:color w:val="auto"/>
          <w:highlight w:val="none"/>
        </w:rPr>
        <w:br w:type="page"/>
      </w:r>
    </w:p>
    <w:p>
      <w:pPr>
        <w:pStyle w:val="74"/>
        <w:ind w:firstLine="1405" w:firstLineChars="500"/>
        <w:rPr>
          <w:rStyle w:val="110"/>
          <w:rFonts w:ascii="宋体" w:hAnsi="宋体" w:cs="宋体"/>
          <w:color w:val="auto"/>
          <w:highlight w:val="none"/>
        </w:rPr>
      </w:pPr>
      <w:r>
        <w:rPr>
          <w:rStyle w:val="110"/>
          <w:rFonts w:hint="eastAsia" w:ascii="宋体" w:hAnsi="宋体" w:cs="宋体"/>
          <w:color w:val="auto"/>
          <w:highlight w:val="none"/>
        </w:rPr>
        <w:t>第五章  技术条件（工程建设标准）</w:t>
      </w:r>
      <w:bookmarkEnd w:id="273"/>
      <w:bookmarkEnd w:id="274"/>
      <w:bookmarkEnd w:id="275"/>
      <w:bookmarkEnd w:id="278"/>
      <w:bookmarkEnd w:id="279"/>
    </w:p>
    <w:p>
      <w:pPr>
        <w:widowControl/>
        <w:overflowPunct w:val="0"/>
        <w:autoSpaceDE w:val="0"/>
        <w:autoSpaceDN w:val="0"/>
        <w:adjustRightInd w:val="0"/>
        <w:spacing w:line="360" w:lineRule="auto"/>
        <w:jc w:val="left"/>
        <w:rPr>
          <w:rFonts w:ascii="宋体" w:hAnsi="宋体" w:cs="宋体"/>
          <w:b/>
          <w:color w:val="auto"/>
          <w:sz w:val="24"/>
          <w:szCs w:val="24"/>
          <w:highlight w:val="none"/>
        </w:rPr>
      </w:pPr>
      <w:r>
        <w:rPr>
          <w:rFonts w:hint="eastAsia" w:ascii="宋体" w:hAnsi="宋体" w:cs="宋体"/>
          <w:b/>
          <w:color w:val="auto"/>
          <w:sz w:val="24"/>
          <w:szCs w:val="24"/>
          <w:highlight w:val="none"/>
        </w:rPr>
        <w:t>一. 应遵循的法律法规、标准和规范包括但不限于：</w:t>
      </w:r>
    </w:p>
    <w:p>
      <w:pPr>
        <w:keepNext/>
        <w:keepLines/>
        <w:spacing w:line="360" w:lineRule="auto"/>
        <w:rPr>
          <w:rFonts w:ascii="宋体" w:hAnsi="宋体" w:cs="宋体"/>
          <w:bCs/>
          <w:color w:val="auto"/>
          <w:sz w:val="24"/>
          <w:szCs w:val="24"/>
          <w:highlight w:val="none"/>
        </w:rPr>
      </w:pPr>
      <w:r>
        <w:rPr>
          <w:rFonts w:hint="eastAsia" w:ascii="宋体" w:hAnsi="宋体" w:cs="宋体"/>
          <w:bCs/>
          <w:color w:val="auto"/>
          <w:sz w:val="24"/>
          <w:szCs w:val="24"/>
          <w:highlight w:val="none"/>
        </w:rPr>
        <w:t>1、法律法规</w:t>
      </w:r>
    </w:p>
    <w:p>
      <w:pPr>
        <w:overflowPunct w:val="0"/>
        <w:autoSpaceDE w:val="0"/>
        <w:autoSpaceDN w:val="0"/>
        <w:adjustRightInd w:val="0"/>
        <w:spacing w:line="360" w:lineRule="auto"/>
        <w:ind w:firstLine="480" w:firstLineChars="200"/>
        <w:rPr>
          <w:rFonts w:ascii="宋体" w:hAnsi="宋体" w:cs="宋体"/>
          <w:color w:val="auto"/>
          <w:highlight w:val="none"/>
        </w:rPr>
      </w:pPr>
      <w:r>
        <w:rPr>
          <w:rFonts w:hint="eastAsia" w:ascii="宋体" w:hAnsi="宋体" w:cs="宋体"/>
          <w:color w:val="auto"/>
          <w:sz w:val="24"/>
          <w:szCs w:val="24"/>
          <w:highlight w:val="none"/>
        </w:rPr>
        <w:t>（1）《中华人民共和国民法典》</w:t>
      </w:r>
    </w:p>
    <w:p>
      <w:pPr>
        <w:widowControl/>
        <w:overflowPunct w:val="0"/>
        <w:autoSpaceDE w:val="0"/>
        <w:autoSpaceDN w:val="0"/>
        <w:adjustRightIn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（2）《中华人民共和国建筑法》</w:t>
      </w:r>
    </w:p>
    <w:p>
      <w:pPr>
        <w:widowControl/>
        <w:overflowPunct w:val="0"/>
        <w:autoSpaceDE w:val="0"/>
        <w:autoSpaceDN w:val="0"/>
        <w:adjustRightIn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（3）《建设工程质量管理条例》</w:t>
      </w:r>
    </w:p>
    <w:p>
      <w:pPr>
        <w:widowControl/>
        <w:overflowPunct w:val="0"/>
        <w:autoSpaceDE w:val="0"/>
        <w:autoSpaceDN w:val="0"/>
        <w:adjustRightIn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（4）《中华人民共和国环境保护法》</w:t>
      </w:r>
    </w:p>
    <w:p>
      <w:pPr>
        <w:widowControl/>
        <w:overflowPunct w:val="0"/>
        <w:autoSpaceDE w:val="0"/>
        <w:autoSpaceDN w:val="0"/>
        <w:adjustRightIn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（5）《中华人民共和国大气污染防治法》</w:t>
      </w:r>
    </w:p>
    <w:p>
      <w:pPr>
        <w:widowControl/>
        <w:overflowPunct w:val="0"/>
        <w:autoSpaceDE w:val="0"/>
        <w:autoSpaceDN w:val="0"/>
        <w:adjustRightIn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（6）《中华人民共和国水污染防治法》</w:t>
      </w:r>
    </w:p>
    <w:p>
      <w:pPr>
        <w:widowControl/>
        <w:overflowPunct w:val="0"/>
        <w:autoSpaceDE w:val="0"/>
        <w:autoSpaceDN w:val="0"/>
        <w:adjustRightIn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（7）《中华人民共和国环境噪声污染防治法》</w:t>
      </w:r>
    </w:p>
    <w:p>
      <w:pPr>
        <w:widowControl/>
        <w:overflowPunct w:val="0"/>
        <w:autoSpaceDE w:val="0"/>
        <w:autoSpaceDN w:val="0"/>
        <w:adjustRightIn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（8）《建设项目环境保护管理条例》</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(9)《中华人民共和国石油天然气管道保护法》</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（10）《中华人民共和国安全生产法》</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（11）《中华人民共和国土地管理法》</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（12）《中华人民共和国水土保持法》</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（13）《中华人民共和国节约能源法》</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（14）《中华人民共和国固体废物污染环境防治法》</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（15）《公路安全保护条例》</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（16）《建设工程安全生产管理条例》</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（17）《建设项目安全设施“三同时”监督管理办法》</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（18）《交通运输部、国家能源局、国家安全监管总局关于规范公路桥梁与石油天然气管道交叉工程管理的通知》（交公路发〔2015〕36号）</w:t>
      </w:r>
    </w:p>
    <w:p>
      <w:pPr>
        <w:keepNext/>
        <w:keepLines/>
        <w:spacing w:line="360" w:lineRule="auto"/>
        <w:rPr>
          <w:rFonts w:ascii="宋体" w:hAnsi="宋体" w:cs="宋体"/>
          <w:bCs/>
          <w:color w:val="auto"/>
          <w:sz w:val="24"/>
          <w:szCs w:val="24"/>
          <w:highlight w:val="none"/>
        </w:rPr>
      </w:pPr>
      <w:r>
        <w:rPr>
          <w:rFonts w:hint="eastAsia" w:ascii="宋体" w:hAnsi="宋体" w:cs="宋体"/>
          <w:bCs/>
          <w:color w:val="auto"/>
          <w:sz w:val="24"/>
          <w:szCs w:val="24"/>
          <w:highlight w:val="none"/>
        </w:rPr>
        <w:t>2、标准规范</w:t>
      </w:r>
    </w:p>
    <w:p>
      <w:pPr>
        <w:spacing w:line="360" w:lineRule="auto"/>
        <w:ind w:firstLine="240" w:firstLineChars="100"/>
        <w:rPr>
          <w:color w:val="auto"/>
          <w:highlight w:val="none"/>
        </w:rPr>
      </w:pPr>
      <w:r>
        <w:rPr>
          <w:rFonts w:hint="eastAsia" w:ascii="宋体" w:hAnsi="宋体" w:cs="宋体"/>
          <w:color w:val="auto"/>
          <w:kern w:val="0"/>
          <w:sz w:val="24"/>
          <w:szCs w:val="24"/>
          <w:highlight w:val="none"/>
        </w:rPr>
        <w:t>（1）《输气管道工程设计规范》(GB50251-2015)</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（2）《油气输送管道穿越工程设计规范》（GB50423-2013）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（3）《火灾自动报警系统设计规范》（GB 50116-2013）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（4）《建筑物防雷设计规范》（GB50057-201</w:t>
      </w:r>
      <w:r>
        <w:rPr>
          <w:rFonts w:hint="eastAsia" w:ascii="宋体" w:hAnsi="宋体" w:cs="宋体"/>
          <w:color w:val="auto"/>
          <w:kern w:val="0"/>
          <w:sz w:val="24"/>
          <w:szCs w:val="24"/>
          <w:highlight w:val="none"/>
          <w:lang w:val="en-US" w:eastAsia="zh-CN"/>
        </w:rPr>
        <w:t>9</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（5）《建筑防火通用规范》（GB 55037-2022）</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（6）《构筑物抗震设计规范》（GB50191-2012）</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（7）《建筑抗震设计规范（2016年版）》（GB50011-20</w:t>
      </w: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（8）《爆炸危险环境电力装置设计规范》（GB50058-20</w:t>
      </w:r>
      <w:r>
        <w:rPr>
          <w:rFonts w:hint="eastAsia" w:ascii="宋体" w:hAnsi="宋体" w:cs="宋体"/>
          <w:color w:val="auto"/>
          <w:kern w:val="0"/>
          <w:sz w:val="24"/>
          <w:szCs w:val="24"/>
          <w:highlight w:val="none"/>
          <w:lang w:val="en-US" w:eastAsia="zh-CN"/>
        </w:rPr>
        <w:t>23</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（9）《油气田及管道工程仪表控制系统设计规范》（GB/T 50892-2023）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（10）《油气田及管道工程计算机控制系统设计规范》（SY/T 7628-2021）</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（11）《供配电系统设计规范》（GB50052-20</w:t>
      </w:r>
      <w:r>
        <w:rPr>
          <w:rFonts w:hint="eastAsia" w:ascii="宋体" w:hAnsi="宋体" w:cs="宋体"/>
          <w:color w:val="auto"/>
          <w:kern w:val="0"/>
          <w:sz w:val="24"/>
          <w:szCs w:val="24"/>
          <w:highlight w:val="none"/>
          <w:lang w:val="en-US" w:eastAsia="zh-CN"/>
        </w:rPr>
        <w:t>24</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（12）《20kV及以下变电所设计规范》（GB50053-20</w:t>
      </w: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（13）《低压配电设计规范》（GB50054-20</w:t>
      </w:r>
      <w:r>
        <w:rPr>
          <w:rFonts w:hint="eastAsia" w:ascii="宋体" w:hAnsi="宋体" w:cs="宋体"/>
          <w:color w:val="auto"/>
          <w:kern w:val="0"/>
          <w:sz w:val="24"/>
          <w:szCs w:val="24"/>
          <w:highlight w:val="none"/>
          <w:lang w:val="en-US" w:eastAsia="zh-CN"/>
        </w:rPr>
        <w:t>24</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（14）《通用用电设备配电设计规范》（GB50055-20</w:t>
      </w:r>
      <w:r>
        <w:rPr>
          <w:rFonts w:hint="eastAsia" w:ascii="宋体" w:hAnsi="宋体" w:cs="宋体"/>
          <w:color w:val="auto"/>
          <w:kern w:val="0"/>
          <w:sz w:val="24"/>
          <w:szCs w:val="24"/>
          <w:highlight w:val="none"/>
          <w:lang w:val="en-US" w:eastAsia="zh-CN"/>
        </w:rPr>
        <w:t>23</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（15）《电力装置的继电保护和自动装置设计规范》（GB50062-2008）</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（16）《交流电气装置的接地设计规范》        (GB/T 50065-20</w:t>
      </w: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1)</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（17）《工业电视系统工程设计标准》（GB 50115-2019）</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（18）《入侵报警系统工程设计规范》（GB 50394-20</w:t>
      </w:r>
      <w:r>
        <w:rPr>
          <w:rFonts w:hint="eastAsia" w:ascii="宋体" w:hAnsi="宋体" w:cs="宋体"/>
          <w:color w:val="auto"/>
          <w:kern w:val="0"/>
          <w:sz w:val="24"/>
          <w:szCs w:val="24"/>
          <w:highlight w:val="none"/>
          <w:lang w:val="en-US" w:eastAsia="zh-CN"/>
        </w:rPr>
        <w:t>23</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（19）《公共建筑节能设计标准》（GB50189-20</w:t>
      </w:r>
      <w:r>
        <w:rPr>
          <w:rFonts w:hint="eastAsia" w:ascii="宋体" w:hAnsi="宋体" w:cs="宋体"/>
          <w:color w:val="auto"/>
          <w:kern w:val="0"/>
          <w:sz w:val="24"/>
          <w:szCs w:val="24"/>
          <w:highlight w:val="none"/>
          <w:lang w:val="en-US" w:eastAsia="zh-CN"/>
        </w:rPr>
        <w:t>24</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（20）《建筑结构可靠度设计统一标准》（GB 50068-2018）</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（21）《混凝土结构设计规范（2015年版）》（GB 50010-2010）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（22）《建筑地基基础设计规范》（GB 50007-2011）</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（23）《工业建筑防腐蚀设计标准》（GB50046-2018）</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（24）《室外排水设计标准》（GB50014-2021）</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（25）《采暖通风与空气调节设计规范》（GB50019-2015）</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（26）《油气长输管道工程施工及验收规范》（GB50424-2020）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（27）《工业金属管道工程施工规范》（GB50235-2010）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（28）《工业金属管道工程施工质量验收规范》（GB50184-2011）</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（29）《油气输送管道穿越工程施工规范》（GB 50424-2015）</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（30）《现场设备、工业管道焊接工程施工规范》（GB50236-2011）</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（31）《现场设备、工业管道焊接工程施工质量验收规范》（GB50683-2011）</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（32）《石油天然气站内工艺管道工程施工规范（2012年版）》（GB 50540-2009）</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（33）《钢质管道焊接及验收》（GB/T 31032-2014）</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（34）《焊缝无损检测 超声检测技术、检测等级和评定》（GB11345-2013）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（35）《石油天然气钢制管道无损检测》（SY/T4109-2020）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（36）《焊缝无损检测 射线检测 第1部分：X和伽玛射线的胶片技术》（GB3323.1-2019）</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（37）《焊缝无损检测 射线检测 第2部分：使用数字化探测器的X和伽玛射线技术》（GB3323.2-2019）</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（38）《油气输送管道线路工程抗震技术规范》（GB/T 50470-2017）</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（39）《埋地钢质管道阴极保护技术规范》（GB/T21448-2017）</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（40）《钢质管道熔结环氧粉末涂层技术规范》（SY/T 0315-2013）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（41）《天然气计量系统技术要求》（GB/T 18603-2014）</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（42）《流量测量仪表基本参数》（JB/T 10564-2006）</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（43）《管线钢管规范》（API SPEC 5L第 46版）</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（44）《石油天然气工业 管线输送系统用钢管》(GB/T 9711-20</w:t>
      </w:r>
      <w:r>
        <w:rPr>
          <w:rFonts w:hint="eastAsia" w:ascii="宋体" w:hAnsi="宋体" w:cs="宋体"/>
          <w:color w:val="auto"/>
          <w:kern w:val="0"/>
          <w:sz w:val="24"/>
          <w:szCs w:val="24"/>
          <w:highlight w:val="none"/>
          <w:lang w:val="en-US" w:eastAsia="zh-CN"/>
        </w:rPr>
        <w:t>23</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（45）《油气输送用钢制感应加热弯管 》(SY/T5257-2012)</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（46）《高压化肥设备用无缝钢管》（GB6479-2013）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（47）《埋地钢质管道聚乙烯防腐层 》(GB/T23257-2017)</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（48）《涂覆涂料前钢材表面处理　表面清洁度的目视评定》（GB/T8923）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（49）《石油化工钢制压力容器》（SH/T 3074-2018）</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（50）《工业企业厂界环境噪声排放标准》（GB12348-2008）</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（51）《大气污染物综合排放标准》（GB16297-1996）</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（52）《污水综合排放标准》（GB8979-1996）</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（53）《石油天然气工程管道和设备涂色规范》（SY/T 0043-2020）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（54）《外壳防护等级（IP代码）》（GB 4208-2017）</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（55）《建筑制图标准》（GB/T 50104-2010）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（56）《总图制图标准》（GB/T 50103-2010）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（57）《公路路基设计规范》（JTG D30-2015）</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（58）《公路工程技术标准》（JTG B01-2014）</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（59）《建设工程项目管理规范》（GB/T50326-2017）</w:t>
      </w:r>
    </w:p>
    <w:p>
      <w:pPr>
        <w:spacing w:line="360" w:lineRule="auto"/>
        <w:ind w:firstLine="240" w:firstLineChars="100"/>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（60）《燃气工程项目规范》（GB55009-2021</w:t>
      </w:r>
      <w:r>
        <w:rPr>
          <w:rFonts w:hint="eastAsia" w:ascii="宋体" w:hAnsi="宋体" w:cs="宋体"/>
          <w:color w:val="auto"/>
          <w:kern w:val="0"/>
          <w:sz w:val="24"/>
          <w:szCs w:val="24"/>
          <w:highlight w:val="none"/>
          <w:lang w:eastAsia="zh-CN"/>
        </w:rPr>
        <w:t>）</w:t>
      </w:r>
    </w:p>
    <w:p>
      <w:pPr>
        <w:spacing w:line="360" w:lineRule="auto"/>
        <w:ind w:firstLine="240" w:firstLineChars="100"/>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（6</w:t>
      </w: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w:t>
      </w:r>
      <w:r>
        <w:rPr>
          <w:rFonts w:hint="eastAsia" w:ascii="宋体" w:hAnsi="宋体" w:eastAsia="宋体" w:cs="宋体"/>
          <w:i w:val="0"/>
          <w:iCs w:val="0"/>
          <w:caps w:val="0"/>
          <w:color w:val="auto"/>
          <w:spacing w:val="0"/>
          <w:kern w:val="0"/>
          <w:sz w:val="24"/>
          <w:szCs w:val="24"/>
          <w:highlight w:val="none"/>
          <w:shd w:val="clear"/>
        </w:rPr>
        <w:t>城镇燃气</w:t>
      </w:r>
      <w:r>
        <w:rPr>
          <w:rFonts w:hint="eastAsia" w:ascii="宋体" w:hAnsi="宋体" w:cs="宋体"/>
          <w:i w:val="0"/>
          <w:iCs w:val="0"/>
          <w:caps w:val="0"/>
          <w:color w:val="auto"/>
          <w:spacing w:val="0"/>
          <w:kern w:val="0"/>
          <w:sz w:val="24"/>
          <w:szCs w:val="24"/>
          <w:highlight w:val="none"/>
          <w:shd w:val="clear"/>
          <w:lang w:eastAsia="zh-CN"/>
        </w:rPr>
        <w:t>输配</w:t>
      </w:r>
      <w:r>
        <w:rPr>
          <w:rFonts w:hint="eastAsia" w:ascii="宋体" w:hAnsi="宋体" w:eastAsia="宋体" w:cs="宋体"/>
          <w:i w:val="0"/>
          <w:iCs w:val="0"/>
          <w:caps w:val="0"/>
          <w:color w:val="auto"/>
          <w:spacing w:val="0"/>
          <w:kern w:val="0"/>
          <w:sz w:val="24"/>
          <w:szCs w:val="24"/>
          <w:highlight w:val="none"/>
          <w:shd w:val="clear"/>
        </w:rPr>
        <w:t>工程施工及验收规范》</w:t>
      </w:r>
      <w:r>
        <w:rPr>
          <w:rFonts w:hint="eastAsia" w:ascii="宋体" w:hAnsi="宋体" w:cs="宋体"/>
          <w:color w:val="auto"/>
          <w:kern w:val="0"/>
          <w:sz w:val="24"/>
          <w:szCs w:val="24"/>
          <w:highlight w:val="none"/>
        </w:rPr>
        <w:t>（GB/T 51455-2023</w:t>
      </w:r>
      <w:r>
        <w:rPr>
          <w:rFonts w:hint="eastAsia" w:ascii="宋体" w:hAnsi="宋体" w:eastAsia="宋体" w:cs="宋体"/>
          <w:i w:val="0"/>
          <w:iCs w:val="0"/>
          <w:caps w:val="0"/>
          <w:color w:val="auto"/>
          <w:spacing w:val="0"/>
          <w:kern w:val="0"/>
          <w:sz w:val="24"/>
          <w:szCs w:val="24"/>
          <w:highlight w:val="none"/>
          <w:shd w:val="clear"/>
          <w:lang w:eastAsia="zh-CN"/>
        </w:rPr>
        <w:t>）</w:t>
      </w:r>
    </w:p>
    <w:p>
      <w:pPr>
        <w:spacing w:line="360" w:lineRule="auto"/>
        <w:ind w:firstLine="482" w:firstLineChars="200"/>
        <w:rPr>
          <w:rFonts w:ascii="宋体" w:hAnsi="宋体" w:cs="宋体"/>
          <w:b/>
          <w:color w:val="auto"/>
          <w:sz w:val="24"/>
          <w:szCs w:val="24"/>
          <w:highlight w:val="none"/>
        </w:rPr>
      </w:pPr>
    </w:p>
    <w:p>
      <w:pPr>
        <w:spacing w:line="360" w:lineRule="auto"/>
        <w:ind w:firstLine="482" w:firstLineChars="200"/>
        <w:rPr>
          <w:rFonts w:ascii="宋体" w:hAnsi="宋体" w:cs="宋体"/>
          <w:b/>
          <w:color w:val="auto"/>
          <w:szCs w:val="21"/>
          <w:highlight w:val="none"/>
        </w:rPr>
        <w:sectPr>
          <w:endnotePr>
            <w:numFmt w:val="decimal"/>
          </w:endnotePr>
          <w:pgSz w:w="11906" w:h="16838"/>
          <w:pgMar w:top="1440" w:right="1800" w:bottom="1440" w:left="1800" w:header="0" w:footer="850" w:gutter="0"/>
          <w:pgNumType w:fmt="decimal"/>
          <w:cols w:space="720" w:num="1"/>
          <w:docGrid w:linePitch="286" w:charSpace="0"/>
        </w:sectPr>
      </w:pPr>
      <w:r>
        <w:rPr>
          <w:rFonts w:hint="eastAsia" w:ascii="宋体" w:hAnsi="宋体" w:cs="宋体"/>
          <w:b/>
          <w:color w:val="auto"/>
          <w:sz w:val="24"/>
          <w:szCs w:val="24"/>
          <w:highlight w:val="none"/>
        </w:rPr>
        <w:t>二.详见技术规格书。</w:t>
      </w:r>
    </w:p>
    <w:p>
      <w:pPr>
        <w:tabs>
          <w:tab w:val="left" w:pos="720"/>
        </w:tabs>
        <w:snapToGrid w:val="0"/>
        <w:spacing w:line="360" w:lineRule="auto"/>
        <w:jc w:val="center"/>
        <w:outlineLvl w:val="0"/>
        <w:rPr>
          <w:rStyle w:val="110"/>
          <w:rFonts w:ascii="宋体" w:hAnsi="宋体" w:cs="宋体"/>
          <w:color w:val="auto"/>
          <w:highlight w:val="none"/>
        </w:rPr>
      </w:pPr>
      <w:bookmarkStart w:id="280" w:name="_Toc22870"/>
      <w:bookmarkStart w:id="281" w:name="_Toc2863"/>
      <w:bookmarkStart w:id="282" w:name="_Toc12573"/>
      <w:bookmarkStart w:id="283" w:name="_Toc11547"/>
      <w:bookmarkStart w:id="284" w:name="_Toc1433932791"/>
      <w:r>
        <w:rPr>
          <w:rStyle w:val="110"/>
          <w:rFonts w:hint="eastAsia" w:ascii="宋体" w:hAnsi="宋体" w:cs="宋体"/>
          <w:color w:val="auto"/>
          <w:highlight w:val="none"/>
        </w:rPr>
        <w:t>第六章  图纸及勘察资料</w:t>
      </w:r>
      <w:bookmarkEnd w:id="280"/>
      <w:bookmarkEnd w:id="281"/>
      <w:bookmarkEnd w:id="282"/>
      <w:bookmarkEnd w:id="283"/>
      <w:bookmarkEnd w:id="284"/>
    </w:p>
    <w:p>
      <w:pPr>
        <w:jc w:val="center"/>
        <w:rPr>
          <w:rFonts w:ascii="宋体" w:hAnsi="宋体" w:cs="宋体"/>
          <w:b/>
          <w:color w:val="auto"/>
          <w:sz w:val="24"/>
          <w:szCs w:val="24"/>
          <w:highlight w:val="none"/>
        </w:rPr>
      </w:pPr>
      <w:r>
        <w:rPr>
          <w:rFonts w:hint="eastAsia" w:ascii="宋体" w:hAnsi="宋体" w:cs="宋体"/>
          <w:color w:val="auto"/>
          <w:sz w:val="24"/>
          <w:szCs w:val="24"/>
          <w:highlight w:val="none"/>
        </w:rPr>
        <w:t>（另册）</w:t>
      </w:r>
    </w:p>
    <w:p>
      <w:pPr>
        <w:pStyle w:val="5"/>
        <w:jc w:val="center"/>
        <w:rPr>
          <w:rFonts w:ascii="宋体" w:hAnsi="宋体" w:cs="宋体"/>
          <w:color w:val="auto"/>
          <w:highlight w:val="none"/>
        </w:rPr>
      </w:pPr>
      <w:r>
        <w:rPr>
          <w:rFonts w:hint="eastAsia" w:ascii="宋体" w:hAnsi="宋体" w:cs="宋体"/>
          <w:color w:val="auto"/>
          <w:highlight w:val="none"/>
        </w:rPr>
        <w:br w:type="page"/>
      </w:r>
      <w:bookmarkStart w:id="285" w:name="_Toc14931"/>
      <w:bookmarkStart w:id="286" w:name="_Toc18904"/>
      <w:bookmarkStart w:id="287" w:name="_Toc4280"/>
      <w:bookmarkStart w:id="288" w:name="_Toc18249"/>
      <w:bookmarkStart w:id="289" w:name="_Toc1046931703"/>
      <w:r>
        <w:rPr>
          <w:rFonts w:hint="eastAsia" w:ascii="宋体" w:hAnsi="宋体" w:cs="宋体"/>
          <w:b/>
          <w:bCs/>
          <w:color w:val="auto"/>
          <w:highlight w:val="none"/>
        </w:rPr>
        <w:t>第七章  工程量清单</w:t>
      </w:r>
      <w:bookmarkEnd w:id="285"/>
      <w:bookmarkEnd w:id="286"/>
      <w:bookmarkEnd w:id="287"/>
      <w:bookmarkEnd w:id="288"/>
      <w:bookmarkEnd w:id="289"/>
    </w:p>
    <w:p>
      <w:pPr>
        <w:jc w:val="center"/>
        <w:rPr>
          <w:rFonts w:ascii="宋体" w:hAnsi="宋体" w:cs="宋体"/>
          <w:b/>
          <w:color w:val="auto"/>
          <w:sz w:val="24"/>
          <w:szCs w:val="24"/>
          <w:highlight w:val="none"/>
        </w:rPr>
      </w:pPr>
      <w:r>
        <w:rPr>
          <w:rFonts w:hint="eastAsia" w:ascii="宋体" w:hAnsi="宋体" w:cs="宋体"/>
          <w:color w:val="auto"/>
          <w:sz w:val="24"/>
          <w:szCs w:val="24"/>
          <w:highlight w:val="none"/>
        </w:rPr>
        <w:t>（另册）</w:t>
      </w:r>
    </w:p>
    <w:p>
      <w:pPr>
        <w:rPr>
          <w:rFonts w:ascii="宋体" w:hAnsi="宋体" w:cs="宋体"/>
          <w:b/>
          <w:color w:val="auto"/>
          <w:sz w:val="24"/>
          <w:szCs w:val="24"/>
          <w:highlight w:val="none"/>
        </w:rPr>
      </w:pPr>
    </w:p>
    <w:p>
      <w:pPr>
        <w:pStyle w:val="37"/>
        <w:spacing w:after="0" w:line="360" w:lineRule="auto"/>
        <w:ind w:left="-2" w:leftChars="-1" w:firstLine="960" w:firstLineChars="400"/>
        <w:rPr>
          <w:rFonts w:ascii="宋体" w:hAnsi="宋体" w:cs="宋体"/>
          <w:color w:val="auto"/>
          <w:sz w:val="24"/>
          <w:highlight w:val="none"/>
        </w:rPr>
      </w:pPr>
    </w:p>
    <w:p>
      <w:pPr>
        <w:pStyle w:val="5"/>
        <w:jc w:val="center"/>
        <w:rPr>
          <w:rFonts w:ascii="宋体" w:hAnsi="宋体" w:cs="宋体"/>
          <w:color w:val="auto"/>
          <w:highlight w:val="none"/>
        </w:rPr>
      </w:pPr>
      <w:r>
        <w:rPr>
          <w:rFonts w:hint="eastAsia" w:ascii="宋体" w:hAnsi="宋体" w:cs="宋体"/>
          <w:color w:val="auto"/>
          <w:highlight w:val="none"/>
        </w:rPr>
        <w:br w:type="page"/>
      </w:r>
      <w:bookmarkStart w:id="290" w:name="_Toc24103"/>
      <w:bookmarkStart w:id="291" w:name="_Toc23665"/>
      <w:bookmarkStart w:id="292" w:name="_Toc1447612450"/>
      <w:bookmarkStart w:id="293" w:name="_Toc18333"/>
      <w:bookmarkStart w:id="294" w:name="_Toc26925"/>
      <w:r>
        <w:rPr>
          <w:rFonts w:hint="eastAsia" w:ascii="宋体" w:hAnsi="宋体" w:cs="宋体"/>
          <w:b/>
          <w:bCs/>
          <w:color w:val="auto"/>
          <w:highlight w:val="none"/>
        </w:rPr>
        <w:t>第八章  最高投标限价</w:t>
      </w:r>
      <w:bookmarkEnd w:id="290"/>
      <w:bookmarkEnd w:id="291"/>
      <w:bookmarkEnd w:id="292"/>
      <w:bookmarkEnd w:id="293"/>
      <w:bookmarkEnd w:id="294"/>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招标人应当在发布招标文件时，公布最高投标限价的总价，分部分项工程费、措施项目费、其他项目费、规费和税金，以及绿色施工安全防护措施费、暂列金额等投标人不可竞争的固定报价。</w:t>
      </w:r>
      <w:r>
        <w:rPr>
          <w:rFonts w:hint="eastAsia" w:ascii="宋体" w:hAnsi="宋体" w:cs="宋体"/>
          <w:color w:val="auto"/>
          <w:sz w:val="24"/>
          <w:szCs w:val="24"/>
          <w:highlight w:val="none"/>
          <w:u w:val="single"/>
        </w:rPr>
        <w:t>（详见公告）</w:t>
      </w:r>
    </w:p>
    <w:tbl>
      <w:tblPr>
        <w:tblStyle w:val="38"/>
        <w:tblW w:w="852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5" w:hRule="atLeast"/>
        </w:trPr>
        <w:tc>
          <w:tcPr>
            <w:tcW w:w="8528" w:type="dxa"/>
          </w:tcPr>
          <w:p>
            <w:pPr>
              <w:spacing w:line="600" w:lineRule="exact"/>
              <w:jc w:val="center"/>
              <w:rPr>
                <w:rFonts w:ascii="宋体" w:hAnsi="宋体" w:cs="宋体"/>
                <w:b/>
                <w:color w:val="auto"/>
                <w:spacing w:val="60"/>
                <w:sz w:val="44"/>
                <w:szCs w:val="44"/>
                <w:highlight w:val="none"/>
              </w:rPr>
            </w:pPr>
            <w:r>
              <w:rPr>
                <w:rFonts w:hint="eastAsia" w:ascii="宋体" w:hAnsi="宋体" w:cs="宋体"/>
                <w:b/>
                <w:color w:val="auto"/>
                <w:spacing w:val="60"/>
                <w:sz w:val="44"/>
                <w:szCs w:val="44"/>
                <w:highlight w:val="none"/>
              </w:rPr>
              <w:t>最高投标限价公布函</w:t>
            </w:r>
          </w:p>
          <w:p>
            <w:pPr>
              <w:spacing w:line="600" w:lineRule="exact"/>
              <w:jc w:val="center"/>
              <w:rPr>
                <w:rFonts w:ascii="宋体" w:hAnsi="宋体" w:cs="宋体"/>
                <w:b/>
                <w:color w:val="auto"/>
                <w:spacing w:val="60"/>
                <w:sz w:val="44"/>
                <w:szCs w:val="44"/>
                <w:highlight w:val="none"/>
              </w:rPr>
            </w:pPr>
            <w:r>
              <w:rPr>
                <w:rFonts w:hint="eastAsia" w:ascii="宋体" w:hAnsi="宋体" w:cs="宋体"/>
                <w:b/>
                <w:color w:val="auto"/>
                <w:spacing w:val="60"/>
                <w:sz w:val="44"/>
                <w:szCs w:val="44"/>
                <w:highlight w:val="none"/>
              </w:rPr>
              <w:t>（参考格式）</w:t>
            </w:r>
          </w:p>
          <w:p>
            <w:pPr>
              <w:spacing w:line="360" w:lineRule="auto"/>
              <w:rPr>
                <w:rFonts w:ascii="宋体" w:hAnsi="宋体" w:cs="宋体"/>
                <w:color w:val="auto"/>
                <w:szCs w:val="21"/>
                <w:highlight w:val="none"/>
              </w:rPr>
            </w:pP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工程名称：</w:t>
            </w:r>
            <w:r>
              <w:rPr>
                <w:rFonts w:hint="eastAsia" w:ascii="宋体" w:hAnsi="宋体" w:cs="宋体"/>
                <w:color w:val="auto"/>
                <w:sz w:val="24"/>
                <w:szCs w:val="24"/>
                <w:highlight w:val="none"/>
                <w:u w:val="single"/>
              </w:rPr>
              <w:t xml:space="preserve">                                                            </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最高投标限价（元）：</w:t>
            </w:r>
            <w:r>
              <w:rPr>
                <w:rFonts w:hint="eastAsia" w:ascii="宋体" w:hAnsi="宋体" w:cs="宋体"/>
                <w:color w:val="auto"/>
                <w:sz w:val="24"/>
                <w:szCs w:val="24"/>
                <w:highlight w:val="none"/>
                <w:u w:val="single"/>
              </w:rPr>
              <w:t xml:space="preserve">                                                   </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分部分项工程费（元）：</w:t>
            </w:r>
            <w:r>
              <w:rPr>
                <w:rFonts w:hint="eastAsia" w:ascii="宋体" w:hAnsi="宋体" w:cs="宋体"/>
                <w:color w:val="auto"/>
                <w:sz w:val="24"/>
                <w:szCs w:val="24"/>
                <w:highlight w:val="none"/>
                <w:u w:val="single"/>
              </w:rPr>
              <w:t xml:space="preserve">                                             </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措施项目费（元）：</w:t>
            </w:r>
            <w:r>
              <w:rPr>
                <w:rFonts w:hint="eastAsia" w:ascii="宋体" w:hAnsi="宋体" w:cs="宋体"/>
                <w:color w:val="auto"/>
                <w:sz w:val="24"/>
                <w:szCs w:val="24"/>
                <w:highlight w:val="none"/>
                <w:u w:val="single"/>
              </w:rPr>
              <w:t xml:space="preserve">                                                 </w:t>
            </w:r>
          </w:p>
          <w:p>
            <w:pPr>
              <w:spacing w:line="360" w:lineRule="auto"/>
              <w:ind w:firstLine="960" w:firstLineChars="400"/>
              <w:rPr>
                <w:rFonts w:ascii="宋体" w:hAnsi="宋体" w:cs="宋体"/>
                <w:color w:val="auto"/>
                <w:sz w:val="24"/>
                <w:szCs w:val="24"/>
                <w:highlight w:val="none"/>
                <w:u w:val="single"/>
              </w:rPr>
            </w:pPr>
            <w:r>
              <w:rPr>
                <w:rFonts w:hint="eastAsia" w:ascii="宋体" w:hAnsi="宋体" w:cs="宋体"/>
                <w:color w:val="auto"/>
                <w:sz w:val="24"/>
                <w:szCs w:val="24"/>
                <w:highlight w:val="none"/>
              </w:rPr>
              <w:t>其中绿色施工安全防护措施费（元）：</w:t>
            </w:r>
            <w:r>
              <w:rPr>
                <w:rFonts w:hint="eastAsia" w:ascii="宋体" w:hAnsi="宋体" w:cs="宋体"/>
                <w:color w:val="auto"/>
                <w:sz w:val="24"/>
                <w:szCs w:val="24"/>
                <w:highlight w:val="none"/>
                <w:u w:val="single"/>
              </w:rPr>
              <w:t xml:space="preserve">                             </w:t>
            </w:r>
          </w:p>
          <w:p>
            <w:pPr>
              <w:spacing w:line="360" w:lineRule="auto"/>
              <w:ind w:firstLine="723" w:firstLineChars="300"/>
              <w:rPr>
                <w:rFonts w:ascii="宋体" w:hAnsi="宋体" w:cs="宋体"/>
                <w:color w:val="auto"/>
                <w:sz w:val="24"/>
                <w:szCs w:val="24"/>
                <w:highlight w:val="none"/>
              </w:rPr>
            </w:pPr>
            <w:r>
              <w:rPr>
                <w:rFonts w:hint="eastAsia" w:ascii="宋体" w:hAnsi="宋体" w:cs="宋体"/>
                <w:b/>
                <w:color w:val="auto"/>
                <w:sz w:val="24"/>
                <w:szCs w:val="24"/>
                <w:highlight w:val="none"/>
              </w:rPr>
              <w:t>（详细列明各专业工程绿色施工安全防护措施费）</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其他项目费（元）：</w:t>
            </w:r>
            <w:r>
              <w:rPr>
                <w:rFonts w:hint="eastAsia" w:ascii="宋体" w:hAnsi="宋体" w:cs="宋体"/>
                <w:color w:val="auto"/>
                <w:sz w:val="24"/>
                <w:szCs w:val="24"/>
                <w:highlight w:val="none"/>
                <w:u w:val="single"/>
              </w:rPr>
              <w:t xml:space="preserve">                                                 </w:t>
            </w:r>
          </w:p>
          <w:p>
            <w:pPr>
              <w:spacing w:line="360" w:lineRule="auto"/>
              <w:ind w:firstLine="960" w:firstLineChars="400"/>
              <w:rPr>
                <w:rFonts w:ascii="宋体" w:hAnsi="宋体" w:cs="宋体"/>
                <w:color w:val="auto"/>
                <w:sz w:val="24"/>
                <w:szCs w:val="24"/>
                <w:highlight w:val="none"/>
                <w:u w:val="single"/>
              </w:rPr>
            </w:pPr>
            <w:r>
              <w:rPr>
                <w:rFonts w:hint="eastAsia" w:ascii="宋体" w:hAnsi="宋体" w:cs="宋体"/>
                <w:color w:val="auto"/>
                <w:sz w:val="24"/>
                <w:szCs w:val="24"/>
                <w:highlight w:val="none"/>
              </w:rPr>
              <w:t>其中暂列金额（元）：</w:t>
            </w:r>
            <w:r>
              <w:rPr>
                <w:rFonts w:hint="eastAsia" w:ascii="宋体" w:hAnsi="宋体" w:cs="宋体"/>
                <w:color w:val="auto"/>
                <w:sz w:val="24"/>
                <w:szCs w:val="24"/>
                <w:highlight w:val="none"/>
                <w:u w:val="single"/>
              </w:rPr>
              <w:t xml:space="preserve">                                           </w:t>
            </w:r>
          </w:p>
          <w:p>
            <w:pPr>
              <w:spacing w:line="360" w:lineRule="auto"/>
              <w:ind w:firstLine="723" w:firstLineChars="300"/>
              <w:rPr>
                <w:rFonts w:ascii="宋体" w:hAnsi="宋体" w:cs="宋体"/>
                <w:color w:val="auto"/>
                <w:sz w:val="24"/>
                <w:szCs w:val="24"/>
                <w:highlight w:val="none"/>
              </w:rPr>
            </w:pPr>
            <w:r>
              <w:rPr>
                <w:rFonts w:hint="eastAsia" w:ascii="宋体" w:hAnsi="宋体" w:cs="宋体"/>
                <w:b/>
                <w:color w:val="auto"/>
                <w:sz w:val="24"/>
                <w:szCs w:val="24"/>
                <w:highlight w:val="none"/>
              </w:rPr>
              <w:t>（详细列明各专业工程暂列金额）</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规费（元）：</w:t>
            </w:r>
            <w:r>
              <w:rPr>
                <w:rFonts w:hint="eastAsia" w:ascii="宋体" w:hAnsi="宋体" w:cs="宋体"/>
                <w:color w:val="auto"/>
                <w:sz w:val="24"/>
                <w:szCs w:val="24"/>
                <w:highlight w:val="none"/>
                <w:u w:val="single"/>
              </w:rPr>
              <w:t xml:space="preserve">                                                       </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税金（元）：</w:t>
            </w:r>
            <w:r>
              <w:rPr>
                <w:rFonts w:hint="eastAsia" w:ascii="宋体" w:hAnsi="宋体" w:cs="宋体"/>
                <w:color w:val="auto"/>
                <w:sz w:val="24"/>
                <w:szCs w:val="24"/>
                <w:highlight w:val="none"/>
                <w:u w:val="single"/>
              </w:rPr>
              <w:t xml:space="preserve">                                                       </w:t>
            </w:r>
          </w:p>
          <w:p>
            <w:pPr>
              <w:widowControl/>
              <w:spacing w:before="75" w:after="75" w:line="360" w:lineRule="auto"/>
              <w:ind w:firstLine="480" w:firstLineChars="200"/>
              <w:jc w:val="left"/>
              <w:rPr>
                <w:rFonts w:ascii="宋体" w:hAnsi="宋体" w:cs="宋体"/>
                <w:color w:val="auto"/>
                <w:kern w:val="0"/>
                <w:sz w:val="24"/>
                <w:szCs w:val="24"/>
                <w:highlight w:val="none"/>
              </w:rPr>
            </w:pPr>
          </w:p>
          <w:p>
            <w:pPr>
              <w:widowControl/>
              <w:spacing w:before="75" w:after="75" w:line="360" w:lineRule="auto"/>
              <w:ind w:firstLine="960" w:firstLineChars="4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对公开招标工程，</w:t>
            </w:r>
            <w:r>
              <w:rPr>
                <w:rFonts w:hint="eastAsia" w:ascii="宋体" w:hAnsi="宋体" w:cs="宋体"/>
                <w:color w:val="auto"/>
                <w:sz w:val="24"/>
                <w:szCs w:val="24"/>
                <w:highlight w:val="none"/>
              </w:rPr>
              <w:t>投标人须按照公布的绿色施工安全防护措施费、</w:t>
            </w:r>
            <w:r>
              <w:rPr>
                <w:rFonts w:hint="eastAsia" w:ascii="宋体" w:hAnsi="宋体" w:cs="宋体"/>
                <w:color w:val="auto"/>
                <w:kern w:val="0"/>
                <w:sz w:val="24"/>
                <w:szCs w:val="24"/>
                <w:highlight w:val="none"/>
              </w:rPr>
              <w:t>暂</w:t>
            </w:r>
          </w:p>
          <w:p>
            <w:pPr>
              <w:widowControl/>
              <w:spacing w:before="75" w:after="75"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列金额报价。</w:t>
            </w:r>
          </w:p>
          <w:p>
            <w:pPr>
              <w:widowControl/>
              <w:spacing w:before="75" w:after="75" w:line="360" w:lineRule="auto"/>
              <w:ind w:firstLine="5640" w:firstLineChars="2350"/>
              <w:jc w:val="left"/>
              <w:rPr>
                <w:rFonts w:ascii="宋体" w:hAnsi="宋体" w:cs="宋体"/>
                <w:b/>
                <w:color w:val="auto"/>
                <w:spacing w:val="60"/>
                <w:sz w:val="24"/>
                <w:szCs w:val="24"/>
                <w:highlight w:val="none"/>
              </w:rPr>
            </w:pPr>
            <w:r>
              <w:rPr>
                <w:rFonts w:hint="eastAsia" w:ascii="宋体" w:hAnsi="宋体" w:cs="宋体"/>
                <w:color w:val="auto"/>
                <w:sz w:val="24"/>
                <w:szCs w:val="24"/>
                <w:highlight w:val="none"/>
              </w:rPr>
              <w:t>招标单位（盖章）</w:t>
            </w:r>
            <w:r>
              <w:rPr>
                <w:rFonts w:hint="eastAsia" w:ascii="宋体" w:hAnsi="宋体" w:cs="宋体"/>
                <w:b/>
                <w:color w:val="auto"/>
                <w:spacing w:val="60"/>
                <w:sz w:val="24"/>
                <w:szCs w:val="24"/>
                <w:highlight w:val="none"/>
              </w:rPr>
              <w:t xml:space="preserve">              </w:t>
            </w:r>
          </w:p>
          <w:p>
            <w:pPr>
              <w:widowControl/>
              <w:spacing w:before="75" w:after="75" w:line="360" w:lineRule="auto"/>
              <w:ind w:firstLine="5880" w:firstLineChars="2450"/>
              <w:jc w:val="left"/>
              <w:rPr>
                <w:rFonts w:ascii="宋体" w:hAnsi="宋体" w:cs="宋体"/>
                <w:b/>
                <w:color w:val="auto"/>
                <w:spacing w:val="60"/>
                <w:sz w:val="44"/>
                <w:szCs w:val="44"/>
                <w:highlight w:val="none"/>
              </w:rPr>
            </w:pPr>
            <w:r>
              <w:rPr>
                <w:rFonts w:hint="eastAsia" w:ascii="宋体" w:hAnsi="宋体" w:cs="宋体"/>
                <w:color w:val="auto"/>
                <w:kern w:val="0"/>
                <w:sz w:val="24"/>
                <w:szCs w:val="24"/>
                <w:highlight w:val="none"/>
              </w:rPr>
              <w:t>年  月  日</w:t>
            </w:r>
          </w:p>
        </w:tc>
      </w:tr>
    </w:tbl>
    <w:p>
      <w:pPr>
        <w:spacing w:line="360" w:lineRule="auto"/>
        <w:ind w:firstLine="480"/>
        <w:rPr>
          <w:rFonts w:ascii="宋体" w:hAnsi="宋体" w:cs="宋体"/>
          <w:color w:val="auto"/>
          <w:sz w:val="24"/>
          <w:szCs w:val="24"/>
          <w:highlight w:val="none"/>
          <w:u w:val="single"/>
        </w:rPr>
      </w:pPr>
    </w:p>
    <w:p>
      <w:pPr>
        <w:widowControl/>
        <w:jc w:val="left"/>
        <w:rPr>
          <w:rFonts w:hint="eastAsia" w:ascii="宋体" w:hAnsi="宋体" w:cs="宋体"/>
          <w:color w:val="auto"/>
          <w:sz w:val="32"/>
          <w:szCs w:val="32"/>
          <w:highlight w:val="none"/>
        </w:rPr>
        <w:sectPr>
          <w:footerReference r:id="rId22" w:type="default"/>
          <w:endnotePr>
            <w:numFmt w:val="decimal"/>
          </w:endnotePr>
          <w:pgSz w:w="11906" w:h="16838"/>
          <w:pgMar w:top="1440" w:right="1800" w:bottom="1440" w:left="1800" w:header="0" w:footer="850" w:gutter="0"/>
          <w:pgNumType w:fmt="decimal"/>
          <w:cols w:space="720" w:num="1"/>
          <w:docGrid w:linePitch="286" w:charSpace="0"/>
        </w:sectPr>
      </w:pPr>
    </w:p>
    <w:p>
      <w:pPr>
        <w:widowControl/>
        <w:jc w:val="left"/>
        <w:rPr>
          <w:rFonts w:ascii="宋体" w:hAnsi="宋体" w:cs="宋体"/>
          <w:color w:val="auto"/>
          <w:sz w:val="32"/>
          <w:szCs w:val="32"/>
          <w:highlight w:val="none"/>
        </w:rPr>
      </w:pPr>
      <w:r>
        <w:rPr>
          <w:rFonts w:hint="eastAsia" w:ascii="宋体" w:hAnsi="宋体" w:cs="宋体"/>
          <w:color w:val="auto"/>
          <w:sz w:val="32"/>
          <w:szCs w:val="32"/>
          <w:highlight w:val="none"/>
        </w:rPr>
        <w:t>SF-2019-0204</w:t>
      </w:r>
    </w:p>
    <w:p>
      <w:pPr>
        <w:autoSpaceDE w:val="0"/>
        <w:autoSpaceDN w:val="0"/>
        <w:adjustRightInd w:val="0"/>
        <w:spacing w:line="640" w:lineRule="exact"/>
        <w:ind w:firstLine="5550" w:firstLineChars="1850"/>
        <w:jc w:val="left"/>
        <w:rPr>
          <w:rFonts w:ascii="宋体" w:hAnsi="宋体" w:cs="宋体"/>
          <w:color w:val="auto"/>
          <w:kern w:val="0"/>
          <w:sz w:val="32"/>
          <w:szCs w:val="32"/>
          <w:highlight w:val="none"/>
          <w:u w:val="single"/>
        </w:rPr>
      </w:pPr>
      <w:r>
        <w:rPr>
          <w:rFonts w:hint="eastAsia" w:ascii="宋体" w:hAnsi="宋体" w:cs="宋体"/>
          <w:color w:val="auto"/>
          <w:kern w:val="0"/>
          <w:sz w:val="30"/>
          <w:szCs w:val="30"/>
          <w:highlight w:val="none"/>
        </w:rPr>
        <w:tab/>
      </w:r>
      <w:r>
        <w:rPr>
          <w:rFonts w:hint="eastAsia" w:ascii="宋体" w:hAnsi="宋体" w:cs="宋体"/>
          <w:color w:val="auto"/>
          <w:kern w:val="0"/>
          <w:sz w:val="32"/>
          <w:szCs w:val="32"/>
          <w:highlight w:val="none"/>
        </w:rPr>
        <w:t>项目编码：</w:t>
      </w:r>
    </w:p>
    <w:p>
      <w:pPr>
        <w:autoSpaceDE w:val="0"/>
        <w:autoSpaceDN w:val="0"/>
        <w:adjustRightInd w:val="0"/>
        <w:spacing w:line="640" w:lineRule="exact"/>
        <w:ind w:firstLine="5920" w:firstLineChars="1850"/>
        <w:jc w:val="left"/>
        <w:rPr>
          <w:rFonts w:ascii="宋体" w:hAnsi="宋体" w:cs="宋体"/>
          <w:color w:val="auto"/>
          <w:kern w:val="0"/>
          <w:sz w:val="32"/>
          <w:szCs w:val="32"/>
          <w:highlight w:val="none"/>
        </w:rPr>
      </w:pPr>
      <w:r>
        <w:rPr>
          <w:rFonts w:hint="eastAsia" w:ascii="宋体" w:hAnsi="宋体" w:cs="宋体"/>
          <w:color w:val="auto"/>
          <w:kern w:val="0"/>
          <w:sz w:val="32"/>
          <w:szCs w:val="32"/>
          <w:highlight w:val="none"/>
        </w:rPr>
        <w:t>工程编码：</w:t>
      </w:r>
    </w:p>
    <w:p>
      <w:pPr>
        <w:autoSpaceDE w:val="0"/>
        <w:autoSpaceDN w:val="0"/>
        <w:adjustRightInd w:val="0"/>
        <w:spacing w:line="640" w:lineRule="exact"/>
        <w:ind w:firstLine="5920" w:firstLineChars="1850"/>
        <w:jc w:val="left"/>
        <w:rPr>
          <w:rFonts w:ascii="宋体" w:hAnsi="宋体" w:cs="宋体"/>
          <w:color w:val="auto"/>
          <w:kern w:val="0"/>
          <w:sz w:val="32"/>
          <w:szCs w:val="32"/>
          <w:highlight w:val="none"/>
        </w:rPr>
      </w:pPr>
      <w:r>
        <w:rPr>
          <w:rFonts w:hint="eastAsia" w:ascii="宋体" w:hAnsi="宋体" w:cs="宋体"/>
          <w:color w:val="auto"/>
          <w:kern w:val="0"/>
          <w:sz w:val="32"/>
          <w:szCs w:val="32"/>
          <w:highlight w:val="none"/>
        </w:rPr>
        <w:t>合同编号：</w:t>
      </w:r>
    </w:p>
    <w:p>
      <w:pPr>
        <w:tabs>
          <w:tab w:val="left" w:pos="3900"/>
          <w:tab w:val="right" w:pos="10245"/>
        </w:tabs>
        <w:wordWrap w:val="0"/>
        <w:spacing w:line="360" w:lineRule="auto"/>
        <w:jc w:val="left"/>
        <w:rPr>
          <w:rFonts w:ascii="宋体" w:hAnsi="宋体" w:cs="宋体"/>
          <w:color w:val="auto"/>
          <w:sz w:val="32"/>
          <w:szCs w:val="32"/>
          <w:highlight w:val="none"/>
          <w:u w:val="single"/>
        </w:rPr>
      </w:pPr>
    </w:p>
    <w:p>
      <w:pPr>
        <w:spacing w:line="360" w:lineRule="auto"/>
        <w:jc w:val="right"/>
        <w:rPr>
          <w:rFonts w:ascii="宋体" w:hAnsi="宋体" w:cs="宋体"/>
          <w:color w:val="auto"/>
          <w:sz w:val="32"/>
          <w:szCs w:val="32"/>
          <w:highlight w:val="none"/>
          <w:u w:val="single"/>
        </w:rPr>
      </w:pPr>
    </w:p>
    <w:p>
      <w:pPr>
        <w:keepNext/>
        <w:keepLines/>
        <w:spacing w:before="120" w:after="120" w:line="360" w:lineRule="auto"/>
        <w:jc w:val="center"/>
        <w:outlineLvl w:val="0"/>
        <w:rPr>
          <w:rFonts w:ascii="宋体" w:hAnsi="宋体" w:cs="宋体"/>
          <w:bCs/>
          <w:color w:val="auto"/>
          <w:spacing w:val="-40"/>
          <w:kern w:val="0"/>
          <w:sz w:val="52"/>
          <w:szCs w:val="52"/>
          <w:highlight w:val="none"/>
        </w:rPr>
      </w:pPr>
      <w:bookmarkStart w:id="295" w:name="_Toc24322"/>
      <w:bookmarkStart w:id="296" w:name="_Toc13758"/>
      <w:bookmarkStart w:id="297" w:name="_Toc207002428"/>
      <w:bookmarkStart w:id="298" w:name="_Toc3386"/>
      <w:bookmarkStart w:id="299" w:name="_Toc1180210287"/>
      <w:bookmarkStart w:id="300" w:name="_Toc19050"/>
      <w:bookmarkStart w:id="301" w:name="_Toc6966"/>
      <w:bookmarkStart w:id="302" w:name="_Toc3561"/>
      <w:bookmarkStart w:id="303" w:name="_Toc11896"/>
      <w:r>
        <w:rPr>
          <w:rFonts w:hint="eastAsia" w:ascii="宋体" w:hAnsi="宋体" w:cs="宋体"/>
          <w:bCs/>
          <w:color w:val="auto"/>
          <w:spacing w:val="-40"/>
          <w:kern w:val="0"/>
          <w:sz w:val="52"/>
          <w:szCs w:val="52"/>
          <w:highlight w:val="none"/>
        </w:rPr>
        <w:t>广州市建设工程施工合同</w:t>
      </w:r>
      <w:bookmarkEnd w:id="295"/>
      <w:bookmarkEnd w:id="296"/>
      <w:bookmarkEnd w:id="297"/>
      <w:bookmarkEnd w:id="298"/>
      <w:bookmarkEnd w:id="299"/>
      <w:bookmarkEnd w:id="300"/>
      <w:bookmarkEnd w:id="301"/>
      <w:bookmarkEnd w:id="302"/>
      <w:bookmarkEnd w:id="303"/>
    </w:p>
    <w:p>
      <w:pPr>
        <w:tabs>
          <w:tab w:val="left" w:pos="1380"/>
        </w:tabs>
        <w:spacing w:line="360" w:lineRule="auto"/>
        <w:rPr>
          <w:rFonts w:ascii="宋体" w:hAnsi="宋体" w:cs="宋体"/>
          <w:color w:val="auto"/>
          <w:sz w:val="32"/>
          <w:szCs w:val="32"/>
          <w:highlight w:val="none"/>
        </w:rPr>
      </w:pPr>
    </w:p>
    <w:p>
      <w:pPr>
        <w:tabs>
          <w:tab w:val="left" w:pos="1380"/>
        </w:tabs>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ab/>
      </w:r>
    </w:p>
    <w:p>
      <w:pPr>
        <w:spacing w:line="640" w:lineRule="exact"/>
        <w:ind w:firstLine="1699" w:firstLineChars="531"/>
        <w:rPr>
          <w:rFonts w:ascii="宋体" w:hAnsi="宋体" w:cs="宋体"/>
          <w:color w:val="auto"/>
          <w:sz w:val="32"/>
          <w:szCs w:val="32"/>
          <w:highlight w:val="none"/>
          <w:u w:val="single"/>
        </w:rPr>
      </w:pPr>
    </w:p>
    <w:p>
      <w:pPr>
        <w:spacing w:line="640" w:lineRule="exact"/>
        <w:ind w:left="426" w:leftChars="203"/>
        <w:rPr>
          <w:rFonts w:ascii="宋体" w:hAnsi="宋体" w:cs="宋体"/>
          <w:color w:val="auto"/>
          <w:sz w:val="32"/>
          <w:szCs w:val="32"/>
          <w:highlight w:val="none"/>
          <w:u w:val="single"/>
        </w:rPr>
      </w:pPr>
      <w:r>
        <w:rPr>
          <w:rFonts w:hint="eastAsia" w:ascii="宋体" w:hAnsi="宋体" w:cs="宋体"/>
          <w:color w:val="auto"/>
          <w:sz w:val="32"/>
          <w:szCs w:val="32"/>
          <w:highlight w:val="none"/>
        </w:rPr>
        <w:t>工程名称：</w:t>
      </w:r>
      <w:r>
        <w:rPr>
          <w:rFonts w:hint="eastAsia" w:ascii="宋体" w:hAnsi="宋体" w:cs="宋体"/>
          <w:color w:val="auto"/>
          <w:sz w:val="32"/>
          <w:szCs w:val="32"/>
          <w:highlight w:val="none"/>
          <w:u w:val="single"/>
          <w:lang w:eastAsia="zh-CN"/>
        </w:rPr>
        <w:t>白云恒运天然气发电项目燃气管线工程</w:t>
      </w:r>
      <w:r>
        <w:rPr>
          <w:rFonts w:hint="eastAsia" w:ascii="宋体" w:hAnsi="宋体" w:cs="宋体"/>
          <w:color w:val="auto"/>
          <w:sz w:val="32"/>
          <w:szCs w:val="32"/>
          <w:highlight w:val="none"/>
          <w:u w:val="single"/>
        </w:rPr>
        <w:t>施工总承包</w:t>
      </w:r>
    </w:p>
    <w:p>
      <w:pPr>
        <w:spacing w:before="240" w:beforeLines="100" w:after="120" w:afterLines="50"/>
        <w:ind w:left="3443" w:leftChars="203" w:hanging="3017" w:hangingChars="943"/>
        <w:rPr>
          <w:rFonts w:hint="eastAsia" w:ascii="宋体" w:hAnsi="宋体" w:cs="宋体"/>
          <w:color w:val="auto"/>
          <w:sz w:val="32"/>
          <w:szCs w:val="32"/>
          <w:highlight w:val="none"/>
          <w:u w:val="single"/>
          <w:lang w:eastAsia="zh-CN"/>
        </w:rPr>
      </w:pPr>
      <w:r>
        <w:rPr>
          <w:rFonts w:hint="eastAsia" w:ascii="宋体" w:hAnsi="宋体" w:cs="宋体"/>
          <w:color w:val="auto"/>
          <w:sz w:val="32"/>
          <w:szCs w:val="32"/>
          <w:highlight w:val="none"/>
        </w:rPr>
        <w:t>工程地点：</w:t>
      </w:r>
      <w:r>
        <w:rPr>
          <w:rFonts w:hint="eastAsia" w:ascii="宋体" w:hAnsi="宋体" w:cs="宋体"/>
          <w:color w:val="auto"/>
          <w:sz w:val="32"/>
          <w:szCs w:val="32"/>
          <w:highlight w:val="none"/>
          <w:u w:val="single"/>
        </w:rPr>
        <w:t>广州市</w:t>
      </w:r>
      <w:r>
        <w:rPr>
          <w:rFonts w:hint="eastAsia" w:ascii="宋体" w:hAnsi="宋体" w:cs="宋体"/>
          <w:color w:val="auto"/>
          <w:sz w:val="32"/>
          <w:szCs w:val="32"/>
          <w:highlight w:val="none"/>
          <w:u w:val="single"/>
          <w:lang w:eastAsia="zh-CN"/>
        </w:rPr>
        <w:t>白云区</w:t>
      </w:r>
    </w:p>
    <w:p>
      <w:pPr>
        <w:spacing w:before="240" w:beforeLines="100" w:after="120" w:afterLines="50"/>
        <w:ind w:left="3443" w:leftChars="203" w:hanging="3017" w:hangingChars="943"/>
        <w:rPr>
          <w:rFonts w:ascii="宋体" w:hAnsi="宋体" w:cs="宋体"/>
          <w:color w:val="auto"/>
          <w:sz w:val="32"/>
          <w:szCs w:val="32"/>
          <w:highlight w:val="none"/>
        </w:rPr>
      </w:pPr>
      <w:r>
        <w:rPr>
          <w:rFonts w:hint="eastAsia" w:ascii="宋体" w:hAnsi="宋体" w:cs="宋体"/>
          <w:color w:val="auto"/>
          <w:sz w:val="32"/>
          <w:szCs w:val="32"/>
          <w:highlight w:val="none"/>
        </w:rPr>
        <w:t>发包人：</w:t>
      </w:r>
      <w:r>
        <w:rPr>
          <w:rFonts w:hint="eastAsia" w:ascii="宋体" w:hAnsi="宋体" w:cs="宋体"/>
          <w:color w:val="auto"/>
          <w:sz w:val="32"/>
          <w:szCs w:val="32"/>
          <w:highlight w:val="none"/>
          <w:u w:val="single"/>
        </w:rPr>
        <w:t xml:space="preserve"> 广州燃气集团有限公司</w:t>
      </w:r>
    </w:p>
    <w:p>
      <w:pPr>
        <w:spacing w:before="240" w:beforeLines="100" w:after="120" w:afterLines="50"/>
        <w:ind w:left="3443" w:leftChars="203" w:hanging="3017" w:hangingChars="943"/>
        <w:rPr>
          <w:rFonts w:ascii="宋体" w:hAnsi="宋体" w:cs="宋体"/>
          <w:color w:val="auto"/>
          <w:sz w:val="32"/>
          <w:szCs w:val="32"/>
          <w:highlight w:val="none"/>
          <w:u w:val="single"/>
        </w:rPr>
      </w:pPr>
      <w:r>
        <w:rPr>
          <w:rFonts w:hint="eastAsia" w:ascii="宋体" w:hAnsi="宋体" w:cs="宋体"/>
          <w:color w:val="auto"/>
          <w:sz w:val="32"/>
          <w:szCs w:val="32"/>
          <w:highlight w:val="none"/>
        </w:rPr>
        <w:t>承包人：</w:t>
      </w:r>
    </w:p>
    <w:p>
      <w:pPr>
        <w:spacing w:line="360" w:lineRule="auto"/>
        <w:ind w:left="3255" w:leftChars="203" w:hanging="2829" w:hangingChars="943"/>
        <w:rPr>
          <w:rFonts w:ascii="宋体" w:hAnsi="宋体" w:cs="宋体"/>
          <w:color w:val="auto"/>
          <w:sz w:val="30"/>
          <w:szCs w:val="30"/>
          <w:highlight w:val="none"/>
          <w:u w:val="single"/>
        </w:rPr>
      </w:pPr>
    </w:p>
    <w:p>
      <w:pPr>
        <w:spacing w:line="360" w:lineRule="auto"/>
        <w:ind w:firstLine="900" w:firstLineChars="300"/>
        <w:rPr>
          <w:rFonts w:ascii="宋体" w:hAnsi="宋体" w:cs="宋体"/>
          <w:color w:val="auto"/>
          <w:sz w:val="30"/>
          <w:szCs w:val="30"/>
          <w:highlight w:val="none"/>
          <w:u w:val="single"/>
        </w:rPr>
      </w:pPr>
    </w:p>
    <w:p>
      <w:pPr>
        <w:spacing w:line="240" w:lineRule="atLeast"/>
        <w:jc w:val="center"/>
        <w:rPr>
          <w:rFonts w:ascii="宋体" w:hAnsi="宋体" w:cs="宋体"/>
          <w:b/>
          <w:bCs/>
          <w:color w:val="auto"/>
          <w:spacing w:val="50"/>
          <w:sz w:val="32"/>
          <w:szCs w:val="32"/>
          <w:highlight w:val="none"/>
        </w:rPr>
      </w:pPr>
      <w:r>
        <w:rPr>
          <w:rFonts w:hint="eastAsia" w:ascii="宋体" w:hAnsi="宋体" w:cs="宋体"/>
          <w:b/>
          <w:bCs/>
          <w:color w:val="auto"/>
          <w:spacing w:val="50"/>
          <w:sz w:val="32"/>
          <w:szCs w:val="32"/>
          <w:highlight w:val="none"/>
        </w:rPr>
        <w:t>广州市住房和城乡建设局</w:t>
      </w:r>
    </w:p>
    <w:p>
      <w:pPr>
        <w:spacing w:line="240" w:lineRule="atLeast"/>
        <w:jc w:val="center"/>
        <w:rPr>
          <w:rFonts w:ascii="宋体" w:hAnsi="宋体" w:cs="宋体"/>
          <w:b/>
          <w:bCs/>
          <w:color w:val="auto"/>
          <w:spacing w:val="20"/>
          <w:sz w:val="32"/>
          <w:szCs w:val="32"/>
          <w:highlight w:val="none"/>
        </w:rPr>
      </w:pPr>
      <w:r>
        <w:rPr>
          <w:rFonts w:hint="eastAsia" w:ascii="宋体" w:hAnsi="宋体" w:cs="宋体"/>
          <w:b/>
          <w:bCs/>
          <w:color w:val="auto"/>
          <w:spacing w:val="20"/>
          <w:sz w:val="32"/>
          <w:szCs w:val="32"/>
          <w:highlight w:val="none"/>
        </w:rPr>
        <w:t>制定</w:t>
      </w:r>
    </w:p>
    <w:p>
      <w:pPr>
        <w:spacing w:line="240" w:lineRule="atLeast"/>
        <w:ind w:firstLine="1869" w:firstLineChars="400"/>
        <w:rPr>
          <w:rFonts w:ascii="宋体" w:hAnsi="宋体" w:cs="宋体"/>
          <w:b/>
          <w:bCs/>
          <w:color w:val="auto"/>
          <w:spacing w:val="73"/>
          <w:sz w:val="32"/>
          <w:szCs w:val="32"/>
          <w:highlight w:val="none"/>
        </w:rPr>
      </w:pPr>
      <w:r>
        <w:rPr>
          <w:rFonts w:hint="eastAsia" w:ascii="宋体" w:hAnsi="宋体" w:cs="宋体"/>
          <w:b/>
          <w:bCs/>
          <w:color w:val="auto"/>
          <w:spacing w:val="73"/>
          <w:sz w:val="32"/>
          <w:szCs w:val="32"/>
          <w:highlight w:val="none"/>
        </w:rPr>
        <w:t>广州市市场监督管理局</w:t>
      </w:r>
    </w:p>
    <w:p>
      <w:pPr>
        <w:spacing w:line="240" w:lineRule="atLeast"/>
        <w:jc w:val="center"/>
        <w:rPr>
          <w:rFonts w:ascii="宋体" w:hAnsi="宋体" w:cs="宋体"/>
          <w:b/>
          <w:bCs/>
          <w:color w:val="auto"/>
          <w:spacing w:val="20"/>
          <w:sz w:val="32"/>
          <w:szCs w:val="32"/>
          <w:highlight w:val="none"/>
        </w:rPr>
      </w:pPr>
    </w:p>
    <w:p>
      <w:pPr>
        <w:spacing w:line="240" w:lineRule="atLeast"/>
        <w:jc w:val="center"/>
        <w:rPr>
          <w:rFonts w:ascii="宋体" w:hAnsi="宋体" w:cs="宋体"/>
          <w:color w:val="auto"/>
          <w:sz w:val="32"/>
          <w:szCs w:val="32"/>
          <w:highlight w:val="none"/>
          <w:u w:val="single"/>
        </w:rPr>
      </w:pPr>
    </w:p>
    <w:p>
      <w:pPr>
        <w:widowControl/>
        <w:spacing w:line="360" w:lineRule="auto"/>
        <w:jc w:val="left"/>
        <w:rPr>
          <w:rFonts w:ascii="宋体" w:hAnsi="宋体" w:cs="宋体"/>
          <w:b/>
          <w:bCs/>
          <w:color w:val="auto"/>
          <w:spacing w:val="80"/>
          <w:kern w:val="0"/>
          <w:sz w:val="36"/>
          <w:szCs w:val="36"/>
          <w:highlight w:val="none"/>
        </w:rPr>
        <w:sectPr>
          <w:footerReference r:id="rId23" w:type="default"/>
          <w:endnotePr>
            <w:numFmt w:val="decimal"/>
          </w:endnotePr>
          <w:pgSz w:w="11906" w:h="16838"/>
          <w:pgMar w:top="1440" w:right="1800" w:bottom="1440" w:left="1800" w:header="0" w:footer="850" w:gutter="0"/>
          <w:pgNumType w:fmt="decimal" w:start="1"/>
          <w:cols w:space="720" w:num="1"/>
          <w:docGrid w:linePitch="286" w:charSpace="0"/>
        </w:sectPr>
      </w:pPr>
    </w:p>
    <w:p>
      <w:pPr>
        <w:tabs>
          <w:tab w:val="right" w:leader="dot" w:pos="9060"/>
        </w:tabs>
        <w:adjustRightInd w:val="0"/>
        <w:snapToGrid w:val="0"/>
        <w:spacing w:before="120" w:after="120" w:line="360" w:lineRule="auto"/>
        <w:jc w:val="center"/>
        <w:textAlignment w:val="baseline"/>
        <w:rPr>
          <w:rFonts w:ascii="宋体" w:hAnsi="宋体" w:cs="宋体"/>
          <w:caps/>
          <w:color w:val="auto"/>
          <w:kern w:val="0"/>
          <w:sz w:val="36"/>
          <w:szCs w:val="36"/>
          <w:highlight w:val="none"/>
        </w:rPr>
      </w:pPr>
      <w:bookmarkStart w:id="304" w:name="_Toc18985701"/>
      <w:bookmarkStart w:id="305" w:name="_Toc18985581"/>
      <w:bookmarkStart w:id="306" w:name="_Toc18985535"/>
      <w:bookmarkStart w:id="307" w:name="_Toc18984943"/>
      <w:r>
        <w:rPr>
          <w:rFonts w:hint="eastAsia" w:ascii="宋体" w:hAnsi="宋体" w:cs="宋体"/>
          <w:caps/>
          <w:color w:val="auto"/>
          <w:kern w:val="0"/>
          <w:sz w:val="36"/>
          <w:szCs w:val="36"/>
          <w:highlight w:val="none"/>
        </w:rPr>
        <w:br w:type="page"/>
      </w:r>
      <w:r>
        <w:rPr>
          <w:rFonts w:hint="eastAsia" w:ascii="宋体" w:hAnsi="宋体" w:cs="宋体"/>
          <w:caps/>
          <w:color w:val="auto"/>
          <w:kern w:val="0"/>
          <w:sz w:val="36"/>
          <w:szCs w:val="36"/>
          <w:highlight w:val="none"/>
        </w:rPr>
        <w:t>目录</w:t>
      </w:r>
    </w:p>
    <w:p>
      <w:pPr>
        <w:pStyle w:val="28"/>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"1-3" \h \z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_Toc1635329917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36"/>
          <w:highlight w:val="none"/>
        </w:rPr>
        <w:t>第一部分协议书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_Toc1635329917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_Toc1494200713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一、工程概况</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_Toc1494200713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_Toc357615373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二、招标内容及范围</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_Toc357615373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_Toc1782329705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三、合同工期</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_Toc1782329705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_Toc365959932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四、质量标准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_Toc365959932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_Toc295412116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五、合同价款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_Toc295412116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_Toc9241748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六、</w:t>
      </w:r>
      <w:r>
        <w:rPr>
          <w:rFonts w:hint="eastAsia" w:ascii="宋体" w:hAnsi="宋体" w:eastAsia="宋体" w:cs="宋体"/>
          <w:bCs/>
          <w:color w:val="auto"/>
          <w:kern w:val="0"/>
          <w:szCs w:val="24"/>
          <w:highlight w:val="none"/>
        </w:rPr>
        <w:t>工人工资支付分账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_Toc9241748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_Toc707236052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七、组成合同的文件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_Toc707236052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_Toc194339819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八、词语含义</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_Toc194339819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_Toc2094194493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九、承包人承诺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_Toc2094194493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_Toc2017353168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十、发包人承诺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_Toc2017353168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_Toc1182875740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十一、合同生效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_Toc1182875740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_Toc1336441901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十二、合同份数</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_Toc1336441901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8"/>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_Toc1047566134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36"/>
          <w:highlight w:val="none"/>
        </w:rPr>
        <w:t>第二部分通用条款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_Toc1047566134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_Toc1373076032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32"/>
          <w:highlight w:val="none"/>
        </w:rPr>
        <w:t>一、总则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_Toc1373076032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_Toc429599162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  定义</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_Toc429599162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_Toc433094520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2  合同文件及解释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_Toc433094520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_Toc1197517957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3  阅读、理解与接受</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_Toc1197517957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_Toc467563615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4  语言及适用的法律、标准与规范</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_Toc467563615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_Toc699012932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5  施工设计图纸</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_Toc699012932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_Toc1574799034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6  通讯联络</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_Toc1574799034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_Toc2058898810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7  工程分包</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_Toc2058898810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_Toc1508295559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8  现场查勘</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_Toc1508295559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_Toc1026490925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9  招标错失的修正</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_Toc1026490925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_Toc1496840124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10  投标文件的完备性</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_Toc1496840124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_Toc1768523110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11  文物和地下障碍物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_Toc1768523110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_Toc246751643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12  事故处理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_Toc246751643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_Toc363941544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13  交通运输</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_Toc363941544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_Toc732103352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14  专项批准事件的签认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_Toc732103352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_Toc1527223401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15  专利技术</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_Toc1527223401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_Toc1319151663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16  联合的责任</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_Toc1319151663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_Toc360828413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17  保障</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_Toc360828413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_Toc2096801810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18  财产</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_Toc2096801810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_Toc741373400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二、合同主体</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_Toc741373400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_Toc562613906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19  发包人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_Toc562613906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_Toc481420401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20  承包人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_Toc481420401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_Toc1661781358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21  现场管理人员任命和更换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_Toc1661781358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_Toc1534454671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22  发包人代表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_Toc1534454671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_Toc448538674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23  监理工程师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_Toc448538674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_Toc921892948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24  造价工程师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_Toc921892948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_Toc160263931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25  承包人代表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_Toc160263931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_Toc611394979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26  指定分包人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_Toc611394979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_Toc6161158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27  承包人劳务</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_Toc6161158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_Toc471367450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三、担保、保险与风险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_Toc471367450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_Toc205558367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28  工程担保</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_Toc205558367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_Toc1665769793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29  发包人风险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_Toc1665769793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_Toc1996088659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30  承包人风险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_Toc1996088659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_Toc272558379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31  不可抗力</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_Toc272558379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_Toc306056802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32  保险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_Toc306056802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_Toc673336649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四、工期</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_Toc673336649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_Toc1677723700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33  进度计划和报告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_Toc1677723700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_Toc1041940790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34  开工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_Toc1041940790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_Toc1317199892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35  暂停施工和复工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_Toc1317199892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_Toc1917151568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36  工期和工期延误</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_Toc1917151568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_Toc721763788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37  加快进度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_Toc721763788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_Toc1696346660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38  竣工日期</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_Toc1696346660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_Toc505417048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39  提前竣工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_Toc505417048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_Toc1246501851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40  误期赔偿</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_Toc1246501851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_Toc1253633272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五、质量与安全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_Toc1253633272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_Toc852341787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41  质量与安全管理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_Toc852341787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_Toc1592488619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42  质量标准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_Toc1592488619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_Toc867526972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43  工程质量创优</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_Toc867526972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_Toc1259338921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44  工程的照管</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_Toc1259338921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_Toc110420415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45  绿色施工安全防护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_Toc110420415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_Toc410043897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46  测量放线</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_Toc410043897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_Toc332753656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47  钻孔与勘探性开挖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_Toc332753656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_Toc543279604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48  发包人供应材料和工程设备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_Toc543279604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_Toc1947321031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49  承包人采购材料和工程设备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_Toc1947321031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_Toc973787737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50  材料和工程设备的检验试验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_Toc973787737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_Toc477621972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51  施工设备和临时设施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_Toc477621972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_Toc98610918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52  工程质量检查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_Toc98610918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_Toc1643806989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53  隐蔽工程和中间验收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_Toc1643806989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_Toc86945468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54  重新验收和额外检查检验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_Toc86945468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_Toc1003600716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55  工程试车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_Toc1003600716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_Toc1180670274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56  工程变更</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_Toc1180670274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_Toc776396838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57  竣工验收条件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_Toc776396838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_Toc791017094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58  竣工验收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_Toc791017094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_Toc1700523928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59  缺陷责任与质量保修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_Toc1700523928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_Toc1993283620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六、造价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_Toc1993283620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_Toc372908140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60  资金计划和安排</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_Toc372908140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_Toc1109827034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61  工程量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_Toc1109827034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_Toc1967486243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62  工程计量和计价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_Toc1967486243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_Toc588089595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63  暂列金额</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_Toc588089595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_Toc1302079671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64  计日工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_Toc1302079671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_Toc1194667567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65  暂估价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_Toc1194667567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_Toc1953182766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66  提前竣工奖与误期赔偿费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_Toc1953182766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_Toc707720120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67  工程优质费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_Toc707720120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_Toc1887619754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68  合同价款的约定与调整</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_Toc1887619754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_Toc449288347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69  后继法律变化事件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_Toc449288347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_Toc636745177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70  项目特征描述不符事件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_Toc636745177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_Toc865176838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71  分部分项工程量清单缺项漏项事件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_Toc865176838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_Toc415342429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72  工程变更事件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_Toc415342429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_Toc1338351453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73  工程量偏差事件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_Toc1338351453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_Toc929151893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74  费用索赔事件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_Toc929151893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_Toc1902268314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75  现场签证事件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_Toc1902268314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_Toc1834500509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76  物价涨落事件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_Toc1834500509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_Toc1027334784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77  合同价款调整程序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_Toc1027334784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_Toc647192808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0"/>
          <w:szCs w:val="24"/>
          <w:highlight w:val="none"/>
        </w:rPr>
        <w:t>78  支付事项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_Toc647192808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_Toc364852001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79  预付款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_Toc364852001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_Toc1001768622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80  绿色施工安全防护费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_Toc1001768622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_Toc453437474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81  进度款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_Toc453437474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_Toc1651645962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82  竣工结算</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_Toc1651645962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_Toc840062212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83  结算款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_Toc840062212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_Toc1368101706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84  质量保证金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_Toc1368101706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_Toc577964313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85  最终清算款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_Toc577964313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_Toc777673210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七、合同争议、解除与终止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_Toc777673210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_Toc768164828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86  合同争议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_Toc768164828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_Toc2022062079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87  合同解除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_Toc2022062079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_Toc868647978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88  合同解除的支付</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_Toc868647978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_Toc772733940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89  合同终止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_Toc772733940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_Toc1505716171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90  承包人的违约责任</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_Toc1505716171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_Toc624389749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91 发包人的违约责任</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_Toc624389749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_Toc1513412201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92  除外责任</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_Toc1513412201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_Toc1122547139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九、其他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_Toc1122547139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_Toc1005926278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93  缴纳税费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_Toc1005926278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_Toc1611685162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94  保密要求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_Toc1611685162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_Toc1381278123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95 廉政建设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_Toc1381278123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_Toc843189191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96  禁止转让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_Toc843189191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_Toc236146584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97  合同份数</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_Toc236146584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8306"/>
        </w:tabs>
        <w:rPr>
          <w:rFonts w:hint="eastAsia" w:ascii="宋体" w:hAnsi="宋体" w:eastAsia="宋体" w:cs="宋体"/>
          <w:color w:val="auto"/>
          <w:szCs w:val="24"/>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_Toc365857632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98  合同管理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_Toc365857632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8"/>
        <w:tabs>
          <w:tab w:val="right" w:leader="dot" w:pos="8306"/>
          <w:tab w:val="clear" w:pos="9060"/>
        </w:tabs>
        <w:rPr>
          <w:rFonts w:hint="default" w:eastAsia="宋体"/>
          <w:lang w:val="en-US" w:eastAsia="zh-CN"/>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_Toc1047566134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36"/>
          <w:highlight w:val="none"/>
        </w:rPr>
        <w:t>第</w:t>
      </w:r>
      <w:r>
        <w:rPr>
          <w:rFonts w:hint="eastAsia" w:cs="宋体"/>
          <w:bCs/>
          <w:color w:val="auto"/>
          <w:szCs w:val="36"/>
          <w:highlight w:val="none"/>
          <w:lang w:val="en-US" w:eastAsia="zh-CN"/>
        </w:rPr>
        <w:t>三</w:t>
      </w:r>
      <w:r>
        <w:rPr>
          <w:rFonts w:hint="eastAsia" w:ascii="宋体" w:hAnsi="宋体" w:eastAsia="宋体" w:cs="宋体"/>
          <w:bCs/>
          <w:color w:val="auto"/>
          <w:szCs w:val="36"/>
          <w:highlight w:val="none"/>
        </w:rPr>
        <w:t>部分</w:t>
      </w:r>
      <w:r>
        <w:rPr>
          <w:rFonts w:hint="eastAsia" w:cs="宋体"/>
          <w:bCs/>
          <w:color w:val="auto"/>
          <w:szCs w:val="36"/>
          <w:highlight w:val="none"/>
          <w:lang w:val="en-US" w:eastAsia="zh-CN"/>
        </w:rPr>
        <w:t>专</w:t>
      </w:r>
      <w:r>
        <w:rPr>
          <w:rFonts w:hint="eastAsia" w:ascii="宋体" w:hAnsi="宋体" w:eastAsia="宋体" w:cs="宋体"/>
          <w:bCs/>
          <w:color w:val="auto"/>
          <w:szCs w:val="36"/>
          <w:highlight w:val="none"/>
        </w:rPr>
        <w:t>用条款</w:t>
      </w:r>
      <w:r>
        <w:rPr>
          <w:rFonts w:hint="eastAsia" w:ascii="宋体" w:hAnsi="宋体" w:eastAsia="宋体" w:cs="宋体"/>
          <w:color w:val="auto"/>
          <w:highlight w:val="none"/>
        </w:rPr>
        <w:tab/>
      </w:r>
      <w:r>
        <w:rPr>
          <w:rFonts w:hint="eastAsia" w:cs="宋体"/>
          <w:color w:val="auto"/>
          <w:highlight w:val="none"/>
          <w:lang w:val="en-US" w:eastAsia="zh-CN"/>
        </w:rPr>
        <w:t>1</w:t>
      </w:r>
      <w:r>
        <w:rPr>
          <w:rFonts w:hint="eastAsia" w:ascii="宋体" w:hAnsi="宋体" w:eastAsia="宋体" w:cs="宋体"/>
          <w:color w:val="auto"/>
          <w:szCs w:val="24"/>
          <w:highlight w:val="none"/>
        </w:rPr>
        <w:fldChar w:fldCharType="end"/>
      </w:r>
      <w:r>
        <w:rPr>
          <w:rFonts w:hint="eastAsia" w:cs="宋体"/>
          <w:color w:val="auto"/>
          <w:szCs w:val="24"/>
          <w:highlight w:val="none"/>
          <w:lang w:val="en-US" w:eastAsia="zh-CN"/>
        </w:rPr>
        <w:t>32</w:t>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_Toc723539663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1．定义</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_Toc723539663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_Toc1478706727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2．合同文件及解释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_Toc1478706727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_Toc1943197605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4．语言及适用的法律、标准与规范</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_Toc1943197605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_Toc390843659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 施工设计图纸</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_Toc390843659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_Toc1904384287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 通信联络</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_Toc1904384287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_Toc890436721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 工程分包</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_Toc890436721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_Toc1903917551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13. 交通运输</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_Toc1903917551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_Toc1635939357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19. 发包人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_Toc1635939357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_Toc999640558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20. 承包人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_Toc999640558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_Toc1194287825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21. 现场管理人员任命和更换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_Toc1194287825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_Toc2013309913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22. 发包人代表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_Toc2013309913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_Toc1947365659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23. 监理工程师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_Toc1947365659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_Toc1723850533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24. 造价工程师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_Toc1723850533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_Toc1054026454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25. 承包人代表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_Toc1054026454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_Toc430008275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26. 指定分包人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_Toc430008275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_Toc866605770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28. 工程担保</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_Toc866605770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_Toc809082436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32. 保险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_Toc809082436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_Toc382049048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33. 进度计划和报告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_Toc382049048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_Toc122245206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34. 开工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_Toc122245206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_Toc1580810710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35.暂停施工和复工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_Toc1580810710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_Toc17922286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36. 工期及工期延误</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_Toc17922286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_Toc572150222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38. 竣工日期</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_Toc572150222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_Toc1844493535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42. 质量标准、目标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_Toc1844493535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_Toc1476398300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45. 绿色施工安全防护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_Toc1476398300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_Toc1800170662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46. 测量放线</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_Toc1800170662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_Toc1718697298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48.发包人供应材料和工程设备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_Toc1718697298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_Toc342951689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49. 承包人采购材料和工程设备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_Toc342951689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_Toc142928475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50. 材料和工程设备的检验试验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_Toc142928475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_Toc1312161979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51. 施工设备和临时设施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_Toc1312161979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_Toc996810010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53. 隐蔽工程和中间验收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_Toc996810010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_Toc865907823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55. 工程试车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_Toc865907823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_Toc1963589089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56．工程变更</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_Toc1963589089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_Toc1660615374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58. 竣工验收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_Toc1660615374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_Toc1265114406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59. 缺陷责任与质量保修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_Toc1265114406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_Toc542232695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60. 资金计划和安排</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_Toc542232695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_Toc1531790644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61. 工程量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_Toc1531790644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_Toc771393472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62. 工程计量和计价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_Toc771393472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_Toc451306965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63. 暂列金额</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_Toc451306965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_Toc203919551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65. 暂估价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_Toc203919551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_Toc2039476692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66. 提前竣工奖与误期赔偿费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_Toc2039476692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_Toc1498272677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67. 工程优质费、工程建设标准费用</w:t>
      </w:r>
      <w:r>
        <w:rPr>
          <w:rFonts w:hint="eastAsia" w:ascii="宋体" w:hAnsi="宋体" w:eastAsia="宋体" w:cs="宋体"/>
          <w:color w:val="auto"/>
          <w:szCs w:val="24"/>
          <w:highlight w:val="none"/>
        </w:rPr>
        <w:t>（本条不适用）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_Toc1498272677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_Toc75637617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68. 合同价款的约定与调整</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_Toc75637617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_Toc2078593542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71  分部分项工程量清单缺项漏项事件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_Toc2078593542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_Toc1805174645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72. 工程变更事件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_Toc1805174645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_Toc2068777346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73. 工程量偏差事件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_Toc2068777346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_Toc33125645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75. 现场签证事件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_Toc33125645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_Toc544450942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76. 物价涨落事件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_Toc544450942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_Toc159162327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24"/>
          <w:highlight w:val="none"/>
        </w:rPr>
        <w:t>77  合同价款调整程序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_Toc159162327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_Toc1424089374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78. 支付事项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_Toc1424089374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_Toc964863003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79. 预付款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_Toc964863003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_Toc803472924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80. 绿色施工安全防护措施费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_Toc803472924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_Toc592261332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81. 进度款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_Toc592261332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_Toc549503079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82. 竣工结算</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_Toc549503079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_Toc1318566653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83. 结算款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_Toc1318566653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_Toc1265983578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84. 质量保证金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_Toc1265983578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_Toc118020970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85. 最终清算款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_Toc118020970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_Toc1451036609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86. 合同争议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_Toc1451036609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_Toc747992131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90  承包人的违约责任</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_Toc747992131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_Toc134476179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91 发包人的违约责任</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_Toc134476179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_Toc988343809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94. 保密要求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_Toc988343809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_Toc308388318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97. 合同份数</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_Toc308388318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176</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28"/>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_Toc1204420415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0"/>
          <w:szCs w:val="36"/>
          <w:highlight w:val="none"/>
        </w:rPr>
        <w:t>第四部分附件与格式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_Toc1204420415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_Toc513058283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附件1：</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_Toc513058283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179</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_Toc823719676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附件2：</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_Toc823719676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180</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_Toc1577005970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附件3：</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_Toc1577005970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182</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_Toc496166516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附件5：</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_Toc496166516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183</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_Toc391633111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附件6：</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_Toc391633111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184</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_Toc140318522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附件7：</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_Toc140318522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185</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pPr>
        <w:pStyle w:val="31"/>
        <w:tabs>
          <w:tab w:val="right" w:leader="dot" w:pos="8306"/>
          <w:tab w:val="clear" w:pos="9060"/>
        </w:tabs>
        <w:rPr>
          <w:rFonts w:hint="eastAsia" w:ascii="宋体" w:hAnsi="宋体" w:eastAsia="宋体" w:cs="宋体"/>
          <w:color w:val="auto"/>
          <w:szCs w:val="24"/>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_Toc396354848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附件8：</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_Toc396354848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r>
        <w:rPr>
          <w:rFonts w:hint="eastAsia" w:ascii="宋体" w:hAnsi="宋体" w:eastAsia="宋体" w:cs="宋体"/>
          <w:color w:val="auto"/>
          <w:szCs w:val="24"/>
          <w:highlight w:val="none"/>
        </w:rPr>
        <w:fldChar w:fldCharType="end"/>
      </w:r>
      <w:bookmarkStart w:id="308" w:name="_Toc266892751"/>
    </w:p>
    <w:p>
      <w:pPr>
        <w:pStyle w:val="31"/>
        <w:tabs>
          <w:tab w:val="right" w:leader="dot" w:pos="8306"/>
          <w:tab w:val="clear" w:pos="9060"/>
        </w:tabs>
        <w:rPr>
          <w:rFonts w:ascii="宋体" w:hAnsi="宋体" w:cs="宋体"/>
          <w:b/>
          <w:bCs/>
          <w:color w:val="auto"/>
          <w:sz w:val="36"/>
          <w:szCs w:val="40"/>
          <w:highlight w:val="none"/>
          <w:lang w:val="zh-CN"/>
        </w:rPr>
      </w:pPr>
      <w:r>
        <w:rPr>
          <w:rFonts w:hint="eastAsia" w:ascii="宋体" w:hAnsi="宋体" w:cs="宋体"/>
          <w:color w:val="auto"/>
          <w:sz w:val="36"/>
          <w:szCs w:val="36"/>
          <w:highlight w:val="none"/>
        </w:rPr>
        <w:br w:type="page"/>
      </w:r>
      <w:r>
        <w:rPr>
          <w:rFonts w:hint="eastAsia" w:ascii="宋体" w:hAnsi="宋体" w:cs="宋体"/>
          <w:b/>
          <w:bCs/>
          <w:color w:val="auto"/>
          <w:sz w:val="36"/>
          <w:szCs w:val="40"/>
          <w:highlight w:val="none"/>
          <w:lang w:val="zh-CN"/>
        </w:rPr>
        <w:t>总说明</w:t>
      </w:r>
    </w:p>
    <w:p>
      <w:pPr>
        <w:rPr>
          <w:rFonts w:ascii="宋体" w:hAnsi="宋体" w:cs="宋体"/>
          <w:color w:val="auto"/>
          <w:highlight w:val="none"/>
          <w:lang w:val="zh-CN"/>
        </w:rPr>
      </w:pP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为了指导建设工程施工合同当事人的签约行为，维护合同当事人的合法权益，依据《中华人民共和国民法典》、《中华人民共和国建筑法》、《中华人民共和国招标投标法》以及相关法律法规，参照《建设工程施工合同（示范文本）》（GF—2017—0201）、《广东省建设工程标准施工合同（2009年版）》等合同范本，广州市住房和城乡建设局、广州市市场监督管理局联合制定了合同示范文本《广州市建设工程施工合同》（SF-2019-0204）。为了便于合同当事人使用《广州市建设工程施工合同》（SF-2019-0204），现就有关问题说明如下：</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一、项目业主首要责任制</w:t>
      </w:r>
    </w:p>
    <w:p>
      <w:pPr>
        <w:spacing w:line="5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项目业主或发包方应履行基本建设程序，按照先勘察、后设计、再施工的原则实施工程建设，及时办理各项建设工程手续，并具备法律法规规定的开工条件，在依法领取施工许可证等有关证件后再开工建设；同时需负责整个建设项目全过程的安全管理，包括对设备厂家、设计单位、监理单位、检测单位及各施工单位安全监督管理。</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二、《广州市建设工程施工合同》（SF-2019-0204）的组成</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《广州市建设工程施工合同》（SF-2019-0204）由协议书、通用条款和专用条款三部分组成。</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（一）协议书</w:t>
      </w:r>
    </w:p>
    <w:p>
      <w:pPr>
        <w:spacing w:line="500" w:lineRule="exact"/>
        <w:ind w:left="147" w:leftChars="70"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《广州市建设工程施工合同》（SF-2019-0204）协议书集中约定了合同当事人基本的合同权利义务。</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（二）通用条款</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通用条款是合同当事人根据《中华人民共和国</w:t>
      </w:r>
      <w:r>
        <w:rPr>
          <w:rFonts w:hint="eastAsia" w:ascii="宋体" w:hAnsi="宋体" w:cs="宋体"/>
          <w:color w:val="auto"/>
          <w:sz w:val="24"/>
          <w:szCs w:val="24"/>
          <w:highlight w:val="none"/>
          <w:shd w:val="clear" w:color="auto" w:fill="FFFFFF"/>
        </w:rPr>
        <w:t>民法典</w:t>
      </w:r>
      <w:r>
        <w:rPr>
          <w:rFonts w:hint="eastAsia" w:ascii="宋体" w:hAnsi="宋体" w:cs="宋体"/>
          <w:color w:val="auto"/>
          <w:sz w:val="24"/>
          <w:szCs w:val="24"/>
          <w:highlight w:val="none"/>
        </w:rPr>
        <w:t>》、《中华人民共和国建筑法》等法律法规的规定，就工程施工的实施及相关事项，对合同当事人的权利义务作出的原则性约定。</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通用条款既考虑了现行法律法规对工程发承包计价的有关要求，也考虑了工程施工管理的特殊需要。</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（三）专用条款</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专用条款是对通用条款原则性约定的细化、完善、补充、修改或另行约定的条款。合同当事人可以根据不同建设工程的特点及发承包计价的具体情况，通过双方的谈判、协商对相应的专用条款进行修改补充。在使用专用条款时，应注意以下事项：</w:t>
      </w:r>
    </w:p>
    <w:p>
      <w:pPr>
        <w:spacing w:line="500" w:lineRule="exact"/>
        <w:ind w:right="25" w:rightChars="1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1.专用条款的编号应与相应的通用条款的编号一致；</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2.合同当事人可以通过对专用条款的修改，满足具体工程的特殊要求，避免直接修改通用条款；</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3.在专用条款中有横道线的地方，合同当事人可针对相应的通用条款进行细化、完善、补充、修改或另行约定；如无细化、完善、补充、修改或另行约定，则填写“无”或划“/”。</w:t>
      </w:r>
    </w:p>
    <w:p>
      <w:pPr>
        <w:spacing w:line="500" w:lineRule="exact"/>
        <w:ind w:firstLine="480" w:firstLineChars="200"/>
        <w:rPr>
          <w:rFonts w:ascii="宋体" w:hAnsi="宋体" w:cs="宋体"/>
          <w:b/>
          <w:bCs/>
          <w:color w:val="auto"/>
          <w:sz w:val="24"/>
          <w:szCs w:val="24"/>
          <w:highlight w:val="none"/>
        </w:rPr>
      </w:pPr>
      <w:r>
        <w:rPr>
          <w:rFonts w:hint="eastAsia" w:ascii="宋体" w:hAnsi="宋体" w:cs="宋体"/>
          <w:color w:val="auto"/>
          <w:sz w:val="24"/>
          <w:szCs w:val="24"/>
          <w:highlight w:val="none"/>
        </w:rPr>
        <w:t>三、《广州市建设工程施工合同》（SF-2019-0204）的适用范围</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广州市建设工程施工合同》（SF-2019-0204）适用于广州市行政区域内建设工程的新建、扩建、改建、装修、修缮等施工项目的合同订立。其中，通用条款中带号的条文，其内容是完整不可分割的，与法律、法规、规范有关联的条款，原则上应不进行删减，只能在专用条款中根据实际情况选择或在不违反原条款实质的前提下增加细化内容。其他内容合同当事人可结合建设工程具体情况，按照法律法规规定，根据《广州市建设工程施工合同》（SF-2019-0204）的内容，约定双方具体的权利义务。</w:t>
      </w:r>
    </w:p>
    <w:p>
      <w:pPr>
        <w:spacing w:line="500" w:lineRule="exact"/>
        <w:ind w:firstLine="616" w:firstLineChars="257"/>
        <w:rPr>
          <w:rFonts w:ascii="宋体" w:hAnsi="宋体" w:cs="宋体"/>
          <w:color w:val="auto"/>
          <w:sz w:val="24"/>
          <w:szCs w:val="24"/>
          <w:highlight w:val="none"/>
        </w:rPr>
      </w:pPr>
      <w:r>
        <w:rPr>
          <w:rFonts w:hint="eastAsia" w:ascii="宋体" w:hAnsi="宋体" w:cs="宋体"/>
          <w:color w:val="auto"/>
          <w:sz w:val="24"/>
          <w:szCs w:val="24"/>
          <w:highlight w:val="none"/>
        </w:rPr>
        <w:t>四、其他事项</w:t>
      </w:r>
    </w:p>
    <w:p>
      <w:pPr>
        <w:spacing w:line="500" w:lineRule="exact"/>
        <w:ind w:firstLine="616" w:firstLineChars="257"/>
        <w:rPr>
          <w:rFonts w:ascii="宋体" w:hAnsi="宋体" w:cs="宋体"/>
          <w:color w:val="auto"/>
          <w:sz w:val="24"/>
          <w:szCs w:val="24"/>
          <w:highlight w:val="none"/>
        </w:rPr>
      </w:pPr>
      <w:r>
        <w:rPr>
          <w:rFonts w:hint="eastAsia" w:ascii="宋体" w:hAnsi="宋体" w:cs="宋体"/>
          <w:color w:val="auto"/>
          <w:sz w:val="24"/>
          <w:szCs w:val="24"/>
          <w:highlight w:val="none"/>
        </w:rPr>
        <w:t>《广州市建设工程施工合同》（SF-2019-0204）》专用条款中的“预付款”、“进度款”、“竣工结算”条款，在签订合同时优先选择本合同中已列的支付条件、支付方式，如选择“其它方式”或“另作约定”形式的，需以合同附件的形式予以说明原因。</w:t>
      </w:r>
    </w:p>
    <w:p>
      <w:pPr>
        <w:widowControl/>
        <w:spacing w:beforeAutospacing="1" w:afterAutospacing="1"/>
        <w:jc w:val="left"/>
        <w:rPr>
          <w:rFonts w:ascii="宋体" w:hAnsi="宋体" w:cs="宋体"/>
          <w:color w:val="auto"/>
          <w:kern w:val="0"/>
          <w:sz w:val="36"/>
          <w:szCs w:val="36"/>
          <w:highlight w:val="none"/>
        </w:rPr>
        <w:sectPr>
          <w:footerReference r:id="rId24" w:type="default"/>
          <w:endnotePr>
            <w:numFmt w:val="decimal"/>
          </w:endnotePr>
          <w:type w:val="continuous"/>
          <w:pgSz w:w="11906" w:h="16838"/>
          <w:pgMar w:top="1440" w:right="1800" w:bottom="1440" w:left="1800" w:header="0" w:footer="850" w:gutter="0"/>
          <w:pgNumType w:fmt="decimal"/>
          <w:cols w:space="720" w:num="1"/>
          <w:titlePg/>
          <w:docGrid w:linePitch="286" w:charSpace="0"/>
        </w:sectPr>
      </w:pPr>
    </w:p>
    <w:p>
      <w:pPr>
        <w:widowControl/>
        <w:jc w:val="left"/>
        <w:rPr>
          <w:rFonts w:ascii="宋体" w:hAnsi="宋体" w:cs="宋体"/>
          <w:color w:val="auto"/>
          <w:sz w:val="36"/>
          <w:szCs w:val="36"/>
          <w:highlight w:val="none"/>
        </w:rPr>
      </w:pPr>
    </w:p>
    <w:bookmarkEnd w:id="304"/>
    <w:bookmarkEnd w:id="305"/>
    <w:bookmarkEnd w:id="306"/>
    <w:bookmarkEnd w:id="307"/>
    <w:bookmarkEnd w:id="308"/>
    <w:p>
      <w:pPr>
        <w:spacing w:line="360" w:lineRule="auto"/>
        <w:jc w:val="center"/>
        <w:outlineLvl w:val="0"/>
        <w:rPr>
          <w:rFonts w:ascii="宋体" w:hAnsi="宋体" w:cs="宋体"/>
          <w:b/>
          <w:bCs/>
          <w:color w:val="auto"/>
          <w:sz w:val="36"/>
          <w:szCs w:val="36"/>
          <w:highlight w:val="none"/>
        </w:rPr>
      </w:pPr>
      <w:bookmarkStart w:id="309" w:name="_Toc469383967"/>
      <w:r>
        <w:rPr>
          <w:rFonts w:hint="eastAsia" w:ascii="宋体" w:hAnsi="宋体" w:cs="宋体"/>
          <w:b/>
          <w:bCs/>
          <w:color w:val="auto"/>
          <w:sz w:val="36"/>
          <w:szCs w:val="36"/>
          <w:highlight w:val="none"/>
        </w:rPr>
        <w:br w:type="page"/>
      </w:r>
      <w:bookmarkStart w:id="310" w:name="_Toc1635329917"/>
      <w:bookmarkStart w:id="311" w:name="_Toc2530"/>
      <w:bookmarkStart w:id="312" w:name="_Toc4295"/>
      <w:bookmarkStart w:id="313" w:name="_Toc28874"/>
      <w:bookmarkStart w:id="314" w:name="_Toc14246"/>
      <w:bookmarkStart w:id="315" w:name="_Toc7967"/>
      <w:bookmarkStart w:id="316" w:name="_Toc166299256"/>
      <w:bookmarkStart w:id="317" w:name="_Toc3218"/>
      <w:r>
        <w:rPr>
          <w:rFonts w:hint="eastAsia" w:ascii="宋体" w:hAnsi="宋体" w:cs="宋体"/>
          <w:b/>
          <w:bCs/>
          <w:color w:val="auto"/>
          <w:sz w:val="36"/>
          <w:szCs w:val="36"/>
          <w:highlight w:val="none"/>
        </w:rPr>
        <w:t>第一部分协议书</w:t>
      </w:r>
      <w:bookmarkEnd w:id="309"/>
      <w:bookmarkEnd w:id="310"/>
      <w:bookmarkEnd w:id="311"/>
      <w:bookmarkEnd w:id="312"/>
      <w:bookmarkEnd w:id="313"/>
      <w:bookmarkEnd w:id="314"/>
      <w:bookmarkEnd w:id="315"/>
      <w:bookmarkEnd w:id="316"/>
      <w:bookmarkEnd w:id="317"/>
    </w:p>
    <w:p>
      <w:pPr>
        <w:spacing w:line="360" w:lineRule="auto"/>
        <w:jc w:val="center"/>
        <w:rPr>
          <w:rFonts w:ascii="宋体" w:hAnsi="宋体" w:cs="宋体"/>
          <w:color w:val="auto"/>
          <w:sz w:val="36"/>
          <w:szCs w:val="36"/>
          <w:highlight w:val="none"/>
        </w:rPr>
      </w:pP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发包人:（全称）</w:t>
      </w:r>
      <w:r>
        <w:rPr>
          <w:rFonts w:hint="eastAsia" w:ascii="宋体" w:hAnsi="宋体" w:cs="宋体"/>
          <w:color w:val="auto"/>
          <w:sz w:val="24"/>
          <w:szCs w:val="24"/>
          <w:highlight w:val="none"/>
          <w:u w:val="single"/>
        </w:rPr>
        <w:t>广州燃气集团有限公司</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承包人:（全称）</w:t>
      </w:r>
    </w:p>
    <w:p>
      <w:pPr>
        <w:spacing w:line="360" w:lineRule="auto"/>
        <w:rPr>
          <w:rFonts w:ascii="宋体" w:hAnsi="宋体" w:cs="宋体"/>
          <w:color w:val="auto"/>
          <w:sz w:val="24"/>
          <w:szCs w:val="24"/>
          <w:highlight w:val="none"/>
        </w:rPr>
      </w:pP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日经公开招标确定承包人为项目的中标人（项目编号：）。依照《中华人民共和国</w:t>
      </w:r>
      <w:r>
        <w:rPr>
          <w:rFonts w:hint="eastAsia" w:ascii="宋体" w:hAnsi="宋体" w:cs="宋体"/>
          <w:color w:val="auto"/>
          <w:sz w:val="24"/>
          <w:szCs w:val="24"/>
          <w:highlight w:val="none"/>
          <w:shd w:val="clear" w:color="auto" w:fill="FFFFFF"/>
        </w:rPr>
        <w:t>民法典</w:t>
      </w:r>
      <w:r>
        <w:rPr>
          <w:rFonts w:hint="eastAsia" w:ascii="宋体" w:hAnsi="宋体" w:cs="宋体"/>
          <w:color w:val="auto"/>
          <w:sz w:val="24"/>
          <w:szCs w:val="24"/>
          <w:highlight w:val="none"/>
        </w:rPr>
        <w:t>》、《中华人民共和国建筑法》及其他有关法律法规，遵循平等、自愿、公平和诚实信用的原则，双方就合同工程施工有关事项达成一致意见，订立本合同。</w:t>
      </w:r>
    </w:p>
    <w:p>
      <w:pPr>
        <w:spacing w:line="360" w:lineRule="auto"/>
        <w:rPr>
          <w:rFonts w:ascii="宋体" w:hAnsi="宋体" w:cs="宋体"/>
          <w:color w:val="auto"/>
          <w:sz w:val="24"/>
          <w:szCs w:val="24"/>
          <w:highlight w:val="none"/>
        </w:rPr>
      </w:pPr>
    </w:p>
    <w:p>
      <w:pPr>
        <w:spacing w:line="360" w:lineRule="auto"/>
        <w:outlineLvl w:val="1"/>
        <w:rPr>
          <w:rFonts w:ascii="宋体" w:hAnsi="宋体" w:cs="宋体"/>
          <w:b/>
          <w:bCs/>
          <w:color w:val="auto"/>
          <w:sz w:val="24"/>
          <w:szCs w:val="24"/>
          <w:highlight w:val="none"/>
        </w:rPr>
      </w:pPr>
      <w:bookmarkStart w:id="318" w:name="_Toc1115370845"/>
      <w:bookmarkStart w:id="319" w:name="_Toc26561"/>
      <w:bookmarkStart w:id="320" w:name="_Toc1494200713"/>
      <w:bookmarkStart w:id="321" w:name="_Toc469383968"/>
      <w:bookmarkStart w:id="322" w:name="_Toc19409"/>
      <w:bookmarkStart w:id="323" w:name="_Toc10676"/>
      <w:bookmarkStart w:id="324" w:name="_Toc12892"/>
      <w:bookmarkStart w:id="325" w:name="_Toc266892752"/>
      <w:bookmarkStart w:id="326" w:name="_Toc25081"/>
      <w:bookmarkStart w:id="327" w:name="_Toc1906"/>
      <w:r>
        <w:rPr>
          <w:rFonts w:hint="eastAsia" w:ascii="宋体" w:hAnsi="宋体" w:cs="宋体"/>
          <w:b/>
          <w:bCs/>
          <w:color w:val="auto"/>
          <w:sz w:val="24"/>
          <w:szCs w:val="24"/>
          <w:highlight w:val="none"/>
        </w:rPr>
        <w:t>一、工程概况</w:t>
      </w:r>
      <w:bookmarkEnd w:id="318"/>
      <w:bookmarkEnd w:id="319"/>
      <w:bookmarkEnd w:id="320"/>
      <w:bookmarkEnd w:id="321"/>
      <w:bookmarkEnd w:id="322"/>
      <w:bookmarkEnd w:id="323"/>
      <w:bookmarkEnd w:id="324"/>
      <w:bookmarkEnd w:id="325"/>
      <w:bookmarkEnd w:id="326"/>
      <w:bookmarkEnd w:id="327"/>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立项批文编号或广东省企业基本建设投资项目备案证备案项目编号：</w:t>
      </w:r>
      <w:r>
        <w:rPr>
          <w:rFonts w:hint="eastAsia" w:ascii="宋体" w:hAnsi="宋体" w:cs="宋体"/>
          <w:color w:val="auto"/>
          <w:sz w:val="24"/>
          <w:szCs w:val="24"/>
          <w:highlight w:val="none"/>
          <w:u w:val="single"/>
        </w:rPr>
        <w:t>穗发改核准〔202</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1</w:t>
      </w:r>
      <w:r>
        <w:rPr>
          <w:rFonts w:hint="eastAsia" w:ascii="宋体" w:hAnsi="宋体" w:cs="宋体"/>
          <w:color w:val="auto"/>
          <w:sz w:val="24"/>
          <w:szCs w:val="24"/>
          <w:highlight w:val="none"/>
          <w:u w:val="single"/>
        </w:rPr>
        <w:t>号。</w:t>
      </w:r>
    </w:p>
    <w:p>
      <w:pPr>
        <w:spacing w:line="360" w:lineRule="auto"/>
        <w:ind w:firstLine="465"/>
        <w:rPr>
          <w:rFonts w:ascii="宋体" w:hAnsi="宋体" w:cs="宋体"/>
          <w:color w:val="auto"/>
          <w:sz w:val="24"/>
          <w:szCs w:val="24"/>
          <w:highlight w:val="none"/>
          <w:u w:val="single"/>
        </w:rPr>
      </w:pPr>
      <w:r>
        <w:rPr>
          <w:rFonts w:hint="eastAsia" w:ascii="宋体" w:hAnsi="宋体" w:cs="宋体"/>
          <w:color w:val="auto"/>
          <w:sz w:val="24"/>
          <w:szCs w:val="24"/>
          <w:highlight w:val="none"/>
        </w:rPr>
        <w:t>项目名称：</w:t>
      </w:r>
      <w:r>
        <w:rPr>
          <w:rFonts w:hint="eastAsia" w:ascii="宋体" w:hAnsi="宋体" w:cs="宋体"/>
          <w:color w:val="auto"/>
          <w:sz w:val="24"/>
          <w:szCs w:val="24"/>
          <w:highlight w:val="none"/>
          <w:u w:val="single"/>
          <w:lang w:val="fr-FR" w:eastAsia="zh-CN"/>
        </w:rPr>
        <w:t>白云恒运天然气发电项目燃气管线工程施工总承包</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合同类型：☑总承包施工合同□专业分包施工合同□其它：</w:t>
      </w:r>
    </w:p>
    <w:p>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工程规模：</w:t>
      </w:r>
    </w:p>
    <w:p>
      <w:pPr>
        <w:spacing w:line="360" w:lineRule="auto"/>
        <w:ind w:firstLine="480" w:firstLineChars="200"/>
        <w:rPr>
          <w:rFonts w:ascii="宋体" w:hAnsi="宋体" w:cs="宋体"/>
          <w:color w:val="auto"/>
          <w:sz w:val="24"/>
          <w:szCs w:val="24"/>
          <w:highlight w:val="yellow"/>
        </w:rPr>
      </w:pPr>
      <w:r>
        <w:rPr>
          <w:rFonts w:hint="eastAsia" w:ascii="宋体" w:hAnsi="宋体" w:cs="宋体"/>
          <w:color w:val="auto"/>
          <w:sz w:val="24"/>
          <w:highlight w:val="none"/>
          <w:lang w:eastAsia="zh-CN"/>
        </w:rPr>
        <w:t>白云恒运天然气发电项目燃气管线工程</w:t>
      </w:r>
      <w:r>
        <w:rPr>
          <w:rFonts w:hint="eastAsia" w:ascii="宋体" w:hAnsi="宋体" w:cs="宋体"/>
          <w:color w:val="auto"/>
          <w:sz w:val="24"/>
          <w:highlight w:val="none"/>
          <w:u w:val="none"/>
        </w:rPr>
        <w:t>管线</w:t>
      </w:r>
      <w:r>
        <w:rPr>
          <w:rFonts w:hint="eastAsia" w:ascii="宋体" w:hAnsi="宋体" w:cs="宋体"/>
          <w:color w:val="auto"/>
          <w:sz w:val="24"/>
          <w:highlight w:val="none"/>
          <w:u w:val="none"/>
          <w:lang w:val="en-US" w:eastAsia="zh-CN"/>
        </w:rPr>
        <w:t>路由起点从</w:t>
      </w:r>
      <w:r>
        <w:rPr>
          <w:rFonts w:hint="eastAsia" w:ascii="宋体" w:hAnsi="宋体" w:cs="宋体"/>
          <w:color w:val="auto"/>
          <w:sz w:val="24"/>
          <w:highlight w:val="none"/>
          <w:u w:val="none"/>
        </w:rPr>
        <w:t>唐阁路现</w:t>
      </w:r>
      <w:r>
        <w:rPr>
          <w:rFonts w:hint="eastAsia" w:ascii="宋体" w:hAnsi="宋体" w:cs="宋体"/>
          <w:color w:val="auto"/>
          <w:sz w:val="24"/>
          <w:highlight w:val="none"/>
          <w:u w:val="none"/>
          <w:lang w:val="en-US" w:eastAsia="zh-CN"/>
        </w:rPr>
        <w:t>役</w:t>
      </w:r>
      <w:r>
        <w:rPr>
          <w:rFonts w:hint="eastAsia" w:ascii="宋体" w:hAnsi="宋体" w:cs="宋体"/>
          <w:color w:val="auto"/>
          <w:sz w:val="24"/>
          <w:highlight w:val="none"/>
          <w:u w:val="none"/>
        </w:rPr>
        <w:t>高压管线开口，沿拟建铁路东线-大朗东路中央绿化带铺设，</w:t>
      </w:r>
      <w:r>
        <w:rPr>
          <w:rFonts w:hint="eastAsia" w:ascii="宋体" w:hAnsi="宋体" w:cs="宋体"/>
          <w:color w:val="auto"/>
          <w:sz w:val="24"/>
          <w:highlight w:val="none"/>
          <w:u w:val="none"/>
          <w:lang w:val="en-US" w:eastAsia="zh-CN"/>
        </w:rPr>
        <w:t>后延电厂西侧规划路敷设，从</w:t>
      </w:r>
      <w:r>
        <w:rPr>
          <w:rFonts w:hint="eastAsia" w:ascii="宋体" w:hAnsi="宋体" w:cs="宋体"/>
          <w:color w:val="auto"/>
          <w:sz w:val="24"/>
          <w:highlight w:val="none"/>
          <w:u w:val="none"/>
        </w:rPr>
        <w:t>恒运电厂西南部</w:t>
      </w:r>
      <w:r>
        <w:rPr>
          <w:rFonts w:hint="eastAsia" w:ascii="宋体" w:hAnsi="宋体" w:cs="宋体"/>
          <w:color w:val="auto"/>
          <w:sz w:val="24"/>
          <w:highlight w:val="none"/>
          <w:u w:val="none"/>
          <w:lang w:val="en-US" w:eastAsia="zh-CN"/>
        </w:rPr>
        <w:t>进入厂区，最后延厂内道路及桁架敷设至计量站</w:t>
      </w:r>
      <w:r>
        <w:rPr>
          <w:rFonts w:hint="eastAsia" w:ascii="宋体" w:hAnsi="宋体" w:cs="宋体"/>
          <w:color w:val="auto"/>
          <w:sz w:val="24"/>
          <w:highlight w:val="none"/>
          <w:u w:val="none"/>
        </w:rPr>
        <w:t>。</w:t>
      </w:r>
      <w:r>
        <w:rPr>
          <w:rFonts w:hint="eastAsia" w:ascii="宋体" w:hAnsi="宋体" w:cs="宋体"/>
          <w:color w:val="auto"/>
          <w:sz w:val="24"/>
          <w:highlight w:val="none"/>
        </w:rPr>
        <w:t>设计管径为 D508×</w:t>
      </w:r>
      <w:r>
        <w:rPr>
          <w:rFonts w:hint="eastAsia" w:ascii="宋体" w:hAnsi="宋体" w:cs="宋体"/>
          <w:color w:val="auto"/>
          <w:sz w:val="24"/>
          <w:highlight w:val="none"/>
          <w:lang w:val="en-US" w:eastAsia="zh-CN"/>
        </w:rPr>
        <w:t>14.2</w:t>
      </w:r>
      <w:r>
        <w:rPr>
          <w:rFonts w:hint="eastAsia" w:ascii="宋体" w:hAnsi="宋体" w:cs="宋体"/>
          <w:color w:val="auto"/>
          <w:sz w:val="24"/>
          <w:highlight w:val="none"/>
        </w:rPr>
        <w:t>，管材为直缝双面埋弧焊钢管，设计压力为</w:t>
      </w:r>
      <w:r>
        <w:rPr>
          <w:rFonts w:hint="eastAsia" w:ascii="宋体" w:hAnsi="宋体" w:cs="宋体"/>
          <w:color w:val="auto"/>
          <w:sz w:val="24"/>
          <w:highlight w:val="none"/>
          <w:lang w:val="en-US" w:eastAsia="zh-CN"/>
        </w:rPr>
        <w:t>5.0</w:t>
      </w:r>
      <w:r>
        <w:rPr>
          <w:rFonts w:hint="eastAsia" w:ascii="宋体" w:hAnsi="宋体" w:cs="宋体"/>
          <w:color w:val="auto"/>
          <w:sz w:val="24"/>
          <w:highlight w:val="none"/>
        </w:rPr>
        <w:t>MPa，管线总长度约</w:t>
      </w:r>
      <w:r>
        <w:rPr>
          <w:rFonts w:hint="eastAsia" w:ascii="宋体" w:hAnsi="宋体" w:cs="宋体"/>
          <w:color w:val="auto"/>
          <w:sz w:val="24"/>
          <w:highlight w:val="none"/>
          <w:lang w:val="en-US" w:eastAsia="zh-CN"/>
        </w:rPr>
        <w:t>2.03公里</w:t>
      </w:r>
      <w:r>
        <w:rPr>
          <w:rFonts w:hint="eastAsia" w:ascii="宋体" w:hAnsi="宋体" w:cs="宋体"/>
          <w:color w:val="auto"/>
          <w:sz w:val="24"/>
          <w:highlight w:val="none"/>
        </w:rPr>
        <w:t>（其中站内管道</w:t>
      </w:r>
      <w:r>
        <w:rPr>
          <w:rFonts w:hint="eastAsia" w:ascii="宋体" w:hAnsi="宋体" w:cs="宋体"/>
          <w:bCs/>
          <w:color w:val="auto"/>
          <w:sz w:val="24"/>
          <w:szCs w:val="24"/>
          <w:highlight w:val="none"/>
        </w:rPr>
        <w:t>长约</w:t>
      </w:r>
      <w:r>
        <w:rPr>
          <w:rFonts w:hint="eastAsia" w:ascii="宋体" w:hAnsi="宋体" w:cs="宋体"/>
          <w:bCs/>
          <w:color w:val="auto"/>
          <w:sz w:val="24"/>
          <w:szCs w:val="24"/>
          <w:highlight w:val="none"/>
          <w:lang w:val="en-US" w:eastAsia="zh-CN"/>
        </w:rPr>
        <w:t>520</w:t>
      </w:r>
      <w:r>
        <w:rPr>
          <w:rFonts w:hint="eastAsia" w:ascii="宋体" w:hAnsi="宋体" w:cs="宋体"/>
          <w:bCs/>
          <w:color w:val="auto"/>
          <w:sz w:val="24"/>
          <w:szCs w:val="24"/>
          <w:highlight w:val="none"/>
        </w:rPr>
        <w:t>米，站外线路管道长约</w:t>
      </w:r>
      <w:r>
        <w:rPr>
          <w:rFonts w:hint="eastAsia" w:ascii="宋体" w:hAnsi="宋体" w:cs="宋体"/>
          <w:bCs/>
          <w:color w:val="auto"/>
          <w:sz w:val="24"/>
          <w:szCs w:val="24"/>
          <w:highlight w:val="none"/>
          <w:lang w:val="en-US" w:eastAsia="zh-CN"/>
        </w:rPr>
        <w:t>1511</w:t>
      </w:r>
      <w:r>
        <w:rPr>
          <w:rFonts w:hint="eastAsia" w:ascii="宋体" w:hAnsi="宋体" w:cs="宋体"/>
          <w:bCs/>
          <w:color w:val="auto"/>
          <w:sz w:val="24"/>
          <w:szCs w:val="24"/>
          <w:highlight w:val="none"/>
        </w:rPr>
        <w:t>米</w:t>
      </w:r>
      <w:r>
        <w:rPr>
          <w:rFonts w:hint="eastAsia" w:ascii="宋体" w:hAnsi="宋体" w:cs="宋体"/>
          <w:color w:val="auto"/>
          <w:sz w:val="24"/>
          <w:highlight w:val="none"/>
        </w:rPr>
        <w:t>）。管道采用三层PE结构防腐层，外加电流阴极保护，</w:t>
      </w:r>
      <w:r>
        <w:rPr>
          <w:rFonts w:hint="eastAsia" w:ascii="宋体" w:hAnsi="宋体"/>
          <w:color w:val="auto"/>
          <w:sz w:val="24"/>
          <w:highlight w:val="none"/>
        </w:rPr>
        <w:t>管道焊接应严格按照焊接工艺评定试验结果进行</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白云恒运</w:t>
      </w:r>
      <w:r>
        <w:rPr>
          <w:rFonts w:hint="eastAsia" w:ascii="宋体" w:hAnsi="宋体" w:cs="宋体"/>
          <w:color w:val="auto"/>
          <w:sz w:val="24"/>
          <w:highlight w:val="none"/>
        </w:rPr>
        <w:t>电厂内新建计量装置、色谱分析仪及小屋各1套</w:t>
      </w:r>
      <w:r>
        <w:rPr>
          <w:rFonts w:hint="eastAsia" w:ascii="宋体" w:hAnsi="宋体" w:cs="宋体"/>
          <w:color w:val="auto"/>
          <w:sz w:val="24"/>
          <w:highlight w:val="none"/>
          <w:lang w:eastAsia="zh-CN"/>
        </w:rPr>
        <w:t>，</w:t>
      </w:r>
      <w:r>
        <w:rPr>
          <w:rFonts w:hint="eastAsia" w:ascii="宋体" w:hAnsi="宋体" w:cs="宋体"/>
          <w:color w:val="auto"/>
          <w:sz w:val="24"/>
          <w:highlight w:val="none"/>
          <w:u w:val="none"/>
          <w:lang w:val="en-US" w:eastAsia="zh-CN"/>
        </w:rPr>
        <w:t>电厂西侧规划路约120米污水管道迁改等工作</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结构形式：</w:t>
      </w:r>
      <w:r>
        <w:rPr>
          <w:rFonts w:hint="eastAsia" w:ascii="宋体" w:hAnsi="宋体" w:cs="宋体"/>
          <w:color w:val="auto"/>
          <w:sz w:val="24"/>
          <w:szCs w:val="24"/>
          <w:highlight w:val="none"/>
          <w:u w:val="single"/>
        </w:rPr>
        <w:t xml:space="preserve">/                                                             </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资金来源：</w:t>
      </w:r>
      <w:r>
        <w:rPr>
          <w:rFonts w:hint="eastAsia" w:ascii="宋体" w:hAnsi="宋体" w:cs="宋体"/>
          <w:color w:val="auto"/>
          <w:sz w:val="24"/>
          <w:szCs w:val="24"/>
          <w:highlight w:val="none"/>
          <w:u w:val="single"/>
        </w:rPr>
        <w:t>企业自筹。</w:t>
      </w:r>
    </w:p>
    <w:p>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其他：</w:t>
      </w:r>
      <w:r>
        <w:rPr>
          <w:rFonts w:hint="eastAsia" w:ascii="宋体" w:hAnsi="宋体" w:cs="宋体"/>
          <w:color w:val="auto"/>
          <w:sz w:val="24"/>
          <w:szCs w:val="24"/>
          <w:highlight w:val="none"/>
          <w:u w:val="single"/>
        </w:rPr>
        <w:t xml:space="preserve"> /                                                        </w:t>
      </w:r>
    </w:p>
    <w:p>
      <w:pPr>
        <w:spacing w:line="360" w:lineRule="auto"/>
        <w:outlineLvl w:val="1"/>
        <w:rPr>
          <w:rFonts w:ascii="宋体" w:hAnsi="宋体" w:cs="宋体"/>
          <w:b/>
          <w:bCs/>
          <w:color w:val="auto"/>
          <w:sz w:val="24"/>
          <w:szCs w:val="24"/>
          <w:highlight w:val="none"/>
        </w:rPr>
      </w:pPr>
      <w:bookmarkStart w:id="328" w:name="_Toc266892753"/>
      <w:bookmarkStart w:id="329" w:name="_Toc3479"/>
      <w:bookmarkStart w:id="330" w:name="_Toc26071"/>
      <w:bookmarkStart w:id="331" w:name="_Toc469383969"/>
      <w:bookmarkStart w:id="332" w:name="_Toc6371"/>
      <w:bookmarkStart w:id="333" w:name="_Toc19121"/>
      <w:bookmarkStart w:id="334" w:name="_Toc5860"/>
      <w:bookmarkStart w:id="335" w:name="_Toc622"/>
      <w:bookmarkStart w:id="336" w:name="_Toc653037252"/>
      <w:bookmarkStart w:id="337" w:name="_Toc357615373"/>
      <w:r>
        <w:rPr>
          <w:rFonts w:hint="eastAsia" w:ascii="宋体" w:hAnsi="宋体" w:cs="宋体"/>
          <w:b/>
          <w:bCs/>
          <w:color w:val="auto"/>
          <w:sz w:val="24"/>
          <w:szCs w:val="24"/>
          <w:highlight w:val="none"/>
        </w:rPr>
        <w:t>二、</w:t>
      </w:r>
      <w:bookmarkStart w:id="338" w:name="OLE_LINK11"/>
      <w:r>
        <w:rPr>
          <w:rFonts w:hint="eastAsia" w:ascii="宋体" w:hAnsi="宋体" w:cs="宋体"/>
          <w:b/>
          <w:bCs/>
          <w:color w:val="auto"/>
          <w:sz w:val="24"/>
          <w:szCs w:val="24"/>
          <w:highlight w:val="none"/>
        </w:rPr>
        <w:t>招标内容及范围</w:t>
      </w:r>
      <w:bookmarkEnd w:id="328"/>
      <w:bookmarkEnd w:id="329"/>
      <w:bookmarkEnd w:id="330"/>
      <w:bookmarkEnd w:id="331"/>
      <w:bookmarkEnd w:id="332"/>
      <w:bookmarkEnd w:id="333"/>
      <w:bookmarkEnd w:id="334"/>
      <w:bookmarkEnd w:id="335"/>
      <w:bookmarkEnd w:id="336"/>
      <w:bookmarkEnd w:id="337"/>
    </w:p>
    <w:bookmarkEnd w:id="338"/>
    <w:p>
      <w:pPr>
        <w:spacing w:line="360" w:lineRule="auto"/>
        <w:ind w:firstLine="482" w:firstLineChars="200"/>
        <w:rPr>
          <w:rFonts w:ascii="宋体" w:hAnsi="宋体" w:cs="宋体"/>
          <w:color w:val="auto"/>
          <w:sz w:val="24"/>
          <w:szCs w:val="24"/>
          <w:highlight w:val="none"/>
          <w:u w:val="single"/>
        </w:rPr>
      </w:pPr>
      <w:bookmarkStart w:id="339" w:name="_Toc5898"/>
      <w:r>
        <w:rPr>
          <w:rFonts w:hint="eastAsia" w:ascii="宋体" w:hAnsi="宋体" w:cs="宋体"/>
          <w:b/>
          <w:bCs/>
          <w:color w:val="auto"/>
          <w:sz w:val="24"/>
          <w:szCs w:val="24"/>
          <w:highlight w:val="none"/>
        </w:rPr>
        <w:t>招标内容及范围</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包工、包料（甲供材料除外）、包工期、包质量</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包绿色施工安全防护、</w:t>
      </w:r>
      <w:r>
        <w:rPr>
          <w:rFonts w:hint="eastAsia" w:ascii="宋体" w:hAnsi="宋体" w:cs="宋体"/>
          <w:color w:val="auto"/>
          <w:sz w:val="24"/>
          <w:szCs w:val="24"/>
          <w:highlight w:val="none"/>
          <w:u w:val="single"/>
          <w:lang w:eastAsia="zh-CN"/>
        </w:rPr>
        <w:t>包施工协调、</w:t>
      </w:r>
      <w:r>
        <w:rPr>
          <w:rFonts w:hint="eastAsia" w:ascii="宋体" w:hAnsi="宋体" w:cs="宋体"/>
          <w:color w:val="auto"/>
          <w:sz w:val="24"/>
          <w:szCs w:val="24"/>
          <w:highlight w:val="none"/>
          <w:u w:val="single"/>
        </w:rPr>
        <w:t>包总承包范围内验收，包联合测试的总体组织与协调。</w:t>
      </w:r>
      <w:bookmarkEnd w:id="339"/>
    </w:p>
    <w:p>
      <w:pPr>
        <w:spacing w:line="360" w:lineRule="auto"/>
        <w:ind w:firstLine="480" w:firstLineChars="200"/>
        <w:rPr>
          <w:rFonts w:ascii="宋体" w:hAnsi="宋体" w:cs="宋体"/>
          <w:color w:val="auto"/>
          <w:sz w:val="24"/>
          <w:szCs w:val="24"/>
          <w:highlight w:val="yellow"/>
        </w:rPr>
      </w:pPr>
      <w:r>
        <w:rPr>
          <w:rFonts w:hint="eastAsia" w:ascii="宋体" w:hAnsi="宋体" w:cs="宋体"/>
          <w:color w:val="auto"/>
          <w:sz w:val="24"/>
          <w:highlight w:val="none"/>
          <w:lang w:eastAsia="zh-CN"/>
        </w:rPr>
        <w:t>白云恒运天然气发电项目燃气管线工程</w:t>
      </w:r>
      <w:r>
        <w:rPr>
          <w:rFonts w:hint="eastAsia" w:ascii="宋体" w:hAnsi="宋体" w:cs="宋体"/>
          <w:color w:val="auto"/>
          <w:sz w:val="24"/>
          <w:highlight w:val="none"/>
          <w:u w:val="none"/>
        </w:rPr>
        <w:t>管线</w:t>
      </w:r>
      <w:r>
        <w:rPr>
          <w:rFonts w:hint="eastAsia" w:ascii="宋体" w:hAnsi="宋体" w:cs="宋体"/>
          <w:color w:val="auto"/>
          <w:sz w:val="24"/>
          <w:highlight w:val="none"/>
          <w:u w:val="none"/>
          <w:lang w:val="en-US" w:eastAsia="zh-CN"/>
        </w:rPr>
        <w:t>路由起点从</w:t>
      </w:r>
      <w:r>
        <w:rPr>
          <w:rFonts w:hint="eastAsia" w:ascii="宋体" w:hAnsi="宋体" w:cs="宋体"/>
          <w:color w:val="auto"/>
          <w:sz w:val="24"/>
          <w:highlight w:val="none"/>
          <w:u w:val="none"/>
        </w:rPr>
        <w:t>唐阁路现</w:t>
      </w:r>
      <w:r>
        <w:rPr>
          <w:rFonts w:hint="eastAsia" w:ascii="宋体" w:hAnsi="宋体" w:cs="宋体"/>
          <w:color w:val="auto"/>
          <w:sz w:val="24"/>
          <w:highlight w:val="none"/>
          <w:u w:val="none"/>
          <w:lang w:val="en-US" w:eastAsia="zh-CN"/>
        </w:rPr>
        <w:t>役</w:t>
      </w:r>
      <w:r>
        <w:rPr>
          <w:rFonts w:hint="eastAsia" w:ascii="宋体" w:hAnsi="宋体" w:cs="宋体"/>
          <w:color w:val="auto"/>
          <w:sz w:val="24"/>
          <w:highlight w:val="none"/>
          <w:u w:val="none"/>
        </w:rPr>
        <w:t>高压管线开口，沿拟建铁路东线-大朗东路中央绿化带铺设，</w:t>
      </w:r>
      <w:r>
        <w:rPr>
          <w:rFonts w:hint="eastAsia" w:ascii="宋体" w:hAnsi="宋体" w:cs="宋体"/>
          <w:color w:val="auto"/>
          <w:sz w:val="24"/>
          <w:highlight w:val="none"/>
          <w:u w:val="none"/>
          <w:lang w:val="en-US" w:eastAsia="zh-CN"/>
        </w:rPr>
        <w:t>后延电厂西侧规划路敷设，从</w:t>
      </w:r>
      <w:r>
        <w:rPr>
          <w:rFonts w:hint="eastAsia" w:ascii="宋体" w:hAnsi="宋体" w:cs="宋体"/>
          <w:color w:val="auto"/>
          <w:sz w:val="24"/>
          <w:highlight w:val="none"/>
          <w:u w:val="none"/>
        </w:rPr>
        <w:t>恒运电厂西南部</w:t>
      </w:r>
      <w:r>
        <w:rPr>
          <w:rFonts w:hint="eastAsia" w:ascii="宋体" w:hAnsi="宋体" w:cs="宋体"/>
          <w:color w:val="auto"/>
          <w:sz w:val="24"/>
          <w:highlight w:val="none"/>
          <w:u w:val="none"/>
          <w:lang w:val="en-US" w:eastAsia="zh-CN"/>
        </w:rPr>
        <w:t>进入厂区，最后延厂内道路及桁架敷设至计量站</w:t>
      </w:r>
      <w:r>
        <w:rPr>
          <w:rFonts w:hint="eastAsia" w:ascii="宋体" w:hAnsi="宋体" w:cs="宋体"/>
          <w:color w:val="auto"/>
          <w:sz w:val="24"/>
          <w:highlight w:val="none"/>
          <w:u w:val="none"/>
        </w:rPr>
        <w:t>。</w:t>
      </w:r>
      <w:r>
        <w:rPr>
          <w:rFonts w:hint="eastAsia" w:ascii="宋体" w:hAnsi="宋体" w:cs="宋体"/>
          <w:color w:val="auto"/>
          <w:sz w:val="24"/>
          <w:highlight w:val="none"/>
        </w:rPr>
        <w:t>设计管径为 D508×</w:t>
      </w:r>
      <w:r>
        <w:rPr>
          <w:rFonts w:hint="eastAsia" w:ascii="宋体" w:hAnsi="宋体" w:cs="宋体"/>
          <w:color w:val="auto"/>
          <w:sz w:val="24"/>
          <w:highlight w:val="none"/>
          <w:lang w:val="en-US" w:eastAsia="zh-CN"/>
        </w:rPr>
        <w:t>14.2</w:t>
      </w:r>
      <w:r>
        <w:rPr>
          <w:rFonts w:hint="eastAsia" w:ascii="宋体" w:hAnsi="宋体" w:cs="宋体"/>
          <w:color w:val="auto"/>
          <w:sz w:val="24"/>
          <w:highlight w:val="none"/>
        </w:rPr>
        <w:t>，管材为直缝双面埋弧焊钢管，设计压力为</w:t>
      </w:r>
      <w:r>
        <w:rPr>
          <w:rFonts w:hint="eastAsia" w:ascii="宋体" w:hAnsi="宋体" w:cs="宋体"/>
          <w:color w:val="auto"/>
          <w:sz w:val="24"/>
          <w:highlight w:val="none"/>
          <w:lang w:val="en-US" w:eastAsia="zh-CN"/>
        </w:rPr>
        <w:t>5.0</w:t>
      </w:r>
      <w:r>
        <w:rPr>
          <w:rFonts w:hint="eastAsia" w:ascii="宋体" w:hAnsi="宋体" w:cs="宋体"/>
          <w:color w:val="auto"/>
          <w:sz w:val="24"/>
          <w:highlight w:val="none"/>
        </w:rPr>
        <w:t>MPa，管线总长度约</w:t>
      </w:r>
      <w:r>
        <w:rPr>
          <w:rFonts w:hint="eastAsia" w:ascii="宋体" w:hAnsi="宋体" w:cs="宋体"/>
          <w:color w:val="auto"/>
          <w:sz w:val="24"/>
          <w:highlight w:val="none"/>
          <w:lang w:val="en-US" w:eastAsia="zh-CN"/>
        </w:rPr>
        <w:t>2.03公里</w:t>
      </w:r>
      <w:r>
        <w:rPr>
          <w:rFonts w:hint="eastAsia" w:ascii="宋体" w:hAnsi="宋体" w:cs="宋体"/>
          <w:color w:val="auto"/>
          <w:sz w:val="24"/>
          <w:highlight w:val="none"/>
        </w:rPr>
        <w:t>（其中站内管道</w:t>
      </w:r>
      <w:r>
        <w:rPr>
          <w:rFonts w:hint="eastAsia" w:ascii="宋体" w:hAnsi="宋体" w:cs="宋体"/>
          <w:bCs/>
          <w:color w:val="auto"/>
          <w:sz w:val="24"/>
          <w:szCs w:val="24"/>
          <w:highlight w:val="none"/>
        </w:rPr>
        <w:t>长约</w:t>
      </w:r>
      <w:r>
        <w:rPr>
          <w:rFonts w:hint="eastAsia" w:ascii="宋体" w:hAnsi="宋体" w:cs="宋体"/>
          <w:bCs/>
          <w:color w:val="auto"/>
          <w:sz w:val="24"/>
          <w:szCs w:val="24"/>
          <w:highlight w:val="none"/>
          <w:lang w:val="en-US" w:eastAsia="zh-CN"/>
        </w:rPr>
        <w:t>520</w:t>
      </w:r>
      <w:r>
        <w:rPr>
          <w:rFonts w:hint="eastAsia" w:ascii="宋体" w:hAnsi="宋体" w:cs="宋体"/>
          <w:bCs/>
          <w:color w:val="auto"/>
          <w:sz w:val="24"/>
          <w:szCs w:val="24"/>
          <w:highlight w:val="none"/>
        </w:rPr>
        <w:t>米，站外线路管道长约</w:t>
      </w:r>
      <w:r>
        <w:rPr>
          <w:rFonts w:hint="eastAsia" w:ascii="宋体" w:hAnsi="宋体" w:cs="宋体"/>
          <w:bCs/>
          <w:color w:val="auto"/>
          <w:sz w:val="24"/>
          <w:szCs w:val="24"/>
          <w:highlight w:val="none"/>
          <w:lang w:val="en-US" w:eastAsia="zh-CN"/>
        </w:rPr>
        <w:t>1511</w:t>
      </w:r>
      <w:r>
        <w:rPr>
          <w:rFonts w:hint="eastAsia" w:ascii="宋体" w:hAnsi="宋体" w:cs="宋体"/>
          <w:bCs/>
          <w:color w:val="auto"/>
          <w:sz w:val="24"/>
          <w:szCs w:val="24"/>
          <w:highlight w:val="none"/>
        </w:rPr>
        <w:t>米</w:t>
      </w:r>
      <w:r>
        <w:rPr>
          <w:rFonts w:hint="eastAsia" w:ascii="宋体" w:hAnsi="宋体" w:cs="宋体"/>
          <w:color w:val="auto"/>
          <w:sz w:val="24"/>
          <w:highlight w:val="none"/>
        </w:rPr>
        <w:t>）。管道采用三层PE结构防腐层，外加电流阴极保护，</w:t>
      </w:r>
      <w:r>
        <w:rPr>
          <w:rFonts w:hint="eastAsia" w:ascii="宋体" w:hAnsi="宋体"/>
          <w:color w:val="auto"/>
          <w:sz w:val="24"/>
          <w:highlight w:val="none"/>
        </w:rPr>
        <w:t>管道焊接应严格按照焊接工艺评定试验结果进行</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白云恒运</w:t>
      </w:r>
      <w:r>
        <w:rPr>
          <w:rFonts w:hint="eastAsia" w:ascii="宋体" w:hAnsi="宋体" w:cs="宋体"/>
          <w:color w:val="auto"/>
          <w:sz w:val="24"/>
          <w:highlight w:val="none"/>
        </w:rPr>
        <w:t>电厂内新建计量装置、色谱分析仪及小屋各1套</w:t>
      </w:r>
      <w:r>
        <w:rPr>
          <w:rFonts w:hint="eastAsia" w:ascii="宋体" w:hAnsi="宋体" w:cs="宋体"/>
          <w:color w:val="auto"/>
          <w:sz w:val="24"/>
          <w:highlight w:val="none"/>
          <w:lang w:eastAsia="zh-CN"/>
        </w:rPr>
        <w:t>，</w:t>
      </w:r>
      <w:r>
        <w:rPr>
          <w:rFonts w:hint="eastAsia" w:ascii="宋体" w:hAnsi="宋体" w:cs="宋体"/>
          <w:color w:val="auto"/>
          <w:sz w:val="24"/>
          <w:highlight w:val="none"/>
          <w:u w:val="none"/>
          <w:lang w:val="en-US" w:eastAsia="zh-CN"/>
        </w:rPr>
        <w:t>电厂西侧规划路约120米污水管道迁改等工作</w:t>
      </w:r>
      <w:r>
        <w:rPr>
          <w:rFonts w:hint="eastAsia" w:ascii="宋体" w:hAnsi="宋体" w:cs="宋体"/>
          <w:color w:val="auto"/>
          <w:sz w:val="24"/>
          <w:szCs w:val="24"/>
          <w:highlight w:val="none"/>
        </w:rPr>
        <w:t>。</w:t>
      </w:r>
    </w:p>
    <w:p>
      <w:pPr>
        <w:spacing w:line="360" w:lineRule="auto"/>
        <w:ind w:firstLine="482" w:firstLineChars="200"/>
        <w:rPr>
          <w:rFonts w:ascii="宋体" w:hAnsi="宋体" w:cs="宋体"/>
          <w:b/>
          <w:bCs/>
          <w:color w:val="auto"/>
          <w:sz w:val="24"/>
          <w:szCs w:val="24"/>
          <w:highlight w:val="none"/>
          <w:u w:val="single"/>
        </w:rPr>
      </w:pPr>
      <w:r>
        <w:rPr>
          <w:rFonts w:hint="eastAsia" w:ascii="宋体" w:hAnsi="宋体" w:cs="宋体"/>
          <w:b/>
          <w:bCs/>
          <w:color w:val="auto"/>
          <w:sz w:val="24"/>
          <w:szCs w:val="24"/>
          <w:highlight w:val="none"/>
          <w:u w:val="single"/>
        </w:rPr>
        <w:t>工程内容包括但不限于：</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1.线路工程施工：</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土建施工：土方开挖回填及土方处理、水工保护、水土保持、地貌</w:t>
      </w:r>
      <w:r>
        <w:rPr>
          <w:rFonts w:hint="eastAsia" w:ascii="宋体" w:hAnsi="宋体" w:cs="宋体"/>
          <w:color w:val="auto"/>
          <w:sz w:val="24"/>
          <w:szCs w:val="24"/>
          <w:highlight w:val="none"/>
          <w:u w:val="single"/>
          <w:lang w:val="en-US" w:eastAsia="zh-CN"/>
        </w:rPr>
        <w:t>及道路</w:t>
      </w:r>
      <w:r>
        <w:rPr>
          <w:rFonts w:hint="eastAsia" w:ascii="宋体" w:hAnsi="宋体" w:cs="宋体"/>
          <w:color w:val="auto"/>
          <w:sz w:val="24"/>
          <w:szCs w:val="24"/>
          <w:highlight w:val="none"/>
          <w:u w:val="single"/>
        </w:rPr>
        <w:t>恢复、线路警示板、标志桩、通航标识、检测桩、施工排水等；</w:t>
      </w:r>
    </w:p>
    <w:p>
      <w:pPr>
        <w:spacing w:line="360" w:lineRule="auto"/>
        <w:ind w:firstLine="523" w:firstLineChars="218"/>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安装施工：管线转角处理、管口组对、焊接及校验、焊口防腐及管道补口补伤、管道埋设、阴极保护、清管与试压、管道干燥、充氮置换等；</w:t>
      </w:r>
    </w:p>
    <w:p>
      <w:pPr>
        <w:pStyle w:val="21"/>
        <w:rPr>
          <w:rFonts w:hint="default" w:eastAsia="宋体"/>
          <w:lang w:val="en-US" w:eastAsia="zh-CN"/>
        </w:rPr>
      </w:pPr>
      <w:r>
        <w:rPr>
          <w:rFonts w:hint="eastAsia" w:hAnsi="宋体" w:cs="宋体"/>
          <w:color w:val="auto"/>
          <w:sz w:val="24"/>
          <w:szCs w:val="24"/>
          <w:highlight w:val="none"/>
          <w:u w:val="none"/>
          <w:lang w:val="en-US" w:eastAsia="zh-CN"/>
        </w:rPr>
        <w:t xml:space="preserve">     </w:t>
      </w:r>
      <w:r>
        <w:rPr>
          <w:rFonts w:hint="eastAsia" w:hAnsi="宋体" w:cs="宋体"/>
          <w:color w:val="auto"/>
          <w:sz w:val="24"/>
          <w:szCs w:val="24"/>
          <w:highlight w:val="none"/>
          <w:u w:val="single"/>
          <w:lang w:val="en-US" w:eastAsia="zh-CN"/>
        </w:rPr>
        <w:t>恒运电厂</w:t>
      </w:r>
      <w:r>
        <w:rPr>
          <w:rFonts w:hint="eastAsia" w:ascii="宋体" w:hAnsi="宋体" w:cs="宋体"/>
          <w:color w:val="auto"/>
          <w:sz w:val="24"/>
          <w:highlight w:val="none"/>
          <w:u w:val="single"/>
          <w:lang w:val="en-US" w:eastAsia="zh-CN"/>
        </w:rPr>
        <w:t>西侧规划路</w:t>
      </w:r>
      <w:r>
        <w:rPr>
          <w:rFonts w:hint="eastAsia" w:hAnsi="宋体" w:cs="宋体"/>
          <w:color w:val="auto"/>
          <w:sz w:val="24"/>
          <w:highlight w:val="none"/>
          <w:u w:val="single"/>
          <w:lang w:val="en-US" w:eastAsia="zh-CN"/>
        </w:rPr>
        <w:t>管道</w:t>
      </w:r>
      <w:r>
        <w:rPr>
          <w:rFonts w:hint="eastAsia" w:ascii="宋体" w:hAnsi="宋体" w:cs="宋体"/>
          <w:color w:val="auto"/>
          <w:sz w:val="24"/>
          <w:highlight w:val="none"/>
          <w:u w:val="single"/>
          <w:lang w:val="en-US" w:eastAsia="zh-CN"/>
        </w:rPr>
        <w:t>迁改</w:t>
      </w:r>
      <w:r>
        <w:rPr>
          <w:rFonts w:hint="eastAsia" w:hAnsi="宋体" w:cs="宋体"/>
          <w:color w:val="auto"/>
          <w:sz w:val="24"/>
          <w:szCs w:val="24"/>
          <w:highlight w:val="none"/>
          <w:u w:val="single"/>
          <w:lang w:val="en-US" w:eastAsia="zh-CN"/>
        </w:rPr>
        <w:t>工作；</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特殊地段施工：道路、河流、</w:t>
      </w:r>
      <w:r>
        <w:rPr>
          <w:rFonts w:hint="eastAsia" w:ascii="宋体" w:hAnsi="宋体" w:cs="宋体"/>
          <w:color w:val="auto"/>
          <w:sz w:val="24"/>
          <w:szCs w:val="24"/>
          <w:highlight w:val="none"/>
          <w:u w:val="single"/>
          <w:lang w:val="en-US" w:eastAsia="zh-CN"/>
        </w:rPr>
        <w:t>农田</w:t>
      </w:r>
      <w:r>
        <w:rPr>
          <w:rFonts w:hint="eastAsia" w:ascii="宋体" w:hAnsi="宋体" w:cs="宋体"/>
          <w:color w:val="auto"/>
          <w:sz w:val="24"/>
          <w:szCs w:val="24"/>
          <w:highlight w:val="none"/>
          <w:u w:val="single"/>
        </w:rPr>
        <w:t>等。</w:t>
      </w:r>
    </w:p>
    <w:p>
      <w:pPr>
        <w:spacing w:line="360" w:lineRule="auto"/>
        <w:ind w:firstLine="523" w:firstLineChars="218"/>
        <w:rPr>
          <w:color w:val="auto"/>
          <w:highlight w:val="none"/>
        </w:rPr>
      </w:pPr>
      <w:r>
        <w:rPr>
          <w:rFonts w:hint="eastAsia" w:ascii="宋体" w:hAnsi="宋体" w:cs="宋体"/>
          <w:color w:val="auto"/>
          <w:sz w:val="24"/>
          <w:szCs w:val="24"/>
          <w:highlight w:val="none"/>
          <w:u w:val="single"/>
        </w:rPr>
        <w:t>2.场站工程施工：</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土建施工：建构筑物施工、土方开挖回填及土方处理（包括地面硬化）、水工保护、水土保持、地貌</w:t>
      </w:r>
      <w:r>
        <w:rPr>
          <w:rFonts w:hint="eastAsia" w:ascii="宋体" w:hAnsi="宋体" w:cs="宋体"/>
          <w:color w:val="auto"/>
          <w:sz w:val="24"/>
          <w:szCs w:val="24"/>
          <w:highlight w:val="none"/>
          <w:u w:val="single"/>
          <w:lang w:val="en-US" w:eastAsia="zh-CN"/>
        </w:rPr>
        <w:t>及道路</w:t>
      </w:r>
      <w:r>
        <w:rPr>
          <w:rFonts w:hint="eastAsia" w:ascii="宋体" w:hAnsi="宋体" w:cs="宋体"/>
          <w:color w:val="auto"/>
          <w:sz w:val="24"/>
          <w:szCs w:val="24"/>
          <w:highlight w:val="none"/>
          <w:u w:val="single"/>
        </w:rPr>
        <w:t>恢复、进站道路及绿化、施工排水等；</w:t>
      </w:r>
    </w:p>
    <w:p>
      <w:pPr>
        <w:widowControl/>
        <w:overflowPunct w:val="0"/>
        <w:autoSpaceDE w:val="0"/>
        <w:autoSpaceDN w:val="0"/>
        <w:adjustRightInd w:val="0"/>
        <w:spacing w:line="360" w:lineRule="auto"/>
        <w:ind w:firstLine="480" w:firstLineChars="200"/>
        <w:jc w:val="left"/>
        <w:rPr>
          <w:color w:val="auto"/>
          <w:highlight w:val="none"/>
        </w:rPr>
      </w:pPr>
      <w:r>
        <w:rPr>
          <w:rFonts w:hint="eastAsia" w:ascii="宋体" w:hAnsi="宋体" w:cs="宋体"/>
          <w:color w:val="auto"/>
          <w:sz w:val="24"/>
          <w:szCs w:val="24"/>
          <w:highlight w:val="none"/>
          <w:u w:val="single"/>
        </w:rPr>
        <w:t>安装施工：阀门安装、设备安装、设备材料防腐、防雷接地等。</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3.接驳连头施工。</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 调试验收：</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调试验收工作主要包括工程调试试运、试运投产保驾和工程验收等工作。</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.1工程调试试运：</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承包人应按发包人制定的投产准备计划，完成试运投产临时设施施工工作，达到试运投产方案必备条件，做好投产运行的人力、物资和资金等资源准备，确保项目试运投产一次成功。</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.2试运投产保驾：</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承包人应按发包人计划，组织供应商对发包人运行单位人员的现场操作及维护进行培训；按照试运投产方案的总体要求编制试运投产保驾方案和应急救援预案，并组织应急演练，接受投产条件检查，配置投产保驾组织机构、人员、设备、材料等资源，组织试运投产保驾工作。</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.3工程验收：</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工程验收包括分项分部验收、实体验收、专项验收和竣工验收。</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.3.1分项分部验收：分项分部工程完工后，承包人应严格按照相关法律法规和工程质量安全监督部门要求向监理人申请进行分项分部工程验收。未经监理人验收合格的分项分部工程，不得进入下一道施工工序。</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.3.2实体验收：实体验收是指承包人完成了本工程的施工任务，并经过了有关的试验、检验且合格，满足发包人进行调试试产的要求，承包人向监理人提交验收申请后，由发包人组织的验收。</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承包人对未参加实体验收的未完工程（尾工）应制定施工计划，应明确责任人、完工时间。实施过程中必须遵守发包人运行单位的有关要求，防止施工对投产后的管道安全造成影响。完成后，承包人应按实体验收程序进行交工。</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.3.3专项验收</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专项验收由发包人负责组织，包括建设项目环境保护验收、安全设施验收、职业病防护设施验收、水土保持验收等。</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承包人应对环境保护调查、水土保持技术评估、安全评价和职业病危害控制效果评价等验收前的技术评估中发现的问题逐一进行整改并承担整改费用，确保环境保护设施、水土保持设施、安全防护设施、职业病防护设施等达到专项验收的要求。</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开工前，承包人负责到地方</w:t>
      </w:r>
      <w:r>
        <w:rPr>
          <w:rFonts w:hint="eastAsia" w:ascii="宋体" w:hAnsi="宋体" w:cs="宋体"/>
          <w:color w:val="auto"/>
          <w:sz w:val="24"/>
          <w:szCs w:val="24"/>
          <w:highlight w:val="none"/>
          <w:u w:val="single"/>
          <w:lang w:val="en-US" w:eastAsia="zh-CN"/>
        </w:rPr>
        <w:t>特种设备</w:t>
      </w:r>
      <w:r>
        <w:rPr>
          <w:rFonts w:hint="eastAsia" w:ascii="宋体" w:hAnsi="宋体" w:cs="宋体"/>
          <w:color w:val="auto"/>
          <w:sz w:val="24"/>
          <w:szCs w:val="24"/>
          <w:highlight w:val="none"/>
          <w:u w:val="single"/>
        </w:rPr>
        <w:t>管理部门进行压力容器、压力管道等特种设备的安装告知，施工过程中接受地方相关部门的检查。投产前，配合发包人生产运行单位办理压力容器、压力管道落户手续，并获取相关使用证明文件等。</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承包人负责将涉及防雷防静电施工的图纸报地方气象部门进行审查，批准后方可施工；投产前，防雷防静电设施要经地方气象部门验收合格并出具相关手续。</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.3.4竣工验收</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竣工验收是指承包人通过了实体验收后，并经过了规定期限的试运投产，完成了全部资产移交和</w:t>
      </w:r>
      <w:r>
        <w:rPr>
          <w:rFonts w:hint="eastAsia" w:ascii="宋体" w:hAnsi="宋体" w:cs="宋体"/>
          <w:color w:val="auto"/>
          <w:sz w:val="24"/>
          <w:szCs w:val="24"/>
          <w:highlight w:val="none"/>
          <w:u w:val="single"/>
          <w:lang w:val="en-US" w:eastAsia="zh-CN"/>
        </w:rPr>
        <w:t>完成竣工资料组卷</w:t>
      </w:r>
      <w:r>
        <w:rPr>
          <w:rFonts w:hint="eastAsia" w:ascii="宋体" w:hAnsi="宋体" w:cs="宋体"/>
          <w:color w:val="auto"/>
          <w:sz w:val="24"/>
          <w:szCs w:val="24"/>
          <w:highlight w:val="none"/>
          <w:u w:val="single"/>
        </w:rPr>
        <w:t>，由本工程竣工验收委员会，对工程进行验收，验收合格后颁发竣工验收合格证书。</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如果竣工验收表明工程还没有满足竣工条件，则可以拒绝签发该竣工证书，同时指出承包人获得竣工证书之前仍需要完成的工作，在承包人完成相关工作并复检合格后，再向承包人签发竣工证书，并在该证书上载明工程竣工的日期。</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承包人负责完成竣工档案编制、整理、汇总和组卷工作，负责组织所辖承包商竣工档案编制、整理、汇总和组卷工作。</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u w:val="single"/>
        </w:rPr>
        <w:t>. 项目管理：</w:t>
      </w:r>
    </w:p>
    <w:p>
      <w:pPr>
        <w:spacing w:line="360" w:lineRule="auto"/>
        <w:ind w:firstLine="523" w:firstLineChars="218"/>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项目管理工作主要包括施工协调工作（包括但不限于当地政府、村民等）、工程</w:t>
      </w:r>
      <w:r>
        <w:rPr>
          <w:rFonts w:hint="eastAsia" w:ascii="宋体" w:hAnsi="宋体" w:cs="宋体"/>
          <w:color w:val="auto"/>
          <w:sz w:val="24"/>
          <w:szCs w:val="24"/>
          <w:highlight w:val="none"/>
          <w:u w:val="single"/>
          <w:lang w:val="en-US" w:eastAsia="zh-CN"/>
        </w:rPr>
        <w:t>由承包人办理的</w:t>
      </w:r>
      <w:r>
        <w:rPr>
          <w:rFonts w:hint="eastAsia" w:ascii="宋体" w:hAnsi="宋体" w:cs="宋体"/>
          <w:color w:val="auto"/>
          <w:sz w:val="24"/>
          <w:szCs w:val="24"/>
          <w:highlight w:val="none"/>
          <w:u w:val="single"/>
        </w:rPr>
        <w:t>报批报建、竣工移交及其他相关取证工作、相关监督检验手续办理、特殊地段施工相关手续办理等。</w:t>
      </w:r>
    </w:p>
    <w:p>
      <w:pPr>
        <w:spacing w:line="360" w:lineRule="auto"/>
        <w:ind w:firstLine="523" w:firstLineChars="218"/>
        <w:rPr>
          <w:rFonts w:ascii="宋体" w:hAnsi="宋体" w:cs="宋体"/>
          <w:color w:val="auto"/>
          <w:sz w:val="24"/>
          <w:szCs w:val="24"/>
          <w:highlight w:val="none"/>
          <w:u w:val="single"/>
        </w:rPr>
      </w:pPr>
    </w:p>
    <w:p>
      <w:pPr>
        <w:spacing w:line="360" w:lineRule="auto"/>
        <w:outlineLvl w:val="1"/>
        <w:rPr>
          <w:rFonts w:ascii="宋体" w:hAnsi="宋体" w:cs="宋体"/>
          <w:b/>
          <w:bCs/>
          <w:color w:val="auto"/>
          <w:sz w:val="24"/>
          <w:szCs w:val="24"/>
          <w:highlight w:val="none"/>
        </w:rPr>
      </w:pPr>
      <w:bookmarkStart w:id="340" w:name="_Toc18925"/>
      <w:bookmarkStart w:id="341" w:name="_Toc12105"/>
      <w:bookmarkStart w:id="342" w:name="_Toc1955658194"/>
      <w:bookmarkStart w:id="343" w:name="_Toc469383970"/>
      <w:bookmarkStart w:id="344" w:name="_Toc13344"/>
      <w:bookmarkStart w:id="345" w:name="_Toc932"/>
      <w:bookmarkStart w:id="346" w:name="_Toc22532"/>
      <w:bookmarkStart w:id="347" w:name="_Toc266892754"/>
      <w:bookmarkStart w:id="348" w:name="_Toc20079"/>
      <w:bookmarkStart w:id="349" w:name="_Toc1782329705"/>
      <w:r>
        <w:rPr>
          <w:rFonts w:hint="eastAsia" w:ascii="宋体" w:hAnsi="宋体" w:cs="宋体"/>
          <w:b/>
          <w:bCs/>
          <w:color w:val="auto"/>
          <w:sz w:val="24"/>
          <w:szCs w:val="24"/>
          <w:highlight w:val="none"/>
        </w:rPr>
        <w:t>三、合同工期</w:t>
      </w:r>
      <w:bookmarkEnd w:id="340"/>
      <w:bookmarkEnd w:id="341"/>
      <w:bookmarkEnd w:id="342"/>
      <w:bookmarkEnd w:id="343"/>
      <w:bookmarkEnd w:id="344"/>
      <w:bookmarkEnd w:id="345"/>
      <w:bookmarkEnd w:id="346"/>
      <w:bookmarkEnd w:id="347"/>
      <w:bookmarkEnd w:id="348"/>
      <w:bookmarkEnd w:id="349"/>
    </w:p>
    <w:p>
      <w:pPr>
        <w:spacing w:line="360" w:lineRule="auto"/>
        <w:ind w:left="1199" w:leftChars="250" w:hanging="674" w:hangingChars="281"/>
        <w:rPr>
          <w:rFonts w:ascii="宋体" w:hAnsi="宋体" w:cs="宋体"/>
          <w:color w:val="auto"/>
          <w:sz w:val="24"/>
          <w:szCs w:val="24"/>
          <w:highlight w:val="none"/>
        </w:rPr>
      </w:pPr>
      <w:r>
        <w:rPr>
          <w:rFonts w:hint="eastAsia" w:ascii="宋体" w:hAnsi="宋体" w:cs="宋体"/>
          <w:color w:val="auto"/>
          <w:sz w:val="24"/>
          <w:szCs w:val="24"/>
          <w:highlight w:val="none"/>
        </w:rPr>
        <w:t>工程合同工期总日历天数：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天。</w:t>
      </w:r>
    </w:p>
    <w:p>
      <w:pPr>
        <w:spacing w:line="360" w:lineRule="auto"/>
        <w:ind w:firstLine="523" w:firstLineChars="218"/>
        <w:jc w:val="left"/>
        <w:rPr>
          <w:rFonts w:ascii="宋体" w:hAnsi="宋体" w:cs="宋体"/>
          <w:color w:val="auto"/>
          <w:sz w:val="24"/>
          <w:szCs w:val="24"/>
          <w:highlight w:val="none"/>
        </w:rPr>
      </w:pPr>
      <w:r>
        <w:rPr>
          <w:rFonts w:hint="eastAsia" w:ascii="宋体" w:hAnsi="宋体" w:cs="宋体"/>
          <w:color w:val="auto"/>
          <w:sz w:val="24"/>
          <w:szCs w:val="24"/>
          <w:highlight w:val="none"/>
        </w:rPr>
        <w:t>暂定从    年   月   日开始施工，至    年   月   日竣工完成，具体开工日期以监理总工程师签发的开工令日期为准。工期总日历天数与根据前述计划开竣工日期计算的工期天数不一致的，以工期总日历天数为准。</w:t>
      </w:r>
    </w:p>
    <w:p>
      <w:pPr>
        <w:spacing w:line="360" w:lineRule="auto"/>
        <w:outlineLvl w:val="1"/>
        <w:rPr>
          <w:rFonts w:ascii="宋体" w:hAnsi="宋体" w:cs="宋体"/>
          <w:b/>
          <w:bCs/>
          <w:color w:val="auto"/>
          <w:sz w:val="24"/>
          <w:szCs w:val="24"/>
          <w:highlight w:val="none"/>
        </w:rPr>
      </w:pPr>
      <w:bookmarkStart w:id="350" w:name="_Toc21607"/>
      <w:bookmarkStart w:id="351" w:name="_Toc469383971"/>
      <w:bookmarkStart w:id="352" w:name="_Toc15106"/>
      <w:bookmarkStart w:id="353" w:name="_Toc3332"/>
      <w:bookmarkStart w:id="354" w:name="_Toc9522"/>
      <w:bookmarkStart w:id="355" w:name="_Toc19402"/>
      <w:bookmarkStart w:id="356" w:name="_Toc1510049223"/>
      <w:bookmarkStart w:id="357" w:name="_Toc365959932"/>
      <w:bookmarkStart w:id="358" w:name="_Toc8259"/>
      <w:bookmarkStart w:id="359" w:name="_Toc266892755"/>
      <w:r>
        <w:rPr>
          <w:rFonts w:hint="eastAsia" w:ascii="宋体" w:hAnsi="宋体" w:cs="宋体"/>
          <w:b/>
          <w:bCs/>
          <w:color w:val="auto"/>
          <w:sz w:val="24"/>
          <w:szCs w:val="24"/>
          <w:highlight w:val="none"/>
        </w:rPr>
        <w:t>四、质量标准</w:t>
      </w:r>
      <w:bookmarkEnd w:id="350"/>
      <w:bookmarkEnd w:id="351"/>
      <w:bookmarkEnd w:id="352"/>
      <w:bookmarkEnd w:id="353"/>
      <w:bookmarkEnd w:id="354"/>
      <w:bookmarkEnd w:id="355"/>
      <w:bookmarkEnd w:id="356"/>
      <w:bookmarkEnd w:id="357"/>
      <w:bookmarkEnd w:id="358"/>
      <w:bookmarkEnd w:id="359"/>
    </w:p>
    <w:p>
      <w:pPr>
        <w:spacing w:line="360" w:lineRule="auto"/>
        <w:ind w:left="479" w:leftChars="228" w:firstLine="43" w:firstLineChars="18"/>
        <w:rPr>
          <w:rFonts w:ascii="宋体" w:hAnsi="宋体" w:cs="宋体"/>
          <w:color w:val="auto"/>
          <w:sz w:val="24"/>
          <w:szCs w:val="24"/>
          <w:highlight w:val="none"/>
        </w:rPr>
      </w:pPr>
      <w:r>
        <w:rPr>
          <w:rFonts w:hint="eastAsia" w:ascii="宋体" w:hAnsi="宋体" w:cs="宋体"/>
          <w:color w:val="auto"/>
          <w:sz w:val="24"/>
          <w:szCs w:val="24"/>
          <w:highlight w:val="none"/>
        </w:rPr>
        <w:t>工程质量标准：</w:t>
      </w:r>
    </w:p>
    <w:p>
      <w:pPr>
        <w:spacing w:line="360" w:lineRule="auto"/>
        <w:ind w:left="479" w:leftChars="228" w:firstLine="43" w:firstLineChars="18"/>
        <w:rPr>
          <w:rFonts w:ascii="宋体" w:hAnsi="宋体" w:cs="宋体"/>
          <w:color w:val="auto"/>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确保符合国家、省、市</w:t>
      </w:r>
      <w:r>
        <w:rPr>
          <w:rFonts w:hint="eastAsia" w:ascii="宋体" w:hAnsi="宋体" w:cs="宋体"/>
          <w:color w:val="auto"/>
          <w:sz w:val="24"/>
          <w:szCs w:val="24"/>
          <w:highlight w:val="none"/>
          <w:u w:val="single"/>
        </w:rPr>
        <w:t>相关法律法规要求的</w:t>
      </w:r>
      <w:r>
        <w:rPr>
          <w:rFonts w:hint="eastAsia" w:ascii="宋体" w:hAnsi="宋体" w:cs="宋体"/>
          <w:color w:val="auto"/>
          <w:sz w:val="24"/>
          <w:szCs w:val="24"/>
          <w:highlight w:val="none"/>
        </w:rPr>
        <w:t>质量验收标准，并达到合格或（以上标准）。</w:t>
      </w:r>
    </w:p>
    <w:p>
      <w:pPr>
        <w:spacing w:line="360" w:lineRule="auto"/>
        <w:ind w:left="479" w:leftChars="228" w:firstLine="43" w:firstLineChars="18"/>
        <w:rPr>
          <w:rFonts w:ascii="宋体" w:hAnsi="宋体" w:cs="宋体"/>
          <w:color w:val="auto"/>
          <w:sz w:val="24"/>
          <w:szCs w:val="24"/>
          <w:highlight w:val="none"/>
          <w:u w:val="single"/>
        </w:rPr>
      </w:pPr>
      <w:r>
        <w:rPr>
          <w:rFonts w:hint="eastAsia" w:ascii="宋体" w:hAnsi="宋体" w:cs="宋体"/>
          <w:color w:val="auto"/>
          <w:sz w:val="24"/>
          <w:szCs w:val="24"/>
          <w:highlight w:val="none"/>
        </w:rPr>
        <w:t>□ 以及符合优质工程质量验收标准。</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创优目标：</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w:t>
      </w:r>
      <w:r>
        <w:rPr>
          <w:rFonts w:hint="eastAsia" w:ascii="宋体" w:hAnsi="宋体" w:cs="宋体"/>
          <w:color w:val="auto"/>
          <w:sz w:val="24"/>
          <w:szCs w:val="24"/>
          <w:highlight w:val="none"/>
        </w:rPr>
        <w:t>市级工程优质奖</w:t>
      </w:r>
      <w:r>
        <w:rPr>
          <w:rFonts w:hint="eastAsia" w:ascii="宋体" w:hAnsi="宋体" w:cs="宋体"/>
          <w:color w:val="auto"/>
          <w:kern w:val="0"/>
          <w:sz w:val="24"/>
          <w:szCs w:val="24"/>
          <w:highlight w:val="none"/>
        </w:rPr>
        <w:t>；</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省级工程优质奖</w:t>
      </w:r>
      <w:r>
        <w:rPr>
          <w:rFonts w:hint="eastAsia" w:ascii="宋体" w:hAnsi="宋体" w:cs="宋体"/>
          <w:color w:val="auto"/>
          <w:kern w:val="0"/>
          <w:sz w:val="24"/>
          <w:szCs w:val="24"/>
          <w:highlight w:val="none"/>
        </w:rPr>
        <w:t>；</w:t>
      </w:r>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国家级工程优质奖</w:t>
      </w:r>
      <w:r>
        <w:rPr>
          <w:rFonts w:hint="eastAsia" w:ascii="宋体" w:hAnsi="宋体" w:cs="宋体"/>
          <w:color w:val="auto"/>
          <w:kern w:val="0"/>
          <w:sz w:val="24"/>
          <w:szCs w:val="24"/>
          <w:highlight w:val="none"/>
        </w:rPr>
        <w:t>；</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kern w:val="0"/>
          <w:sz w:val="24"/>
          <w:szCs w:val="24"/>
          <w:highlight w:val="none"/>
        </w:rPr>
        <w:t>□其它</w:t>
      </w:r>
    </w:p>
    <w:p>
      <w:pPr>
        <w:spacing w:line="360" w:lineRule="auto"/>
        <w:ind w:firstLine="480" w:firstLineChars="200"/>
        <w:rPr>
          <w:rFonts w:ascii="宋体" w:hAnsi="宋体" w:cs="宋体"/>
          <w:color w:val="auto"/>
          <w:sz w:val="24"/>
          <w:szCs w:val="24"/>
          <w:highlight w:val="none"/>
          <w:u w:val="single"/>
        </w:rPr>
      </w:pP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创文明工地目标：</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市级安全文明绿色施工样板工地</w:t>
      </w:r>
      <w:r>
        <w:rPr>
          <w:rFonts w:hint="eastAsia" w:ascii="宋体" w:hAnsi="宋体" w:cs="宋体"/>
          <w:color w:val="auto"/>
          <w:kern w:val="0"/>
          <w:sz w:val="24"/>
          <w:szCs w:val="24"/>
          <w:highlight w:val="none"/>
        </w:rPr>
        <w:t>；</w:t>
      </w:r>
    </w:p>
    <w:p>
      <w:pPr>
        <w:autoSpaceDE w:val="0"/>
        <w:autoSpaceDN w:val="0"/>
        <w:adjustRightIn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省级安全文明示范工地；</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国家级安全文明工地</w:t>
      </w:r>
      <w:r>
        <w:rPr>
          <w:rFonts w:hint="eastAsia" w:ascii="宋体" w:hAnsi="宋体" w:cs="宋体"/>
          <w:color w:val="auto"/>
          <w:kern w:val="0"/>
          <w:sz w:val="24"/>
          <w:szCs w:val="24"/>
          <w:highlight w:val="none"/>
        </w:rPr>
        <w:t>；</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□广州市建筑业绿色施工示范工程；</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□广东省建筑业绿色施工示范工程；</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□全国建筑业绿色施工示范工程；</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□其它</w:t>
      </w:r>
    </w:p>
    <w:p>
      <w:pPr>
        <w:ind w:firstLine="480" w:firstLineChars="200"/>
        <w:rPr>
          <w:rFonts w:ascii="宋体" w:hAnsi="宋体" w:cs="宋体"/>
          <w:color w:val="auto"/>
          <w:sz w:val="24"/>
          <w:szCs w:val="24"/>
          <w:highlight w:val="none"/>
          <w:u w:val="single"/>
        </w:rPr>
      </w:pPr>
    </w:p>
    <w:p>
      <w:pPr>
        <w:spacing w:line="360" w:lineRule="auto"/>
        <w:outlineLvl w:val="1"/>
        <w:rPr>
          <w:rFonts w:ascii="宋体" w:hAnsi="宋体" w:cs="宋体"/>
          <w:b/>
          <w:bCs/>
          <w:color w:val="auto"/>
          <w:sz w:val="24"/>
          <w:szCs w:val="24"/>
          <w:highlight w:val="none"/>
        </w:rPr>
      </w:pPr>
      <w:bookmarkStart w:id="360" w:name="_Toc3937"/>
      <w:bookmarkStart w:id="361" w:name="_Toc9881"/>
      <w:bookmarkStart w:id="362" w:name="_Toc18010"/>
      <w:bookmarkStart w:id="363" w:name="_Toc12065"/>
      <w:bookmarkStart w:id="364" w:name="_Toc29087"/>
      <w:bookmarkStart w:id="365" w:name="_Toc435550715"/>
      <w:bookmarkStart w:id="366" w:name="_Toc266892756"/>
      <w:bookmarkStart w:id="367" w:name="_Toc469383972"/>
      <w:bookmarkStart w:id="368" w:name="_Toc295412116"/>
      <w:bookmarkStart w:id="369" w:name="_Toc28630"/>
      <w:r>
        <w:rPr>
          <w:rFonts w:hint="eastAsia" w:ascii="宋体" w:hAnsi="宋体" w:cs="宋体"/>
          <w:b/>
          <w:bCs/>
          <w:color w:val="auto"/>
          <w:sz w:val="24"/>
          <w:szCs w:val="24"/>
          <w:highlight w:val="none"/>
        </w:rPr>
        <w:t>五、合同价款</w:t>
      </w:r>
      <w:bookmarkEnd w:id="360"/>
      <w:bookmarkEnd w:id="361"/>
      <w:bookmarkEnd w:id="362"/>
      <w:bookmarkEnd w:id="363"/>
      <w:bookmarkEnd w:id="364"/>
      <w:bookmarkEnd w:id="365"/>
      <w:bookmarkEnd w:id="366"/>
      <w:bookmarkEnd w:id="367"/>
      <w:bookmarkEnd w:id="368"/>
      <w:bookmarkEnd w:id="369"/>
    </w:p>
    <w:p>
      <w:pPr>
        <w:spacing w:line="360" w:lineRule="auto"/>
        <w:ind w:firstLine="523" w:firstLineChars="218"/>
        <w:rPr>
          <w:rFonts w:ascii="宋体" w:hAnsi="宋体" w:cs="宋体"/>
          <w:color w:val="auto"/>
          <w:sz w:val="24"/>
          <w:szCs w:val="24"/>
          <w:highlight w:val="none"/>
        </w:rPr>
      </w:pPr>
      <w:r>
        <w:rPr>
          <w:rFonts w:hint="eastAsia" w:ascii="宋体" w:hAnsi="宋体" w:cs="宋体"/>
          <w:color w:val="auto"/>
          <w:sz w:val="24"/>
          <w:szCs w:val="24"/>
          <w:highlight w:val="none"/>
        </w:rPr>
        <w:t>含税合同总价（大写）：元；</w:t>
      </w:r>
    </w:p>
    <w:p>
      <w:pPr>
        <w:spacing w:line="360" w:lineRule="auto"/>
        <w:ind w:firstLine="1960" w:firstLineChars="817"/>
        <w:rPr>
          <w:rFonts w:ascii="宋体" w:hAnsi="宋体" w:cs="宋体"/>
          <w:color w:val="auto"/>
          <w:sz w:val="24"/>
          <w:szCs w:val="24"/>
          <w:highlight w:val="none"/>
        </w:rPr>
      </w:pPr>
      <w:r>
        <w:rPr>
          <w:rFonts w:hint="eastAsia" w:ascii="宋体" w:hAnsi="宋体" w:cs="宋体"/>
          <w:color w:val="auto"/>
          <w:sz w:val="24"/>
          <w:szCs w:val="24"/>
          <w:highlight w:val="none"/>
        </w:rPr>
        <w:t>（小写）：元。</w:t>
      </w:r>
    </w:p>
    <w:p>
      <w:pPr>
        <w:autoSpaceDE w:val="0"/>
        <w:autoSpaceDN w:val="0"/>
        <w:adjustRightInd w:val="0"/>
        <w:spacing w:after="156" w:afterLines="5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不含税合同价（小写）：元，增值税            元（增值税率  %），如因国家税收政策变化，则按不含税价不变原则相应调整税率和税额。</w:t>
      </w:r>
    </w:p>
    <w:p>
      <w:pPr>
        <w:autoSpaceDE w:val="0"/>
        <w:autoSpaceDN w:val="0"/>
        <w:adjustRightInd w:val="0"/>
        <w:spacing w:line="360" w:lineRule="auto"/>
        <w:ind w:firstLine="1560" w:firstLineChars="6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其中：暂列金额</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元；</w:t>
      </w:r>
    </w:p>
    <w:p>
      <w:pPr>
        <w:spacing w:line="360" w:lineRule="auto"/>
        <w:ind w:firstLine="2400" w:firstLineChars="1000"/>
        <w:rPr>
          <w:rFonts w:ascii="宋体" w:hAnsi="宋体" w:cs="宋体"/>
          <w:color w:val="auto"/>
          <w:kern w:val="0"/>
          <w:sz w:val="24"/>
          <w:szCs w:val="24"/>
          <w:highlight w:val="none"/>
        </w:rPr>
      </w:pPr>
      <w:r>
        <w:rPr>
          <w:rFonts w:hint="eastAsia" w:ascii="宋体" w:hAnsi="宋体" w:cs="宋体"/>
          <w:color w:val="auto"/>
          <w:kern w:val="0"/>
          <w:sz w:val="24"/>
          <w:szCs w:val="24"/>
          <w:highlight w:val="none"/>
        </w:rPr>
        <w:t>绿色施工安全防护措施费</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元，</w:t>
      </w:r>
    </w:p>
    <w:p>
      <w:pPr>
        <w:spacing w:line="360" w:lineRule="auto"/>
        <w:ind w:firstLine="2280" w:firstLineChars="950"/>
        <w:rPr>
          <w:rFonts w:ascii="宋体" w:hAnsi="宋体" w:cs="宋体"/>
          <w:color w:val="auto"/>
          <w:sz w:val="24"/>
          <w:szCs w:val="24"/>
          <w:highlight w:val="none"/>
        </w:rPr>
      </w:pPr>
      <w:r>
        <w:rPr>
          <w:rFonts w:hint="eastAsia" w:ascii="宋体" w:hAnsi="宋体" w:cs="宋体"/>
          <w:color w:val="auto"/>
          <w:kern w:val="0"/>
          <w:sz w:val="24"/>
          <w:szCs w:val="24"/>
          <w:highlight w:val="none"/>
        </w:rPr>
        <w:t>余泥渣土（土方、石方、淤泥）场外运输与排放费用元。</w:t>
      </w:r>
    </w:p>
    <w:p>
      <w:pPr>
        <w:spacing w:line="360" w:lineRule="auto"/>
        <w:ind w:firstLine="523" w:firstLineChars="218"/>
        <w:rPr>
          <w:rFonts w:ascii="宋体" w:hAnsi="宋体" w:cs="宋体"/>
          <w:color w:val="auto"/>
          <w:sz w:val="24"/>
          <w:szCs w:val="24"/>
          <w:highlight w:val="none"/>
        </w:rPr>
      </w:pPr>
      <w:r>
        <w:rPr>
          <w:rFonts w:hint="eastAsia" w:ascii="宋体" w:hAnsi="宋体" w:cs="宋体"/>
          <w:color w:val="auto"/>
          <w:sz w:val="24"/>
          <w:szCs w:val="24"/>
          <w:highlight w:val="none"/>
        </w:rPr>
        <w:t>项目单价：☑详见承包人的投标报价书（招标工程）；</w:t>
      </w:r>
    </w:p>
    <w:p>
      <w:pPr>
        <w:spacing w:line="360" w:lineRule="auto"/>
        <w:ind w:firstLine="1680" w:firstLineChars="700"/>
        <w:rPr>
          <w:rFonts w:ascii="宋体" w:hAnsi="宋体" w:cs="宋体"/>
          <w:color w:val="auto"/>
          <w:sz w:val="24"/>
          <w:szCs w:val="24"/>
          <w:highlight w:val="none"/>
        </w:rPr>
      </w:pPr>
      <w:r>
        <w:rPr>
          <w:rFonts w:hint="eastAsia" w:ascii="宋体" w:hAnsi="宋体" w:cs="宋体"/>
          <w:color w:val="auto"/>
          <w:sz w:val="24"/>
          <w:szCs w:val="24"/>
          <w:highlight w:val="none"/>
        </w:rPr>
        <w:t>□详见经确认的工程量清单报价单或施工图预算书（非招标工程）。</w:t>
      </w:r>
    </w:p>
    <w:p>
      <w:pPr>
        <w:spacing w:line="360" w:lineRule="auto"/>
        <w:ind w:firstLine="1680" w:firstLineChars="700"/>
        <w:rPr>
          <w:rFonts w:ascii="宋体" w:hAnsi="宋体" w:cs="宋体"/>
          <w:color w:val="auto"/>
          <w:sz w:val="24"/>
          <w:szCs w:val="24"/>
          <w:highlight w:val="none"/>
        </w:rPr>
      </w:pPr>
    </w:p>
    <w:p>
      <w:pPr>
        <w:spacing w:line="360" w:lineRule="auto"/>
        <w:outlineLvl w:val="1"/>
        <w:rPr>
          <w:rFonts w:ascii="宋体" w:hAnsi="宋体" w:cs="宋体"/>
          <w:b/>
          <w:bCs/>
          <w:color w:val="auto"/>
          <w:kern w:val="0"/>
          <w:sz w:val="24"/>
          <w:szCs w:val="24"/>
          <w:highlight w:val="none"/>
        </w:rPr>
      </w:pPr>
      <w:bookmarkStart w:id="370" w:name="_Toc17861"/>
      <w:bookmarkStart w:id="371" w:name="_Toc18780"/>
      <w:bookmarkStart w:id="372" w:name="_Toc22312"/>
      <w:bookmarkStart w:id="373" w:name="_Toc9241748"/>
      <w:bookmarkStart w:id="374" w:name="_Toc385"/>
      <w:bookmarkStart w:id="375" w:name="_Toc1676598029"/>
      <w:bookmarkStart w:id="376" w:name="_Toc28457"/>
      <w:r>
        <w:rPr>
          <w:rFonts w:hint="eastAsia" w:ascii="宋体" w:hAnsi="宋体" w:cs="宋体"/>
          <w:b/>
          <w:bCs/>
          <w:color w:val="auto"/>
          <w:sz w:val="24"/>
          <w:szCs w:val="24"/>
          <w:highlight w:val="none"/>
        </w:rPr>
        <w:t>六、</w:t>
      </w:r>
      <w:r>
        <w:rPr>
          <w:rFonts w:hint="eastAsia" w:ascii="宋体" w:hAnsi="宋体" w:cs="宋体"/>
          <w:b/>
          <w:bCs/>
          <w:color w:val="auto"/>
          <w:kern w:val="0"/>
          <w:sz w:val="24"/>
          <w:szCs w:val="24"/>
          <w:highlight w:val="none"/>
        </w:rPr>
        <w:t>工人工资支付分账</w:t>
      </w:r>
      <w:bookmarkEnd w:id="370"/>
      <w:bookmarkEnd w:id="371"/>
      <w:bookmarkEnd w:id="372"/>
      <w:bookmarkEnd w:id="373"/>
      <w:bookmarkEnd w:id="374"/>
      <w:bookmarkEnd w:id="375"/>
      <w:bookmarkEnd w:id="376"/>
    </w:p>
    <w:p>
      <w:pPr>
        <w:widowControl/>
        <w:spacing w:line="360" w:lineRule="auto"/>
        <w:ind w:firstLine="42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工人工资</w:t>
      </w:r>
      <w:r>
        <w:rPr>
          <w:rFonts w:hint="eastAsia" w:ascii="宋体" w:hAnsi="宋体" w:cs="宋体"/>
          <w:color w:val="auto"/>
          <w:kern w:val="0"/>
          <w:sz w:val="24"/>
          <w:szCs w:val="24"/>
          <w:highlight w:val="none"/>
          <w:u w:val="single"/>
        </w:rPr>
        <w:t>款支付专用账户开设的约定内容：承包人应根据</w:t>
      </w:r>
      <w:r>
        <w:rPr>
          <w:rFonts w:ascii="宋体" w:hAnsi="宋体" w:cs="宋体"/>
          <w:color w:val="auto"/>
          <w:kern w:val="0"/>
          <w:sz w:val="24"/>
          <w:szCs w:val="24"/>
          <w:highlight w:val="none"/>
          <w:u w:val="single"/>
        </w:rPr>
        <w:t>《保障农民工工资支付条例》</w:t>
      </w:r>
      <w:r>
        <w:rPr>
          <w:rFonts w:hint="eastAsia" w:ascii="宋体" w:hAnsi="宋体" w:cs="宋体"/>
          <w:color w:val="auto"/>
          <w:kern w:val="0"/>
          <w:sz w:val="24"/>
          <w:szCs w:val="24"/>
          <w:highlight w:val="none"/>
          <w:u w:val="single"/>
        </w:rPr>
        <w:t xml:space="preserve">等相关法律法规向银行开设工人工资支付专用账户，确保通过工人工资专用账户按时足额支付工人工资。 </w:t>
      </w:r>
    </w:p>
    <w:p>
      <w:pPr>
        <w:widowControl/>
        <w:spacing w:line="360" w:lineRule="auto"/>
        <w:ind w:firstLine="42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承包人不得以与发包人存在工程数量、质量、造价等产生争议及发包人欠付工程款为由，拒绝支付、拖欠农民工工资。如承包人拖欠分包单位合同款项、农民工工资的，发包人有权直接向被拖欠款项的分包单位、农民工等第三方支付款项，发包人向前述第三方支付的款项，发包人有权在承包人应收的任何一笔款项中直接扣减。</w:t>
      </w:r>
    </w:p>
    <w:p>
      <w:pPr>
        <w:widowControl/>
        <w:spacing w:line="360" w:lineRule="auto"/>
        <w:ind w:firstLine="42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u w:val="single"/>
        </w:rPr>
        <w:t>如承包人未能履行相应的法律义务及合同义务，导致出现农民工工资拖欠的，承包人应当承担全部法律责任，给发包人造成损失，还应赔偿发包人的全部经济损失，并按照发包人向农民工以及其它第三方支付金额的</w:t>
      </w:r>
      <w:r>
        <w:rPr>
          <w:rFonts w:ascii="宋体" w:hAnsi="宋体" w:cs="宋体"/>
          <w:color w:val="auto"/>
          <w:kern w:val="0"/>
          <w:sz w:val="24"/>
          <w:szCs w:val="24"/>
          <w:highlight w:val="none"/>
          <w:u w:val="single"/>
        </w:rPr>
        <w:t>100%向发包人支付违约金。</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工人工资款支付专用账户开户银行：，</w:t>
      </w:r>
    </w:p>
    <w:p>
      <w:pPr>
        <w:spacing w:line="360" w:lineRule="auto"/>
        <w:ind w:firstLine="495"/>
        <w:rPr>
          <w:rFonts w:ascii="宋体" w:hAnsi="宋体" w:cs="宋体"/>
          <w:color w:val="auto"/>
          <w:kern w:val="0"/>
          <w:sz w:val="24"/>
          <w:szCs w:val="24"/>
          <w:highlight w:val="none"/>
        </w:rPr>
      </w:pPr>
      <w:r>
        <w:rPr>
          <w:rFonts w:hint="eastAsia" w:ascii="宋体" w:hAnsi="宋体" w:cs="宋体"/>
          <w:color w:val="auto"/>
          <w:kern w:val="0"/>
          <w:sz w:val="24"/>
          <w:szCs w:val="24"/>
          <w:highlight w:val="none"/>
        </w:rPr>
        <w:t>工人工资款支付专用账户：。</w:t>
      </w:r>
    </w:p>
    <w:p>
      <w:pPr>
        <w:spacing w:line="360" w:lineRule="auto"/>
        <w:ind w:left="479" w:leftChars="228" w:firstLine="12" w:firstLineChars="5"/>
        <w:rPr>
          <w:rFonts w:ascii="宋体" w:hAnsi="宋体" w:cs="宋体"/>
          <w:color w:val="auto"/>
          <w:kern w:val="0"/>
          <w:sz w:val="24"/>
          <w:szCs w:val="24"/>
          <w:highlight w:val="none"/>
        </w:rPr>
      </w:pPr>
      <w:r>
        <w:rPr>
          <w:rFonts w:hint="eastAsia" w:ascii="宋体" w:hAnsi="宋体" w:cs="宋体"/>
          <w:color w:val="auto"/>
          <w:kern w:val="0"/>
          <w:sz w:val="24"/>
          <w:szCs w:val="24"/>
          <w:highlight w:val="none"/>
        </w:rPr>
        <w:t>工程款中的工人工资款比例：</w:t>
      </w:r>
      <w:r>
        <w:rPr>
          <w:rFonts w:hint="eastAsia" w:ascii="宋体" w:hAnsi="宋体" w:cs="宋体"/>
          <w:color w:val="auto"/>
          <w:kern w:val="0"/>
          <w:sz w:val="24"/>
          <w:szCs w:val="24"/>
          <w:highlight w:val="none"/>
          <w:u w:val="single"/>
        </w:rPr>
        <w:t>见《建设工程投标书》，</w:t>
      </w:r>
    </w:p>
    <w:p>
      <w:pPr>
        <w:spacing w:line="360" w:lineRule="auto"/>
        <w:ind w:left="479" w:leftChars="228" w:firstLine="12" w:firstLineChars="5"/>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其中：每一期工程进度款中的工人工资款比例：。</w:t>
      </w:r>
    </w:p>
    <w:p>
      <w:pPr>
        <w:spacing w:line="360" w:lineRule="auto"/>
        <w:ind w:firstLine="1200" w:firstLineChars="5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工人工资支付周期：</w:t>
      </w:r>
      <w:r>
        <w:rPr>
          <w:rFonts w:hint="eastAsia" w:ascii="宋体" w:hAnsi="宋体" w:cs="宋体"/>
          <w:color w:val="auto"/>
          <w:kern w:val="0"/>
          <w:sz w:val="24"/>
          <w:szCs w:val="24"/>
          <w:highlight w:val="none"/>
          <w:u w:val="single"/>
        </w:rPr>
        <w:t>承包人按月支付</w:t>
      </w:r>
      <w:r>
        <w:rPr>
          <w:rFonts w:hint="eastAsia" w:ascii="宋体" w:hAnsi="宋体" w:cs="宋体"/>
          <w:color w:val="auto"/>
          <w:kern w:val="0"/>
          <w:sz w:val="24"/>
          <w:szCs w:val="24"/>
          <w:highlight w:val="none"/>
        </w:rPr>
        <w:t>。</w:t>
      </w:r>
    </w:p>
    <w:p>
      <w:pPr>
        <w:ind w:firstLine="465"/>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承包人已确认上述约定工程款中的工人工资款比例能满足本工程项目的工人工资支付。</w:t>
      </w:r>
    </w:p>
    <w:p>
      <w:pPr>
        <w:ind w:firstLine="465"/>
        <w:rPr>
          <w:rFonts w:ascii="宋体" w:hAnsi="宋体" w:cs="宋体"/>
          <w:color w:val="auto"/>
          <w:kern w:val="0"/>
          <w:sz w:val="24"/>
          <w:szCs w:val="24"/>
          <w:highlight w:val="none"/>
        </w:rPr>
      </w:pPr>
    </w:p>
    <w:p>
      <w:pPr>
        <w:ind w:firstLine="465"/>
        <w:rPr>
          <w:rFonts w:ascii="宋体" w:hAnsi="宋体" w:cs="宋体"/>
          <w:color w:val="auto"/>
          <w:highlight w:val="none"/>
        </w:rPr>
      </w:pPr>
    </w:p>
    <w:p>
      <w:pPr>
        <w:spacing w:line="360" w:lineRule="auto"/>
        <w:outlineLvl w:val="1"/>
        <w:rPr>
          <w:rFonts w:ascii="宋体" w:hAnsi="宋体" w:cs="宋体"/>
          <w:b/>
          <w:bCs/>
          <w:color w:val="auto"/>
          <w:sz w:val="24"/>
          <w:szCs w:val="24"/>
          <w:highlight w:val="none"/>
        </w:rPr>
      </w:pPr>
      <w:bookmarkStart w:id="377" w:name="_Toc4342"/>
      <w:bookmarkStart w:id="378" w:name="_Toc266892757"/>
      <w:bookmarkStart w:id="379" w:name="_Toc6490"/>
      <w:bookmarkStart w:id="380" w:name="_Toc707236052"/>
      <w:bookmarkStart w:id="381" w:name="_Toc1450141116"/>
      <w:bookmarkStart w:id="382" w:name="_Toc3068"/>
      <w:bookmarkStart w:id="383" w:name="_Toc27974"/>
      <w:bookmarkStart w:id="384" w:name="_Toc13869"/>
      <w:bookmarkStart w:id="385" w:name="_Toc469383973"/>
      <w:bookmarkStart w:id="386" w:name="_Toc10012"/>
      <w:r>
        <w:rPr>
          <w:rFonts w:hint="eastAsia" w:ascii="宋体" w:hAnsi="宋体" w:cs="宋体"/>
          <w:b/>
          <w:bCs/>
          <w:color w:val="auto"/>
          <w:sz w:val="24"/>
          <w:szCs w:val="24"/>
          <w:highlight w:val="none"/>
        </w:rPr>
        <w:t>七、组成合同的文件</w:t>
      </w:r>
      <w:bookmarkEnd w:id="377"/>
      <w:bookmarkEnd w:id="378"/>
      <w:bookmarkEnd w:id="379"/>
      <w:bookmarkEnd w:id="380"/>
      <w:bookmarkEnd w:id="381"/>
      <w:bookmarkEnd w:id="382"/>
      <w:bookmarkEnd w:id="383"/>
      <w:bookmarkEnd w:id="384"/>
      <w:bookmarkEnd w:id="385"/>
      <w:bookmarkEnd w:id="386"/>
    </w:p>
    <w:p>
      <w:pPr>
        <w:tabs>
          <w:tab w:val="left" w:pos="1260"/>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组成本合同的文件及其优先解释顺序与本合同第二部分《通用条款》第2.2款赋予的规定一致。</w:t>
      </w:r>
    </w:p>
    <w:p>
      <w:pPr>
        <w:tabs>
          <w:tab w:val="left" w:pos="1260"/>
        </w:tabs>
        <w:spacing w:line="360" w:lineRule="auto"/>
        <w:ind w:firstLine="520" w:firstLineChars="217"/>
        <w:rPr>
          <w:rFonts w:ascii="宋体" w:hAnsi="宋体" w:cs="宋体"/>
          <w:color w:val="auto"/>
          <w:sz w:val="24"/>
          <w:szCs w:val="24"/>
          <w:highlight w:val="none"/>
        </w:rPr>
      </w:pPr>
    </w:p>
    <w:p>
      <w:pPr>
        <w:spacing w:line="360" w:lineRule="auto"/>
        <w:outlineLvl w:val="1"/>
        <w:rPr>
          <w:rFonts w:ascii="宋体" w:hAnsi="宋体" w:cs="宋体"/>
          <w:b/>
          <w:bCs/>
          <w:color w:val="auto"/>
          <w:sz w:val="24"/>
          <w:szCs w:val="24"/>
          <w:highlight w:val="none"/>
        </w:rPr>
      </w:pPr>
      <w:bookmarkStart w:id="387" w:name="_Toc23138"/>
      <w:bookmarkStart w:id="388" w:name="_Toc266892758"/>
      <w:bookmarkStart w:id="389" w:name="_Toc22643"/>
      <w:bookmarkStart w:id="390" w:name="_Toc194339819"/>
      <w:bookmarkStart w:id="391" w:name="_Toc15766"/>
      <w:bookmarkStart w:id="392" w:name="_Toc469383974"/>
      <w:bookmarkStart w:id="393" w:name="_Toc17080"/>
      <w:bookmarkStart w:id="394" w:name="_Toc21612"/>
      <w:bookmarkStart w:id="395" w:name="_Toc729826809"/>
      <w:bookmarkStart w:id="396" w:name="_Toc6566"/>
      <w:r>
        <w:rPr>
          <w:rFonts w:hint="eastAsia" w:ascii="宋体" w:hAnsi="宋体" w:cs="宋体"/>
          <w:b/>
          <w:bCs/>
          <w:color w:val="auto"/>
          <w:sz w:val="24"/>
          <w:szCs w:val="24"/>
          <w:highlight w:val="none"/>
        </w:rPr>
        <w:t>八、词语含义</w:t>
      </w:r>
      <w:bookmarkEnd w:id="387"/>
      <w:bookmarkEnd w:id="388"/>
      <w:bookmarkEnd w:id="389"/>
      <w:bookmarkEnd w:id="390"/>
      <w:bookmarkEnd w:id="391"/>
      <w:bookmarkEnd w:id="392"/>
      <w:bookmarkEnd w:id="393"/>
      <w:bookmarkEnd w:id="394"/>
      <w:bookmarkEnd w:id="395"/>
      <w:bookmarkEnd w:id="396"/>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本协议书中有关词语含义与本合同第二部分《通用条款》第1条赋予它们的定义相同。</w:t>
      </w:r>
    </w:p>
    <w:p>
      <w:pPr>
        <w:spacing w:line="360" w:lineRule="auto"/>
        <w:ind w:firstLine="480" w:firstLineChars="200"/>
        <w:rPr>
          <w:rFonts w:ascii="宋体" w:hAnsi="宋体" w:cs="宋体"/>
          <w:color w:val="auto"/>
          <w:sz w:val="24"/>
          <w:szCs w:val="24"/>
          <w:highlight w:val="none"/>
        </w:rPr>
      </w:pPr>
    </w:p>
    <w:p>
      <w:pPr>
        <w:spacing w:line="360" w:lineRule="auto"/>
        <w:outlineLvl w:val="1"/>
        <w:rPr>
          <w:rFonts w:ascii="宋体" w:hAnsi="宋体" w:cs="宋体"/>
          <w:b/>
          <w:bCs/>
          <w:color w:val="auto"/>
          <w:sz w:val="24"/>
          <w:szCs w:val="24"/>
          <w:highlight w:val="none"/>
        </w:rPr>
      </w:pPr>
      <w:bookmarkStart w:id="397" w:name="_Toc28526"/>
      <w:bookmarkStart w:id="398" w:name="_Toc469383975"/>
      <w:bookmarkStart w:id="399" w:name="_Toc266892759"/>
      <w:bookmarkStart w:id="400" w:name="_Toc6533"/>
      <w:bookmarkStart w:id="401" w:name="_Toc22627"/>
      <w:bookmarkStart w:id="402" w:name="_Toc1920070846"/>
      <w:bookmarkStart w:id="403" w:name="_Toc18235"/>
      <w:bookmarkStart w:id="404" w:name="_Toc15450"/>
      <w:bookmarkStart w:id="405" w:name="_Toc10624"/>
      <w:bookmarkStart w:id="406" w:name="_Toc2094194493"/>
      <w:r>
        <w:rPr>
          <w:rFonts w:hint="eastAsia" w:ascii="宋体" w:hAnsi="宋体" w:cs="宋体"/>
          <w:b/>
          <w:bCs/>
          <w:color w:val="auto"/>
          <w:sz w:val="24"/>
          <w:szCs w:val="24"/>
          <w:highlight w:val="none"/>
        </w:rPr>
        <w:t>九、承包人承诺</w:t>
      </w:r>
      <w:bookmarkEnd w:id="397"/>
      <w:bookmarkEnd w:id="398"/>
      <w:bookmarkEnd w:id="399"/>
      <w:bookmarkEnd w:id="400"/>
      <w:bookmarkEnd w:id="401"/>
      <w:bookmarkEnd w:id="402"/>
      <w:bookmarkEnd w:id="403"/>
      <w:bookmarkEnd w:id="404"/>
      <w:bookmarkEnd w:id="405"/>
      <w:bookmarkEnd w:id="406"/>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承包人向发包人承诺已阅读、理解并接受本合同所有条款，按照本合同约定实施、完成并保修合同工程，履行本合同所约定的全部义务。</w:t>
      </w:r>
    </w:p>
    <w:p>
      <w:pPr>
        <w:spacing w:line="360" w:lineRule="auto"/>
        <w:ind w:firstLine="480" w:firstLineChars="200"/>
        <w:rPr>
          <w:rFonts w:ascii="宋体" w:hAnsi="宋体" w:cs="宋体"/>
          <w:color w:val="auto"/>
          <w:sz w:val="24"/>
          <w:szCs w:val="24"/>
          <w:highlight w:val="none"/>
        </w:rPr>
      </w:pPr>
    </w:p>
    <w:p>
      <w:pPr>
        <w:spacing w:line="360" w:lineRule="auto"/>
        <w:outlineLvl w:val="1"/>
        <w:rPr>
          <w:rFonts w:ascii="宋体" w:hAnsi="宋体" w:cs="宋体"/>
          <w:b/>
          <w:bCs/>
          <w:color w:val="auto"/>
          <w:sz w:val="24"/>
          <w:szCs w:val="24"/>
          <w:highlight w:val="none"/>
        </w:rPr>
      </w:pPr>
      <w:bookmarkStart w:id="407" w:name="_Toc16774"/>
      <w:bookmarkStart w:id="408" w:name="_Toc19503"/>
      <w:bookmarkStart w:id="409" w:name="_Toc12504"/>
      <w:bookmarkStart w:id="410" w:name="_Toc469383976"/>
      <w:bookmarkStart w:id="411" w:name="_Toc14200"/>
      <w:bookmarkStart w:id="412" w:name="_Toc266892760"/>
      <w:bookmarkStart w:id="413" w:name="_Toc393945253"/>
      <w:bookmarkStart w:id="414" w:name="_Toc25310"/>
      <w:bookmarkStart w:id="415" w:name="_Toc2017353168"/>
      <w:bookmarkStart w:id="416" w:name="_Toc24321"/>
      <w:r>
        <w:rPr>
          <w:rFonts w:hint="eastAsia" w:ascii="宋体" w:hAnsi="宋体" w:cs="宋体"/>
          <w:b/>
          <w:bCs/>
          <w:color w:val="auto"/>
          <w:sz w:val="24"/>
          <w:szCs w:val="24"/>
          <w:highlight w:val="none"/>
        </w:rPr>
        <w:t>十、发包人承诺</w:t>
      </w:r>
      <w:bookmarkEnd w:id="407"/>
      <w:bookmarkEnd w:id="408"/>
      <w:bookmarkEnd w:id="409"/>
      <w:bookmarkEnd w:id="410"/>
      <w:bookmarkEnd w:id="411"/>
      <w:bookmarkEnd w:id="412"/>
      <w:bookmarkEnd w:id="413"/>
      <w:bookmarkEnd w:id="414"/>
      <w:bookmarkEnd w:id="415"/>
      <w:bookmarkEnd w:id="416"/>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发包人向承包人承诺已阅读、理解并接受本合同所有条款，按照本合同约定的时限和方法支付工程款及其他应当支付的款项，履行本合同所约定的全部义务。</w:t>
      </w:r>
    </w:p>
    <w:p>
      <w:pPr>
        <w:pStyle w:val="2"/>
        <w:rPr>
          <w:rFonts w:ascii="宋体" w:hAnsi="宋体" w:cs="宋体"/>
          <w:color w:val="auto"/>
          <w:highlight w:val="none"/>
        </w:rPr>
      </w:pPr>
    </w:p>
    <w:p>
      <w:pPr>
        <w:spacing w:line="360" w:lineRule="auto"/>
        <w:outlineLvl w:val="1"/>
        <w:rPr>
          <w:rFonts w:ascii="宋体" w:hAnsi="宋体" w:cs="宋体"/>
          <w:b/>
          <w:bCs/>
          <w:color w:val="auto"/>
          <w:sz w:val="24"/>
          <w:szCs w:val="24"/>
          <w:highlight w:val="none"/>
        </w:rPr>
      </w:pPr>
      <w:bookmarkStart w:id="417" w:name="_Toc9871"/>
      <w:bookmarkStart w:id="418" w:name="_Toc469383977"/>
      <w:bookmarkStart w:id="419" w:name="_Toc5930"/>
      <w:bookmarkStart w:id="420" w:name="_Toc266892761"/>
      <w:bookmarkStart w:id="421" w:name="_Toc27244"/>
      <w:bookmarkStart w:id="422" w:name="_Toc26310"/>
      <w:bookmarkStart w:id="423" w:name="_Toc345783470"/>
      <w:bookmarkStart w:id="424" w:name="_Toc13106"/>
      <w:bookmarkStart w:id="425" w:name="_Toc18021"/>
      <w:bookmarkStart w:id="426" w:name="_Toc1182875740"/>
      <w:r>
        <w:rPr>
          <w:rFonts w:hint="eastAsia" w:ascii="宋体" w:hAnsi="宋体" w:cs="宋体"/>
          <w:b/>
          <w:bCs/>
          <w:color w:val="auto"/>
          <w:sz w:val="24"/>
          <w:szCs w:val="24"/>
          <w:highlight w:val="none"/>
        </w:rPr>
        <w:t>十一、合同生效</w:t>
      </w:r>
      <w:bookmarkEnd w:id="417"/>
      <w:bookmarkEnd w:id="418"/>
      <w:bookmarkEnd w:id="419"/>
      <w:bookmarkEnd w:id="420"/>
      <w:bookmarkEnd w:id="421"/>
      <w:bookmarkEnd w:id="422"/>
      <w:bookmarkEnd w:id="423"/>
      <w:bookmarkEnd w:id="424"/>
      <w:bookmarkEnd w:id="425"/>
      <w:bookmarkEnd w:id="426"/>
    </w:p>
    <w:p>
      <w:pPr>
        <w:spacing w:line="360" w:lineRule="auto"/>
        <w:ind w:left="525"/>
        <w:rPr>
          <w:rFonts w:ascii="宋体" w:hAnsi="宋体" w:cs="宋体"/>
          <w:color w:val="auto"/>
          <w:sz w:val="24"/>
          <w:szCs w:val="24"/>
          <w:highlight w:val="none"/>
        </w:rPr>
      </w:pPr>
      <w:r>
        <w:rPr>
          <w:rFonts w:hint="eastAsia" w:ascii="宋体" w:hAnsi="宋体" w:cs="宋体"/>
          <w:color w:val="auto"/>
          <w:sz w:val="24"/>
          <w:szCs w:val="24"/>
          <w:highlight w:val="none"/>
        </w:rPr>
        <w:t>本合同订立时间：      年   月   日</w:t>
      </w:r>
    </w:p>
    <w:p>
      <w:pPr>
        <w:spacing w:line="360" w:lineRule="auto"/>
        <w:ind w:left="525"/>
        <w:rPr>
          <w:rFonts w:ascii="宋体" w:hAnsi="宋体" w:cs="宋体"/>
          <w:color w:val="auto"/>
          <w:sz w:val="24"/>
          <w:szCs w:val="24"/>
          <w:highlight w:val="none"/>
          <w:u w:val="single"/>
        </w:rPr>
      </w:pPr>
      <w:r>
        <w:rPr>
          <w:rFonts w:hint="eastAsia" w:ascii="宋体" w:hAnsi="宋体" w:cs="宋体"/>
          <w:color w:val="auto"/>
          <w:sz w:val="24"/>
          <w:szCs w:val="24"/>
          <w:highlight w:val="none"/>
        </w:rPr>
        <w:t>本合同订立地点：</w:t>
      </w:r>
      <w:r>
        <w:rPr>
          <w:rFonts w:hint="eastAsia" w:ascii="宋体" w:hAnsi="宋体" w:cs="宋体"/>
          <w:color w:val="auto"/>
          <w:sz w:val="24"/>
          <w:szCs w:val="24"/>
          <w:highlight w:val="none"/>
          <w:u w:val="single"/>
        </w:rPr>
        <w:t>广州市</w:t>
      </w:r>
    </w:p>
    <w:p>
      <w:pPr>
        <w:spacing w:line="360" w:lineRule="auto"/>
        <w:ind w:firstLine="480" w:firstLineChars="200"/>
        <w:jc w:val="left"/>
        <w:rPr>
          <w:color w:val="auto"/>
          <w:highlight w:val="none"/>
        </w:rPr>
      </w:pPr>
      <w:r>
        <w:rPr>
          <w:rFonts w:hint="eastAsia" w:ascii="宋体" w:hAnsi="宋体" w:cs="宋体"/>
          <w:color w:val="auto"/>
          <w:sz w:val="24"/>
          <w:szCs w:val="24"/>
          <w:highlight w:val="none"/>
        </w:rPr>
        <w:t>合同双方当事人约定本合同自双方签字并盖章后生效。</w:t>
      </w:r>
    </w:p>
    <w:p>
      <w:pPr>
        <w:spacing w:line="360" w:lineRule="auto"/>
        <w:ind w:left="525"/>
        <w:rPr>
          <w:rFonts w:ascii="宋体" w:hAnsi="宋体" w:cs="宋体"/>
          <w:color w:val="auto"/>
          <w:sz w:val="24"/>
          <w:szCs w:val="24"/>
          <w:highlight w:val="none"/>
          <w:u w:val="single"/>
        </w:rPr>
      </w:pPr>
    </w:p>
    <w:p>
      <w:pPr>
        <w:spacing w:line="360" w:lineRule="auto"/>
        <w:ind w:left="-4" w:leftChars="-2"/>
        <w:outlineLvl w:val="1"/>
        <w:rPr>
          <w:rFonts w:ascii="宋体" w:hAnsi="宋体" w:cs="宋体"/>
          <w:color w:val="auto"/>
          <w:sz w:val="24"/>
          <w:szCs w:val="24"/>
          <w:highlight w:val="none"/>
          <w:u w:val="single"/>
        </w:rPr>
      </w:pPr>
      <w:bookmarkStart w:id="427" w:name="_Toc528"/>
      <w:bookmarkStart w:id="428" w:name="_Toc1336441901"/>
      <w:bookmarkStart w:id="429" w:name="_Toc492031508"/>
      <w:bookmarkStart w:id="430" w:name="_Toc10003"/>
      <w:bookmarkStart w:id="431" w:name="_Toc25796"/>
      <w:bookmarkStart w:id="432" w:name="_Toc9607"/>
      <w:bookmarkStart w:id="433" w:name="_Toc30671"/>
      <w:r>
        <w:rPr>
          <w:rFonts w:hint="eastAsia" w:ascii="宋体" w:hAnsi="宋体" w:cs="宋体"/>
          <w:b/>
          <w:bCs/>
          <w:color w:val="auto"/>
          <w:sz w:val="24"/>
          <w:szCs w:val="24"/>
          <w:highlight w:val="none"/>
        </w:rPr>
        <w:t>十二、合同份数</w:t>
      </w:r>
      <w:bookmarkEnd w:id="427"/>
      <w:bookmarkEnd w:id="428"/>
      <w:bookmarkEnd w:id="429"/>
      <w:bookmarkEnd w:id="430"/>
      <w:bookmarkEnd w:id="431"/>
      <w:bookmarkEnd w:id="432"/>
      <w:bookmarkEnd w:id="433"/>
    </w:p>
    <w:p>
      <w:pPr>
        <w:spacing w:line="360" w:lineRule="auto"/>
        <w:ind w:left="525"/>
        <w:rPr>
          <w:rFonts w:ascii="宋体" w:hAnsi="宋体" w:cs="宋体"/>
          <w:color w:val="auto"/>
          <w:sz w:val="32"/>
          <w:szCs w:val="32"/>
          <w:highlight w:val="none"/>
        </w:rPr>
      </w:pPr>
      <w:r>
        <w:rPr>
          <w:rFonts w:hint="eastAsia" w:ascii="宋体" w:hAnsi="宋体" w:cs="宋体"/>
          <w:color w:val="auto"/>
          <w:sz w:val="24"/>
          <w:szCs w:val="24"/>
          <w:highlight w:val="none"/>
        </w:rPr>
        <w:t>本合同一式</w:t>
      </w:r>
      <w:r>
        <w:rPr>
          <w:rFonts w:hint="eastAsia" w:ascii="宋体" w:hAnsi="宋体" w:cs="宋体"/>
          <w:color w:val="auto"/>
          <w:sz w:val="24"/>
          <w:szCs w:val="24"/>
          <w:highlight w:val="none"/>
          <w:u w:val="single"/>
          <w:shd w:val="clear" w:color="auto" w:fill="FFFFFF"/>
        </w:rPr>
        <w:t>拾贰</w:t>
      </w:r>
      <w:r>
        <w:rPr>
          <w:rFonts w:hint="eastAsia" w:ascii="宋体" w:hAnsi="宋体" w:cs="宋体"/>
          <w:color w:val="auto"/>
          <w:sz w:val="24"/>
          <w:szCs w:val="24"/>
          <w:highlight w:val="none"/>
        </w:rPr>
        <w:t>份，具有同等法律效力，其中甲方执</w:t>
      </w:r>
      <w:r>
        <w:rPr>
          <w:rFonts w:hint="eastAsia" w:ascii="宋体" w:hAnsi="宋体" w:cs="宋体"/>
          <w:color w:val="auto"/>
          <w:sz w:val="24"/>
          <w:szCs w:val="24"/>
          <w:highlight w:val="none"/>
          <w:u w:val="single"/>
        </w:rPr>
        <w:t>捌</w:t>
      </w:r>
      <w:r>
        <w:rPr>
          <w:rFonts w:hint="eastAsia" w:ascii="宋体" w:hAnsi="宋体" w:cs="宋体"/>
          <w:color w:val="auto"/>
          <w:sz w:val="24"/>
          <w:szCs w:val="24"/>
          <w:highlight w:val="none"/>
        </w:rPr>
        <w:t>份，乙方执</w:t>
      </w:r>
      <w:r>
        <w:rPr>
          <w:rFonts w:hint="eastAsia" w:ascii="宋体" w:hAnsi="宋体" w:cs="宋体"/>
          <w:color w:val="auto"/>
          <w:sz w:val="24"/>
          <w:szCs w:val="24"/>
          <w:highlight w:val="none"/>
          <w:u w:val="single"/>
        </w:rPr>
        <w:t>肆</w:t>
      </w:r>
      <w:r>
        <w:rPr>
          <w:rFonts w:hint="eastAsia" w:ascii="宋体" w:hAnsi="宋体" w:cs="宋体"/>
          <w:color w:val="auto"/>
          <w:sz w:val="24"/>
          <w:szCs w:val="24"/>
          <w:highlight w:val="none"/>
        </w:rPr>
        <w:t>份。</w:t>
      </w:r>
    </w:p>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（以下无正文，为合同签章处）</w:t>
      </w:r>
    </w:p>
    <w:p>
      <w:pPr>
        <w:spacing w:line="360" w:lineRule="auto"/>
        <w:rPr>
          <w:rFonts w:ascii="宋体" w:hAnsi="宋体" w:cs="宋体"/>
          <w:color w:val="auto"/>
          <w:sz w:val="24"/>
          <w:szCs w:val="24"/>
          <w:highlight w:val="none"/>
        </w:rPr>
      </w:pP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发包人：（盖章）                  承包人：（盖章）</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地址：                            地址：</w:t>
      </w:r>
    </w:p>
    <w:p>
      <w:pPr>
        <w:tabs>
          <w:tab w:val="left" w:pos="525"/>
          <w:tab w:val="left" w:pos="1155"/>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                      法定代表人：</w:t>
      </w:r>
    </w:p>
    <w:p>
      <w:pPr>
        <w:tabs>
          <w:tab w:val="left" w:pos="525"/>
          <w:tab w:val="left" w:pos="1155"/>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委托代理人：                      委托代理人：</w:t>
      </w:r>
    </w:p>
    <w:p>
      <w:pPr>
        <w:tabs>
          <w:tab w:val="left" w:pos="525"/>
          <w:tab w:val="left" w:pos="1155"/>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电话：                            电话：</w:t>
      </w:r>
    </w:p>
    <w:p>
      <w:pPr>
        <w:tabs>
          <w:tab w:val="left" w:pos="525"/>
          <w:tab w:val="left" w:pos="1155"/>
        </w:tabs>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传真：                            传真：</w:t>
      </w:r>
    </w:p>
    <w:p>
      <w:pPr>
        <w:tabs>
          <w:tab w:val="left" w:pos="525"/>
          <w:tab w:val="left" w:pos="1155"/>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开户银行：                        开户银行：</w:t>
      </w:r>
    </w:p>
    <w:p>
      <w:pPr>
        <w:tabs>
          <w:tab w:val="left" w:pos="525"/>
          <w:tab w:val="left" w:pos="1155"/>
          <w:tab w:val="left" w:pos="6090"/>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帐号：                            帐号：</w:t>
      </w:r>
    </w:p>
    <w:p>
      <w:pPr>
        <w:tabs>
          <w:tab w:val="left" w:pos="525"/>
          <w:tab w:val="left" w:pos="1155"/>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邮政编码：                        邮政编码：</w:t>
      </w:r>
    </w:p>
    <w:p>
      <w:pPr>
        <w:tabs>
          <w:tab w:val="left" w:pos="525"/>
          <w:tab w:val="left" w:pos="1155"/>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电子邮箱:                         电子邮箱:</w:t>
      </w:r>
    </w:p>
    <w:p>
      <w:pPr>
        <w:spacing w:line="360" w:lineRule="auto"/>
        <w:jc w:val="center"/>
        <w:outlineLvl w:val="0"/>
        <w:rPr>
          <w:rFonts w:ascii="宋体" w:hAnsi="宋体" w:cs="宋体"/>
          <w:b/>
          <w:bCs/>
          <w:color w:val="auto"/>
          <w:sz w:val="36"/>
          <w:szCs w:val="36"/>
          <w:highlight w:val="none"/>
        </w:rPr>
      </w:pPr>
      <w:bookmarkStart w:id="434" w:name="_Toc469383978"/>
      <w:bookmarkStart w:id="435" w:name="_Toc10677"/>
      <w:r>
        <w:rPr>
          <w:rFonts w:hint="eastAsia" w:ascii="宋体" w:hAnsi="宋体" w:cs="宋体"/>
          <w:b/>
          <w:bCs/>
          <w:color w:val="auto"/>
          <w:sz w:val="36"/>
          <w:szCs w:val="36"/>
          <w:highlight w:val="none"/>
        </w:rPr>
        <w:br w:type="page"/>
      </w:r>
      <w:bookmarkStart w:id="436" w:name="_Toc2351"/>
      <w:bookmarkStart w:id="437" w:name="_Toc1761514006"/>
      <w:bookmarkStart w:id="438" w:name="_Toc16724"/>
      <w:bookmarkStart w:id="439" w:name="_Toc25453"/>
      <w:bookmarkStart w:id="440" w:name="_Toc21736"/>
      <w:bookmarkStart w:id="441" w:name="_Toc22048"/>
      <w:bookmarkStart w:id="442" w:name="_Toc1047566134"/>
      <w:r>
        <w:rPr>
          <w:rFonts w:hint="eastAsia" w:ascii="宋体" w:hAnsi="宋体" w:cs="宋体"/>
          <w:b/>
          <w:bCs/>
          <w:color w:val="auto"/>
          <w:sz w:val="36"/>
          <w:szCs w:val="36"/>
          <w:highlight w:val="none"/>
        </w:rPr>
        <w:t>第二部分通用条款</w:t>
      </w:r>
      <w:bookmarkEnd w:id="434"/>
      <w:bookmarkEnd w:id="435"/>
      <w:bookmarkEnd w:id="436"/>
      <w:bookmarkEnd w:id="437"/>
      <w:bookmarkEnd w:id="438"/>
      <w:bookmarkEnd w:id="439"/>
      <w:bookmarkEnd w:id="440"/>
      <w:bookmarkEnd w:id="441"/>
      <w:bookmarkEnd w:id="442"/>
    </w:p>
    <w:p>
      <w:pPr>
        <w:adjustRightInd w:val="0"/>
        <w:snapToGrid w:val="0"/>
        <w:rPr>
          <w:rFonts w:ascii="宋体" w:hAnsi="宋体" w:cs="宋体"/>
          <w:color w:val="auto"/>
          <w:sz w:val="32"/>
          <w:szCs w:val="32"/>
          <w:highlight w:val="none"/>
        </w:rPr>
      </w:pPr>
    </w:p>
    <w:p>
      <w:pPr>
        <w:adjustRightInd w:val="0"/>
        <w:snapToGrid w:val="0"/>
        <w:jc w:val="center"/>
        <w:outlineLvl w:val="1"/>
        <w:rPr>
          <w:rFonts w:ascii="宋体" w:hAnsi="宋体" w:cs="宋体"/>
          <w:b/>
          <w:bCs/>
          <w:color w:val="auto"/>
          <w:sz w:val="32"/>
          <w:szCs w:val="32"/>
          <w:highlight w:val="none"/>
        </w:rPr>
      </w:pPr>
      <w:bookmarkStart w:id="443" w:name="_Toc24184"/>
      <w:bookmarkStart w:id="444" w:name="_Toc10380"/>
      <w:bookmarkStart w:id="445" w:name="_Toc9182"/>
      <w:bookmarkStart w:id="446" w:name="_Toc469383979"/>
      <w:bookmarkStart w:id="447" w:name="_Toc556341300"/>
      <w:bookmarkStart w:id="448" w:name="_Toc1373076032"/>
      <w:bookmarkStart w:id="449" w:name="_Toc19456"/>
      <w:bookmarkStart w:id="450" w:name="_Toc4243"/>
      <w:bookmarkStart w:id="451" w:name="_Toc30570"/>
      <w:r>
        <w:rPr>
          <w:rFonts w:hint="eastAsia" w:ascii="宋体" w:hAnsi="宋体" w:cs="宋体"/>
          <w:b/>
          <w:bCs/>
          <w:color w:val="auto"/>
          <w:sz w:val="32"/>
          <w:szCs w:val="32"/>
          <w:highlight w:val="none"/>
        </w:rPr>
        <w:t>一、总则</w:t>
      </w:r>
      <w:bookmarkEnd w:id="443"/>
      <w:bookmarkEnd w:id="444"/>
      <w:bookmarkEnd w:id="445"/>
      <w:bookmarkEnd w:id="446"/>
      <w:bookmarkEnd w:id="447"/>
      <w:bookmarkEnd w:id="448"/>
      <w:bookmarkEnd w:id="449"/>
      <w:bookmarkEnd w:id="450"/>
      <w:bookmarkEnd w:id="451"/>
    </w:p>
    <w:p>
      <w:pPr>
        <w:adjustRightInd w:val="0"/>
        <w:snapToGrid w:val="0"/>
        <w:spacing w:line="360" w:lineRule="auto"/>
        <w:jc w:val="center"/>
        <w:rPr>
          <w:rFonts w:ascii="宋体" w:hAnsi="宋体" w:cs="宋体"/>
          <w:b/>
          <w:bCs/>
          <w:color w:val="auto"/>
          <w:sz w:val="32"/>
          <w:szCs w:val="32"/>
          <w:highlight w:val="none"/>
        </w:rPr>
      </w:pPr>
    </w:p>
    <w:p>
      <w:pPr>
        <w:tabs>
          <w:tab w:val="left" w:pos="900"/>
          <w:tab w:val="left" w:pos="1080"/>
        </w:tabs>
        <w:spacing w:before="156" w:beforeLines="50" w:after="156" w:afterLines="50" w:line="360" w:lineRule="auto"/>
        <w:outlineLvl w:val="2"/>
        <w:rPr>
          <w:rFonts w:ascii="宋体" w:hAnsi="宋体" w:cs="宋体"/>
          <w:b/>
          <w:bCs/>
          <w:color w:val="auto"/>
          <w:sz w:val="24"/>
          <w:szCs w:val="24"/>
          <w:highlight w:val="none"/>
        </w:rPr>
      </w:pPr>
      <w:bookmarkStart w:id="452" w:name="_Toc6359"/>
      <w:bookmarkStart w:id="453" w:name="_Toc429599162"/>
      <w:bookmarkStart w:id="454" w:name="_Toc18596"/>
      <w:bookmarkStart w:id="455" w:name="_Toc29919"/>
      <w:bookmarkStart w:id="456" w:name="_Toc469383980"/>
      <w:bookmarkStart w:id="457" w:name="_Toc284430062"/>
      <w:bookmarkStart w:id="458" w:name="_Toc16529"/>
      <w:bookmarkStart w:id="459" w:name="_Toc1028"/>
      <w:bookmarkStart w:id="460" w:name="_Toc3060"/>
      <w:r>
        <w:rPr>
          <w:rFonts w:hint="eastAsia" w:ascii="宋体" w:hAnsi="宋体" w:cs="宋体"/>
          <w:b/>
          <w:bCs/>
          <w:color w:val="auto"/>
          <w:sz w:val="24"/>
          <w:szCs w:val="24"/>
          <w:highlight w:val="none"/>
        </w:rPr>
        <w:t>1  定义</w:t>
      </w:r>
      <w:bookmarkEnd w:id="452"/>
      <w:bookmarkEnd w:id="453"/>
      <w:bookmarkEnd w:id="454"/>
      <w:bookmarkEnd w:id="455"/>
      <w:bookmarkEnd w:id="456"/>
      <w:bookmarkEnd w:id="457"/>
      <w:bookmarkEnd w:id="458"/>
      <w:bookmarkEnd w:id="459"/>
      <w:bookmarkEnd w:id="460"/>
    </w:p>
    <w:p>
      <w:pPr>
        <w:tabs>
          <w:tab w:val="left" w:pos="900"/>
          <w:tab w:val="left" w:pos="1980"/>
        </w:tabs>
        <w:adjustRightIn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下列词语或措辞，除非特别说明，在本合同中均具有以下赋予的含义：</w:t>
      </w:r>
    </w:p>
    <w:p>
      <w:pPr>
        <w:tabs>
          <w:tab w:val="left" w:pos="1260"/>
          <w:tab w:val="left" w:pos="2160"/>
        </w:tabs>
        <w:adjustRightInd w:val="0"/>
        <w:spacing w:before="156" w:beforeLines="50" w:line="360" w:lineRule="auto"/>
        <w:rPr>
          <w:rFonts w:ascii="宋体" w:hAnsi="宋体" w:cs="宋体"/>
          <w:color w:val="auto"/>
          <w:sz w:val="24"/>
          <w:szCs w:val="24"/>
          <w:highlight w:val="none"/>
          <w:u w:val="dotted"/>
        </w:rPr>
      </w:pPr>
      <w:r>
        <w:rPr>
          <w:rFonts w:hint="eastAsia" w:ascii="宋体" w:hAnsi="宋体" w:cs="宋体"/>
          <w:b/>
          <w:bCs/>
          <w:color w:val="auto"/>
          <w:sz w:val="24"/>
          <w:szCs w:val="24"/>
          <w:highlight w:val="none"/>
        </w:rPr>
        <w:t>1.1  合同：</w:t>
      </w:r>
      <w:r>
        <w:rPr>
          <w:rFonts w:hint="eastAsia" w:ascii="宋体" w:hAnsi="宋体" w:cs="宋体"/>
          <w:color w:val="auto"/>
          <w:sz w:val="24"/>
          <w:szCs w:val="24"/>
          <w:highlight w:val="none"/>
        </w:rPr>
        <w:t>指合同双方当事人为实施、完成并保修合同工程所订立的合同文件。合同文件由第2.2款所列的文件组成。</w:t>
      </w:r>
    </w:p>
    <w:p>
      <w:pPr>
        <w:tabs>
          <w:tab w:val="left" w:pos="2160"/>
          <w:tab w:val="left" w:pos="2520"/>
        </w:tabs>
        <w:adjustRightInd w:val="0"/>
        <w:spacing w:before="249" w:beforeLines="80" w:line="360" w:lineRule="auto"/>
        <w:rPr>
          <w:rFonts w:ascii="宋体" w:hAnsi="宋体" w:cs="宋体"/>
          <w:color w:val="auto"/>
          <w:sz w:val="24"/>
          <w:szCs w:val="24"/>
          <w:highlight w:val="none"/>
          <w:u w:val="dotted"/>
        </w:rPr>
      </w:pPr>
      <w:r>
        <w:rPr>
          <w:rFonts w:hint="eastAsia" w:ascii="宋体" w:hAnsi="宋体" w:cs="宋体"/>
          <w:b/>
          <w:bCs/>
          <w:color w:val="auto"/>
          <w:sz w:val="24"/>
          <w:szCs w:val="24"/>
          <w:highlight w:val="none"/>
        </w:rPr>
        <w:t>1.2  协议书：</w:t>
      </w:r>
      <w:r>
        <w:rPr>
          <w:rFonts w:hint="eastAsia" w:ascii="宋体" w:hAnsi="宋体" w:cs="宋体"/>
          <w:color w:val="auto"/>
          <w:sz w:val="24"/>
          <w:szCs w:val="24"/>
          <w:highlight w:val="none"/>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30天内签订。</w:t>
      </w:r>
    </w:p>
    <w:p>
      <w:pPr>
        <w:tabs>
          <w:tab w:val="left" w:pos="2160"/>
        </w:tabs>
        <w:adjustRightInd w:val="0"/>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1.3  通用条款：</w:t>
      </w:r>
      <w:r>
        <w:rPr>
          <w:rFonts w:hint="eastAsia" w:ascii="宋体" w:hAnsi="宋体" w:cs="宋体"/>
          <w:color w:val="auto"/>
          <w:sz w:val="24"/>
          <w:szCs w:val="24"/>
          <w:highlight w:val="none"/>
        </w:rPr>
        <w:t>指根据法律、法规和规章的规定以及建设工程施工的需要所订立的，通用于建设工程施工的条款。</w:t>
      </w:r>
    </w:p>
    <w:p>
      <w:pPr>
        <w:tabs>
          <w:tab w:val="left" w:pos="2160"/>
          <w:tab w:val="left" w:pos="2520"/>
        </w:tabs>
        <w:adjustRightInd w:val="0"/>
        <w:spacing w:before="249" w:beforeLines="80" w:line="360" w:lineRule="auto"/>
        <w:jc w:val="left"/>
        <w:rPr>
          <w:rFonts w:ascii="宋体" w:hAnsi="宋体" w:cs="宋体"/>
          <w:color w:val="auto"/>
          <w:sz w:val="24"/>
          <w:szCs w:val="24"/>
          <w:highlight w:val="none"/>
          <w:u w:val="dotted"/>
        </w:rPr>
      </w:pPr>
      <w:r>
        <w:rPr>
          <w:rFonts w:hint="eastAsia" w:ascii="宋体" w:hAnsi="宋体" w:cs="宋体"/>
          <w:b/>
          <w:bCs/>
          <w:color w:val="auto"/>
          <w:sz w:val="24"/>
          <w:szCs w:val="24"/>
          <w:highlight w:val="none"/>
        </w:rPr>
        <w:t>1.4  专用条款：</w:t>
      </w:r>
      <w:r>
        <w:rPr>
          <w:rFonts w:hint="eastAsia" w:ascii="宋体" w:hAnsi="宋体" w:cs="宋体"/>
          <w:color w:val="auto"/>
          <w:sz w:val="24"/>
          <w:szCs w:val="24"/>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pPr>
        <w:tabs>
          <w:tab w:val="left" w:pos="2160"/>
        </w:tabs>
        <w:adjustRightInd w:val="0"/>
        <w:spacing w:before="249" w:beforeLines="80" w:line="360" w:lineRule="auto"/>
        <w:rPr>
          <w:rFonts w:ascii="宋体" w:hAnsi="宋体" w:cs="宋体"/>
          <w:color w:val="auto"/>
          <w:sz w:val="24"/>
          <w:szCs w:val="24"/>
          <w:highlight w:val="none"/>
          <w:u w:val="dotted"/>
        </w:rPr>
      </w:pPr>
      <w:r>
        <w:rPr>
          <w:rFonts w:hint="eastAsia" w:ascii="宋体" w:hAnsi="宋体" w:cs="宋体"/>
          <w:b/>
          <w:bCs/>
          <w:color w:val="auto"/>
          <w:sz w:val="24"/>
          <w:szCs w:val="24"/>
          <w:highlight w:val="none"/>
        </w:rPr>
        <w:t>1.5  中标通知书：</w:t>
      </w:r>
      <w:r>
        <w:rPr>
          <w:rFonts w:hint="eastAsia" w:ascii="宋体" w:hAnsi="宋体" w:cs="宋体"/>
          <w:color w:val="auto"/>
          <w:sz w:val="24"/>
          <w:szCs w:val="24"/>
          <w:highlight w:val="none"/>
        </w:rPr>
        <w:t>指发包人正式接受中标人投标文件的书面文件。</w:t>
      </w:r>
    </w:p>
    <w:p>
      <w:pPr>
        <w:tabs>
          <w:tab w:val="left" w:pos="2160"/>
        </w:tabs>
        <w:adjustRightInd w:val="0"/>
        <w:spacing w:before="249" w:beforeLines="8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1.6  承包人投标文件：</w:t>
      </w:r>
      <w:r>
        <w:rPr>
          <w:rFonts w:hint="eastAsia" w:ascii="宋体" w:hAnsi="宋体" w:cs="宋体"/>
          <w:color w:val="auto"/>
          <w:sz w:val="24"/>
          <w:szCs w:val="24"/>
          <w:highlight w:val="none"/>
        </w:rPr>
        <w:t>指构成合同文件组成部分的，由承包人根据招标文件编制完成、签字并被中标通知书所接受的，承包人为实施、完成并保修合同工程向发包人提交的技术、经济文件。</w:t>
      </w:r>
    </w:p>
    <w:p>
      <w:pPr>
        <w:tabs>
          <w:tab w:val="left" w:pos="2160"/>
          <w:tab w:val="left" w:pos="2520"/>
        </w:tabs>
        <w:adjustRightInd w:val="0"/>
        <w:spacing w:before="249" w:beforeLines="8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1.7  标准、规范及有关技术文件：</w:t>
      </w:r>
      <w:r>
        <w:rPr>
          <w:rFonts w:hint="eastAsia" w:ascii="宋体" w:hAnsi="宋体" w:cs="宋体"/>
          <w:color w:val="auto"/>
          <w:sz w:val="24"/>
          <w:szCs w:val="24"/>
          <w:highlight w:val="none"/>
        </w:rPr>
        <w:t>指构成合同文件组成部分的，本合同所指明的和合同工程依法应适用的标准与规范，以及监理工程师、造价工程师对有关技术方面问题做出的补充、修改和批准文件。</w:t>
      </w:r>
    </w:p>
    <w:p>
      <w:pPr>
        <w:tabs>
          <w:tab w:val="left" w:pos="2160"/>
          <w:tab w:val="left" w:pos="2520"/>
        </w:tabs>
        <w:adjustRightInd w:val="0"/>
        <w:spacing w:before="249" w:beforeLines="8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1.8  施工设计图纸：</w:t>
      </w:r>
      <w:r>
        <w:rPr>
          <w:rFonts w:hint="eastAsia" w:ascii="宋体" w:hAnsi="宋体" w:cs="宋体"/>
          <w:color w:val="auto"/>
          <w:sz w:val="24"/>
          <w:szCs w:val="24"/>
          <w:highlight w:val="none"/>
        </w:rPr>
        <w:t>指构成合同文件组成部分的，按规定审批的由发包人提供或经发包人批准由承包人提供，满足承包人施工需要的所有设计文件</w:t>
      </w:r>
      <w:r>
        <w:rPr>
          <w:rFonts w:hint="eastAsia" w:ascii="宋体" w:hAnsi="宋体" w:cs="宋体"/>
          <w:color w:val="auto"/>
          <w:kern w:val="0"/>
          <w:sz w:val="30"/>
          <w:szCs w:val="30"/>
          <w:highlight w:val="none"/>
        </w:rPr>
        <w:t>、</w:t>
      </w:r>
      <w:r>
        <w:rPr>
          <w:rFonts w:hint="eastAsia" w:ascii="宋体" w:hAnsi="宋体" w:cs="宋体"/>
          <w:color w:val="auto"/>
          <w:sz w:val="24"/>
          <w:szCs w:val="24"/>
          <w:highlight w:val="none"/>
        </w:rPr>
        <w:t>施工图纸、模型（包括任何补充和修改的施工图纸、配套说明和有关资料）。图纸应当按照法律规定审查合格。</w:t>
      </w:r>
    </w:p>
    <w:p>
      <w:pPr>
        <w:tabs>
          <w:tab w:val="left" w:pos="2160"/>
        </w:tabs>
        <w:adjustRightInd w:val="0"/>
        <w:spacing w:before="249" w:beforeLines="8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1.9  工程量清单：</w:t>
      </w:r>
      <w:r>
        <w:rPr>
          <w:rFonts w:hint="eastAsia" w:ascii="宋体" w:hAnsi="宋体" w:cs="宋体"/>
          <w:color w:val="auto"/>
          <w:sz w:val="24"/>
          <w:szCs w:val="24"/>
          <w:highlight w:val="none"/>
        </w:rPr>
        <w:t>指构成合同文件组成部分的,由发包人在招标文件中提供的,合同工程分部分项工程项目、措施项目、其他项目、规费项目和税金项目的名称和相应数量等的明细清单。</w:t>
      </w:r>
    </w:p>
    <w:p>
      <w:pPr>
        <w:tabs>
          <w:tab w:val="left" w:pos="2160"/>
        </w:tabs>
        <w:adjustRightInd w:val="0"/>
        <w:spacing w:before="249" w:beforeLines="8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1.10  发包人：</w:t>
      </w:r>
      <w:r>
        <w:rPr>
          <w:rFonts w:hint="eastAsia" w:ascii="宋体" w:hAnsi="宋体" w:cs="宋体"/>
          <w:color w:val="auto"/>
          <w:sz w:val="24"/>
          <w:szCs w:val="24"/>
          <w:highlight w:val="none"/>
        </w:rPr>
        <w:t>指在协议书中约定，具有工程发包主体资格和支付工程款能力的当事人，以及取得该当事人资格的合法继承人。</w:t>
      </w:r>
    </w:p>
    <w:p>
      <w:pPr>
        <w:tabs>
          <w:tab w:val="left" w:pos="1980"/>
        </w:tabs>
        <w:adjustRightInd w:val="0"/>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1.11  承包人：</w:t>
      </w:r>
      <w:r>
        <w:rPr>
          <w:rFonts w:hint="eastAsia" w:ascii="宋体" w:hAnsi="宋体" w:cs="宋体"/>
          <w:color w:val="auto"/>
          <w:sz w:val="24"/>
          <w:szCs w:val="24"/>
          <w:highlight w:val="none"/>
        </w:rPr>
        <w:t>指在协议书中约定，被发包人接受且具有工程施工承包主体资格的当事人，以及取得该当事人资格的合法继承人。</w:t>
      </w:r>
    </w:p>
    <w:p>
      <w:pPr>
        <w:tabs>
          <w:tab w:val="left" w:pos="198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1.12  分包人：</w:t>
      </w:r>
      <w:r>
        <w:rPr>
          <w:rFonts w:hint="eastAsia" w:ascii="宋体" w:hAnsi="宋体" w:cs="宋体"/>
          <w:color w:val="auto"/>
          <w:sz w:val="24"/>
          <w:szCs w:val="24"/>
          <w:highlight w:val="none"/>
        </w:rPr>
        <w:t>指被发包人接受且具有相应资格，并与承包人签订了分包合同，依法分包合同工程某一部分的当事人，以及取得该当事人资格的合法继承人。</w:t>
      </w:r>
    </w:p>
    <w:p>
      <w:pPr>
        <w:tabs>
          <w:tab w:val="left" w:pos="1980"/>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1.13  第三方：</w:t>
      </w:r>
      <w:r>
        <w:rPr>
          <w:rFonts w:hint="eastAsia" w:ascii="宋体" w:hAnsi="宋体" w:cs="宋体"/>
          <w:color w:val="auto"/>
          <w:sz w:val="24"/>
          <w:szCs w:val="24"/>
          <w:highlight w:val="none"/>
        </w:rPr>
        <w:t>除合同双方当事人(含双方雇员及代表其工作的人员)以外的任何他人或组织。</w:t>
      </w:r>
    </w:p>
    <w:p>
      <w:pPr>
        <w:tabs>
          <w:tab w:val="left" w:pos="1980"/>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1.14  设计人：</w:t>
      </w:r>
      <w:r>
        <w:rPr>
          <w:rFonts w:hint="eastAsia" w:ascii="宋体" w:hAnsi="宋体" w:cs="宋体"/>
          <w:color w:val="auto"/>
          <w:sz w:val="24"/>
          <w:szCs w:val="24"/>
          <w:highlight w:val="none"/>
        </w:rPr>
        <w:t>指受发包人委托的，负责合同工程的工程设计专业技术且具有相应工程设计资质的当事人，以及取得该当事人资格的合法继承人。</w:t>
      </w:r>
    </w:p>
    <w:p>
      <w:pPr>
        <w:tabs>
          <w:tab w:val="left" w:pos="1980"/>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1.15  监理人：</w:t>
      </w:r>
      <w:r>
        <w:rPr>
          <w:rFonts w:hint="eastAsia" w:ascii="宋体" w:hAnsi="宋体" w:cs="宋体"/>
          <w:color w:val="auto"/>
          <w:sz w:val="24"/>
          <w:szCs w:val="24"/>
          <w:highlight w:val="none"/>
        </w:rPr>
        <w:t>指受发包人委托的，负责合同工程的工程监理专业技术且具有相应工程监理资质的当事人，以及取得该当事人资格的合法继承人。</w:t>
      </w:r>
    </w:p>
    <w:p>
      <w:pPr>
        <w:tabs>
          <w:tab w:val="left" w:pos="1980"/>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1.16  工程造价咨询人：</w:t>
      </w:r>
      <w:r>
        <w:rPr>
          <w:rFonts w:hint="eastAsia" w:ascii="宋体" w:hAnsi="宋体" w:cs="宋体"/>
          <w:color w:val="auto"/>
          <w:sz w:val="24"/>
          <w:szCs w:val="24"/>
          <w:highlight w:val="none"/>
        </w:rPr>
        <w:t>指受发包人委托的，负责合同工程的工程造价专业技术且具有相应工程造价咨询资质的当事人，以及取得该当事人资格的合法继承人。</w:t>
      </w:r>
    </w:p>
    <w:p>
      <w:pPr>
        <w:tabs>
          <w:tab w:val="left" w:pos="1980"/>
          <w:tab w:val="left" w:pos="2160"/>
          <w:tab w:val="left" w:pos="252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1.17  工程造价管理机构：</w:t>
      </w:r>
      <w:r>
        <w:rPr>
          <w:rFonts w:hint="eastAsia" w:ascii="宋体" w:hAnsi="宋体" w:cs="宋体"/>
          <w:color w:val="auto"/>
          <w:sz w:val="24"/>
          <w:szCs w:val="24"/>
          <w:highlight w:val="none"/>
        </w:rPr>
        <w:t>指国务院有关部门、县级以上人民政府建设行政主管部门或受其委托的工程造价管理机构。</w:t>
      </w:r>
    </w:p>
    <w:p>
      <w:pPr>
        <w:tabs>
          <w:tab w:val="left" w:pos="1980"/>
          <w:tab w:val="left" w:pos="2160"/>
          <w:tab w:val="left" w:pos="252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1.18  发包人代表：</w:t>
      </w:r>
      <w:r>
        <w:rPr>
          <w:rFonts w:hint="eastAsia" w:ascii="宋体" w:hAnsi="宋体" w:cs="宋体"/>
          <w:color w:val="auto"/>
          <w:sz w:val="24"/>
          <w:szCs w:val="24"/>
          <w:highlight w:val="none"/>
        </w:rPr>
        <w:t>指发包人指定的，履行本合同的全权代表。发包人代表由发包人依据第22.1款规定任命并书面通知承包人。</w:t>
      </w:r>
    </w:p>
    <w:p>
      <w:pPr>
        <w:tabs>
          <w:tab w:val="left" w:pos="1260"/>
          <w:tab w:val="left" w:pos="1980"/>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1.19  监理工程师：</w:t>
      </w:r>
      <w:r>
        <w:rPr>
          <w:rFonts w:hint="eastAsia" w:ascii="宋体" w:hAnsi="宋体" w:cs="宋体"/>
          <w:color w:val="auto"/>
          <w:sz w:val="24"/>
          <w:szCs w:val="24"/>
          <w:highlight w:val="none"/>
        </w:rPr>
        <w:t>指监理人委派常驻施工现场负责合同工程的工程监理专业技术的专业人员。监理工程师由监理人提名，经发包人依据第23.1款规定任命并书面通知承包人。</w:t>
      </w:r>
    </w:p>
    <w:p>
      <w:pPr>
        <w:tabs>
          <w:tab w:val="left" w:pos="1980"/>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1.20  造价工程师：</w:t>
      </w:r>
      <w:r>
        <w:rPr>
          <w:rFonts w:hint="eastAsia" w:ascii="宋体" w:hAnsi="宋体" w:cs="宋体"/>
          <w:color w:val="auto"/>
          <w:sz w:val="24"/>
          <w:szCs w:val="24"/>
          <w:highlight w:val="none"/>
        </w:rPr>
        <w:t>指工程造价咨询人或监理人委派常驻施工现场负责合同工程的工程造价专业技术的专业人员。造价工程师由工程造价咨询人或监理人提名，经发包人依据第24.1款规定任命并书面通知承包人。</w:t>
      </w:r>
    </w:p>
    <w:p>
      <w:pPr>
        <w:tabs>
          <w:tab w:val="left" w:pos="1620"/>
          <w:tab w:val="left" w:pos="1980"/>
        </w:tabs>
        <w:spacing w:before="249" w:beforeLines="8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1.21  承包人代表：</w:t>
      </w:r>
      <w:r>
        <w:rPr>
          <w:rFonts w:hint="eastAsia" w:ascii="宋体" w:hAnsi="宋体" w:cs="宋体"/>
          <w:color w:val="auto"/>
          <w:sz w:val="24"/>
          <w:szCs w:val="24"/>
          <w:highlight w:val="none"/>
        </w:rPr>
        <w:t>指承包人指定的，履行本合同和负责合同工程施工现场管理的全权代表。承包人代表由承包人依据第25.1款规定任命并书面通知发包人。</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1.22  合同工期：</w:t>
      </w:r>
      <w:r>
        <w:rPr>
          <w:rFonts w:hint="eastAsia" w:ascii="宋体" w:hAnsi="宋体" w:cs="宋体"/>
          <w:color w:val="auto"/>
          <w:sz w:val="24"/>
          <w:szCs w:val="24"/>
          <w:highlight w:val="none"/>
        </w:rPr>
        <w:t>指合同双方当事人在协议书中约定，按照总日历天数（包括法定节假日）计算的从开始实施到完成合同工程的天数。</w:t>
      </w:r>
    </w:p>
    <w:p>
      <w:pPr>
        <w:tabs>
          <w:tab w:val="left" w:pos="2160"/>
        </w:tabs>
        <w:spacing w:before="249" w:beforeLines="8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1.23  开工日期：</w:t>
      </w:r>
      <w:r>
        <w:rPr>
          <w:rFonts w:hint="eastAsia" w:ascii="宋体" w:hAnsi="宋体" w:cs="宋体"/>
          <w:color w:val="auto"/>
          <w:sz w:val="24"/>
          <w:szCs w:val="24"/>
          <w:highlight w:val="none"/>
        </w:rPr>
        <w:t>指根据第34条规定，监理工程师在开工令中写明的、承包人按照合同约定最迟在该日期开工的日期。</w:t>
      </w:r>
    </w:p>
    <w:p>
      <w:pPr>
        <w:tabs>
          <w:tab w:val="left" w:pos="198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1.24  计划竣工日期：</w:t>
      </w:r>
      <w:r>
        <w:rPr>
          <w:rFonts w:hint="eastAsia" w:ascii="宋体" w:hAnsi="宋体" w:cs="宋体"/>
          <w:color w:val="auto"/>
          <w:sz w:val="24"/>
          <w:szCs w:val="24"/>
          <w:highlight w:val="none"/>
        </w:rPr>
        <w:t>指自开工日期起根据合同约定要求承包人完成合同工程并竣工的全部时间（包括根据第36条和第37.2款规定所做的调整）。</w:t>
      </w:r>
    </w:p>
    <w:p>
      <w:pPr>
        <w:tabs>
          <w:tab w:val="left" w:pos="1980"/>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1.25  实际竣工日期：</w:t>
      </w:r>
      <w:r>
        <w:rPr>
          <w:rFonts w:hint="eastAsia" w:ascii="宋体" w:hAnsi="宋体" w:cs="宋体"/>
          <w:color w:val="auto"/>
          <w:sz w:val="24"/>
          <w:szCs w:val="24"/>
          <w:highlight w:val="none"/>
        </w:rPr>
        <w:t>指承包人实际完成合同工程或某单位工程后，由发包人按照第58条规定组织竣工验收、接收工程并颁发工程接收证书的日期。实际竣工日期，按照第38.2款规定确定。</w:t>
      </w:r>
    </w:p>
    <w:p>
      <w:pPr>
        <w:tabs>
          <w:tab w:val="left" w:pos="1980"/>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1.26  缺陷责任期：</w:t>
      </w:r>
      <w:r>
        <w:rPr>
          <w:rFonts w:hint="eastAsia" w:ascii="宋体" w:hAnsi="宋体" w:cs="宋体"/>
          <w:color w:val="auto"/>
          <w:sz w:val="24"/>
          <w:szCs w:val="24"/>
          <w:highlight w:val="none"/>
        </w:rPr>
        <w:t>指履行第59.3款规定的缺陷责任的期限。具体期限在专用条款中约定，包括第59.2款规定的延长期限。</w:t>
      </w:r>
    </w:p>
    <w:p>
      <w:pPr>
        <w:tabs>
          <w:tab w:val="left" w:pos="1980"/>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1.27  基准日期：</w:t>
      </w:r>
      <w:r>
        <w:rPr>
          <w:rFonts w:hint="eastAsia" w:ascii="宋体" w:hAnsi="宋体" w:cs="宋体"/>
          <w:color w:val="auto"/>
          <w:sz w:val="24"/>
          <w:szCs w:val="24"/>
          <w:highlight w:val="none"/>
        </w:rPr>
        <w:t>指招标工程递交投标文件截止日期前28天的日期；非招标工程订立合同前28天的日期。</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1.28  小时或天：</w:t>
      </w:r>
      <w:r>
        <w:rPr>
          <w:rFonts w:hint="eastAsia" w:ascii="宋体" w:hAnsi="宋体" w:cs="宋体"/>
          <w:color w:val="auto"/>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00（即次日零点）。</w:t>
      </w:r>
    </w:p>
    <w:p>
      <w:pPr>
        <w:tabs>
          <w:tab w:val="left" w:pos="900"/>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1.29  中标价格：</w:t>
      </w:r>
      <w:r>
        <w:rPr>
          <w:rFonts w:hint="eastAsia" w:ascii="宋体" w:hAnsi="宋体" w:cs="宋体"/>
          <w:color w:val="auto"/>
          <w:sz w:val="24"/>
          <w:szCs w:val="24"/>
          <w:highlight w:val="none"/>
        </w:rPr>
        <w:t>指中标通知书中列明的，发包人接受中标人（承包人）实施、完成并保修合同工程的价格。</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1.30  合同价款：</w:t>
      </w:r>
      <w:r>
        <w:rPr>
          <w:rFonts w:hint="eastAsia" w:ascii="宋体" w:hAnsi="宋体" w:cs="宋体"/>
          <w:color w:val="auto"/>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hint="eastAsia" w:ascii="宋体" w:hAnsi="宋体" w:cs="宋体"/>
          <w:color w:val="auto"/>
          <w:sz w:val="24"/>
          <w:szCs w:val="24"/>
          <w:highlight w:val="none"/>
          <w:lang w:val="en-US" w:eastAsia="zh-CN"/>
        </w:rPr>
        <w:t>68.3</w:t>
      </w:r>
      <w:r>
        <w:rPr>
          <w:rFonts w:hint="eastAsia" w:ascii="宋体" w:hAnsi="宋体" w:cs="宋体"/>
          <w:color w:val="auto"/>
          <w:sz w:val="24"/>
          <w:szCs w:val="24"/>
          <w:highlight w:val="none"/>
        </w:rPr>
        <w:t>款规定合同价款调整事件确定。</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1.31  费用：</w:t>
      </w:r>
      <w:r>
        <w:rPr>
          <w:rFonts w:hint="eastAsia" w:ascii="宋体" w:hAnsi="宋体" w:cs="宋体"/>
          <w:color w:val="auto"/>
          <w:sz w:val="24"/>
          <w:szCs w:val="24"/>
          <w:highlight w:val="none"/>
        </w:rPr>
        <w:t>指为履行合同所发生或将发生的所有合理开支，包括管理费和其他合理分摊的开支，但不包括利润。</w:t>
      </w:r>
    </w:p>
    <w:p>
      <w:pPr>
        <w:tabs>
          <w:tab w:val="left" w:pos="1980"/>
          <w:tab w:val="left" w:pos="2160"/>
        </w:tabs>
        <w:spacing w:before="312" w:beforeLines="10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1.32  分部分项工程费：</w:t>
      </w:r>
      <w:r>
        <w:rPr>
          <w:rFonts w:hint="eastAsia" w:ascii="宋体" w:hAnsi="宋体" w:cs="宋体"/>
          <w:color w:val="auto"/>
          <w:sz w:val="24"/>
          <w:szCs w:val="24"/>
          <w:highlight w:val="none"/>
        </w:rPr>
        <w:t>指为实施、完成并保修永久工程，发生于工程实体项目所需的人工费、材料费、机械使用费、管理费、利润和风险费用。</w:t>
      </w:r>
    </w:p>
    <w:p>
      <w:pPr>
        <w:tabs>
          <w:tab w:val="left" w:pos="2160"/>
        </w:tabs>
        <w:spacing w:before="312" w:beforeLines="10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1.33  措施项目费：</w:t>
      </w:r>
      <w:r>
        <w:rPr>
          <w:rFonts w:hint="eastAsia" w:ascii="宋体" w:hAnsi="宋体" w:cs="宋体"/>
          <w:color w:val="auto"/>
          <w:sz w:val="24"/>
          <w:szCs w:val="24"/>
          <w:highlight w:val="none"/>
        </w:rPr>
        <w:t>指为实施、完成并保修合同工程，发生于合同工程施工准备和施工过程中的技术、生活、安全、环境保护等方面的非工程实体项目费用。</w:t>
      </w:r>
    </w:p>
    <w:p>
      <w:pPr>
        <w:tabs>
          <w:tab w:val="left" w:pos="2160"/>
        </w:tabs>
        <w:spacing w:before="312" w:beforeLines="10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1.34  工程款：</w:t>
      </w:r>
      <w:r>
        <w:rPr>
          <w:rFonts w:hint="eastAsia" w:ascii="宋体" w:hAnsi="宋体" w:cs="宋体"/>
          <w:color w:val="auto"/>
          <w:sz w:val="24"/>
          <w:szCs w:val="24"/>
          <w:highlight w:val="none"/>
        </w:rPr>
        <w:t>指为实施、完成并保修合同工程，发包人支付或应当支付给承包人的各种价款，包括进度款、结算款等。</w:t>
      </w:r>
    </w:p>
    <w:p>
      <w:pPr>
        <w:tabs>
          <w:tab w:val="left" w:pos="2160"/>
        </w:tabs>
        <w:spacing w:before="312" w:beforeLines="10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1.35  暂列金额：</w:t>
      </w:r>
      <w:r>
        <w:rPr>
          <w:rFonts w:hint="eastAsia" w:ascii="宋体" w:hAnsi="宋体" w:cs="宋体"/>
          <w:color w:val="auto"/>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pPr>
        <w:tabs>
          <w:tab w:val="left" w:pos="2160"/>
        </w:tabs>
        <w:spacing w:before="312" w:beforeLines="10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1.36  暂估价：</w:t>
      </w:r>
      <w:r>
        <w:rPr>
          <w:rFonts w:hint="eastAsia" w:ascii="宋体" w:hAnsi="宋体" w:cs="宋体"/>
          <w:color w:val="auto"/>
          <w:sz w:val="24"/>
          <w:szCs w:val="24"/>
          <w:highlight w:val="none"/>
        </w:rPr>
        <w:t>指发包人在工程量清单中提供的用于支付必然发生但暂时不能确定价格的材料、工程设备以及专业工程的金额。</w:t>
      </w:r>
    </w:p>
    <w:p>
      <w:pPr>
        <w:tabs>
          <w:tab w:val="left" w:pos="2160"/>
        </w:tabs>
        <w:spacing w:before="312" w:beforeLines="10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1.37  计日工：</w:t>
      </w:r>
      <w:r>
        <w:rPr>
          <w:rFonts w:hint="eastAsia" w:ascii="宋体" w:hAnsi="宋体" w:cs="宋体"/>
          <w:color w:val="auto"/>
          <w:sz w:val="24"/>
          <w:szCs w:val="24"/>
          <w:highlight w:val="none"/>
        </w:rPr>
        <w:t>指在施工过程中，承包人完成发包人提出的施工设计图纸以外的零星项目或工作，按照合同中约定计价付款的一种计价方式。</w:t>
      </w:r>
    </w:p>
    <w:p>
      <w:pPr>
        <w:tabs>
          <w:tab w:val="left" w:pos="2160"/>
        </w:tabs>
        <w:spacing w:before="312" w:beforeLines="10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1.38  质量保证金：</w:t>
      </w:r>
      <w:r>
        <w:rPr>
          <w:rFonts w:hint="eastAsia" w:ascii="宋体" w:hAnsi="宋体" w:cs="宋体"/>
          <w:color w:val="auto"/>
          <w:sz w:val="24"/>
          <w:szCs w:val="24"/>
          <w:highlight w:val="none"/>
        </w:rPr>
        <w:t>指按照第84条约定用于保证在缺陷责任期内履行缺陷修复义务的金额。</w:t>
      </w:r>
    </w:p>
    <w:p>
      <w:pPr>
        <w:tabs>
          <w:tab w:val="left" w:pos="2160"/>
        </w:tabs>
        <w:spacing w:before="312" w:beforeLines="10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1.39  合同工程：</w:t>
      </w:r>
      <w:r>
        <w:rPr>
          <w:rFonts w:hint="eastAsia" w:ascii="宋体" w:hAnsi="宋体" w:cs="宋体"/>
          <w:color w:val="auto"/>
          <w:sz w:val="24"/>
          <w:szCs w:val="24"/>
          <w:highlight w:val="none"/>
        </w:rPr>
        <w:t>指合同双方当事人在协议书中约定的承包范围内的工程，包括永久工程和（或）临时工程。</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1.40  永久工程：</w:t>
      </w:r>
      <w:r>
        <w:rPr>
          <w:rFonts w:hint="eastAsia" w:ascii="宋体" w:hAnsi="宋体" w:cs="宋体"/>
          <w:color w:val="auto"/>
          <w:sz w:val="24"/>
          <w:szCs w:val="24"/>
          <w:highlight w:val="none"/>
        </w:rPr>
        <w:t>指按照合同约定承包人应当实施、完成并移交给发包人的永久性工程，包括工程设备。</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1.41  临时工程：</w:t>
      </w:r>
      <w:r>
        <w:rPr>
          <w:rFonts w:hint="eastAsia" w:ascii="宋体" w:hAnsi="宋体" w:cs="宋体"/>
          <w:color w:val="auto"/>
          <w:sz w:val="24"/>
          <w:szCs w:val="24"/>
          <w:highlight w:val="none"/>
        </w:rPr>
        <w:t>指实施、完成并保修永久工程过程中所需要的各类临时性工程，不包括施工设备。</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1.42  分包工程：</w:t>
      </w:r>
      <w:r>
        <w:rPr>
          <w:rFonts w:hint="eastAsia" w:ascii="宋体" w:hAnsi="宋体" w:cs="宋体"/>
          <w:color w:val="auto"/>
          <w:sz w:val="24"/>
          <w:szCs w:val="24"/>
          <w:highlight w:val="none"/>
        </w:rPr>
        <w:t>指合同工程中，由具有相应分包资质的分包人实施、完成的非主体结构（除钢结构外）的专业性工程。</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1.43  单位工程：</w:t>
      </w:r>
      <w:r>
        <w:rPr>
          <w:rFonts w:hint="eastAsia" w:ascii="宋体" w:hAnsi="宋体" w:cs="宋体"/>
          <w:color w:val="auto"/>
          <w:sz w:val="24"/>
          <w:szCs w:val="24"/>
          <w:highlight w:val="none"/>
        </w:rPr>
        <w:t>指具有独立的设计文件，竣工后可以独立发挥生产能力和效益的永久工程。组成合同工程的单位工程名称、内容和范围等应在专用条款中明确。</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1.44  施工场地（或工地、现场）：</w:t>
      </w:r>
      <w:r>
        <w:rPr>
          <w:rFonts w:hint="eastAsia" w:ascii="宋体" w:hAnsi="宋体" w:cs="宋体"/>
          <w:color w:val="auto"/>
          <w:sz w:val="24"/>
          <w:szCs w:val="24"/>
          <w:highlight w:val="none"/>
        </w:rPr>
        <w:t>指由发包人提供的用于合同工程施工的场所，以及发包人在合同中具体指定的供施工使用的其他任何场所。</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1.45  工程设备：</w:t>
      </w:r>
      <w:r>
        <w:rPr>
          <w:rFonts w:hint="eastAsia" w:ascii="宋体" w:hAnsi="宋体" w:cs="宋体"/>
          <w:color w:val="auto"/>
          <w:sz w:val="24"/>
          <w:szCs w:val="24"/>
          <w:highlight w:val="none"/>
        </w:rPr>
        <w:t>指构成或计划构成永久工程一部分的机电设备、金属结构设备、仪器装置及其他类似的设备和装置。</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1.46  施工设备：</w:t>
      </w:r>
      <w:r>
        <w:rPr>
          <w:rFonts w:hint="eastAsia" w:ascii="宋体" w:hAnsi="宋体" w:cs="宋体"/>
          <w:color w:val="auto"/>
          <w:sz w:val="24"/>
          <w:szCs w:val="24"/>
          <w:highlight w:val="none"/>
        </w:rPr>
        <w:t>指承包人临时带入现场用于合同工程施工的仪器、机械、运输工具或其他物品，但不包括用于或安装在合同工程中的工程设备。</w:t>
      </w:r>
    </w:p>
    <w:p>
      <w:pPr>
        <w:tabs>
          <w:tab w:val="left" w:pos="2160"/>
        </w:tabs>
        <w:spacing w:before="249" w:beforeLines="80"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rPr>
        <w:t>1.47  工程变更：</w:t>
      </w:r>
      <w:r>
        <w:rPr>
          <w:rFonts w:hint="eastAsia" w:ascii="宋体" w:hAnsi="宋体" w:cs="宋体"/>
          <w:color w:val="auto"/>
          <w:sz w:val="24"/>
          <w:szCs w:val="24"/>
          <w:highlight w:val="none"/>
        </w:rPr>
        <w:t>指经发包人批准的，由监理工程师根据第56条规定发出指令的工程任何变更。</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1.48  索赔：</w:t>
      </w:r>
      <w:r>
        <w:rPr>
          <w:rFonts w:hint="eastAsia" w:ascii="宋体" w:hAnsi="宋体" w:cs="宋体"/>
          <w:color w:val="auto"/>
          <w:sz w:val="24"/>
          <w:szCs w:val="24"/>
          <w:highlight w:val="none"/>
        </w:rPr>
        <w:t>指合同履行期间，对于非自己的过错而应由对方当事人承担责任的情况所造成的损失，并根据第36条和第74条规定向对方当事人提出费用补偿和（或）工期顺延的要求。</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1.49  现场签证：</w:t>
      </w:r>
      <w:r>
        <w:rPr>
          <w:rFonts w:hint="eastAsia" w:ascii="宋体" w:hAnsi="宋体" w:cs="宋体"/>
          <w:color w:val="auto"/>
          <w:sz w:val="24"/>
          <w:szCs w:val="24"/>
          <w:highlight w:val="none"/>
        </w:rPr>
        <w:t>指合同双方当事人按照第14.2款约定的指定人选根据第75条规定就施工过程中涉及的责任事件所作的签认证明。</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1.50  不可抗力：</w:t>
      </w:r>
      <w:r>
        <w:rPr>
          <w:rFonts w:hint="eastAsia" w:ascii="宋体" w:hAnsi="宋体" w:cs="宋体"/>
          <w:color w:val="auto"/>
          <w:sz w:val="24"/>
          <w:szCs w:val="24"/>
          <w:highlight w:val="none"/>
        </w:rPr>
        <w:t>指不能预见、不能避免并不能克服的客观情况。</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1.51  竣工验收：</w:t>
      </w:r>
      <w:r>
        <w:rPr>
          <w:rFonts w:hint="eastAsia" w:ascii="宋体" w:hAnsi="宋体" w:cs="宋体"/>
          <w:color w:val="auto"/>
          <w:sz w:val="24"/>
          <w:szCs w:val="24"/>
          <w:highlight w:val="none"/>
        </w:rPr>
        <w:t>指承包人完成了全部合同工作后，发包人按照合同要求进行的验收。</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1.52  国家验收：</w:t>
      </w:r>
      <w:r>
        <w:rPr>
          <w:rFonts w:hint="eastAsia" w:ascii="宋体" w:hAnsi="宋体" w:cs="宋体"/>
          <w:color w:val="auto"/>
          <w:sz w:val="24"/>
          <w:szCs w:val="24"/>
          <w:highlight w:val="none"/>
        </w:rPr>
        <w:t>指政府部门根据法律和政策等有关规定，针对发包人全面组织实施的整个工程正式交付投运前的验收。</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1.53  书面形式：</w:t>
      </w:r>
      <w:r>
        <w:rPr>
          <w:rFonts w:hint="eastAsia" w:ascii="宋体" w:hAnsi="宋体" w:cs="宋体"/>
          <w:color w:val="auto"/>
          <w:sz w:val="24"/>
          <w:szCs w:val="24"/>
          <w:highlight w:val="none"/>
        </w:rPr>
        <w:t>指合同文件、信函、电报、电传、传真、电子数据交换文件、电子邮件等可以有形地表现所载内容的形式。合同双方当事人可在专用条款中注明所采用的书面形式。</w:t>
      </w:r>
    </w:p>
    <w:p>
      <w:pPr>
        <w:tabs>
          <w:tab w:val="left" w:pos="2160"/>
        </w:tabs>
        <w:spacing w:before="249" w:beforeLines="8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1.54  国家：</w:t>
      </w:r>
      <w:r>
        <w:rPr>
          <w:rFonts w:hint="eastAsia" w:ascii="宋体" w:hAnsi="宋体" w:cs="宋体"/>
          <w:color w:val="auto"/>
          <w:sz w:val="24"/>
          <w:szCs w:val="24"/>
          <w:highlight w:val="none"/>
        </w:rPr>
        <w:t>指中华人民共和国。</w:t>
      </w:r>
    </w:p>
    <w:p>
      <w:pPr>
        <w:tabs>
          <w:tab w:val="left" w:pos="1620"/>
        </w:tabs>
        <w:spacing w:line="360" w:lineRule="auto"/>
        <w:rPr>
          <w:rFonts w:ascii="宋体" w:hAnsi="宋体" w:cs="宋体"/>
          <w:b/>
          <w:bCs/>
          <w:color w:val="auto"/>
          <w:sz w:val="24"/>
          <w:szCs w:val="24"/>
          <w:highlight w:val="none"/>
        </w:rPr>
      </w:pPr>
    </w:p>
    <w:p>
      <w:pPr>
        <w:widowControl/>
        <w:tabs>
          <w:tab w:val="left" w:pos="420"/>
        </w:tabs>
        <w:spacing w:before="100" w:beforeAutospacing="1" w:after="100" w:afterAutospacing="1"/>
        <w:ind w:left="720" w:hanging="720"/>
        <w:jc w:val="left"/>
        <w:outlineLvl w:val="2"/>
        <w:rPr>
          <w:rFonts w:ascii="宋体" w:hAnsi="宋体" w:cs="宋体"/>
          <w:bCs/>
          <w:color w:val="auto"/>
          <w:kern w:val="0"/>
          <w:sz w:val="24"/>
          <w:szCs w:val="24"/>
          <w:highlight w:val="none"/>
        </w:rPr>
      </w:pPr>
      <w:bookmarkStart w:id="461" w:name="_Toc469383981"/>
      <w:bookmarkStart w:id="462" w:name="_Toc6155"/>
      <w:bookmarkStart w:id="463" w:name="_Toc19502"/>
      <w:bookmarkStart w:id="464" w:name="_Toc13852"/>
      <w:bookmarkStart w:id="465" w:name="_Toc13988"/>
      <w:bookmarkStart w:id="466" w:name="_Toc24543"/>
      <w:bookmarkStart w:id="467" w:name="_Toc117453812"/>
      <w:bookmarkStart w:id="468" w:name="_Toc433094520"/>
      <w:bookmarkStart w:id="469" w:name="_Toc11588"/>
      <w:r>
        <w:rPr>
          <w:rFonts w:hint="eastAsia" w:ascii="宋体" w:hAnsi="宋体" w:cs="宋体"/>
          <w:bCs/>
          <w:color w:val="auto"/>
          <w:kern w:val="0"/>
          <w:sz w:val="24"/>
          <w:szCs w:val="24"/>
          <w:highlight w:val="none"/>
        </w:rPr>
        <w:t>2  合同文件及解释</w:t>
      </w:r>
      <w:bookmarkEnd w:id="461"/>
      <w:bookmarkEnd w:id="462"/>
      <w:bookmarkEnd w:id="463"/>
      <w:bookmarkEnd w:id="464"/>
      <w:bookmarkEnd w:id="465"/>
      <w:bookmarkEnd w:id="466"/>
      <w:bookmarkEnd w:id="467"/>
      <w:bookmarkEnd w:id="468"/>
      <w:bookmarkEnd w:id="469"/>
    </w:p>
    <w:p>
      <w:pPr>
        <w:tabs>
          <w:tab w:val="left" w:pos="1202"/>
        </w:tabs>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2.1                                                                                 </w:t>
      </w:r>
    </w:p>
    <w:p>
      <w:pPr>
        <w:tabs>
          <w:tab w:val="left" w:pos="1202"/>
          <w:tab w:val="left" w:pos="1620"/>
          <w:tab w:val="left" w:pos="1800"/>
          <w:tab w:val="left" w:pos="2160"/>
        </w:tabs>
        <w:spacing w:line="360" w:lineRule="auto"/>
        <w:ind w:firstLine="1680" w:firstLineChars="800"/>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427" name="文本框 42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ffectLst/>
                      </wps:spPr>
                      <wps:txb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5pt;height:23.4pt;width:63pt;z-index:251666432;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liLa9UAAAAIAQAADwAAAAAAAAABACAAAAAiAAAAZHJzL2Rvd25yZXYueG1sUEsB&#10;AhQAFAAAAAgAh07iQCpjkaYxAgAATwQAAA4AAAAAAAAAAQAgAAAAJAEAAGRycy9lMm9Eb2MueG1s&#10;UEsFBgAAAAAGAAYAWQEAAMcFAAAAAA==&#10;">
                <v:fill on="t" focussize="0,0"/>
                <v:stroke on="f"/>
                <v:imagedata o:title=""/>
                <o:lock v:ext="edit" aspectratio="f"/>
                <v:textbo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hint="eastAsia" w:ascii="宋体" w:hAnsi="宋体" w:cs="宋体"/>
          <w:color w:val="auto"/>
          <w:sz w:val="24"/>
          <w:szCs w:val="24"/>
          <w:highlight w:val="none"/>
        </w:rPr>
        <w:t>本合同条款的标题和旁注不构成合同的组成部分。</w:t>
      </w:r>
    </w:p>
    <w:p>
      <w:pPr>
        <w:tabs>
          <w:tab w:val="left" w:pos="1202"/>
        </w:tabs>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2.2  </w:t>
      </w:r>
    </w:p>
    <w:p>
      <w:pPr>
        <w:tabs>
          <w:tab w:val="left" w:pos="1320"/>
        </w:tabs>
        <w:spacing w:line="360" w:lineRule="auto"/>
        <w:ind w:left="1676" w:leftChars="798"/>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426" name="文本框 426"/>
                <wp:cNvGraphicFramePr/>
                <a:graphic xmlns:a="http://schemas.openxmlformats.org/drawingml/2006/main">
                  <a:graphicData uri="http://schemas.microsoft.com/office/word/2010/wordprocessingShape">
                    <wps:wsp>
                      <wps:cNvSpPr txBox="1">
                        <a:spLocks noChangeArrowheads="1"/>
                      </wps:cNvSpPr>
                      <wps:spPr bwMode="auto">
                        <a:xfrm>
                          <a:off x="0" y="0"/>
                          <a:ext cx="914400" cy="52705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3pt;height:41.5pt;width:72pt;z-index:251667456;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IQFTvWAAAACQEA&#10;AA8AAAAAAAAAAQAgAAAAIgAAAGRycy9kb3ducmV2LnhtbFBLAQIUABQAAAAIAIdO4kCfhrw9HAIA&#10;ACYEAAAOAAAAAAAAAAEAIAAAACU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ascii="宋体" w:hAnsi="宋体" w:cs="宋体"/>
          <w:color w:val="auto"/>
          <w:sz w:val="24"/>
          <w:szCs w:val="24"/>
          <w:highlight w:val="none"/>
        </w:rPr>
        <w:t>下列组成本合同的文件是一个合同整体，彼此应当能相互解释，互为说明。当出现相互矛盾时，组成本合同文件的优先解释顺序如下：</w:t>
      </w:r>
    </w:p>
    <w:p>
      <w:pPr>
        <w:numPr>
          <w:ilvl w:val="0"/>
          <w:numId w:val="0"/>
        </w:numPr>
        <w:spacing w:line="360" w:lineRule="auto"/>
        <w:ind w:left="1676" w:leftChars="798" w:firstLine="0"/>
        <w:jc w:val="left"/>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履行本合同的相关补充协议（含工程洽商记录、会议纪要、工程变更、现场签证、等修正文件）；</w:t>
      </w:r>
    </w:p>
    <w:p>
      <w:pPr>
        <w:numPr>
          <w:ilvl w:val="0"/>
          <w:numId w:val="0"/>
        </w:numPr>
        <w:tabs>
          <w:tab w:val="left" w:pos="1620"/>
        </w:tabs>
        <w:spacing w:line="360" w:lineRule="auto"/>
        <w:ind w:left="1676" w:leftChars="798" w:firstLine="0"/>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协议书；</w:t>
      </w:r>
    </w:p>
    <w:p>
      <w:pPr>
        <w:numPr>
          <w:ilvl w:val="0"/>
          <w:numId w:val="0"/>
        </w:numPr>
        <w:spacing w:line="360" w:lineRule="auto"/>
        <w:ind w:left="1676" w:leftChars="798" w:firstLine="0"/>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中标通知书（适用于招标工程）；</w:t>
      </w:r>
    </w:p>
    <w:p>
      <w:pPr>
        <w:numPr>
          <w:ilvl w:val="0"/>
          <w:numId w:val="0"/>
        </w:numPr>
        <w:spacing w:line="360" w:lineRule="auto"/>
        <w:ind w:left="1678" w:leftChars="799" w:firstLine="0"/>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承包人投标文件及其附件（含评标期间的澄清文件和补充资料）（适用于招标工程）；确认的工程量清单报价单或施工图预算书（适用于非招标工程）；</w:t>
      </w:r>
    </w:p>
    <w:p>
      <w:pPr>
        <w:numPr>
          <w:ilvl w:val="0"/>
          <w:numId w:val="0"/>
        </w:numPr>
        <w:spacing w:line="360" w:lineRule="auto"/>
        <w:ind w:left="1678" w:leftChars="799" w:firstLine="0"/>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专用条款；</w:t>
      </w:r>
    </w:p>
    <w:p>
      <w:pPr>
        <w:numPr>
          <w:ilvl w:val="0"/>
          <w:numId w:val="0"/>
        </w:numPr>
        <w:spacing w:line="360" w:lineRule="auto"/>
        <w:ind w:left="1678" w:leftChars="799" w:firstLine="0"/>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通用条款；</w:t>
      </w:r>
    </w:p>
    <w:p>
      <w:pPr>
        <w:numPr>
          <w:ilvl w:val="0"/>
          <w:numId w:val="0"/>
        </w:numPr>
        <w:spacing w:line="360" w:lineRule="auto"/>
        <w:ind w:left="1678" w:leftChars="799" w:firstLine="0"/>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标准、规范及有关技术文件；</w:t>
      </w:r>
    </w:p>
    <w:p>
      <w:pPr>
        <w:numPr>
          <w:ilvl w:val="0"/>
          <w:numId w:val="0"/>
        </w:numPr>
        <w:spacing w:line="360" w:lineRule="auto"/>
        <w:ind w:left="1678" w:leftChars="799" w:firstLine="0"/>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施工设计图纸；</w:t>
      </w:r>
    </w:p>
    <w:p>
      <w:pPr>
        <w:numPr>
          <w:ilvl w:val="0"/>
          <w:numId w:val="0"/>
        </w:numPr>
        <w:spacing w:line="360" w:lineRule="auto"/>
        <w:ind w:left="1678" w:leftChars="799" w:firstLine="0"/>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招标文件（包括补充、修改、澄清的文件、招标图纸、答疑纪要、工程量清单及总说明等）；</w:t>
      </w:r>
    </w:p>
    <w:p>
      <w:pPr>
        <w:numPr>
          <w:ilvl w:val="0"/>
          <w:numId w:val="0"/>
        </w:numPr>
        <w:spacing w:line="360" w:lineRule="auto"/>
        <w:ind w:left="1678" w:leftChars="799" w:firstLine="0"/>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专用条款约定的其他文件。</w:t>
      </w:r>
    </w:p>
    <w:p>
      <w:pPr>
        <w:ind w:left="1678" w:leftChars="799"/>
        <w:rPr>
          <w:rFonts w:ascii="宋体" w:hAnsi="宋体" w:cs="宋体"/>
          <w:color w:val="auto"/>
          <w:sz w:val="24"/>
          <w:szCs w:val="24"/>
          <w:highlight w:val="none"/>
        </w:rPr>
      </w:pPr>
      <w:r>
        <w:rPr>
          <w:rFonts w:hint="eastAsia" w:ascii="宋体" w:hAnsi="宋体" w:cs="宋体"/>
          <w:color w:val="auto"/>
          <w:sz w:val="24"/>
          <w:szCs w:val="24"/>
          <w:highlight w:val="none"/>
        </w:rPr>
        <w:t>上述各项合同文件包括合同当事人就该项合同文件所作出的补充和修改，属于同一类内容的文件，应以最新签署的为准。</w:t>
      </w:r>
    </w:p>
    <w:p>
      <w:pPr>
        <w:tabs>
          <w:tab w:val="left" w:pos="540"/>
          <w:tab w:val="left" w:pos="1202"/>
        </w:tabs>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2.3  </w:t>
      </w:r>
    </w:p>
    <w:p>
      <w:pPr>
        <w:spacing w:line="360" w:lineRule="auto"/>
        <w:ind w:left="1676" w:leftChars="798"/>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25" name="文本框 425"/>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62.4pt;width:72pt;z-index:251668480;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k2VHNUAAAAIAQAA&#10;DwAAAAAAAAABACAAAAAiAAAAZHJzL2Rvd25yZXYueG1sUEsBAhQAFAAAAAgAh07iQCEdISkcAgAA&#10;JgQAAA4AAAAAAAAAAQAgAAAAJA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ascii="宋体" w:hAnsi="宋体" w:cs="宋体"/>
          <w:color w:val="auto"/>
          <w:sz w:val="24"/>
          <w:szCs w:val="24"/>
          <w:highlight w:val="none"/>
        </w:rPr>
        <w:t>当合同文件内容出现含糊不清或不一致时，由合同双方当事人在不影响合同工程正常实施的情况下协商解决。协商不成的，由监理工程师、造价工程师分别按照第23.2款、第24.2款规定职权作出解释。如合同任何一方当事人不同意监理工程师或造价工程师作出的解释，按照第86条规定处理。</w:t>
      </w:r>
    </w:p>
    <w:p>
      <w:pPr>
        <w:spacing w:line="360" w:lineRule="auto"/>
        <w:jc w:val="left"/>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bCs/>
          <w:color w:val="auto"/>
          <w:kern w:val="0"/>
          <w:sz w:val="24"/>
          <w:szCs w:val="24"/>
          <w:highlight w:val="none"/>
        </w:rPr>
      </w:pPr>
      <w:bookmarkStart w:id="470" w:name="_Toc17330"/>
      <w:bookmarkStart w:id="471" w:name="_Toc469383982"/>
      <w:bookmarkStart w:id="472" w:name="_Toc27938"/>
      <w:bookmarkStart w:id="473" w:name="_Toc8958"/>
      <w:bookmarkStart w:id="474" w:name="_Toc31078"/>
      <w:bookmarkStart w:id="475" w:name="_Toc24719"/>
      <w:bookmarkStart w:id="476" w:name="_Toc1197517957"/>
      <w:bookmarkStart w:id="477" w:name="_Toc508746691"/>
      <w:bookmarkStart w:id="478" w:name="_Toc28030"/>
      <w:r>
        <w:rPr>
          <w:rFonts w:hint="eastAsia" w:ascii="宋体" w:hAnsi="宋体" w:cs="宋体"/>
          <w:bCs/>
          <w:color w:val="auto"/>
          <w:kern w:val="0"/>
          <w:sz w:val="24"/>
          <w:szCs w:val="24"/>
          <w:highlight w:val="none"/>
        </w:rPr>
        <w:t>3  阅读、理解与接受</w:t>
      </w:r>
      <w:bookmarkEnd w:id="470"/>
      <w:bookmarkEnd w:id="471"/>
      <w:bookmarkEnd w:id="472"/>
      <w:bookmarkEnd w:id="473"/>
      <w:bookmarkEnd w:id="474"/>
      <w:bookmarkEnd w:id="475"/>
      <w:bookmarkEnd w:id="476"/>
      <w:bookmarkEnd w:id="477"/>
      <w:bookmarkEnd w:id="478"/>
    </w:p>
    <w:p>
      <w:pPr>
        <w:tabs>
          <w:tab w:val="left" w:pos="1260"/>
        </w:tabs>
        <w:spacing w:before="312" w:beforeLines="100"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3.1 </w:t>
      </w:r>
    </w:p>
    <w:p>
      <w:pPr>
        <w:tabs>
          <w:tab w:val="left" w:pos="540"/>
          <w:tab w:val="left" w:pos="1202"/>
        </w:tabs>
        <w:spacing w:line="360" w:lineRule="auto"/>
        <w:ind w:left="1678" w:leftChars="799"/>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24"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62.4pt;width:72pt;z-index:251669504;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TZUc1QAAAAgBAAAP&#10;AAAAAAAAAAEAIAAAACIAAABkcnMvZG93bnJldi54bWxQSwECFAAUAAAACACHTuJApcKWLRsCAAAm&#10;BAAADgAAAAAAAAABACAAAAAkAQAAZHJzL2Uyb0RvYy54bWxQSwUGAAAAAAYABgBZAQAAs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宋体" w:hAnsi="宋体" w:cs="宋体"/>
          <w:color w:val="auto"/>
          <w:sz w:val="24"/>
          <w:szCs w:val="24"/>
          <w:highlight w:val="none"/>
        </w:rPr>
        <w:t>合同双方当事人应认真阅读和理解本合同的全部内容。除合同双方当事人同意修改外，本合同一旦订立，视为合同双方当事人已全面接受本合同的所有条款。</w:t>
      </w:r>
    </w:p>
    <w:p>
      <w:pPr>
        <w:tabs>
          <w:tab w:val="left" w:pos="2160"/>
        </w:tabs>
        <w:spacing w:before="249" w:beforeLines="80" w:line="360" w:lineRule="auto"/>
        <w:ind w:left="1418" w:hanging="1417" w:hangingChars="675"/>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423" name="文本框 423"/>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1.2pt;height:62.4pt;width:75pt;z-index:251670528;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5F5UO2AAA&#10;AAoBAAAPAAAAAAAAAAEAIAAAACIAAABkcnMvZG93bnJldi54bWxQSwECFAAUAAAACACHTuJA6uAv&#10;Jx4CAAAmBAAADgAAAAAAAAABACAAAAAnAQAAZHJzL2Uyb0RvYy54bWxQSwUGAAAAAAYABgBZAQAA&#10;t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宋体" w:hAnsi="宋体" w:cs="宋体"/>
          <w:b/>
          <w:bCs/>
          <w:color w:val="auto"/>
          <w:sz w:val="24"/>
          <w:szCs w:val="24"/>
          <w:highlight w:val="none"/>
        </w:rPr>
        <w:t xml:space="preserve">3.2  </w:t>
      </w:r>
    </w:p>
    <w:p>
      <w:pPr>
        <w:tabs>
          <w:tab w:val="left" w:pos="2160"/>
        </w:tabs>
        <w:spacing w:before="249" w:beforeLines="80" w:line="360" w:lineRule="auto"/>
        <w:ind w:left="1618" w:leftChars="741" w:hanging="62" w:hangingChars="26"/>
        <w:rPr>
          <w:rFonts w:ascii="宋体" w:hAnsi="宋体" w:cs="宋体"/>
          <w:color w:val="auto"/>
          <w:sz w:val="24"/>
          <w:szCs w:val="24"/>
          <w:highlight w:val="none"/>
        </w:rPr>
      </w:pPr>
      <w:r>
        <w:rPr>
          <w:rFonts w:hint="eastAsia" w:ascii="宋体" w:hAnsi="宋体" w:cs="宋体"/>
          <w:color w:val="auto"/>
          <w:sz w:val="24"/>
          <w:szCs w:val="24"/>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pPr>
        <w:adjustRightInd w:val="0"/>
        <w:snapToGrid w:val="0"/>
        <w:ind w:right="-238"/>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bCs/>
          <w:color w:val="auto"/>
          <w:kern w:val="0"/>
          <w:sz w:val="24"/>
          <w:szCs w:val="24"/>
          <w:highlight w:val="none"/>
        </w:rPr>
      </w:pPr>
      <w:bookmarkStart w:id="479" w:name="_Toc469383983"/>
      <w:bookmarkStart w:id="480" w:name="_Toc24579"/>
      <w:bookmarkStart w:id="481" w:name="_Toc14539"/>
      <w:bookmarkStart w:id="482" w:name="_Toc1373236930"/>
      <w:bookmarkStart w:id="483" w:name="_Toc467563615"/>
      <w:bookmarkStart w:id="484" w:name="_Toc16714"/>
      <w:bookmarkStart w:id="485" w:name="_Toc7543"/>
      <w:bookmarkStart w:id="486" w:name="_Toc25367"/>
      <w:bookmarkStart w:id="487" w:name="_Toc3782"/>
      <w:r>
        <w:rPr>
          <w:rFonts w:hint="eastAsia" w:ascii="宋体" w:hAnsi="宋体" w:cs="宋体"/>
          <w:bCs/>
          <w:color w:val="auto"/>
          <w:kern w:val="0"/>
          <w:sz w:val="24"/>
          <w:szCs w:val="24"/>
          <w:highlight w:val="none"/>
        </w:rPr>
        <w:t>4  语言及适用的法律、标准与规范</w:t>
      </w:r>
      <w:bookmarkEnd w:id="479"/>
      <w:bookmarkEnd w:id="480"/>
      <w:bookmarkEnd w:id="481"/>
      <w:bookmarkEnd w:id="482"/>
      <w:bookmarkEnd w:id="483"/>
      <w:bookmarkEnd w:id="484"/>
      <w:bookmarkEnd w:id="485"/>
      <w:bookmarkEnd w:id="486"/>
      <w:bookmarkEnd w:id="487"/>
    </w:p>
    <w:p>
      <w:pPr>
        <w:tabs>
          <w:tab w:val="left" w:pos="1320"/>
        </w:tabs>
        <w:spacing w:line="360" w:lineRule="auto"/>
        <w:ind w:right="-15" w:rightChars="-7"/>
        <w:rPr>
          <w:rFonts w:ascii="宋体" w:hAnsi="宋体" w:cs="宋体"/>
          <w:b/>
          <w:bCs/>
          <w:color w:val="auto"/>
          <w:sz w:val="24"/>
          <w:szCs w:val="24"/>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2091392" behindDoc="0" locked="0" layoutInCell="1" allowOverlap="1">
                <wp:simplePos x="0" y="0"/>
                <wp:positionH relativeFrom="column">
                  <wp:posOffset>-100965</wp:posOffset>
                </wp:positionH>
                <wp:positionV relativeFrom="paragraph">
                  <wp:posOffset>287020</wp:posOffset>
                </wp:positionV>
                <wp:extent cx="1028700" cy="457200"/>
                <wp:effectExtent l="0" t="0" r="0" b="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ffectLst/>
                      </wps:spPr>
                      <wps:txbx>
                        <w:txbxContent>
                          <w:p>
                            <w:pPr>
                              <w:rPr>
                                <w:rFonts w:ascii="楷体_GB2312" w:eastAsia="楷体_GB2312"/>
                                <w:sz w:val="18"/>
                                <w:szCs w:val="18"/>
                              </w:rPr>
                            </w:pPr>
                            <w:r>
                              <w:rPr>
                                <w:rFonts w:hint="eastAsia" w:ascii="楷体_GB2312" w:eastAsia="楷体_GB2312" w:cs="楷体_GB2312"/>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95pt;margin-top:22.6pt;height:36pt;width:81pt;z-index:252091392;mso-width-relative:page;mso-height-relative:page;" filled="f" stroked="f" coordsize="21600,21600" o:gfxdata="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GWMxNgAAAAKAQAA&#10;DwAAAAAAAAABACAAAAAiAAAAZHJzL2Rvd25yZXYueG1sUEsBAhQAFAAAAAgAh07iQH2F0DkZAgAA&#10;JQQAAA4AAAAAAAAAAQAgAAAAJwEAAGRycy9lMm9Eb2MueG1sUEsFBgAAAAAGAAYAWQEAALIFAAAA&#10;AA==&#10;">
                <v:fill on="f" focussize="0,0"/>
                <v:stroke on="f"/>
                <v:imagedata o:title=""/>
                <o:lock v:ext="edit" aspectratio="f"/>
                <v:textbox>
                  <w:txbxContent>
                    <w:p>
                      <w:pPr>
                        <w:rPr>
                          <w:rFonts w:ascii="楷体_GB2312" w:eastAsia="楷体_GB2312"/>
                          <w:sz w:val="18"/>
                          <w:szCs w:val="18"/>
                        </w:rPr>
                      </w:pPr>
                      <w:r>
                        <w:rPr>
                          <w:rFonts w:hint="eastAsia" w:ascii="楷体_GB2312" w:eastAsia="楷体_GB2312" w:cs="楷体_GB2312"/>
                          <w:b/>
                          <w:bCs/>
                          <w:color w:val="000000"/>
                          <w:sz w:val="18"/>
                          <w:szCs w:val="18"/>
                        </w:rPr>
                        <w:t>语言文字</w:t>
                      </w:r>
                    </w:p>
                  </w:txbxContent>
                </v:textbox>
              </v:shape>
            </w:pict>
          </mc:Fallback>
        </mc:AlternateContent>
      </w:r>
      <w:r>
        <w:rPr>
          <w:rFonts w:hint="eastAsia" w:ascii="宋体" w:hAnsi="宋体" w:cs="宋体"/>
          <w:b/>
          <w:bCs/>
          <w:color w:val="auto"/>
          <w:sz w:val="24"/>
          <w:szCs w:val="24"/>
          <w:highlight w:val="none"/>
        </w:rPr>
        <w:t xml:space="preserve">4.1                         </w:t>
      </w:r>
    </w:p>
    <w:p>
      <w:pPr>
        <w:spacing w:line="360" w:lineRule="auto"/>
        <w:ind w:left="1674" w:leftChars="797" w:right="-7"/>
        <w:rPr>
          <w:rFonts w:ascii="宋体" w:hAnsi="宋体" w:cs="宋体"/>
          <w:color w:val="auto"/>
          <w:sz w:val="24"/>
          <w:szCs w:val="24"/>
          <w:highlight w:val="none"/>
        </w:rPr>
      </w:pPr>
      <w:r>
        <w:rPr>
          <w:rFonts w:hint="eastAsia" w:ascii="宋体" w:hAnsi="宋体" w:cs="宋体"/>
          <w:color w:val="auto"/>
          <w:sz w:val="24"/>
          <w:szCs w:val="24"/>
          <w:highlight w:val="none"/>
        </w:rPr>
        <w:t>本合同所使用的语言文字为中文（汉语）。</w:t>
      </w:r>
    </w:p>
    <w:p>
      <w:pPr>
        <w:spacing w:line="360" w:lineRule="auto"/>
        <w:ind w:left="1674" w:leftChars="797"/>
        <w:rPr>
          <w:rFonts w:ascii="宋体" w:hAnsi="宋体" w:cs="宋体"/>
          <w:color w:val="auto"/>
          <w:sz w:val="24"/>
          <w:szCs w:val="24"/>
          <w:highlight w:val="none"/>
        </w:rPr>
      </w:pPr>
      <w:r>
        <w:rPr>
          <w:rFonts w:hint="eastAsia" w:ascii="宋体" w:hAnsi="宋体" w:cs="宋体"/>
          <w:color w:val="auto"/>
          <w:sz w:val="24"/>
          <w:szCs w:val="24"/>
          <w:highlight w:val="none"/>
        </w:rPr>
        <w:t>对于必须使用外文表达的专用术语等，应附有中文注释。合同当事人在合同中使用两种以上语言时，汉语为优先解释和说明合同的语言。</w:t>
      </w:r>
    </w:p>
    <w:p>
      <w:pPr>
        <w:tabs>
          <w:tab w:val="left" w:pos="1320"/>
        </w:tabs>
        <w:spacing w:line="360" w:lineRule="auto"/>
        <w:ind w:right="-7"/>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4.2  </w:t>
      </w:r>
    </w:p>
    <w:p>
      <w:pPr>
        <w:tabs>
          <w:tab w:val="left" w:pos="0"/>
        </w:tabs>
        <w:spacing w:line="400" w:lineRule="exact"/>
        <w:ind w:left="1701" w:leftChars="770" w:hanging="84" w:hangingChars="35"/>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422" name="文本框 422"/>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ffectLst/>
                      </wps:spPr>
                      <wps:txb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pt;height:36pt;width:81pt;z-index:251671552;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Rwms9QAAAAIAQAADwAA&#10;AAAAAAABACAAAAAiAAAAZHJzL2Rvd25yZXYueG1sUEsBAhQAFAAAAAgAh07iQK3lHtwaAgAAJwQA&#10;AA4AAAAAAAAAAQAgAAAAIwEAAGRycy9lMm9Eb2MueG1sUEsFBgAAAAAGAAYAWQEAAK8FA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宋体" w:hAnsi="宋体" w:cs="宋体"/>
          <w:color w:val="auto"/>
          <w:sz w:val="24"/>
          <w:szCs w:val="20"/>
          <w:highlight w:val="none"/>
        </w:rPr>
        <w:t>本合同适用的法律为中华人民共和国的现行法律、行政法规、部门规章和合同工程所在地的地方性法规、地方政府规章、行政规范性文件。</w:t>
      </w:r>
    </w:p>
    <w:p>
      <w:pPr>
        <w:tabs>
          <w:tab w:val="left" w:pos="1320"/>
        </w:tabs>
        <w:spacing w:line="360" w:lineRule="auto"/>
        <w:ind w:right="-7"/>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4.3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421" name="文本框 421"/>
                <wp:cNvGraphicFramePr/>
                <a:graphic xmlns:a="http://schemas.openxmlformats.org/drawingml/2006/main">
                  <a:graphicData uri="http://schemas.microsoft.com/office/word/2010/wordprocessingShape">
                    <wps:wsp>
                      <wps:cNvSpPr txBox="1">
                        <a:spLocks noChangeArrowheads="1"/>
                      </wps:cNvSpPr>
                      <wps:spPr bwMode="auto">
                        <a:xfrm>
                          <a:off x="0" y="0"/>
                          <a:ext cx="1028700" cy="4419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4.8pt;width:81pt;z-index:251672576;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gi47vVAAAABwEA&#10;AA8AAAAAAAAAAQAgAAAAIgAAAGRycy9kb3ducmV2LnhtbFBLAQIUABQAAAAIAIdO4kCf28J4HQIA&#10;ACcEAAAOAAAAAAAAAAEAIAAAACQ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宋体" w:hAnsi="宋体" w:cs="宋体"/>
          <w:color w:val="auto"/>
          <w:sz w:val="24"/>
          <w:szCs w:val="24"/>
          <w:highlight w:val="none"/>
        </w:rPr>
        <w:t>本合同适用的标准与规范为国家、行业和广东省的标准与规范或规程，以及发包人在合同中要求使用的标准与规范。</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合同双方当事人在专用条款中约定适用的国家标准、规范名称；国家没有但行业有的，约定适用的行业标准、规范名称；国家和行业没有但广东省有的，约定适用的广东省地方标准、规范名称。</w:t>
      </w:r>
    </w:p>
    <w:p>
      <w:pPr>
        <w:spacing w:line="360" w:lineRule="auto"/>
        <w:ind w:left="1619" w:leftChars="771" w:firstLine="1"/>
        <w:rPr>
          <w:rFonts w:ascii="宋体" w:hAnsi="宋体" w:cs="宋体"/>
          <w:color w:val="auto"/>
          <w:sz w:val="24"/>
          <w:szCs w:val="24"/>
          <w:highlight w:val="none"/>
        </w:rPr>
      </w:pPr>
      <w:r>
        <w:rPr>
          <w:rFonts w:hint="eastAsia" w:ascii="宋体" w:hAnsi="宋体" w:cs="宋体"/>
          <w:color w:val="auto"/>
          <w:sz w:val="24"/>
          <w:szCs w:val="24"/>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pPr>
        <w:spacing w:line="360" w:lineRule="auto"/>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bCs/>
          <w:color w:val="auto"/>
          <w:kern w:val="0"/>
          <w:sz w:val="24"/>
          <w:szCs w:val="24"/>
          <w:highlight w:val="none"/>
        </w:rPr>
      </w:pPr>
      <w:bookmarkStart w:id="488" w:name="_Toc986328201"/>
      <w:bookmarkStart w:id="489" w:name="_Toc26391"/>
      <w:bookmarkStart w:id="490" w:name="_Toc875"/>
      <w:bookmarkStart w:id="491" w:name="_Toc28706"/>
      <w:bookmarkStart w:id="492" w:name="_Toc10510"/>
      <w:bookmarkStart w:id="493" w:name="_Toc17824"/>
      <w:bookmarkStart w:id="494" w:name="_Toc6757"/>
      <w:bookmarkStart w:id="495" w:name="_Toc699012932"/>
      <w:bookmarkStart w:id="496" w:name="_Toc469383984"/>
      <w:r>
        <w:rPr>
          <w:rFonts w:hint="eastAsia" w:ascii="宋体" w:hAnsi="宋体" w:cs="宋体"/>
          <w:bCs/>
          <w:color w:val="auto"/>
          <w:kern w:val="0"/>
          <w:sz w:val="24"/>
          <w:szCs w:val="24"/>
          <w:highlight w:val="none"/>
        </w:rPr>
        <w:t>5  施工设计图纸</w:t>
      </w:r>
      <w:bookmarkEnd w:id="488"/>
      <w:bookmarkEnd w:id="489"/>
      <w:bookmarkEnd w:id="490"/>
      <w:bookmarkEnd w:id="491"/>
      <w:bookmarkEnd w:id="492"/>
      <w:bookmarkEnd w:id="493"/>
      <w:bookmarkEnd w:id="494"/>
      <w:bookmarkEnd w:id="495"/>
      <w:bookmarkEnd w:id="496"/>
    </w:p>
    <w:p>
      <w:pPr>
        <w:spacing w:line="360" w:lineRule="auto"/>
        <w:ind w:right="-238"/>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5.1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420" name="文本框 420"/>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71.8pt;width:63pt;z-index:251673600;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uxZtYAAAAJAQAA&#10;DwAAAAAAAAABACAAAAAiAAAAZHJzL2Rvd25yZXYueG1sUEsBAhQAFAAAAAgAh07iQOiEJNEbAgAA&#10;JgQAAA4AAAAAAAAAAQAgAAAAJQ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宋体" w:hAnsi="宋体" w:cs="宋体"/>
          <w:color w:val="auto"/>
          <w:sz w:val="24"/>
          <w:szCs w:val="24"/>
          <w:highlight w:val="none"/>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w:t>
      </w:r>
    </w:p>
    <w:p>
      <w:pPr>
        <w:spacing w:line="360" w:lineRule="auto"/>
        <w:ind w:right="-238"/>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5.2  </w:t>
      </w:r>
    </w:p>
    <w:p>
      <w:pPr>
        <w:tabs>
          <w:tab w:val="left" w:pos="0"/>
          <w:tab w:val="left" w:pos="4970"/>
        </w:tabs>
        <w:spacing w:line="400" w:lineRule="exact"/>
        <w:ind w:left="1678" w:leftChars="799"/>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419" name="文本框 419"/>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71.8pt;width:63pt;z-index:251674624;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K+3Y1AAAAAgBAAAP&#10;AAAAAAAAAAEAIAAAACIAAABkcnMvZG93bnJldi54bWxQSwECFAAUAAAACACHTuJAJ7AuFBwCAAAm&#10;BAAADgAAAAAAAAABACAAAAAjAQAAZHJzL2Uyb0RvYy54bWxQSwUGAAAAAAYABgBZAQAAs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宋体" w:hAnsi="宋体" w:cs="宋体"/>
          <w:color w:val="auto"/>
          <w:sz w:val="24"/>
          <w:szCs w:val="20"/>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pPr>
        <w:tabs>
          <w:tab w:val="left" w:pos="4970"/>
        </w:tabs>
        <w:spacing w:line="360" w:lineRule="auto"/>
        <w:rPr>
          <w:rFonts w:ascii="宋体" w:hAnsi="宋体" w:cs="宋体"/>
          <w:b/>
          <w:bCs/>
          <w:color w:val="auto"/>
          <w:sz w:val="24"/>
          <w:szCs w:val="24"/>
          <w:highlight w:val="none"/>
        </w:rPr>
      </w:pPr>
    </w:p>
    <w:p>
      <w:pPr>
        <w:tabs>
          <w:tab w:val="left" w:pos="4970"/>
        </w:tabs>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5.3  </w:t>
      </w:r>
    </w:p>
    <w:p>
      <w:pPr>
        <w:tabs>
          <w:tab w:val="left" w:pos="4970"/>
        </w:tabs>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8" name="文本框 418"/>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1.1pt;width:72pt;z-index:25167564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Mba3NYcAgAA&#10;JgQAAA4AAAAAAAAAAQAgAAAAJAEAAGRycy9lMm9Eb2MueG1sUEsFBgAAAAAGAAYAWQEAALIFAAAA&#10;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宋体" w:hAnsi="宋体" w:cs="宋体"/>
          <w:color w:val="auto"/>
          <w:sz w:val="24"/>
          <w:szCs w:val="24"/>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pPr>
        <w:tabs>
          <w:tab w:val="left" w:pos="4970"/>
        </w:tabs>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5.4  </w:t>
      </w:r>
    </w:p>
    <w:p>
      <w:pPr>
        <w:tabs>
          <w:tab w:val="left" w:pos="4970"/>
        </w:tabs>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7" name="文本框 417"/>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1.1pt;width:72pt;z-index:251676672;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Ho4ZewcAgAA&#10;JgQAAA4AAAAAAAAAAQAgAAAAJA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宋体" w:hAnsi="宋体" w:cs="宋体"/>
          <w:color w:val="auto"/>
          <w:sz w:val="24"/>
          <w:szCs w:val="24"/>
          <w:highlight w:val="none"/>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5.5  </w:t>
      </w:r>
    </w:p>
    <w:p>
      <w:pPr>
        <w:tabs>
          <w:tab w:val="left" w:pos="4970"/>
        </w:tabs>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6"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1.1pt;width:72pt;z-index:251677696;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P7n0ugcAgAA&#10;JgQAAA4AAAAAAAAAAQAgAAAAJA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宋体" w:hAnsi="宋体" w:cs="宋体"/>
          <w:color w:val="auto"/>
          <w:sz w:val="24"/>
          <w:szCs w:val="24"/>
          <w:highlight w:val="none"/>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pPr>
        <w:tabs>
          <w:tab w:val="left" w:pos="1620"/>
        </w:tabs>
        <w:spacing w:line="360" w:lineRule="auto"/>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color w:val="auto"/>
          <w:kern w:val="0"/>
          <w:sz w:val="24"/>
          <w:szCs w:val="24"/>
          <w:highlight w:val="none"/>
        </w:rPr>
      </w:pPr>
      <w:bookmarkStart w:id="497" w:name="_Toc469383985"/>
      <w:bookmarkStart w:id="498" w:name="_Toc1574799034"/>
      <w:bookmarkStart w:id="499" w:name="_Toc30433"/>
      <w:bookmarkStart w:id="500" w:name="_Toc3948"/>
      <w:bookmarkStart w:id="501" w:name="_Toc1750"/>
      <w:bookmarkStart w:id="502" w:name="_Toc791803014"/>
      <w:bookmarkStart w:id="503" w:name="_Toc25509"/>
      <w:bookmarkStart w:id="504" w:name="_Toc28756"/>
      <w:bookmarkStart w:id="505" w:name="_Toc1186"/>
      <w:r>
        <w:rPr>
          <w:rFonts w:hint="eastAsia" w:ascii="宋体" w:hAnsi="宋体" w:cs="宋体"/>
          <w:color w:val="auto"/>
          <w:kern w:val="0"/>
          <w:sz w:val="24"/>
          <w:szCs w:val="24"/>
          <w:highlight w:val="none"/>
        </w:rPr>
        <w:t>6  通讯联络</w:t>
      </w:r>
      <w:bookmarkEnd w:id="497"/>
      <w:bookmarkEnd w:id="498"/>
      <w:bookmarkEnd w:id="499"/>
      <w:bookmarkEnd w:id="500"/>
      <w:bookmarkEnd w:id="501"/>
      <w:bookmarkEnd w:id="502"/>
      <w:bookmarkEnd w:id="503"/>
      <w:bookmarkEnd w:id="504"/>
      <w:bookmarkEnd w:id="505"/>
    </w:p>
    <w:p>
      <w:pPr>
        <w:spacing w:line="360" w:lineRule="auto"/>
        <w:ind w:right="-238"/>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6.1   </w:t>
      </w:r>
    </w:p>
    <w:p>
      <w:pPr>
        <w:tabs>
          <w:tab w:val="left" w:pos="1620"/>
        </w:tabs>
        <w:spacing w:line="360" w:lineRule="auto"/>
        <w:ind w:left="1669" w:leftChars="795" w:firstLine="9"/>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78720" behindDoc="0" locked="0" layoutInCell="1" allowOverlap="1">
                <wp:simplePos x="0" y="0"/>
                <wp:positionH relativeFrom="column">
                  <wp:posOffset>-47625</wp:posOffset>
                </wp:positionH>
                <wp:positionV relativeFrom="paragraph">
                  <wp:posOffset>20955</wp:posOffset>
                </wp:positionV>
                <wp:extent cx="800100" cy="297180"/>
                <wp:effectExtent l="0" t="0" r="0" b="0"/>
                <wp:wrapNone/>
                <wp:docPr id="415" name="文本框 415"/>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5pt;margin-top:1.65pt;height:23.4pt;width:63pt;z-index:251678720;mso-width-relative:page;mso-height-relative:page;" filled="f" stroked="f" coordsize="21600,21600" o:gfxdata="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MC+g0wAAAAcBAAAP&#10;AAAAAAAAAAEAIAAAACIAAABkcnMvZG93bnJldi54bWxQSwECFAAUAAAACACHTuJAhKz1cB0CAAAm&#10;BAAADgAAAAAAAAABACAAAAAiAQAAZHJzL2Uyb0RvYy54bWxQSwUGAAAAAAYABgBZAQAAs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宋体" w:hAnsi="宋体" w:cs="宋体"/>
          <w:color w:val="auto"/>
          <w:sz w:val="24"/>
          <w:szCs w:val="24"/>
          <w:highlight w:val="none"/>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pPr>
        <w:spacing w:line="360" w:lineRule="auto"/>
        <w:ind w:right="-238"/>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90368" behindDoc="0" locked="0" layoutInCell="1" allowOverlap="1">
                <wp:simplePos x="0" y="0"/>
                <wp:positionH relativeFrom="column">
                  <wp:posOffset>-124460</wp:posOffset>
                </wp:positionH>
                <wp:positionV relativeFrom="paragraph">
                  <wp:posOffset>232410</wp:posOffset>
                </wp:positionV>
                <wp:extent cx="800100" cy="29718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8pt;margin-top:18.3pt;height:23.4pt;width:63pt;z-index:252090368;mso-width-relative:page;mso-height-relative:page;" filled="f" stroked="f" coordsize="21600,21600" o:gfxdata="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XbxXNcAAAAJAQAA&#10;DwAAAAAAAAABACAAAAAiAAAAZHJzL2Rvd25yZXYueG1sUEsBAhQAFAAAAAgAh07iQHec77caAgAA&#10;JAQAAA4AAAAAAAAAAQAgAAAAJg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宋体" w:hAnsi="宋体" w:cs="宋体"/>
          <w:b/>
          <w:bCs/>
          <w:color w:val="auto"/>
          <w:sz w:val="24"/>
          <w:szCs w:val="24"/>
          <w:highlight w:val="none"/>
        </w:rPr>
        <w:t xml:space="preserve">6.2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中无论何处涉及到各方之间的通讯都不应无理扣压或拖延。合同双方当事人应在专用条款中约定各方通讯地址和收件人，并按照约定期限内送达指定地点和接收人。收件人应在通讯回执上签署姓名和时间。一方当事人拒绝签收另一方当事人通讯，另一方当事人以特快专递、挂号信等专用条款约定的方式将通讯送至通讯地址的，视为送达。</w:t>
      </w:r>
    </w:p>
    <w:p>
      <w:pPr>
        <w:adjustRightInd w:val="0"/>
        <w:snapToGrid w:val="0"/>
        <w:spacing w:line="360" w:lineRule="auto"/>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color w:val="auto"/>
          <w:kern w:val="0"/>
          <w:sz w:val="24"/>
          <w:szCs w:val="24"/>
          <w:highlight w:val="none"/>
        </w:rPr>
      </w:pPr>
      <w:bookmarkStart w:id="506" w:name="_Toc22462"/>
      <w:bookmarkStart w:id="507" w:name="_Toc21779"/>
      <w:bookmarkStart w:id="508" w:name="_Toc469383986"/>
      <w:bookmarkStart w:id="509" w:name="_Toc2058898810"/>
      <w:bookmarkStart w:id="510" w:name="_Toc9113"/>
      <w:bookmarkStart w:id="511" w:name="_Toc14167"/>
      <w:bookmarkStart w:id="512" w:name="_Toc16892"/>
      <w:bookmarkStart w:id="513" w:name="_Toc26063"/>
      <w:bookmarkStart w:id="514" w:name="_Toc2024579486"/>
      <w:r>
        <w:rPr>
          <w:rFonts w:hint="eastAsia" w:ascii="宋体" w:hAnsi="宋体" w:cs="宋体"/>
          <w:color w:val="auto"/>
          <w:kern w:val="0"/>
          <w:sz w:val="24"/>
          <w:szCs w:val="24"/>
          <w:highlight w:val="none"/>
        </w:rPr>
        <w:t>7  工程分包</w:t>
      </w:r>
      <w:bookmarkEnd w:id="506"/>
      <w:bookmarkEnd w:id="507"/>
      <w:bookmarkEnd w:id="508"/>
      <w:bookmarkEnd w:id="509"/>
      <w:bookmarkEnd w:id="510"/>
      <w:bookmarkEnd w:id="511"/>
      <w:bookmarkEnd w:id="512"/>
      <w:bookmarkEnd w:id="513"/>
      <w:bookmarkEnd w:id="514"/>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414" name="文本框 414"/>
                <wp:cNvGraphicFramePr/>
                <a:graphic xmlns:a="http://schemas.openxmlformats.org/drawingml/2006/main">
                  <a:graphicData uri="http://schemas.microsoft.com/office/word/2010/wordprocessingShape">
                    <wps:wsp>
                      <wps:cNvSpPr txBox="1">
                        <a:spLocks noChangeArrowheads="1"/>
                      </wps:cNvSpPr>
                      <wps:spPr bwMode="auto">
                        <a:xfrm>
                          <a:off x="0" y="0"/>
                          <a:ext cx="1028700" cy="45021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7pt;height:35.45pt;width:81pt;z-index:251679744;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nQ7VdcAAAAK&#10;AQAADwAAAAAAAAABACAAAAAiAAAAZHJzL2Rvd25yZXYueG1sUEsBAhQAFAAAAAgAh07iQFBhkvsd&#10;AgAAJwQAAA4AAAAAAAAAAQAgAAAAJgEAAGRycy9lMm9Eb2MueG1sUEsFBgAAAAAGAAYAWQEAALU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宋体" w:hAnsi="宋体" w:cs="宋体"/>
          <w:b/>
          <w:bCs/>
          <w:color w:val="auto"/>
          <w:sz w:val="24"/>
          <w:szCs w:val="24"/>
          <w:highlight w:val="none"/>
        </w:rPr>
        <w:t xml:space="preserve">7.1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承包人应自己实施、完成合同工程的主体结构。承包人不得将其承包的全部工程或将其肢解后以分包的名义转包给第三方，也不得将合同工程主体结构、关键性工作分包给第三方。</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413" name="文本框 413"/>
                <wp:cNvGraphicFramePr/>
                <a:graphic xmlns:a="http://schemas.openxmlformats.org/drawingml/2006/main">
                  <a:graphicData uri="http://schemas.microsoft.com/office/word/2010/wordprocessingShape">
                    <wps:wsp>
                      <wps:cNvSpPr txBox="1">
                        <a:spLocks noChangeArrowheads="1"/>
                      </wps:cNvSpPr>
                      <wps:spPr bwMode="auto">
                        <a:xfrm>
                          <a:off x="0" y="0"/>
                          <a:ext cx="1028700" cy="7874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9.6pt;height:62pt;width:81pt;z-index:251680768;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OLUv1wAAAAoB&#10;AAAPAAAAAAAAAAEAIAAAACIAAABkcnMvZG93bnJldi54bWxQSwECFAAUAAAACACHTuJA/nAoMRwC&#10;AAAn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int="eastAsia" w:ascii="宋体" w:hAnsi="宋体" w:cs="宋体"/>
          <w:b/>
          <w:bCs/>
          <w:color w:val="auto"/>
          <w:sz w:val="24"/>
          <w:szCs w:val="24"/>
          <w:highlight w:val="none"/>
        </w:rPr>
        <w:t xml:space="preserve">7.2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承包人可依法将部分工程分包给具有相应分包资质的分包人，但未经发包人同意，承包人不得将工程的任何部分或任何工作分包给第三方。下列情况则属例外：</w:t>
      </w:r>
    </w:p>
    <w:p>
      <w:pPr>
        <w:numPr>
          <w:ilvl w:val="0"/>
          <w:numId w:val="8"/>
        </w:numPr>
        <w:adjustRightInd w:val="0"/>
        <w:snapToGrid w:val="0"/>
        <w:spacing w:line="360" w:lineRule="auto"/>
        <w:ind w:firstLine="540"/>
        <w:rPr>
          <w:rFonts w:ascii="宋体" w:hAnsi="宋体" w:cs="宋体"/>
          <w:color w:val="auto"/>
          <w:sz w:val="24"/>
          <w:szCs w:val="24"/>
          <w:highlight w:val="none"/>
        </w:rPr>
      </w:pPr>
      <w:r>
        <w:rPr>
          <w:rFonts w:hint="eastAsia" w:ascii="宋体" w:hAnsi="宋体" w:cs="宋体"/>
          <w:color w:val="auto"/>
          <w:sz w:val="24"/>
          <w:szCs w:val="24"/>
          <w:highlight w:val="none"/>
        </w:rPr>
        <w:t>施工劳务作业分包；</w:t>
      </w:r>
    </w:p>
    <w:p>
      <w:pPr>
        <w:numPr>
          <w:ilvl w:val="0"/>
          <w:numId w:val="8"/>
        </w:numPr>
        <w:adjustRightInd w:val="0"/>
        <w:snapToGrid w:val="0"/>
        <w:spacing w:line="360" w:lineRule="auto"/>
        <w:ind w:firstLine="540"/>
        <w:rPr>
          <w:rFonts w:ascii="宋体" w:hAnsi="宋体" w:cs="宋体"/>
          <w:color w:val="auto"/>
          <w:sz w:val="24"/>
          <w:szCs w:val="24"/>
          <w:highlight w:val="none"/>
        </w:rPr>
      </w:pPr>
      <w:r>
        <w:rPr>
          <w:rFonts w:hint="eastAsia" w:ascii="宋体" w:hAnsi="宋体" w:cs="宋体"/>
          <w:color w:val="auto"/>
          <w:sz w:val="24"/>
          <w:szCs w:val="24"/>
          <w:highlight w:val="none"/>
        </w:rPr>
        <w:t>按照合同约定的标准购买材料和工程设备；</w:t>
      </w:r>
    </w:p>
    <w:p>
      <w:pPr>
        <w:numPr>
          <w:ilvl w:val="0"/>
          <w:numId w:val="8"/>
        </w:numPr>
        <w:adjustRightInd w:val="0"/>
        <w:snapToGrid w:val="0"/>
        <w:spacing w:line="360" w:lineRule="auto"/>
        <w:ind w:left="1077" w:firstLine="539"/>
        <w:rPr>
          <w:rFonts w:ascii="宋体" w:hAnsi="宋体" w:cs="宋体"/>
          <w:color w:val="auto"/>
          <w:sz w:val="24"/>
          <w:szCs w:val="24"/>
          <w:highlight w:val="none"/>
        </w:rPr>
      </w:pPr>
      <w:r>
        <w:rPr>
          <w:rFonts w:hint="eastAsia" w:ascii="宋体" w:hAnsi="宋体" w:cs="宋体"/>
          <w:color w:val="auto"/>
          <w:sz w:val="24"/>
          <w:szCs w:val="24"/>
          <w:highlight w:val="none"/>
        </w:rPr>
        <w:t>合同中已指定的分包工程。</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412" name="文本框 412"/>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24.05pt;width:81pt;z-index:251681792;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iTfnDUAAAABwEA&#10;AA8AAAAAAAAAAQAgAAAAIgAAAGRycy9kb3ducmV2LnhtbFBLAQIUABQAAAAIAIdO4kCWeyTmHgIA&#10;ACcEAAAOAAAAAAAAAAEAIAAAACM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宋体" w:hAnsi="宋体" w:cs="宋体"/>
          <w:color w:val="auto"/>
          <w:sz w:val="24"/>
          <w:szCs w:val="24"/>
          <w:highlight w:val="none"/>
        </w:rPr>
        <w:t>承包人分包工程的，应与分包人签订分包合同，并在分包合同签订后的7天内向发包人和监理工程师、造价工程师各提交一份分包合同。承包人有义务禁止分包人将分包工程再次分包。</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411" name="文本框 411"/>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95pt;height:39pt;width:72pt;z-index:251682816;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IBXI9cAAAAKAQAA&#10;DwAAAAAAAAABACAAAAAiAAAAZHJzL2Rvd25yZXYueG1sUEsBAhQAFAAAAAgAh07iQDzpEucaAgAA&#10;JgQAAA4AAAAAAAAAAQAgAAAAJg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宋体" w:hAnsi="宋体" w:cs="宋体"/>
          <w:b/>
          <w:bCs/>
          <w:color w:val="auto"/>
          <w:sz w:val="24"/>
          <w:szCs w:val="24"/>
          <w:highlight w:val="none"/>
        </w:rPr>
        <w:t xml:space="preserve">7.4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410" name="文本框 41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15pt;height:39pt;width:72pt;z-index:251683840;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cPty1wAAAAoBAAAP&#10;AAAAAAAAAAEAIAAAACIAAABkcnMvZG93bnJldi54bWxQSwECFAAUAAAACACHTuJAuDal4xkCAAAm&#10;BAAADgAAAAAAAAABACAAAAAmAQAAZHJzL2Uyb0RvYy54bWxQSwUGAAAAAAYABgBZAQAAs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int="eastAsia" w:ascii="宋体" w:hAnsi="宋体" w:cs="宋体"/>
          <w:b/>
          <w:bCs/>
          <w:color w:val="auto"/>
          <w:sz w:val="24"/>
          <w:szCs w:val="24"/>
          <w:highlight w:val="none"/>
        </w:rPr>
        <w:t xml:space="preserve">7.5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工程分包不能免除承包人应承担的任何责任和应履行的任何义务。承包人应在分包场地派驻相应管理人员保证本合同的履行。</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分包人应对分包工程负责。分包人的任何违约行为或疏忽导致工程损坏、损害或给发包人造成损失的，承包人应承担连带责任。</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409" name="文本框 409"/>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05pt;height:22.05pt;width:72pt;z-index:251684864;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zHMrWAAAACQEA&#10;AA8AAAAAAAAAAQAgAAAAIgAAAGRycy9kb3ducmV2LnhtbFBLAQIUABQAAAAIAIdO4kD7quRyHAIA&#10;ACYEAAAOAAAAAAAAAAEAIAAAACU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宋体" w:hAnsi="宋体" w:cs="宋体"/>
          <w:b/>
          <w:bCs/>
          <w:color w:val="auto"/>
          <w:sz w:val="24"/>
          <w:szCs w:val="24"/>
          <w:highlight w:val="none"/>
        </w:rPr>
        <w:t xml:space="preserve">7.6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无论何种原因，当本合同终止时，分包人与承包人签订的分包合同也随即终止。承包人应在本合同终止前向分包人支付分包人应得所有款项。</w:t>
      </w:r>
    </w:p>
    <w:p>
      <w:pPr>
        <w:tabs>
          <w:tab w:val="left" w:pos="1260"/>
        </w:tabs>
        <w:adjustRightInd w:val="0"/>
        <w:snapToGrid w:val="0"/>
        <w:spacing w:before="156" w:beforeLines="50"/>
        <w:rPr>
          <w:rFonts w:ascii="宋体" w:hAnsi="宋体" w:cs="宋体"/>
          <w:b/>
          <w:bCs/>
          <w:color w:val="auto"/>
          <w:sz w:val="24"/>
          <w:szCs w:val="24"/>
          <w:highlight w:val="none"/>
        </w:rPr>
      </w:pPr>
    </w:p>
    <w:p>
      <w:pPr>
        <w:widowControl/>
        <w:tabs>
          <w:tab w:val="left" w:pos="420"/>
        </w:tabs>
        <w:spacing w:before="100" w:beforeAutospacing="1" w:after="100" w:afterAutospacing="1"/>
        <w:jc w:val="left"/>
        <w:outlineLvl w:val="2"/>
        <w:rPr>
          <w:rFonts w:ascii="宋体" w:hAnsi="宋体" w:cs="宋体"/>
          <w:color w:val="auto"/>
          <w:kern w:val="0"/>
          <w:sz w:val="24"/>
          <w:szCs w:val="24"/>
          <w:highlight w:val="none"/>
        </w:rPr>
      </w:pPr>
      <w:bookmarkStart w:id="515" w:name="_Toc19047"/>
      <w:bookmarkStart w:id="516" w:name="_Toc469383987"/>
      <w:bookmarkStart w:id="517" w:name="_Toc1128"/>
      <w:bookmarkStart w:id="518" w:name="_Toc12358"/>
      <w:bookmarkStart w:id="519" w:name="_Toc1508295559"/>
      <w:bookmarkStart w:id="520" w:name="_Toc16250"/>
      <w:bookmarkStart w:id="521" w:name="_Toc2884"/>
      <w:bookmarkStart w:id="522" w:name="_Toc229034487"/>
      <w:bookmarkStart w:id="523" w:name="_Toc12473"/>
      <w:r>
        <w:rPr>
          <w:rFonts w:hint="eastAsia" w:ascii="宋体" w:hAnsi="宋体" w:cs="宋体"/>
          <w:color w:val="auto"/>
          <w:kern w:val="0"/>
          <w:sz w:val="24"/>
          <w:szCs w:val="24"/>
          <w:highlight w:val="none"/>
        </w:rPr>
        <w:t>8  现场查勘</w:t>
      </w:r>
      <w:bookmarkEnd w:id="515"/>
      <w:bookmarkEnd w:id="516"/>
      <w:bookmarkEnd w:id="517"/>
      <w:bookmarkEnd w:id="518"/>
      <w:bookmarkEnd w:id="519"/>
      <w:bookmarkEnd w:id="520"/>
      <w:bookmarkEnd w:id="521"/>
      <w:bookmarkEnd w:id="522"/>
      <w:bookmarkEnd w:id="523"/>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408" name="文本框 40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65pt;height:39pt;width:72pt;z-index:251685888;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qBJj9gAAAAKAQAA&#10;DwAAAAAAAAABACAAAAAiAAAAZHJzL2Rvd25yZXYueG1sUEsBAhQAFAAAAAgAh07iQH46yiwZAgAA&#10;JgQAAA4AAAAAAAAAAQAgAAAAJwEAAGRycy9lMm9Eb2MueG1sUEsFBgAAAAAGAAYAWQEAALIFAAAA&#10;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宋体" w:hAnsi="宋体" w:cs="宋体"/>
          <w:b/>
          <w:bCs/>
          <w:color w:val="auto"/>
          <w:sz w:val="24"/>
          <w:szCs w:val="24"/>
          <w:highlight w:val="none"/>
        </w:rPr>
        <w:t xml:space="preserve">8.1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发包人应按照第19.2款第（4）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407" name="文本框 407"/>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9.4pt;width:72pt;z-index:251686912;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pilH1AAAAAcBAAAP&#10;AAAAAAAAAAEAIAAAACIAAABkcnMvZG93bnJldi54bWxQSwECFAAUAAAACACHTuJA4IkNgxwCAAAm&#10;BAAADgAAAAAAAAABACAAAAAjAQAAZHJzL2Uyb0RvYy54bWxQSwUGAAAAAAYABgBZAQAAs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宋体" w:hAnsi="宋体" w:cs="宋体"/>
          <w:color w:val="auto"/>
          <w:sz w:val="24"/>
          <w:szCs w:val="24"/>
          <w:highlight w:val="none"/>
        </w:rPr>
        <w:t>承包人应依据发包人按照第19.2款第（4）点规定提供的资料和自己对现场查勘来编制投标文件，并对发包人提供上述资料的理解、推断和应用负责。因承包人未能充分查勘、了解以下情况或未能充分估计以下情况所可能产生后果的，承包人承担由此增加的费用和（或）延误的工期。承包人的投标文件应被认为已经考虑了现场及其周围环境的影响，包括但不限于以下内容：</w:t>
      </w:r>
    </w:p>
    <w:p>
      <w:pPr>
        <w:adjustRightInd w:val="0"/>
        <w:snapToGrid w:val="0"/>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（1）现场地质情况及地形地貌特征；</w:t>
      </w:r>
    </w:p>
    <w:p>
      <w:pPr>
        <w:adjustRightInd w:val="0"/>
        <w:snapToGrid w:val="0"/>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（2）水文和气候条件；</w:t>
      </w:r>
    </w:p>
    <w:p>
      <w:pPr>
        <w:adjustRightInd w:val="0"/>
        <w:snapToGrid w:val="0"/>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（3）为实施、完成并保修合同工程所需的临时工程和措施项目；</w:t>
      </w:r>
    </w:p>
    <w:p>
      <w:pPr>
        <w:tabs>
          <w:tab w:val="left" w:pos="2580"/>
        </w:tabs>
        <w:adjustRightInd w:val="0"/>
        <w:snapToGrid w:val="0"/>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（4）为实施、完成并保修合同工程所需的材料采购和加工、设备的采购，及所需的施工设备、周转性材料、人员和管理等；</w:t>
      </w:r>
    </w:p>
    <w:p>
      <w:pPr>
        <w:adjustRightInd w:val="0"/>
        <w:snapToGrid w:val="0"/>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（5）场地内外的交通情况及水、电、食宿供应条件；</w:t>
      </w:r>
    </w:p>
    <w:p>
      <w:pPr>
        <w:adjustRightInd w:val="0"/>
        <w:snapToGrid w:val="0"/>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（6）可能对投标报价有影响或起作用的其他情况。</w:t>
      </w:r>
    </w:p>
    <w:p>
      <w:pPr>
        <w:adjustRightInd w:val="0"/>
        <w:snapToGrid w:val="0"/>
        <w:ind w:right="-238"/>
        <w:rPr>
          <w:rFonts w:ascii="宋体" w:hAnsi="宋体" w:cs="宋体"/>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color w:val="auto"/>
          <w:kern w:val="0"/>
          <w:sz w:val="24"/>
          <w:szCs w:val="24"/>
          <w:highlight w:val="none"/>
        </w:rPr>
      </w:pPr>
      <w:bookmarkStart w:id="524" w:name="_Toc17890"/>
      <w:bookmarkStart w:id="525" w:name="_Toc1026490925"/>
      <w:bookmarkStart w:id="526" w:name="_Toc5566"/>
      <w:bookmarkStart w:id="527" w:name="_Toc19041"/>
      <w:bookmarkStart w:id="528" w:name="_Toc1091927585"/>
      <w:bookmarkStart w:id="529" w:name="_Toc30798"/>
      <w:bookmarkStart w:id="530" w:name="_Toc29869"/>
      <w:bookmarkStart w:id="531" w:name="_Toc17653"/>
      <w:bookmarkStart w:id="532" w:name="_Toc469383988"/>
      <w:r>
        <w:rPr>
          <w:rFonts w:hint="eastAsia" w:ascii="宋体" w:hAnsi="宋体" w:cs="宋体"/>
          <w:color w:val="auto"/>
          <w:kern w:val="0"/>
          <w:sz w:val="24"/>
          <w:szCs w:val="24"/>
          <w:highlight w:val="none"/>
        </w:rPr>
        <w:t>9  招标错失的修正</w:t>
      </w:r>
      <w:bookmarkEnd w:id="524"/>
      <w:bookmarkEnd w:id="525"/>
      <w:bookmarkEnd w:id="526"/>
      <w:bookmarkEnd w:id="527"/>
      <w:bookmarkEnd w:id="528"/>
      <w:bookmarkEnd w:id="529"/>
      <w:bookmarkEnd w:id="530"/>
      <w:bookmarkEnd w:id="531"/>
      <w:bookmarkEnd w:id="532"/>
    </w:p>
    <w:p>
      <w:pPr>
        <w:adjustRightInd w:val="0"/>
        <w:snapToGrid w:val="0"/>
        <w:spacing w:before="312" w:beforeLines="100"/>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7936"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406" name="文本框 406"/>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pStyle w:val="21"/>
                              <w:tabs>
                                <w:tab w:val="left" w:pos="2160"/>
                              </w:tabs>
                              <w:spacing w:before="249"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合同条款及格式完备性和义务</w:t>
                            </w: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pt;margin-top:31.35pt;height:62.4pt;width:72pt;z-index:251687936;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w6qA1wAAAAkB&#10;AAAPAAAAAAAAAAEAIAAAACIAAABkcnMvZG93bnJldi54bWxQSwECFAAUAAAACACHTuJAIJorKhwC&#10;AAAmBAAADgAAAAAAAAABACAAAAAmAQAAZHJzL2Uyb0RvYy54bWxQSwUGAAAAAAYABgBZAQAAtAUA&#10;AAAA&#10;">
                <v:fill on="f" focussize="0,0"/>
                <v:stroke on="f"/>
                <v:imagedata o:title=""/>
                <o:lock v:ext="edit" aspectratio="f"/>
                <v:textbox>
                  <w:txbxContent>
                    <w:p>
                      <w:pPr>
                        <w:pStyle w:val="21"/>
                        <w:tabs>
                          <w:tab w:val="left" w:pos="2160"/>
                        </w:tabs>
                        <w:spacing w:before="249"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合同条款及格式完备性和义务</w:t>
                      </w:r>
                    </w:p>
                    <w:p>
                      <w:pPr>
                        <w:rPr>
                          <w:sz w:val="18"/>
                          <w:szCs w:val="18"/>
                        </w:rPr>
                      </w:pPr>
                    </w:p>
                  </w:txbxContent>
                </v:textbox>
              </v:shape>
            </w:pict>
          </mc:Fallback>
        </mc:AlternateContent>
      </w:r>
      <w:r>
        <w:rPr>
          <w:rFonts w:hint="eastAsia" w:ascii="宋体" w:hAnsi="宋体" w:cs="宋体"/>
          <w:b/>
          <w:bCs/>
          <w:color w:val="auto"/>
          <w:sz w:val="24"/>
          <w:szCs w:val="24"/>
          <w:highlight w:val="none"/>
        </w:rPr>
        <w:t xml:space="preserve">9.1  </w:t>
      </w:r>
    </w:p>
    <w:p>
      <w:pPr>
        <w:tabs>
          <w:tab w:val="left" w:pos="1980"/>
        </w:tabs>
        <w:spacing w:before="249" w:beforeLines="80"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发包人招标文件中的合同条款及格式，应被认为是正确的和公平的，并已包括了发包人履行本合同的全部义务，包括但不限于以下内容：</w:t>
      </w:r>
    </w:p>
    <w:p>
      <w:pPr>
        <w:tabs>
          <w:tab w:val="left" w:pos="2160"/>
        </w:tabs>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（1）支付工程款及其他应付款项的义务；</w:t>
      </w:r>
    </w:p>
    <w:p>
      <w:pPr>
        <w:tabs>
          <w:tab w:val="left" w:pos="2160"/>
        </w:tabs>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（2）完成本合同第19.2款约定工作的义务；</w:t>
      </w:r>
    </w:p>
    <w:p>
      <w:pPr>
        <w:tabs>
          <w:tab w:val="left" w:pos="2160"/>
        </w:tabs>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（3）修正不正确合同条款及格式的义务；</w:t>
      </w:r>
    </w:p>
    <w:p>
      <w:pPr>
        <w:tabs>
          <w:tab w:val="left" w:pos="2160"/>
        </w:tabs>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（4）澄清并改正被认定有失公平的合同条款的义务；</w:t>
      </w:r>
    </w:p>
    <w:p>
      <w:pPr>
        <w:tabs>
          <w:tab w:val="left" w:pos="2160"/>
        </w:tabs>
        <w:spacing w:line="360" w:lineRule="auto"/>
        <w:ind w:left="1680" w:leftChars="800"/>
        <w:rPr>
          <w:rFonts w:ascii="宋体" w:hAnsi="宋体" w:cs="宋体"/>
          <w:b/>
          <w:bCs/>
          <w:color w:val="auto"/>
          <w:sz w:val="24"/>
          <w:szCs w:val="24"/>
          <w:highlight w:val="none"/>
        </w:rPr>
      </w:pPr>
      <w:r>
        <w:rPr>
          <w:rFonts w:hint="eastAsia" w:ascii="宋体" w:hAnsi="宋体" w:cs="宋体"/>
          <w:color w:val="auto"/>
          <w:sz w:val="24"/>
          <w:szCs w:val="24"/>
          <w:highlight w:val="none"/>
        </w:rPr>
        <w:t>（5）协助承包人实施、完成并保修合同工程的义务。</w:t>
      </w:r>
    </w:p>
    <w:p>
      <w:pPr>
        <w:tabs>
          <w:tab w:val="left" w:pos="2160"/>
        </w:tabs>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8960"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405" name="文本框 405"/>
                <wp:cNvGraphicFramePr/>
                <a:graphic xmlns:a="http://schemas.openxmlformats.org/drawingml/2006/main">
                  <a:graphicData uri="http://schemas.microsoft.com/office/word/2010/wordprocessingShape">
                    <wps:wsp>
                      <wps:cNvSpPr txBox="1">
                        <a:spLocks noChangeArrowheads="1"/>
                      </wps:cNvSpPr>
                      <wps:spPr bwMode="auto">
                        <a:xfrm>
                          <a:off x="0" y="0"/>
                          <a:ext cx="914400" cy="829310"/>
                        </a:xfrm>
                        <a:prstGeom prst="rect">
                          <a:avLst/>
                        </a:prstGeom>
                        <a:noFill/>
                        <a:ln>
                          <a:noFill/>
                        </a:ln>
                        <a:effectLst/>
                      </wps:spPr>
                      <wps:txbx>
                        <w:txbxContent>
                          <w:p>
                            <w:pPr>
                              <w:pStyle w:val="21"/>
                              <w:tabs>
                                <w:tab w:val="left" w:pos="2160"/>
                              </w:tabs>
                              <w:spacing w:before="249"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工程量清单准确性和修正</w:t>
                            </w: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5pt;margin-top:14.75pt;height:65.3pt;width:72pt;z-index:251688960;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4ztrdUAAAAIAQAA&#10;DwAAAAAAAAABACAAAAAiAAAAZHJzL2Rvd25yZXYueG1sUEsBAhQAFAAAAAgAh07iQJh0jTEcAgAA&#10;JgQAAA4AAAAAAAAAAQAgAAAAJAEAAGRycy9lMm9Eb2MueG1sUEsFBgAAAAAGAAYAWQEAALIFAAAA&#10;AA==&#10;">
                <v:fill on="f" focussize="0,0"/>
                <v:stroke on="f"/>
                <v:imagedata o:title=""/>
                <o:lock v:ext="edit" aspectratio="f"/>
                <v:textbox>
                  <w:txbxContent>
                    <w:p>
                      <w:pPr>
                        <w:pStyle w:val="21"/>
                        <w:tabs>
                          <w:tab w:val="left" w:pos="2160"/>
                        </w:tabs>
                        <w:spacing w:before="249"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工程量清单准确性和修正</w:t>
                      </w:r>
                    </w:p>
                    <w:p>
                      <w:pPr>
                        <w:rPr>
                          <w:sz w:val="18"/>
                          <w:szCs w:val="18"/>
                        </w:rPr>
                      </w:pPr>
                    </w:p>
                  </w:txbxContent>
                </v:textbox>
              </v:shape>
            </w:pict>
          </mc:Fallback>
        </mc:AlternateContent>
      </w:r>
      <w:r>
        <w:rPr>
          <w:rFonts w:hint="eastAsia" w:ascii="宋体" w:hAnsi="宋体" w:cs="宋体"/>
          <w:b/>
          <w:bCs/>
          <w:color w:val="auto"/>
          <w:sz w:val="24"/>
          <w:szCs w:val="24"/>
          <w:highlight w:val="none"/>
        </w:rPr>
        <w:t xml:space="preserve">9.2  </w:t>
      </w:r>
    </w:p>
    <w:p>
      <w:pPr>
        <w:tabs>
          <w:tab w:val="left" w:pos="2160"/>
        </w:tabs>
        <w:spacing w:line="360" w:lineRule="auto"/>
        <w:ind w:left="1799" w:leftChars="828" w:hanging="60" w:hangingChars="25"/>
        <w:rPr>
          <w:rFonts w:ascii="宋体" w:hAnsi="宋体" w:cs="宋体"/>
          <w:color w:val="auto"/>
          <w:sz w:val="24"/>
          <w:szCs w:val="24"/>
          <w:highlight w:val="none"/>
        </w:rPr>
      </w:pPr>
      <w:r>
        <w:rPr>
          <w:rFonts w:hint="eastAsia" w:ascii="宋体" w:hAnsi="宋体" w:cs="宋体"/>
          <w:color w:val="auto"/>
          <w:sz w:val="24"/>
          <w:szCs w:val="24"/>
          <w:highlight w:val="none"/>
        </w:rPr>
        <w:t>发包人招标文件提供的工程量清单及其招标控制价等资料，应被认为是准确的和完整的。当出现下列情形之一的，发包人应及时予以修正，并相应调整合同价款：</w:t>
      </w:r>
    </w:p>
    <w:p>
      <w:pPr>
        <w:tabs>
          <w:tab w:val="left" w:pos="2160"/>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（1）施工设计图纸发生变化的；</w:t>
      </w:r>
    </w:p>
    <w:p>
      <w:pPr>
        <w:tabs>
          <w:tab w:val="left" w:pos="2160"/>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（2）出现第</w:t>
      </w:r>
      <w:r>
        <w:rPr>
          <w:rFonts w:hint="eastAsia" w:ascii="宋体" w:hAnsi="宋体" w:cs="宋体"/>
          <w:color w:val="auto"/>
          <w:sz w:val="24"/>
          <w:szCs w:val="24"/>
          <w:highlight w:val="none"/>
          <w:lang w:val="en-US" w:eastAsia="zh-CN"/>
        </w:rPr>
        <w:t>68.3</w:t>
      </w:r>
      <w:r>
        <w:rPr>
          <w:rFonts w:hint="eastAsia" w:ascii="宋体" w:hAnsi="宋体" w:cs="宋体"/>
          <w:color w:val="auto"/>
          <w:sz w:val="24"/>
          <w:szCs w:val="24"/>
          <w:highlight w:val="none"/>
        </w:rPr>
        <w:t>款规定调整合同价款事件的；</w:t>
      </w:r>
    </w:p>
    <w:p>
      <w:pPr>
        <w:tabs>
          <w:tab w:val="left" w:pos="2160"/>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（3）未按照国家、省有关计价规定编制的其它情形。</w:t>
      </w:r>
    </w:p>
    <w:p>
      <w:pPr>
        <w:tabs>
          <w:tab w:val="left" w:pos="2160"/>
        </w:tabs>
        <w:spacing w:line="360" w:lineRule="auto"/>
        <w:ind w:firstLine="1478" w:firstLineChars="616"/>
        <w:rPr>
          <w:rFonts w:ascii="宋体" w:hAnsi="宋体" w:cs="宋体"/>
          <w:color w:val="auto"/>
          <w:sz w:val="24"/>
          <w:szCs w:val="24"/>
          <w:highlight w:val="none"/>
        </w:rPr>
      </w:pPr>
      <w:r>
        <w:rPr>
          <w:rFonts w:hint="eastAsia" w:ascii="宋体" w:hAnsi="宋体" w:cs="宋体"/>
          <w:color w:val="auto"/>
          <w:sz w:val="24"/>
          <w:szCs w:val="24"/>
          <w:highlight w:val="none"/>
        </w:rPr>
        <w:t>（4）工程量清单存在缺项、漏项的；</w:t>
      </w:r>
    </w:p>
    <w:p>
      <w:pPr>
        <w:adjustRightInd w:val="0"/>
        <w:snapToGrid w:val="0"/>
        <w:ind w:right="-238"/>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color w:val="auto"/>
          <w:kern w:val="0"/>
          <w:sz w:val="24"/>
          <w:szCs w:val="24"/>
          <w:highlight w:val="none"/>
        </w:rPr>
      </w:pPr>
      <w:bookmarkStart w:id="533" w:name="_Toc1050"/>
      <w:bookmarkStart w:id="534" w:name="_Toc32241"/>
      <w:bookmarkStart w:id="535" w:name="_Toc1496840124"/>
      <w:bookmarkStart w:id="536" w:name="_Toc2220"/>
      <w:bookmarkStart w:id="537" w:name="_Toc469383989"/>
      <w:bookmarkStart w:id="538" w:name="_Toc21277"/>
      <w:bookmarkStart w:id="539" w:name="_Toc412"/>
      <w:bookmarkStart w:id="540" w:name="_Toc17039"/>
      <w:bookmarkStart w:id="541" w:name="_Toc1779157480"/>
      <w:r>
        <w:rPr>
          <w:rFonts w:hint="eastAsia" w:ascii="宋体" w:hAnsi="宋体" w:cs="宋体"/>
          <w:color w:val="auto"/>
          <w:kern w:val="0"/>
          <w:sz w:val="24"/>
          <w:szCs w:val="24"/>
          <w:highlight w:val="none"/>
        </w:rPr>
        <w:t>10  投标文件的完备性</w:t>
      </w:r>
      <w:bookmarkEnd w:id="533"/>
      <w:bookmarkEnd w:id="534"/>
      <w:bookmarkEnd w:id="535"/>
      <w:bookmarkEnd w:id="536"/>
      <w:bookmarkEnd w:id="537"/>
      <w:bookmarkEnd w:id="538"/>
      <w:bookmarkEnd w:id="539"/>
      <w:bookmarkEnd w:id="540"/>
      <w:bookmarkEnd w:id="541"/>
    </w:p>
    <w:p>
      <w:pPr>
        <w:tabs>
          <w:tab w:val="left" w:pos="1410"/>
        </w:tabs>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404" name="文本框 404"/>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a:effectLst/>
                      </wps:spPr>
                      <wps:txbx>
                        <w:txbxContent>
                          <w:p>
                            <w:pPr>
                              <w:pStyle w:val="21"/>
                              <w:tabs>
                                <w:tab w:val="left" w:pos="2160"/>
                              </w:tabs>
                              <w:spacing w:before="249"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7.25pt;height:64pt;width:72pt;z-index:251689984;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bjyhrWAAAACgEAAA8A&#10;AAAAAAAAAQAgAAAAIgAAAGRycy9kb3ducmV2LnhtbFBLAQIUABQAAAAIAIdO4kD4IPCCGQIAACYE&#10;AAAOAAAAAAAAAAEAIAAAACUBAABkcnMvZTJvRG9jLnhtbFBLBQYAAAAABgAGAFkBAACwBQAAAAA=&#10;">
                <v:fill on="f" focussize="0,0"/>
                <v:stroke on="f"/>
                <v:imagedata o:title=""/>
                <o:lock v:ext="edit" aspectratio="f"/>
                <v:textbox>
                  <w:txbxContent>
                    <w:p>
                      <w:pPr>
                        <w:pStyle w:val="21"/>
                        <w:tabs>
                          <w:tab w:val="left" w:pos="2160"/>
                        </w:tabs>
                        <w:spacing w:before="249"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hint="eastAsia" w:ascii="宋体" w:hAnsi="宋体" w:cs="宋体"/>
          <w:b/>
          <w:bCs/>
          <w:color w:val="auto"/>
          <w:sz w:val="24"/>
          <w:szCs w:val="24"/>
          <w:highlight w:val="none"/>
        </w:rPr>
        <w:t xml:space="preserve">10.1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承包人投标文件中的工程量清单所填单价和合价，应被认为是正确的和完备的，并已包括了承包人履行本合同的全部义务，包括但不限于以下内容：</w:t>
      </w:r>
    </w:p>
    <w:p>
      <w:pPr>
        <w:adjustRightInd w:val="0"/>
        <w:snapToGrid w:val="0"/>
        <w:spacing w:line="360" w:lineRule="auto"/>
        <w:ind w:right="-240"/>
        <w:rPr>
          <w:rFonts w:ascii="宋体" w:hAnsi="宋体" w:cs="宋体"/>
          <w:color w:val="auto"/>
          <w:sz w:val="24"/>
          <w:szCs w:val="24"/>
          <w:highlight w:val="none"/>
        </w:rPr>
      </w:pPr>
      <w:r>
        <w:rPr>
          <w:rFonts w:hint="eastAsia" w:ascii="宋体" w:hAnsi="宋体" w:cs="宋体"/>
          <w:color w:val="auto"/>
          <w:sz w:val="24"/>
          <w:szCs w:val="24"/>
          <w:highlight w:val="none"/>
        </w:rPr>
        <w:t xml:space="preserve">            （1）提供材料和工程设备、服务的义务及处理意外事件的义务；</w:t>
      </w:r>
    </w:p>
    <w:p>
      <w:pPr>
        <w:adjustRightInd w:val="0"/>
        <w:snapToGrid w:val="0"/>
        <w:spacing w:line="360" w:lineRule="auto"/>
        <w:ind w:right="-240"/>
        <w:rPr>
          <w:rFonts w:ascii="宋体" w:hAnsi="宋体" w:cs="宋体"/>
          <w:color w:val="auto"/>
          <w:sz w:val="24"/>
          <w:szCs w:val="24"/>
          <w:highlight w:val="none"/>
        </w:rPr>
      </w:pPr>
      <w:r>
        <w:rPr>
          <w:rFonts w:hint="eastAsia" w:ascii="宋体" w:hAnsi="宋体" w:cs="宋体"/>
          <w:color w:val="auto"/>
          <w:sz w:val="24"/>
          <w:szCs w:val="24"/>
          <w:highlight w:val="none"/>
        </w:rPr>
        <w:t xml:space="preserve">            （2）实施和完成合同工程的义务；</w:t>
      </w:r>
    </w:p>
    <w:p>
      <w:pPr>
        <w:adjustRightInd w:val="0"/>
        <w:snapToGrid w:val="0"/>
        <w:spacing w:line="360" w:lineRule="auto"/>
        <w:ind w:right="-240"/>
        <w:rPr>
          <w:rFonts w:ascii="宋体" w:hAnsi="宋体" w:cs="宋体"/>
          <w:color w:val="auto"/>
          <w:sz w:val="24"/>
          <w:szCs w:val="24"/>
          <w:highlight w:val="none"/>
        </w:rPr>
      </w:pPr>
      <w:r>
        <w:rPr>
          <w:rFonts w:hint="eastAsia" w:ascii="宋体" w:hAnsi="宋体" w:cs="宋体"/>
          <w:color w:val="auto"/>
          <w:sz w:val="24"/>
          <w:szCs w:val="24"/>
          <w:highlight w:val="none"/>
        </w:rPr>
        <w:t xml:space="preserve">            （3）工程质量保修的一切义务。</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10.2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403" name="文本框 403"/>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5.85pt;width:72pt;z-index:251691008;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v4xD1QAAAAgBAAAP&#10;AAAAAAAAAAEAIAAAACIAAABkcnMvZG93bnJldi54bWxQSwECFAAUAAAACACHTuJAyjSRdhsCAAAm&#10;BAAADgAAAAAAAAABACAAAAAkAQAAZHJzL2Uyb0RvYy54bWxQSwUGAAAAAAYABgBZAQAAs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宋体" w:hAnsi="宋体" w:cs="宋体"/>
          <w:color w:val="auto"/>
          <w:sz w:val="24"/>
          <w:szCs w:val="24"/>
          <w:highlight w:val="none"/>
        </w:rPr>
        <w:t>承包人投标文件中的工程量清单中没有填入单价或合价的清单项目，应认为该项目价款已包含在工程量清单的其他项目的单价或合价中，发包人将不另行支付。</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10.3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402" name="文本框 402"/>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5.85pt;width:72pt;z-index:251692032;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v4xD1QAAAAgBAAAP&#10;AAAAAAAAAAEAIAAAACIAAABkcnMvZG93bnJldi54bWxQSwECFAAUAAAACACHTuJATusmchsCAAAm&#10;BAAADgAAAAAAAAABACAAAAAkAQAAZHJzL2Uyb0RvYy54bWxQSwUGAAAAAAYABgBZAQAAs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宋体" w:hAnsi="宋体" w:cs="宋体"/>
          <w:color w:val="auto"/>
          <w:sz w:val="24"/>
          <w:szCs w:val="24"/>
          <w:highlight w:val="none"/>
        </w:rPr>
        <w:t>承包人投标文件中出现算术性错误，导致其实际总造价与报价总金额不一致时，合同双方当事人可按照国家、省有关规定予以修正，并相应调整合同价款。</w:t>
      </w:r>
    </w:p>
    <w:p>
      <w:pPr>
        <w:adjustRightInd w:val="0"/>
        <w:snapToGrid w:val="0"/>
        <w:ind w:left="1626" w:leftChars="1" w:hanging="1624" w:hangingChars="674"/>
        <w:rPr>
          <w:rFonts w:ascii="宋体" w:hAnsi="宋体" w:cs="宋体"/>
          <w:b/>
          <w:bCs/>
          <w:color w:val="auto"/>
          <w:sz w:val="24"/>
          <w:szCs w:val="24"/>
          <w:highlight w:val="none"/>
        </w:rPr>
      </w:pPr>
    </w:p>
    <w:p>
      <w:pPr>
        <w:adjustRightInd w:val="0"/>
        <w:snapToGrid w:val="0"/>
        <w:spacing w:before="312" w:beforeLines="100" w:line="240" w:lineRule="exact"/>
        <w:ind w:firstLine="601"/>
        <w:rPr>
          <w:rFonts w:ascii="宋体" w:hAnsi="宋体" w:cs="宋体"/>
          <w:b/>
          <w:bCs/>
          <w:color w:val="auto"/>
          <w:sz w:val="24"/>
          <w:szCs w:val="24"/>
          <w:highlight w:val="none"/>
        </w:rPr>
      </w:pPr>
    </w:p>
    <w:p>
      <w:pPr>
        <w:adjustRightInd w:val="0"/>
        <w:snapToGrid w:val="0"/>
        <w:spacing w:before="312" w:beforeLines="100" w:line="360" w:lineRule="auto"/>
        <w:outlineLvl w:val="2"/>
        <w:rPr>
          <w:rFonts w:ascii="宋体" w:hAnsi="宋体" w:cs="宋体"/>
          <w:b/>
          <w:bCs/>
          <w:color w:val="auto"/>
          <w:sz w:val="24"/>
          <w:szCs w:val="24"/>
          <w:highlight w:val="none"/>
        </w:rPr>
      </w:pPr>
      <w:bookmarkStart w:id="542" w:name="_Toc737465532"/>
      <w:bookmarkStart w:id="543" w:name="_Toc1768523110"/>
      <w:bookmarkStart w:id="544" w:name="_Toc18632"/>
      <w:bookmarkStart w:id="545" w:name="_Toc6897"/>
      <w:bookmarkStart w:id="546" w:name="_Toc8753"/>
      <w:bookmarkStart w:id="547" w:name="_Toc2623"/>
      <w:bookmarkStart w:id="548" w:name="_Toc18152"/>
      <w:bookmarkStart w:id="549" w:name="_Toc469383990"/>
      <w:bookmarkStart w:id="550" w:name="_Toc8009"/>
      <w:r>
        <w:rPr>
          <w:rFonts w:hint="eastAsia" w:ascii="宋体" w:hAnsi="宋体" w:cs="宋体"/>
          <w:b/>
          <w:bCs/>
          <w:color w:val="auto"/>
          <w:sz w:val="24"/>
          <w:szCs w:val="24"/>
          <w:highlight w:val="none"/>
        </w:rPr>
        <w:t>11  文物和地下障碍物</w:t>
      </w:r>
      <w:bookmarkEnd w:id="542"/>
      <w:bookmarkEnd w:id="543"/>
      <w:bookmarkEnd w:id="544"/>
      <w:bookmarkEnd w:id="545"/>
      <w:bookmarkEnd w:id="546"/>
      <w:bookmarkEnd w:id="547"/>
      <w:bookmarkEnd w:id="548"/>
      <w:bookmarkEnd w:id="549"/>
      <w:bookmarkEnd w:id="550"/>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11.1  </w:t>
      </w:r>
    </w:p>
    <w:p>
      <w:pPr>
        <w:adjustRightInd w:val="0"/>
        <w:snapToGrid w:val="0"/>
        <w:spacing w:line="360" w:lineRule="auto"/>
        <w:ind w:left="1619" w:leftChars="771"/>
        <w:rPr>
          <w:rFonts w:hint="eastAsia" w:ascii="宋体" w:hAnsi="宋体" w:eastAsia="宋体" w:cs="宋体"/>
          <w:color w:val="auto"/>
          <w:sz w:val="24"/>
          <w:szCs w:val="24"/>
          <w:highlight w:val="none"/>
          <w:lang w:eastAsia="zh-CN"/>
        </w:rPr>
      </w:pPr>
      <w:r>
        <w:rPr>
          <w:rFonts w:hint="eastAsia" w:ascii="宋体" w:hAnsi="宋体" w:cs="宋体"/>
          <w:color w:val="auto"/>
          <w:szCs w:val="20"/>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401" name="文本框 401"/>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9pt;width:72pt;z-index:251693056;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Ye621gAAAAkBAAAP&#10;AAAAAAAAAAEAIAAAACIAAABkcnMvZG93bnJldi54bWxQSwECFAAUAAAACACHTuJA2hnDDRoCAAAm&#10;BAAADgAAAAAAAAABACAAAAAlAQAAZHJzL2Uyb0RvYy54bWxQSwUGAAAAAAYABgBZAQAAs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宋体" w:hAnsi="宋体" w:cs="宋体"/>
          <w:color w:val="auto"/>
          <w:sz w:val="24"/>
          <w:szCs w:val="24"/>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发包人承担由此增加的费用和（或）工期延误，并向承包人支付合理利润。</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如发现文物后隐瞒不报或报告不及时，导致上述文物丢失或遭受破坏的，由责任方赔偿损失，并承担相应的法律责任。</w:t>
      </w:r>
    </w:p>
    <w:p>
      <w:pPr>
        <w:adjustRightInd w:val="0"/>
        <w:snapToGrid w:val="0"/>
        <w:spacing w:line="360" w:lineRule="auto"/>
        <w:rPr>
          <w:rFonts w:ascii="宋体" w:hAnsi="宋体" w:cs="宋体"/>
          <w:b/>
          <w:bCs/>
          <w:color w:val="auto"/>
          <w:sz w:val="24"/>
          <w:szCs w:val="24"/>
          <w:highlight w:val="none"/>
        </w:rPr>
      </w:pPr>
    </w:p>
    <w:p>
      <w:pPr>
        <w:adjustRightInd w:val="0"/>
        <w:snapToGrid w:val="0"/>
        <w:spacing w:line="48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400" name="文本框 40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35pt;height:39pt;width:72pt;z-index:251694080;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z2d4NgAAAAKAQAA&#10;DwAAAAAAAAABACAAAAAiAAAAZHJzL2Rvd25yZXYueG1sUEsBAhQAFAAAAAgAh07iQF7GdAkZAgAA&#10;JgQAAA4AAAAAAAAAAQAgAAAAJwEAAGRycy9lMm9Eb2MueG1sUEsFBgAAAAAGAAYAWQEAALIFAAAA&#10;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宋体" w:hAnsi="宋体" w:cs="宋体"/>
          <w:b/>
          <w:bCs/>
          <w:color w:val="auto"/>
          <w:sz w:val="24"/>
          <w:szCs w:val="24"/>
          <w:highlight w:val="none"/>
        </w:rPr>
        <w:t xml:space="preserve">11.2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本合同已明确指出的地下障碍物（发包人招标文件提供的工程量清单有列明或提供的地质资料已明确反映的），应视为承包人在投标报价时已预见其对施工的影响，并已在合同价款中考虑。</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本合同未有明确指出的地下障碍物（发包人招标文件提供的工程量清单没列明或提供的地质资料不能明确反映的），在施工过程遇到时，承包人应于8小时内以书面形式通知监理工程师和发包人，并提出处置方案。监理工程师在收到处置方案后24小时内予以确认或提出修正方案，并发出施工指令。承包人应按照监理工程师指令进行施工。发包人应承担由此增加的费用和（或）延误的工期，并向承包人支付合理利润。</w:t>
      </w:r>
    </w:p>
    <w:p>
      <w:pPr>
        <w:adjustRightInd w:val="0"/>
        <w:snapToGrid w:val="0"/>
        <w:spacing w:line="360" w:lineRule="auto"/>
        <w:ind w:right="-238"/>
        <w:rPr>
          <w:rFonts w:ascii="宋体" w:hAnsi="宋体" w:cs="宋体"/>
          <w:b/>
          <w:bCs/>
          <w:color w:val="auto"/>
          <w:sz w:val="24"/>
          <w:szCs w:val="24"/>
          <w:highlight w:val="none"/>
          <w:u w:val="single"/>
        </w:rPr>
      </w:pPr>
    </w:p>
    <w:p>
      <w:pPr>
        <w:tabs>
          <w:tab w:val="left" w:pos="1620"/>
        </w:tabs>
        <w:adjustRightInd w:val="0"/>
        <w:snapToGrid w:val="0"/>
        <w:spacing w:before="312" w:beforeLines="100" w:line="360" w:lineRule="auto"/>
        <w:outlineLvl w:val="2"/>
        <w:rPr>
          <w:rFonts w:ascii="宋体" w:hAnsi="宋体" w:cs="宋体"/>
          <w:b/>
          <w:bCs/>
          <w:color w:val="auto"/>
          <w:sz w:val="24"/>
          <w:szCs w:val="24"/>
          <w:highlight w:val="none"/>
        </w:rPr>
      </w:pPr>
      <w:bookmarkStart w:id="551" w:name="_Toc130"/>
      <w:bookmarkStart w:id="552" w:name="_Toc11701"/>
      <w:bookmarkStart w:id="553" w:name="_Toc24740"/>
      <w:bookmarkStart w:id="554" w:name="_Toc17028"/>
      <w:bookmarkStart w:id="555" w:name="_Toc1455069487"/>
      <w:bookmarkStart w:id="556" w:name="_Toc13969"/>
      <w:bookmarkStart w:id="557" w:name="_Toc469383991"/>
      <w:bookmarkStart w:id="558" w:name="_Toc2789"/>
      <w:bookmarkStart w:id="559" w:name="_Toc246751643"/>
      <w:r>
        <w:rPr>
          <w:rFonts w:hint="eastAsia" w:ascii="宋体" w:hAnsi="宋体" w:cs="宋体"/>
          <w:b/>
          <w:bCs/>
          <w:color w:val="auto"/>
          <w:sz w:val="24"/>
          <w:szCs w:val="24"/>
          <w:highlight w:val="none"/>
        </w:rPr>
        <w:t>12  事故处理</w:t>
      </w:r>
      <w:bookmarkEnd w:id="551"/>
      <w:bookmarkEnd w:id="552"/>
      <w:bookmarkEnd w:id="553"/>
      <w:bookmarkEnd w:id="554"/>
      <w:bookmarkEnd w:id="555"/>
      <w:bookmarkEnd w:id="556"/>
      <w:bookmarkEnd w:id="557"/>
      <w:bookmarkEnd w:id="558"/>
      <w:bookmarkEnd w:id="559"/>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99" name="文本框 399"/>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05pt;height:41.25pt;width:81pt;z-index:251695104;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QGxh/WAAAA&#10;CgEAAA8AAAAAAAAAAQAgAAAAIgAAAGRycy9kb3ducmV2LnhtbFBLAQIUABQAAAAIAIdO4kBWOcQU&#10;HwIAACcEAAAOAAAAAAAAAAEAIAAAACUBAABkcnMvZTJvRG9jLnhtbFBLBQYAAAAABgAGAFkBAAC2&#10;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v:textbox>
              </v:shape>
            </w:pict>
          </mc:Fallback>
        </mc:AlternateContent>
      </w:r>
      <w:r>
        <w:rPr>
          <w:rFonts w:hint="eastAsia" w:ascii="宋体" w:hAnsi="宋体" w:cs="宋体"/>
          <w:b/>
          <w:bCs/>
          <w:color w:val="auto"/>
          <w:sz w:val="24"/>
          <w:szCs w:val="24"/>
          <w:highlight w:val="none"/>
        </w:rPr>
        <w:t xml:space="preserve">12.1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合同履行期间，合同工程发生质量与安全事故，承包人立即通知监理工程师和发包人。</w:t>
      </w:r>
    </w:p>
    <w:p>
      <w:pPr>
        <w:adjustRightInd w:val="0"/>
        <w:snapToGrid w:val="0"/>
        <w:spacing w:line="480" w:lineRule="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98" name="文本框 398"/>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23.4pt;width:81pt;z-index:251696128;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yZZdYAAAAJ&#10;AQAADwAAAAAAAAABACAAAAAiAAAAZHJzL2Rvd25yZXYueG1sUEsBAhQAFAAAAAgAh07iQGSYInQe&#10;AgAAJwQAAA4AAAAAAAAAAQAgAAAAJQEAAGRycy9lMm9Eb2MueG1sUEsFBgAAAAAGAAYAWQEAALU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int="eastAsia" w:ascii="宋体" w:hAnsi="宋体" w:cs="宋体"/>
          <w:b/>
          <w:bCs/>
          <w:color w:val="auto"/>
          <w:sz w:val="24"/>
          <w:szCs w:val="24"/>
          <w:highlight w:val="none"/>
        </w:rPr>
        <w:t xml:space="preserve">12.2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合同双方当事人应按照国家规定时限如实上报政府有关部门，配合政府有关部门的调查和处理，由此发生的费用和（或）延误的工期由事故责任方承担。</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97" name="文本框 397"/>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23.4pt;width:81pt;z-index:251697152;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yZZdYAAAAJ&#10;AQAADwAAAAAAAAABACAAAAAiAAAAZHJzL2Rvd25yZXYueG1sUEsBAhQAFAAAAAgAh07iQCHez7Ye&#10;AgAAJwQAAA4AAAAAAAAAAQAgAAAAJQEAAGRycy9lMm9Eb2MueG1sUEsFBgAAAAAGAAYAWQEAALU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int="eastAsia" w:ascii="宋体" w:hAnsi="宋体" w:cs="宋体"/>
          <w:b/>
          <w:bCs/>
          <w:color w:val="auto"/>
          <w:sz w:val="24"/>
          <w:szCs w:val="24"/>
          <w:highlight w:val="none"/>
        </w:rPr>
        <w:t xml:space="preserve">12.3  </w:t>
      </w:r>
    </w:p>
    <w:p>
      <w:pPr>
        <w:tabs>
          <w:tab w:val="left" w:pos="1620"/>
        </w:tabs>
        <w:adjustRightInd w:val="0"/>
        <w:snapToGrid w:val="0"/>
        <w:spacing w:line="360" w:lineRule="auto"/>
        <w:ind w:firstLine="1620" w:firstLineChars="675"/>
        <w:rPr>
          <w:rFonts w:ascii="宋体" w:hAnsi="宋体" w:cs="宋体"/>
          <w:color w:val="auto"/>
          <w:sz w:val="24"/>
          <w:szCs w:val="24"/>
          <w:highlight w:val="none"/>
        </w:rPr>
      </w:pPr>
      <w:r>
        <w:rPr>
          <w:rFonts w:hint="eastAsia" w:ascii="宋体" w:hAnsi="宋体" w:cs="宋体"/>
          <w:color w:val="auto"/>
          <w:sz w:val="24"/>
          <w:szCs w:val="24"/>
          <w:highlight w:val="none"/>
        </w:rPr>
        <w:t>合同双方当事人对事故责任有争议时，应按照政府有关部门的认定处理。</w:t>
      </w:r>
    </w:p>
    <w:p>
      <w:pPr>
        <w:adjustRightInd w:val="0"/>
        <w:snapToGrid w:val="0"/>
        <w:spacing w:line="480" w:lineRule="auto"/>
        <w:ind w:right="-238"/>
        <w:rPr>
          <w:rFonts w:ascii="宋体" w:hAnsi="宋体" w:cs="宋体"/>
          <w:color w:val="auto"/>
          <w:sz w:val="24"/>
          <w:szCs w:val="24"/>
          <w:highlight w:val="none"/>
        </w:rPr>
      </w:pPr>
    </w:p>
    <w:p>
      <w:pPr>
        <w:tabs>
          <w:tab w:val="left" w:pos="1620"/>
        </w:tabs>
        <w:adjustRightInd w:val="0"/>
        <w:snapToGrid w:val="0"/>
        <w:spacing w:before="312" w:beforeLines="100" w:line="360" w:lineRule="auto"/>
        <w:ind w:right="-237" w:rightChars="-113"/>
        <w:outlineLvl w:val="2"/>
        <w:rPr>
          <w:rFonts w:ascii="宋体" w:hAnsi="宋体" w:cs="宋体"/>
          <w:b/>
          <w:bCs/>
          <w:color w:val="auto"/>
          <w:sz w:val="24"/>
          <w:szCs w:val="24"/>
          <w:highlight w:val="none"/>
        </w:rPr>
      </w:pPr>
      <w:bookmarkStart w:id="560" w:name="_Toc15159"/>
      <w:bookmarkStart w:id="561" w:name="_Toc363941544"/>
      <w:bookmarkStart w:id="562" w:name="_Toc20349"/>
      <w:bookmarkStart w:id="563" w:name="_Toc17601"/>
      <w:bookmarkStart w:id="564" w:name="_Toc3267"/>
      <w:bookmarkStart w:id="565" w:name="_Toc7709"/>
      <w:bookmarkStart w:id="566" w:name="_Toc469383992"/>
      <w:bookmarkStart w:id="567" w:name="_Toc12437"/>
      <w:bookmarkStart w:id="568" w:name="_Toc1956579620"/>
      <w:r>
        <w:rPr>
          <w:rFonts w:hint="eastAsia" w:ascii="宋体" w:hAnsi="宋体" w:cs="宋体"/>
          <w:b/>
          <w:bCs/>
          <w:color w:val="auto"/>
          <w:sz w:val="24"/>
          <w:szCs w:val="24"/>
          <w:highlight w:val="none"/>
        </w:rPr>
        <w:t>13  交通运输</w:t>
      </w:r>
      <w:bookmarkEnd w:id="560"/>
      <w:bookmarkEnd w:id="561"/>
      <w:bookmarkEnd w:id="562"/>
      <w:bookmarkEnd w:id="563"/>
      <w:bookmarkEnd w:id="564"/>
      <w:bookmarkEnd w:id="565"/>
      <w:bookmarkEnd w:id="566"/>
      <w:bookmarkEnd w:id="567"/>
      <w:bookmarkEnd w:id="568"/>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96" name="文本框 396"/>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05pt;height:41.25pt;width:81pt;z-index:25169817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QGxh/WAAAA&#10;CgEAAA8AAAAAAAAAAQAgAAAAIgAAAGRycy9kb3ducmV2LnhtbFBLAQIUABQAAAAIAIdO4kATfynW&#10;HwIAACcEAAAOAAAAAAAAAAEAIAAAACUBAABkcnMvZTJvRG9jLnhtbFBLBQYAAAAABgAGAFkBAAC2&#10;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v:textbox>
              </v:shape>
            </w:pict>
          </mc:Fallback>
        </mc:AlternateContent>
      </w:r>
      <w:r>
        <w:rPr>
          <w:rFonts w:hint="eastAsia" w:ascii="宋体" w:hAnsi="宋体" w:cs="宋体"/>
          <w:b/>
          <w:bCs/>
          <w:color w:val="auto"/>
          <w:sz w:val="24"/>
          <w:szCs w:val="24"/>
          <w:highlight w:val="none"/>
        </w:rPr>
        <w:t xml:space="preserve">13.1                   </w:t>
      </w:r>
    </w:p>
    <w:p>
      <w:pPr>
        <w:tabs>
          <w:tab w:val="left" w:pos="1202"/>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发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pPr>
        <w:tabs>
          <w:tab w:val="left" w:pos="1202"/>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tabs>
          <w:tab w:val="left" w:pos="1202"/>
        </w:tabs>
        <w:adjustRightInd w:val="0"/>
        <w:snapToGrid w:val="0"/>
        <w:spacing w:line="360" w:lineRule="auto"/>
        <w:ind w:left="1417" w:leftChars="1" w:hanging="1415" w:hangingChars="674"/>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95" name="文本框 395"/>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szCs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6.25pt;height:41.25pt;width:81pt;z-index:251699200;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J4rmdgA&#10;AAAKAQAADwAAAAAAAAABACAAAAAiAAAAZHJzL2Rvd25yZXYueG1sUEsBAhQAFAAAAAgAh07iQHho&#10;KjIfAgAAJwQAAA4AAAAAAAAAAQAgAAAAJwEAAGRycy9lMm9Eb2MueG1sUEsFBgAAAAAGAAYAWQEA&#10;ALg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szCs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v:textbox>
              </v:shape>
            </w:pict>
          </mc:Fallback>
        </mc:AlternateContent>
      </w:r>
      <w:r>
        <w:rPr>
          <w:rFonts w:hint="eastAsia" w:ascii="宋体" w:hAnsi="宋体" w:cs="宋体"/>
          <w:b/>
          <w:bCs/>
          <w:color w:val="auto"/>
          <w:sz w:val="24"/>
          <w:szCs w:val="24"/>
          <w:highlight w:val="none"/>
        </w:rPr>
        <w:t xml:space="preserve">13.2         </w:t>
      </w:r>
    </w:p>
    <w:p>
      <w:pPr>
        <w:tabs>
          <w:tab w:val="left" w:pos="1202"/>
        </w:tabs>
        <w:adjustRightInd w:val="0"/>
        <w:snapToGrid w:val="0"/>
        <w:spacing w:line="360" w:lineRule="auto"/>
        <w:ind w:left="1678" w:leftChars="799" w:firstLine="62" w:firstLineChars="26"/>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除专用条款另有约定外，承包人应负责修建、维修、养护和管理施工场地内所需的临时道路和交通设施，包括维修、养护和管理发包人提供的道路和交通设施，并承担相应费用。</w:t>
      </w:r>
    </w:p>
    <w:p>
      <w:pPr>
        <w:tabs>
          <w:tab w:val="left" w:pos="1202"/>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承包人修建的临时道路和交通设施应免费提供发包人使用。</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94" name="文本框 394"/>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23.4pt;width:81pt;z-index:25170022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yZZdYAAAAJ&#10;AQAADwAAAAAAAAABACAAAAAiAAAAZHJzL2Rvd25yZXYueG1sUEsBAhQAFAAAAAgAh07iQErJzFIe&#10;AgAAJwQAAA4AAAAAAAAAAQAgAAAAJQEAAGRycy9lMm9Eb2MueG1sUEsFBgAAAAAGAAYAWQEAALU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int="eastAsia" w:ascii="宋体" w:hAnsi="宋体" w:cs="宋体"/>
          <w:b/>
          <w:bCs/>
          <w:color w:val="auto"/>
          <w:sz w:val="24"/>
          <w:szCs w:val="24"/>
          <w:highlight w:val="none"/>
        </w:rPr>
        <w:t xml:space="preserve">13.3  </w:t>
      </w:r>
    </w:p>
    <w:p>
      <w:pPr>
        <w:tabs>
          <w:tab w:val="left" w:pos="1202"/>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承包人应遵守有关交通法规，严格按照道路和桥梁的限制荷重安全行驶，并服从交通管理部门的检查和监督。承包人车辆外出行驶所需的场外公共道路的通行费、养路费和税款等，由承包人承担。</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93" name="文本框 393"/>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36.7pt;width:81pt;z-index:251701248;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vSKrfXAAAA&#10;CgEAAA8AAAAAAAAAAQAgAAAAIgAAAGRycy9kb3ducmV2LnhtbFBLAQIUABQAAAAIAIdO4kCmPR8t&#10;HgIAACcEAAAOAAAAAAAAAAEAIAAAACYBAABkcnMvZTJvRG9jLnhtbFBLBQYAAAAABgAGAFkBAAC2&#10;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int="eastAsia" w:ascii="宋体" w:hAnsi="宋体" w:cs="宋体"/>
          <w:b/>
          <w:bCs/>
          <w:color w:val="auto"/>
          <w:sz w:val="24"/>
          <w:szCs w:val="24"/>
          <w:highlight w:val="none"/>
        </w:rPr>
        <w:t xml:space="preserve">13.4  </w:t>
      </w:r>
    </w:p>
    <w:p>
      <w:pPr>
        <w:tabs>
          <w:tab w:val="left" w:pos="1202"/>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92" name="文本框 392"/>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36.7pt;width:81pt;z-index:251702272;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vSKrfXAAAA&#10;CgEAAA8AAAAAAAAAAQAgAAAAIgAAAGRycy9kb3ducmV2LnhtbFBLAQIUABQAAAAIAIdO4kBAzc7H&#10;HgIAACcEAAAOAAAAAAAAAAEAIAAAACYBAABkcnMvZTJvRG9jLnhtbFBLBQYAAAAABgAGAFkBAAC2&#10;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int="eastAsia" w:ascii="宋体" w:hAnsi="宋体" w:cs="宋体"/>
          <w:b/>
          <w:bCs/>
          <w:color w:val="auto"/>
          <w:sz w:val="24"/>
          <w:szCs w:val="24"/>
          <w:highlight w:val="none"/>
        </w:rPr>
        <w:t xml:space="preserve">13.5  </w:t>
      </w:r>
    </w:p>
    <w:p>
      <w:pPr>
        <w:tabs>
          <w:tab w:val="left" w:pos="1202"/>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因承包人运输造成施工场地内外公共道路和桥梁损坏的，由承包人承担修复损坏的全部费用和可能引起的赔偿。</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91" name="文本框 391"/>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47.9pt;width:81pt;z-index:251703296;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imnUnXAAAA&#10;CgEAAA8AAAAAAAAAAQAgAAAAIgAAAGRycy9kb3ducmV2LnhtbFBLAQIUABQAAAAIAIdO4kBydwJ+&#10;HgIAACcEAAAOAAAAAAAAAAEAIAAAACYBAABkcnMvZTJvRG9jLnhtbFBLBQYAAAAABgAGAFkBAAC2&#10;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int="eastAsia" w:ascii="宋体" w:hAnsi="宋体" w:cs="宋体"/>
          <w:b/>
          <w:bCs/>
          <w:color w:val="auto"/>
          <w:sz w:val="24"/>
          <w:szCs w:val="24"/>
          <w:highlight w:val="none"/>
        </w:rPr>
        <w:t xml:space="preserve">13.6 </w:t>
      </w:r>
    </w:p>
    <w:p>
      <w:pPr>
        <w:tabs>
          <w:tab w:val="left" w:pos="1202"/>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本条内容适用于水路运输和航空运输，其中“道路”包括河道、航线、船闸、机场、码头、堤防以及水路或航空运输中其他相似结构物；“车辆”包括船舶和飞机等。</w:t>
      </w:r>
    </w:p>
    <w:p>
      <w:pPr>
        <w:tabs>
          <w:tab w:val="left" w:pos="1202"/>
        </w:tabs>
        <w:adjustRightInd w:val="0"/>
        <w:snapToGrid w:val="0"/>
        <w:spacing w:line="240" w:lineRule="exact"/>
        <w:jc w:val="left"/>
        <w:rPr>
          <w:rFonts w:ascii="宋体" w:hAnsi="宋体" w:cs="宋体"/>
          <w:b/>
          <w:bCs/>
          <w:color w:val="auto"/>
          <w:sz w:val="24"/>
          <w:szCs w:val="24"/>
          <w:highlight w:val="none"/>
        </w:rPr>
      </w:pPr>
    </w:p>
    <w:p>
      <w:pPr>
        <w:tabs>
          <w:tab w:val="left" w:pos="3818"/>
        </w:tabs>
        <w:adjustRightInd w:val="0"/>
        <w:snapToGrid w:val="0"/>
        <w:spacing w:before="312" w:beforeLines="100" w:line="360" w:lineRule="auto"/>
        <w:outlineLvl w:val="2"/>
        <w:rPr>
          <w:rFonts w:ascii="宋体" w:hAnsi="宋体" w:cs="宋体"/>
          <w:b/>
          <w:bCs/>
          <w:color w:val="auto"/>
          <w:sz w:val="24"/>
          <w:szCs w:val="24"/>
          <w:highlight w:val="none"/>
        </w:rPr>
      </w:pPr>
      <w:bookmarkStart w:id="569" w:name="_Toc469383993"/>
      <w:bookmarkStart w:id="570" w:name="_Toc16741"/>
      <w:bookmarkStart w:id="571" w:name="_Toc1964070476"/>
      <w:bookmarkStart w:id="572" w:name="_Toc23268"/>
      <w:bookmarkStart w:id="573" w:name="_Toc31789"/>
      <w:bookmarkStart w:id="574" w:name="_Toc1257"/>
      <w:bookmarkStart w:id="575" w:name="_Toc22546"/>
      <w:bookmarkStart w:id="576" w:name="_Toc732103352"/>
      <w:bookmarkStart w:id="577" w:name="_Toc30275"/>
      <w:r>
        <w:rPr>
          <w:rFonts w:hint="eastAsia" w:ascii="宋体" w:hAnsi="宋体" w:cs="宋体"/>
          <w:b/>
          <w:bCs/>
          <w:color w:val="auto"/>
          <w:sz w:val="24"/>
          <w:szCs w:val="24"/>
          <w:highlight w:val="none"/>
        </w:rPr>
        <w:t>14  专项批准事件的签认</w:t>
      </w:r>
      <w:bookmarkEnd w:id="569"/>
      <w:bookmarkEnd w:id="570"/>
      <w:bookmarkEnd w:id="571"/>
      <w:bookmarkEnd w:id="572"/>
      <w:bookmarkEnd w:id="573"/>
      <w:bookmarkEnd w:id="574"/>
      <w:bookmarkEnd w:id="575"/>
      <w:bookmarkEnd w:id="576"/>
      <w:bookmarkEnd w:id="577"/>
      <w:r>
        <w:rPr>
          <w:rFonts w:hint="eastAsia" w:ascii="宋体" w:hAnsi="宋体" w:cs="宋体"/>
          <w:b/>
          <w:bCs/>
          <w:color w:val="auto"/>
          <w:sz w:val="24"/>
          <w:szCs w:val="24"/>
          <w:highlight w:val="none"/>
        </w:rPr>
        <w:tab/>
      </w:r>
    </w:p>
    <w:p>
      <w:pPr>
        <w:tabs>
          <w:tab w:val="left" w:pos="1202"/>
        </w:tabs>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390" name="文本框 390"/>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4pt;height:68.95pt;width:72pt;z-index:251704320;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HBLGNgAAAAK&#10;AQAADwAAAAAAAAABACAAAAAiAAAAZHJzL2Rvd25yZXYueG1sUEsBAhQAFAAAAAgAh07iQGBPNasc&#10;AgAAJgQAAA4AAAAAAAAAAQAgAAAAJwEAAGRycy9lMm9Eb2MueG1sUEsFBgAAAAAGAAYAWQEAALU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int="eastAsia" w:ascii="宋体" w:hAnsi="宋体" w:cs="宋体"/>
          <w:b/>
          <w:bCs/>
          <w:color w:val="auto"/>
          <w:sz w:val="24"/>
          <w:szCs w:val="24"/>
          <w:highlight w:val="none"/>
        </w:rPr>
        <w:t xml:space="preserve">14.1      </w:t>
      </w:r>
    </w:p>
    <w:p>
      <w:pPr>
        <w:tabs>
          <w:tab w:val="left" w:pos="1202"/>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pPr>
        <w:tabs>
          <w:tab w:val="left" w:pos="1202"/>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合同双方当事人应按照第14.2款规定对发生的专项批准事件予以签认，并及时将发生事件的相关资料整理、归档，同时按第23.2款、第24.2款规定职权将其中一份送监理工程师和（或）造价工程师留存。</w:t>
      </w:r>
    </w:p>
    <w:p>
      <w:pPr>
        <w:tabs>
          <w:tab w:val="left" w:pos="2160"/>
        </w:tabs>
        <w:spacing w:before="249" w:beforeLines="80"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14.2  </w:t>
      </w:r>
    </w:p>
    <w:p>
      <w:pPr>
        <w:tabs>
          <w:tab w:val="left" w:pos="1620"/>
        </w:tabs>
        <w:spacing w:line="360" w:lineRule="auto"/>
        <w:ind w:left="1618" w:leftChars="770" w:hanging="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389" name="文本框 389"/>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0.85pt;height:68.95pt;width:72pt;z-index:251705344;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akbmLTAAAABgEAAA8A&#10;AAAAAAAAAQAgAAAAIgAAAGRycy9kb3ducmV2LnhtbFBLAQIUABQAAAAIAIdO4kAinO1gHAIAACYE&#10;AAAOAAAAAAAAAAEAIAAAACIBAABkcnMvZTJvRG9jLnhtbFBLBQYAAAAABgAGAFkBAAC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ascii="宋体" w:hAnsi="宋体" w:cs="宋体"/>
          <w:color w:val="auto"/>
          <w:sz w:val="24"/>
          <w:szCs w:val="24"/>
          <w:highlight w:val="none"/>
        </w:rPr>
        <w:t>合同双方当事人应按照第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pPr>
        <w:adjustRightInd w:val="0"/>
        <w:snapToGrid w:val="0"/>
        <w:ind w:right="-238"/>
        <w:rPr>
          <w:rFonts w:ascii="宋体" w:hAnsi="宋体" w:cs="宋体"/>
          <w:b/>
          <w:bCs/>
          <w:color w:val="auto"/>
          <w:sz w:val="24"/>
          <w:szCs w:val="24"/>
          <w:highlight w:val="none"/>
          <w:u w:val="single"/>
        </w:rPr>
      </w:pPr>
    </w:p>
    <w:p>
      <w:pPr>
        <w:adjustRightInd w:val="0"/>
        <w:snapToGrid w:val="0"/>
        <w:spacing w:before="312" w:beforeLines="100" w:line="360" w:lineRule="auto"/>
        <w:outlineLvl w:val="2"/>
        <w:rPr>
          <w:rFonts w:ascii="宋体" w:hAnsi="宋体" w:cs="宋体"/>
          <w:b/>
          <w:bCs/>
          <w:color w:val="auto"/>
          <w:sz w:val="24"/>
          <w:szCs w:val="24"/>
          <w:highlight w:val="none"/>
        </w:rPr>
      </w:pPr>
      <w:bookmarkStart w:id="578" w:name="_Toc28975"/>
      <w:bookmarkStart w:id="579" w:name="_Toc469383994"/>
      <w:bookmarkStart w:id="580" w:name="_Toc1527223401"/>
      <w:bookmarkStart w:id="581" w:name="_Toc1161352095"/>
      <w:bookmarkStart w:id="582" w:name="_Toc3530"/>
      <w:bookmarkStart w:id="583" w:name="_Toc2567"/>
      <w:bookmarkStart w:id="584" w:name="_Toc5231"/>
      <w:bookmarkStart w:id="585" w:name="_Toc11128"/>
      <w:bookmarkStart w:id="586" w:name="_Toc20598"/>
      <w:r>
        <w:rPr>
          <w:rFonts w:hint="eastAsia" w:ascii="宋体" w:hAnsi="宋体" w:cs="宋体"/>
          <w:b/>
          <w:bCs/>
          <w:color w:val="auto"/>
          <w:sz w:val="24"/>
          <w:szCs w:val="24"/>
          <w:highlight w:val="none"/>
        </w:rPr>
        <w:t>15  专利技术</w:t>
      </w:r>
      <w:bookmarkEnd w:id="578"/>
      <w:bookmarkEnd w:id="579"/>
      <w:bookmarkEnd w:id="580"/>
      <w:bookmarkEnd w:id="581"/>
      <w:bookmarkEnd w:id="582"/>
      <w:bookmarkEnd w:id="583"/>
      <w:bookmarkEnd w:id="584"/>
      <w:bookmarkEnd w:id="585"/>
      <w:bookmarkEnd w:id="586"/>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15.1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88" name="文本框 388"/>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pt;height:37.15pt;width:72pt;z-index:251706368;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ptk6TWAAAACAEA&#10;AA8AAAAAAAAAAQAgAAAAIgAAAGRycy9kb3ducmV2LnhtbFBLAQIUABQAAAAIAIdO4kDXFC/HHAIA&#10;ACYEAAAOAAAAAAAAAAEAIAAAACU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宋体" w:hAnsi="宋体" w:cs="宋体"/>
          <w:color w:val="auto"/>
          <w:sz w:val="24"/>
          <w:szCs w:val="24"/>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15.2</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87" name="文本框 387"/>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pt;height:37.15pt;width:72pt;z-index:251707392;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ptk6TWAAAACAEA&#10;AA8AAAAAAAAAAQAgAAAAIgAAAGRycy9kb3ducmV2LnhtbFBLAQIUABQAAAAIAIdO4kBr9pb9HAIA&#10;ACYEAAAOAAAAAAAAAAEAIAAAACU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宋体" w:hAnsi="宋体" w:cs="宋体"/>
          <w:color w:val="auto"/>
          <w:sz w:val="24"/>
          <w:szCs w:val="24"/>
          <w:highlight w:val="none"/>
        </w:rPr>
        <w:t>承包人在投标文件中采用专利技术的，其发生的费用已包含在投标报价内。承包人的技术秘密和第94条规定的保密信息、资料等，发包人应严格按照第94条规定不得为合同以外的目的泄露给第三方。</w:t>
      </w:r>
    </w:p>
    <w:p>
      <w:pPr>
        <w:tabs>
          <w:tab w:val="left" w:pos="1680"/>
        </w:tabs>
        <w:adjustRightInd w:val="0"/>
        <w:snapToGrid w:val="0"/>
        <w:spacing w:line="360" w:lineRule="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386" name="文本框 386"/>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pt;height:39.2pt;width:72pt;z-index:251708416;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oaR1wAAAAoB&#10;AAAPAAAAAAAAAAEAIAAAACIAAABkcnMvZG93bnJldi54bWxQSwECFAAUAAAACACHTuJAez0fZRwC&#10;AAAmBAAADgAAAAAAAAABACAAAAAmAQAAZHJzL2Uyb0RvYy54bWxQSwUGAAAAAAYABgBZAQAAtAUA&#10;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int="eastAsia" w:ascii="宋体" w:hAnsi="宋体" w:cs="宋体"/>
          <w:color w:val="auto"/>
          <w:sz w:val="24"/>
          <w:szCs w:val="24"/>
          <w:highlight w:val="none"/>
        </w:rPr>
        <w:t xml:space="preserve">15.3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pPr>
        <w:adjustRightInd w:val="0"/>
        <w:snapToGrid w:val="0"/>
        <w:spacing w:line="360" w:lineRule="auto"/>
        <w:rPr>
          <w:rFonts w:ascii="宋体" w:hAnsi="宋体" w:cs="宋体"/>
          <w:b/>
          <w:bCs/>
          <w:color w:val="auto"/>
          <w:sz w:val="24"/>
          <w:szCs w:val="24"/>
          <w:highlight w:val="none"/>
          <w:u w:val="single"/>
        </w:rPr>
      </w:pPr>
    </w:p>
    <w:p>
      <w:pPr>
        <w:adjustRightInd w:val="0"/>
        <w:snapToGrid w:val="0"/>
        <w:spacing w:line="360" w:lineRule="auto"/>
        <w:outlineLvl w:val="2"/>
        <w:rPr>
          <w:rFonts w:ascii="宋体" w:hAnsi="宋体" w:cs="宋体"/>
          <w:b/>
          <w:bCs/>
          <w:color w:val="auto"/>
          <w:sz w:val="24"/>
          <w:szCs w:val="24"/>
          <w:highlight w:val="none"/>
        </w:rPr>
      </w:pPr>
      <w:bookmarkStart w:id="587" w:name="_Toc13158"/>
      <w:bookmarkStart w:id="588" w:name="_Toc365793082"/>
      <w:bookmarkStart w:id="589" w:name="_Toc18620"/>
      <w:bookmarkStart w:id="590" w:name="_Toc469383995"/>
      <w:bookmarkStart w:id="591" w:name="_Toc31062"/>
      <w:bookmarkStart w:id="592" w:name="_Toc3184"/>
      <w:bookmarkStart w:id="593" w:name="_Toc1319151663"/>
      <w:bookmarkStart w:id="594" w:name="_Toc5081"/>
      <w:bookmarkStart w:id="595" w:name="_Toc2345"/>
      <w:r>
        <w:rPr>
          <w:rFonts w:hint="eastAsia" w:ascii="宋体" w:hAnsi="宋体" w:cs="宋体"/>
          <w:b/>
          <w:bCs/>
          <w:color w:val="auto"/>
          <w:sz w:val="24"/>
          <w:szCs w:val="24"/>
          <w:highlight w:val="none"/>
        </w:rPr>
        <w:t>16  联合的责任</w:t>
      </w:r>
      <w:bookmarkEnd w:id="587"/>
      <w:bookmarkEnd w:id="588"/>
      <w:bookmarkEnd w:id="589"/>
      <w:bookmarkEnd w:id="590"/>
      <w:bookmarkEnd w:id="591"/>
      <w:bookmarkEnd w:id="592"/>
      <w:bookmarkEnd w:id="593"/>
      <w:bookmarkEnd w:id="594"/>
      <w:bookmarkEnd w:id="595"/>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385" name="文本框 385"/>
                <wp:cNvGraphicFramePr/>
                <a:graphic xmlns:a="http://schemas.openxmlformats.org/drawingml/2006/main">
                  <a:graphicData uri="http://schemas.microsoft.com/office/word/2010/wordprocessingShape">
                    <wps:wsp>
                      <wps:cNvSpPr txBox="1">
                        <a:spLocks noChangeArrowheads="1"/>
                      </wps:cNvSpPr>
                      <wps:spPr bwMode="auto">
                        <a:xfrm>
                          <a:off x="0" y="0"/>
                          <a:ext cx="914400" cy="46101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5pt;height:36.3pt;width:72pt;z-index:251709440;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sTqfXAAAACgEA&#10;AA8AAAAAAAAAAQAgAAAAIgAAAGRycy9kb3ducmV2LnhtbFBLAQIUABQAAAAIAIdO4kDdVuXlGwIA&#10;ACYEAAAOAAAAAAAAAAEAIAAAACY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int="eastAsia" w:ascii="宋体" w:hAnsi="宋体" w:cs="宋体"/>
          <w:b/>
          <w:bCs/>
          <w:color w:val="auto"/>
          <w:sz w:val="24"/>
          <w:szCs w:val="24"/>
          <w:highlight w:val="none"/>
        </w:rPr>
        <w:t xml:space="preserve">16.1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384" name="文本框 384"/>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5pt;height:39pt;width:72pt;z-index:251710464;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ux4gbYAAAACgEA&#10;AA8AAAAAAAAAAQAgAAAAIgAAAGRycy9kb3ducmV2LnhtbFBLAQIUABQAAAAIAIdO4kAIwRsHGgIA&#10;ACYEAAAOAAAAAAAAAAEAIAAAACc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宋体" w:hAnsi="宋体" w:cs="宋体"/>
          <w:b/>
          <w:bCs/>
          <w:color w:val="auto"/>
          <w:sz w:val="24"/>
          <w:szCs w:val="24"/>
          <w:highlight w:val="none"/>
        </w:rPr>
        <w:t xml:space="preserve">16.2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pPr>
        <w:tabs>
          <w:tab w:val="left" w:pos="1620"/>
        </w:tabs>
        <w:spacing w:line="240" w:lineRule="exact"/>
        <w:rPr>
          <w:rFonts w:ascii="宋体" w:hAnsi="宋体" w:cs="宋体"/>
          <w:b/>
          <w:bCs/>
          <w:color w:val="auto"/>
          <w:sz w:val="24"/>
          <w:szCs w:val="24"/>
          <w:highlight w:val="none"/>
          <w:u w:val="single"/>
        </w:rPr>
      </w:pPr>
    </w:p>
    <w:p>
      <w:pPr>
        <w:tabs>
          <w:tab w:val="left" w:pos="105"/>
        </w:tabs>
        <w:adjustRightInd w:val="0"/>
        <w:snapToGrid w:val="0"/>
        <w:spacing w:before="312" w:beforeLines="100"/>
        <w:outlineLvl w:val="2"/>
        <w:rPr>
          <w:rFonts w:ascii="宋体" w:hAnsi="宋体" w:cs="宋体"/>
          <w:b/>
          <w:bCs/>
          <w:color w:val="auto"/>
          <w:sz w:val="24"/>
          <w:szCs w:val="24"/>
          <w:highlight w:val="none"/>
        </w:rPr>
      </w:pPr>
      <w:bookmarkStart w:id="596" w:name="_Toc469383996"/>
      <w:bookmarkStart w:id="597" w:name="_Toc1119"/>
      <w:bookmarkStart w:id="598" w:name="_Toc360828413"/>
      <w:bookmarkStart w:id="599" w:name="_Toc1786131460"/>
      <w:bookmarkStart w:id="600" w:name="_Toc26972"/>
      <w:bookmarkStart w:id="601" w:name="_Toc5945"/>
      <w:bookmarkStart w:id="602" w:name="_Toc27832"/>
      <w:bookmarkStart w:id="603" w:name="_Toc23032"/>
      <w:bookmarkStart w:id="604" w:name="_Toc31521"/>
      <w:r>
        <w:rPr>
          <w:rFonts w:hint="eastAsia" w:ascii="宋体" w:hAnsi="宋体" w:cs="宋体"/>
          <w:b/>
          <w:bCs/>
          <w:color w:val="auto"/>
          <w:sz w:val="24"/>
          <w:szCs w:val="24"/>
          <w:highlight w:val="none"/>
        </w:rPr>
        <w:t>17  保障</w:t>
      </w:r>
      <w:bookmarkEnd w:id="596"/>
      <w:bookmarkEnd w:id="597"/>
      <w:bookmarkEnd w:id="598"/>
      <w:bookmarkEnd w:id="599"/>
      <w:bookmarkEnd w:id="600"/>
      <w:bookmarkEnd w:id="601"/>
      <w:bookmarkEnd w:id="602"/>
      <w:bookmarkEnd w:id="603"/>
      <w:bookmarkEnd w:id="604"/>
    </w:p>
    <w:p>
      <w:pPr>
        <w:tabs>
          <w:tab w:val="left" w:pos="1202"/>
        </w:tabs>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383" name="文本框 38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14.3pt;height:46.8pt;width:72pt;z-index:251711488;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hgkNUAAAAHAQAA&#10;DwAAAAAAAAABACAAAAAiAAAAZHJzL2Rvd25yZXYueG1sUEsBAhQAFAAAAAgAh07iQMxOTYccAgAA&#10;JgQAAA4AAAAAAAAAAQAgAAAAJA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宋体" w:hAnsi="宋体" w:cs="宋体"/>
          <w:b/>
          <w:bCs/>
          <w:color w:val="auto"/>
          <w:sz w:val="24"/>
          <w:szCs w:val="24"/>
          <w:highlight w:val="none"/>
        </w:rPr>
        <w:t xml:space="preserve">17.1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pPr>
        <w:tabs>
          <w:tab w:val="left" w:pos="1202"/>
        </w:tabs>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382" name="文本框 382"/>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95pt;height:42.1pt;width:72pt;z-index:251712512;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geQZ9gAAAAK&#10;AQAADwAAAAAAAAABACAAAAAiAAAAZHJzL2Rvd25yZXYueG1sUEsBAhQAFAAAAAgAh07iQEzKNbAc&#10;AgAAJgQAAA4AAAAAAAAAAQAgAAAAJwEAAGRycy9lMm9Eb2MueG1sUEsFBgAAAAAGAAYAWQEAALU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宋体" w:hAnsi="宋体" w:cs="宋体"/>
          <w:b/>
          <w:bCs/>
          <w:color w:val="auto"/>
          <w:sz w:val="24"/>
          <w:szCs w:val="24"/>
          <w:highlight w:val="none"/>
        </w:rPr>
        <w:t xml:space="preserve">17.2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承包人应保障发包人不承担因承包人移动或使用施工场地外的施工设备和临时设施所造成的损害而引起的赔偿。</w:t>
      </w:r>
    </w:p>
    <w:p>
      <w:pPr>
        <w:adjustRightInd w:val="0"/>
        <w:snapToGrid w:val="0"/>
        <w:spacing w:line="360" w:lineRule="auto"/>
        <w:rPr>
          <w:rFonts w:ascii="宋体" w:hAnsi="宋体" w:cs="宋体"/>
          <w:b/>
          <w:bCs/>
          <w:color w:val="auto"/>
          <w:sz w:val="24"/>
          <w:szCs w:val="24"/>
          <w:highlight w:val="none"/>
          <w:u w:val="single"/>
        </w:rPr>
      </w:pPr>
    </w:p>
    <w:p>
      <w:pPr>
        <w:adjustRightInd w:val="0"/>
        <w:snapToGrid w:val="0"/>
        <w:spacing w:before="312" w:beforeLines="100"/>
        <w:outlineLvl w:val="2"/>
        <w:rPr>
          <w:rFonts w:ascii="宋体" w:hAnsi="宋体" w:cs="宋体"/>
          <w:b/>
          <w:bCs/>
          <w:color w:val="auto"/>
          <w:sz w:val="24"/>
          <w:szCs w:val="24"/>
          <w:highlight w:val="none"/>
        </w:rPr>
      </w:pPr>
      <w:bookmarkStart w:id="605" w:name="_Toc469383997"/>
      <w:bookmarkStart w:id="606" w:name="_Toc19265"/>
      <w:bookmarkStart w:id="607" w:name="_Toc1123"/>
      <w:bookmarkStart w:id="608" w:name="_Toc9716"/>
      <w:bookmarkStart w:id="609" w:name="_Toc457"/>
      <w:bookmarkStart w:id="610" w:name="_Toc2096801810"/>
      <w:bookmarkStart w:id="611" w:name="_Toc1985030454"/>
      <w:bookmarkStart w:id="612" w:name="_Toc5444"/>
      <w:bookmarkStart w:id="613" w:name="_Toc27826"/>
      <w:r>
        <w:rPr>
          <w:rFonts w:hint="eastAsia" w:ascii="宋体" w:hAnsi="宋体" w:cs="宋体"/>
          <w:b/>
          <w:bCs/>
          <w:color w:val="auto"/>
          <w:sz w:val="24"/>
          <w:szCs w:val="24"/>
          <w:highlight w:val="none"/>
        </w:rPr>
        <w:t>18  财产</w:t>
      </w:r>
      <w:bookmarkEnd w:id="605"/>
      <w:bookmarkEnd w:id="606"/>
      <w:bookmarkEnd w:id="607"/>
      <w:bookmarkEnd w:id="608"/>
      <w:bookmarkEnd w:id="609"/>
      <w:bookmarkEnd w:id="610"/>
      <w:bookmarkEnd w:id="611"/>
      <w:bookmarkEnd w:id="612"/>
      <w:bookmarkEnd w:id="613"/>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18.1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381" name="文本框 381"/>
                <wp:cNvGraphicFramePr/>
                <a:graphic xmlns:a="http://schemas.openxmlformats.org/drawingml/2006/main">
                  <a:graphicData uri="http://schemas.microsoft.com/office/word/2010/wordprocessingShape">
                    <wps:wsp>
                      <wps:cNvSpPr txBox="1">
                        <a:spLocks noChangeArrowheads="1"/>
                      </wps:cNvSpPr>
                      <wps:spPr bwMode="auto">
                        <a:xfrm>
                          <a:off x="0" y="0"/>
                          <a:ext cx="914400" cy="7245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7.05pt;width:72pt;z-index:251713536;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FLIudUAAAAIAQAA&#10;DwAAAAAAAAABACAAAAAiAAAAZHJzL2Rvd25yZXYueG1sUEsBAhQAFAAAAAgAh07iQFWePpscAgAA&#10;JgQAAA4AAAAAAAAAAQAgAAAAJA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宋体" w:hAnsi="宋体" w:cs="宋体"/>
          <w:color w:val="auto"/>
          <w:sz w:val="24"/>
          <w:szCs w:val="24"/>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pPr>
        <w:spacing w:line="36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380" name="文本框 380"/>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25pt;height:36.25pt;width:72pt;z-index:251714560;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GjUt1wAAAAoB&#10;AAAPAAAAAAAAAAEAIAAAACIAAABkcnMvZG93bnJldi54bWxQSwECFAAUAAAACACHTuJA4gVNPRwC&#10;AAAmBAAADgAAAAAAAAABACAAAAAmAQAAZHJzL2Uyb0RvYy54bWxQSwUGAAAAAAYABgBZAQAAtAUA&#10;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宋体" w:hAnsi="宋体" w:cs="宋体"/>
          <w:b/>
          <w:bCs/>
          <w:color w:val="auto"/>
          <w:sz w:val="24"/>
          <w:szCs w:val="24"/>
          <w:highlight w:val="none"/>
        </w:rPr>
        <w:t xml:space="preserve">18.2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如果发包人依据第87.3款规定的情形解除合同，则合同工程和临时工程，应认为是发包人的财产。</w:t>
      </w:r>
    </w:p>
    <w:p>
      <w:pPr>
        <w:spacing w:line="48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379" name="文本框 379"/>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25pt;height:42.85pt;width:72pt;z-index:251715584;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bsBXNgAAAAK&#10;AQAADwAAAAAAAAABACAAAAAiAAAAZHJzL2Rvd25yZXYueG1sUEsBAhQAFAAAAAgAh07iQFs7QM8c&#10;AgAAJgQAAA4AAAAAAAAAAQAgAAAAJwEAAGRycy9lMm9Eb2MueG1sUEsFBgAAAAAGAAYAWQEAALU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宋体" w:hAnsi="宋体" w:cs="宋体"/>
          <w:b/>
          <w:bCs/>
          <w:color w:val="auto"/>
          <w:sz w:val="24"/>
          <w:szCs w:val="24"/>
          <w:highlight w:val="none"/>
        </w:rPr>
        <w:t xml:space="preserve">18.3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果承包人依据第87.4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spacing w:line="360" w:lineRule="auto"/>
        <w:ind w:firstLine="2879" w:firstLineChars="1195"/>
        <w:rPr>
          <w:rFonts w:ascii="宋体" w:hAnsi="宋体" w:cs="宋体"/>
          <w:b/>
          <w:bCs/>
          <w:color w:val="auto"/>
          <w:sz w:val="24"/>
          <w:szCs w:val="24"/>
          <w:highlight w:val="none"/>
        </w:rPr>
      </w:pPr>
      <w:bookmarkStart w:id="614" w:name="_Toc469383998"/>
      <w:bookmarkStart w:id="615" w:name="_Toc14195"/>
      <w:bookmarkStart w:id="616" w:name="_Toc18374"/>
    </w:p>
    <w:p>
      <w:pPr>
        <w:spacing w:line="360" w:lineRule="auto"/>
        <w:ind w:firstLine="2879" w:firstLineChars="1195"/>
        <w:outlineLvl w:val="1"/>
        <w:rPr>
          <w:rFonts w:ascii="宋体" w:hAnsi="宋体" w:cs="宋体"/>
          <w:b/>
          <w:bCs/>
          <w:color w:val="auto"/>
          <w:sz w:val="24"/>
          <w:szCs w:val="24"/>
          <w:highlight w:val="none"/>
        </w:rPr>
      </w:pPr>
      <w:bookmarkStart w:id="617" w:name="_Toc23807"/>
      <w:bookmarkStart w:id="618" w:name="_Toc15758"/>
      <w:bookmarkStart w:id="619" w:name="_Toc741373400"/>
      <w:bookmarkStart w:id="620" w:name="_Toc12902"/>
      <w:bookmarkStart w:id="621" w:name="_Toc7221"/>
      <w:bookmarkStart w:id="622" w:name="_Toc1248384233"/>
      <w:r>
        <w:rPr>
          <w:rFonts w:hint="eastAsia" w:ascii="宋体" w:hAnsi="宋体" w:cs="宋体"/>
          <w:b/>
          <w:bCs/>
          <w:color w:val="auto"/>
          <w:sz w:val="24"/>
          <w:szCs w:val="24"/>
          <w:highlight w:val="none"/>
        </w:rPr>
        <w:t>二、合同主体</w:t>
      </w:r>
      <w:bookmarkEnd w:id="614"/>
      <w:bookmarkEnd w:id="615"/>
      <w:bookmarkEnd w:id="616"/>
      <w:bookmarkEnd w:id="617"/>
      <w:bookmarkEnd w:id="618"/>
      <w:bookmarkEnd w:id="619"/>
      <w:bookmarkEnd w:id="620"/>
      <w:bookmarkEnd w:id="621"/>
      <w:bookmarkEnd w:id="622"/>
    </w:p>
    <w:p>
      <w:pPr>
        <w:widowControl/>
        <w:tabs>
          <w:tab w:val="left" w:pos="420"/>
        </w:tabs>
        <w:spacing w:before="100" w:beforeAutospacing="1" w:after="100" w:afterAutospacing="1"/>
        <w:jc w:val="left"/>
        <w:outlineLvl w:val="2"/>
        <w:rPr>
          <w:rFonts w:ascii="宋体" w:hAnsi="宋体" w:cs="宋体"/>
          <w:color w:val="auto"/>
          <w:kern w:val="0"/>
          <w:sz w:val="24"/>
          <w:szCs w:val="24"/>
          <w:highlight w:val="none"/>
        </w:rPr>
      </w:pPr>
      <w:bookmarkStart w:id="623" w:name="_Toc13542"/>
      <w:bookmarkStart w:id="624" w:name="_Toc21789"/>
      <w:bookmarkStart w:id="625" w:name="_Toc562613906"/>
      <w:bookmarkStart w:id="626" w:name="_Toc11551"/>
      <w:bookmarkStart w:id="627" w:name="_Toc678572841"/>
      <w:bookmarkStart w:id="628" w:name="_Toc1818"/>
      <w:bookmarkStart w:id="629" w:name="_Toc20502"/>
      <w:bookmarkStart w:id="630" w:name="_Toc19205"/>
      <w:bookmarkStart w:id="631" w:name="_Toc469383999"/>
      <w:r>
        <w:rPr>
          <w:rFonts w:hint="eastAsia" w:ascii="宋体" w:hAnsi="宋体" w:cs="宋体"/>
          <w:color w:val="auto"/>
          <w:kern w:val="0"/>
          <w:sz w:val="24"/>
          <w:szCs w:val="24"/>
          <w:highlight w:val="none"/>
        </w:rPr>
        <w:t>19  发包人</w:t>
      </w:r>
      <w:bookmarkEnd w:id="623"/>
      <w:bookmarkEnd w:id="624"/>
      <w:bookmarkEnd w:id="625"/>
      <w:bookmarkEnd w:id="626"/>
      <w:bookmarkEnd w:id="627"/>
      <w:bookmarkEnd w:id="628"/>
      <w:bookmarkEnd w:id="629"/>
      <w:bookmarkEnd w:id="630"/>
      <w:bookmarkEnd w:id="631"/>
    </w:p>
    <w:p>
      <w:pPr>
        <w:tabs>
          <w:tab w:val="left" w:pos="1620"/>
        </w:tabs>
        <w:ind w:left="-2" w:leftChars="-1" w:firstLine="1"/>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19.1                                                        </w:t>
      </w:r>
    </w:p>
    <w:p>
      <w:pPr>
        <w:tabs>
          <w:tab w:val="left" w:pos="1620"/>
        </w:tabs>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78" name="文本框 378"/>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FGdxV0cAgAA&#10;JgQAAA4AAAAAAAAAAQAgAAAAJA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宋体"/>
          <w:color w:val="auto"/>
          <w:sz w:val="24"/>
          <w:szCs w:val="24"/>
          <w:highlight w:val="none"/>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pPr>
        <w:tabs>
          <w:tab w:val="left" w:pos="1620"/>
        </w:tabs>
        <w:spacing w:line="360" w:lineRule="auto"/>
        <w:ind w:left="-2" w:leftChars="-1" w:firstLine="1"/>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19.2 </w:t>
      </w:r>
    </w:p>
    <w:p>
      <w:pPr>
        <w:spacing w:line="360" w:lineRule="auto"/>
        <w:ind w:left="1676" w:leftChars="798" w:firstLine="3"/>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77" name="文本框 377"/>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3.85pt;width:72pt;z-index:251717632;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O1/fGccAgAA&#10;JgQAAA4AAAAAAAAAAQAgAAAAJA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宋体" w:hAnsi="宋体" w:cs="宋体"/>
          <w:color w:val="auto"/>
          <w:sz w:val="24"/>
          <w:szCs w:val="24"/>
          <w:highlight w:val="none"/>
        </w:rPr>
        <w:t>发包人应按照合同约定完成下列工作，包括但不限于：</w:t>
      </w:r>
    </w:p>
    <w:p>
      <w:pPr>
        <w:numPr>
          <w:ilvl w:val="0"/>
          <w:numId w:val="9"/>
        </w:numPr>
        <w:tabs>
          <w:tab w:val="left" w:pos="1080"/>
          <w:tab w:val="left" w:pos="1470"/>
          <w:tab w:val="left" w:pos="1980"/>
        </w:tabs>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办理土地征用、拆迁、平整施工场地等工作，使施工场地具备施工条件，并在开工后继续负责解决上述工作遗留的问题；</w:t>
      </w:r>
    </w:p>
    <w:p>
      <w:pPr>
        <w:numPr>
          <w:ilvl w:val="0"/>
          <w:numId w:val="9"/>
        </w:numPr>
        <w:tabs>
          <w:tab w:val="left" w:pos="1080"/>
          <w:tab w:val="left" w:pos="1470"/>
          <w:tab w:val="left" w:pos="1980"/>
        </w:tabs>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将施工所需水、电、通讯线路从施工场地外部接驳至专用条款约定的地点，保证施工期间的需要；</w:t>
      </w:r>
    </w:p>
    <w:p>
      <w:pPr>
        <w:numPr>
          <w:ilvl w:val="0"/>
          <w:numId w:val="9"/>
        </w:numPr>
        <w:tabs>
          <w:tab w:val="left" w:pos="1080"/>
          <w:tab w:val="left" w:pos="1470"/>
          <w:tab w:val="left" w:pos="1980"/>
        </w:tabs>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开通施工场地与城乡公共道路间的通道，满足第13条交通运输的需要；</w:t>
      </w:r>
    </w:p>
    <w:p>
      <w:pPr>
        <w:numPr>
          <w:ilvl w:val="0"/>
          <w:numId w:val="9"/>
        </w:numPr>
        <w:tabs>
          <w:tab w:val="left" w:pos="1080"/>
          <w:tab w:val="left" w:pos="1470"/>
          <w:tab w:val="left" w:pos="1980"/>
        </w:tabs>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pPr>
        <w:numPr>
          <w:ilvl w:val="0"/>
          <w:numId w:val="9"/>
        </w:numPr>
        <w:tabs>
          <w:tab w:val="left" w:pos="1080"/>
          <w:tab w:val="left" w:pos="1470"/>
          <w:tab w:val="left" w:pos="1980"/>
        </w:tabs>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办理施工许可及其他所需证件、批准文件和办理临时用地、停水、停电、中断道路交通、爆破作业等的申请批准手续（承包人自身施工资质的证件除外）；</w:t>
      </w:r>
    </w:p>
    <w:p>
      <w:pPr>
        <w:numPr>
          <w:ilvl w:val="0"/>
          <w:numId w:val="9"/>
        </w:numPr>
        <w:tabs>
          <w:tab w:val="left" w:pos="1080"/>
          <w:tab w:val="left" w:pos="1470"/>
          <w:tab w:val="left" w:pos="1980"/>
        </w:tabs>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确定水准点与坐标控制点，组织现场交验并以书面形式移交给承包人；</w:t>
      </w:r>
    </w:p>
    <w:p>
      <w:pPr>
        <w:tabs>
          <w:tab w:val="left" w:pos="1980"/>
        </w:tabs>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(7) 按照专用条款约定的时间向承包人提供一式两份约定的标准与规范；</w:t>
      </w:r>
    </w:p>
    <w:p>
      <w:pPr>
        <w:tabs>
          <w:tab w:val="left" w:pos="1080"/>
          <w:tab w:val="left" w:pos="1980"/>
        </w:tabs>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(8)组织承包人和设计人进行图纸会审和设计交底；</w:t>
      </w:r>
    </w:p>
    <w:p>
      <w:pPr>
        <w:tabs>
          <w:tab w:val="left" w:pos="1980"/>
        </w:tabs>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(9)协调处理施工场地周围地形关系问题和做好邻近建筑物、构筑物（包括文物保护建筑）、古树名木等的保护工作；</w:t>
      </w:r>
    </w:p>
    <w:p>
      <w:pPr>
        <w:tabs>
          <w:tab w:val="left" w:pos="1980"/>
        </w:tabs>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(10)及时接收已完工程，并按照合同约定及时支付工程款及其他各种款项。</w:t>
      </w:r>
    </w:p>
    <w:p>
      <w:pPr>
        <w:tabs>
          <w:tab w:val="left" w:pos="1980"/>
        </w:tabs>
        <w:spacing w:line="400" w:lineRule="exact"/>
        <w:ind w:left="1676" w:leftChars="798" w:firstLine="3"/>
        <w:rPr>
          <w:rFonts w:ascii="宋体" w:hAnsi="宋体" w:cs="宋体"/>
          <w:color w:val="auto"/>
          <w:sz w:val="24"/>
          <w:szCs w:val="20"/>
          <w:highlight w:val="none"/>
        </w:rPr>
      </w:pPr>
      <w:r>
        <w:rPr>
          <w:rFonts w:hint="eastAsia" w:ascii="宋体" w:hAnsi="宋体" w:cs="宋体"/>
          <w:color w:val="auto"/>
          <w:sz w:val="24"/>
          <w:szCs w:val="20"/>
          <w:highlight w:val="none"/>
        </w:rPr>
        <w:t>发包人可将其中部分工作委托给承包人办理，具体由合同双方当事人在专用条款中约定。除合同价款已包括外，由发包人承担所需费用，并向承包人支付合理利润。</w:t>
      </w:r>
    </w:p>
    <w:p>
      <w:pPr>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19.3 </w:t>
      </w:r>
    </w:p>
    <w:p>
      <w:pPr>
        <w:spacing w:line="360" w:lineRule="auto"/>
        <w:ind w:left="1619" w:leftChars="771" w:firstLine="2"/>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76" name="文本框 376"/>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9pt;width:72pt;z-index:251718656;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LuITtQAAAAHAQAADwAA&#10;AAAAAAABACAAAAAiAAAAZHJzL2Rvd25yZXYueG1sUEsBAhQAFAAAAAgAh07iQEU4mcwaAgAAJgQA&#10;AA4AAAAAAAAAAQAgAAAAIwEAAGRycy9lMm9Eb2MueG1sUEsFBgAAAAAGAAYAWQEAAK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宋体" w:hAnsi="宋体" w:cs="宋体"/>
          <w:color w:val="auto"/>
          <w:sz w:val="24"/>
          <w:szCs w:val="24"/>
          <w:highlight w:val="none"/>
        </w:rPr>
        <w:t>发包人应按照专用条款约定的时间提供施工场地，并在确保承包人按照计划进度顺利开工的时间内给予承包人进入和使用施工场地的权利。</w:t>
      </w:r>
    </w:p>
    <w:p>
      <w:pPr>
        <w:spacing w:line="360" w:lineRule="auto"/>
        <w:ind w:left="1619" w:leftChars="771" w:firstLine="2"/>
        <w:rPr>
          <w:rFonts w:ascii="宋体" w:hAnsi="宋体" w:cs="宋体"/>
          <w:color w:val="auto"/>
          <w:sz w:val="24"/>
          <w:szCs w:val="24"/>
          <w:highlight w:val="none"/>
        </w:rPr>
      </w:pPr>
      <w:r>
        <w:rPr>
          <w:rFonts w:hint="eastAsia" w:ascii="宋体" w:hAnsi="宋体" w:cs="宋体"/>
          <w:color w:val="auto"/>
          <w:sz w:val="24"/>
          <w:szCs w:val="24"/>
          <w:highlight w:val="none"/>
        </w:rPr>
        <w:t>发包人保留其工作人员、雇员和相关执法人员进入和使用施工场地的权利。</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19.4  </w:t>
      </w:r>
    </w:p>
    <w:p>
      <w:pPr>
        <w:spacing w:line="360" w:lineRule="auto"/>
        <w:ind w:left="1619" w:leftChars="771"/>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375" name="文本框 375"/>
                <wp:cNvGraphicFramePr/>
                <a:graphic xmlns:a="http://schemas.openxmlformats.org/drawingml/2006/main">
                  <a:graphicData uri="http://schemas.microsoft.com/office/word/2010/wordprocessingShape">
                    <wps:wsp>
                      <wps:cNvSpPr txBox="1">
                        <a:spLocks noChangeArrowheads="1"/>
                      </wps:cNvSpPr>
                      <wps:spPr bwMode="auto">
                        <a:xfrm>
                          <a:off x="0" y="0"/>
                          <a:ext cx="914400" cy="71564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56.35pt;width:72pt;z-index:251719680;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UMTuTWAAAACQEA&#10;AA8AAAAAAAAAAQAgAAAAIgAAAGRycy9kb3ducmV2LnhtbFBLAQIUABQAAAAIAIdO4kDaE5qeHAIA&#10;ACYEAAAOAAAAAAAAAAEAIAAAACU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宋体" w:hAnsi="宋体" w:cs="宋体"/>
          <w:color w:val="auto"/>
          <w:sz w:val="24"/>
          <w:szCs w:val="24"/>
          <w:highlight w:val="none"/>
        </w:rPr>
        <w:t>发包人应按照合同约定的期限和方式向承包人支付工程款及其他应支付的款项。</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19.5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374" name="文本框 374"/>
                <wp:cNvGraphicFramePr/>
                <a:graphic xmlns:a="http://schemas.openxmlformats.org/drawingml/2006/main">
                  <a:graphicData uri="http://schemas.microsoft.com/office/word/2010/wordprocessingShape">
                    <wps:wsp>
                      <wps:cNvSpPr txBox="1">
                        <a:spLocks noChangeArrowheads="1"/>
                      </wps:cNvSpPr>
                      <wps:spPr bwMode="auto">
                        <a:xfrm>
                          <a:off x="0" y="0"/>
                          <a:ext cx="914400" cy="85217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67.1pt;width:72pt;z-index:251720704;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nLHeXWAAAACQEA&#10;AA8AAAAAAAAAAQAgAAAAIgAAAGRycy9kb3ducmV2LnhtbFBLAQIUABQAAAAIAIdO4kBwmSKcHAIA&#10;ACYEAAAOAAAAAAAAAAEAIAAAACU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宋体" w:hAnsi="宋体" w:cs="宋体"/>
          <w:color w:val="auto"/>
          <w:sz w:val="24"/>
          <w:szCs w:val="24"/>
          <w:highlight w:val="none"/>
        </w:rPr>
        <w:t>发包人应按照第58条规定组织承包人、设计人、监理人和工程造价咨询人（如有）等进行竣工验收。</w:t>
      </w:r>
    </w:p>
    <w:p>
      <w:pPr>
        <w:spacing w:line="36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373" name="文本框 373"/>
                <wp:cNvGraphicFramePr/>
                <a:graphic xmlns:a="http://schemas.openxmlformats.org/drawingml/2006/main">
                  <a:graphicData uri="http://schemas.microsoft.com/office/word/2010/wordprocessingShape">
                    <wps:wsp>
                      <wps:cNvSpPr txBox="1">
                        <a:spLocks noChangeArrowheads="1"/>
                      </wps:cNvSpPr>
                      <wps:spPr bwMode="auto">
                        <a:xfrm>
                          <a:off x="0" y="0"/>
                          <a:ext cx="914400" cy="116268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5pt;height:91.55pt;width:72pt;z-index:251721728;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zItJdcAAAAK&#10;AQAADwAAAAAAAAABACAAAAAiAAAAZHJzL2Rvd25yZXYueG1sUEsBAhQAFAAAAAgAh07iQHH+SH4d&#10;AgAAJwQAAA4AAAAAAAAAAQAgAAAAJgEAAGRycy9lMm9Eb2MueG1sUEsFBgAAAAAGAAYAWQEAALU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hint="eastAsia" w:ascii="宋体" w:hAnsi="宋体" w:cs="宋体"/>
          <w:b/>
          <w:bCs/>
          <w:color w:val="auto"/>
          <w:sz w:val="24"/>
          <w:szCs w:val="24"/>
          <w:highlight w:val="none"/>
        </w:rPr>
        <w:t xml:space="preserve">19.6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发包人供应材料和工程设备的，发包人应按照第48条规定向承包人提供材料和工程设备。</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19.7  </w:t>
      </w:r>
    </w:p>
    <w:p>
      <w:pPr>
        <w:spacing w:line="360" w:lineRule="auto"/>
        <w:ind w:left="1619" w:leftChars="771" w:firstLine="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372" name="文本框 372"/>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5.4pt;width:72pt;z-index:251722752;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cPLa1AAAAAcBAAAP&#10;AAAAAAAAAAEAIAAAACIAAABkcnMvZG93bnJldi54bWxQSwECFAAUAAAACACHTuJAXqaujhwCAAAm&#10;BAAADgAAAAAAAAABACAAAAAjAQAAZHJzL2Uyb0RvYy54bWxQSwUGAAAAAAYABgBZAQAAs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宋体" w:hAnsi="宋体" w:cs="宋体"/>
          <w:color w:val="auto"/>
          <w:sz w:val="24"/>
          <w:szCs w:val="24"/>
          <w:highlight w:val="none"/>
        </w:rPr>
        <w:t>发包人未能正确完成本合同约定的全部义务，导致费用的增加和（或）延误的工期，由发包人承担；给承包人造成损失的，发包人应予赔偿。</w:t>
      </w:r>
    </w:p>
    <w:p>
      <w:pPr>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color w:val="auto"/>
          <w:kern w:val="0"/>
          <w:sz w:val="24"/>
          <w:szCs w:val="24"/>
          <w:highlight w:val="none"/>
        </w:rPr>
      </w:pPr>
      <w:bookmarkStart w:id="632" w:name="_Toc1635573117"/>
      <w:bookmarkStart w:id="633" w:name="_Toc481420401"/>
      <w:bookmarkStart w:id="634" w:name="_Toc1265"/>
      <w:bookmarkStart w:id="635" w:name="_Toc469384000"/>
      <w:bookmarkStart w:id="636" w:name="_Toc19516"/>
      <w:bookmarkStart w:id="637" w:name="_Toc9455"/>
      <w:bookmarkStart w:id="638" w:name="_Toc18306"/>
      <w:bookmarkStart w:id="639" w:name="_Toc14972"/>
      <w:bookmarkStart w:id="640" w:name="_Toc2252"/>
      <w:r>
        <w:rPr>
          <w:rFonts w:hint="eastAsia" w:ascii="宋体" w:hAnsi="宋体" w:cs="宋体"/>
          <w:color w:val="auto"/>
          <w:kern w:val="0"/>
          <w:sz w:val="24"/>
          <w:szCs w:val="24"/>
          <w:highlight w:val="none"/>
        </w:rPr>
        <w:t>20  承包人</w:t>
      </w:r>
      <w:bookmarkEnd w:id="632"/>
      <w:bookmarkEnd w:id="633"/>
      <w:bookmarkEnd w:id="634"/>
      <w:bookmarkEnd w:id="635"/>
      <w:bookmarkEnd w:id="636"/>
      <w:bookmarkEnd w:id="637"/>
      <w:bookmarkEnd w:id="638"/>
      <w:bookmarkEnd w:id="639"/>
      <w:bookmarkEnd w:id="640"/>
    </w:p>
    <w:p>
      <w:pPr>
        <w:tabs>
          <w:tab w:val="left" w:pos="1620"/>
        </w:tabs>
        <w:spacing w:line="360" w:lineRule="auto"/>
        <w:ind w:left="-2" w:leftChars="-1" w:firstLine="1"/>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20.1                                                        </w:t>
      </w:r>
    </w:p>
    <w:p>
      <w:pPr>
        <w:tabs>
          <w:tab w:val="left" w:pos="1620"/>
        </w:tabs>
        <w:spacing w:line="360" w:lineRule="auto"/>
        <w:ind w:left="1680" w:leftChars="800"/>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71" name="文本框 371"/>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3.85pt;width:72pt;z-index:251723776;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PW+zHwcAgAA&#10;JgQAAA4AAAAAAAAAAQAgAAAAJA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宋体"/>
          <w:color w:val="auto"/>
          <w:sz w:val="24"/>
          <w:szCs w:val="24"/>
          <w:highlight w:val="none"/>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 承担相应法律责任。</w:t>
      </w:r>
    </w:p>
    <w:p>
      <w:pPr>
        <w:widowControl/>
        <w:spacing w:line="360" w:lineRule="auto"/>
        <w:ind w:left="1680" w:leftChars="800"/>
        <w:jc w:val="left"/>
        <w:rPr>
          <w:rFonts w:ascii="宋体" w:hAnsi="宋体" w:cs="宋体"/>
          <w:color w:val="auto"/>
          <w:sz w:val="24"/>
          <w:szCs w:val="24"/>
          <w:highlight w:val="none"/>
        </w:rPr>
      </w:pPr>
      <w:r>
        <w:rPr>
          <w:rFonts w:hint="eastAsia" w:ascii="宋体" w:hAnsi="宋体" w:cs="宋体"/>
          <w:color w:val="auto"/>
          <w:sz w:val="24"/>
          <w:szCs w:val="24"/>
          <w:highlight w:val="none"/>
        </w:rPr>
        <w:t>承包人在本项目发包人的工程项目中存在下列行为的，将被拒绝参与发包人后续工程投标。拒绝投标时限由发包人（招标人）视严重程度确定，并在专用条款中约定。</w:t>
      </w:r>
    </w:p>
    <w:p>
      <w:pPr>
        <w:widowControl/>
        <w:spacing w:line="360" w:lineRule="auto"/>
        <w:ind w:left="1680" w:leftChars="800"/>
        <w:jc w:val="left"/>
        <w:rPr>
          <w:rFonts w:ascii="宋体" w:hAnsi="宋体" w:cs="宋体"/>
          <w:color w:val="auto"/>
          <w:sz w:val="24"/>
          <w:szCs w:val="24"/>
          <w:highlight w:val="none"/>
        </w:rPr>
      </w:pPr>
      <w:r>
        <w:rPr>
          <w:rFonts w:hint="eastAsia" w:ascii="宋体" w:hAnsi="宋体" w:cs="宋体"/>
          <w:color w:val="auto"/>
          <w:sz w:val="24"/>
          <w:szCs w:val="24"/>
          <w:highlight w:val="none"/>
        </w:rPr>
        <w:t>1.将中标工程转包或者违法分包的；</w:t>
      </w:r>
    </w:p>
    <w:p>
      <w:pPr>
        <w:widowControl/>
        <w:spacing w:line="360" w:lineRule="auto"/>
        <w:ind w:left="1680" w:leftChars="800"/>
        <w:jc w:val="left"/>
        <w:rPr>
          <w:rFonts w:ascii="宋体" w:hAnsi="宋体" w:cs="宋体"/>
          <w:color w:val="auto"/>
          <w:sz w:val="24"/>
          <w:szCs w:val="24"/>
          <w:highlight w:val="none"/>
        </w:rPr>
      </w:pPr>
      <w:r>
        <w:rPr>
          <w:rFonts w:hint="eastAsia" w:ascii="宋体" w:hAnsi="宋体" w:cs="宋体"/>
          <w:color w:val="auto"/>
          <w:sz w:val="24"/>
          <w:szCs w:val="24"/>
          <w:highlight w:val="none"/>
        </w:rPr>
        <w:t>2.在中标工程中不执行质量、安全生产相关规定的，造成质量或安全事故的；</w:t>
      </w:r>
    </w:p>
    <w:p>
      <w:pPr>
        <w:widowControl/>
        <w:spacing w:line="360" w:lineRule="auto"/>
        <w:ind w:left="1680" w:leftChars="800"/>
        <w:jc w:val="left"/>
        <w:rPr>
          <w:rFonts w:ascii="宋体" w:hAnsi="宋体" w:cs="宋体"/>
          <w:color w:val="auto"/>
          <w:sz w:val="24"/>
          <w:szCs w:val="24"/>
          <w:highlight w:val="none"/>
        </w:rPr>
      </w:pPr>
      <w:r>
        <w:rPr>
          <w:rFonts w:hint="eastAsia" w:ascii="宋体" w:hAnsi="宋体" w:cs="宋体"/>
          <w:color w:val="auto"/>
          <w:sz w:val="24"/>
          <w:szCs w:val="24"/>
          <w:highlight w:val="none"/>
        </w:rPr>
        <w:t>3.存在围标或串标情形的；</w:t>
      </w:r>
    </w:p>
    <w:p>
      <w:pPr>
        <w:widowControl/>
        <w:spacing w:line="360" w:lineRule="auto"/>
        <w:ind w:left="1680" w:leftChars="800"/>
        <w:jc w:val="left"/>
        <w:rPr>
          <w:rFonts w:ascii="宋体" w:hAnsi="宋体" w:cs="宋体"/>
          <w:color w:val="auto"/>
          <w:sz w:val="24"/>
          <w:szCs w:val="24"/>
          <w:highlight w:val="none"/>
        </w:rPr>
      </w:pPr>
      <w:r>
        <w:rPr>
          <w:rFonts w:hint="eastAsia" w:ascii="宋体" w:hAnsi="宋体" w:cs="宋体"/>
          <w:color w:val="auto"/>
          <w:sz w:val="24"/>
          <w:szCs w:val="24"/>
          <w:highlight w:val="none"/>
        </w:rPr>
        <w:t>4.存在弄虚作假骗取中标情形的；</w:t>
      </w:r>
    </w:p>
    <w:p>
      <w:pPr>
        <w:widowControl/>
        <w:spacing w:line="360" w:lineRule="auto"/>
        <w:ind w:left="1680" w:leftChars="800"/>
        <w:jc w:val="left"/>
        <w:rPr>
          <w:rFonts w:ascii="宋体" w:hAnsi="宋体" w:cs="宋体"/>
          <w:color w:val="auto"/>
          <w:sz w:val="24"/>
          <w:szCs w:val="24"/>
          <w:highlight w:val="none"/>
        </w:rPr>
      </w:pPr>
      <w:r>
        <w:rPr>
          <w:rFonts w:hint="eastAsia" w:ascii="宋体" w:hAnsi="宋体" w:cs="宋体"/>
          <w:color w:val="auto"/>
          <w:sz w:val="24"/>
          <w:szCs w:val="24"/>
          <w:highlight w:val="none"/>
        </w:rPr>
        <w:t>5.存在因过错行为被生效法律文书认定承担违约或侵权责任的。</w:t>
      </w:r>
    </w:p>
    <w:p>
      <w:pPr>
        <w:tabs>
          <w:tab w:val="left" w:pos="1620"/>
        </w:tabs>
        <w:spacing w:line="360" w:lineRule="auto"/>
        <w:ind w:left="1619" w:leftChars="771"/>
        <w:rPr>
          <w:rFonts w:ascii="宋体" w:hAnsi="宋体" w:cs="宋体"/>
          <w:color w:val="auto"/>
          <w:sz w:val="24"/>
          <w:szCs w:val="24"/>
          <w:highlight w:val="none"/>
        </w:rPr>
      </w:pPr>
    </w:p>
    <w:p>
      <w:pPr>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20.2</w:t>
      </w:r>
    </w:p>
    <w:p>
      <w:pPr>
        <w:spacing w:line="360" w:lineRule="auto"/>
        <w:ind w:left="1674" w:leftChars="797" w:firstLine="5"/>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370" name="文本框 370"/>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29.4pt;width:72pt;z-index:251724800;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in7aPUAAAABwEAAA8A&#10;AAAAAAAAAQAgAAAAIgAAAGRycy9kb3ducmV2LnhtbFBLAQIUABQAAAAIAIdO4kBQMd+xGwIAACYE&#10;AAAOAAAAAAAAAAEAIAAAACMBAABkcnMvZTJvRG9jLnhtbFBLBQYAAAAABgAGAFkBAAC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宋体" w:hAnsi="宋体" w:cs="宋体"/>
          <w:color w:val="auto"/>
          <w:sz w:val="24"/>
          <w:szCs w:val="24"/>
          <w:highlight w:val="none"/>
        </w:rPr>
        <w:t>承包人应按照合同约定完成下列工作，包括但不限于：</w:t>
      </w:r>
    </w:p>
    <w:p>
      <w:pPr>
        <w:numPr>
          <w:ilvl w:val="0"/>
          <w:numId w:val="10"/>
        </w:numPr>
        <w:tabs>
          <w:tab w:val="left" w:pos="1980"/>
        </w:tabs>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按照合同约定和监理工程师的指令实施、完成并保修合同工程；</w:t>
      </w:r>
    </w:p>
    <w:p>
      <w:pPr>
        <w:numPr>
          <w:ilvl w:val="0"/>
          <w:numId w:val="10"/>
        </w:numPr>
        <w:tabs>
          <w:tab w:val="left" w:pos="1980"/>
        </w:tabs>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按照合同约定和监理工程师的要求提交工程进度报告和进度计划；</w:t>
      </w:r>
    </w:p>
    <w:p>
      <w:pPr>
        <w:numPr>
          <w:ilvl w:val="0"/>
          <w:numId w:val="10"/>
        </w:numPr>
        <w:tabs>
          <w:tab w:val="left" w:pos="1980"/>
        </w:tabs>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按照合同约定和造价工程师的要求提交支付申请和工程款报告，包括绿色施工安全防护费、进度款、结算款和调整合同价款等；</w:t>
      </w:r>
    </w:p>
    <w:p>
      <w:pPr>
        <w:numPr>
          <w:ilvl w:val="0"/>
          <w:numId w:val="10"/>
        </w:numPr>
        <w:tabs>
          <w:tab w:val="left" w:pos="1980"/>
        </w:tabs>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负责施工场地安全保卫工作，防止因工程施工造成的人身伤害和财产损失，提供和维修非夜间施工使用的照明、围栏设施等安全标志；</w:t>
      </w:r>
    </w:p>
    <w:p>
      <w:pPr>
        <w:numPr>
          <w:ilvl w:val="0"/>
          <w:numId w:val="10"/>
        </w:numPr>
        <w:tabs>
          <w:tab w:val="left" w:pos="1980"/>
        </w:tabs>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pPr>
        <w:numPr>
          <w:ilvl w:val="0"/>
          <w:numId w:val="10"/>
        </w:numPr>
        <w:tabs>
          <w:tab w:val="left" w:pos="1980"/>
        </w:tabs>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遵守政府部门有关施工场地交通、环境保护、施工噪声、绿色施工安全防护等的管理规定，办理有关手续，并以书面形式通知发包人，费用按政府有关部门相关文件规定由发（承）包人各自承担；</w:t>
      </w:r>
    </w:p>
    <w:p>
      <w:pPr>
        <w:numPr>
          <w:ilvl w:val="0"/>
          <w:numId w:val="10"/>
        </w:numPr>
        <w:tabs>
          <w:tab w:val="left" w:pos="1980"/>
        </w:tabs>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pPr>
        <w:numPr>
          <w:ilvl w:val="0"/>
          <w:numId w:val="10"/>
        </w:numPr>
        <w:tabs>
          <w:tab w:val="left" w:pos="1980"/>
        </w:tabs>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做好施工场地地下管线和邻近建筑物、构筑物（包括文物保护建筑）、古树名木的保护工作；</w:t>
      </w:r>
    </w:p>
    <w:p>
      <w:pPr>
        <w:numPr>
          <w:ilvl w:val="0"/>
          <w:numId w:val="10"/>
        </w:numPr>
        <w:tabs>
          <w:tab w:val="left" w:pos="1980"/>
        </w:tabs>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遵守政府部门有关环境卫生的管理规定，保证施工场地的清洁和做好交工前施工现场的清理工作，并承担因自身责任造成的损失和罚款；</w:t>
      </w:r>
    </w:p>
    <w:p>
      <w:pPr>
        <w:numPr>
          <w:ilvl w:val="0"/>
          <w:numId w:val="10"/>
        </w:numPr>
        <w:tabs>
          <w:tab w:val="left" w:pos="1980"/>
        </w:tabs>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工程完工后，应按照合同约定提交竣工验收申请报告和竣工结算文件。</w:t>
      </w:r>
    </w:p>
    <w:p>
      <w:pPr>
        <w:tabs>
          <w:tab w:val="left" w:pos="4970"/>
        </w:tabs>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20.3   </w:t>
      </w:r>
    </w:p>
    <w:p>
      <w:pPr>
        <w:tabs>
          <w:tab w:val="left" w:pos="4970"/>
        </w:tabs>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69" name="文本框 369"/>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6.8pt;width:72pt;z-index:251725824;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Ee7oIMcAgAA&#10;JgQAAA4AAAAAAAAAAQAgAAAAJA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宋体" w:hAnsi="宋体" w:cs="宋体"/>
          <w:color w:val="auto"/>
          <w:sz w:val="24"/>
          <w:szCs w:val="24"/>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pPr>
        <w:tabs>
          <w:tab w:val="left" w:pos="4970"/>
        </w:tabs>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20.4   </w:t>
      </w:r>
    </w:p>
    <w:p>
      <w:pPr>
        <w:tabs>
          <w:tab w:val="left" w:pos="4970"/>
        </w:tabs>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368" name="文本框 368"/>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pt;height:79.05pt;width:72pt;z-index:251726848;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v4EJ1gAAAAkB&#10;AAAPAAAAAAAAAAEAIAAAACIAAABkcnMvZG93bnJldi54bWxQSwECFAAUAAAACACHTuJALPyy6B0C&#10;AAAnBAAADgAAAAAAAAABACAAAAAlAQAAZHJzL2Uyb0RvYy54bWxQSwUGAAAAAAYABgBZAQAAtAUA&#10;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宋体" w:hAnsi="宋体" w:cs="宋体"/>
          <w:color w:val="auto"/>
          <w:sz w:val="24"/>
          <w:szCs w:val="24"/>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pPr>
        <w:tabs>
          <w:tab w:val="left" w:pos="4970"/>
        </w:tabs>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20.5 </w:t>
      </w:r>
    </w:p>
    <w:p>
      <w:pPr>
        <w:tabs>
          <w:tab w:val="left" w:pos="0"/>
          <w:tab w:val="left" w:pos="4970"/>
        </w:tabs>
        <w:spacing w:line="400" w:lineRule="exact"/>
        <w:ind w:left="1703" w:leftChars="771" w:hanging="84" w:hangingChars="35"/>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367" name="文本框 367"/>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51.8pt;width:72pt;z-index:251727872;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Qt8D1AAAAAkBAAAP&#10;AAAAAAAAAAEAIAAAACIAAABkcnMvZG93bnJldi54bWxQSwECFAAUAAAACACHTuJAhXTpjh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承包人为发包人的人员提供配合</w:t>
                      </w:r>
                    </w:p>
                  </w:txbxContent>
                </v:textbox>
              </v:shape>
            </w:pict>
          </mc:Fallback>
        </mc:AlternateContent>
      </w:r>
      <w:r>
        <w:rPr>
          <w:rFonts w:hint="eastAsia" w:ascii="宋体" w:hAnsi="宋体" w:cs="宋体"/>
          <w:color w:val="auto"/>
          <w:sz w:val="24"/>
          <w:szCs w:val="20"/>
          <w:highlight w:val="none"/>
        </w:rPr>
        <w:t>承包人应按照合同约定或监理工程师的指令，配合和协助下述人员在施工场地及其附近实施与合同工程有关的各项工作：</w:t>
      </w:r>
    </w:p>
    <w:p>
      <w:pPr>
        <w:tabs>
          <w:tab w:val="left" w:pos="1980"/>
          <w:tab w:val="left" w:pos="4970"/>
        </w:tabs>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（1）发包人的工作人员；</w:t>
      </w:r>
    </w:p>
    <w:p>
      <w:pPr>
        <w:tabs>
          <w:tab w:val="left" w:pos="1980"/>
          <w:tab w:val="left" w:pos="4970"/>
        </w:tabs>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（2）发包人的雇员；</w:t>
      </w:r>
    </w:p>
    <w:p>
      <w:pPr>
        <w:tabs>
          <w:tab w:val="left" w:pos="1980"/>
          <w:tab w:val="left" w:pos="4970"/>
        </w:tabs>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（3）任何监督管理机构的执法人员。</w:t>
      </w:r>
    </w:p>
    <w:p>
      <w:pPr>
        <w:tabs>
          <w:tab w:val="left" w:pos="2520"/>
        </w:tabs>
        <w:spacing w:line="400" w:lineRule="exact"/>
        <w:ind w:left="1619" w:leftChars="771"/>
        <w:rPr>
          <w:rFonts w:ascii="宋体" w:hAnsi="宋体" w:cs="宋体"/>
          <w:color w:val="auto"/>
          <w:sz w:val="24"/>
          <w:szCs w:val="20"/>
          <w:highlight w:val="none"/>
        </w:rPr>
      </w:pPr>
      <w:r>
        <w:rPr>
          <w:rFonts w:hint="eastAsia" w:ascii="宋体" w:hAnsi="宋体" w:cs="宋体"/>
          <w:color w:val="auto"/>
          <w:sz w:val="24"/>
          <w:szCs w:val="20"/>
          <w:highlight w:val="none"/>
        </w:rPr>
        <w:t>此类指令若增加了承包人的工作或支出，包括使用了承包人的设备、临时工程或通行道路等，则视为工程变更，按照第72条规定调整合同价款。</w:t>
      </w:r>
    </w:p>
    <w:p>
      <w:pPr>
        <w:tabs>
          <w:tab w:val="left" w:pos="4970"/>
        </w:tabs>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20.6  </w:t>
      </w:r>
    </w:p>
    <w:p>
      <w:pPr>
        <w:tabs>
          <w:tab w:val="left" w:pos="4970"/>
        </w:tabs>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66" name="文本框 366"/>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62.4pt;width:72pt;z-index:25172889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k2VHNUAAAAIAQAA&#10;DwAAAAAAAAABACAAAAAiAAAAZHJzL2Rvd25yZXYueG1sUEsBAhQAFAAAAAgAh07iQMVVpx4cAgAA&#10;JgQAAA4AAAAAAAAAAQAgAAAAJAEAAGRycy9lMm9Eb2MueG1sUEsFBgAAAAAGAAYAWQEAALIFAAAA&#10;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宋体" w:hAnsi="宋体" w:cs="宋体"/>
          <w:color w:val="auto"/>
          <w:sz w:val="24"/>
          <w:szCs w:val="24"/>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tabs>
          <w:tab w:val="left" w:pos="4970"/>
        </w:tabs>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20.7  </w:t>
      </w:r>
    </w:p>
    <w:p>
      <w:pPr>
        <w:tabs>
          <w:tab w:val="left" w:pos="4970"/>
        </w:tabs>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65" name="文本框 36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9pt;width:72pt;z-index:251729920;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LuITtQAAAAHAQAADwAA&#10;AAAAAAABACAAAAAiAAAAZHJzL2Rvd25yZXYueG1sUEsBAhQAFAAAAAgAh07iQC+okCsaAgAAJgQA&#10;AA4AAAAAAAAAAQAgAAAAIwEAAGRycy9lMm9Eb2MueG1sUEsFBgAAAAAGAAYAWQEAAK8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宋体" w:hAnsi="宋体" w:cs="宋体"/>
          <w:color w:val="auto"/>
          <w:sz w:val="24"/>
          <w:szCs w:val="24"/>
          <w:highlight w:val="none"/>
        </w:rPr>
        <w:t>承包人未能正确完成本合同约定的全部义务，导致费用的增加和（或）延误的工期，由承包人承担；给发包人造成损失的，承包人应予赔偿。</w:t>
      </w:r>
    </w:p>
    <w:p>
      <w:pPr>
        <w:adjustRightInd w:val="0"/>
        <w:snapToGrid w:val="0"/>
        <w:spacing w:line="480" w:lineRule="auto"/>
        <w:ind w:right="-238"/>
        <w:rPr>
          <w:rFonts w:ascii="宋体" w:hAnsi="宋体" w:cs="宋体"/>
          <w:b/>
          <w:bCs/>
          <w:color w:val="auto"/>
          <w:sz w:val="24"/>
          <w:szCs w:val="24"/>
          <w:highlight w:val="none"/>
          <w:u w:val="single"/>
        </w:rPr>
      </w:pPr>
    </w:p>
    <w:p>
      <w:pPr>
        <w:adjustRightInd w:val="0"/>
        <w:snapToGrid w:val="0"/>
        <w:spacing w:before="312" w:beforeLines="100" w:line="360" w:lineRule="auto"/>
        <w:outlineLvl w:val="2"/>
        <w:rPr>
          <w:rFonts w:ascii="宋体" w:hAnsi="宋体" w:cs="宋体"/>
          <w:b/>
          <w:bCs/>
          <w:color w:val="auto"/>
          <w:sz w:val="24"/>
          <w:szCs w:val="24"/>
          <w:highlight w:val="none"/>
        </w:rPr>
      </w:pPr>
      <w:bookmarkStart w:id="641" w:name="_Toc26993"/>
      <w:bookmarkStart w:id="642" w:name="_Toc1661781358"/>
      <w:bookmarkStart w:id="643" w:name="_Toc20094"/>
      <w:bookmarkStart w:id="644" w:name="_Toc469384001"/>
      <w:bookmarkStart w:id="645" w:name="_Toc1286695819"/>
      <w:bookmarkStart w:id="646" w:name="_Toc13315"/>
      <w:bookmarkStart w:id="647" w:name="_Toc22205"/>
      <w:bookmarkStart w:id="648" w:name="_Toc24557"/>
      <w:bookmarkStart w:id="649" w:name="_Toc27849"/>
      <w:r>
        <w:rPr>
          <w:rFonts w:hint="eastAsia" w:ascii="宋体" w:hAnsi="宋体" w:cs="宋体"/>
          <w:b/>
          <w:bCs/>
          <w:color w:val="auto"/>
          <w:sz w:val="24"/>
          <w:szCs w:val="24"/>
          <w:highlight w:val="none"/>
        </w:rPr>
        <w:t>21  现场管理人员任命和更换</w:t>
      </w:r>
      <w:bookmarkEnd w:id="641"/>
      <w:bookmarkEnd w:id="642"/>
      <w:bookmarkEnd w:id="643"/>
      <w:bookmarkEnd w:id="644"/>
      <w:bookmarkEnd w:id="645"/>
      <w:bookmarkEnd w:id="646"/>
      <w:bookmarkEnd w:id="647"/>
      <w:bookmarkEnd w:id="648"/>
      <w:bookmarkEnd w:id="649"/>
    </w:p>
    <w:p>
      <w:pPr>
        <w:tabs>
          <w:tab w:val="left" w:pos="1320"/>
        </w:tabs>
        <w:adjustRightInd w:val="0"/>
        <w:snapToGrid w:val="0"/>
        <w:spacing w:line="360" w:lineRule="auto"/>
        <w:ind w:right="-240"/>
        <w:rPr>
          <w:rFonts w:ascii="宋体" w:hAnsi="宋体" w:cs="宋体"/>
          <w:b/>
          <w:bCs/>
          <w:color w:val="auto"/>
          <w:sz w:val="24"/>
          <w:szCs w:val="24"/>
          <w:highlight w:val="none"/>
        </w:rPr>
      </w:pPr>
      <w:r>
        <w:rPr>
          <w:rFonts w:hint="eastAsia" w:ascii="宋体" w:hAnsi="宋体" w:cs="宋体"/>
          <w:b/>
          <w:bCs/>
          <w:color w:val="auto"/>
          <w:sz w:val="24"/>
          <w:szCs w:val="24"/>
          <w:highlight w:val="none"/>
        </w:rPr>
        <w:t>21.1</w:t>
      </w:r>
    </w:p>
    <w:p>
      <w:pPr>
        <w:adjustRightInd w:val="0"/>
        <w:snapToGrid w:val="0"/>
        <w:spacing w:line="360" w:lineRule="auto"/>
        <w:ind w:left="1619" w:leftChars="771" w:firstLine="2"/>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364" name="文本框 364"/>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47.45pt;width:72pt;z-index:251730944;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E3W/nUAAAACAEAAA8A&#10;AAAAAAAAAQAgAAAAIgAAAGRycy9kb3ducmV2LnhtbFBLAQIUABQAAAAIAIdO4kCjEpwA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ascii="宋体" w:hAnsi="宋体" w:cs="宋体"/>
          <w:color w:val="auto"/>
          <w:sz w:val="24"/>
          <w:szCs w:val="24"/>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pPr>
        <w:adjustRightInd w:val="0"/>
        <w:snapToGrid w:val="0"/>
        <w:spacing w:line="360" w:lineRule="auto"/>
        <w:ind w:left="1619" w:leftChars="771" w:firstLine="2"/>
        <w:rPr>
          <w:rFonts w:ascii="宋体" w:hAnsi="宋体" w:cs="宋体"/>
          <w:color w:val="auto"/>
          <w:sz w:val="24"/>
          <w:szCs w:val="24"/>
          <w:highlight w:val="none"/>
        </w:rPr>
      </w:pPr>
      <w:r>
        <w:rPr>
          <w:rFonts w:hint="eastAsia" w:ascii="宋体" w:hAnsi="宋体" w:cs="宋体"/>
          <w:color w:val="auto"/>
          <w:sz w:val="24"/>
          <w:szCs w:val="24"/>
          <w:highlight w:val="none"/>
        </w:rPr>
        <w:t>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pPr>
        <w:tabs>
          <w:tab w:val="left" w:pos="1320"/>
          <w:tab w:val="left" w:pos="1620"/>
        </w:tabs>
        <w:adjustRightInd w:val="0"/>
        <w:snapToGrid w:val="0"/>
        <w:spacing w:line="360" w:lineRule="auto"/>
        <w:ind w:right="-238"/>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21.2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363" name="文本框 363"/>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65pt;height:36pt;width:72pt;z-index:251731968;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TAn6dYAAAAJAQAADwAA&#10;AAAAAAABACAAAAAiAAAAZHJzL2Rvd25yZXYueG1sUEsBAhQAFAAAAAgAh07iQDMf7pkYAgAAJg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ascii="宋体" w:hAnsi="宋体" w:cs="宋体"/>
          <w:color w:val="auto"/>
          <w:sz w:val="24"/>
          <w:szCs w:val="24"/>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pPr>
        <w:tabs>
          <w:tab w:val="left" w:pos="1320"/>
        </w:tabs>
        <w:adjustRightInd w:val="0"/>
        <w:snapToGrid w:val="0"/>
        <w:spacing w:line="360" w:lineRule="auto"/>
        <w:ind w:right="-238"/>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21.3  </w:t>
      </w:r>
    </w:p>
    <w:p>
      <w:pPr>
        <w:adjustRightInd w:val="0"/>
        <w:snapToGrid w:val="0"/>
        <w:spacing w:line="360" w:lineRule="auto"/>
        <w:ind w:left="1619" w:leftChars="771"/>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32992"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362" name="文本框 362"/>
                <wp:cNvGraphicFramePr/>
                <a:graphic xmlns:a="http://schemas.openxmlformats.org/drawingml/2006/main">
                  <a:graphicData uri="http://schemas.microsoft.com/office/word/2010/wordprocessingShape">
                    <wps:wsp>
                      <wps:cNvSpPr txBox="1">
                        <a:spLocks noChangeArrowheads="1"/>
                      </wps:cNvSpPr>
                      <wps:spPr bwMode="auto">
                        <a:xfrm>
                          <a:off x="0" y="0"/>
                          <a:ext cx="1231900" cy="7207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6pt;margin-top:3.65pt;height:56.75pt;width:97pt;z-index:251732992;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FZcj1QAAAAkB&#10;AAAPAAAAAAAAAAEAIAAAACIAAABkcnMvZG93bnJldi54bWxQSwECFAAUAAAACACHTuJA7DrwgB4C&#10;AAAn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ascii="宋体" w:hAnsi="宋体" w:cs="宋体"/>
          <w:color w:val="auto"/>
          <w:sz w:val="24"/>
          <w:szCs w:val="24"/>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7天以书面形式通知承包人。未将有关文件送交承包人之前，任何此类任命或撤回均为无效。</w:t>
      </w:r>
    </w:p>
    <w:p>
      <w:pPr>
        <w:tabs>
          <w:tab w:val="left" w:pos="1320"/>
        </w:tabs>
        <w:adjustRightInd w:val="0"/>
        <w:snapToGrid w:val="0"/>
        <w:spacing w:line="360" w:lineRule="auto"/>
        <w:ind w:right="-238"/>
        <w:rPr>
          <w:rFonts w:ascii="宋体" w:hAnsi="宋体" w:cs="宋体"/>
          <w:color w:val="auto"/>
          <w:sz w:val="24"/>
          <w:szCs w:val="24"/>
          <w:highlight w:val="none"/>
        </w:rPr>
      </w:pPr>
      <w:r>
        <w:rPr>
          <w:rFonts w:hint="eastAsia" w:ascii="宋体" w:hAnsi="宋体" w:cs="宋体"/>
          <w:b/>
          <w:bCs/>
          <w:color w:val="auto"/>
          <w:sz w:val="24"/>
          <w:szCs w:val="24"/>
          <w:highlight w:val="none"/>
        </w:rPr>
        <w:t xml:space="preserve">21.4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361" name="文本框 361"/>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8pt;height:44.05pt;width:72pt;z-index:251734016;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XiDhnWAAAACAEA&#10;AA8AAAAAAAAAAQAgAAAAIgAAAGRycy9kb3ducmV2LnhtbFBLAQIUABQAAAAIAIdO4kDdoqCc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ascii="宋体" w:hAnsi="宋体" w:cs="宋体"/>
          <w:color w:val="auto"/>
          <w:sz w:val="24"/>
          <w:szCs w:val="24"/>
          <w:highlight w:val="none"/>
        </w:rPr>
        <w:t>除合同约定或依法应由承包人代表行使的职权外，承包人代表可将其职权以书面形式授予其任命的合格人选，亦可将其授权撤回。任何此类任命或撤回，均应至少提前7天以书面形式通知发包人和监理工程师、造价工程师。未将有关文件提交发包人和监理工程师、造价工程师之前，任何此类任命或撤回均为无效。</w:t>
      </w:r>
    </w:p>
    <w:p>
      <w:pPr>
        <w:spacing w:line="360" w:lineRule="auto"/>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color w:val="auto"/>
          <w:kern w:val="0"/>
          <w:sz w:val="24"/>
          <w:szCs w:val="24"/>
          <w:highlight w:val="none"/>
        </w:rPr>
      </w:pPr>
      <w:bookmarkStart w:id="650" w:name="_Toc31533"/>
      <w:bookmarkStart w:id="651" w:name="_Toc336304643"/>
      <w:bookmarkStart w:id="652" w:name="_Toc22162"/>
      <w:bookmarkStart w:id="653" w:name="_Toc32767"/>
      <w:bookmarkStart w:id="654" w:name="_Toc22224"/>
      <w:bookmarkStart w:id="655" w:name="_Toc8667"/>
      <w:bookmarkStart w:id="656" w:name="_Toc1534454671"/>
      <w:bookmarkStart w:id="657" w:name="_Toc19546"/>
      <w:bookmarkStart w:id="658" w:name="_Toc469384002"/>
      <w:r>
        <w:rPr>
          <w:rFonts w:hint="eastAsia" w:ascii="宋体" w:hAnsi="宋体" w:cs="宋体"/>
          <w:color w:val="auto"/>
          <w:kern w:val="0"/>
          <w:sz w:val="24"/>
          <w:szCs w:val="24"/>
          <w:highlight w:val="none"/>
        </w:rPr>
        <w:t>22  发包人代表</w:t>
      </w:r>
      <w:bookmarkEnd w:id="650"/>
      <w:bookmarkEnd w:id="651"/>
      <w:bookmarkEnd w:id="652"/>
      <w:bookmarkEnd w:id="653"/>
      <w:bookmarkEnd w:id="654"/>
      <w:bookmarkEnd w:id="655"/>
      <w:bookmarkEnd w:id="656"/>
      <w:bookmarkEnd w:id="657"/>
      <w:bookmarkEnd w:id="658"/>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22.1                           </w:t>
      </w:r>
    </w:p>
    <w:p>
      <w:pPr>
        <w:tabs>
          <w:tab w:val="left" w:pos="0"/>
        </w:tabs>
        <w:spacing w:line="400" w:lineRule="exact"/>
        <w:ind w:left="1680" w:leftChars="800"/>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360" name="文本框 360"/>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2pt;height:34.9pt;width:72pt;z-index:251735040;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u6wF1QAAAAgBAAAP&#10;AAAAAAAAAAEAIAAAACIAAABkcnMvZG93bnJldi54bWxQSwECFAAUAAAACACHTuJA7sr7Xx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宋体" w:hAnsi="宋体" w:cs="宋体"/>
          <w:color w:val="auto"/>
          <w:sz w:val="24"/>
          <w:szCs w:val="20"/>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22.2   </w:t>
      </w:r>
    </w:p>
    <w:p>
      <w:pPr>
        <w:tabs>
          <w:tab w:val="left" w:pos="0"/>
        </w:tabs>
        <w:spacing w:line="400" w:lineRule="exact"/>
        <w:ind w:left="1678" w:leftChars="799"/>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359" name="文本框 35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pt;height:31.2pt;width:72pt;z-index:251736064;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Nje27WAAAACQEA&#10;AA8AAAAAAAAAAQAgAAAAIgAAAGRycy9kb3ducmV2LnhtbFBLAQIUABQAAAAIAIdO4kDShiLi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宋体" w:hAnsi="宋体" w:cs="宋体"/>
          <w:color w:val="auto"/>
          <w:sz w:val="24"/>
          <w:szCs w:val="20"/>
          <w:highlight w:val="none"/>
        </w:rPr>
        <w:t>发包人代表应代表发包人履行合同规定的职责、行使合同明文规定和必然隐含的权力，对发包人负责。发包人代表在发包人授予职权范围内工作，发包人应予认可。</w:t>
      </w:r>
    </w:p>
    <w:p>
      <w:pPr>
        <w:spacing w:line="360" w:lineRule="auto"/>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bCs/>
          <w:color w:val="auto"/>
          <w:kern w:val="0"/>
          <w:sz w:val="24"/>
          <w:szCs w:val="24"/>
          <w:highlight w:val="none"/>
        </w:rPr>
      </w:pPr>
      <w:bookmarkStart w:id="659" w:name="_Toc448538674"/>
      <w:bookmarkStart w:id="660" w:name="_Toc27776"/>
      <w:bookmarkStart w:id="661" w:name="_Toc15098"/>
      <w:bookmarkStart w:id="662" w:name="_Toc18175"/>
      <w:bookmarkStart w:id="663" w:name="_Toc469384003"/>
      <w:bookmarkStart w:id="664" w:name="_Toc22424"/>
      <w:bookmarkStart w:id="665" w:name="_Toc13055"/>
      <w:bookmarkStart w:id="666" w:name="_Toc95175997"/>
      <w:bookmarkStart w:id="667" w:name="_Toc10225"/>
      <w:r>
        <w:rPr>
          <w:rFonts w:hint="eastAsia" w:ascii="宋体" w:hAnsi="宋体" w:cs="宋体"/>
          <w:bCs/>
          <w:color w:val="auto"/>
          <w:kern w:val="0"/>
          <w:sz w:val="24"/>
          <w:szCs w:val="24"/>
          <w:highlight w:val="none"/>
        </w:rPr>
        <w:t>23  监理工程师</w:t>
      </w:r>
      <w:bookmarkEnd w:id="659"/>
      <w:bookmarkEnd w:id="660"/>
      <w:bookmarkEnd w:id="661"/>
      <w:bookmarkEnd w:id="662"/>
      <w:bookmarkEnd w:id="663"/>
      <w:bookmarkEnd w:id="664"/>
      <w:bookmarkEnd w:id="665"/>
      <w:bookmarkEnd w:id="666"/>
      <w:bookmarkEnd w:id="667"/>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23.1  </w:t>
      </w:r>
    </w:p>
    <w:p>
      <w:pPr>
        <w:tabs>
          <w:tab w:val="left" w:pos="0"/>
        </w:tabs>
        <w:spacing w:line="400" w:lineRule="exact"/>
        <w:ind w:left="1678" w:leftChars="799"/>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358" name="文本框 358"/>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发包人对监理工程师授权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2pt;height:30.7pt;width:72pt;z-index:251737088;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hgEgtUAAAAIAQAA&#10;DwAAAAAAAAABACAAAAAiAAAAZHJzL2Rvd25yZXYueG1sUEsBAhQAFAAAAAgAh07iQF+B2Xs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发包人对监理工程师授权</w:t>
                      </w:r>
                    </w:p>
                  </w:txbxContent>
                </v:textbox>
              </v:shape>
            </w:pict>
          </mc:Fallback>
        </mc:AlternateContent>
      </w:r>
      <w:r>
        <w:rPr>
          <w:rFonts w:hint="eastAsia" w:ascii="宋体" w:hAnsi="宋体" w:cs="宋体"/>
          <w:color w:val="auto"/>
          <w:sz w:val="24"/>
          <w:szCs w:val="20"/>
          <w:highlight w:val="none"/>
        </w:rPr>
        <w:t>发包人应在专用条款中写明负责合同工程监理专业技术的监理人名称和监理工程师具体人选，并在开工前将监理工程师任命书以书面形式通知承包人，授予其代表发包人履行合同规定职责所需的权力。</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23.2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357" name="文本框 357"/>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pt;height:38.1pt;width:72pt;z-index:251738112;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YTtUAAAAIAQAA&#10;DwAAAAAAAAABACAAAAAiAAAAZHJzL2Rvd25yZXYueG1sUEsBAhQAFAAAAAgAh07iQGb2WmY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宋体" w:hAnsi="宋体" w:cs="宋体"/>
          <w:color w:val="auto"/>
          <w:sz w:val="24"/>
          <w:szCs w:val="24"/>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23.3  </w:t>
      </w:r>
    </w:p>
    <w:p>
      <w:pPr>
        <w:spacing w:line="360" w:lineRule="auto"/>
        <w:ind w:left="1676" w:leftChars="798" w:firstLine="3"/>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356" name="文本框 356"/>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4pt;height:32.3pt;width:72pt;z-index:251739136;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wS2h1QAAAAkBAAAP&#10;AAAAAAAAAAEAIAAAACIAAABkcnMvZG93bnJldi54bWxQSwECFAAUAAAACACHTuJARXHMyB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宋体" w:hAnsi="宋体" w:cs="宋体"/>
          <w:color w:val="auto"/>
          <w:sz w:val="24"/>
          <w:szCs w:val="24"/>
          <w:highlight w:val="none"/>
        </w:rPr>
        <w:t>除属于第86条规定的争议外，监理工程师在职权范围内的工作，发包人应予认可，但下列事件应事先取得发包人的专项批准：</w:t>
      </w:r>
    </w:p>
    <w:p>
      <w:pPr>
        <w:numPr>
          <w:ilvl w:val="0"/>
          <w:numId w:val="11"/>
        </w:numPr>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根据第5.2款规定批准承包人提供的配合施工设计图纸；</w:t>
      </w:r>
    </w:p>
    <w:p>
      <w:pPr>
        <w:numPr>
          <w:ilvl w:val="0"/>
          <w:numId w:val="11"/>
        </w:numPr>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根据第7.2款规定同意承包人分包工程；</w:t>
      </w:r>
    </w:p>
    <w:p>
      <w:pPr>
        <w:numPr>
          <w:ilvl w:val="0"/>
          <w:numId w:val="11"/>
        </w:numPr>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根据第18.1款规定批准承包人将材料和工程设备、施工设备移出施工场地；</w:t>
      </w:r>
    </w:p>
    <w:p>
      <w:pPr>
        <w:numPr>
          <w:ilvl w:val="0"/>
          <w:numId w:val="11"/>
        </w:numPr>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根据第33条规定批准承包人的施工组织设计和工程进度计划；</w:t>
      </w:r>
    </w:p>
    <w:p>
      <w:pPr>
        <w:numPr>
          <w:ilvl w:val="0"/>
          <w:numId w:val="11"/>
        </w:numPr>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根据第34.2款规定发出的工程开工令；</w:t>
      </w:r>
    </w:p>
    <w:p>
      <w:pPr>
        <w:numPr>
          <w:ilvl w:val="0"/>
          <w:numId w:val="11"/>
        </w:numPr>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根据第37.2款规定发出加快进度的变更指令；</w:t>
      </w:r>
    </w:p>
    <w:p>
      <w:pPr>
        <w:numPr>
          <w:ilvl w:val="0"/>
          <w:numId w:val="11"/>
        </w:numPr>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根据第49.6款规定使用替换材料；</w:t>
      </w:r>
    </w:p>
    <w:p>
      <w:pPr>
        <w:numPr>
          <w:ilvl w:val="0"/>
          <w:numId w:val="11"/>
        </w:numPr>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根据第63条规定发出使用暂列金额的工作指令；</w:t>
      </w:r>
    </w:p>
    <w:p>
      <w:pPr>
        <w:numPr>
          <w:ilvl w:val="0"/>
          <w:numId w:val="11"/>
        </w:numPr>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根据第64条规定发出使用计日工的工作指令；</w:t>
      </w:r>
    </w:p>
    <w:p>
      <w:pPr>
        <w:spacing w:line="360" w:lineRule="auto"/>
        <w:ind w:left="1672" w:leftChars="704" w:hanging="194"/>
        <w:jc w:val="left"/>
        <w:rPr>
          <w:rFonts w:ascii="宋体" w:hAnsi="宋体" w:cs="宋体"/>
          <w:color w:val="auto"/>
          <w:sz w:val="24"/>
          <w:szCs w:val="24"/>
          <w:highlight w:val="none"/>
        </w:rPr>
      </w:pPr>
      <w:r>
        <w:rPr>
          <w:rFonts w:hint="eastAsia" w:ascii="宋体" w:hAnsi="宋体" w:cs="宋体"/>
          <w:color w:val="auto"/>
          <w:sz w:val="24"/>
          <w:szCs w:val="24"/>
          <w:highlight w:val="none"/>
        </w:rPr>
        <w:t>（10）根据第56条规定指令或批准的工程变更；</w:t>
      </w:r>
    </w:p>
    <w:p>
      <w:pPr>
        <w:spacing w:line="360" w:lineRule="auto"/>
        <w:ind w:left="1674" w:leftChars="704" w:hanging="196"/>
        <w:rPr>
          <w:rFonts w:ascii="宋体" w:hAnsi="宋体" w:cs="宋体"/>
          <w:color w:val="auto"/>
          <w:sz w:val="24"/>
          <w:szCs w:val="24"/>
          <w:highlight w:val="none"/>
        </w:rPr>
      </w:pPr>
      <w:r>
        <w:rPr>
          <w:rFonts w:hint="eastAsia" w:ascii="宋体" w:hAnsi="宋体" w:cs="宋体"/>
          <w:color w:val="auto"/>
          <w:sz w:val="24"/>
          <w:szCs w:val="24"/>
          <w:highlight w:val="none"/>
        </w:rPr>
        <w:t>（11）根据第75条规定指令或确认的现场签证；</w:t>
      </w:r>
    </w:p>
    <w:p>
      <w:pPr>
        <w:spacing w:line="360" w:lineRule="auto"/>
        <w:ind w:left="1674" w:leftChars="704" w:hanging="196"/>
        <w:rPr>
          <w:rFonts w:ascii="宋体" w:hAnsi="宋体" w:cs="宋体"/>
          <w:color w:val="auto"/>
          <w:sz w:val="24"/>
          <w:szCs w:val="24"/>
          <w:highlight w:val="none"/>
        </w:rPr>
      </w:pPr>
      <w:r>
        <w:rPr>
          <w:rFonts w:hint="eastAsia" w:ascii="宋体" w:hAnsi="宋体" w:cs="宋体"/>
          <w:color w:val="auto"/>
          <w:sz w:val="24"/>
          <w:szCs w:val="24"/>
          <w:highlight w:val="none"/>
        </w:rPr>
        <w:t>（12）专用条款约定需要发包人批准的其他事项。</w:t>
      </w:r>
    </w:p>
    <w:p>
      <w:pPr>
        <w:spacing w:line="36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355" name="文本框 355"/>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9pt;height:36pt;width:81pt;z-index:251740160;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mYSoXXAAAACgEA&#10;AA8AAAAAAAAAAQAgAAAAIgAAAGRycy9kb3ducmV2LnhtbFBLAQIUABQAAAAIAIdO4kBZMW+8GwIA&#10;ACc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宋体"/>
          <w:b/>
          <w:bCs/>
          <w:color w:val="auto"/>
          <w:sz w:val="24"/>
          <w:szCs w:val="24"/>
          <w:highlight w:val="none"/>
        </w:rPr>
        <w:t xml:space="preserve">23.4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监理工程师应按照合同约定时间向承包人提供实施合同工程的进度、质量和安全工作所需的批准、确认和通知等指令。</w:t>
      </w:r>
    </w:p>
    <w:p>
      <w:pPr>
        <w:tabs>
          <w:tab w:val="left" w:pos="1260"/>
        </w:tabs>
        <w:spacing w:line="360" w:lineRule="auto"/>
        <w:ind w:left="1619" w:leftChars="771"/>
        <w:rPr>
          <w:rFonts w:ascii="宋体" w:hAnsi="宋体" w:cs="宋体"/>
          <w:b/>
          <w:bCs/>
          <w:color w:val="auto"/>
          <w:sz w:val="24"/>
          <w:szCs w:val="24"/>
          <w:highlight w:val="none"/>
        </w:rPr>
      </w:pPr>
      <w:r>
        <w:rPr>
          <w:rFonts w:hint="eastAsia" w:ascii="宋体" w:hAnsi="宋体" w:cs="宋体"/>
          <w:color w:val="auto"/>
          <w:sz w:val="24"/>
          <w:szCs w:val="24"/>
          <w:highlight w:val="none"/>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23.5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354" name="文本框 354"/>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9pt;height:33.9pt;width:72pt;z-index:251741184;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Wd8frUAAAACAEAAA8A&#10;AAAAAAAAAQAgAAAAIgAAAGRycy9kb3ducmV2LnhtbFBLAQIUABQAAAAIAIdO4kDkf6o5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宋体" w:hAnsi="宋体" w:cs="宋体"/>
          <w:color w:val="auto"/>
          <w:sz w:val="24"/>
          <w:szCs w:val="24"/>
          <w:highlight w:val="none"/>
        </w:rPr>
        <w:t>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w:t>
      </w:r>
    </w:p>
    <w:p>
      <w:pPr>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23.6</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353" name="文本框 353"/>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pt;height:34.9pt;width:72pt;z-index:251742208;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LIZsdYAAAAIAQAA&#10;DwAAAAAAAAABACAAAAAiAAAAZHJzL2Rvd25yZXYueG1sUEsBAhQAFAAAAAgAh07iQAm9ILYbAgAA&#10;Jg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宋体" w:hAnsi="宋体" w:cs="宋体"/>
          <w:color w:val="auto"/>
          <w:sz w:val="24"/>
          <w:szCs w:val="24"/>
          <w:highlight w:val="none"/>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21.3款规定，任何此类任命或撤回均为无效。</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23.7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352" name="文本框 352"/>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3pt;height:48.1pt;width:72pt;z-index:251743232;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jqHM/WAAAACQEA&#10;AA8AAAAAAAAAAQAgAAAAIgAAAGRycy9kb3ducmV2LnhtbFBLAQIUABQAAAAIAIdO4kDzGsvf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宋体" w:hAnsi="宋体" w:cs="宋体"/>
          <w:color w:val="auto"/>
          <w:sz w:val="24"/>
          <w:szCs w:val="24"/>
          <w:highlight w:val="none"/>
        </w:rPr>
        <w:t>监理工程师（含其代表）未能正确完成本合同约定的全部义务，或工作出现失误，导致费用的增加和（或）延误的工期，由发包人承担；给承包人造成损失的，发包人应予赔偿。</w:t>
      </w:r>
    </w:p>
    <w:p>
      <w:pPr>
        <w:tabs>
          <w:tab w:val="left" w:pos="1260"/>
        </w:tabs>
        <w:spacing w:line="360" w:lineRule="auto"/>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color w:val="auto"/>
          <w:kern w:val="0"/>
          <w:sz w:val="24"/>
          <w:szCs w:val="24"/>
          <w:highlight w:val="none"/>
        </w:rPr>
      </w:pPr>
      <w:bookmarkStart w:id="668" w:name="_Toc17615"/>
      <w:bookmarkStart w:id="669" w:name="_Toc1895148211"/>
      <w:bookmarkStart w:id="670" w:name="_Toc469384004"/>
      <w:bookmarkStart w:id="671" w:name="_Toc30768"/>
      <w:bookmarkStart w:id="672" w:name="_Toc12003"/>
      <w:bookmarkStart w:id="673" w:name="_Toc9649"/>
      <w:bookmarkStart w:id="674" w:name="_Toc30553"/>
      <w:bookmarkStart w:id="675" w:name="_Toc921892948"/>
      <w:bookmarkStart w:id="676" w:name="_Toc28084"/>
      <w:r>
        <w:rPr>
          <w:rFonts w:hint="eastAsia" w:ascii="宋体" w:hAnsi="宋体" w:cs="宋体"/>
          <w:color w:val="auto"/>
          <w:kern w:val="0"/>
          <w:sz w:val="24"/>
          <w:szCs w:val="24"/>
          <w:highlight w:val="none"/>
        </w:rPr>
        <w:t>24  造价工程师</w:t>
      </w:r>
      <w:bookmarkEnd w:id="668"/>
      <w:bookmarkEnd w:id="669"/>
      <w:bookmarkEnd w:id="670"/>
      <w:bookmarkEnd w:id="671"/>
      <w:bookmarkEnd w:id="672"/>
      <w:bookmarkEnd w:id="673"/>
      <w:bookmarkEnd w:id="674"/>
      <w:bookmarkEnd w:id="675"/>
      <w:bookmarkEnd w:id="676"/>
    </w:p>
    <w:p>
      <w:pPr>
        <w:tabs>
          <w:tab w:val="left" w:pos="1260"/>
        </w:tabs>
        <w:spacing w:line="400" w:lineRule="exact"/>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24.1                                                   </w:t>
      </w:r>
    </w:p>
    <w:p>
      <w:pPr>
        <w:tabs>
          <w:tab w:val="left" w:pos="0"/>
          <w:tab w:val="left" w:pos="1260"/>
          <w:tab w:val="left" w:pos="1620"/>
        </w:tabs>
        <w:spacing w:line="400" w:lineRule="exact"/>
        <w:ind w:left="1678" w:leftChars="799"/>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351" name="文本框 351"/>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发包人对造价工程师授权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5.4pt;width:72pt;z-index:251744256;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6OTFDTAAAACAEAAA8A&#10;AAAAAAAAAQAgAAAAIgAAAGRycy9kb3ducmV2LnhtbFBLAQIUABQAAAAIAIdO4kBfIaSNHAIAACYE&#10;AAAOAAAAAAAAAAEAIAAAACI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发包人对造价工程师授权</w:t>
                      </w:r>
                    </w:p>
                  </w:txbxContent>
                </v:textbox>
              </v:shape>
            </w:pict>
          </mc:Fallback>
        </mc:AlternateContent>
      </w:r>
      <w:r>
        <w:rPr>
          <w:rFonts w:hint="eastAsia" w:ascii="宋体" w:hAnsi="宋体" w:cs="宋体"/>
          <w:color w:val="auto"/>
          <w:sz w:val="24"/>
          <w:szCs w:val="20"/>
          <w:highlight w:val="none"/>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pPr>
        <w:tabs>
          <w:tab w:val="left" w:pos="1260"/>
        </w:tabs>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24.2  </w:t>
      </w:r>
    </w:p>
    <w:p>
      <w:pPr>
        <w:tabs>
          <w:tab w:val="left" w:pos="1260"/>
        </w:tabs>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350" name="文本框 350"/>
                <wp:cNvGraphicFramePr/>
                <a:graphic xmlns:a="http://schemas.openxmlformats.org/drawingml/2006/main">
                  <a:graphicData uri="http://schemas.microsoft.com/office/word/2010/wordprocessingShape">
                    <wps:wsp>
                      <wps:cNvSpPr txBox="1">
                        <a:spLocks noChangeArrowheads="1"/>
                      </wps:cNvSpPr>
                      <wps:spPr bwMode="auto">
                        <a:xfrm>
                          <a:off x="0" y="0"/>
                          <a:ext cx="914400" cy="42799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33.7pt;width:72pt;z-index:251745280;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oraj1QAAAAgBAAAP&#10;AAAAAAAAAAEAIAAAACIAAABkcnMvZG93bnJldi54bWxQSwECFAAUAAAACACHTuJAOjrNMB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宋体" w:hAnsi="宋体" w:cs="宋体"/>
          <w:color w:val="auto"/>
          <w:sz w:val="24"/>
          <w:szCs w:val="24"/>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pPr>
        <w:tabs>
          <w:tab w:val="left" w:pos="1260"/>
        </w:tabs>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24.3  </w:t>
      </w:r>
    </w:p>
    <w:p>
      <w:pPr>
        <w:tabs>
          <w:tab w:val="left" w:pos="1260"/>
        </w:tabs>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349" name="文本框 349"/>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0.2pt;width:72pt;z-index:251746304;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7vLnbUAAAABwEAAA8A&#10;AAAAAAAAAQAgAAAAIgAAAGRycy9kb3ducmV2LnhtbFBLAQIUABQAAAAIAIdO4kDWFGZ+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宋体" w:hAnsi="宋体" w:cs="宋体"/>
          <w:color w:val="auto"/>
          <w:sz w:val="24"/>
          <w:szCs w:val="24"/>
          <w:highlight w:val="none"/>
        </w:rPr>
        <w:t>除属于第86条规定的争议外，造价工程师在职权范围内的工作，发包人应予认可，但下列事件应事先取得发包人的专项批准：</w:t>
      </w:r>
    </w:p>
    <w:p>
      <w:pPr>
        <w:numPr>
          <w:ilvl w:val="0"/>
          <w:numId w:val="12"/>
        </w:numPr>
        <w:tabs>
          <w:tab w:val="left" w:pos="2160"/>
        </w:tabs>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根据第63条规定使用暂列金额；</w:t>
      </w:r>
    </w:p>
    <w:p>
      <w:pPr>
        <w:numPr>
          <w:ilvl w:val="0"/>
          <w:numId w:val="12"/>
        </w:numPr>
        <w:tabs>
          <w:tab w:val="left" w:pos="2160"/>
        </w:tabs>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根据第64条规定使用计日工；</w:t>
      </w:r>
    </w:p>
    <w:p>
      <w:pPr>
        <w:numPr>
          <w:ilvl w:val="0"/>
          <w:numId w:val="12"/>
        </w:numPr>
        <w:tabs>
          <w:tab w:val="left" w:pos="2160"/>
        </w:tabs>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根据第65条规定使用暂估价；</w:t>
      </w:r>
    </w:p>
    <w:p>
      <w:pPr>
        <w:numPr>
          <w:ilvl w:val="0"/>
          <w:numId w:val="12"/>
        </w:numPr>
        <w:tabs>
          <w:tab w:val="left" w:pos="2160"/>
        </w:tabs>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根据第66条确定的提前竣工奖与误期赔偿费；</w:t>
      </w:r>
    </w:p>
    <w:p>
      <w:pPr>
        <w:numPr>
          <w:ilvl w:val="0"/>
          <w:numId w:val="12"/>
        </w:numPr>
        <w:tabs>
          <w:tab w:val="left" w:pos="2160"/>
        </w:tabs>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根据第67条确定的工程优质费；</w:t>
      </w:r>
    </w:p>
    <w:p>
      <w:pPr>
        <w:numPr>
          <w:ilvl w:val="0"/>
          <w:numId w:val="12"/>
        </w:numPr>
        <w:tabs>
          <w:tab w:val="left" w:pos="2160"/>
        </w:tabs>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根据第</w:t>
      </w:r>
      <w:r>
        <w:rPr>
          <w:rFonts w:hint="eastAsia" w:ascii="宋体" w:hAnsi="宋体" w:cs="宋体"/>
          <w:color w:val="auto"/>
          <w:sz w:val="24"/>
          <w:szCs w:val="24"/>
          <w:highlight w:val="none"/>
          <w:lang w:val="en-US" w:eastAsia="zh-CN"/>
        </w:rPr>
        <w:t>68.3</w:t>
      </w:r>
      <w:r>
        <w:rPr>
          <w:rFonts w:hint="eastAsia" w:ascii="宋体" w:hAnsi="宋体" w:cs="宋体"/>
          <w:color w:val="auto"/>
          <w:sz w:val="24"/>
          <w:szCs w:val="24"/>
          <w:highlight w:val="none"/>
        </w:rPr>
        <w:t>款规定事件调整的合同价款；</w:t>
      </w:r>
    </w:p>
    <w:p>
      <w:pPr>
        <w:numPr>
          <w:ilvl w:val="0"/>
          <w:numId w:val="12"/>
        </w:numPr>
        <w:tabs>
          <w:tab w:val="left" w:pos="2160"/>
        </w:tabs>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专用条款约定需要发包人批准的其他事项。</w:t>
      </w:r>
    </w:p>
    <w:p>
      <w:pPr>
        <w:spacing w:line="400" w:lineRule="exact"/>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24.4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348" name="文本框 348"/>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4.2pt;width:86pt;z-index:251747328;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vGN8nVAAAABwEA&#10;AA8AAAAAAAAAAQAgAAAAIgAAAGRycy9kb3ducmV2LnhtbFBLAQIUABQAAAAIAIdO4kA6hFupHQIA&#10;ACc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宋体"/>
          <w:color w:val="auto"/>
          <w:sz w:val="24"/>
          <w:szCs w:val="24"/>
          <w:highlight w:val="none"/>
        </w:rPr>
        <w:t>造价工程师应按照合同约定时间向承包人提供实施合同工程的工程造价工作所需的核实、调整和通知等指令。</w:t>
      </w:r>
    </w:p>
    <w:p>
      <w:pPr>
        <w:tabs>
          <w:tab w:val="left" w:pos="1260"/>
        </w:tabs>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pPr>
        <w:tabs>
          <w:tab w:val="left" w:pos="1260"/>
        </w:tabs>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24.5  </w:t>
      </w:r>
    </w:p>
    <w:p>
      <w:pPr>
        <w:tabs>
          <w:tab w:val="left" w:pos="1260"/>
        </w:tabs>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347" name="文本框 347"/>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35.3pt;width:72pt;z-index:251748352;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qNdRdUAAAAIAQAA&#10;DwAAAAAAAAABACAAAAAiAAAAZHJzL2Rvd25yZXYueG1sUEsBAhQAFAAAAAgAh07iQFL1Mjk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宋体" w:hAnsi="宋体" w:cs="宋体"/>
          <w:color w:val="auto"/>
          <w:sz w:val="24"/>
          <w:szCs w:val="24"/>
          <w:highlight w:val="none"/>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pPr>
        <w:tabs>
          <w:tab w:val="left" w:pos="1260"/>
        </w:tabs>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24.6  </w:t>
      </w:r>
    </w:p>
    <w:p>
      <w:pPr>
        <w:tabs>
          <w:tab w:val="left" w:pos="1260"/>
        </w:tabs>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46" name="文本框 346"/>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6.8pt;width:72pt;z-index:25174937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Ha+y7ccAgAA&#10;JgQAAA4AAAAAAAAAAQAgAAAAJAEAAGRycy9lMm9Eb2MueG1sUEsFBgAAAAAGAAYAWQEAALIFAAAA&#10;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宋体" w:hAnsi="宋体" w:cs="宋体"/>
          <w:color w:val="auto"/>
          <w:sz w:val="24"/>
          <w:szCs w:val="24"/>
          <w:highlight w:val="none"/>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21.3款规定，任何此类任命或撤回均为无效。</w:t>
      </w:r>
    </w:p>
    <w:p>
      <w:pPr>
        <w:tabs>
          <w:tab w:val="left" w:pos="1260"/>
        </w:tabs>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24.7</w:t>
      </w:r>
    </w:p>
    <w:p>
      <w:pPr>
        <w:tabs>
          <w:tab w:val="left" w:pos="1260"/>
        </w:tabs>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45" name="文本框 345"/>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6.8pt;width:72pt;z-index:251750400;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PreE7o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宋体" w:hAnsi="宋体" w:cs="宋体"/>
          <w:color w:val="auto"/>
          <w:sz w:val="24"/>
          <w:szCs w:val="24"/>
          <w:highlight w:val="none"/>
        </w:rPr>
        <w:t>造价工程师（含其代表）未能正确完成本合同约定的全部义务，或工作出现失误，导致费用的增加和（或）延误的工期，由发包人承担；给承包人造成损失的，发包人应予赔偿。</w:t>
      </w:r>
    </w:p>
    <w:p>
      <w:pPr>
        <w:tabs>
          <w:tab w:val="left" w:pos="540"/>
          <w:tab w:val="left" w:pos="720"/>
        </w:tabs>
        <w:spacing w:line="360" w:lineRule="auto"/>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color w:val="auto"/>
          <w:kern w:val="0"/>
          <w:sz w:val="24"/>
          <w:szCs w:val="24"/>
          <w:highlight w:val="none"/>
        </w:rPr>
      </w:pPr>
      <w:bookmarkStart w:id="677" w:name="_Toc160263931"/>
      <w:bookmarkStart w:id="678" w:name="_Toc469384005"/>
      <w:bookmarkStart w:id="679" w:name="_Toc18149"/>
      <w:bookmarkStart w:id="680" w:name="_Toc278529973"/>
      <w:bookmarkStart w:id="681" w:name="_Toc20973"/>
      <w:bookmarkStart w:id="682" w:name="_Toc21170"/>
      <w:bookmarkStart w:id="683" w:name="_Toc18382"/>
      <w:bookmarkStart w:id="684" w:name="_Toc21962"/>
      <w:bookmarkStart w:id="685" w:name="_Toc3949"/>
      <w:r>
        <w:rPr>
          <w:rFonts w:hint="eastAsia" w:ascii="宋体" w:hAnsi="宋体" w:cs="宋体"/>
          <w:color w:val="auto"/>
          <w:kern w:val="0"/>
          <w:sz w:val="24"/>
          <w:szCs w:val="24"/>
          <w:highlight w:val="none"/>
        </w:rPr>
        <w:t>25  承包人代表</w:t>
      </w:r>
      <w:bookmarkEnd w:id="677"/>
      <w:bookmarkEnd w:id="678"/>
      <w:bookmarkEnd w:id="679"/>
      <w:bookmarkEnd w:id="680"/>
      <w:bookmarkEnd w:id="681"/>
      <w:bookmarkEnd w:id="682"/>
      <w:bookmarkEnd w:id="683"/>
      <w:bookmarkEnd w:id="684"/>
      <w:bookmarkEnd w:id="685"/>
    </w:p>
    <w:p>
      <w:pPr>
        <w:tabs>
          <w:tab w:val="left" w:pos="540"/>
          <w:tab w:val="left" w:pos="720"/>
        </w:tabs>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25.1                                 </w:t>
      </w:r>
    </w:p>
    <w:p>
      <w:pPr>
        <w:tabs>
          <w:tab w:val="left" w:pos="0"/>
          <w:tab w:val="left" w:pos="540"/>
          <w:tab w:val="left" w:pos="720"/>
        </w:tabs>
        <w:spacing w:line="400" w:lineRule="exact"/>
        <w:ind w:left="1678" w:leftChars="799"/>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344" name="文本框 344"/>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3pt;width:72pt;z-index:251751424;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c6rI1AAAAAcBAAAPAAAA&#10;AAAAAAEAIAAAACIAAABkcnMvZG93bnJldi54bWxQSwECFAAUAAAACACHTuJAMyHAyxkCAAAmBAAA&#10;DgAAAAAAAAABACAAAAAj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宋体" w:hAnsi="宋体" w:cs="宋体"/>
          <w:color w:val="auto"/>
          <w:sz w:val="24"/>
          <w:szCs w:val="20"/>
          <w:highlight w:val="none"/>
        </w:rPr>
        <w:t>承包人应依据第21.2款规定在专用条款中写明承包人代表具体人选，同时在开工前将承包人代表任命书以书面形式通知发包人，授予其代表承包人履行合同规定职责所需的一切权力。</w:t>
      </w:r>
    </w:p>
    <w:p>
      <w:pPr>
        <w:tabs>
          <w:tab w:val="left" w:pos="540"/>
          <w:tab w:val="left" w:pos="720"/>
          <w:tab w:val="left" w:pos="1260"/>
          <w:tab w:val="left" w:pos="1440"/>
        </w:tabs>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25.2  </w:t>
      </w:r>
    </w:p>
    <w:p>
      <w:pPr>
        <w:tabs>
          <w:tab w:val="left" w:pos="540"/>
          <w:tab w:val="left" w:pos="720"/>
          <w:tab w:val="left" w:pos="1260"/>
          <w:tab w:val="left" w:pos="1440"/>
        </w:tabs>
        <w:spacing w:line="360" w:lineRule="auto"/>
        <w:ind w:left="1619" w:leftChars="771" w:firstLine="2"/>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43" name="文本框 343"/>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1.2pt;width:81pt;z-index:2517524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yfBG1QAAAAgB&#10;AAAPAAAAAAAAAAEAIAAAACIAAABkcnMvZG93bnJldi54bWxQSwECFAAUAAAACACHTuJA0UKFVR4C&#10;AAAn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宋体" w:hAnsi="宋体" w:cs="宋体"/>
          <w:color w:val="auto"/>
          <w:sz w:val="24"/>
          <w:szCs w:val="24"/>
          <w:highlight w:val="none"/>
        </w:rPr>
        <w:t>承包人代表应代表承包人履行合同规定的职责、行使合同明文约定或必然隐含的权力，对承包人负责。承包人代表在承包人授予职权范围内的工作，承包人应予认可。</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25.3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342" name="文本框 342"/>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8.4pt;width:72pt;z-index:251753472;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u3RXtUAAAAHAQAA&#10;DwAAAAAAAAABACAAAAAiAAAAZHJzL2Rvd25yZXYueG1sUEsBAhQAFAAAAAgAh07iQK5PwlE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宋体" w:hAnsi="宋体" w:cs="宋体"/>
          <w:color w:val="auto"/>
          <w:sz w:val="24"/>
          <w:szCs w:val="24"/>
          <w:highlight w:val="none"/>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25.4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341" name="文本框 341"/>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60pt;width:72pt;z-index:251754496;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72VvUAAAACAEAAA8A&#10;AAAAAAAAAQAgAAAAIgAAAGRycy9kb3ducmV2LnhtbFBLAQIUABQAAAAIAIdO4kACSaY+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宋体" w:hAnsi="宋体" w:cs="宋体"/>
          <w:color w:val="auto"/>
          <w:sz w:val="24"/>
          <w:szCs w:val="24"/>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并支付承包人合理利润；属于承包人责任的，其发生的费用和（或）延误的工期由承包人承担。</w:t>
      </w:r>
    </w:p>
    <w:p>
      <w:pPr>
        <w:tabs>
          <w:tab w:val="left" w:pos="540"/>
        </w:tabs>
        <w:adjustRightInd w:val="0"/>
        <w:snapToGrid w:val="0"/>
        <w:spacing w:line="360" w:lineRule="auto"/>
        <w:ind w:right="-240"/>
        <w:rPr>
          <w:rFonts w:ascii="宋体" w:hAnsi="宋体" w:cs="宋体"/>
          <w:b/>
          <w:bCs/>
          <w:color w:val="auto"/>
          <w:sz w:val="24"/>
          <w:szCs w:val="24"/>
          <w:highlight w:val="none"/>
          <w:u w:val="single"/>
        </w:rPr>
      </w:pPr>
      <w:bookmarkStart w:id="686" w:name="_Toc468936969"/>
    </w:p>
    <w:p>
      <w:pPr>
        <w:tabs>
          <w:tab w:val="left" w:pos="540"/>
        </w:tabs>
        <w:adjustRightInd w:val="0"/>
        <w:snapToGrid w:val="0"/>
        <w:ind w:right="-240"/>
        <w:outlineLvl w:val="2"/>
        <w:rPr>
          <w:rFonts w:ascii="宋体" w:hAnsi="宋体" w:cs="宋体"/>
          <w:b/>
          <w:bCs/>
          <w:color w:val="auto"/>
          <w:sz w:val="24"/>
          <w:szCs w:val="24"/>
          <w:highlight w:val="none"/>
        </w:rPr>
      </w:pPr>
      <w:bookmarkStart w:id="687" w:name="_Toc20170"/>
      <w:bookmarkStart w:id="688" w:name="_Toc469384006"/>
      <w:bookmarkStart w:id="689" w:name="_Toc13839"/>
      <w:bookmarkStart w:id="690" w:name="_Toc12292"/>
      <w:bookmarkStart w:id="691" w:name="_Toc1886389398"/>
      <w:bookmarkStart w:id="692" w:name="_Toc29217"/>
      <w:bookmarkStart w:id="693" w:name="_Toc12351"/>
      <w:bookmarkStart w:id="694" w:name="_Toc611394979"/>
      <w:bookmarkStart w:id="695" w:name="_Toc29607"/>
      <w:r>
        <w:rPr>
          <w:rFonts w:hint="eastAsia" w:ascii="宋体" w:hAnsi="宋体" w:cs="宋体"/>
          <w:b/>
          <w:bCs/>
          <w:color w:val="auto"/>
          <w:sz w:val="24"/>
          <w:szCs w:val="24"/>
          <w:highlight w:val="none"/>
        </w:rPr>
        <w:t>26  指定分包</w:t>
      </w:r>
      <w:bookmarkEnd w:id="686"/>
      <w:r>
        <w:rPr>
          <w:rFonts w:hint="eastAsia" w:ascii="宋体" w:hAnsi="宋体" w:cs="宋体"/>
          <w:b/>
          <w:bCs/>
          <w:color w:val="auto"/>
          <w:sz w:val="24"/>
          <w:szCs w:val="24"/>
          <w:highlight w:val="none"/>
        </w:rPr>
        <w:t>人</w:t>
      </w:r>
      <w:bookmarkEnd w:id="687"/>
      <w:bookmarkEnd w:id="688"/>
      <w:bookmarkEnd w:id="689"/>
      <w:bookmarkEnd w:id="690"/>
      <w:bookmarkEnd w:id="691"/>
      <w:bookmarkEnd w:id="692"/>
      <w:bookmarkEnd w:id="693"/>
      <w:bookmarkEnd w:id="694"/>
      <w:bookmarkEnd w:id="695"/>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26.1 </w:t>
      </w:r>
    </w:p>
    <w:p>
      <w:pPr>
        <w:adjustRightInd w:val="0"/>
        <w:snapToGrid w:val="0"/>
        <w:spacing w:line="360" w:lineRule="auto"/>
        <w:ind w:left="1696" w:leftChars="800" w:hanging="16" w:hangingChars="8"/>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340" name="文本框 34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75pt;height:54.6pt;width:72pt;z-index:251755520;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ey6tdYAAAAJAQAA&#10;DwAAAAAAAAABACAAAAAiAAAAZHJzL2Rvd25yZXYueG1sUEsBAhQAFAAAAAgAh07iQNpxm80bAgAA&#10;Jg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宋体" w:hAnsi="宋体" w:cs="宋体"/>
          <w:color w:val="auto"/>
          <w:sz w:val="24"/>
          <w:szCs w:val="24"/>
          <w:highlight w:val="none"/>
        </w:rPr>
        <w:t>指定分包人是指发包人事先指定的从事下列工作之一的分包人：</w:t>
      </w:r>
    </w:p>
    <w:p>
      <w:pPr>
        <w:widowControl/>
        <w:adjustRightInd w:val="0"/>
        <w:snapToGrid w:val="0"/>
        <w:spacing w:line="360" w:lineRule="auto"/>
        <w:ind w:left="1699" w:leftChars="800" w:hanging="19" w:hangingChars="8"/>
        <w:jc w:val="left"/>
        <w:rPr>
          <w:rFonts w:ascii="宋体" w:hAnsi="宋体" w:cs="宋体"/>
          <w:color w:val="auto"/>
          <w:sz w:val="24"/>
          <w:szCs w:val="24"/>
          <w:highlight w:val="none"/>
        </w:rPr>
      </w:pPr>
      <w:r>
        <w:rPr>
          <w:rFonts w:hint="eastAsia" w:ascii="宋体" w:hAnsi="宋体" w:cs="宋体"/>
          <w:color w:val="auto"/>
          <w:sz w:val="24"/>
          <w:szCs w:val="24"/>
          <w:highlight w:val="none"/>
        </w:rPr>
        <w:t>（1）根据专用条款的约定，发包人依法事先指定的实施、完成部分永久工程的分包人；</w:t>
      </w:r>
    </w:p>
    <w:p>
      <w:pPr>
        <w:widowControl/>
        <w:adjustRightInd w:val="0"/>
        <w:snapToGrid w:val="0"/>
        <w:spacing w:line="360" w:lineRule="auto"/>
        <w:ind w:left="1699" w:leftChars="800" w:hanging="19" w:hangingChars="8"/>
        <w:jc w:val="left"/>
        <w:rPr>
          <w:rFonts w:ascii="宋体" w:hAnsi="宋体" w:cs="宋体"/>
          <w:color w:val="auto"/>
          <w:sz w:val="24"/>
          <w:szCs w:val="24"/>
          <w:highlight w:val="none"/>
        </w:rPr>
      </w:pPr>
      <w:r>
        <w:rPr>
          <w:rFonts w:hint="eastAsia" w:ascii="宋体" w:hAnsi="宋体" w:cs="宋体"/>
          <w:color w:val="auto"/>
          <w:sz w:val="24"/>
          <w:szCs w:val="24"/>
          <w:highlight w:val="none"/>
        </w:rPr>
        <w:t>（2）根据专用条款的约定，发包人选定的提供合同工程材料、工程设备和服务的分包人。</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26.2  </w:t>
      </w:r>
    </w:p>
    <w:p>
      <w:pPr>
        <w:widowControl/>
        <w:adjustRightInd w:val="0"/>
        <w:snapToGrid w:val="0"/>
        <w:spacing w:line="360" w:lineRule="auto"/>
        <w:ind w:left="1692" w:leftChars="800" w:hanging="12" w:hangingChars="6"/>
        <w:jc w:val="left"/>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339" name="文本框 339"/>
                <wp:cNvGraphicFramePr/>
                <a:graphic xmlns:a="http://schemas.openxmlformats.org/drawingml/2006/main">
                  <a:graphicData uri="http://schemas.microsoft.com/office/word/2010/wordprocessingShape">
                    <wps:wsp>
                      <wps:cNvSpPr txBox="1">
                        <a:spLocks noChangeArrowheads="1"/>
                      </wps:cNvSpPr>
                      <wps:spPr bwMode="auto">
                        <a:xfrm>
                          <a:off x="0" y="0"/>
                          <a:ext cx="1028700" cy="6273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9.4pt;width:81pt;z-index:251756544;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aA7AbUAAAABwEA&#10;AA8AAAAAAAAAAQAgAAAAIgAAAGRycy9kb3ducmV2LnhtbFBLAQIUABQAAAAIAIdO4kBqQCd9HgIA&#10;ACcEAAAOAAAAAAAAAAEAIAAAACM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ascii="宋体" w:hAnsi="宋体" w:cs="宋体"/>
          <w:color w:val="auto"/>
          <w:sz w:val="24"/>
          <w:szCs w:val="24"/>
          <w:highlight w:val="none"/>
        </w:rPr>
        <w:t>指定分包人属于承包人的分包人，发包人不应要求承包人有义务接受承包人有理由反对的任何指定分包人。</w:t>
      </w:r>
    </w:p>
    <w:p>
      <w:pPr>
        <w:spacing w:line="360" w:lineRule="auto"/>
        <w:rPr>
          <w:rFonts w:ascii="宋体" w:hAnsi="宋体" w:cs="宋体"/>
          <w:b/>
          <w:bCs/>
          <w:color w:val="auto"/>
          <w:sz w:val="24"/>
          <w:szCs w:val="24"/>
          <w:highlight w:val="none"/>
          <w:u w:val="dotted"/>
        </w:rPr>
      </w:pPr>
      <w:r>
        <w:rPr>
          <w:rFonts w:hint="eastAsia" w:ascii="宋体" w:hAnsi="宋体" w:cs="宋体"/>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338" name="文本框 338"/>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7pt;height:55.05pt;width:81pt;z-index:251757568;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7ywcu2AAA&#10;AAoBAAAPAAAAAAAAAAEAIAAAACIAAABkcnMvZG93bnJldi54bWxQSwECFAAUAAAACACHTuJAwRbh&#10;Nx4CAAAnBAAADgAAAAAAAAABACAAAAAnAQAAZHJzL2Uyb0RvYy54bWxQSwUGAAAAAAYABgBZAQAA&#10;t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hint="eastAsia" w:ascii="宋体" w:hAnsi="宋体" w:cs="宋体"/>
          <w:b/>
          <w:bCs/>
          <w:color w:val="auto"/>
          <w:sz w:val="24"/>
          <w:szCs w:val="24"/>
          <w:highlight w:val="none"/>
        </w:rPr>
        <w:t xml:space="preserve">26.3  </w:t>
      </w:r>
    </w:p>
    <w:p>
      <w:pPr>
        <w:widowControl/>
        <w:tabs>
          <w:tab w:val="left" w:pos="1260"/>
        </w:tabs>
        <w:adjustRightInd w:val="0"/>
        <w:snapToGrid w:val="0"/>
        <w:spacing w:line="360" w:lineRule="auto"/>
        <w:ind w:left="1696" w:leftChars="800" w:hanging="16" w:hangingChars="7"/>
        <w:jc w:val="left"/>
        <w:rPr>
          <w:rFonts w:ascii="宋体" w:hAnsi="宋体" w:cs="宋体"/>
          <w:color w:val="auto"/>
          <w:sz w:val="24"/>
          <w:szCs w:val="24"/>
          <w:highlight w:val="none"/>
        </w:rPr>
      </w:pPr>
      <w:r>
        <w:rPr>
          <w:rFonts w:hint="eastAsia" w:ascii="宋体" w:hAnsi="宋体" w:cs="宋体"/>
          <w:color w:val="auto"/>
          <w:sz w:val="24"/>
          <w:szCs w:val="24"/>
          <w:highlight w:val="none"/>
        </w:rPr>
        <w:t>发包人应按照合同的约定向承包人支付指定分包人的分包工程配合费。</w:t>
      </w:r>
    </w:p>
    <w:p>
      <w:pPr>
        <w:widowControl/>
        <w:adjustRightInd w:val="0"/>
        <w:snapToGrid w:val="0"/>
        <w:spacing w:line="360" w:lineRule="auto"/>
        <w:ind w:left="1696" w:leftChars="800" w:hanging="16" w:hangingChars="7"/>
        <w:jc w:val="left"/>
        <w:rPr>
          <w:rFonts w:ascii="宋体" w:hAnsi="宋体" w:cs="宋体"/>
          <w:color w:val="auto"/>
          <w:sz w:val="24"/>
          <w:szCs w:val="24"/>
          <w:highlight w:val="none"/>
        </w:rPr>
      </w:pPr>
      <w:r>
        <w:rPr>
          <w:rFonts w:hint="eastAsia" w:ascii="宋体" w:hAnsi="宋体" w:cs="宋体"/>
          <w:color w:val="auto"/>
          <w:sz w:val="24"/>
          <w:szCs w:val="24"/>
          <w:highlight w:val="none"/>
        </w:rPr>
        <w:t>指定分包工程款的结算与支付，按照第7.4款办理。</w:t>
      </w:r>
    </w:p>
    <w:p>
      <w:pPr>
        <w:spacing w:line="360" w:lineRule="auto"/>
        <w:rPr>
          <w:rFonts w:ascii="宋体" w:hAnsi="宋体" w:cs="宋体"/>
          <w:b/>
          <w:bCs/>
          <w:color w:val="auto"/>
          <w:sz w:val="24"/>
          <w:szCs w:val="24"/>
          <w:highlight w:val="none"/>
          <w:u w:val="dotted"/>
        </w:rPr>
      </w:pPr>
      <w:r>
        <w:rPr>
          <w:rFonts w:hint="eastAsia" w:ascii="宋体" w:hAnsi="宋体" w:cs="宋体"/>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337" name="文本框 337"/>
                <wp:cNvGraphicFramePr/>
                <a:graphic xmlns:a="http://schemas.openxmlformats.org/drawingml/2006/main">
                  <a:graphicData uri="http://schemas.microsoft.com/office/word/2010/wordprocessingShape">
                    <wps:wsp>
                      <wps:cNvSpPr txBox="1">
                        <a:spLocks noChangeArrowheads="1"/>
                      </wps:cNvSpPr>
                      <wps:spPr bwMode="auto">
                        <a:xfrm>
                          <a:off x="0" y="0"/>
                          <a:ext cx="1133475" cy="79184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b/>
                                <w:bCs/>
                                <w:color w:val="000000"/>
                              </w:rPr>
                            </w:pPr>
                          </w:p>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5.7pt;height:62.35pt;width:89.25pt;z-index:251758592;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TIIv1wAA&#10;AAoBAAAPAAAAAAAAAAEAIAAAACIAAABkcnMvZG93bnJldi54bWxQSwECFAAUAAAACACHTuJA8Djd&#10;Mh8CAAAnBAAADgAAAAAAAAABACAAAAAmAQAAZHJzL2Uyb0RvYy54bWxQSwUGAAAAAAYABgBZAQAA&#10;t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b/>
                          <w:bCs/>
                          <w:color w:val="000000"/>
                        </w:rPr>
                      </w:pPr>
                    </w:p>
                    <w:p/>
                    <w:p/>
                  </w:txbxContent>
                </v:textbox>
              </v:shape>
            </w:pict>
          </mc:Fallback>
        </mc:AlternateContent>
      </w:r>
      <w:r>
        <w:rPr>
          <w:rFonts w:hint="eastAsia" w:ascii="宋体" w:hAnsi="宋体" w:cs="宋体"/>
          <w:b/>
          <w:bCs/>
          <w:color w:val="auto"/>
          <w:sz w:val="24"/>
          <w:szCs w:val="24"/>
          <w:highlight w:val="none"/>
        </w:rPr>
        <w:t>26.4</w:t>
      </w:r>
    </w:p>
    <w:p>
      <w:pPr>
        <w:widowControl/>
        <w:tabs>
          <w:tab w:val="left" w:pos="1260"/>
        </w:tabs>
        <w:adjustRightInd w:val="0"/>
        <w:snapToGrid w:val="0"/>
        <w:spacing w:line="360" w:lineRule="auto"/>
        <w:ind w:left="1697" w:leftChars="800" w:hanging="17"/>
        <w:jc w:val="left"/>
        <w:rPr>
          <w:rFonts w:ascii="宋体" w:hAnsi="宋体" w:cs="宋体"/>
          <w:color w:val="auto"/>
          <w:sz w:val="24"/>
          <w:szCs w:val="24"/>
          <w:highlight w:val="none"/>
        </w:rPr>
      </w:pPr>
      <w:r>
        <w:rPr>
          <w:rFonts w:hint="eastAsia" w:ascii="宋体" w:hAnsi="宋体" w:cs="宋体"/>
          <w:color w:val="auto"/>
          <w:sz w:val="24"/>
          <w:szCs w:val="24"/>
          <w:highlight w:val="none"/>
        </w:rPr>
        <w:t>指定分包人应按照分包合同的约定对承包人负责。承包人有义务协助、配合指定分包人实施分包工程。</w:t>
      </w:r>
    </w:p>
    <w:p>
      <w:pPr>
        <w:spacing w:line="360" w:lineRule="auto"/>
        <w:rPr>
          <w:rFonts w:ascii="宋体" w:hAnsi="宋体" w:cs="宋体"/>
          <w:b/>
          <w:bCs/>
          <w:color w:val="auto"/>
          <w:sz w:val="24"/>
          <w:szCs w:val="24"/>
          <w:highlight w:val="none"/>
          <w:u w:val="single"/>
        </w:rPr>
      </w:pPr>
    </w:p>
    <w:p>
      <w:pPr>
        <w:tabs>
          <w:tab w:val="left" w:pos="540"/>
        </w:tabs>
        <w:adjustRightInd w:val="0"/>
        <w:snapToGrid w:val="0"/>
        <w:spacing w:before="312" w:beforeLines="100"/>
        <w:outlineLvl w:val="2"/>
        <w:rPr>
          <w:rFonts w:ascii="宋体" w:hAnsi="宋体" w:cs="宋体"/>
          <w:b/>
          <w:bCs/>
          <w:color w:val="auto"/>
          <w:sz w:val="24"/>
          <w:szCs w:val="24"/>
          <w:highlight w:val="none"/>
        </w:rPr>
      </w:pPr>
      <w:bookmarkStart w:id="696" w:name="_Toc32749"/>
      <w:bookmarkStart w:id="697" w:name="_Toc1245531525"/>
      <w:bookmarkStart w:id="698" w:name="_Toc469384007"/>
      <w:bookmarkStart w:id="699" w:name="_Toc31284"/>
      <w:bookmarkStart w:id="700" w:name="_Toc6161158"/>
      <w:bookmarkStart w:id="701" w:name="_Toc32387"/>
      <w:bookmarkStart w:id="702" w:name="_Toc2732"/>
      <w:bookmarkStart w:id="703" w:name="_Toc19774"/>
      <w:bookmarkStart w:id="704" w:name="_Toc6637"/>
      <w:r>
        <w:rPr>
          <w:rFonts w:hint="eastAsia" w:ascii="宋体" w:hAnsi="宋体" w:cs="宋体"/>
          <w:b/>
          <w:bCs/>
          <w:color w:val="auto"/>
          <w:sz w:val="24"/>
          <w:szCs w:val="24"/>
          <w:highlight w:val="none"/>
        </w:rPr>
        <w:t>27  承包人劳务</w:t>
      </w:r>
      <w:bookmarkEnd w:id="696"/>
      <w:bookmarkEnd w:id="697"/>
      <w:bookmarkEnd w:id="698"/>
      <w:bookmarkEnd w:id="699"/>
      <w:bookmarkEnd w:id="700"/>
      <w:bookmarkEnd w:id="701"/>
      <w:bookmarkEnd w:id="702"/>
      <w:bookmarkEnd w:id="703"/>
      <w:bookmarkEnd w:id="704"/>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27.1   </w:t>
      </w:r>
    </w:p>
    <w:p>
      <w:pPr>
        <w:widowControl/>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336" name="文本框 336"/>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54.5pt;width:72pt;z-index:251759616;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OqwtUAAAAJAQAA&#10;DwAAAAAAAAABACAAAAAiAAAAZHJzL2Rvd25yZXYueG1sUEsBAhQAFAAAAAgAh07iQJ9Lsqk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宋体" w:hAnsi="宋体" w:cs="宋体"/>
          <w:color w:val="auto"/>
          <w:sz w:val="24"/>
          <w:szCs w:val="24"/>
          <w:highlight w:val="none"/>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27.2 </w:t>
      </w:r>
    </w:p>
    <w:p>
      <w:pPr>
        <w:widowControl/>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35" name="文本框 33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1.2pt;width:72pt;z-index:25176064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doltUAAAAIAQAA&#10;DwAAAAAAAAABACAAAAAiAAAAZHJzL2Rvd25yZXYueG1sUEsBAhQAFAAAAAgAh07iQHUsNMY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宋体" w:hAnsi="宋体" w:cs="宋体"/>
          <w:color w:val="auto"/>
          <w:sz w:val="24"/>
          <w:szCs w:val="24"/>
          <w:highlight w:val="none"/>
        </w:rPr>
        <w:t>承包人除应雇佣投标文件中“主要人员一览表”中指明的人员外，也可以雇佣经监理工程师批准的其他人员，但不得从发包人或服务于发包人的人员中雇佣人员。</w:t>
      </w:r>
    </w:p>
    <w:p>
      <w:pPr>
        <w:tabs>
          <w:tab w:val="left" w:pos="1620"/>
        </w:tabs>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27.3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334" name="文本框 334"/>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7pt;height:39pt;width:72pt;z-index:251761664;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VgKKNUAAAAIAQAADwAA&#10;AAAAAAABACAAAAAiAAAAZHJzL2Rvd25yZXYueG1sUEsBAhQAFAAAAAgAh07iQFdIU9gZAgAAJg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宋体" w:hAnsi="宋体" w:cs="宋体"/>
          <w:color w:val="auto"/>
          <w:sz w:val="24"/>
          <w:szCs w:val="24"/>
          <w:highlight w:val="none"/>
        </w:rPr>
        <w:t>承包人应完善雇员的劳务注册手续，并与雇员订立劳动合同，明确双方的权利和义务。雇佣期间，承包人应做好下列工作：</w:t>
      </w:r>
    </w:p>
    <w:p>
      <w:pPr>
        <w:tabs>
          <w:tab w:val="left" w:pos="1080"/>
          <w:tab w:val="left" w:pos="2160"/>
        </w:tabs>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(1)负责为雇员提供必要的食宿及各种生活设施，采取合理的卫生、劳动保护和安全防护措施，保证雇员的健康和安全；</w:t>
      </w:r>
    </w:p>
    <w:p>
      <w:pPr>
        <w:tabs>
          <w:tab w:val="left" w:pos="1080"/>
          <w:tab w:val="left" w:pos="2160"/>
        </w:tabs>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(2)保障雇员的合法权利和人身安全，及时采取有效措施抢救和治疗施工中受伤害的雇员；</w:t>
      </w:r>
    </w:p>
    <w:p>
      <w:pPr>
        <w:tabs>
          <w:tab w:val="left" w:pos="2160"/>
        </w:tabs>
        <w:spacing w:line="360" w:lineRule="auto"/>
        <w:ind w:left="1617"/>
        <w:rPr>
          <w:rFonts w:ascii="宋体" w:hAnsi="宋体" w:cs="宋体"/>
          <w:color w:val="auto"/>
          <w:sz w:val="24"/>
          <w:szCs w:val="24"/>
          <w:highlight w:val="none"/>
        </w:rPr>
      </w:pPr>
      <w:r>
        <w:rPr>
          <w:rFonts w:hint="eastAsia" w:ascii="宋体" w:hAnsi="宋体" w:cs="宋体"/>
          <w:color w:val="auto"/>
          <w:sz w:val="24"/>
          <w:szCs w:val="24"/>
          <w:highlight w:val="none"/>
        </w:rPr>
        <w:t>(3)充分考虑和保障雇员的休息时间和法定节假日休假时间，尊重雇员的宗教信仰和风俗习惯；</w:t>
      </w:r>
    </w:p>
    <w:p>
      <w:pPr>
        <w:tabs>
          <w:tab w:val="left" w:pos="1080"/>
          <w:tab w:val="left" w:pos="2160"/>
        </w:tabs>
        <w:spacing w:line="360" w:lineRule="auto"/>
        <w:ind w:left="1617"/>
        <w:rPr>
          <w:rFonts w:ascii="宋体" w:hAnsi="宋体" w:cs="宋体"/>
          <w:color w:val="auto"/>
          <w:sz w:val="24"/>
          <w:szCs w:val="24"/>
          <w:highlight w:val="none"/>
        </w:rPr>
      </w:pPr>
      <w:r>
        <w:rPr>
          <w:rFonts w:hint="eastAsia" w:ascii="宋体" w:hAnsi="宋体" w:cs="宋体"/>
          <w:color w:val="auto"/>
          <w:sz w:val="24"/>
          <w:szCs w:val="24"/>
          <w:highlight w:val="none"/>
        </w:rPr>
        <w:t>(4)在施工现场主要出入口处设榜公布雇员工资发放时间和投诉电话，以及合同工程中标价格、进度款支付情况。</w:t>
      </w:r>
    </w:p>
    <w:p>
      <w:pPr>
        <w:tabs>
          <w:tab w:val="left" w:pos="1080"/>
          <w:tab w:val="left" w:pos="2160"/>
        </w:tabs>
        <w:spacing w:line="360" w:lineRule="auto"/>
        <w:ind w:left="1617"/>
        <w:rPr>
          <w:rFonts w:ascii="宋体" w:hAnsi="宋体" w:cs="宋体"/>
          <w:color w:val="auto"/>
          <w:sz w:val="24"/>
          <w:szCs w:val="24"/>
          <w:highlight w:val="none"/>
        </w:rPr>
      </w:pPr>
      <w:r>
        <w:rPr>
          <w:rFonts w:hint="eastAsia" w:ascii="宋体" w:hAnsi="宋体" w:cs="宋体"/>
          <w:color w:val="auto"/>
          <w:sz w:val="24"/>
          <w:szCs w:val="24"/>
          <w:highlight w:val="none"/>
        </w:rPr>
        <w:t>(5)督促雇员和发包人现场人员应佩戴由合同双方当事人共同盖章、签发的工作证上岗；</w:t>
      </w:r>
    </w:p>
    <w:p>
      <w:pPr>
        <w:tabs>
          <w:tab w:val="left" w:pos="1080"/>
          <w:tab w:val="left" w:pos="2160"/>
        </w:tabs>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(6)办理雇员的意外伤害等一切保险</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包含工程安责险</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，处理雇员因工伤亡事故的善后事宜。</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27.4  </w:t>
      </w:r>
    </w:p>
    <w:p>
      <w:pPr>
        <w:tabs>
          <w:tab w:val="left" w:pos="0"/>
        </w:tabs>
        <w:spacing w:line="400" w:lineRule="exact"/>
        <w:ind w:left="1703" w:leftChars="771" w:hanging="84" w:hangingChars="35"/>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333" name="文本框 333"/>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4.6pt;width:72pt;z-index:251762688;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5RFTPUAAAACAEAAA8A&#10;AAAAAAAAAQAgAAAAIgAAAGRycy9kb3ducmV2LnhtbFBLAQIUABQAAAAIAIdO4kAnyeU5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宋体" w:hAnsi="宋体" w:cs="宋体"/>
          <w:color w:val="auto"/>
          <w:sz w:val="24"/>
          <w:szCs w:val="20"/>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27.5  </w:t>
      </w:r>
    </w:p>
    <w:p>
      <w:pPr>
        <w:tabs>
          <w:tab w:val="left" w:pos="0"/>
        </w:tabs>
        <w:spacing w:line="400" w:lineRule="exact"/>
        <w:ind w:left="1703" w:leftChars="771" w:hanging="84" w:hangingChars="35"/>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332" name="文本框 332"/>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7.85pt;width:72pt;z-index:251763712;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jbnstUAAAAHAQAA&#10;DwAAAAAAAAABACAAAAAiAAAAZHJzL2Rvd25yZXYueG1sUEsBAhQAFAAAAAgAh07iQHKAG0Y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宋体" w:hAnsi="宋体" w:cs="宋体"/>
          <w:color w:val="auto"/>
          <w:sz w:val="24"/>
          <w:szCs w:val="20"/>
          <w:highlight w:val="none"/>
        </w:rPr>
        <w:t>承包人应按时足额向雇员支付劳务工资，并不低于当地最低工资标准。因承包人拖欠其雇员工资而造成群体性示威、游行等一切后果，由承包人承担。对发包人造成损失和（或）导致工期延误的，应赔偿发包人的损失，工期不予顺延。</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27.6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331" name="文本框 331"/>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70.2pt;width:72pt;z-index:251764736;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s4xE1AAAAAgBAAAP&#10;AAAAAAAAAAEAIAAAACIAAABkcnMvZG93bnJldi54bWxQSwECFAAUAAAACACHTuJAmNMbjx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宋体" w:hAnsi="宋体" w:cs="宋体"/>
          <w:color w:val="auto"/>
          <w:sz w:val="24"/>
          <w:szCs w:val="24"/>
          <w:highlight w:val="none"/>
        </w:rPr>
        <w:t>承包人的雇员应是在行业或职业内具有相应资格、技能和经验的人员。承包人应向施工场地派遣足够数量的下列雇员：</w:t>
      </w:r>
    </w:p>
    <w:p>
      <w:pPr>
        <w:numPr>
          <w:ilvl w:val="1"/>
          <w:numId w:val="13"/>
        </w:numPr>
        <w:tabs>
          <w:tab w:val="left" w:pos="2160"/>
          <w:tab w:val="left" w:pos="2340"/>
        </w:tabs>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具有相应资格的专业技工和合格的普工；</w:t>
      </w:r>
    </w:p>
    <w:p>
      <w:pPr>
        <w:numPr>
          <w:ilvl w:val="1"/>
          <w:numId w:val="13"/>
        </w:numPr>
        <w:tabs>
          <w:tab w:val="left" w:pos="2160"/>
          <w:tab w:val="left" w:pos="2340"/>
        </w:tabs>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具有相应施工经验的技术人员；</w:t>
      </w:r>
    </w:p>
    <w:p>
      <w:pPr>
        <w:numPr>
          <w:ilvl w:val="1"/>
          <w:numId w:val="13"/>
        </w:numPr>
        <w:tabs>
          <w:tab w:val="left" w:pos="2160"/>
          <w:tab w:val="left" w:pos="2340"/>
        </w:tabs>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具有相应岗位资格的各级管理人员。</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27.7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330" name="文本框 330"/>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0.25pt;width:72pt;z-index:251765760;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ZvzKHUAAAABwEAAA8A&#10;AAAAAAAAAQAgAAAAIgAAAGRycy9kb3ducmV2LnhtbFBLAQIUABQAAAAIAIdO4kDZN2Ov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宋体" w:hAnsi="宋体" w:cs="宋体"/>
          <w:color w:val="auto"/>
          <w:sz w:val="24"/>
          <w:szCs w:val="24"/>
          <w:highlight w:val="none"/>
        </w:rPr>
        <w:t>承包人安排在施工场地的雇员应保持相对稳定，但有下列行为的任何承包人雇员，监理工程师可要求承包人将其撤换：</w:t>
      </w:r>
    </w:p>
    <w:p>
      <w:pPr>
        <w:numPr>
          <w:ilvl w:val="0"/>
          <w:numId w:val="14"/>
        </w:numPr>
        <w:tabs>
          <w:tab w:val="left" w:pos="2160"/>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经常行为不当，或工作漫不经心；</w:t>
      </w:r>
    </w:p>
    <w:p>
      <w:pPr>
        <w:numPr>
          <w:ilvl w:val="0"/>
          <w:numId w:val="14"/>
        </w:numPr>
        <w:tabs>
          <w:tab w:val="left" w:pos="2160"/>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无能力履行义务或玩忽职守；</w:t>
      </w:r>
    </w:p>
    <w:p>
      <w:pPr>
        <w:numPr>
          <w:ilvl w:val="0"/>
          <w:numId w:val="14"/>
        </w:numPr>
        <w:tabs>
          <w:tab w:val="left" w:pos="2160"/>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不遵守合同的约定；</w:t>
      </w:r>
    </w:p>
    <w:p>
      <w:pPr>
        <w:numPr>
          <w:ilvl w:val="0"/>
          <w:numId w:val="14"/>
        </w:numPr>
        <w:tabs>
          <w:tab w:val="left" w:pos="2160"/>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有损安全、健康和不利于环境保护的行为。</w:t>
      </w:r>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27.8  </w:t>
      </w:r>
    </w:p>
    <w:p>
      <w:pPr>
        <w:tabs>
          <w:tab w:val="left" w:pos="0"/>
        </w:tabs>
        <w:spacing w:line="400" w:lineRule="exact"/>
        <w:ind w:left="1703" w:leftChars="771" w:hanging="84" w:hangingChars="35"/>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329" name="文本框 329"/>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4.25pt;width:72pt;z-index:251766784;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LXY79UAAAAHAQAA&#10;DwAAAAAAAAABACAAAAAiAAAAZHJzL2Rvd25yZXYueG1sUEsBAhQAFAAAAAgAh07iQMHw35Q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宋体" w:hAnsi="宋体" w:cs="宋体"/>
          <w:color w:val="auto"/>
          <w:sz w:val="24"/>
          <w:szCs w:val="20"/>
          <w:highlight w:val="none"/>
        </w:rPr>
        <w:t>承包人应自始至终采取各种合理的预防措施，防止雇员内部发生打斗和任何无序、非法的不良行为，以确保现场安定和保护现场及邻近人员的生命、财产安全。</w:t>
      </w:r>
    </w:p>
    <w:p>
      <w:pPr>
        <w:spacing w:line="360" w:lineRule="auto"/>
        <w:rPr>
          <w:rFonts w:ascii="宋体" w:hAnsi="宋体" w:cs="宋体"/>
          <w:b/>
          <w:bCs/>
          <w:color w:val="auto"/>
          <w:sz w:val="24"/>
          <w:szCs w:val="24"/>
          <w:highlight w:val="none"/>
        </w:rPr>
      </w:pPr>
    </w:p>
    <w:p>
      <w:pPr>
        <w:adjustRightInd w:val="0"/>
        <w:snapToGrid w:val="0"/>
        <w:spacing w:line="360" w:lineRule="auto"/>
        <w:ind w:right="-238"/>
        <w:jc w:val="center"/>
        <w:outlineLvl w:val="1"/>
        <w:rPr>
          <w:rFonts w:ascii="宋体" w:hAnsi="宋体" w:cs="宋体"/>
          <w:b/>
          <w:bCs/>
          <w:color w:val="auto"/>
          <w:sz w:val="24"/>
          <w:szCs w:val="24"/>
          <w:highlight w:val="none"/>
        </w:rPr>
      </w:pPr>
      <w:bookmarkStart w:id="705" w:name="_Toc23264"/>
      <w:bookmarkStart w:id="706" w:name="_Toc16811"/>
      <w:bookmarkStart w:id="707" w:name="_Toc8352"/>
      <w:bookmarkStart w:id="708" w:name="_Toc22555"/>
      <w:bookmarkStart w:id="709" w:name="_Toc471367450"/>
      <w:bookmarkStart w:id="710" w:name="_Toc20461"/>
      <w:bookmarkStart w:id="711" w:name="_Toc1509"/>
      <w:bookmarkStart w:id="712" w:name="_Toc2125233366"/>
      <w:bookmarkStart w:id="713" w:name="_Toc469384008"/>
      <w:r>
        <w:rPr>
          <w:rFonts w:hint="eastAsia" w:ascii="宋体" w:hAnsi="宋体" w:cs="宋体"/>
          <w:b/>
          <w:bCs/>
          <w:color w:val="auto"/>
          <w:sz w:val="24"/>
          <w:szCs w:val="24"/>
          <w:highlight w:val="none"/>
        </w:rPr>
        <w:t>三、担保、保险与风险</w:t>
      </w:r>
      <w:bookmarkEnd w:id="705"/>
      <w:bookmarkEnd w:id="706"/>
      <w:bookmarkEnd w:id="707"/>
      <w:bookmarkEnd w:id="708"/>
      <w:bookmarkEnd w:id="709"/>
      <w:bookmarkEnd w:id="710"/>
      <w:bookmarkEnd w:id="711"/>
      <w:bookmarkEnd w:id="712"/>
      <w:bookmarkEnd w:id="713"/>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714" w:name="_Toc469384009"/>
      <w:bookmarkStart w:id="715" w:name="_Toc8979"/>
      <w:bookmarkStart w:id="716" w:name="_Toc25001"/>
      <w:bookmarkStart w:id="717" w:name="_Toc26696"/>
      <w:bookmarkStart w:id="718" w:name="_Toc1849165458"/>
      <w:bookmarkStart w:id="719" w:name="_Toc9786"/>
      <w:bookmarkStart w:id="720" w:name="_Toc24231"/>
      <w:bookmarkStart w:id="721" w:name="_Toc20242"/>
      <w:bookmarkStart w:id="722" w:name="_Toc205558367"/>
      <w:r>
        <w:rPr>
          <w:rFonts w:hint="eastAsia" w:ascii="宋体" w:hAnsi="宋体" w:cs="宋体"/>
          <w:b/>
          <w:bCs/>
          <w:color w:val="auto"/>
          <w:sz w:val="24"/>
          <w:szCs w:val="24"/>
          <w:highlight w:val="none"/>
        </w:rPr>
        <w:t>28  工程担保</w:t>
      </w:r>
      <w:bookmarkEnd w:id="714"/>
      <w:bookmarkEnd w:id="715"/>
      <w:bookmarkEnd w:id="716"/>
      <w:bookmarkEnd w:id="717"/>
      <w:bookmarkEnd w:id="718"/>
      <w:bookmarkEnd w:id="719"/>
      <w:bookmarkEnd w:id="720"/>
      <w:bookmarkEnd w:id="721"/>
      <w:bookmarkEnd w:id="722"/>
    </w:p>
    <w:p>
      <w:pPr>
        <w:tabs>
          <w:tab w:val="left" w:pos="1320"/>
        </w:tabs>
        <w:adjustRightInd w:val="0"/>
        <w:snapToGrid w:val="0"/>
        <w:spacing w:line="360" w:lineRule="auto"/>
        <w:ind w:right="-240"/>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328" name="文本框 32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2pt;height:31.2pt;width:72pt;z-index:251767808;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4G5QTXAAAACgEA&#10;AA8AAAAAAAAAAQAgAAAAIgAAAGRycy9kb3ducmV2LnhtbFBLAQIUABQAAAAIAIdO4kAngTMf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宋体" w:hAnsi="宋体" w:cs="宋体"/>
          <w:b/>
          <w:bCs/>
          <w:color w:val="auto"/>
          <w:sz w:val="24"/>
          <w:szCs w:val="24"/>
          <w:highlight w:val="none"/>
        </w:rPr>
        <w:t xml:space="preserve">28.1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为正确履行本合同，发包人应在招标文件中或在签订合同前明确履约担保的有关要求，承包人应按照合同约定时间向发包人提供履约担保。履约担保采用银行保函、担保公司担保或</w:t>
      </w:r>
      <w:r>
        <w:rPr>
          <w:rFonts w:hint="eastAsia" w:ascii="宋体" w:hAnsi="宋体" w:cs="宋体"/>
          <w:color w:val="auto"/>
          <w:sz w:val="24"/>
          <w:szCs w:val="24"/>
          <w:highlight w:val="none"/>
          <w:shd w:val="clear" w:color="auto" w:fill="FFFFFF"/>
        </w:rPr>
        <w:t>履约保证保险</w:t>
      </w:r>
      <w:r>
        <w:rPr>
          <w:rFonts w:hint="eastAsia" w:ascii="宋体" w:hAnsi="宋体" w:cs="宋体"/>
          <w:color w:val="auto"/>
          <w:sz w:val="24"/>
          <w:szCs w:val="24"/>
          <w:highlight w:val="none"/>
        </w:rPr>
        <w:t>的形式，提供履约保函、担保公司担保、</w:t>
      </w:r>
      <w:r>
        <w:rPr>
          <w:rFonts w:hint="eastAsia" w:ascii="宋体" w:hAnsi="宋体" w:cs="宋体"/>
          <w:color w:val="auto"/>
          <w:sz w:val="24"/>
          <w:szCs w:val="24"/>
          <w:highlight w:val="none"/>
          <w:shd w:val="clear" w:color="auto" w:fill="FFFFFF"/>
        </w:rPr>
        <w:t>履约保证保险</w:t>
      </w:r>
      <w:r>
        <w:rPr>
          <w:rFonts w:hint="eastAsia" w:ascii="宋体" w:hAnsi="宋体" w:cs="宋体"/>
          <w:color w:val="auto"/>
          <w:sz w:val="24"/>
          <w:szCs w:val="24"/>
          <w:highlight w:val="none"/>
        </w:rPr>
        <w:t>所发生的费用由承包人承担。</w:t>
      </w:r>
    </w:p>
    <w:p>
      <w:pPr>
        <w:tabs>
          <w:tab w:val="left" w:pos="1320"/>
        </w:tabs>
        <w:adjustRightInd w:val="0"/>
        <w:snapToGrid w:val="0"/>
        <w:spacing w:line="360" w:lineRule="auto"/>
        <w:ind w:right="-240"/>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327" name="文本框 327"/>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15pt;height:31.1pt;width:72pt;z-index:251768832;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R51I1wAAAAoB&#10;AAAPAAAAAAAAAAEAIAAAACIAAABkcnMvZG93bnJldi54bWxQSwECFAAUAAAACACHTuJAejYfgh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宋体" w:hAnsi="宋体" w:cs="宋体"/>
          <w:b/>
          <w:bCs/>
          <w:color w:val="auto"/>
          <w:sz w:val="24"/>
          <w:szCs w:val="24"/>
          <w:highlight w:val="none"/>
        </w:rPr>
        <w:t xml:space="preserve">28.2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履约担保的有效期，是从提供履约担保之日起至合同工程竣工验收合格之日止。发包人应在担保有效期满后的14 天内将此担保退还给承包人。</w:t>
      </w:r>
    </w:p>
    <w:p>
      <w:pPr>
        <w:tabs>
          <w:tab w:val="left" w:pos="1320"/>
        </w:tabs>
        <w:adjustRightInd w:val="0"/>
        <w:snapToGrid w:val="0"/>
        <w:spacing w:line="360" w:lineRule="auto"/>
        <w:ind w:right="-238"/>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326" name="文本框 326"/>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6pt;height:39pt;width:72pt;z-index:251769856;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W7JD7YAAAACgEA&#10;AA8AAAAAAAAAAQAgAAAAIgAAAGRycy9kb3ducmV2LnhtbFBLAQIUABQAAAAIAIdO4kC5B+07GgIA&#10;ACYEAAAOAAAAAAAAAAEAIAAAACc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宋体" w:hAnsi="宋体" w:cs="宋体"/>
          <w:b/>
          <w:bCs/>
          <w:color w:val="auto"/>
          <w:sz w:val="24"/>
          <w:szCs w:val="24"/>
          <w:highlight w:val="none"/>
        </w:rPr>
        <w:t xml:space="preserve">28.3  </w:t>
      </w:r>
    </w:p>
    <w:p>
      <w:pPr>
        <w:adjustRightInd w:val="0"/>
        <w:snapToGrid w:val="0"/>
        <w:spacing w:line="360" w:lineRule="auto"/>
        <w:ind w:left="1619" w:leftChars="771"/>
        <w:rPr>
          <w:rFonts w:ascii="宋体" w:hAnsi="宋体" w:cs="宋体"/>
          <w:b/>
          <w:bCs/>
          <w:color w:val="auto"/>
          <w:sz w:val="24"/>
          <w:szCs w:val="24"/>
          <w:highlight w:val="none"/>
        </w:rPr>
      </w:pPr>
      <w:r>
        <w:rPr>
          <w:rFonts w:hint="eastAsia" w:ascii="宋体" w:hAnsi="宋体" w:cs="宋体"/>
          <w:color w:val="auto"/>
          <w:sz w:val="24"/>
          <w:szCs w:val="24"/>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tabs>
          <w:tab w:val="left" w:pos="540"/>
          <w:tab w:val="left" w:pos="720"/>
        </w:tabs>
        <w:adjustRightInd w:val="0"/>
        <w:snapToGrid w:val="0"/>
        <w:spacing w:line="360" w:lineRule="auto"/>
        <w:ind w:right="-238"/>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325" name="文本框 325"/>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8pt;height:32.9pt;width:72pt;z-index:251770880;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xO/mNgAAAAK&#10;AQAADwAAAAAAAAABACAAAAAiAAAAZHJzL2Rvd25yZXYueG1sUEsBAhQAFAAAAAgAh07iQF4LNOk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宋体" w:hAnsi="宋体" w:cs="宋体"/>
          <w:b/>
          <w:bCs/>
          <w:color w:val="auto"/>
          <w:sz w:val="24"/>
          <w:szCs w:val="24"/>
          <w:highlight w:val="none"/>
        </w:rPr>
        <w:t xml:space="preserve">28.4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按照第28.1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宋体" w:hAnsi="宋体" w:cs="宋体"/>
          <w:color w:val="auto"/>
          <w:sz w:val="24"/>
          <w:szCs w:val="24"/>
          <w:highlight w:val="none"/>
          <w:shd w:val="clear" w:color="auto" w:fill="FFFFFF"/>
        </w:rPr>
        <w:t>支付保证保险</w:t>
      </w:r>
      <w:r>
        <w:rPr>
          <w:rFonts w:hint="eastAsia" w:ascii="宋体" w:hAnsi="宋体" w:cs="宋体"/>
          <w:color w:val="auto"/>
          <w:sz w:val="24"/>
          <w:szCs w:val="24"/>
          <w:highlight w:val="none"/>
        </w:rPr>
        <w:t>的形式，提供支付保函、担保公司担保、</w:t>
      </w:r>
      <w:r>
        <w:rPr>
          <w:rFonts w:hint="eastAsia" w:ascii="宋体" w:hAnsi="宋体" w:cs="宋体"/>
          <w:color w:val="auto"/>
          <w:sz w:val="24"/>
          <w:szCs w:val="24"/>
          <w:highlight w:val="none"/>
          <w:shd w:val="clear" w:color="auto" w:fill="FFFFFF"/>
        </w:rPr>
        <w:t>支付保证保险</w:t>
      </w:r>
      <w:r>
        <w:rPr>
          <w:rFonts w:hint="eastAsia" w:ascii="宋体" w:hAnsi="宋体" w:cs="宋体"/>
          <w:color w:val="auto"/>
          <w:sz w:val="24"/>
          <w:szCs w:val="24"/>
          <w:highlight w:val="none"/>
        </w:rPr>
        <w:t>所发生的费用由发包人承担。</w:t>
      </w:r>
    </w:p>
    <w:p>
      <w:pPr>
        <w:tabs>
          <w:tab w:val="left" w:pos="1320"/>
        </w:tabs>
        <w:adjustRightInd w:val="0"/>
        <w:snapToGrid w:val="0"/>
        <w:spacing w:line="360" w:lineRule="auto"/>
        <w:ind w:right="-238"/>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324" name="文本框 324"/>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75pt;height:32.5pt;width:72pt;z-index:251771904;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8MnY2AAAAAoB&#10;AAAPAAAAAAAAAAEAIAAAACIAAABkcnMvZG93bnJldi54bWxQSwECFAAUAAAACACHTuJA311DcxsC&#10;AAAmBAAADgAAAAAAAAABACAAAAAn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宋体" w:hAnsi="宋体" w:cs="宋体"/>
          <w:b/>
          <w:bCs/>
          <w:color w:val="auto"/>
          <w:sz w:val="24"/>
          <w:szCs w:val="24"/>
          <w:highlight w:val="none"/>
        </w:rPr>
        <w:t xml:space="preserve">28.5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支付担保的有效期，是从提供支付担保之日起至发包人根据本合同约定支付完除质量保证金以外的全部款项之日止。承包人应在担保有效期满后的14天内将此担保退还给发包人。</w:t>
      </w:r>
    </w:p>
    <w:p>
      <w:pPr>
        <w:tabs>
          <w:tab w:val="left" w:pos="1320"/>
        </w:tabs>
        <w:adjustRightInd w:val="0"/>
        <w:snapToGrid w:val="0"/>
        <w:spacing w:line="360" w:lineRule="auto"/>
        <w:ind w:right="-238"/>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323" name="文本框 32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31.2pt;width:72pt;z-index:251772928;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KGkGLWAAAACgEA&#10;AA8AAAAAAAAAAQAgAAAAIgAAAGRycy9kb3ducmV2LnhtbFBLAQIUABQAAAAIAIdO4kCLHVU3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宋体" w:hAnsi="宋体" w:cs="宋体"/>
          <w:b/>
          <w:bCs/>
          <w:color w:val="auto"/>
          <w:sz w:val="24"/>
          <w:szCs w:val="24"/>
          <w:highlight w:val="none"/>
        </w:rPr>
        <w:t xml:space="preserve">28.6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pPr>
        <w:tabs>
          <w:tab w:val="left" w:pos="1320"/>
        </w:tabs>
        <w:adjustRightInd w:val="0"/>
        <w:snapToGrid w:val="0"/>
        <w:spacing w:line="360" w:lineRule="auto"/>
        <w:ind w:right="-238"/>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322" name="文本框 322"/>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15pt;height:33.3pt;width:72pt;z-index:251773952;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AE2KnXAAAACgEA&#10;AA8AAAAAAAAAAQAgAAAAIgAAAGRycy9kb3ducmV2LnhtbFBLAQIUABQAAAAIAIdO4kDyroj1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宋体" w:hAnsi="宋体" w:cs="宋体"/>
          <w:b/>
          <w:bCs/>
          <w:color w:val="auto"/>
          <w:sz w:val="24"/>
          <w:szCs w:val="24"/>
          <w:highlight w:val="none"/>
        </w:rPr>
        <w:t xml:space="preserve">28.7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合同双方当事人均应确保合同工程担保有效期符合工期合理顺延的要求。若合同一方当事人未能保证延长担保有效期，另一方当事人可向其索赔担保的全部金额。</w:t>
      </w:r>
    </w:p>
    <w:p>
      <w:pPr>
        <w:tabs>
          <w:tab w:val="left" w:pos="1320"/>
        </w:tabs>
        <w:adjustRightInd w:val="0"/>
        <w:snapToGrid w:val="0"/>
        <w:spacing w:line="360" w:lineRule="auto"/>
        <w:ind w:right="-238"/>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321" name="文本框 321"/>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1pt;height:26.7pt;width:72pt;z-index:251774976;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xIfdXXAAAACQEA&#10;AA8AAAAAAAAAAQAgAAAAIgAAAGRycy9kb3ducmV2LnhtbFBLAQIUABQAAAAIAIdO4kBu3Wao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宋体" w:hAnsi="宋体" w:cs="宋体"/>
          <w:b/>
          <w:bCs/>
          <w:color w:val="auto"/>
          <w:sz w:val="24"/>
          <w:szCs w:val="24"/>
          <w:highlight w:val="none"/>
        </w:rPr>
        <w:t xml:space="preserve">28.8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合同双方当事人在专用条款中约定担保内容、方式和责任等事项，并签订担保合同，作为本合同附件。</w:t>
      </w:r>
    </w:p>
    <w:p>
      <w:pPr>
        <w:adjustRightInd w:val="0"/>
        <w:snapToGrid w:val="0"/>
        <w:ind w:right="-240"/>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723" w:name="_Toc26930"/>
      <w:bookmarkStart w:id="724" w:name="_Toc1665769793"/>
      <w:bookmarkStart w:id="725" w:name="_Toc469384010"/>
      <w:bookmarkStart w:id="726" w:name="_Toc401"/>
      <w:bookmarkStart w:id="727" w:name="_Toc6432"/>
      <w:bookmarkStart w:id="728" w:name="_Toc12235"/>
      <w:bookmarkStart w:id="729" w:name="_Toc11164"/>
      <w:bookmarkStart w:id="730" w:name="_Toc30548"/>
      <w:bookmarkStart w:id="731" w:name="_Toc540513222"/>
      <w:r>
        <w:rPr>
          <w:rFonts w:hint="eastAsia" w:ascii="宋体" w:hAnsi="宋体" w:cs="宋体"/>
          <w:b/>
          <w:bCs/>
          <w:color w:val="auto"/>
          <w:sz w:val="24"/>
          <w:szCs w:val="24"/>
          <w:highlight w:val="none"/>
        </w:rPr>
        <w:t>29  发包人风险</w:t>
      </w:r>
      <w:bookmarkEnd w:id="723"/>
      <w:bookmarkEnd w:id="724"/>
      <w:bookmarkEnd w:id="725"/>
      <w:bookmarkEnd w:id="726"/>
      <w:bookmarkEnd w:id="727"/>
      <w:bookmarkEnd w:id="728"/>
      <w:bookmarkEnd w:id="729"/>
      <w:bookmarkEnd w:id="730"/>
      <w:bookmarkEnd w:id="731"/>
    </w:p>
    <w:p>
      <w:pPr>
        <w:adjustRightInd w:val="0"/>
        <w:snapToGrid w:val="0"/>
        <w:spacing w:line="360" w:lineRule="auto"/>
        <w:ind w:right="-240"/>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320" name="文本框 32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85pt;height:31.2pt;width:72pt;z-index:251776000;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Wjq+NcAAAAJAQAA&#10;DwAAAAAAAAABACAAAAAiAAAAZHJzL2Rvd25yZXYueG1sUEsBAhQAFAAAAAgAh07iQAd9jToaAgAA&#10;JgQAAA4AAAAAAAAAAQAgAAAAJg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宋体" w:hAnsi="宋体" w:cs="宋体"/>
          <w:b/>
          <w:bCs/>
          <w:color w:val="auto"/>
          <w:sz w:val="24"/>
          <w:szCs w:val="24"/>
          <w:highlight w:val="none"/>
        </w:rPr>
        <w:t xml:space="preserve">29.1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发包人应承担本合同中规定应由发包人承担的风险。</w:t>
      </w:r>
    </w:p>
    <w:p>
      <w:pPr>
        <w:adjustRightInd w:val="0"/>
        <w:snapToGrid w:val="0"/>
        <w:spacing w:line="480" w:lineRule="auto"/>
        <w:ind w:right="-240"/>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29.2  </w:t>
      </w:r>
    </w:p>
    <w:p>
      <w:pPr>
        <w:adjustRightInd w:val="0"/>
        <w:snapToGrid w:val="0"/>
        <w:spacing w:line="360" w:lineRule="auto"/>
        <w:ind w:left="1676" w:leftChars="798" w:right="-240" w:firstLine="3"/>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319" name="文本框 319"/>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28.05pt;width:72pt;z-index:251777024;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1EFTY1QAAAAgBAAAP&#10;AAAAAAAAAAEAIAAAACIAAABkcnMvZG93bnJldi54bWxQSwECFAAUAAAACACHTuJA/KnbBh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宋体" w:hAnsi="宋体" w:cs="宋体"/>
          <w:color w:val="auto"/>
          <w:sz w:val="24"/>
          <w:szCs w:val="24"/>
          <w:highlight w:val="none"/>
        </w:rPr>
        <w:t>自开工之日起至颁发工程接收证书之日止，发包人风险包括但不限于：</w:t>
      </w:r>
    </w:p>
    <w:p>
      <w:pPr>
        <w:numPr>
          <w:ilvl w:val="0"/>
          <w:numId w:val="15"/>
        </w:numPr>
        <w:tabs>
          <w:tab w:val="left" w:pos="10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由于永久工程本身或施工而不可避免造成的财产（除工程本身、材料和工程设备和施工设备外）损失或损坏；</w:t>
      </w:r>
    </w:p>
    <w:p>
      <w:pPr>
        <w:numPr>
          <w:ilvl w:val="0"/>
          <w:numId w:val="15"/>
        </w:numPr>
        <w:tabs>
          <w:tab w:val="left" w:pos="10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由于发包人工作人员及其相关人员（除承包人外）的疏忽或违规造成的人员伤亡、财产损失或损坏；</w:t>
      </w:r>
    </w:p>
    <w:p>
      <w:pPr>
        <w:numPr>
          <w:ilvl w:val="0"/>
          <w:numId w:val="15"/>
        </w:numPr>
        <w:tabs>
          <w:tab w:val="left" w:pos="10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由于发包人提前使用或占用永久工程或其部分造成的损失或损坏；</w:t>
      </w:r>
    </w:p>
    <w:p>
      <w:pPr>
        <w:numPr>
          <w:ilvl w:val="0"/>
          <w:numId w:val="15"/>
        </w:numPr>
        <w:tabs>
          <w:tab w:val="left" w:pos="10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由于发包人提供或发包人负责的设计造成的对永久工程、材料和工程设备和施工设备的损失或损害；</w:t>
      </w:r>
    </w:p>
    <w:p>
      <w:pPr>
        <w:numPr>
          <w:ilvl w:val="0"/>
          <w:numId w:val="15"/>
        </w:numPr>
        <w:tabs>
          <w:tab w:val="left" w:pos="10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由于地质、邻近建筑物、古树名木和物价上涨等非承包人原因造成施工过程中费用的增加。</w:t>
      </w:r>
    </w:p>
    <w:p>
      <w:pPr>
        <w:adjustRightInd w:val="0"/>
        <w:snapToGrid w:val="0"/>
        <w:spacing w:line="360" w:lineRule="auto"/>
        <w:ind w:right="-240"/>
        <w:rPr>
          <w:rFonts w:ascii="宋体" w:hAnsi="宋体" w:cs="宋体"/>
          <w:color w:val="auto"/>
          <w:sz w:val="24"/>
          <w:szCs w:val="24"/>
          <w:highlight w:val="none"/>
          <w:u w:val="single"/>
        </w:rPr>
      </w:pPr>
    </w:p>
    <w:p>
      <w:pPr>
        <w:adjustRightInd w:val="0"/>
        <w:snapToGrid w:val="0"/>
        <w:spacing w:line="360" w:lineRule="auto"/>
        <w:ind w:right="-240"/>
        <w:outlineLvl w:val="2"/>
        <w:rPr>
          <w:rFonts w:ascii="宋体" w:hAnsi="宋体" w:cs="宋体"/>
          <w:b/>
          <w:bCs/>
          <w:color w:val="auto"/>
          <w:sz w:val="24"/>
          <w:szCs w:val="24"/>
          <w:highlight w:val="none"/>
        </w:rPr>
      </w:pPr>
      <w:bookmarkStart w:id="732" w:name="_Toc1996088659"/>
      <w:bookmarkStart w:id="733" w:name="_Toc2790"/>
      <w:bookmarkStart w:id="734" w:name="_Toc12392"/>
      <w:bookmarkStart w:id="735" w:name="_Toc30141"/>
      <w:bookmarkStart w:id="736" w:name="_Toc6562"/>
      <w:bookmarkStart w:id="737" w:name="_Toc549895344"/>
      <w:bookmarkStart w:id="738" w:name="_Toc18147"/>
      <w:bookmarkStart w:id="739" w:name="_Toc25389"/>
      <w:bookmarkStart w:id="740" w:name="_Toc469384011"/>
      <w:r>
        <w:rPr>
          <w:rFonts w:hint="eastAsia" w:ascii="宋体" w:hAnsi="宋体" w:cs="宋体"/>
          <w:b/>
          <w:bCs/>
          <w:color w:val="auto"/>
          <w:sz w:val="24"/>
          <w:szCs w:val="24"/>
          <w:highlight w:val="none"/>
        </w:rPr>
        <w:t>30  承包人风险</w:t>
      </w:r>
      <w:bookmarkEnd w:id="732"/>
      <w:bookmarkEnd w:id="733"/>
      <w:bookmarkEnd w:id="734"/>
      <w:bookmarkEnd w:id="735"/>
      <w:bookmarkEnd w:id="736"/>
      <w:bookmarkEnd w:id="737"/>
      <w:bookmarkEnd w:id="738"/>
      <w:bookmarkEnd w:id="739"/>
      <w:bookmarkEnd w:id="740"/>
    </w:p>
    <w:p>
      <w:pPr>
        <w:tabs>
          <w:tab w:val="left" w:pos="1320"/>
          <w:tab w:val="left" w:pos="1440"/>
        </w:tabs>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8048"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318" name="文本框 318"/>
                <wp:cNvGraphicFramePr/>
                <a:graphic xmlns:a="http://schemas.openxmlformats.org/drawingml/2006/main">
                  <a:graphicData uri="http://schemas.microsoft.com/office/word/2010/wordprocessingShape">
                    <wps:wsp>
                      <wps:cNvSpPr txBox="1">
                        <a:spLocks noChangeArrowheads="1"/>
                      </wps:cNvSpPr>
                      <wps:spPr bwMode="auto">
                        <a:xfrm>
                          <a:off x="0" y="0"/>
                          <a:ext cx="1028700" cy="4273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0.05pt;height:33.65pt;width:81pt;z-index:251778048;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KqyZ1gAAAAoB&#10;AAAPAAAAAAAAAAEAIAAAACIAAABkcnMvZG93bnJldi54bWxQSwECFAAUAAAACACHTuJAh7/aVB0C&#10;AAAn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宋体" w:hAnsi="宋体" w:cs="宋体"/>
          <w:b/>
          <w:bCs/>
          <w:color w:val="auto"/>
          <w:sz w:val="24"/>
          <w:szCs w:val="24"/>
          <w:highlight w:val="none"/>
        </w:rPr>
        <w:t xml:space="preserve">30.1      </w:t>
      </w:r>
    </w:p>
    <w:p>
      <w:pPr>
        <w:tabs>
          <w:tab w:val="left" w:pos="1440"/>
        </w:tabs>
        <w:adjustRightInd w:val="0"/>
        <w:snapToGrid w:val="0"/>
        <w:spacing w:line="360" w:lineRule="auto"/>
        <w:ind w:firstLine="1620" w:firstLineChars="675"/>
        <w:rPr>
          <w:rFonts w:ascii="宋体" w:hAnsi="宋体" w:cs="宋体"/>
          <w:color w:val="auto"/>
          <w:sz w:val="24"/>
          <w:szCs w:val="24"/>
          <w:highlight w:val="none"/>
        </w:rPr>
      </w:pPr>
      <w:r>
        <w:rPr>
          <w:rFonts w:hint="eastAsia" w:ascii="宋体" w:hAnsi="宋体" w:cs="宋体"/>
          <w:color w:val="auto"/>
          <w:sz w:val="24"/>
          <w:szCs w:val="24"/>
          <w:highlight w:val="none"/>
        </w:rPr>
        <w:t>承包人应承担本合同中规定应由承包人承担的风险。</w:t>
      </w:r>
    </w:p>
    <w:p>
      <w:pPr>
        <w:tabs>
          <w:tab w:val="left" w:pos="1320"/>
          <w:tab w:val="left" w:pos="1440"/>
        </w:tabs>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317" name="文本框 317"/>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65pt;height:24.25pt;width:72pt;z-index:251779072;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vk+c1wAAAAkB&#10;AAAPAAAAAAAAAAEAIAAAACIAAABkcnMvZG93bnJldi54bWxQSwECFAAUAAAACACHTuJAwAK4IB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int="eastAsia" w:ascii="宋体" w:hAnsi="宋体" w:cs="宋体"/>
          <w:b/>
          <w:bCs/>
          <w:color w:val="auto"/>
          <w:sz w:val="24"/>
          <w:szCs w:val="24"/>
          <w:highlight w:val="none"/>
        </w:rPr>
        <w:t xml:space="preserve">30.2  </w:t>
      </w:r>
    </w:p>
    <w:p>
      <w:pPr>
        <w:tabs>
          <w:tab w:val="left" w:pos="1440"/>
        </w:tabs>
        <w:adjustRightInd w:val="0"/>
        <w:snapToGrid w:val="0"/>
        <w:spacing w:line="360" w:lineRule="auto"/>
        <w:ind w:left="1619" w:leftChars="771" w:firstLine="2"/>
        <w:rPr>
          <w:rFonts w:ascii="宋体" w:hAnsi="宋体" w:cs="宋体"/>
          <w:color w:val="auto"/>
          <w:sz w:val="24"/>
          <w:szCs w:val="24"/>
          <w:highlight w:val="none"/>
        </w:rPr>
      </w:pPr>
      <w:r>
        <w:rPr>
          <w:rFonts w:hint="eastAsia" w:ascii="宋体" w:hAnsi="宋体" w:cs="宋体"/>
          <w:color w:val="auto"/>
          <w:sz w:val="24"/>
          <w:szCs w:val="24"/>
          <w:highlight w:val="none"/>
        </w:rPr>
        <w:t>自开工之日起直到颁发工程接收证书之日止，承包人风险为：除第29条和第31条以外的人员伤亡以及财产（包括但不限于合同工程、材料、工程设备和施工设备）的损失或损坏。</w:t>
      </w:r>
    </w:p>
    <w:p>
      <w:pPr>
        <w:adjustRightInd w:val="0"/>
        <w:snapToGrid w:val="0"/>
        <w:spacing w:line="360" w:lineRule="auto"/>
        <w:ind w:right="-240"/>
        <w:rPr>
          <w:rFonts w:ascii="宋体" w:hAnsi="宋体" w:cs="宋体"/>
          <w:b/>
          <w:bCs/>
          <w:color w:val="auto"/>
          <w:sz w:val="24"/>
          <w:szCs w:val="24"/>
          <w:highlight w:val="none"/>
          <w:u w:val="single"/>
        </w:rPr>
      </w:pPr>
    </w:p>
    <w:p>
      <w:pPr>
        <w:adjustRightInd w:val="0"/>
        <w:snapToGrid w:val="0"/>
        <w:spacing w:line="360" w:lineRule="auto"/>
        <w:ind w:right="-240"/>
        <w:outlineLvl w:val="2"/>
        <w:rPr>
          <w:rFonts w:ascii="宋体" w:hAnsi="宋体" w:cs="宋体"/>
          <w:b/>
          <w:bCs/>
          <w:color w:val="auto"/>
          <w:sz w:val="24"/>
          <w:szCs w:val="24"/>
          <w:highlight w:val="none"/>
        </w:rPr>
      </w:pPr>
      <w:bookmarkStart w:id="741" w:name="_Toc20836"/>
      <w:bookmarkStart w:id="742" w:name="_Toc4208"/>
      <w:bookmarkStart w:id="743" w:name="_Toc469384012"/>
      <w:bookmarkStart w:id="744" w:name="_Toc1468913567"/>
      <w:bookmarkStart w:id="745" w:name="_Toc20571"/>
      <w:bookmarkStart w:id="746" w:name="_Toc8873"/>
      <w:bookmarkStart w:id="747" w:name="_Toc272558379"/>
      <w:bookmarkStart w:id="748" w:name="_Toc11815"/>
      <w:bookmarkStart w:id="749" w:name="_Toc2946"/>
      <w:r>
        <w:rPr>
          <w:rFonts w:hint="eastAsia" w:ascii="宋体" w:hAnsi="宋体" w:cs="宋体"/>
          <w:b/>
          <w:bCs/>
          <w:color w:val="auto"/>
          <w:sz w:val="24"/>
          <w:szCs w:val="24"/>
          <w:highlight w:val="none"/>
        </w:rPr>
        <w:t>31  不可抗力</w:t>
      </w:r>
      <w:bookmarkEnd w:id="741"/>
      <w:bookmarkEnd w:id="742"/>
      <w:bookmarkEnd w:id="743"/>
      <w:bookmarkEnd w:id="744"/>
      <w:bookmarkEnd w:id="745"/>
      <w:bookmarkEnd w:id="746"/>
      <w:bookmarkEnd w:id="747"/>
      <w:bookmarkEnd w:id="748"/>
      <w:bookmarkEnd w:id="749"/>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31.1      </w:t>
      </w:r>
    </w:p>
    <w:p>
      <w:pPr>
        <w:adjustRightInd w:val="0"/>
        <w:snapToGrid w:val="0"/>
        <w:spacing w:line="360" w:lineRule="auto"/>
        <w:ind w:left="1619"/>
        <w:rPr>
          <w:rFonts w:ascii="宋体" w:hAnsi="宋体" w:cs="宋体"/>
          <w:color w:val="auto"/>
          <w:kern w:val="0"/>
          <w:sz w:val="24"/>
          <w:szCs w:val="24"/>
          <w:highlight w:val="none"/>
        </w:rPr>
      </w:pPr>
      <w:r>
        <w:rPr>
          <w:rFonts w:hint="eastAsia" w:ascii="宋体" w:hAnsi="宋体" w:cs="宋体"/>
          <w:color w:val="auto"/>
          <w:kern w:val="0"/>
          <w:sz w:val="24"/>
          <w:szCs w:val="24"/>
          <w:highlight w:val="none"/>
        </w:rPr>
        <w:t>不可抗力是指合同当事人在签订合同时不可预见，在合同履行过程中不可避免且不能克服的自然灾害和社会性突发事件，如地震、海啸、瘟疫、骚乱、戒严、暴动、战争等。</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31.2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316" name="文本框 316"/>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8.8pt;width:72pt;z-index:251780096;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0v7dUAAAAIAQAA&#10;DwAAAAAAAAABACAAAAAiAAAAZHJzL2Rvd25yZXYueG1sUEsBAhQAFAAAAAgAh07iQOKrQB0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宋体" w:hAnsi="宋体" w:cs="宋体"/>
          <w:color w:val="auto"/>
          <w:sz w:val="24"/>
          <w:szCs w:val="24"/>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31.3  </w:t>
      </w:r>
    </w:p>
    <w:p>
      <w:pPr>
        <w:adjustRightInd w:val="0"/>
        <w:snapToGrid w:val="0"/>
        <w:spacing w:line="360" w:lineRule="auto"/>
        <w:ind w:left="1619" w:leftChars="771" w:firstLine="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315" name="文本框 315"/>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5pt;height:54.6pt;width:72pt;z-index:251781120;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S66V1wAAAAkB&#10;AAAPAAAAAAAAAAEAIAAAACIAAABkcnMvZG93bnJldi54bWxQSwECFAAUAAAACACHTuJAsu+HLB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ascii="宋体" w:hAnsi="宋体" w:cs="宋体"/>
          <w:color w:val="auto"/>
          <w:sz w:val="24"/>
          <w:szCs w:val="24"/>
          <w:highlight w:val="none"/>
        </w:rPr>
        <w:t>因不可抗力事件导致的费用，由合同双方当事人按照下列规定承担，并相应调整合同价款：</w:t>
      </w:r>
    </w:p>
    <w:p>
      <w:pPr>
        <w:numPr>
          <w:ilvl w:val="0"/>
          <w:numId w:val="16"/>
        </w:numPr>
        <w:tabs>
          <w:tab w:val="left" w:pos="1080"/>
        </w:tabs>
        <w:adjustRightInd w:val="0"/>
        <w:snapToGrid w:val="0"/>
        <w:spacing w:line="360" w:lineRule="auto"/>
        <w:ind w:left="1619" w:leftChars="771" w:firstLine="1"/>
        <w:rPr>
          <w:rFonts w:ascii="宋体" w:hAnsi="宋体" w:cs="宋体"/>
          <w:color w:val="auto"/>
          <w:sz w:val="24"/>
          <w:szCs w:val="24"/>
          <w:highlight w:val="none"/>
        </w:rPr>
      </w:pPr>
      <w:r>
        <w:rPr>
          <w:rFonts w:hint="eastAsia" w:ascii="宋体" w:hAnsi="宋体" w:cs="宋体"/>
          <w:color w:val="auto"/>
          <w:sz w:val="24"/>
          <w:szCs w:val="24"/>
          <w:highlight w:val="none"/>
        </w:rPr>
        <w:t>永久工程本身的损害、已运至施工场地的材料和工程设备的损害，以及因工程损害导致第三者人员伤亡和财产损失，由发包人承担；</w:t>
      </w:r>
    </w:p>
    <w:p>
      <w:pPr>
        <w:numPr>
          <w:ilvl w:val="0"/>
          <w:numId w:val="16"/>
        </w:numPr>
        <w:tabs>
          <w:tab w:val="left" w:pos="1080"/>
        </w:tabs>
        <w:adjustRightInd w:val="0"/>
        <w:snapToGrid w:val="0"/>
        <w:spacing w:line="360" w:lineRule="auto"/>
        <w:ind w:left="1619" w:leftChars="771" w:firstLine="1"/>
        <w:rPr>
          <w:rFonts w:ascii="宋体" w:hAnsi="宋体" w:cs="宋体"/>
          <w:color w:val="auto"/>
          <w:sz w:val="24"/>
          <w:szCs w:val="24"/>
          <w:highlight w:val="none"/>
        </w:rPr>
      </w:pPr>
      <w:r>
        <w:rPr>
          <w:rFonts w:hint="eastAsia" w:ascii="宋体" w:hAnsi="宋体" w:cs="宋体"/>
          <w:color w:val="auto"/>
          <w:sz w:val="24"/>
          <w:szCs w:val="24"/>
          <w:highlight w:val="none"/>
        </w:rPr>
        <w:t>承包人施工设备和用于合同工程的周转材料损坏以及停工损失，由承包人承担；发包人提供的施工设备损坏，由发包人承担；</w:t>
      </w:r>
    </w:p>
    <w:p>
      <w:pPr>
        <w:numPr>
          <w:ilvl w:val="0"/>
          <w:numId w:val="16"/>
        </w:numPr>
        <w:tabs>
          <w:tab w:val="left" w:pos="1080"/>
        </w:tabs>
        <w:adjustRightInd w:val="0"/>
        <w:snapToGrid w:val="0"/>
        <w:spacing w:line="360" w:lineRule="auto"/>
        <w:ind w:left="1619" w:leftChars="771" w:firstLine="1"/>
        <w:rPr>
          <w:rFonts w:ascii="宋体" w:hAnsi="宋体" w:cs="宋体"/>
          <w:color w:val="auto"/>
          <w:sz w:val="24"/>
          <w:szCs w:val="24"/>
          <w:highlight w:val="none"/>
        </w:rPr>
      </w:pPr>
      <w:r>
        <w:rPr>
          <w:rFonts w:hint="eastAsia" w:ascii="宋体" w:hAnsi="宋体" w:cs="宋体"/>
          <w:color w:val="auto"/>
          <w:sz w:val="24"/>
          <w:szCs w:val="24"/>
          <w:highlight w:val="none"/>
        </w:rPr>
        <w:t>施工场地内的人员伤亡和本款第(1)点、第(2)点以外财产损失及其相关费用，由合同双方当事人各自承担；</w:t>
      </w:r>
    </w:p>
    <w:p>
      <w:pPr>
        <w:numPr>
          <w:ilvl w:val="0"/>
          <w:numId w:val="16"/>
        </w:numPr>
        <w:tabs>
          <w:tab w:val="left" w:pos="1080"/>
        </w:tabs>
        <w:adjustRightInd w:val="0"/>
        <w:snapToGrid w:val="0"/>
        <w:spacing w:line="360" w:lineRule="auto"/>
        <w:ind w:left="1619" w:leftChars="771" w:firstLine="1"/>
        <w:rPr>
          <w:rFonts w:ascii="宋体" w:hAnsi="宋体" w:cs="宋体"/>
          <w:color w:val="auto"/>
          <w:sz w:val="24"/>
          <w:szCs w:val="24"/>
          <w:highlight w:val="none"/>
        </w:rPr>
      </w:pPr>
      <w:r>
        <w:rPr>
          <w:rFonts w:hint="eastAsia" w:ascii="宋体" w:hAnsi="宋体" w:cs="宋体"/>
          <w:color w:val="auto"/>
          <w:sz w:val="24"/>
          <w:szCs w:val="24"/>
          <w:highlight w:val="none"/>
        </w:rPr>
        <w:t>停工期间，承包人应监理工程师要求照管工程的费用，由发包人承担；</w:t>
      </w:r>
    </w:p>
    <w:p>
      <w:pPr>
        <w:numPr>
          <w:ilvl w:val="0"/>
          <w:numId w:val="16"/>
        </w:numPr>
        <w:tabs>
          <w:tab w:val="left" w:pos="1080"/>
        </w:tabs>
        <w:adjustRightInd w:val="0"/>
        <w:snapToGrid w:val="0"/>
        <w:spacing w:line="360" w:lineRule="auto"/>
        <w:ind w:left="2096" w:leftChars="772" w:hanging="475" w:hangingChars="198"/>
        <w:rPr>
          <w:rFonts w:ascii="宋体" w:hAnsi="宋体" w:cs="宋体"/>
          <w:color w:val="auto"/>
          <w:sz w:val="24"/>
          <w:szCs w:val="24"/>
          <w:highlight w:val="none"/>
        </w:rPr>
      </w:pPr>
      <w:r>
        <w:rPr>
          <w:rFonts w:hint="eastAsia" w:ascii="宋体" w:hAnsi="宋体" w:cs="宋体"/>
          <w:color w:val="auto"/>
          <w:sz w:val="24"/>
          <w:szCs w:val="24"/>
          <w:highlight w:val="none"/>
        </w:rPr>
        <w:t>工程所需的清理、修复费用，由发包人承担。</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14" name="文本框 314"/>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44.35pt;width:72pt;z-index:25178214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nCGh1wAAAAoB&#10;AAAPAAAAAAAAAAEAIAAAACIAAABkcnMvZG93bnJldi54bWxQSwECFAAUAAAACACHTuJADnk1WxwC&#10;AAAmBAAADgAAAAAAAAABACAAAAAmAQAAZHJzL2Uyb0RvYy54bWxQSwUGAAAAAAYABgBZAQAAtAUA&#10;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int="eastAsia" w:ascii="宋体" w:hAnsi="宋体" w:cs="宋体"/>
          <w:b/>
          <w:bCs/>
          <w:color w:val="auto"/>
          <w:sz w:val="24"/>
          <w:szCs w:val="24"/>
          <w:highlight w:val="none"/>
        </w:rPr>
        <w:t xml:space="preserve">31.4  </w:t>
      </w:r>
    </w:p>
    <w:p>
      <w:pPr>
        <w:adjustRightInd w:val="0"/>
        <w:snapToGrid w:val="0"/>
        <w:spacing w:line="360" w:lineRule="auto"/>
        <w:ind w:left="1619" w:leftChars="771"/>
        <w:rPr>
          <w:rFonts w:ascii="宋体" w:hAnsi="宋体" w:cs="宋体"/>
          <w:dstrike/>
          <w:color w:val="auto"/>
          <w:sz w:val="24"/>
          <w:szCs w:val="24"/>
          <w:highlight w:val="none"/>
        </w:rPr>
      </w:pPr>
      <w:r>
        <w:rPr>
          <w:rFonts w:hint="eastAsia" w:ascii="宋体" w:hAnsi="宋体" w:cs="宋体"/>
          <w:color w:val="auto"/>
          <w:sz w:val="24"/>
          <w:szCs w:val="24"/>
          <w:highlight w:val="none"/>
        </w:rPr>
        <w:t>因发生不可抗力事件导致工期延误的，工期相应顺延；不能按期竣工的，承包人无需为此支付任何误期赔偿费。发包人要求赶工的，承包人应采取赶工措施，赶工费用由发包人支付。</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13" name="文本框 313"/>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44.35pt;width:72pt;z-index:251783168;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OcIaHXAAAACgEA&#10;AA8AAAAAAAAAAQAgAAAAIgAAAGRycy9kb3ducmV2LnhtbFBLAQIUABQAAAAIAIdO4kCSZzJE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int="eastAsia" w:ascii="宋体" w:hAnsi="宋体" w:cs="宋体"/>
          <w:b/>
          <w:bCs/>
          <w:color w:val="auto"/>
          <w:sz w:val="24"/>
          <w:szCs w:val="24"/>
          <w:highlight w:val="none"/>
        </w:rPr>
        <w:t xml:space="preserve">31.5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合同任何一方当事人延迟履行合同后发生不可抗力事件的，不能免除另一方当事人因不可抗力造成损失的责任。</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12" name="文本框 312"/>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44.35pt;width:72pt;z-index:251784192;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nCGh1wAAAAoB&#10;AAAPAAAAAAAAAAEAIAAAACIAAABkcnMvZG93bnJldi54bWxQSwECFAAUAAAACACHTuJAFriFQB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int="eastAsia" w:ascii="宋体" w:hAnsi="宋体" w:cs="宋体"/>
          <w:b/>
          <w:bCs/>
          <w:color w:val="auto"/>
          <w:sz w:val="24"/>
          <w:szCs w:val="24"/>
          <w:highlight w:val="none"/>
        </w:rPr>
        <w:t xml:space="preserve">31.6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不可抗力事件发生后，合同双方当事人应采取措施尽量避免和减少由此发生的损失。因合同任何一方当事人没有采取有效措施而导致损失扩大的，则损失扩大部分由其自身承担。</w:t>
      </w:r>
    </w:p>
    <w:p>
      <w:pPr>
        <w:adjustRightInd w:val="0"/>
        <w:snapToGrid w:val="0"/>
        <w:spacing w:line="480" w:lineRule="auto"/>
        <w:rPr>
          <w:rFonts w:ascii="宋体" w:hAnsi="宋体" w:cs="宋体"/>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750" w:name="_Toc558314657"/>
      <w:bookmarkStart w:id="751" w:name="_Toc306056802"/>
      <w:bookmarkStart w:id="752" w:name="_Toc28337"/>
      <w:bookmarkStart w:id="753" w:name="_Toc9314"/>
      <w:bookmarkStart w:id="754" w:name="_Toc469384013"/>
      <w:bookmarkStart w:id="755" w:name="_Toc16410"/>
      <w:bookmarkStart w:id="756" w:name="_Toc30462"/>
      <w:bookmarkStart w:id="757" w:name="_Toc31993"/>
      <w:bookmarkStart w:id="758" w:name="_Toc20183"/>
      <w:r>
        <w:rPr>
          <w:rFonts w:hint="eastAsia" w:ascii="宋体" w:hAnsi="宋体" w:cs="宋体"/>
          <w:b/>
          <w:bCs/>
          <w:color w:val="auto"/>
          <w:sz w:val="24"/>
          <w:szCs w:val="24"/>
          <w:highlight w:val="none"/>
        </w:rPr>
        <w:t>32  保险</w:t>
      </w:r>
      <w:bookmarkEnd w:id="750"/>
      <w:bookmarkEnd w:id="751"/>
      <w:bookmarkEnd w:id="752"/>
      <w:bookmarkEnd w:id="753"/>
      <w:bookmarkEnd w:id="754"/>
      <w:bookmarkEnd w:id="755"/>
      <w:bookmarkEnd w:id="756"/>
      <w:bookmarkEnd w:id="757"/>
      <w:bookmarkEnd w:id="758"/>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32.1      </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11" name="文本框 311"/>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1.2pt;width:81pt;z-index:251785216;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yfBG1QAAAAgB&#10;AAAPAAAAAAAAAAEAIAAAACIAAABkcnMvZG93bnJldi54bWxQSwECFAAUAAAACACHTuJAVG+r7x4C&#10;AAAn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宋体" w:hAnsi="宋体" w:cs="宋体"/>
          <w:color w:val="auto"/>
          <w:sz w:val="24"/>
          <w:szCs w:val="24"/>
          <w:highlight w:val="none"/>
        </w:rPr>
        <w:t>发包人应按照下列规定办理保险，并支付保险费：</w:t>
      </w:r>
    </w:p>
    <w:p>
      <w:pPr>
        <w:numPr>
          <w:ilvl w:val="0"/>
          <w:numId w:val="17"/>
        </w:numPr>
        <w:tabs>
          <w:tab w:val="left" w:pos="19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工程开工前，为合同工程办理建筑工程一切险、安装工程一切险；</w:t>
      </w:r>
    </w:p>
    <w:p>
      <w:pPr>
        <w:numPr>
          <w:ilvl w:val="0"/>
          <w:numId w:val="17"/>
        </w:numPr>
        <w:tabs>
          <w:tab w:val="left" w:pos="540"/>
          <w:tab w:val="left" w:pos="19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工程开工前，为施工场地内的自有人员（包括监理工程师、造价工程师在内）办理工伤保险、意外伤害保险；</w:t>
      </w:r>
    </w:p>
    <w:p>
      <w:pPr>
        <w:numPr>
          <w:ilvl w:val="0"/>
          <w:numId w:val="17"/>
        </w:numPr>
        <w:tabs>
          <w:tab w:val="left" w:pos="540"/>
          <w:tab w:val="left" w:pos="19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为第三者办理第三者责任险；</w:t>
      </w:r>
    </w:p>
    <w:p>
      <w:pPr>
        <w:numPr>
          <w:ilvl w:val="0"/>
          <w:numId w:val="17"/>
        </w:numPr>
        <w:tabs>
          <w:tab w:val="left" w:pos="19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为运至施工场地内用于永久工程的材料和待安装工程设备办理保险。</w:t>
      </w:r>
    </w:p>
    <w:p>
      <w:pPr>
        <w:tabs>
          <w:tab w:val="left" w:pos="10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保险期从办理保险之日起至工程竣工验收合格之日止。</w:t>
      </w:r>
    </w:p>
    <w:p>
      <w:pPr>
        <w:tabs>
          <w:tab w:val="left" w:pos="10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发包人可将其中部分事项委托给承包人办理，具体由合同双方当事人在专用条款中约定。除合同价款已包括外，由发包人承担所需保险费用，并向承包人支付合理利润。</w:t>
      </w:r>
    </w:p>
    <w:p>
      <w:pPr>
        <w:ind w:left="1676" w:leftChars="798" w:firstLine="3"/>
        <w:rPr>
          <w:rFonts w:ascii="宋体" w:hAnsi="宋体" w:cs="宋体"/>
          <w:color w:val="auto"/>
          <w:highlight w:val="none"/>
        </w:rPr>
      </w:pPr>
      <w:r>
        <w:rPr>
          <w:rFonts w:hint="eastAsia" w:ascii="宋体" w:hAnsi="宋体" w:cs="宋体"/>
          <w:color w:val="auto"/>
          <w:sz w:val="24"/>
          <w:szCs w:val="24"/>
          <w:highlight w:val="none"/>
        </w:rPr>
        <w:t>（5）工程开工前，为合同工程办理工程质量保险；并由保险公司对工程质量、施工安全进行综合担保，以及聘请专业的团队进行工程建设全过程风险、质量控制。</w:t>
      </w:r>
    </w:p>
    <w:p>
      <w:pPr>
        <w:tabs>
          <w:tab w:val="left" w:pos="1320"/>
        </w:tabs>
        <w:adjustRightInd w:val="0"/>
        <w:snapToGrid w:val="0"/>
        <w:spacing w:line="48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32.2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310" name="文本框 310"/>
                <wp:cNvGraphicFramePr/>
                <a:graphic xmlns:a="http://schemas.openxmlformats.org/drawingml/2006/main">
                  <a:graphicData uri="http://schemas.microsoft.com/office/word/2010/wordprocessingShape">
                    <wps:wsp>
                      <wps:cNvSpPr txBox="1">
                        <a:spLocks noChangeArrowheads="1"/>
                      </wps:cNvSpPr>
                      <wps:spPr bwMode="auto">
                        <a:xfrm>
                          <a:off x="0" y="0"/>
                          <a:ext cx="1028700" cy="4781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37.65pt;width:81pt;z-index:251786240;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U7LFtQAAAAHAQAA&#10;DwAAAAAAAAABACAAAAAiAAAAZHJzL2Rvd25yZXYueG1sUEsBAhQAFAAAAAgAh07iQFN8No4dAgAA&#10;JwQAAA4AAAAAAAAAAQAgAAAAIw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宋体" w:hAnsi="宋体" w:cs="宋体"/>
          <w:color w:val="auto"/>
          <w:sz w:val="24"/>
          <w:szCs w:val="24"/>
          <w:highlight w:val="none"/>
        </w:rPr>
        <w:t>承包人应按照下列规定办理保险，并支付保险费：</w:t>
      </w:r>
    </w:p>
    <w:p>
      <w:pPr>
        <w:adjustRightInd w:val="0"/>
        <w:snapToGrid w:val="0"/>
        <w:spacing w:line="360" w:lineRule="auto"/>
        <w:ind w:left="1617" w:leftChars="770" w:firstLine="1"/>
        <w:rPr>
          <w:rFonts w:ascii="宋体" w:hAnsi="宋体" w:cs="宋体"/>
          <w:color w:val="auto"/>
          <w:sz w:val="24"/>
          <w:szCs w:val="24"/>
          <w:highlight w:val="none"/>
        </w:rPr>
      </w:pPr>
      <w:r>
        <w:rPr>
          <w:rFonts w:hint="eastAsia" w:ascii="宋体" w:hAnsi="宋体" w:cs="宋体"/>
          <w:color w:val="auto"/>
          <w:sz w:val="24"/>
          <w:szCs w:val="24"/>
          <w:highlight w:val="none"/>
        </w:rPr>
        <w:t>(1)工程开工前，为施工场地内自有人员（包括分包人在内）办理工伤保险、意外伤害保险；</w:t>
      </w:r>
    </w:p>
    <w:p>
      <w:pPr>
        <w:adjustRightInd w:val="0"/>
        <w:snapToGrid w:val="0"/>
        <w:spacing w:line="360" w:lineRule="auto"/>
        <w:ind w:left="1676" w:leftChars="798"/>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(2)为施工场地内的自有施工设备、第32.1款第(4)点以外采购进场的材料和工程设备等办理保险</w:t>
      </w:r>
      <w:r>
        <w:rPr>
          <w:rFonts w:hint="eastAsia" w:ascii="宋体" w:hAnsi="宋体" w:cs="宋体"/>
          <w:color w:val="auto"/>
          <w:sz w:val="24"/>
          <w:szCs w:val="24"/>
          <w:highlight w:val="none"/>
          <w:lang w:eastAsia="zh-CN"/>
        </w:rPr>
        <w:t>。</w:t>
      </w:r>
    </w:p>
    <w:p>
      <w:pPr>
        <w:tabs>
          <w:tab w:val="left" w:pos="1080"/>
        </w:tabs>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309" name="文本框 309"/>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42.6pt;width:72pt;z-index:251787264;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JGd42AAAAAoB&#10;AAAPAAAAAAAAAAEAIAAAACIAAABkcnMvZG93bnJldi54bWxQSwECFAAUAAAACACHTuJA9/0BQBsC&#10;AAAmBAAADgAAAAAAAAABACAAAAAn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int="eastAsia" w:ascii="宋体" w:hAnsi="宋体" w:cs="宋体"/>
          <w:b/>
          <w:bCs/>
          <w:color w:val="auto"/>
          <w:sz w:val="24"/>
          <w:szCs w:val="24"/>
          <w:highlight w:val="none"/>
        </w:rPr>
        <w:t xml:space="preserve">32.3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合同一方当事人应按照本合同要求向另一方当事人提供有效的投保保险单和保险凭证。</w:t>
      </w:r>
    </w:p>
    <w:p>
      <w:pPr>
        <w:tabs>
          <w:tab w:val="left" w:pos="1320"/>
        </w:tabs>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308" name="文本框 30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65pt;height:31.2pt;width:72pt;z-index:251788288;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KJDi1wAAAAkB&#10;AAAPAAAAAAAAAAEAIAAAACIAAABkcnMvZG93bnJldi54bWxQSwECFAAUAAAACACHTuJAqmbhERwC&#10;AAAmBAAADgAAAAAAAAABACAAAAAmAQAAZHJzL2Uyb0RvYy54bWxQSwUGAAAAAAYABgBZAQAAtAUA&#10;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int="eastAsia" w:ascii="宋体" w:hAnsi="宋体" w:cs="宋体"/>
          <w:b/>
          <w:bCs/>
          <w:color w:val="auto"/>
          <w:sz w:val="24"/>
          <w:szCs w:val="24"/>
          <w:highlight w:val="none"/>
        </w:rPr>
        <w:t xml:space="preserve">32.4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合同双方当事人应遵守本条规定办理有关保险事项。如果未按规定投保的，应按下列规定补偿：</w:t>
      </w:r>
    </w:p>
    <w:p>
      <w:pPr>
        <w:adjustRightInd w:val="0"/>
        <w:snapToGrid w:val="0"/>
        <w:spacing w:line="360" w:lineRule="auto"/>
        <w:ind w:left="1617" w:leftChars="770" w:firstLine="1"/>
        <w:rPr>
          <w:rFonts w:ascii="宋体" w:hAnsi="宋体" w:cs="宋体"/>
          <w:color w:val="auto"/>
          <w:sz w:val="24"/>
          <w:szCs w:val="24"/>
          <w:highlight w:val="none"/>
        </w:rPr>
      </w:pPr>
      <w:r>
        <w:rPr>
          <w:rFonts w:hint="eastAsia" w:ascii="宋体" w:hAnsi="宋体" w:cs="宋体"/>
          <w:color w:val="auto"/>
          <w:sz w:val="24"/>
          <w:szCs w:val="24"/>
          <w:highlight w:val="none"/>
        </w:rPr>
        <w:t>(1)由于负有投保义务的合同一方当事人未按合同约定办理保险，或未能使保险持续有效的，则另一方当事人可代为办理，所需费用由对方当事人承担；</w:t>
      </w:r>
    </w:p>
    <w:p>
      <w:pPr>
        <w:adjustRightInd w:val="0"/>
        <w:snapToGrid w:val="0"/>
        <w:spacing w:line="360" w:lineRule="auto"/>
        <w:ind w:left="1617" w:leftChars="770" w:firstLine="1"/>
        <w:rPr>
          <w:rFonts w:ascii="宋体" w:hAnsi="宋体" w:cs="宋体"/>
          <w:color w:val="auto"/>
          <w:sz w:val="24"/>
          <w:szCs w:val="24"/>
          <w:highlight w:val="none"/>
        </w:rPr>
      </w:pPr>
      <w:r>
        <w:rPr>
          <w:rFonts w:hint="eastAsia" w:ascii="宋体" w:hAnsi="宋体" w:cs="宋体"/>
          <w:color w:val="auto"/>
          <w:sz w:val="24"/>
          <w:szCs w:val="24"/>
          <w:highlight w:val="none"/>
        </w:rPr>
        <w:t>(2)由于负有投保义务的合同一方当事人未按合同约定办理某项保险，导致受益人未能得到保险人的赔偿，则该项保险金应由负有投保义务的一方当事人支付。</w:t>
      </w:r>
    </w:p>
    <w:p>
      <w:pPr>
        <w:adjustRightInd w:val="0"/>
        <w:snapToGrid w:val="0"/>
        <w:spacing w:line="360" w:lineRule="auto"/>
        <w:rPr>
          <w:rFonts w:ascii="宋体" w:hAnsi="宋体" w:cs="宋体"/>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307"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3pt;height:42.6pt;width:72pt;z-index:251789312;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Y8pRfXAAAACgEA&#10;AA8AAAAAAAAAAQAgAAAAIgAAAGRycy9kb3ducmV2LnhtbFBLAQIUABQAAAAIAIdO4kDPwA9+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int="eastAsia" w:ascii="宋体" w:hAnsi="宋体" w:cs="宋体"/>
          <w:b/>
          <w:bCs/>
          <w:color w:val="auto"/>
          <w:sz w:val="24"/>
          <w:szCs w:val="24"/>
          <w:highlight w:val="none"/>
        </w:rPr>
        <w:t xml:space="preserve">32.5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当合同工程发生保险事故时,被保险人应及时通知保险人，并提供有关资料。合同双方当事人有责任采取合理有效措施防止或减少损失，并应相互协助做好向保险人的报告和理赔工作。</w:t>
      </w:r>
    </w:p>
    <w:p>
      <w:pPr>
        <w:tabs>
          <w:tab w:val="left" w:pos="1320"/>
          <w:tab w:val="left" w:pos="1620"/>
        </w:tabs>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32.6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306" name="文本框 306"/>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3.5pt;width:72pt;z-index:251790336;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9EAn7UAAAABwEAAA8A&#10;AAAAAAAAAQAgAAAAIgAAAGRycy9kb3ducmV2LnhtbFBLAQIUABQAAAAIAIdO4kCNqVlo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ascii="宋体" w:hAnsi="宋体" w:cs="宋体"/>
          <w:color w:val="auto"/>
          <w:sz w:val="24"/>
          <w:szCs w:val="24"/>
          <w:highlight w:val="none"/>
        </w:rPr>
        <w:t>当合同工程的性质、规模或计划发生变更时，被保险人应及时通知保险人，并在合同履行期间按照本条规定保证足够的保险额，由此造成的费用由责任方承担。</w:t>
      </w:r>
    </w:p>
    <w:p>
      <w:pPr>
        <w:tabs>
          <w:tab w:val="left" w:pos="1320"/>
        </w:tabs>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32.7  </w:t>
      </w:r>
    </w:p>
    <w:p>
      <w:pPr>
        <w:tabs>
          <w:tab w:val="left" w:pos="1320"/>
        </w:tabs>
        <w:adjustRightInd w:val="0"/>
        <w:snapToGrid w:val="0"/>
        <w:spacing w:line="360" w:lineRule="auto"/>
        <w:ind w:left="1575" w:leftChars="750"/>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91360"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305" name="文本框 305"/>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1pt;height:33.5pt;width:72pt;z-index:251791360;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T9TUdUAAAAIAQAA&#10;DwAAAAAAAAABACAAAAAiAAAAZHJzL2Rvd25yZXYueG1sUEsBAhQAFAAAAAgAh07iQKDYSg0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宋体" w:hAnsi="宋体" w:cs="宋体"/>
          <w:color w:val="auto"/>
          <w:sz w:val="24"/>
          <w:szCs w:val="24"/>
          <w:highlight w:val="none"/>
        </w:rPr>
        <w:t>从保险人收到的因合同工程本身损失或损坏的保险金,应专项用于修复合同工程的损失或损坏，或作为对未能修复合同工程这些损失或损坏的补偿。</w:t>
      </w:r>
    </w:p>
    <w:p>
      <w:pPr>
        <w:tabs>
          <w:tab w:val="left" w:pos="1320"/>
        </w:tabs>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304" name="文本框 304"/>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9pt;height:32.05pt;width:72pt;z-index:251792384;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XcPLjWAAAACQEA&#10;AA8AAAAAAAAAAQAgAAAAIgAAAGRycy9kb3ducmV2LnhtbFBLAQIUABQAAAAIAIdO4kCa8zQSHAIA&#10;ACYEAAAOAAAAAAAAAAEAIAAAACUBAABkcnMvZTJvRG9jLnhtbFBLBQYAAAAABgAGAFkBAACzBQAA&#10;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宋体" w:hAnsi="宋体" w:cs="宋体"/>
          <w:b/>
          <w:bCs/>
          <w:color w:val="auto"/>
          <w:sz w:val="24"/>
          <w:szCs w:val="24"/>
          <w:highlight w:val="none"/>
        </w:rPr>
        <w:t xml:space="preserve">32.8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具体投保内容、保险金、保险期限及相关责任等事项，合同双方当事人应在专用条款中约定。</w:t>
      </w:r>
    </w:p>
    <w:p>
      <w:pPr>
        <w:adjustRightInd w:val="0"/>
        <w:snapToGrid w:val="0"/>
        <w:spacing w:line="360" w:lineRule="auto"/>
        <w:ind w:right="-238"/>
        <w:jc w:val="center"/>
        <w:outlineLvl w:val="1"/>
        <w:rPr>
          <w:rFonts w:ascii="宋体" w:hAnsi="宋体" w:cs="宋体"/>
          <w:b/>
          <w:bCs/>
          <w:color w:val="auto"/>
          <w:sz w:val="24"/>
          <w:szCs w:val="24"/>
          <w:highlight w:val="none"/>
        </w:rPr>
      </w:pPr>
      <w:bookmarkStart w:id="759" w:name="_Toc18542"/>
      <w:bookmarkStart w:id="760" w:name="_Toc28230"/>
      <w:bookmarkStart w:id="761" w:name="_Toc469384014"/>
      <w:bookmarkStart w:id="762" w:name="_Toc29713"/>
    </w:p>
    <w:p>
      <w:pPr>
        <w:adjustRightInd w:val="0"/>
        <w:snapToGrid w:val="0"/>
        <w:spacing w:line="360" w:lineRule="auto"/>
        <w:ind w:right="-238"/>
        <w:jc w:val="center"/>
        <w:outlineLvl w:val="1"/>
        <w:rPr>
          <w:rFonts w:ascii="宋体" w:hAnsi="宋体" w:cs="宋体"/>
          <w:b/>
          <w:bCs/>
          <w:color w:val="auto"/>
          <w:sz w:val="24"/>
          <w:szCs w:val="24"/>
          <w:highlight w:val="none"/>
        </w:rPr>
      </w:pPr>
      <w:bookmarkStart w:id="763" w:name="_Toc1238386456"/>
      <w:bookmarkStart w:id="764" w:name="_Toc673336649"/>
      <w:bookmarkStart w:id="765" w:name="_Toc12182"/>
      <w:bookmarkStart w:id="766" w:name="_Toc2046"/>
      <w:bookmarkStart w:id="767" w:name="_Toc12114"/>
      <w:r>
        <w:rPr>
          <w:rFonts w:hint="eastAsia" w:ascii="宋体" w:hAnsi="宋体" w:cs="宋体"/>
          <w:b/>
          <w:bCs/>
          <w:color w:val="auto"/>
          <w:sz w:val="24"/>
          <w:szCs w:val="24"/>
          <w:highlight w:val="none"/>
        </w:rPr>
        <w:t>四、工期</w:t>
      </w:r>
      <w:bookmarkEnd w:id="759"/>
      <w:bookmarkEnd w:id="760"/>
      <w:bookmarkEnd w:id="761"/>
      <w:bookmarkEnd w:id="762"/>
      <w:bookmarkEnd w:id="763"/>
      <w:bookmarkEnd w:id="764"/>
      <w:bookmarkEnd w:id="765"/>
      <w:bookmarkEnd w:id="766"/>
      <w:bookmarkEnd w:id="767"/>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768" w:name="_Toc12296"/>
      <w:bookmarkStart w:id="769" w:name="_Toc469384015"/>
      <w:bookmarkStart w:id="770" w:name="_Toc1677723700"/>
      <w:bookmarkStart w:id="771" w:name="_Toc18459"/>
      <w:bookmarkStart w:id="772" w:name="_Toc10273"/>
      <w:bookmarkStart w:id="773" w:name="_Toc23030"/>
      <w:bookmarkStart w:id="774" w:name="_Toc6132"/>
      <w:bookmarkStart w:id="775" w:name="_Toc149659268"/>
      <w:bookmarkStart w:id="776" w:name="_Toc32054"/>
      <w:r>
        <w:rPr>
          <w:rFonts w:hint="eastAsia" w:ascii="宋体" w:hAnsi="宋体" w:cs="宋体"/>
          <w:b/>
          <w:bCs/>
          <w:color w:val="auto"/>
          <w:sz w:val="24"/>
          <w:szCs w:val="24"/>
          <w:highlight w:val="none"/>
        </w:rPr>
        <w:t>33  进度计划和报告</w:t>
      </w:r>
      <w:bookmarkEnd w:id="768"/>
      <w:bookmarkEnd w:id="769"/>
      <w:bookmarkEnd w:id="770"/>
      <w:bookmarkEnd w:id="771"/>
      <w:bookmarkEnd w:id="772"/>
      <w:bookmarkEnd w:id="773"/>
      <w:bookmarkEnd w:id="774"/>
      <w:bookmarkEnd w:id="775"/>
      <w:bookmarkEnd w:id="776"/>
    </w:p>
    <w:p>
      <w:pPr>
        <w:tabs>
          <w:tab w:val="left" w:pos="1620"/>
        </w:tabs>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303" name="文本框 303"/>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35pt;height:32.5pt;width:72pt;z-index:251793408;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3G4O9gAAAAK&#10;AQAADwAAAAAAAAABACAAAAAiAAAAZHJzL2Rvd25yZXYueG1sUEsBAhQAFAAAAAgAh07iQM6klmI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宋体" w:hAnsi="宋体" w:cs="宋体"/>
          <w:b/>
          <w:bCs/>
          <w:color w:val="auto"/>
          <w:sz w:val="24"/>
          <w:szCs w:val="24"/>
          <w:highlight w:val="none"/>
        </w:rPr>
        <w:t xml:space="preserve">33.1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应在签订本合同后的31天内，向监理工程师提交一式两份施工组织设计和合同工程进度计划，向发包方提交一份施工组织设计和合同工程进度计划。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pPr>
        <w:tabs>
          <w:tab w:val="left" w:pos="1620"/>
        </w:tabs>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302" name="文本框 302"/>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15pt;height:37.15pt;width:72pt;z-index:251794432;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H7R41wAAAAoB&#10;AAAPAAAAAAAAAAEAIAAAACIAAABkcnMvZG93bnJldi54bWxQSwECFAAUAAAACACHTuJAy8m10B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宋体" w:hAnsi="宋体" w:cs="宋体"/>
          <w:b/>
          <w:bCs/>
          <w:color w:val="auto"/>
          <w:sz w:val="24"/>
          <w:szCs w:val="24"/>
          <w:highlight w:val="none"/>
        </w:rPr>
        <w:t xml:space="preserve">33.2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承包人应按照经监理工程师确认并由其报发包人批准的进度计划组织施工，接受监理工程师对工程进度的监督和检查。</w:t>
      </w:r>
    </w:p>
    <w:p>
      <w:pPr>
        <w:tabs>
          <w:tab w:val="left" w:pos="1620"/>
        </w:tabs>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301" name="文本框 301"/>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9pt;height:43.75pt;width:72pt;z-index:251795456;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C5uAjXAAAACgEA&#10;AA8AAAAAAAAAAQAgAAAAIgAAAGRycy9kb3ducmV2LnhtbFBLAQIUABQAAAAIAIdO4kCm3Q/9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int="eastAsia" w:ascii="宋体" w:hAnsi="宋体" w:cs="宋体"/>
          <w:b/>
          <w:bCs/>
          <w:color w:val="auto"/>
          <w:sz w:val="24"/>
          <w:szCs w:val="24"/>
          <w:highlight w:val="none"/>
        </w:rPr>
        <w:t xml:space="preserve">33.3  </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除专用条款另有约定外，承包人应编制每月施工进度报告，同时每季度对进度计划修订一次，并在每月或季结束后的7天内向监理工程师提交上述报告和修订计划一式两份。月施工进度报告的内容至少应包括：</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（1）施工、安装、试验以及其他发包人工作等进展情况的图表和说明；</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（2）材料、设备、货物的采购和制造商名称、地点以及进入现场情况；</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（3）索赔情况和安全统计；</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（4）实际进度与计划进度的对比，以及为消除延误正在或准备采取的措施。</w:t>
      </w:r>
    </w:p>
    <w:p>
      <w:pPr>
        <w:tabs>
          <w:tab w:val="left" w:pos="1620"/>
        </w:tabs>
        <w:adjustRightInd w:val="0"/>
        <w:snapToGrid w:val="0"/>
        <w:spacing w:line="480" w:lineRule="auto"/>
        <w:rPr>
          <w:rFonts w:ascii="宋体" w:hAnsi="宋体" w:cs="宋体"/>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300" name="文本框 300"/>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2pt;height:50.75pt;width:72pt;z-index:251796480;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6aVQ2AAAAAoB&#10;AAAPAAAAAAAAAAEAIAAAACIAAABkcnMvZG93bnJldi54bWxQSwECFAAUAAAACACHTuJAqczEKhsC&#10;AAAmBAAADgAAAAAAAAABACAAAAAn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int="eastAsia" w:ascii="宋体" w:hAnsi="宋体" w:cs="宋体"/>
          <w:b/>
          <w:bCs/>
          <w:color w:val="auto"/>
          <w:sz w:val="24"/>
          <w:szCs w:val="24"/>
          <w:highlight w:val="none"/>
        </w:rPr>
        <w:t xml:space="preserve">33.4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pPr>
        <w:adjustRightInd w:val="0"/>
        <w:snapToGrid w:val="0"/>
        <w:spacing w:line="360" w:lineRule="auto"/>
        <w:ind w:right="-238"/>
        <w:rPr>
          <w:rFonts w:ascii="宋体" w:hAnsi="宋体" w:cs="宋体"/>
          <w:b/>
          <w:bCs/>
          <w:color w:val="auto"/>
          <w:sz w:val="24"/>
          <w:szCs w:val="24"/>
          <w:highlight w:val="none"/>
        </w:rPr>
      </w:pPr>
    </w:p>
    <w:p>
      <w:pPr>
        <w:adjustRightInd w:val="0"/>
        <w:snapToGrid w:val="0"/>
        <w:spacing w:line="360" w:lineRule="auto"/>
        <w:ind w:right="-238"/>
        <w:outlineLvl w:val="2"/>
        <w:rPr>
          <w:rFonts w:ascii="宋体" w:hAnsi="宋体" w:cs="宋体"/>
          <w:b/>
          <w:bCs/>
          <w:color w:val="auto"/>
          <w:sz w:val="24"/>
          <w:szCs w:val="24"/>
          <w:highlight w:val="none"/>
        </w:rPr>
      </w:pPr>
      <w:bookmarkStart w:id="777" w:name="_Toc619966639"/>
      <w:bookmarkStart w:id="778" w:name="_Toc18961"/>
      <w:bookmarkStart w:id="779" w:name="_Toc2257"/>
      <w:bookmarkStart w:id="780" w:name="_Toc17663"/>
      <w:bookmarkStart w:id="781" w:name="_Toc5305"/>
      <w:bookmarkStart w:id="782" w:name="_Toc27168"/>
      <w:bookmarkStart w:id="783" w:name="_Toc1041940790"/>
      <w:bookmarkStart w:id="784" w:name="_Toc21740"/>
      <w:bookmarkStart w:id="785" w:name="_Toc469384016"/>
      <w:r>
        <w:rPr>
          <w:rFonts w:hint="eastAsia" w:ascii="宋体" w:hAnsi="宋体" w:cs="宋体"/>
          <w:b/>
          <w:bCs/>
          <w:color w:val="auto"/>
          <w:sz w:val="24"/>
          <w:szCs w:val="24"/>
          <w:highlight w:val="none"/>
        </w:rPr>
        <w:t>34  开工</w:t>
      </w:r>
      <w:bookmarkEnd w:id="777"/>
      <w:bookmarkEnd w:id="778"/>
      <w:bookmarkEnd w:id="779"/>
      <w:bookmarkEnd w:id="780"/>
      <w:bookmarkEnd w:id="781"/>
      <w:bookmarkEnd w:id="782"/>
      <w:bookmarkEnd w:id="783"/>
      <w:bookmarkEnd w:id="784"/>
      <w:bookmarkEnd w:id="785"/>
    </w:p>
    <w:p>
      <w:pPr>
        <w:tabs>
          <w:tab w:val="left" w:pos="1320"/>
        </w:tabs>
        <w:adjustRightInd w:val="0"/>
        <w:snapToGrid w:val="0"/>
        <w:spacing w:line="360" w:lineRule="auto"/>
        <w:ind w:right="3"/>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299" name="文本框 299"/>
                <wp:cNvGraphicFramePr/>
                <a:graphic xmlns:a="http://schemas.openxmlformats.org/drawingml/2006/main">
                  <a:graphicData uri="http://schemas.microsoft.com/office/word/2010/wordprocessingShape">
                    <wps:wsp>
                      <wps:cNvSpPr txBox="1">
                        <a:spLocks noChangeArrowheads="1"/>
                      </wps:cNvSpPr>
                      <wps:spPr bwMode="auto">
                        <a:xfrm>
                          <a:off x="0" y="0"/>
                          <a:ext cx="800100" cy="31051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45pt;height:24.45pt;width:63pt;z-index:251797504;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H4lYDVAAAACQEA&#10;AA8AAAAAAAAAAQAgAAAAIgAAAGRycy9kb3ducmV2LnhtbFBLAQIUABQAAAAIAIdO4kCqOb3aHQIA&#10;ACY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int="eastAsia" w:ascii="宋体" w:hAnsi="宋体" w:cs="宋体"/>
          <w:b/>
          <w:bCs/>
          <w:color w:val="auto"/>
          <w:sz w:val="24"/>
          <w:szCs w:val="24"/>
          <w:highlight w:val="none"/>
        </w:rPr>
        <w:t xml:space="preserve">34.1    </w:t>
      </w:r>
    </w:p>
    <w:p>
      <w:pPr>
        <w:adjustRightInd w:val="0"/>
        <w:snapToGrid w:val="0"/>
        <w:spacing w:line="360" w:lineRule="auto"/>
        <w:ind w:left="1619" w:leftChars="771" w:right="6"/>
        <w:rPr>
          <w:rFonts w:ascii="宋体" w:hAnsi="宋体" w:cs="宋体"/>
          <w:color w:val="auto"/>
          <w:sz w:val="24"/>
          <w:szCs w:val="24"/>
          <w:highlight w:val="none"/>
        </w:rPr>
      </w:pPr>
      <w:r>
        <w:rPr>
          <w:rFonts w:hint="eastAsia" w:ascii="宋体" w:hAnsi="宋体" w:cs="宋体"/>
          <w:color w:val="auto"/>
          <w:sz w:val="24"/>
          <w:szCs w:val="24"/>
          <w:highlight w:val="none"/>
        </w:rPr>
        <w:t>工程开工必须具备法律规定的开工条件，并已经领取了施工许可证。</w:t>
      </w:r>
    </w:p>
    <w:p>
      <w:pPr>
        <w:tabs>
          <w:tab w:val="left" w:pos="1320"/>
        </w:tabs>
        <w:adjustRightInd w:val="0"/>
        <w:snapToGrid w:val="0"/>
        <w:spacing w:line="360" w:lineRule="auto"/>
        <w:ind w:right="3"/>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298" name="文本框 298"/>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1pt;height:23.4pt;width:63pt;z-index:251798528;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hZulfWAAAACQEA&#10;AA8AAAAAAAAAAQAgAAAAIgAAAGRycy9kb3ducmV2LnhtbFBLAQIUABQAAAAIAIdO4kDLHhAW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int="eastAsia" w:ascii="宋体" w:hAnsi="宋体" w:cs="宋体"/>
          <w:b/>
          <w:bCs/>
          <w:color w:val="auto"/>
          <w:sz w:val="24"/>
          <w:szCs w:val="24"/>
          <w:highlight w:val="none"/>
        </w:rPr>
        <w:t xml:space="preserve">34.2  </w:t>
      </w:r>
    </w:p>
    <w:p>
      <w:pPr>
        <w:adjustRightInd w:val="0"/>
        <w:snapToGrid w:val="0"/>
        <w:spacing w:line="360" w:lineRule="auto"/>
        <w:ind w:left="1619" w:leftChars="771" w:right="3"/>
        <w:rPr>
          <w:rFonts w:ascii="宋体" w:hAnsi="宋体" w:cs="宋体"/>
          <w:color w:val="auto"/>
          <w:sz w:val="24"/>
          <w:szCs w:val="24"/>
          <w:highlight w:val="none"/>
        </w:rPr>
      </w:pPr>
      <w:r>
        <w:rPr>
          <w:rFonts w:hint="eastAsia" w:ascii="宋体" w:hAnsi="宋体" w:cs="宋体"/>
          <w:color w:val="auto"/>
          <w:sz w:val="24"/>
          <w:szCs w:val="24"/>
          <w:highlight w:val="none"/>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pPr>
        <w:tabs>
          <w:tab w:val="left" w:pos="1320"/>
        </w:tabs>
        <w:adjustRightInd w:val="0"/>
        <w:snapToGrid w:val="0"/>
        <w:spacing w:line="360" w:lineRule="auto"/>
        <w:ind w:right="3"/>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297" name="文本框 297"/>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25pt;height:46.8pt;width:72pt;z-index:251799552;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6Ck4NgAAAAK&#10;AQAADwAAAAAAAAABACAAAAAiAAAAZHJzL2Rvd25yZXYueG1sUEsBAhQAFAAAAAgAh07iQIdWwDY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int="eastAsia" w:ascii="宋体" w:hAnsi="宋体" w:cs="宋体"/>
          <w:b/>
          <w:bCs/>
          <w:color w:val="auto"/>
          <w:sz w:val="24"/>
          <w:szCs w:val="24"/>
          <w:highlight w:val="none"/>
        </w:rPr>
        <w:t xml:space="preserve">34.3  </w:t>
      </w:r>
    </w:p>
    <w:p>
      <w:pPr>
        <w:adjustRightInd w:val="0"/>
        <w:snapToGrid w:val="0"/>
        <w:spacing w:line="360" w:lineRule="auto"/>
        <w:ind w:left="1619" w:leftChars="771" w:right="3"/>
        <w:rPr>
          <w:rFonts w:ascii="宋体" w:hAnsi="宋体" w:cs="宋体"/>
          <w:color w:val="auto"/>
          <w:sz w:val="24"/>
          <w:szCs w:val="24"/>
          <w:highlight w:val="none"/>
        </w:rPr>
      </w:pPr>
      <w:r>
        <w:rPr>
          <w:rFonts w:hint="eastAsia" w:ascii="宋体" w:hAnsi="宋体" w:cs="宋体"/>
          <w:color w:val="auto"/>
          <w:sz w:val="24"/>
          <w:szCs w:val="24"/>
          <w:highlight w:val="none"/>
        </w:rPr>
        <w:t>承包人未能按照时开工，应在接到开工令后立即以书面形式向监理工程师提出延期开工的要求并说明理由。监理工程师应当在接到延期开工申请后的48小时内书面予以答复，否则视为同意。由此造成的损失和延误的工期由承包人承担。</w:t>
      </w:r>
    </w:p>
    <w:p>
      <w:pPr>
        <w:tabs>
          <w:tab w:val="left" w:pos="1320"/>
        </w:tabs>
        <w:adjustRightInd w:val="0"/>
        <w:snapToGrid w:val="0"/>
        <w:spacing w:line="360" w:lineRule="auto"/>
        <w:ind w:right="3"/>
        <w:rPr>
          <w:rFonts w:ascii="宋体" w:hAnsi="宋体" w:cs="宋体"/>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296" name="文本框 296"/>
                <wp:cNvGraphicFramePr/>
                <a:graphic xmlns:a="http://schemas.openxmlformats.org/drawingml/2006/main">
                  <a:graphicData uri="http://schemas.microsoft.com/office/word/2010/wordprocessingShape">
                    <wps:wsp>
                      <wps:cNvSpPr txBox="1">
                        <a:spLocks noChangeArrowheads="1"/>
                      </wps:cNvSpPr>
                      <wps:spPr bwMode="auto">
                        <a:xfrm>
                          <a:off x="0" y="0"/>
                          <a:ext cx="914400" cy="5683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7pt;height:44.75pt;width:72pt;z-index:251800576;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HdkS1wAAAAoB&#10;AAAPAAAAAAAAAAEAIAAAACIAAABkcnMvZG93bnJldi54bWxQSwECFAAUAAAACACHTuJAbHmLYB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hint="eastAsia" w:ascii="宋体" w:hAnsi="宋体" w:cs="宋体"/>
          <w:color w:val="auto"/>
          <w:sz w:val="24"/>
          <w:szCs w:val="24"/>
          <w:highlight w:val="none"/>
        </w:rPr>
        <w:t xml:space="preserve">34.4  </w:t>
      </w:r>
    </w:p>
    <w:p>
      <w:pPr>
        <w:adjustRightInd w:val="0"/>
        <w:snapToGrid w:val="0"/>
        <w:spacing w:line="360" w:lineRule="auto"/>
        <w:ind w:left="1619" w:leftChars="771" w:right="3"/>
        <w:rPr>
          <w:rFonts w:ascii="宋体" w:hAnsi="宋体" w:cs="宋体"/>
          <w:color w:val="auto"/>
          <w:sz w:val="24"/>
          <w:szCs w:val="24"/>
          <w:highlight w:val="none"/>
        </w:rPr>
      </w:pPr>
      <w:r>
        <w:rPr>
          <w:rFonts w:hint="eastAsia" w:ascii="宋体" w:hAnsi="宋体" w:cs="宋体"/>
          <w:color w:val="auto"/>
          <w:sz w:val="24"/>
          <w:szCs w:val="24"/>
          <w:highlight w:val="none"/>
        </w:rPr>
        <w:t>因发包人的原因不能在第34.2款规定的时间内发出开工令的，监理工程师应至少提前7天以书面形式通知承包人推迟开工。由此造成的损失由发包人承担，开工日期相应顺延。监理工程师未能提前7天通知承包人推迟开工的，由此造成损失的扩大由发包人承担。</w:t>
      </w:r>
    </w:p>
    <w:p>
      <w:pPr>
        <w:adjustRightInd w:val="0"/>
        <w:snapToGrid w:val="0"/>
        <w:rPr>
          <w:rFonts w:ascii="宋体" w:hAnsi="宋体" w:cs="宋体"/>
          <w:b/>
          <w:bCs/>
          <w:color w:val="auto"/>
          <w:sz w:val="24"/>
          <w:szCs w:val="24"/>
          <w:highlight w:val="none"/>
          <w:u w:val="single"/>
        </w:rPr>
      </w:pPr>
    </w:p>
    <w:p>
      <w:pPr>
        <w:adjustRightInd w:val="0"/>
        <w:snapToGrid w:val="0"/>
        <w:rPr>
          <w:rFonts w:ascii="宋体" w:hAnsi="宋体" w:cs="宋体"/>
          <w:b/>
          <w:bCs/>
          <w:color w:val="auto"/>
          <w:sz w:val="24"/>
          <w:szCs w:val="24"/>
          <w:highlight w:val="none"/>
        </w:rPr>
      </w:pPr>
    </w:p>
    <w:p>
      <w:pPr>
        <w:adjustRightInd w:val="0"/>
        <w:snapToGrid w:val="0"/>
        <w:outlineLvl w:val="2"/>
        <w:rPr>
          <w:rFonts w:ascii="宋体" w:hAnsi="宋体" w:cs="宋体"/>
          <w:b/>
          <w:bCs/>
          <w:color w:val="auto"/>
          <w:sz w:val="24"/>
          <w:szCs w:val="24"/>
          <w:highlight w:val="none"/>
        </w:rPr>
      </w:pPr>
      <w:bookmarkStart w:id="786" w:name="_Toc30678"/>
      <w:bookmarkStart w:id="787" w:name="_Toc15658"/>
      <w:bookmarkStart w:id="788" w:name="_Toc19619"/>
      <w:bookmarkStart w:id="789" w:name="_Toc6919"/>
      <w:bookmarkStart w:id="790" w:name="_Toc3359"/>
      <w:bookmarkStart w:id="791" w:name="_Toc469384017"/>
      <w:bookmarkStart w:id="792" w:name="_Toc188646429"/>
      <w:bookmarkStart w:id="793" w:name="_Toc1317199892"/>
      <w:bookmarkStart w:id="794" w:name="_Toc30597"/>
      <w:r>
        <w:rPr>
          <w:rFonts w:hint="eastAsia" w:ascii="宋体" w:hAnsi="宋体" w:cs="宋体"/>
          <w:b/>
          <w:bCs/>
          <w:color w:val="auto"/>
          <w:sz w:val="24"/>
          <w:szCs w:val="24"/>
          <w:highlight w:val="none"/>
        </w:rPr>
        <w:t>35  暂停施工和复工</w:t>
      </w:r>
      <w:bookmarkEnd w:id="786"/>
      <w:bookmarkEnd w:id="787"/>
      <w:bookmarkEnd w:id="788"/>
      <w:bookmarkEnd w:id="789"/>
      <w:bookmarkEnd w:id="790"/>
      <w:bookmarkEnd w:id="791"/>
      <w:bookmarkEnd w:id="792"/>
      <w:bookmarkEnd w:id="793"/>
      <w:bookmarkEnd w:id="794"/>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295" name="文本框 295"/>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6pt;height:39.15pt;width:72pt;z-index:251801600;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1TejXAAAACgEA&#10;AA8AAAAAAAAAAQAgAAAAIgAAAGRycy9kb3ducmV2LnhtbFBLAQIUABQAAAAIAIdO4kB9+JI8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int="eastAsia" w:ascii="宋体" w:hAnsi="宋体" w:cs="宋体"/>
          <w:b/>
          <w:bCs/>
          <w:color w:val="auto"/>
          <w:sz w:val="24"/>
          <w:szCs w:val="24"/>
          <w:highlight w:val="none"/>
        </w:rPr>
        <w:t xml:space="preserve">35.1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视为承包人的暂停施工报告被认可。</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35.2</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294" name="文本框 294"/>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39.15pt;width:72pt;z-index:251802624;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Nzy01QAAAAgBAAAP&#10;AAAAAAAAAAEAIAAAACIAAABkcnMvZG93bnJldi54bWxQSwECFAAUAAAACACHTuJA+SclOB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宋体" w:hAnsi="宋体" w:cs="宋体"/>
          <w:color w:val="auto"/>
          <w:sz w:val="24"/>
          <w:szCs w:val="24"/>
          <w:highlight w:val="none"/>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可自行复工，监理工程师应予认可。</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承包人无故拖延或拒绝复工的，由此增加的费用和（或）延误的工期由承包人承担；因发包人的原因无法按时复工的，承包人有权要求发包人增加发生的费用和（或）顺延工期，并支付合理利润。</w:t>
      </w:r>
    </w:p>
    <w:p>
      <w:pPr>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293" name="文本框 293"/>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25pt;height:62.4pt;width:72pt;z-index:251803648;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wnZ31wAAAAoB&#10;AAAPAAAAAAAAAAEAIAAAACIAAABkcnMvZG93bnJldi54bWxQSwECFAAUAAAACACHTuJAqSShgxwC&#10;AAAmBAAADgAAAAAAAAABACAAAAAmAQAAZHJzL2Uyb0RvYy54bWxQSwUGAAAAAAYABgBZAQAAtAUA&#10;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int="eastAsia" w:ascii="宋体" w:hAnsi="宋体" w:cs="宋体"/>
          <w:b/>
          <w:bCs/>
          <w:color w:val="auto"/>
          <w:sz w:val="24"/>
          <w:szCs w:val="24"/>
          <w:highlight w:val="none"/>
        </w:rPr>
        <w:t xml:space="preserve">35.3  </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非承包人的原因造成暂停施工持续56天以上时，承包人可向监理工程师提交复工报审表要求复工；监理工程师应在收到复工报审表后的28天内准许复工。如果在上述期限内监理工程师未予准许，则承包人可以作如下选择：</w:t>
      </w:r>
    </w:p>
    <w:p>
      <w:pPr>
        <w:numPr>
          <w:ilvl w:val="0"/>
          <w:numId w:val="18"/>
        </w:numPr>
        <w:tabs>
          <w:tab w:val="left" w:pos="10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如果此项停工仅影响合同工程的一部分时，则根据第56.2款规定及时提出工程变更，取消该部分工程，并书面通知发包人，抄送监理工程师和造价工程师；</w:t>
      </w:r>
    </w:p>
    <w:p>
      <w:pPr>
        <w:numPr>
          <w:ilvl w:val="0"/>
          <w:numId w:val="18"/>
        </w:numPr>
        <w:tabs>
          <w:tab w:val="left" w:pos="10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如果此项停工影响整个合同工程时，则根据第87.4款规定解除合同。</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因承包人的原因引起暂停施工持续56天以上，承包人不采取有效的复工措施，造成工期延误的，发包人可根据第87.3款规定解除合同。</w:t>
      </w:r>
    </w:p>
    <w:p>
      <w:pPr>
        <w:tabs>
          <w:tab w:val="left" w:pos="216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35.4  </w:t>
      </w:r>
    </w:p>
    <w:p>
      <w:pPr>
        <w:adjustRightInd w:val="0"/>
        <w:snapToGrid w:val="0"/>
        <w:spacing w:line="360" w:lineRule="auto"/>
        <w:ind w:left="1619" w:leftChars="771" w:firstLine="2"/>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292" name="文本框 292"/>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62.4pt;width:72pt;z-index:251804672;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t2odL1AAAAAgBAAAP&#10;AAAAAAAAAAEAIAAAACIAAABkcnMvZG93bnJldi54bWxQSwECFAAUAAAACACHTuJALfsWhxwCAAAm&#10;BAAADgAAAAAAAAABACAAAAAjAQAAZHJzL2Uyb0RvYy54bWxQSwUGAAAAAAYABgBZAQAAsQU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ascii="宋体" w:hAnsi="宋体" w:cs="宋体"/>
          <w:color w:val="auto"/>
          <w:sz w:val="24"/>
          <w:szCs w:val="24"/>
          <w:highlight w:val="none"/>
        </w:rPr>
        <w:t>因发包人的原因造成暂停施工且引起工期延误的，承包人有权要求发包人增加由此发生的费用和（或）顺延工期，并支付合理利润。</w:t>
      </w:r>
    </w:p>
    <w:p>
      <w:pPr>
        <w:adjustRightInd w:val="0"/>
        <w:snapToGrid w:val="0"/>
        <w:spacing w:line="360" w:lineRule="auto"/>
        <w:ind w:left="1619" w:leftChars="771" w:firstLine="2"/>
        <w:rPr>
          <w:rFonts w:ascii="宋体" w:hAnsi="宋体" w:cs="宋体"/>
          <w:color w:val="auto"/>
          <w:sz w:val="24"/>
          <w:szCs w:val="24"/>
          <w:highlight w:val="none"/>
        </w:rPr>
      </w:pPr>
      <w:r>
        <w:rPr>
          <w:rFonts w:hint="eastAsia" w:ascii="宋体" w:hAnsi="宋体" w:cs="宋体"/>
          <w:color w:val="auto"/>
          <w:sz w:val="24"/>
          <w:szCs w:val="24"/>
          <w:highlight w:val="none"/>
        </w:rPr>
        <w:t>因承包人下列原因造成的暂停施工，增加的费用和（或）延误的工期由承包人承担：</w:t>
      </w:r>
    </w:p>
    <w:p>
      <w:pPr>
        <w:numPr>
          <w:ilvl w:val="0"/>
          <w:numId w:val="19"/>
        </w:numPr>
        <w:adjustRightInd w:val="0"/>
        <w:snapToGrid w:val="0"/>
        <w:spacing w:line="360" w:lineRule="auto"/>
        <w:ind w:left="1617" w:leftChars="770"/>
        <w:rPr>
          <w:rFonts w:ascii="宋体" w:hAnsi="宋体" w:cs="宋体"/>
          <w:color w:val="auto"/>
          <w:sz w:val="24"/>
          <w:szCs w:val="24"/>
          <w:highlight w:val="none"/>
        </w:rPr>
      </w:pPr>
      <w:r>
        <w:rPr>
          <w:rFonts w:hint="eastAsia" w:ascii="宋体" w:hAnsi="宋体" w:cs="宋体"/>
          <w:color w:val="auto"/>
          <w:sz w:val="24"/>
          <w:szCs w:val="24"/>
          <w:highlight w:val="none"/>
        </w:rPr>
        <w:t>工作失误或违约造成的；</w:t>
      </w:r>
    </w:p>
    <w:p>
      <w:pPr>
        <w:numPr>
          <w:ilvl w:val="0"/>
          <w:numId w:val="19"/>
        </w:numPr>
        <w:adjustRightInd w:val="0"/>
        <w:snapToGrid w:val="0"/>
        <w:spacing w:line="360" w:lineRule="auto"/>
        <w:ind w:left="2157" w:leftChars="770" w:hanging="540" w:hangingChars="225"/>
        <w:rPr>
          <w:rFonts w:ascii="宋体" w:hAnsi="宋体" w:cs="宋体"/>
          <w:color w:val="auto"/>
          <w:sz w:val="24"/>
          <w:szCs w:val="24"/>
          <w:highlight w:val="none"/>
        </w:rPr>
      </w:pPr>
      <w:r>
        <w:rPr>
          <w:rFonts w:hint="eastAsia" w:ascii="宋体" w:hAnsi="宋体" w:cs="宋体"/>
          <w:color w:val="auto"/>
          <w:sz w:val="24"/>
          <w:szCs w:val="24"/>
          <w:highlight w:val="none"/>
        </w:rPr>
        <w:t>为合同工程合理施工和安全保障所必需的；</w:t>
      </w:r>
    </w:p>
    <w:p>
      <w:pPr>
        <w:numPr>
          <w:ilvl w:val="0"/>
          <w:numId w:val="19"/>
        </w:numPr>
        <w:adjustRightInd w:val="0"/>
        <w:snapToGrid w:val="0"/>
        <w:spacing w:line="360" w:lineRule="auto"/>
        <w:ind w:left="1617" w:leftChars="770"/>
        <w:rPr>
          <w:rFonts w:ascii="宋体" w:hAnsi="宋体" w:cs="宋体"/>
          <w:color w:val="auto"/>
          <w:sz w:val="24"/>
          <w:szCs w:val="24"/>
          <w:highlight w:val="none"/>
        </w:rPr>
      </w:pPr>
      <w:r>
        <w:rPr>
          <w:rFonts w:hint="eastAsia" w:ascii="宋体" w:hAnsi="宋体" w:cs="宋体"/>
          <w:color w:val="auto"/>
          <w:sz w:val="24"/>
          <w:szCs w:val="24"/>
          <w:highlight w:val="none"/>
        </w:rPr>
        <w:t>施工现场气候条件（除不可抗力停工外）导致的；</w:t>
      </w:r>
    </w:p>
    <w:p>
      <w:pPr>
        <w:numPr>
          <w:ilvl w:val="0"/>
          <w:numId w:val="19"/>
        </w:numPr>
        <w:adjustRightInd w:val="0"/>
        <w:snapToGrid w:val="0"/>
        <w:spacing w:line="360" w:lineRule="auto"/>
        <w:ind w:left="1617" w:leftChars="770"/>
        <w:rPr>
          <w:rFonts w:ascii="宋体" w:hAnsi="宋体" w:cs="宋体"/>
          <w:color w:val="auto"/>
          <w:sz w:val="24"/>
          <w:szCs w:val="24"/>
          <w:highlight w:val="none"/>
        </w:rPr>
      </w:pPr>
      <w:r>
        <w:rPr>
          <w:rFonts w:hint="eastAsia" w:ascii="宋体" w:hAnsi="宋体" w:cs="宋体"/>
          <w:color w:val="auto"/>
          <w:sz w:val="24"/>
          <w:szCs w:val="24"/>
          <w:highlight w:val="none"/>
        </w:rPr>
        <w:t>擅自停工的；</w:t>
      </w:r>
    </w:p>
    <w:p>
      <w:pPr>
        <w:numPr>
          <w:ilvl w:val="0"/>
          <w:numId w:val="19"/>
        </w:numPr>
        <w:adjustRightInd w:val="0"/>
        <w:snapToGrid w:val="0"/>
        <w:spacing w:line="360" w:lineRule="auto"/>
        <w:ind w:left="1617" w:leftChars="770"/>
        <w:rPr>
          <w:rFonts w:ascii="宋体" w:hAnsi="宋体" w:cs="宋体"/>
          <w:color w:val="auto"/>
          <w:sz w:val="24"/>
          <w:szCs w:val="24"/>
          <w:highlight w:val="none"/>
        </w:rPr>
      </w:pPr>
      <w:r>
        <w:rPr>
          <w:rFonts w:hint="eastAsia" w:ascii="宋体" w:hAnsi="宋体" w:cs="宋体"/>
          <w:color w:val="auto"/>
          <w:sz w:val="24"/>
          <w:szCs w:val="24"/>
          <w:highlight w:val="none"/>
        </w:rPr>
        <w:t>专用条款约定的其他原因。</w:t>
      </w:r>
    </w:p>
    <w:p>
      <w:pPr>
        <w:tabs>
          <w:tab w:val="left" w:pos="1980"/>
        </w:tabs>
        <w:adjustRightInd w:val="0"/>
        <w:snapToGrid w:val="0"/>
        <w:spacing w:line="360" w:lineRule="auto"/>
        <w:ind w:left="1617" w:leftChars="770"/>
        <w:rPr>
          <w:rFonts w:ascii="宋体" w:hAnsi="宋体" w:cs="宋体"/>
          <w:color w:val="auto"/>
          <w:sz w:val="24"/>
          <w:szCs w:val="24"/>
          <w:highlight w:val="none"/>
        </w:rPr>
      </w:pPr>
      <w:r>
        <w:rPr>
          <w:rFonts w:hint="eastAsia" w:ascii="宋体" w:hAnsi="宋体" w:cs="宋体"/>
          <w:color w:val="auto"/>
          <w:sz w:val="24"/>
          <w:szCs w:val="24"/>
          <w:highlight w:val="none"/>
        </w:rPr>
        <w:t>因不可抗力因素造成暂停施工的，按照第31条规定处理。</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35.5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05696"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291" name="文本框 291"/>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5pt;height:54.6pt;width:72pt;z-index:251805696;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LVLN7UAAAACQEAAA8A&#10;AAAAAAAAAQAgAAAAIgAAAGRycy9kb3ducmV2LnhtbFBLAQIUABQAAAAIAIdO4kArmZBMGwIAACYE&#10;AAAOAAAAAAAAAAEAIAAAACMBAABkcnMvZTJvRG9jLnhtbFBLBQYAAAAABgAGAFkBAACwBQ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ascii="宋体" w:hAnsi="宋体" w:cs="宋体"/>
          <w:color w:val="auto"/>
          <w:sz w:val="24"/>
          <w:szCs w:val="24"/>
          <w:highlight w:val="none"/>
        </w:rPr>
        <w:t>如果发包人未按照合同约定支付工程进度款，经催告后在28天内仍未支付的，承包人可以暂停施工，直至收到包括第78.2款规定的应付利息在内的所欠全部款项。由此造成的暂停施工，视为是因发包人的原因引起的，并按照第35.4款规定处理。</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35.6  </w:t>
      </w:r>
    </w:p>
    <w:p>
      <w:pPr>
        <w:adjustRightInd w:val="0"/>
        <w:snapToGrid w:val="0"/>
        <w:spacing w:line="360" w:lineRule="auto"/>
        <w:ind w:left="1619" w:leftChars="771"/>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290" name="文本框 29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31.2pt;width:72pt;z-index:251806720;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8G9LdMAAAAHAQAADwAA&#10;AAAAAAABACAAAAAiAAAAZHJzL2Rvd25yZXYueG1sUEsBAhQAFAAAAAgAh07iQOViRqwbAgAAJgQA&#10;AA4AAAAAAAAAAQAgAAAAIgEAAGRycy9lMm9Eb2MueG1sUEsFBgAAAAAGAAYAWQEAAK8FA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ascii="宋体" w:hAnsi="宋体" w:cs="宋体"/>
          <w:color w:val="auto"/>
          <w:sz w:val="24"/>
          <w:szCs w:val="24"/>
          <w:highlight w:val="none"/>
        </w:rPr>
        <w:t>暂停施工结束后，承包人和监理工程师应对受暂停施工影响的工程、材料和工程设备进行检查。承包人负责修复在暂停期间发生的任何变质、缺陷或损坏，因而发生的费用和造成的损失按照第35.4款规定处理。</w:t>
      </w:r>
    </w:p>
    <w:p>
      <w:pPr>
        <w:adjustRightInd w:val="0"/>
        <w:snapToGrid w:val="0"/>
        <w:spacing w:line="360" w:lineRule="auto"/>
        <w:outlineLvl w:val="2"/>
        <w:rPr>
          <w:rFonts w:ascii="宋体" w:hAnsi="宋体" w:cs="宋体"/>
          <w:b/>
          <w:bCs/>
          <w:color w:val="auto"/>
          <w:sz w:val="24"/>
          <w:szCs w:val="24"/>
          <w:highlight w:val="none"/>
        </w:rPr>
      </w:pPr>
      <w:bookmarkStart w:id="795" w:name="_Toc1917151568"/>
      <w:bookmarkStart w:id="796" w:name="_Toc469384018"/>
      <w:bookmarkStart w:id="797" w:name="_Toc1594"/>
      <w:bookmarkStart w:id="798" w:name="_Toc18683"/>
      <w:bookmarkStart w:id="799" w:name="_Toc12087"/>
      <w:bookmarkStart w:id="800" w:name="_Toc894669231"/>
      <w:bookmarkStart w:id="801" w:name="_Toc15479"/>
      <w:bookmarkStart w:id="802" w:name="_Toc9695"/>
      <w:bookmarkStart w:id="803" w:name="_Toc7988"/>
      <w:r>
        <w:rPr>
          <w:rFonts w:hint="eastAsia" w:ascii="宋体" w:hAnsi="宋体" w:cs="宋体"/>
          <w:b/>
          <w:bCs/>
          <w:color w:val="auto"/>
          <w:sz w:val="24"/>
          <w:szCs w:val="24"/>
          <w:highlight w:val="none"/>
        </w:rPr>
        <w:t>36  工期和工期延误</w:t>
      </w:r>
      <w:bookmarkEnd w:id="795"/>
      <w:bookmarkEnd w:id="796"/>
      <w:bookmarkEnd w:id="797"/>
      <w:bookmarkEnd w:id="798"/>
      <w:bookmarkEnd w:id="799"/>
      <w:bookmarkEnd w:id="800"/>
      <w:bookmarkEnd w:id="801"/>
      <w:bookmarkEnd w:id="802"/>
      <w:bookmarkEnd w:id="803"/>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36.1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合同工程的工期，由合同双方当事人根据广东省建设工程工期定额等有关规定，结合合同工程拟实施的施工组织设计或施工方案等情况，科学合理地编制工期，并在合同中约定。</w:t>
      </w:r>
      <w:r>
        <w:rPr>
          <w:rFonts w:hint="eastAsia" w:ascii="宋体" w:hAnsi="宋体" w:cs="宋体"/>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289" name="文本框 289"/>
                <wp:cNvGraphicFramePr/>
                <a:graphic xmlns:a="http://schemas.openxmlformats.org/drawingml/2006/main">
                  <a:graphicData uri="http://schemas.microsoft.com/office/word/2010/wordprocessingShape">
                    <wps:wsp>
                      <wps:cNvSpPr txBox="1">
                        <a:spLocks noChangeArrowheads="1"/>
                      </wps:cNvSpPr>
                      <wps:spPr bwMode="auto">
                        <a:xfrm>
                          <a:off x="0" y="0"/>
                          <a:ext cx="977900" cy="335915"/>
                        </a:xfrm>
                        <a:prstGeom prst="rect">
                          <a:avLst/>
                        </a:prstGeom>
                        <a:no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1pt;height:26.45pt;width:77pt;z-index:251807744;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3ojXAAAA&#10;CgEAAA8AAAAAAAAAAQAgAAAAIgAAAGRycy9kb3ducmV2LnhtbFBLAQIUABQAAAAIAIdO4kDYF8Qc&#10;HgIAACYEAAAOAAAAAAAAAAEAIAAAACYBAABkcnMvZTJvRG9jLnhtbFBLBQYAAAAABgAGAFkBAAC2&#10;BQAAAAA=&#10;">
                <v:fill on="f" focussize="0,0"/>
                <v:stroke on="f"/>
                <v:imagedata o:title=""/>
                <o:lock v:ext="edit" aspectratio="f"/>
                <v:textbox>
                  <w:txbxContent>
                    <w:p/>
                  </w:txbxContent>
                </v:textbox>
              </v:shape>
            </w:pict>
          </mc:Fallback>
        </mc:AlternateContent>
      </w:r>
      <w:r>
        <w:rPr>
          <w:rFonts w:hint="eastAsia" w:ascii="宋体" w:hAnsi="宋体" w:cs="宋体"/>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288" name="文本框 288"/>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pt;height:36.2pt;width:63pt;z-index:251808768;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gpiDVAAAACAEA&#10;AA8AAAAAAAAAAQAgAAAAIgAAAGRycy9kb3ducmV2LnhtbFBLAQIUABQAAAAIAIdO4kDJcg21HQIA&#10;ACYEAAAOAAAAAAAAAAEAIAAAACQ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宋体" w:hAnsi="宋体" w:cs="宋体"/>
          <w:color w:val="auto"/>
          <w:sz w:val="24"/>
          <w:szCs w:val="24"/>
          <w:highlight w:val="none"/>
        </w:rPr>
        <w:t>如合同工期与广东省建设工程工期定额规定不一致的，需说明与省工期定额规定不一致的原因，并制定保障措施，确保质量、施工安全。</w:t>
      </w:r>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36.2 </w:t>
      </w:r>
    </w:p>
    <w:p>
      <w:pPr>
        <w:adjustRightInd w:val="0"/>
        <w:snapToGrid w:val="0"/>
        <w:spacing w:line="360" w:lineRule="auto"/>
        <w:ind w:left="1671" w:leftChars="771" w:hanging="52" w:hangingChars="25"/>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287" name="文本框 287"/>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pt;height:36.2pt;width:63pt;z-index:251809792;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gpiDVAAAACAEA&#10;AA8AAAAAAAAAAQAgAAAAIgAAAGRycy9kb3ducmV2LnhtbFBLAQIUABQAAAAIAIdO4kB1kLSPHQIA&#10;ACYEAAAOAAAAAAAAAAEAIAAAACQ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宋体" w:hAnsi="宋体" w:cs="宋体"/>
          <w:color w:val="auto"/>
          <w:sz w:val="24"/>
          <w:szCs w:val="24"/>
          <w:highlight w:val="none"/>
        </w:rPr>
        <w:t>合同双方当事人应在专用条款中约定合同工程的工期，工期从开工日期开始计算。合同中包括有多个单位工程的，应在专用条款中约定各单位工程的工期。</w:t>
      </w:r>
    </w:p>
    <w:p>
      <w:pPr>
        <w:adjustRightInd w:val="0"/>
        <w:snapToGrid w:val="0"/>
        <w:spacing w:line="360" w:lineRule="auto"/>
        <w:ind w:right="-2"/>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36.3  </w:t>
      </w:r>
    </w:p>
    <w:p>
      <w:pPr>
        <w:spacing w:line="360" w:lineRule="auto"/>
        <w:ind w:left="1674" w:leftChars="797" w:firstLine="5"/>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286" name="文本框 286"/>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pt;height:20.6pt;width:63pt;z-index:251810816;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cduCNUAAAAIAQAA&#10;DwAAAAAAAAABACAAAAAiAAAAZHJzL2Rvd25yZXYueG1sUEsBAhQAFAAAAAgAh07iQPh92AQcAgAA&#10;JgQAAA4AAAAAAAAAAQAgAAAAJA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宋体" w:hAnsi="宋体" w:cs="宋体"/>
          <w:color w:val="auto"/>
          <w:sz w:val="24"/>
          <w:szCs w:val="24"/>
          <w:highlight w:val="none"/>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86条规定处理。</w:t>
      </w:r>
    </w:p>
    <w:p>
      <w:pPr>
        <w:adjustRightInd w:val="0"/>
        <w:snapToGrid w:val="0"/>
        <w:spacing w:line="420" w:lineRule="exact"/>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（1）发包人未能按照专用条款的约定提供施工设计图纸及其它开工条件；</w:t>
      </w:r>
    </w:p>
    <w:p>
      <w:pPr>
        <w:adjustRightInd w:val="0"/>
        <w:snapToGrid w:val="0"/>
        <w:spacing w:line="420" w:lineRule="exact"/>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（2）发包人未能按照专用条款约定的时间支付工程预付款、绿色施工安全防护费和进度款；</w:t>
      </w:r>
    </w:p>
    <w:p>
      <w:pPr>
        <w:adjustRightInd w:val="0"/>
        <w:snapToGrid w:val="0"/>
        <w:spacing w:line="420" w:lineRule="exact"/>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（3）发包人代表或施工现场发包人雇用的其他人员造成的人为因素；</w:t>
      </w:r>
    </w:p>
    <w:p>
      <w:pPr>
        <w:adjustRightInd w:val="0"/>
        <w:snapToGrid w:val="0"/>
        <w:spacing w:line="420" w:lineRule="exact"/>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（4）监理工程师未按照合同约定及时提供所需指令、回复等；</w:t>
      </w:r>
    </w:p>
    <w:p>
      <w:pPr>
        <w:adjustRightInd w:val="0"/>
        <w:snapToGrid w:val="0"/>
        <w:spacing w:line="420" w:lineRule="exact"/>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（5）工程变更（含增加合同工作内容、改变合同的任何一项工作等）；</w:t>
      </w:r>
    </w:p>
    <w:p>
      <w:pPr>
        <w:adjustRightInd w:val="0"/>
        <w:snapToGrid w:val="0"/>
        <w:spacing w:line="420" w:lineRule="exact"/>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（6）工程量增加；</w:t>
      </w:r>
    </w:p>
    <w:p>
      <w:pPr>
        <w:adjustRightInd w:val="0"/>
        <w:snapToGrid w:val="0"/>
        <w:spacing w:line="420" w:lineRule="exact"/>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（7）一周内非承包人原因停水、停电、停气造成停工累计超过8小时；</w:t>
      </w:r>
    </w:p>
    <w:p>
      <w:pPr>
        <w:adjustRightInd w:val="0"/>
        <w:snapToGrid w:val="0"/>
        <w:spacing w:line="420" w:lineRule="exact"/>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（8）不可抗力；</w:t>
      </w:r>
    </w:p>
    <w:p>
      <w:pPr>
        <w:adjustRightInd w:val="0"/>
        <w:snapToGrid w:val="0"/>
        <w:spacing w:line="420" w:lineRule="exact"/>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（9）发包人风险事件；</w:t>
      </w:r>
    </w:p>
    <w:p>
      <w:pPr>
        <w:adjustRightInd w:val="0"/>
        <w:snapToGrid w:val="0"/>
        <w:spacing w:line="420" w:lineRule="exact"/>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（10）因发包人的原因导致的暂停施工；</w:t>
      </w:r>
    </w:p>
    <w:p>
      <w:pPr>
        <w:adjustRightInd w:val="0"/>
        <w:snapToGrid w:val="0"/>
        <w:spacing w:line="420" w:lineRule="exact"/>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（11）非承包人失误、违约，以及监理工程师同意的工期顺延。</w:t>
      </w:r>
    </w:p>
    <w:p>
      <w:pPr>
        <w:adjustRightInd w:val="0"/>
        <w:snapToGrid w:val="0"/>
        <w:spacing w:line="420" w:lineRule="exact"/>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（12）发包人造成工期延误的其他原因。</w:t>
      </w:r>
    </w:p>
    <w:p>
      <w:pPr>
        <w:adjustRightInd w:val="0"/>
        <w:snapToGrid w:val="0"/>
        <w:spacing w:line="360" w:lineRule="auto"/>
        <w:ind w:right="-2"/>
        <w:rPr>
          <w:rFonts w:ascii="宋体" w:hAnsi="宋体" w:cs="宋体"/>
          <w:color w:val="auto"/>
          <w:sz w:val="24"/>
          <w:szCs w:val="24"/>
          <w:highlight w:val="none"/>
        </w:rPr>
      </w:pPr>
      <w:r>
        <w:rPr>
          <w:rFonts w:hint="eastAsia" w:ascii="宋体" w:hAnsi="宋体" w:cs="宋体"/>
          <w:b/>
          <w:bCs/>
          <w:color w:val="auto"/>
          <w:sz w:val="24"/>
          <w:szCs w:val="24"/>
          <w:highlight w:val="none"/>
        </w:rPr>
        <w:t xml:space="preserve">36.4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285" name="文本框 28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9pt;height:31.2pt;width:72pt;z-index:251811840;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uW5mtUAAAAIAQAA&#10;DwAAAAAAAAABACAAAAAiAAAAZHJzL2Rvd25yZXYueG1sUEsBAhQAFAAAAAgAh07iQJcz/1AcAgAA&#10;JgQAAA4AAAAAAAAAAQAgAAAAJAEAAGRycy9lMm9Eb2MueG1sUEsFBgAAAAAGAAYAWQEAALIFAAAA&#10;AA==&#10;">
                <v:fill on="f" focussize="0,0"/>
                <v:stroke on="f"/>
                <v:imagedata o:title=""/>
                <o:lock v:ext="edit" aspectratio="f"/>
                <v:textbo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宋体" w:hAnsi="宋体" w:cs="宋体"/>
          <w:color w:val="auto"/>
          <w:sz w:val="24"/>
          <w:szCs w:val="24"/>
          <w:highlight w:val="none"/>
        </w:rPr>
        <w:t>当第36.3款所述事件首次发生后，承包人应在14天内向监理工程师发出工期顺延意向书，并抄送发包人。承包人应在发出工期顺延意向书后的14天内，向监理工程师提交工期顺延报告和有关详细资料。</w:t>
      </w:r>
    </w:p>
    <w:p>
      <w:pPr>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36.5 </w:t>
      </w:r>
    </w:p>
    <w:p>
      <w:pPr>
        <w:adjustRightInd w:val="0"/>
        <w:snapToGrid w:val="0"/>
        <w:spacing w:line="360" w:lineRule="auto"/>
        <w:ind w:left="1619" w:leftChars="771"/>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284" name="文本框 28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7pt;height:31.2pt;width:72pt;z-index:251812864;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yQatUAAAAIAQAA&#10;DwAAAAAAAAABACAAAAAiAAAAZHJzL2Rvd25yZXYueG1sUEsBAhQAFAAAAAgAh07iQBPsSFQ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ascii="宋体" w:hAnsi="宋体" w:cs="宋体"/>
          <w:color w:val="auto"/>
          <w:sz w:val="24"/>
          <w:szCs w:val="24"/>
          <w:highlight w:val="none"/>
        </w:rPr>
        <w:t>如果工期顺延事件持续发生时，承包人应每隔7天向监理工程师发出工期顺延意向书，并在工期顺延事件终结后的14天内，向监理工程师提交最终工期顺延报告和详细资料。</w:t>
      </w:r>
    </w:p>
    <w:p>
      <w:pPr>
        <w:adjustRightInd w:val="0"/>
        <w:snapToGrid w:val="0"/>
        <w:spacing w:line="360" w:lineRule="auto"/>
        <w:ind w:right="-2"/>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36.6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83" name="文本框 283"/>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8.1pt;width:72pt;z-index:251813888;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qXQ8fWAAAACAEA&#10;AA8AAAAAAAAAAQAgAAAAIgAAAGRycy9kb3ducmV2LnhtbFBLAQIUABQAAAAIAIdO4kADvznx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宋体" w:hAnsi="宋体" w:cs="宋体"/>
          <w:color w:val="auto"/>
          <w:sz w:val="24"/>
          <w:szCs w:val="24"/>
          <w:highlight w:val="none"/>
        </w:rPr>
        <w:t>如果承包人未能在第36.4款和第36.5款（发生时）规定的时间内提交（最终）工期顺延报告和详细资料，则视为该事件不影响施工进度或承包人放弃顺延工期的权利。</w:t>
      </w:r>
    </w:p>
    <w:p>
      <w:pPr>
        <w:adjustRightInd w:val="0"/>
        <w:snapToGrid w:val="0"/>
        <w:spacing w:line="360" w:lineRule="auto"/>
        <w:ind w:right="-2"/>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36.7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82" name="文本框 282"/>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8.1pt;width:72pt;z-index:251814912;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pdDx9YAAAAIAQAA&#10;DwAAAAAAAAABACAAAAAiAAAAZHJzL2Rvd25yZXYueG1sUEsBAhQAFAAAAAgAh07iQIdgjvUbAgAA&#10;JgQAAA4AAAAAAAAAAQAgAAAAJQEAAGRycy9lMm9Eb2MueG1sUEsFBgAAAAAGAAYAWQEAALIFAAAA&#10;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宋体" w:hAnsi="宋体" w:cs="宋体"/>
          <w:color w:val="auto"/>
          <w:sz w:val="24"/>
          <w:szCs w:val="24"/>
          <w:highlight w:val="none"/>
        </w:rPr>
        <w:t>监理工程师应在收到承包人按照第36.4款和第36.5款（发生时）规定提交（最终）工期顺延报告和详细资料后的28天内，按照第36.3款规定予以核实，或要求承包人进一步补充顺延工期的理由。合同双方当事人一旦协商确定顺延的工期，发包人应承担由此增加的费用，并向承包人支付合理利润。</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如果监理工程师在收到上述报告和资料后的28天内未予核实也未对承包人作出进一步要求，则视为监理工程师已认可承包人上述报告中提出的顺延工期天数。</w:t>
      </w:r>
    </w:p>
    <w:p>
      <w:pPr>
        <w:adjustRightInd w:val="0"/>
        <w:snapToGrid w:val="0"/>
        <w:spacing w:line="360" w:lineRule="auto"/>
        <w:ind w:left="1626" w:leftChars="1" w:hanging="1624" w:hangingChars="674"/>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36.8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281" name="文本框 281"/>
                <wp:cNvGraphicFramePr/>
                <a:graphic xmlns:a="http://schemas.openxmlformats.org/drawingml/2006/main">
                  <a:graphicData uri="http://schemas.microsoft.com/office/word/2010/wordprocessingShape">
                    <wps:wsp>
                      <wps:cNvSpPr txBox="1">
                        <a:spLocks noChangeArrowheads="1"/>
                      </wps:cNvSpPr>
                      <wps:spPr bwMode="auto">
                        <a:xfrm>
                          <a:off x="0" y="0"/>
                          <a:ext cx="914400" cy="5937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46.75pt;width:72pt;z-index:251815936;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4qOK/WAAAACQEA&#10;AA8AAAAAAAAAAQAgAAAAIgAAAGRycy9kb3ducmV2LnhtbFBLAQIUABQAAAAIAIdO4kAPt/Fv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ascii="宋体" w:hAnsi="宋体" w:cs="宋体"/>
          <w:color w:val="auto"/>
          <w:sz w:val="24"/>
          <w:szCs w:val="24"/>
          <w:highlight w:val="none"/>
        </w:rPr>
        <w:t>承包人未能按照合同进度计划完成工作，或因承包人的原因造成工期延误，发包人可按照本条规定的时限和第66.2款规定要求承包人支付该支付期的误期赔偿费。</w:t>
      </w:r>
    </w:p>
    <w:p>
      <w:pPr>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36.9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81152"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280" name="文本框 280"/>
                <wp:cNvGraphicFramePr/>
                <a:graphic xmlns:a="http://schemas.openxmlformats.org/drawingml/2006/main">
                  <a:graphicData uri="http://schemas.microsoft.com/office/word/2010/wordprocessingShape">
                    <wps:wsp>
                      <wps:cNvSpPr txBox="1">
                        <a:spLocks noChangeArrowheads="1"/>
                      </wps:cNvSpPr>
                      <wps:spPr bwMode="auto">
                        <a:xfrm>
                          <a:off x="0" y="0"/>
                          <a:ext cx="923290" cy="454025"/>
                        </a:xfrm>
                        <a:prstGeom prst="rect">
                          <a:avLst/>
                        </a:prstGeom>
                        <a:noFill/>
                        <a:ln>
                          <a:noFill/>
                        </a:ln>
                        <a:effectLst/>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1pt;margin-top:5.15pt;height:35.75pt;width:72.7pt;z-index:252081152;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a2K6PVAAAACQEA&#10;AA8AAAAAAAAAAQAgAAAAIgAAAGRycy9kb3ducmV2LnhtbFBLAQIUABQAAAAIAIdO4kAvL9EqHQIA&#10;ACY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r>
        <w:rPr>
          <w:rFonts w:hint="eastAsia" w:ascii="宋体" w:hAnsi="宋体" w:cs="宋体"/>
          <w:color w:val="auto"/>
          <w:sz w:val="24"/>
          <w:szCs w:val="24"/>
          <w:highlight w:val="none"/>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pPr>
        <w:tabs>
          <w:tab w:val="left" w:pos="540"/>
        </w:tabs>
        <w:adjustRightInd w:val="0"/>
        <w:snapToGrid w:val="0"/>
        <w:spacing w:before="312" w:beforeLines="100" w:line="24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804" w:name="_Toc13430"/>
      <w:bookmarkStart w:id="805" w:name="_Toc25269123"/>
      <w:bookmarkStart w:id="806" w:name="_Toc17803"/>
      <w:bookmarkStart w:id="807" w:name="_Toc469384019"/>
      <w:bookmarkStart w:id="808" w:name="_Toc721763788"/>
      <w:bookmarkStart w:id="809" w:name="_Toc23714"/>
      <w:bookmarkStart w:id="810" w:name="_Toc2627"/>
      <w:bookmarkStart w:id="811" w:name="_Toc16314"/>
      <w:bookmarkStart w:id="812" w:name="_Toc23747"/>
      <w:r>
        <w:rPr>
          <w:rFonts w:hint="eastAsia" w:ascii="宋体" w:hAnsi="宋体" w:cs="宋体"/>
          <w:b/>
          <w:bCs/>
          <w:color w:val="auto"/>
          <w:sz w:val="24"/>
          <w:szCs w:val="24"/>
          <w:highlight w:val="none"/>
        </w:rPr>
        <w:t>37  加快进度</w:t>
      </w:r>
      <w:bookmarkEnd w:id="804"/>
      <w:bookmarkEnd w:id="805"/>
      <w:bookmarkEnd w:id="806"/>
      <w:bookmarkEnd w:id="807"/>
      <w:bookmarkEnd w:id="808"/>
      <w:bookmarkEnd w:id="809"/>
      <w:bookmarkEnd w:id="810"/>
      <w:bookmarkEnd w:id="811"/>
      <w:bookmarkEnd w:id="812"/>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279" name="文本框 279"/>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a:effectLst/>
                      </wps:spPr>
                      <wps:txb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65pt;height:42.55pt;width:72pt;z-index:251816960;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DRRg1wAAAAoB&#10;AAAPAAAAAAAAAAEAIAAAACIAAABkcnMvZG93bnJldi54bWxQSwECFAAUAAAACACHTuJAQtLrZxwC&#10;AAAmBAAADgAAAAAAAAABACAAAAAmAQAAZHJzL2Uyb0RvYy54bWxQSwUGAAAAAAYABgBZAQAAtAUA&#10;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int="eastAsia" w:ascii="宋体" w:hAnsi="宋体" w:cs="宋体"/>
          <w:b/>
          <w:bCs/>
          <w:color w:val="auto"/>
          <w:sz w:val="24"/>
          <w:szCs w:val="24"/>
          <w:highlight w:val="none"/>
        </w:rPr>
        <w:t xml:space="preserve">37.1     </w:t>
      </w:r>
    </w:p>
    <w:p>
      <w:pPr>
        <w:adjustRightInd w:val="0"/>
        <w:snapToGrid w:val="0"/>
        <w:spacing w:line="360" w:lineRule="auto"/>
        <w:ind w:left="1619" w:leftChars="771"/>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在非发包人延误工期的情况下，如果监理工程师书面指出承包人实施合同工程或其任何部分的进度过慢，迟于进度计划或不能按期竣工，则承包人应按照第33.4款规定采取改进措施，加快工程进度。</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w:t>
      </w:r>
    </w:p>
    <w:p>
      <w:pPr>
        <w:tabs>
          <w:tab w:val="left" w:pos="1320"/>
        </w:tabs>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278" name="文本框 278"/>
                <wp:cNvGraphicFramePr/>
                <a:graphic xmlns:a="http://schemas.openxmlformats.org/drawingml/2006/main">
                  <a:graphicData uri="http://schemas.microsoft.com/office/word/2010/wordprocessingShape">
                    <wps:wsp>
                      <wps:cNvSpPr txBox="1">
                        <a:spLocks noChangeArrowheads="1"/>
                      </wps:cNvSpPr>
                      <wps:spPr bwMode="auto">
                        <a:xfrm>
                          <a:off x="0" y="0"/>
                          <a:ext cx="914400" cy="49466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9pt;height:38.95pt;width:72pt;z-index:251817984;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n2u81wAAAAoB&#10;AAAPAAAAAAAAAAEAIAAAACIAAABkcnMvZG93bnJldi54bWxQSwECFAAUAAAACACHTuJAfrwurBwC&#10;AAAmBAAADgAAAAAAAAABACAAAAAmAQAAZHJzL2Uyb0RvYy54bWxQSwUGAAAAAAYABgBZAQAAtAUA&#10;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hint="eastAsia" w:ascii="宋体" w:hAnsi="宋体" w:cs="宋体"/>
          <w:b/>
          <w:bCs/>
          <w:color w:val="auto"/>
          <w:sz w:val="24"/>
          <w:szCs w:val="24"/>
          <w:highlight w:val="none"/>
        </w:rPr>
        <w:t xml:space="preserve">37.2  </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pPr>
        <w:numPr>
          <w:ilvl w:val="0"/>
          <w:numId w:val="20"/>
        </w:numPr>
        <w:tabs>
          <w:tab w:val="left" w:pos="19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加快进度拟采取的措施；</w:t>
      </w:r>
    </w:p>
    <w:p>
      <w:pPr>
        <w:numPr>
          <w:ilvl w:val="0"/>
          <w:numId w:val="20"/>
        </w:numPr>
        <w:tabs>
          <w:tab w:val="left" w:pos="19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加快进度后的进度计划,以及与原计划的对比；</w:t>
      </w:r>
    </w:p>
    <w:p>
      <w:pPr>
        <w:numPr>
          <w:ilvl w:val="0"/>
          <w:numId w:val="20"/>
        </w:numPr>
        <w:tabs>
          <w:tab w:val="left" w:pos="19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加快进度所需的合同价款增加额（含第66.1款规定的提前竣工奖）。该增加额按照第72.2款、第72.3款和第72.5款规定计算。</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发包人应在接到建议书后的7天内予以答复。如果发包人接受了该建议书，则监理工程师应以书面形式发出变更指令，相应调整工期；造价工程师应核实并相应调整合同价款。</w:t>
      </w:r>
    </w:p>
    <w:p>
      <w:pPr>
        <w:adjustRightInd w:val="0"/>
        <w:snapToGrid w:val="0"/>
        <w:spacing w:line="240" w:lineRule="exact"/>
        <w:ind w:right="-240"/>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813" w:name="_Toc18440"/>
      <w:bookmarkStart w:id="814" w:name="_Toc469384020"/>
      <w:bookmarkStart w:id="815" w:name="_Toc14688"/>
      <w:bookmarkStart w:id="816" w:name="_Toc22753"/>
      <w:bookmarkStart w:id="817" w:name="_Toc1696346660"/>
      <w:bookmarkStart w:id="818" w:name="_Toc26356"/>
      <w:bookmarkStart w:id="819" w:name="_Toc20215"/>
      <w:bookmarkStart w:id="820" w:name="_Toc3077"/>
      <w:bookmarkStart w:id="821" w:name="_Toc1643871802"/>
      <w:r>
        <w:rPr>
          <w:rFonts w:hint="eastAsia" w:ascii="宋体" w:hAnsi="宋体" w:cs="宋体"/>
          <w:b/>
          <w:bCs/>
          <w:color w:val="auto"/>
          <w:sz w:val="24"/>
          <w:szCs w:val="24"/>
          <w:highlight w:val="none"/>
        </w:rPr>
        <w:t>38  竣工日期</w:t>
      </w:r>
      <w:bookmarkEnd w:id="813"/>
      <w:bookmarkEnd w:id="814"/>
      <w:bookmarkEnd w:id="815"/>
      <w:bookmarkEnd w:id="816"/>
      <w:bookmarkEnd w:id="817"/>
      <w:bookmarkEnd w:id="818"/>
      <w:bookmarkEnd w:id="819"/>
      <w:bookmarkEnd w:id="820"/>
      <w:bookmarkEnd w:id="821"/>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19008"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277" name="文本框 277"/>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10.7pt;height:31.2pt;width:77pt;z-index:251819008;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o4dVfXAAAA&#10;CQEAAA8AAAAAAAAAAQAgAAAAIgAAAGRycy9kb3ducmV2LnhtbFBLAQIUABQAAAAIAIdO4kCNkj6D&#10;HgIAACYEAAAOAAAAAAAAAAEAIAAAACYBAABkcnMvZTJvRG9jLnhtbFBLBQYAAAAABgAGAFkBAAC2&#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宋体" w:hAnsi="宋体" w:cs="宋体"/>
          <w:b/>
          <w:bCs/>
          <w:color w:val="auto"/>
          <w:sz w:val="24"/>
          <w:szCs w:val="24"/>
          <w:highlight w:val="none"/>
        </w:rPr>
        <w:t xml:space="preserve">38.1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合同双方当事人应在协议书和专用条款中约定合同工程的计划竣工日期。</w:t>
      </w:r>
    </w:p>
    <w:p>
      <w:pPr>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38.2  </w:t>
      </w: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76" name="文本框 276"/>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7pt;z-index:251820032;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maHG1QAAAAcB&#10;AAAPAAAAAAAAAAEAIAAAACIAAABkcnMvZG93bnJldi54bWxQSwECFAAUAAAACACHTuJACU2Jhx4C&#10;AAAm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宋体" w:hAnsi="宋体" w:cs="宋体"/>
          <w:color w:val="auto"/>
          <w:sz w:val="24"/>
          <w:szCs w:val="24"/>
          <w:highlight w:val="none"/>
        </w:rPr>
        <w:t>除发生不可抗力事件致使发包人不能按时竣工验收外，实际竣工日期按照下列情况分别确定：</w:t>
      </w:r>
    </w:p>
    <w:p>
      <w:pPr>
        <w:numPr>
          <w:ilvl w:val="0"/>
          <w:numId w:val="21"/>
        </w:numPr>
        <w:tabs>
          <w:tab w:val="left" w:pos="1980"/>
          <w:tab w:val="left" w:pos="2160"/>
        </w:tabs>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工程经竣工验收合格的，以承包人提交竣工验收申请报告之日为实际竣工日期；</w:t>
      </w:r>
    </w:p>
    <w:p>
      <w:pPr>
        <w:tabs>
          <w:tab w:val="left" w:pos="1980"/>
          <w:tab w:val="left" w:pos="2160"/>
        </w:tabs>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(2)承包人已按照第57.2款规定提交竣工验收申请报告，但发包人未按照第58.3款规定完成合同工程验收的，以承包人提交竣工验收申请报告之日为实际竣工日期；</w:t>
      </w:r>
    </w:p>
    <w:p>
      <w:pPr>
        <w:tabs>
          <w:tab w:val="left" w:pos="1980"/>
          <w:tab w:val="left" w:pos="2160"/>
        </w:tabs>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(3)工程未经竣工验收，发包人擅自使用的，以转移占有工程之日为实际竣工日期。</w:t>
      </w:r>
    </w:p>
    <w:p>
      <w:pPr>
        <w:adjustRightInd w:val="0"/>
        <w:snapToGrid w:val="0"/>
        <w:spacing w:line="360" w:lineRule="auto"/>
        <w:ind w:left="1626" w:leftChars="1" w:hanging="1624" w:hangingChars="674"/>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38.3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275" name="文本框 275"/>
                <wp:cNvGraphicFramePr/>
                <a:graphic xmlns:a="http://schemas.openxmlformats.org/drawingml/2006/main">
                  <a:graphicData uri="http://schemas.microsoft.com/office/word/2010/wordprocessingShape">
                    <wps:wsp>
                      <wps:cNvSpPr txBox="1">
                        <a:spLocks noChangeArrowheads="1"/>
                      </wps:cNvSpPr>
                      <wps:spPr bwMode="auto">
                        <a:xfrm>
                          <a:off x="0" y="0"/>
                          <a:ext cx="914400" cy="4559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75pt;height:35.9pt;width:72pt;z-index:251821056;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BDNytUAAAAIAQAA&#10;DwAAAAAAAAABACAAAAAiAAAAZHJzL2Rvd25yZXYueG1sUEsBAhQAFAAAAAgAh07iQJHtmYY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宋体" w:hAnsi="宋体" w:cs="宋体"/>
          <w:color w:val="auto"/>
          <w:sz w:val="24"/>
          <w:szCs w:val="24"/>
          <w:highlight w:val="none"/>
        </w:rPr>
        <w:t>因发包人的原因导致实际竣工日期迟于计划竣工日期的，发包人应承担由此增加的费用和（或）延误的工期，并向承包人支付合理利润。</w:t>
      </w:r>
    </w:p>
    <w:p>
      <w:pPr>
        <w:spacing w:line="360" w:lineRule="auto"/>
        <w:ind w:left="1619" w:leftChars="771" w:firstLine="60" w:firstLineChars="25"/>
        <w:rPr>
          <w:rFonts w:ascii="宋体" w:hAnsi="宋体" w:cs="宋体"/>
          <w:caps/>
          <w:color w:val="auto"/>
          <w:sz w:val="24"/>
          <w:szCs w:val="24"/>
          <w:highlight w:val="none"/>
        </w:rPr>
      </w:pPr>
      <w:r>
        <w:rPr>
          <w:rFonts w:hint="eastAsia" w:ascii="宋体" w:hAnsi="宋体" w:cs="宋体"/>
          <w:color w:val="auto"/>
          <w:sz w:val="24"/>
          <w:szCs w:val="24"/>
          <w:highlight w:val="none"/>
        </w:rPr>
        <w:t>因承包人的原因导致实际竣工日期迟于计划竣工日期的，承包人应按照第40条规定</w:t>
      </w:r>
      <w:r>
        <w:rPr>
          <w:rFonts w:hint="eastAsia" w:ascii="宋体" w:hAnsi="宋体" w:cs="宋体"/>
          <w:caps/>
          <w:color w:val="auto"/>
          <w:sz w:val="24"/>
          <w:szCs w:val="24"/>
          <w:highlight w:val="none"/>
        </w:rPr>
        <w:t>赔偿发包人由此造成的损失，并向发包人支付误期赔偿费。</w:t>
      </w:r>
    </w:p>
    <w:p>
      <w:pPr>
        <w:rPr>
          <w:rFonts w:ascii="宋体" w:hAnsi="宋体" w:cs="宋体"/>
          <w:caps/>
          <w:color w:val="auto"/>
          <w:sz w:val="24"/>
          <w:szCs w:val="24"/>
          <w:highlight w:val="none"/>
          <w:u w:val="single"/>
        </w:rPr>
      </w:pPr>
    </w:p>
    <w:p>
      <w:pPr>
        <w:tabs>
          <w:tab w:val="left" w:pos="540"/>
        </w:tabs>
        <w:adjustRightInd w:val="0"/>
        <w:snapToGrid w:val="0"/>
        <w:spacing w:before="312" w:beforeLines="100"/>
        <w:outlineLvl w:val="2"/>
        <w:rPr>
          <w:rFonts w:ascii="宋体" w:hAnsi="宋体" w:cs="宋体"/>
          <w:b/>
          <w:bCs/>
          <w:color w:val="auto"/>
          <w:sz w:val="24"/>
          <w:szCs w:val="24"/>
          <w:highlight w:val="none"/>
        </w:rPr>
      </w:pPr>
      <w:bookmarkStart w:id="822" w:name="_Toc16281"/>
      <w:bookmarkStart w:id="823" w:name="_Toc9538"/>
      <w:bookmarkStart w:id="824" w:name="_Toc1176257559"/>
      <w:bookmarkStart w:id="825" w:name="_Toc26352"/>
      <w:bookmarkStart w:id="826" w:name="_Toc6817"/>
      <w:bookmarkStart w:id="827" w:name="_Toc469384021"/>
      <w:bookmarkStart w:id="828" w:name="_Toc7229"/>
      <w:bookmarkStart w:id="829" w:name="_Toc505417048"/>
      <w:bookmarkStart w:id="830" w:name="_Toc6450"/>
      <w:r>
        <w:rPr>
          <w:rFonts w:hint="eastAsia" w:ascii="宋体" w:hAnsi="宋体" w:cs="宋体"/>
          <w:b/>
          <w:bCs/>
          <w:color w:val="auto"/>
          <w:sz w:val="24"/>
          <w:szCs w:val="24"/>
          <w:highlight w:val="none"/>
        </w:rPr>
        <w:t>39  提前竣工</w:t>
      </w:r>
      <w:bookmarkEnd w:id="822"/>
      <w:bookmarkEnd w:id="823"/>
      <w:bookmarkEnd w:id="824"/>
      <w:bookmarkEnd w:id="825"/>
      <w:bookmarkEnd w:id="826"/>
      <w:bookmarkEnd w:id="827"/>
      <w:bookmarkEnd w:id="828"/>
      <w:bookmarkEnd w:id="829"/>
      <w:bookmarkEnd w:id="830"/>
    </w:p>
    <w:p>
      <w:pPr>
        <w:adjustRightInd w:val="0"/>
        <w:snapToGrid w:val="0"/>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39.1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22080"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274" name="文本框 274"/>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2.4pt;height:31.2pt;width:77pt;z-index:251822080;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2HT+P1QAAAAgB&#10;AAAPAAAAAAAAAAEAIAAAACIAAABkcnMvZG93bnJldi54bWxQSwECFAAUAAAACACHTuJAAfLmjh4C&#10;AAAm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宋体" w:hAnsi="宋体" w:cs="宋体"/>
          <w:color w:val="auto"/>
          <w:sz w:val="24"/>
          <w:szCs w:val="24"/>
          <w:highlight w:val="none"/>
        </w:rPr>
        <w:t>发包人要求承包人提前竣工，或承包人按照第37.2款规定提交提前竣工建议书为发包人接受的，监理工程师应与承包人商定采取加快工程进度的措施，并修订合同工程进度计划。</w:t>
      </w:r>
    </w:p>
    <w:p>
      <w:pPr>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39.2  </w:t>
      </w:r>
    </w:p>
    <w:p>
      <w:p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73" name="文本框 273"/>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7pt;z-index:25182310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maHG1QAAAAcB&#10;AAAPAAAAAAAAAAEAIAAAACIAAABkcnMvZG93bnJldi54bWxQSwECFAAUAAAACACHTuJAnezhkR4C&#10;AAAm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宋体" w:hAnsi="宋体" w:cs="宋体"/>
          <w:color w:val="auto"/>
          <w:sz w:val="24"/>
          <w:szCs w:val="24"/>
          <w:highlight w:val="none"/>
        </w:rPr>
        <w:t>提前竣工天数按照第38.2款规定确定的计划竣工天数减去实际竣工天数计算，其公式为：</w:t>
      </w:r>
    </w:p>
    <w:p>
      <w:p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提前竣工天数=计划竣工天数 — 实际竣工天数</w:t>
      </w:r>
    </w:p>
    <w:p>
      <w:pPr>
        <w:tabs>
          <w:tab w:val="left" w:pos="1980"/>
          <w:tab w:val="left" w:pos="2160"/>
        </w:tabs>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合同工程提前竣工，发包人应承担承包人由此增加的费用，并按照第66.1款规定向承包人支付提前竣工奖。</w:t>
      </w:r>
    </w:p>
    <w:p>
      <w:pPr>
        <w:tabs>
          <w:tab w:val="left" w:pos="540"/>
        </w:tabs>
        <w:adjustRightInd w:val="0"/>
        <w:snapToGrid w:val="0"/>
        <w:spacing w:before="312" w:beforeLines="100" w:line="240" w:lineRule="exact"/>
        <w:rPr>
          <w:rFonts w:ascii="宋体" w:hAnsi="宋体" w:cs="宋体"/>
          <w:b/>
          <w:bCs/>
          <w:caps/>
          <w:color w:val="auto"/>
          <w:sz w:val="24"/>
          <w:szCs w:val="24"/>
          <w:highlight w:val="none"/>
          <w:u w:val="single"/>
        </w:rPr>
      </w:pPr>
    </w:p>
    <w:p>
      <w:pPr>
        <w:tabs>
          <w:tab w:val="left" w:pos="540"/>
        </w:tabs>
        <w:adjustRightInd w:val="0"/>
        <w:snapToGrid w:val="0"/>
        <w:spacing w:before="312" w:beforeLines="100"/>
        <w:outlineLvl w:val="2"/>
        <w:rPr>
          <w:rFonts w:ascii="宋体" w:hAnsi="宋体" w:cs="宋体"/>
          <w:b/>
          <w:bCs/>
          <w:color w:val="auto"/>
          <w:sz w:val="24"/>
          <w:szCs w:val="24"/>
          <w:highlight w:val="none"/>
        </w:rPr>
      </w:pPr>
      <w:bookmarkStart w:id="831" w:name="_Toc23830"/>
      <w:bookmarkStart w:id="832" w:name="_Toc24260"/>
      <w:bookmarkStart w:id="833" w:name="_Toc19321"/>
      <w:bookmarkStart w:id="834" w:name="_Toc1246501851"/>
      <w:bookmarkStart w:id="835" w:name="_Toc1773823478"/>
      <w:bookmarkStart w:id="836" w:name="_Toc469384022"/>
      <w:bookmarkStart w:id="837" w:name="_Toc30323"/>
      <w:bookmarkStart w:id="838" w:name="_Toc14461"/>
      <w:bookmarkStart w:id="839" w:name="_Toc363"/>
      <w:r>
        <w:rPr>
          <w:rFonts w:hint="eastAsia" w:ascii="宋体" w:hAnsi="宋体" w:cs="宋体"/>
          <w:b/>
          <w:bCs/>
          <w:color w:val="auto"/>
          <w:sz w:val="24"/>
          <w:szCs w:val="24"/>
          <w:highlight w:val="none"/>
        </w:rPr>
        <w:t>40  误期赔偿</w:t>
      </w:r>
      <w:bookmarkEnd w:id="831"/>
      <w:bookmarkEnd w:id="832"/>
      <w:bookmarkEnd w:id="833"/>
      <w:bookmarkEnd w:id="834"/>
      <w:bookmarkEnd w:id="835"/>
      <w:bookmarkEnd w:id="836"/>
      <w:bookmarkEnd w:id="837"/>
      <w:bookmarkEnd w:id="838"/>
      <w:bookmarkEnd w:id="839"/>
    </w:p>
    <w:p>
      <w:pPr>
        <w:rPr>
          <w:rFonts w:ascii="宋体" w:hAnsi="宋体" w:cs="宋体"/>
          <w:b/>
          <w:bCs/>
          <w:caps/>
          <w:color w:val="auto"/>
          <w:sz w:val="24"/>
          <w:szCs w:val="24"/>
          <w:highlight w:val="none"/>
        </w:rPr>
      </w:pPr>
      <w:r>
        <w:rPr>
          <w:rFonts w:hint="eastAsia" w:ascii="宋体" w:hAnsi="宋体" w:cs="宋体"/>
          <w:b/>
          <w:bCs/>
          <w:color w:val="auto"/>
          <w:sz w:val="24"/>
          <w:szCs w:val="24"/>
          <w:highlight w:val="none"/>
        </w:rPr>
        <w:t>40.1</w:t>
      </w:r>
    </w:p>
    <w:p>
      <w:pPr>
        <w:spacing w:line="360" w:lineRule="auto"/>
        <w:ind w:left="1619" w:leftChars="771"/>
        <w:rPr>
          <w:rFonts w:ascii="宋体" w:hAnsi="宋体" w:cs="宋体"/>
          <w:cap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272" name="文本框 272"/>
                <wp:cNvGraphicFramePr/>
                <a:graphic xmlns:a="http://schemas.openxmlformats.org/drawingml/2006/main">
                  <a:graphicData uri="http://schemas.microsoft.com/office/word/2010/wordprocessingShape">
                    <wps:wsp>
                      <wps:cNvSpPr txBox="1">
                        <a:spLocks noChangeArrowheads="1"/>
                      </wps:cNvSpPr>
                      <wps:spPr bwMode="auto">
                        <a:xfrm>
                          <a:off x="0" y="0"/>
                          <a:ext cx="977900" cy="3282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8.2pt;height:25.85pt;width:77pt;z-index:251824128;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W1ER1gAAAAkB&#10;AAAPAAAAAAAAAAEAIAAAACIAAABkcnMvZG93bnJldi54bWxQSwECFAAUAAAACACHTuJATuhvUR0C&#10;AAAm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宋体" w:hAnsi="宋体" w:cs="宋体"/>
          <w:caps/>
          <w:color w:val="auto"/>
          <w:sz w:val="24"/>
          <w:szCs w:val="24"/>
          <w:highlight w:val="none"/>
        </w:rPr>
        <w:t>如果承包人未按照第33.4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pPr>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40.2  </w:t>
      </w:r>
    </w:p>
    <w:p>
      <w:pPr>
        <w:spacing w:line="360" w:lineRule="auto"/>
        <w:ind w:left="1619" w:leftChars="771" w:firstLine="71" w:firstLineChars="34"/>
        <w:rPr>
          <w:rFonts w:ascii="宋体" w:hAnsi="宋体" w:cs="宋体"/>
          <w:cap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271" name="文本框 271"/>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pt;height:62.35pt;width:84.35pt;z-index:251825152;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5n7idYAAAAJ&#10;AQAADwAAAAAAAAABACAAAAAiAAAAZHJzL2Rvd25yZXYueG1sUEsBAhQAFAAAAAgAh07iQFnZoy4e&#10;AgAAJwQAAA4AAAAAAAAAAQAgAAAAJQEAAGRycy9lMm9Eb2MueG1sUEsFBgAAAAAGAAYAWQEAALUF&#10;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宋体" w:hAnsi="宋体" w:cs="宋体"/>
          <w:caps/>
          <w:color w:val="auto"/>
          <w:sz w:val="24"/>
          <w:szCs w:val="24"/>
          <w:highlight w:val="none"/>
        </w:rPr>
        <w:t>误期（实际延误天数）按照实际施工天数减去计划施工天数计算，其公式为：</w:t>
      </w:r>
    </w:p>
    <w:p>
      <w:pPr>
        <w:spacing w:line="360" w:lineRule="auto"/>
        <w:ind w:firstLine="1680" w:firstLineChars="700"/>
        <w:rPr>
          <w:rFonts w:ascii="宋体" w:hAnsi="宋体" w:cs="宋体"/>
          <w:caps/>
          <w:color w:val="auto"/>
          <w:sz w:val="24"/>
          <w:szCs w:val="24"/>
          <w:highlight w:val="none"/>
        </w:rPr>
      </w:pPr>
      <w:r>
        <w:rPr>
          <w:rFonts w:hint="eastAsia" w:ascii="宋体" w:hAnsi="宋体" w:cs="宋体"/>
          <w:caps/>
          <w:color w:val="auto"/>
          <w:sz w:val="24"/>
          <w:szCs w:val="24"/>
          <w:highlight w:val="none"/>
        </w:rPr>
        <w:t>实际延误天数＝实际施工天数－计划施工天数</w:t>
      </w:r>
    </w:p>
    <w:p>
      <w:pPr>
        <w:spacing w:line="360" w:lineRule="auto"/>
        <w:ind w:left="1680" w:leftChars="800"/>
        <w:rPr>
          <w:rFonts w:ascii="宋体" w:hAnsi="宋体" w:cs="宋体"/>
          <w:caps/>
          <w:color w:val="auto"/>
          <w:sz w:val="24"/>
          <w:szCs w:val="24"/>
          <w:highlight w:val="none"/>
        </w:rPr>
      </w:pPr>
      <w:r>
        <w:rPr>
          <w:rFonts w:hint="eastAsia" w:ascii="宋体" w:hAnsi="宋体" w:cs="宋体"/>
          <w:caps/>
          <w:color w:val="auto"/>
          <w:sz w:val="24"/>
          <w:szCs w:val="24"/>
          <w:highlight w:val="none"/>
        </w:rPr>
        <w:t>合同工程发生误期，承包人应赔偿发包人由此造成的损失，并按照第66.2款规定向发包人支付误期赔偿费。</w:t>
      </w:r>
    </w:p>
    <w:p>
      <w:pPr>
        <w:adjustRightInd w:val="0"/>
        <w:snapToGrid w:val="0"/>
        <w:spacing w:line="360" w:lineRule="auto"/>
        <w:ind w:right="-238"/>
        <w:rPr>
          <w:rFonts w:ascii="宋体" w:hAnsi="宋体" w:cs="宋体"/>
          <w:b/>
          <w:bCs/>
          <w:color w:val="auto"/>
          <w:sz w:val="24"/>
          <w:szCs w:val="24"/>
          <w:highlight w:val="none"/>
          <w:u w:val="single"/>
        </w:rPr>
      </w:pPr>
    </w:p>
    <w:p>
      <w:pPr>
        <w:adjustRightInd w:val="0"/>
        <w:snapToGrid w:val="0"/>
        <w:spacing w:line="360" w:lineRule="auto"/>
        <w:ind w:firstLine="2768" w:firstLineChars="1149"/>
        <w:outlineLvl w:val="1"/>
        <w:rPr>
          <w:rFonts w:ascii="宋体" w:hAnsi="宋体" w:cs="宋体"/>
          <w:b/>
          <w:bCs/>
          <w:color w:val="auto"/>
          <w:sz w:val="24"/>
          <w:szCs w:val="24"/>
          <w:highlight w:val="none"/>
        </w:rPr>
      </w:pPr>
      <w:bookmarkStart w:id="840" w:name="_Toc7795"/>
      <w:bookmarkStart w:id="841" w:name="_Toc1253633272"/>
      <w:bookmarkStart w:id="842" w:name="_Toc1283207092"/>
      <w:bookmarkStart w:id="843" w:name="_Toc22796"/>
      <w:bookmarkStart w:id="844" w:name="_Toc2085"/>
      <w:bookmarkStart w:id="845" w:name="_Toc18793"/>
      <w:bookmarkStart w:id="846" w:name="_Toc469384023"/>
      <w:bookmarkStart w:id="847" w:name="_Toc3335"/>
      <w:bookmarkStart w:id="848" w:name="_Toc12428"/>
      <w:r>
        <w:rPr>
          <w:rFonts w:hint="eastAsia" w:ascii="宋体" w:hAnsi="宋体" w:cs="宋体"/>
          <w:b/>
          <w:bCs/>
          <w:color w:val="auto"/>
          <w:sz w:val="24"/>
          <w:szCs w:val="24"/>
          <w:highlight w:val="none"/>
        </w:rPr>
        <w:t>五、质量与安全</w:t>
      </w:r>
      <w:bookmarkEnd w:id="840"/>
      <w:bookmarkEnd w:id="841"/>
      <w:bookmarkEnd w:id="842"/>
      <w:bookmarkEnd w:id="843"/>
      <w:bookmarkEnd w:id="844"/>
      <w:bookmarkEnd w:id="845"/>
      <w:bookmarkEnd w:id="846"/>
      <w:bookmarkEnd w:id="847"/>
      <w:bookmarkEnd w:id="848"/>
    </w:p>
    <w:p>
      <w:pPr>
        <w:adjustRightInd w:val="0"/>
        <w:snapToGrid w:val="0"/>
        <w:spacing w:line="360" w:lineRule="auto"/>
        <w:outlineLvl w:val="2"/>
        <w:rPr>
          <w:rFonts w:ascii="宋体" w:hAnsi="宋体" w:cs="宋体"/>
          <w:b/>
          <w:bCs/>
          <w:color w:val="auto"/>
          <w:sz w:val="24"/>
          <w:szCs w:val="24"/>
          <w:highlight w:val="none"/>
        </w:rPr>
      </w:pPr>
      <w:bookmarkStart w:id="849" w:name="_Toc16390"/>
      <w:bookmarkStart w:id="850" w:name="_Toc469384024"/>
      <w:bookmarkStart w:id="851" w:name="_Toc17295"/>
      <w:bookmarkStart w:id="852" w:name="_Toc10906"/>
      <w:bookmarkStart w:id="853" w:name="_Toc1830812070"/>
      <w:bookmarkStart w:id="854" w:name="_Toc23192"/>
      <w:bookmarkStart w:id="855" w:name="_Toc4278"/>
      <w:bookmarkStart w:id="856" w:name="_Toc852341787"/>
      <w:bookmarkStart w:id="857" w:name="_Toc16684"/>
      <w:r>
        <w:rPr>
          <w:rFonts w:hint="eastAsia" w:ascii="宋体" w:hAnsi="宋体" w:cs="宋体"/>
          <w:b/>
          <w:bCs/>
          <w:color w:val="auto"/>
          <w:sz w:val="24"/>
          <w:szCs w:val="24"/>
          <w:highlight w:val="none"/>
        </w:rPr>
        <w:t>41  质量与安全管理</w:t>
      </w:r>
      <w:bookmarkEnd w:id="849"/>
      <w:bookmarkEnd w:id="850"/>
      <w:bookmarkEnd w:id="851"/>
      <w:bookmarkEnd w:id="852"/>
      <w:bookmarkEnd w:id="853"/>
      <w:bookmarkEnd w:id="854"/>
      <w:bookmarkEnd w:id="855"/>
      <w:bookmarkEnd w:id="856"/>
      <w:bookmarkEnd w:id="857"/>
    </w:p>
    <w:p>
      <w:pPr>
        <w:tabs>
          <w:tab w:val="left" w:pos="78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41.1 </w:t>
      </w:r>
      <w:r>
        <w:rPr>
          <w:rFonts w:hint="eastAsia" w:ascii="宋体" w:hAnsi="宋体" w:cs="宋体"/>
          <w:b/>
          <w:bCs/>
          <w:color w:val="auto"/>
          <w:sz w:val="24"/>
          <w:szCs w:val="24"/>
          <w:highlight w:val="none"/>
        </w:rPr>
        <w:tab/>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270" name="文本框 270"/>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41.45pt;width:72pt;z-index:251826176;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Z8091QAAAAkBAAAP&#10;AAAAAAAAAAEAIAAAACIAAABkcnMvZG93bnJldi54bWxQSwECFAAUAAAACACHTuJA9MdUeh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宋体" w:hAnsi="宋体" w:cs="宋体"/>
          <w:color w:val="auto"/>
          <w:sz w:val="24"/>
          <w:szCs w:val="24"/>
          <w:highlight w:val="none"/>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41.2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269" name="文本框 269"/>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8pt;height:32.3pt;width:72pt;z-index:251827200;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LuJb1QAAAAgBAAAP&#10;AAAAAAAAAAEAIAAAACIAAABkcnMvZG93bnJldi54bWxQSwECFAAUAAAACACHTuJALxL1Xx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宋体" w:hAnsi="宋体" w:cs="宋体"/>
          <w:color w:val="auto"/>
          <w:sz w:val="24"/>
          <w:szCs w:val="24"/>
          <w:highlight w:val="none"/>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268" name="文本框 268"/>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85pt;height:27pt;width:72pt;z-index:251828224;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DO71wAAAAkBAAAP&#10;AAAAAAAAAAEAIAAAACIAAABkcnMvZG93bnJldi54bWxQSwECFAAUAAAACACHTuJAI2ZqcBkCAAAm&#10;BAAADgAAAAAAAAABACAAAAAm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hint="eastAsia" w:ascii="宋体" w:hAnsi="宋体" w:cs="宋体"/>
          <w:b/>
          <w:bCs/>
          <w:color w:val="auto"/>
          <w:sz w:val="24"/>
          <w:szCs w:val="24"/>
          <w:highlight w:val="none"/>
        </w:rPr>
        <w:t xml:space="preserve">41.3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29248"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267" name="文本框 267"/>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1pt;margin-top:22pt;height:30.7pt;width:72pt;z-index:251829248;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d2EEvWAAAACgEA&#10;AA8AAAAAAAAAAQAgAAAAIgAAAGRycy9kb3ducmV2LnhtbFBLAQIUABQAAAAIAIdO4kA14uDsHAIA&#10;ACYEAAAOAAAAAAAAAAEAIAAAACUBAABkcnMvZTJvRG9jLnhtbFBLBQYAAAAABgAGAFkBAACzBQAA&#10;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hint="eastAsia" w:ascii="宋体" w:hAnsi="宋体" w:cs="宋体"/>
          <w:b/>
          <w:bCs/>
          <w:color w:val="auto"/>
          <w:sz w:val="24"/>
          <w:szCs w:val="24"/>
          <w:highlight w:val="none"/>
        </w:rPr>
        <w:t xml:space="preserve">41.4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pPr>
        <w:adjustRightInd w:val="0"/>
        <w:snapToGrid w:val="0"/>
        <w:spacing w:line="360" w:lineRule="auto"/>
        <w:ind w:left="1619" w:leftChars="771"/>
        <w:rPr>
          <w:rFonts w:ascii="宋体" w:hAnsi="宋体" w:cs="宋体"/>
          <w:color w:val="auto"/>
          <w:kern w:val="0"/>
          <w:sz w:val="24"/>
          <w:szCs w:val="24"/>
          <w:highlight w:val="none"/>
        </w:rPr>
      </w:pPr>
      <w:r>
        <w:rPr>
          <w:rFonts w:hint="eastAsia" w:ascii="宋体" w:hAnsi="宋体" w:cs="宋体"/>
          <w:color w:val="auto"/>
          <w:kern w:val="0"/>
          <w:sz w:val="24"/>
          <w:szCs w:val="24"/>
          <w:highlight w:val="none"/>
        </w:rPr>
        <w:t>因承包人原因造成工程质量未达到合同约定标准的，发包人有权要求承包人返工直至工程质量达到合同约定的标准为止，并由承包人承担由此增加的费用和延误工期的责任。</w:t>
      </w:r>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41.5  </w:t>
      </w:r>
    </w:p>
    <w:p>
      <w:pPr>
        <w:autoSpaceDE w:val="0"/>
        <w:autoSpaceDN w:val="0"/>
        <w:adjustRightInd w:val="0"/>
        <w:spacing w:line="360" w:lineRule="auto"/>
        <w:ind w:left="1669" w:leftChars="795" w:firstLine="9"/>
        <w:jc w:val="left"/>
        <w:rPr>
          <w:rFonts w:ascii="宋体" w:hAnsi="宋体" w:cs="宋体"/>
          <w:color w:val="auto"/>
          <w:kern w:val="0"/>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266" name="文本框 266"/>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1pt;height:46.8pt;width:72pt;z-index:251830272;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tjQ0tUAAAAIAQAA&#10;DwAAAAAAAAABACAAAAAiAAAAZHJzL2Rvd25yZXYueG1sUEsBAhQAFAAAAAgAh07iQEbPmvAcAgAA&#10;JgQAAA4AAAAAAAAAAQAgAAAAJAEAAGRycy9lMm9Eb2MueG1sUEsFBgAAAAAGAAYAWQEAALIFAAAA&#10;AA==&#10;">
                <v:fill on="f" focussize="0,0"/>
                <v:stroke on="f"/>
                <v:imagedata o:title=""/>
                <o:lock v:ext="edit" aspectratio="f"/>
                <v:textbo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宋体" w:hAnsi="宋体" w:cs="宋体"/>
          <w:color w:val="auto"/>
          <w:kern w:val="0"/>
          <w:sz w:val="24"/>
          <w:szCs w:val="24"/>
          <w:highlight w:val="none"/>
        </w:rPr>
        <w:t>因发包人原因造成工程质量未达到合同约定标准的，由发包人承担由此增加的费用和延误工期的责任，增加的费用按本合同相关条款以及投标报价或预算的计价原则计算。</w:t>
      </w:r>
    </w:p>
    <w:p>
      <w:pPr>
        <w:autoSpaceDE w:val="0"/>
        <w:autoSpaceDN w:val="0"/>
        <w:adjustRightInd w:val="0"/>
        <w:spacing w:line="360" w:lineRule="auto"/>
        <w:jc w:val="left"/>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41.6 </w:t>
      </w:r>
    </w:p>
    <w:p>
      <w:pPr>
        <w:autoSpaceDE w:val="0"/>
        <w:autoSpaceDN w:val="0"/>
        <w:adjustRightInd w:val="0"/>
        <w:spacing w:line="360" w:lineRule="auto"/>
        <w:ind w:left="1661" w:leftChars="791" w:firstLine="16" w:firstLineChars="8"/>
        <w:jc w:val="left"/>
        <w:rPr>
          <w:rFonts w:ascii="宋体" w:hAnsi="宋体" w:cs="宋体"/>
          <w:color w:val="auto"/>
          <w:kern w:val="0"/>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265" name="文本框 265"/>
                <wp:cNvGraphicFramePr/>
                <a:graphic xmlns:a="http://schemas.openxmlformats.org/drawingml/2006/main">
                  <a:graphicData uri="http://schemas.microsoft.com/office/word/2010/wordprocessingShape">
                    <wps:wsp>
                      <wps:cNvSpPr txBox="1">
                        <a:spLocks noChangeArrowheads="1"/>
                      </wps:cNvSpPr>
                      <wps:spPr bwMode="auto">
                        <a:xfrm>
                          <a:off x="0" y="0"/>
                          <a:ext cx="800100" cy="495300"/>
                        </a:xfrm>
                        <a:prstGeom prst="rect">
                          <a:avLst/>
                        </a:prstGeom>
                        <a:noFill/>
                        <a:ln>
                          <a:noFill/>
                        </a:ln>
                        <a:effectLst/>
                      </wps:spPr>
                      <wps:txbx>
                        <w:txbxContent>
                          <w:p>
                            <w:pPr>
                              <w:rPr>
                                <w:color w:val="FF0000"/>
                              </w:rPr>
                            </w:pPr>
                            <w:r>
                              <w:rPr>
                                <w:rFonts w:hint="eastAsia" w:ascii="楷体_GB2312" w:hAnsi="宋体" w:eastAsia="楷体_GB2312" w:cs="楷体_GB2312"/>
                                <w:b/>
                                <w:bCs/>
                                <w:sz w:val="18"/>
                                <w:szCs w:val="18"/>
                              </w:rPr>
                              <w:t>监理人的质量检查和检验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pt;height:39pt;width:63pt;z-index:251831296;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iRsQTUAAAACAEAAA8A&#10;AAAAAAAAAQAgAAAAIgAAAGRycy9kb3ducmV2LnhtbFBLAQIUABQAAAAIAIdO4kBVmGeWGwIAACYE&#10;AAAOAAAAAAAAAAEAIAAAACMBAABkcnMvZTJvRG9jLnhtbFBLBQYAAAAABgAGAFkBAACwBQAAAAA=&#10;">
                <v:fill on="f" focussize="0,0"/>
                <v:stroke on="f"/>
                <v:imagedata o:title=""/>
                <o:lock v:ext="edit" aspectratio="f"/>
                <v:textbox>
                  <w:txbxContent>
                    <w:p>
                      <w:pPr>
                        <w:rPr>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宋体" w:hAnsi="宋体" w:cs="宋体"/>
          <w:color w:val="auto"/>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adjustRightInd w:val="0"/>
        <w:snapToGrid w:val="0"/>
        <w:spacing w:line="360" w:lineRule="auto"/>
        <w:rPr>
          <w:rFonts w:ascii="宋体" w:hAnsi="宋体" w:cs="宋体"/>
          <w:b/>
          <w:bCs/>
          <w:color w:val="auto"/>
          <w:sz w:val="24"/>
          <w:szCs w:val="24"/>
          <w:highlight w:val="none"/>
          <w:u w:val="single"/>
        </w:rPr>
      </w:pPr>
    </w:p>
    <w:p>
      <w:pPr>
        <w:adjustRightInd w:val="0"/>
        <w:snapToGrid w:val="0"/>
        <w:spacing w:line="360" w:lineRule="auto"/>
        <w:outlineLvl w:val="2"/>
        <w:rPr>
          <w:rFonts w:ascii="宋体" w:hAnsi="宋体" w:cs="宋体"/>
          <w:b/>
          <w:bCs/>
          <w:color w:val="auto"/>
          <w:sz w:val="24"/>
          <w:szCs w:val="24"/>
          <w:highlight w:val="none"/>
        </w:rPr>
      </w:pPr>
      <w:bookmarkStart w:id="858" w:name="_Toc2491"/>
      <w:bookmarkStart w:id="859" w:name="_Toc469384025"/>
      <w:bookmarkStart w:id="860" w:name="_Toc18231"/>
      <w:bookmarkStart w:id="861" w:name="_Toc1312766274"/>
      <w:bookmarkStart w:id="862" w:name="_Toc7893"/>
      <w:bookmarkStart w:id="863" w:name="_Toc23925"/>
      <w:bookmarkStart w:id="864" w:name="_Toc27163"/>
      <w:bookmarkStart w:id="865" w:name="_Toc27711"/>
      <w:bookmarkStart w:id="866" w:name="_Toc1592488619"/>
      <w:r>
        <w:rPr>
          <w:rFonts w:hint="eastAsia" w:ascii="宋体" w:hAnsi="宋体" w:cs="宋体"/>
          <w:b/>
          <w:bCs/>
          <w:color w:val="auto"/>
          <w:sz w:val="24"/>
          <w:szCs w:val="24"/>
          <w:highlight w:val="none"/>
        </w:rPr>
        <w:t>42  质量标准</w:t>
      </w:r>
      <w:bookmarkEnd w:id="858"/>
      <w:bookmarkEnd w:id="859"/>
      <w:bookmarkEnd w:id="860"/>
      <w:bookmarkEnd w:id="861"/>
      <w:bookmarkEnd w:id="862"/>
      <w:bookmarkEnd w:id="863"/>
      <w:bookmarkEnd w:id="864"/>
      <w:bookmarkEnd w:id="865"/>
      <w:bookmarkEnd w:id="866"/>
    </w:p>
    <w:p>
      <w:pPr>
        <w:adjustRightInd w:val="0"/>
        <w:snapToGrid w:val="0"/>
        <w:spacing w:line="360" w:lineRule="auto"/>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42.1 </w:t>
      </w:r>
    </w:p>
    <w:p>
      <w:pPr>
        <w:adjustRightInd w:val="0"/>
        <w:snapToGrid w:val="0"/>
        <w:spacing w:line="360" w:lineRule="auto"/>
        <w:ind w:left="1619" w:leftChars="771"/>
        <w:jc w:val="left"/>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264" name="文本框 264"/>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0.7pt;width:72pt;z-index:251832320;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IwP89UAAAAIAQAA&#10;DwAAAAAAAAABACAAAAAiAAAAZHJzL2Rvd25yZXYueG1sUEsBAhQAFAAAAAgAh07iQLmCOOEcAgAA&#10;JgQAAA4AAAAAAAAAAQAgAAAAJAEAAGRycy9lMm9Eb2MueG1sUEsFBgAAAAAGAAYAWQEAALIFAAAA&#10;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宋体" w:hAnsi="宋体" w:cs="宋体"/>
          <w:color w:val="auto"/>
          <w:sz w:val="24"/>
          <w:szCs w:val="24"/>
          <w:highlight w:val="none"/>
        </w:rPr>
        <w:t>合同双方当事人应在专用条款中约定工程质量标准，但不得低于国家或行业的强制性标准。工程质量应当达到专用条款约定的质量标准。</w:t>
      </w:r>
    </w:p>
    <w:p>
      <w:pPr>
        <w:adjustRightInd w:val="0"/>
        <w:snapToGrid w:val="0"/>
        <w:spacing w:line="360" w:lineRule="auto"/>
        <w:ind w:left="1619" w:leftChars="771"/>
        <w:jc w:val="left"/>
        <w:rPr>
          <w:rFonts w:ascii="宋体" w:hAnsi="宋体" w:cs="宋体"/>
          <w:color w:val="auto"/>
          <w:sz w:val="24"/>
          <w:szCs w:val="24"/>
          <w:highlight w:val="none"/>
        </w:rPr>
      </w:pPr>
      <w:r>
        <w:rPr>
          <w:rFonts w:hint="eastAsia" w:ascii="宋体" w:hAnsi="宋体" w:cs="宋体"/>
          <w:color w:val="auto"/>
          <w:sz w:val="24"/>
          <w:szCs w:val="24"/>
          <w:highlight w:val="none"/>
        </w:rPr>
        <w:t>工程质量验收，按照合同约定的标准执行；合同没有约定的，按照国家或行业的质量验收标准执行。</w:t>
      </w:r>
    </w:p>
    <w:p>
      <w:pPr>
        <w:adjustRightInd w:val="0"/>
        <w:snapToGrid w:val="0"/>
        <w:spacing w:line="360" w:lineRule="auto"/>
        <w:jc w:val="left"/>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263" name="文本框 263"/>
                <wp:cNvGraphicFramePr/>
                <a:graphic xmlns:a="http://schemas.openxmlformats.org/drawingml/2006/main">
                  <a:graphicData uri="http://schemas.microsoft.com/office/word/2010/wordprocessingShape">
                    <wps:wsp>
                      <wps:cNvSpPr txBox="1">
                        <a:spLocks noChangeArrowheads="1"/>
                      </wps:cNvSpPr>
                      <wps:spPr bwMode="auto">
                        <a:xfrm>
                          <a:off x="0" y="0"/>
                          <a:ext cx="977900" cy="471805"/>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2pt;height:37.15pt;width:77pt;z-index:251833344;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fVgi/XAAAA&#10;CgEAAA8AAAAAAAAAAQAgAAAAIgAAAGRycy9kb3ducmV2LnhtbFBLAQIUABQAAAAIAIdO4kAy8LWW&#10;HgIAACYEAAAOAAAAAAAAAAEAIAAAACYBAABkcnMvZTJvRG9jLnhtbFBLBQYAAAAABgAGAFkBAAC2&#10;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hint="eastAsia" w:ascii="宋体" w:hAnsi="宋体" w:cs="宋体"/>
          <w:b/>
          <w:bCs/>
          <w:color w:val="auto"/>
          <w:sz w:val="24"/>
          <w:szCs w:val="24"/>
          <w:highlight w:val="none"/>
        </w:rPr>
        <w:t>42.2</w:t>
      </w:r>
    </w:p>
    <w:p>
      <w:pPr>
        <w:adjustRightInd w:val="0"/>
        <w:snapToGrid w:val="0"/>
        <w:spacing w:line="360" w:lineRule="auto"/>
        <w:ind w:left="1678" w:leftChars="799"/>
        <w:jc w:val="left"/>
        <w:rPr>
          <w:rFonts w:ascii="宋体" w:hAnsi="宋体" w:cs="宋体"/>
          <w:color w:val="auto"/>
          <w:sz w:val="24"/>
          <w:szCs w:val="24"/>
          <w:highlight w:val="none"/>
        </w:rPr>
      </w:pPr>
      <w:r>
        <w:rPr>
          <w:rFonts w:hint="eastAsia" w:ascii="宋体" w:hAnsi="宋体" w:cs="宋体"/>
          <w:color w:val="auto"/>
          <w:sz w:val="24"/>
          <w:szCs w:val="24"/>
          <w:highlight w:val="none"/>
        </w:rPr>
        <w:t>承包人对合同工程的质量向发包人负责，其职责包括但不限于下列内容：</w:t>
      </w:r>
    </w:p>
    <w:p>
      <w:pPr>
        <w:adjustRightInd w:val="0"/>
        <w:snapToGrid w:val="0"/>
        <w:spacing w:line="360" w:lineRule="auto"/>
        <w:ind w:left="1678" w:leftChars="799"/>
        <w:jc w:val="left"/>
        <w:rPr>
          <w:rFonts w:ascii="宋体" w:hAnsi="宋体" w:cs="宋体"/>
          <w:color w:val="auto"/>
          <w:sz w:val="24"/>
          <w:szCs w:val="24"/>
          <w:highlight w:val="none"/>
        </w:rPr>
      </w:pPr>
      <w:r>
        <w:rPr>
          <w:rFonts w:hint="eastAsia" w:ascii="宋体" w:hAnsi="宋体" w:cs="宋体"/>
          <w:color w:val="auto"/>
          <w:sz w:val="24"/>
          <w:szCs w:val="24"/>
          <w:highlight w:val="none"/>
        </w:rPr>
        <w:t>(1) 编制施工技术方案，确定施工技术措施；</w:t>
      </w:r>
    </w:p>
    <w:p>
      <w:pPr>
        <w:adjustRightInd w:val="0"/>
        <w:snapToGrid w:val="0"/>
        <w:spacing w:line="360" w:lineRule="auto"/>
        <w:ind w:left="1678" w:leftChars="799"/>
        <w:jc w:val="left"/>
        <w:rPr>
          <w:rFonts w:ascii="宋体" w:hAnsi="宋体" w:cs="宋体"/>
          <w:color w:val="auto"/>
          <w:sz w:val="24"/>
          <w:szCs w:val="24"/>
          <w:highlight w:val="none"/>
        </w:rPr>
      </w:pPr>
      <w:r>
        <w:rPr>
          <w:rFonts w:hint="eastAsia" w:ascii="宋体" w:hAnsi="宋体" w:cs="宋体"/>
          <w:color w:val="auto"/>
          <w:sz w:val="24"/>
          <w:szCs w:val="24"/>
          <w:highlight w:val="none"/>
        </w:rPr>
        <w:t>(2) 提供和组织足够的工程技术人员，检查和控制工程施工质量；</w:t>
      </w:r>
    </w:p>
    <w:p>
      <w:pPr>
        <w:adjustRightInd w:val="0"/>
        <w:snapToGrid w:val="0"/>
        <w:spacing w:line="360" w:lineRule="auto"/>
        <w:ind w:left="1678" w:leftChars="799"/>
        <w:jc w:val="left"/>
        <w:rPr>
          <w:rFonts w:ascii="宋体" w:hAnsi="宋体" w:cs="宋体"/>
          <w:color w:val="auto"/>
          <w:sz w:val="24"/>
          <w:szCs w:val="24"/>
          <w:highlight w:val="none"/>
        </w:rPr>
      </w:pPr>
      <w:r>
        <w:rPr>
          <w:rFonts w:hint="eastAsia" w:ascii="宋体" w:hAnsi="宋体" w:cs="宋体"/>
          <w:color w:val="auto"/>
          <w:sz w:val="24"/>
          <w:szCs w:val="24"/>
          <w:highlight w:val="none"/>
        </w:rPr>
        <w:t>(3) 控制施工所用的材料和工程设备，使其符合标准与规范、设计要求及合同约定的标准；</w:t>
      </w:r>
    </w:p>
    <w:p>
      <w:pPr>
        <w:tabs>
          <w:tab w:val="right" w:pos="9864"/>
        </w:tabs>
        <w:adjustRightInd w:val="0"/>
        <w:snapToGrid w:val="0"/>
        <w:spacing w:line="360" w:lineRule="auto"/>
        <w:ind w:left="1678" w:leftChars="799"/>
        <w:jc w:val="left"/>
        <w:rPr>
          <w:rFonts w:ascii="宋体" w:hAnsi="宋体" w:cs="宋体"/>
          <w:color w:val="auto"/>
          <w:sz w:val="24"/>
          <w:szCs w:val="24"/>
          <w:highlight w:val="none"/>
        </w:rPr>
      </w:pPr>
      <w:r>
        <w:rPr>
          <w:rFonts w:hint="eastAsia" w:ascii="宋体" w:hAnsi="宋体" w:cs="宋体"/>
          <w:color w:val="auto"/>
          <w:sz w:val="24"/>
          <w:szCs w:val="24"/>
          <w:highlight w:val="none"/>
        </w:rPr>
        <w:t>(4) 负责合同工程施工中出现质量问题或竣工验收不合格的返修工作；</w:t>
      </w:r>
    </w:p>
    <w:p>
      <w:pPr>
        <w:adjustRightInd w:val="0"/>
        <w:snapToGrid w:val="0"/>
        <w:spacing w:line="360" w:lineRule="auto"/>
        <w:ind w:left="1678" w:leftChars="799"/>
        <w:jc w:val="left"/>
        <w:rPr>
          <w:rFonts w:ascii="宋体" w:hAnsi="宋体" w:cs="宋体"/>
          <w:color w:val="auto"/>
          <w:sz w:val="24"/>
          <w:szCs w:val="24"/>
          <w:highlight w:val="none"/>
        </w:rPr>
      </w:pPr>
      <w:r>
        <w:rPr>
          <w:rFonts w:hint="eastAsia" w:ascii="宋体" w:hAnsi="宋体" w:cs="宋体"/>
          <w:color w:val="auto"/>
          <w:sz w:val="24"/>
          <w:szCs w:val="24"/>
          <w:highlight w:val="none"/>
        </w:rPr>
        <w:t>(5) 参加合同工程的所有验收工作，包括隐蔽验收、中间验收；参加竣工验收，组织分包人参加工程验收工作；</w:t>
      </w:r>
    </w:p>
    <w:p>
      <w:pPr>
        <w:adjustRightInd w:val="0"/>
        <w:snapToGrid w:val="0"/>
        <w:spacing w:line="360" w:lineRule="auto"/>
        <w:ind w:left="1678" w:leftChars="799"/>
        <w:jc w:val="left"/>
        <w:rPr>
          <w:rFonts w:ascii="宋体" w:hAnsi="宋体" w:cs="宋体"/>
          <w:color w:val="auto"/>
          <w:sz w:val="24"/>
          <w:szCs w:val="24"/>
          <w:highlight w:val="none"/>
        </w:rPr>
      </w:pPr>
      <w:r>
        <w:rPr>
          <w:rFonts w:hint="eastAsia" w:ascii="宋体" w:hAnsi="宋体" w:cs="宋体"/>
          <w:color w:val="auto"/>
          <w:sz w:val="24"/>
          <w:szCs w:val="24"/>
          <w:highlight w:val="none"/>
        </w:rPr>
        <w:t>(6) 承担质量保修期的工程保修责任；</w:t>
      </w:r>
    </w:p>
    <w:p>
      <w:pPr>
        <w:adjustRightInd w:val="0"/>
        <w:snapToGrid w:val="0"/>
        <w:spacing w:line="360" w:lineRule="auto"/>
        <w:ind w:left="1678" w:leftChars="799"/>
        <w:jc w:val="left"/>
        <w:rPr>
          <w:rFonts w:ascii="宋体" w:hAnsi="宋体" w:cs="宋体"/>
          <w:color w:val="auto"/>
          <w:sz w:val="24"/>
          <w:szCs w:val="24"/>
          <w:highlight w:val="none"/>
        </w:rPr>
      </w:pPr>
      <w:r>
        <w:rPr>
          <w:rFonts w:hint="eastAsia" w:ascii="宋体" w:hAnsi="宋体" w:cs="宋体"/>
          <w:color w:val="auto"/>
          <w:sz w:val="24"/>
          <w:szCs w:val="24"/>
          <w:highlight w:val="none"/>
        </w:rPr>
        <w:t>(7) 承担其他工程质量责任。</w:t>
      </w:r>
    </w:p>
    <w:p>
      <w:pPr>
        <w:adjustRightInd w:val="0"/>
        <w:snapToGrid w:val="0"/>
        <w:spacing w:line="360" w:lineRule="auto"/>
        <w:jc w:val="left"/>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262" name="文本框 262"/>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95pt;height:19.35pt;width:81pt;z-index:251834368;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LMCsPWAAAACQEA&#10;AA8AAAAAAAAAAQAgAAAAIgAAAGRycy9kb3ducmV2LnhtbFBLAQIUABQAAAAIAIdO4kD5gTMaHAIA&#10;ACcEAAAOAAAAAAAAAAEAIAAAACUBAABkcnMvZTJvRG9jLnhtbFBLBQYAAAAABgAGAFkBAACzBQAA&#10;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宋体" w:hAnsi="宋体" w:cs="宋体"/>
          <w:b/>
          <w:bCs/>
          <w:color w:val="auto"/>
          <w:sz w:val="24"/>
          <w:szCs w:val="24"/>
          <w:highlight w:val="none"/>
        </w:rPr>
        <w:t xml:space="preserve">42.3 </w:t>
      </w:r>
    </w:p>
    <w:p>
      <w:pPr>
        <w:tabs>
          <w:tab w:val="left" w:pos="0"/>
        </w:tabs>
        <w:adjustRightInd w:val="0"/>
        <w:snapToGrid w:val="0"/>
        <w:spacing w:line="400" w:lineRule="exact"/>
        <w:ind w:left="1680" w:leftChars="800"/>
        <w:rPr>
          <w:rFonts w:ascii="宋体" w:hAnsi="宋体" w:cs="宋体"/>
          <w:color w:val="auto"/>
          <w:sz w:val="24"/>
          <w:szCs w:val="20"/>
          <w:highlight w:val="none"/>
        </w:rPr>
      </w:pPr>
      <w:r>
        <w:rPr>
          <w:rFonts w:hint="eastAsia" w:ascii="宋体" w:hAnsi="宋体" w:cs="宋体"/>
          <w:color w:val="auto"/>
          <w:sz w:val="24"/>
          <w:szCs w:val="20"/>
          <w:highlight w:val="none"/>
        </w:rPr>
        <w:t>承包人应建立健全完善的质量保证体系。</w:t>
      </w:r>
    </w:p>
    <w:p>
      <w:pPr>
        <w:autoSpaceDE w:val="0"/>
        <w:autoSpaceDN w:val="0"/>
        <w:adjustRightInd w:val="0"/>
        <w:spacing w:line="360" w:lineRule="auto"/>
        <w:ind w:left="1680" w:leftChars="8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（1）承包人应向发包人和监理人提交工程质量保证体系及措施文件，建立完善的质量检查制度，并提交相应的工程质量文件。对于发包人和监理人违反法律规定和合同约定的错误指示，承包人有权拒绝实施。</w:t>
      </w:r>
    </w:p>
    <w:p>
      <w:pPr>
        <w:tabs>
          <w:tab w:val="left" w:pos="0"/>
        </w:tabs>
        <w:adjustRightInd w:val="0"/>
        <w:snapToGrid w:val="0"/>
        <w:spacing w:line="400" w:lineRule="exact"/>
        <w:ind w:left="1680" w:leftChars="800"/>
        <w:rPr>
          <w:rFonts w:ascii="宋体" w:hAnsi="宋体" w:cs="宋体"/>
          <w:color w:val="auto"/>
          <w:kern w:val="0"/>
          <w:sz w:val="24"/>
          <w:szCs w:val="20"/>
          <w:highlight w:val="none"/>
        </w:rPr>
      </w:pPr>
      <w:r>
        <w:rPr>
          <w:rFonts w:hint="eastAsia" w:ascii="宋体" w:hAnsi="宋体" w:cs="宋体"/>
          <w:color w:val="auto"/>
          <w:kern w:val="0"/>
          <w:sz w:val="24"/>
          <w:szCs w:val="20"/>
          <w:highlight w:val="none"/>
        </w:rPr>
        <w:t>（2）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w:t>
      </w:r>
      <w:r>
        <w:rPr>
          <w:rFonts w:hint="eastAsia" w:ascii="宋体" w:hAnsi="宋体" w:cs="宋体"/>
          <w:color w:val="auto"/>
          <w:kern w:val="0"/>
          <w:sz w:val="24"/>
          <w:szCs w:val="20"/>
          <w:highlight w:val="none"/>
          <w:lang w:eastAsia="zh-CN"/>
        </w:rPr>
        <w:t>。</w:t>
      </w:r>
      <w:r>
        <w:rPr>
          <w:rFonts w:hint="eastAsia" w:ascii="宋体" w:hAnsi="宋体" w:cs="宋体"/>
          <w:color w:val="auto"/>
          <w:kern w:val="0"/>
          <w:sz w:val="24"/>
          <w:szCs w:val="20"/>
          <w:highlight w:val="none"/>
        </w:rPr>
        <w:t>即使承包人遵守质量保证体系，也不能免除其按照合同约定应承担的任何责任和应履行的任何义务。</w:t>
      </w:r>
    </w:p>
    <w:p>
      <w:pPr>
        <w:adjustRightInd w:val="0"/>
        <w:snapToGrid w:val="0"/>
        <w:spacing w:line="360" w:lineRule="auto"/>
        <w:jc w:val="left"/>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261" name="文本框 261"/>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75pt;height:35.4pt;width:76.2pt;z-index:251835392;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GJKsvYAAAA&#10;CgEAAA8AAAAAAAAAAQAgAAAAIgAAAGRycy9kb3ducmV2LnhtbFBLAQIUABQAAAAIAIdO4kDgPZsK&#10;HQIAACYEAAAOAAAAAAAAAAEAIAAAACcBAABkcnMvZTJvRG9jLnhtbFBLBQYAAAAABgAGAFkBAAC2&#10;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宋体" w:hAnsi="宋体" w:cs="宋体"/>
          <w:b/>
          <w:bCs/>
          <w:color w:val="auto"/>
          <w:sz w:val="24"/>
          <w:szCs w:val="24"/>
          <w:highlight w:val="none"/>
        </w:rPr>
        <w:t xml:space="preserve">42.4 </w:t>
      </w:r>
    </w:p>
    <w:p>
      <w:pPr>
        <w:adjustRightInd w:val="0"/>
        <w:snapToGrid w:val="0"/>
        <w:spacing w:line="360" w:lineRule="auto"/>
        <w:ind w:left="1619" w:leftChars="771"/>
        <w:jc w:val="left"/>
        <w:rPr>
          <w:rFonts w:ascii="宋体" w:hAnsi="宋体" w:cs="宋体"/>
          <w:color w:val="auto"/>
          <w:sz w:val="24"/>
          <w:szCs w:val="24"/>
          <w:highlight w:val="none"/>
        </w:rPr>
      </w:pPr>
      <w:r>
        <w:rPr>
          <w:rFonts w:hint="eastAsia" w:ascii="宋体" w:hAnsi="宋体" w:cs="宋体"/>
          <w:color w:val="auto"/>
          <w:sz w:val="24"/>
          <w:szCs w:val="24"/>
          <w:highlight w:val="none"/>
        </w:rPr>
        <w:t>合同双方当事人对工程质量有争议的，按照第86.4款规定调解或认定，所需的费用及由此造成的损失，由责任方承担。双方均有责任的，由双方根据其责任划分分别承担。</w:t>
      </w:r>
    </w:p>
    <w:p>
      <w:pPr>
        <w:adjustRightInd w:val="0"/>
        <w:snapToGrid w:val="0"/>
        <w:spacing w:line="360" w:lineRule="auto"/>
        <w:ind w:left="1619" w:leftChars="771"/>
        <w:jc w:val="left"/>
        <w:rPr>
          <w:rFonts w:ascii="宋体" w:hAnsi="宋体" w:cs="宋体"/>
          <w:color w:val="auto"/>
          <w:sz w:val="24"/>
          <w:szCs w:val="24"/>
          <w:highlight w:val="none"/>
        </w:rPr>
      </w:pPr>
    </w:p>
    <w:p>
      <w:pPr>
        <w:tabs>
          <w:tab w:val="left" w:pos="1620"/>
        </w:tabs>
        <w:adjustRightInd w:val="0"/>
        <w:snapToGrid w:val="0"/>
        <w:spacing w:line="360" w:lineRule="auto"/>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color w:val="auto"/>
          <w:kern w:val="0"/>
          <w:sz w:val="24"/>
          <w:szCs w:val="24"/>
          <w:highlight w:val="none"/>
        </w:rPr>
      </w:pPr>
      <w:bookmarkStart w:id="867" w:name="_Toc415777840"/>
      <w:bookmarkStart w:id="868" w:name="_Toc7186"/>
      <w:bookmarkStart w:id="869" w:name="_Toc27341"/>
      <w:bookmarkStart w:id="870" w:name="_Toc28130"/>
      <w:bookmarkStart w:id="871" w:name="_Toc469384026"/>
      <w:bookmarkStart w:id="872" w:name="_Toc6147"/>
      <w:bookmarkStart w:id="873" w:name="_Toc26373"/>
      <w:bookmarkStart w:id="874" w:name="_Toc867526972"/>
      <w:bookmarkStart w:id="875" w:name="_Toc28431"/>
      <w:r>
        <w:rPr>
          <w:rFonts w:hint="eastAsia" w:ascii="宋体" w:hAnsi="宋体" w:cs="宋体"/>
          <w:color w:val="auto"/>
          <w:kern w:val="0"/>
          <w:sz w:val="24"/>
          <w:szCs w:val="24"/>
          <w:highlight w:val="none"/>
        </w:rPr>
        <w:t>43  工程质量创优</w:t>
      </w:r>
      <w:bookmarkEnd w:id="867"/>
      <w:bookmarkEnd w:id="868"/>
      <w:bookmarkEnd w:id="869"/>
      <w:bookmarkEnd w:id="870"/>
      <w:bookmarkEnd w:id="871"/>
      <w:bookmarkEnd w:id="872"/>
      <w:bookmarkEnd w:id="873"/>
      <w:bookmarkEnd w:id="874"/>
      <w:bookmarkEnd w:id="875"/>
    </w:p>
    <w:p>
      <w:pPr>
        <w:spacing w:line="360" w:lineRule="auto"/>
        <w:rPr>
          <w:rFonts w:ascii="宋体" w:hAnsi="宋体" w:cs="宋体"/>
          <w:b/>
          <w:bCs/>
          <w:caps/>
          <w:color w:val="auto"/>
          <w:sz w:val="24"/>
          <w:szCs w:val="24"/>
          <w:highlight w:val="none"/>
        </w:rPr>
      </w:pPr>
      <w:r>
        <w:rPr>
          <w:rFonts w:hint="eastAsia" w:ascii="宋体" w:hAnsi="宋体" w:cs="宋体"/>
          <w:b/>
          <w:bCs/>
          <w:caps/>
          <w:color w:val="auto"/>
          <w:sz w:val="24"/>
          <w:szCs w:val="24"/>
          <w:highlight w:val="none"/>
        </w:rPr>
        <w:t>43.1</w:t>
      </w:r>
    </w:p>
    <w:p>
      <w:pPr>
        <w:spacing w:line="360" w:lineRule="auto"/>
        <w:ind w:left="1619" w:leftChars="771"/>
        <w:rPr>
          <w:rFonts w:ascii="宋体" w:hAnsi="宋体" w:cs="宋体"/>
          <w:cap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260" name="文本框 26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pt;height:39pt;width:72pt;z-index:251836416;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4QPvtUAAAAIAQAADwAA&#10;AAAAAAABACAAAAAiAAAAZHJzL2Rvd25yZXYueG1sUEsBAhQAFAAAAAgAh07iQAafe3QZAgAAJgQA&#10;AA4AAAAAAAAAAQAgAAAAJAEAAGRycy9lMm9Eb2MueG1sUEsFBgAAAAAGAAYAWQEAAK8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宋体" w:hAnsi="宋体" w:cs="宋体"/>
          <w:caps/>
          <w:color w:val="auto"/>
          <w:sz w:val="24"/>
          <w:szCs w:val="24"/>
          <w:highlight w:val="none"/>
        </w:rPr>
        <w:t>发包人应配合承包人加强合同工程质量与施工安全管理，鼓励承包人实施合同工程质量创优。对于合同工程质量标准高于国家规定或合同约定的质量验收合格标准的，应按照第67条规定向承包人支付工程优质费。</w:t>
      </w:r>
    </w:p>
    <w:p>
      <w:pPr>
        <w:spacing w:line="360" w:lineRule="auto"/>
        <w:rPr>
          <w:rFonts w:ascii="宋体" w:hAnsi="宋体" w:cs="宋体"/>
          <w:b/>
          <w:bCs/>
          <w:caps/>
          <w:color w:val="auto"/>
          <w:sz w:val="24"/>
          <w:szCs w:val="24"/>
          <w:highlight w:val="none"/>
        </w:rPr>
      </w:pPr>
      <w:r>
        <w:rPr>
          <w:rFonts w:hint="eastAsia" w:ascii="宋体" w:hAnsi="宋体" w:cs="宋体"/>
          <w:b/>
          <w:bCs/>
          <w:color w:val="auto"/>
          <w:sz w:val="24"/>
          <w:szCs w:val="24"/>
          <w:highlight w:val="none"/>
        </w:rPr>
        <w:t xml:space="preserve">43.2 </w:t>
      </w:r>
    </w:p>
    <w:p>
      <w:pPr>
        <w:spacing w:line="360" w:lineRule="auto"/>
        <w:ind w:left="1619" w:leftChars="771"/>
        <w:rPr>
          <w:rFonts w:ascii="宋体" w:hAnsi="宋体" w:cs="宋体"/>
          <w:cap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259" name="文本框 25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45pt;height:39pt;width:72pt;z-index:251837440;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HDXzdcAAAAKAQAA&#10;DwAAAAAAAAABACAAAAAiAAAAZHJzL2Rvd25yZXYueG1sUEsBAhQAFAAAAAgAh07iQMmrcbEaAgAA&#10;JgQAAA4AAAAAAAAAAQAgAAAAJgEAAGRycy9lMm9Eb2MueG1sUEsFBgAAAAAGAAYAWQEAALIFAAAA&#10;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宋体" w:hAnsi="宋体" w:cs="宋体"/>
          <w:caps/>
          <w:color w:val="auto"/>
          <w:sz w:val="24"/>
          <w:szCs w:val="24"/>
          <w:highlight w:val="none"/>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line="360" w:lineRule="auto"/>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876" w:name="_Toc1259338921"/>
      <w:bookmarkStart w:id="877" w:name="_Toc28973"/>
      <w:bookmarkStart w:id="878" w:name="_Toc7905"/>
      <w:bookmarkStart w:id="879" w:name="_Toc1768"/>
      <w:bookmarkStart w:id="880" w:name="_Toc15272"/>
      <w:bookmarkStart w:id="881" w:name="_Toc469384027"/>
      <w:bookmarkStart w:id="882" w:name="_Toc1453"/>
      <w:bookmarkStart w:id="883" w:name="_Toc9403"/>
      <w:bookmarkStart w:id="884" w:name="_Toc66369542"/>
      <w:r>
        <w:rPr>
          <w:rFonts w:hint="eastAsia" w:ascii="宋体" w:hAnsi="宋体" w:cs="宋体"/>
          <w:b/>
          <w:bCs/>
          <w:color w:val="auto"/>
          <w:sz w:val="24"/>
          <w:szCs w:val="24"/>
          <w:highlight w:val="none"/>
        </w:rPr>
        <w:t>44  工程的照管</w:t>
      </w:r>
      <w:bookmarkEnd w:id="876"/>
      <w:bookmarkEnd w:id="877"/>
      <w:bookmarkEnd w:id="878"/>
      <w:bookmarkEnd w:id="879"/>
      <w:bookmarkEnd w:id="880"/>
      <w:bookmarkEnd w:id="881"/>
      <w:bookmarkEnd w:id="882"/>
      <w:bookmarkEnd w:id="883"/>
      <w:bookmarkEnd w:id="884"/>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258" name="文本框 258"/>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8pt;height:20.2pt;width:63pt;z-index:251838464;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goMTVAAAACQEA&#10;AA8AAAAAAAAAAQAgAAAAIgAAAGRycy9kb3ducmV2LnhtbFBLAQIUABQAAAAIAIdO4kCXlQKuHQIA&#10;ACYEAAAOAAAAAAAAAAEAIAAAACQBAABkcnMvZTJvRG9jLnhtbFBLBQYAAAAABgAGAFkBAACzBQAA&#10;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宋体" w:hAnsi="宋体" w:cs="宋体"/>
          <w:b/>
          <w:bCs/>
          <w:color w:val="auto"/>
          <w:sz w:val="24"/>
          <w:szCs w:val="24"/>
          <w:highlight w:val="none"/>
        </w:rPr>
        <w:t xml:space="preserve">44.1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从开工之日起，承包人应全面负责照管合同工程及运至现场将用于和安装在合同工程中的材料和工程设备，直到合同双方当事人确认工程移交之日止。此后，工程的照管即转由发包人负责。</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pPr>
        <w:adjustRightInd w:val="0"/>
        <w:snapToGrid w:val="0"/>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257" name="文本框 257"/>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8pt;height:56.55pt;width:72pt;z-index:251839488;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GysXNgAAAAK&#10;AQAADwAAAAAAAAABACAAAAAiAAAAZHJzL2Rvd25yZXYueG1sUEsBAhQAFAAAAAgAh07iQBnzy1Ec&#10;AgAAJgQAAA4AAAAAAAAAAQAgAAAAJwEAAGRycy9lMm9Eb2MueG1sUEsFBgAAAAAGAAYAWQEAALUF&#10;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hint="eastAsia" w:ascii="宋体" w:hAnsi="宋体" w:cs="宋体"/>
          <w:b/>
          <w:bCs/>
          <w:color w:val="auto"/>
          <w:sz w:val="24"/>
          <w:szCs w:val="24"/>
          <w:highlight w:val="none"/>
        </w:rPr>
        <w:t>44.2</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承包人在负责工程照管期间，如因自身原因造成合同工程或其任何部分，以及材料和工程设备或临时工程的损坏，承包人应自费修复上述损坏，保证合同工程质量达到合同约定的标准。</w:t>
      </w:r>
    </w:p>
    <w:p>
      <w:pPr>
        <w:adjustRightInd w:val="0"/>
        <w:snapToGrid w:val="0"/>
        <w:spacing w:line="24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885" w:name="_Toc469384028"/>
      <w:bookmarkStart w:id="886" w:name="_Toc28253"/>
      <w:bookmarkStart w:id="887" w:name="_Toc928879601"/>
      <w:bookmarkStart w:id="888" w:name="_Toc19406"/>
      <w:bookmarkStart w:id="889" w:name="_Toc6447"/>
      <w:bookmarkStart w:id="890" w:name="_Toc110420415"/>
      <w:bookmarkStart w:id="891" w:name="_Toc15207"/>
      <w:bookmarkStart w:id="892" w:name="_Toc7146"/>
      <w:bookmarkStart w:id="893" w:name="_Toc28625"/>
      <w:r>
        <w:rPr>
          <w:rFonts w:hint="eastAsia" w:ascii="宋体" w:hAnsi="宋体" w:cs="宋体"/>
          <w:b/>
          <w:bCs/>
          <w:color w:val="auto"/>
          <w:sz w:val="24"/>
          <w:szCs w:val="24"/>
          <w:highlight w:val="none"/>
        </w:rPr>
        <w:t xml:space="preserve">45  </w:t>
      </w:r>
      <w:bookmarkEnd w:id="885"/>
      <w:r>
        <w:rPr>
          <w:rFonts w:hint="eastAsia" w:ascii="宋体" w:hAnsi="宋体" w:cs="宋体"/>
          <w:b/>
          <w:bCs/>
          <w:color w:val="auto"/>
          <w:sz w:val="24"/>
          <w:szCs w:val="24"/>
          <w:highlight w:val="none"/>
        </w:rPr>
        <w:t>绿色施工安全防护</w:t>
      </w:r>
      <w:bookmarkEnd w:id="886"/>
      <w:bookmarkEnd w:id="887"/>
      <w:bookmarkEnd w:id="888"/>
      <w:bookmarkEnd w:id="889"/>
      <w:bookmarkEnd w:id="890"/>
      <w:bookmarkEnd w:id="891"/>
      <w:bookmarkEnd w:id="892"/>
      <w:bookmarkEnd w:id="893"/>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256" name="文本框 256"/>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6pt;height:54.25pt;width:77pt;z-index:251840512;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0RPYAAAA&#10;CgEAAA8AAAAAAAAAAQAgAAAAIgAAAGRycy9kb3ducmV2LnhtbFBLAQIUABQAAAAIAIdO4kDS9+62&#10;HQIAACYEAAAOAAAAAAAAAAEAIAAAACcBAABkcnMvZTJvRG9jLnhtbFBLBQYAAAAABgAGAFkBAAC2&#10;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hint="eastAsia" w:ascii="宋体" w:hAnsi="宋体" w:cs="宋体"/>
          <w:b/>
          <w:bCs/>
          <w:color w:val="auto"/>
          <w:sz w:val="24"/>
          <w:szCs w:val="24"/>
          <w:highlight w:val="none"/>
        </w:rPr>
        <w:t xml:space="preserve">45.1 </w:t>
      </w:r>
      <w:r>
        <w:rPr>
          <w:rFonts w:hint="eastAsia" w:ascii="宋体" w:hAnsi="宋体" w:cs="宋体"/>
          <w:b/>
          <w:bCs/>
          <w:color w:val="auto"/>
          <w:sz w:val="24"/>
          <w:szCs w:val="24"/>
          <w:highlight w:val="none"/>
        </w:rPr>
        <w:tab/>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发包人应组织承包人和有关单位进行安全检查，授权监理工程师按合同约定的绿色施工安全防护内容监督、检查承包人实施绿色施工安全防护，并按照第80条规定及时向承包人支付绿色施工安全防护费。</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pPr>
        <w:adjustRightInd w:val="0"/>
        <w:snapToGrid w:val="0"/>
        <w:ind w:left="1679" w:hanging="1679" w:hangingChars="697"/>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45.2  </w:t>
      </w:r>
    </w:p>
    <w:p>
      <w:pPr>
        <w:adjustRightInd w:val="0"/>
        <w:snapToGrid w:val="0"/>
        <w:ind w:left="1464" w:hanging="1463" w:hangingChars="697"/>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88320" behindDoc="0" locked="0" layoutInCell="1" allowOverlap="1">
                <wp:simplePos x="0" y="0"/>
                <wp:positionH relativeFrom="column">
                  <wp:posOffset>-126365</wp:posOffset>
                </wp:positionH>
                <wp:positionV relativeFrom="paragraph">
                  <wp:posOffset>56515</wp:posOffset>
                </wp:positionV>
                <wp:extent cx="977900" cy="607060"/>
                <wp:effectExtent l="0" t="0" r="0" b="0"/>
                <wp:wrapNone/>
                <wp:docPr id="432" name="文本框 432"/>
                <wp:cNvGraphicFramePr/>
                <a:graphic xmlns:a="http://schemas.openxmlformats.org/drawingml/2006/main">
                  <a:graphicData uri="http://schemas.microsoft.com/office/word/2010/wordprocessingShape">
                    <wps:wsp>
                      <wps:cNvSpPr txBox="1">
                        <a:spLocks noChangeArrowheads="1"/>
                      </wps:cNvSpPr>
                      <wps:spPr bwMode="auto">
                        <a:xfrm>
                          <a:off x="0" y="0"/>
                          <a:ext cx="977900" cy="6070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95pt;margin-top:4.45pt;height:47.8pt;width:77pt;z-index:252088320;mso-width-relative:page;mso-height-relative:page;" filled="f" stroked="f" coordsize="21600,21600" o:gfxdata="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CvLStcAAAAJ&#10;AQAADwAAAAAAAAABACAAAAAiAAAAZHJzL2Rvd25yZXYueG1sUEsBAhQAFAAAAAgAh07iQCFaHuwd&#10;AgAAJgQAAA4AAAAAAAAAAQAgAAAAJgEAAGRycy9lMm9Eb2MueG1sUEsFBgAAAAAGAAYAWQEAALU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pPr>
        <w:adjustRightInd w:val="0"/>
        <w:snapToGrid w:val="0"/>
        <w:spacing w:line="360" w:lineRule="auto"/>
        <w:ind w:left="1696" w:leftChars="800" w:hanging="16" w:hangingChars="7"/>
        <w:jc w:val="left"/>
        <w:rPr>
          <w:rFonts w:ascii="宋体" w:hAnsi="宋体" w:cs="宋体"/>
          <w:color w:val="auto"/>
          <w:sz w:val="24"/>
          <w:szCs w:val="24"/>
          <w:highlight w:val="none"/>
        </w:rPr>
      </w:pPr>
      <w:r>
        <w:rPr>
          <w:rFonts w:hint="eastAsia" w:ascii="宋体" w:hAnsi="宋体" w:cs="宋体"/>
          <w:color w:val="auto"/>
          <w:sz w:val="24"/>
          <w:szCs w:val="24"/>
          <w:highlight w:val="none"/>
        </w:rPr>
        <w:t>房屋建筑和市政基础设施工程应按国家、省、市住房城乡建设主管部门发布的有关用工实名制、工人工资支付分账管理办法、规定等文件要求实施用工实名制、工人工资支付分账。</w:t>
      </w:r>
    </w:p>
    <w:p>
      <w:pPr>
        <w:adjustRightInd w:val="0"/>
        <w:snapToGrid w:val="0"/>
        <w:spacing w:line="360" w:lineRule="auto"/>
        <w:ind w:left="1696" w:leftChars="800" w:hanging="16" w:hangingChars="7"/>
        <w:jc w:val="left"/>
        <w:rPr>
          <w:rFonts w:ascii="宋体" w:hAnsi="宋体" w:cs="宋体"/>
          <w:color w:val="auto"/>
          <w:sz w:val="24"/>
          <w:szCs w:val="24"/>
          <w:highlight w:val="none"/>
        </w:rPr>
      </w:pPr>
      <w:r>
        <w:rPr>
          <w:rFonts w:hint="eastAsia" w:ascii="宋体" w:hAnsi="宋体" w:cs="宋体"/>
          <w:color w:val="auto"/>
          <w:sz w:val="24"/>
          <w:szCs w:val="24"/>
          <w:highlight w:val="none"/>
        </w:rPr>
        <w:t>建设单位负责协调、监督项目各参建单位按规定落实实名管理，在工程安全文明措施费中明确列支实名管理所需的费用；负责监督施工总承包单位的工人工资支付情况，协调建设项目的工人工资支付事宜。</w:t>
      </w:r>
    </w:p>
    <w:p>
      <w:pPr>
        <w:adjustRightInd w:val="0"/>
        <w:snapToGrid w:val="0"/>
        <w:spacing w:line="360" w:lineRule="auto"/>
        <w:ind w:left="1696" w:leftChars="800" w:hanging="16" w:hangingChars="7"/>
        <w:jc w:val="left"/>
        <w:rPr>
          <w:rFonts w:ascii="宋体" w:hAnsi="宋体" w:cs="宋体"/>
          <w:color w:val="auto"/>
          <w:sz w:val="24"/>
          <w:szCs w:val="24"/>
          <w:highlight w:val="none"/>
        </w:rPr>
      </w:pPr>
      <w:r>
        <w:rPr>
          <w:rFonts w:hint="eastAsia" w:ascii="宋体" w:hAnsi="宋体" w:cs="宋体"/>
          <w:color w:val="auto"/>
          <w:sz w:val="24"/>
          <w:szCs w:val="24"/>
          <w:highlight w:val="none"/>
        </w:rPr>
        <w:t>建筑施工实名制以建设项目为管理单位。施工总承包企业对实名制管理负总责；专业承包企业和劳务分包企业按照合同约定，对本企业施工范围的实名制管理负责。</w:t>
      </w:r>
    </w:p>
    <w:p>
      <w:pPr>
        <w:adjustRightInd w:val="0"/>
        <w:snapToGrid w:val="0"/>
        <w:spacing w:line="360" w:lineRule="auto"/>
        <w:ind w:left="1696" w:leftChars="800" w:hanging="16" w:hangingChars="7"/>
        <w:rPr>
          <w:rFonts w:ascii="宋体" w:hAnsi="宋体" w:cs="宋体"/>
          <w:b/>
          <w:bCs/>
          <w:color w:val="auto"/>
          <w:sz w:val="24"/>
          <w:szCs w:val="24"/>
          <w:highlight w:val="none"/>
          <w:u w:val="dotted"/>
        </w:rPr>
      </w:pPr>
      <w:r>
        <w:rPr>
          <w:rFonts w:hint="eastAsia" w:ascii="宋体" w:hAnsi="宋体" w:cs="宋体"/>
          <w:color w:val="auto"/>
          <w:sz w:val="24"/>
          <w:szCs w:val="24"/>
          <w:highlight w:val="none"/>
        </w:rPr>
        <w:t>建设单位、施工总承包企业、专业承包企业和劳务分包企业存在违反有关文件规定情形的，需承担相应的责任。</w:t>
      </w:r>
    </w:p>
    <w:p>
      <w:pPr>
        <w:adjustRightInd w:val="0"/>
        <w:snapToGrid w:val="0"/>
        <w:spacing w:line="360" w:lineRule="auto"/>
        <w:rPr>
          <w:rFonts w:ascii="宋体" w:hAnsi="宋体" w:cs="宋体"/>
          <w:color w:val="auto"/>
          <w:sz w:val="24"/>
          <w:szCs w:val="24"/>
          <w:highlight w:val="none"/>
        </w:rPr>
      </w:pPr>
    </w:p>
    <w:p>
      <w:pPr>
        <w:adjustRightInd w:val="0"/>
        <w:snapToGrid w:val="0"/>
        <w:ind w:left="1679" w:hanging="1679" w:hangingChars="697"/>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45.3  </w:t>
      </w:r>
    </w:p>
    <w:p>
      <w:pPr>
        <w:adjustRightInd w:val="0"/>
        <w:snapToGrid w:val="0"/>
        <w:ind w:left="1679" w:hanging="1679" w:hangingChars="697"/>
        <w:rPr>
          <w:rFonts w:ascii="宋体" w:hAnsi="宋体" w:cs="宋体"/>
          <w:b/>
          <w:bCs/>
          <w:color w:val="auto"/>
          <w:sz w:val="24"/>
          <w:szCs w:val="24"/>
          <w:highlight w:val="none"/>
        </w:rPr>
      </w:pP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254" name="文本框 254"/>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31.2pt;width:77pt;z-index:251841536;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zlDInUAAAABwEA&#10;AA8AAAAAAAAAAQAgAAAAIgAAAGRycy9kb3ducmV2LnhtbFBLAQIUABQAAAAIAIdO4kCMFTSAHgIA&#10;ACYEAAAOAAAAAAAAAAEAIAAAACM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宋体" w:hAnsi="宋体" w:cs="宋体"/>
          <w:color w:val="auto"/>
          <w:sz w:val="24"/>
          <w:szCs w:val="24"/>
          <w:highlight w:val="none"/>
        </w:rPr>
        <w:t>在合同工程实施、完成及保修期间，发包人承担下列责任：</w:t>
      </w: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（1）发包人应配合承包人做好绿色施工安全防护工作，定期对其现场机构雇佣的全部人员进行绿色施工安全防护教育和培训。</w:t>
      </w: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（2）发包人应对其现场机构雇佣的全部人员的安全事故承担责任，但由于承包人原因造成发包人人员安全事故的，应由承包人承担责任。</w:t>
      </w: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（3）发包人有下列行为之一或由于发包人原因造成安全事故的，由发包人承担责任，由此增加的费用和延误的工期由发包人承担。</w:t>
      </w:r>
    </w:p>
    <w:p>
      <w:pPr>
        <w:tabs>
          <w:tab w:val="left" w:pos="1980"/>
        </w:tabs>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1）要求承包人违反绿色施工安全防护操作规程施工的；</w:t>
      </w:r>
    </w:p>
    <w:p>
      <w:pPr>
        <w:tabs>
          <w:tab w:val="left" w:pos="1980"/>
        </w:tabs>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2）对承包人提出不符合国家、省有关安绿色施工安全防护全文明施工法律和强制性标准规定要求的；</w:t>
      </w:r>
    </w:p>
    <w:p>
      <w:pPr>
        <w:tabs>
          <w:tab w:val="left" w:pos="1980"/>
        </w:tabs>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3）明示或暗示承包人购买、租赁、使用不符合安全施工要求的安全防护用具、机械设备、施工机具及配件、消防设施和器材的。</w:t>
      </w: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（4）发包人应负责赔偿下列情形造成的第三者人身伤亡和财产损失。</w:t>
      </w: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1）工程或工程的任何部分对土地的占用所造成的第三者财产损失；</w:t>
      </w: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2）由于发包人原因在施工场地及其毗邻造成的第三者人身伤亡和财产损失。</w:t>
      </w:r>
    </w:p>
    <w:p>
      <w:pPr>
        <w:adjustRightInd w:val="0"/>
        <w:snapToGrid w:val="0"/>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45.4 </w:t>
      </w:r>
    </w:p>
    <w:p>
      <w:pPr>
        <w:adjustRightInd w:val="0"/>
        <w:snapToGrid w:val="0"/>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253" name="文本框 253"/>
                <wp:cNvGraphicFramePr/>
                <a:graphic xmlns:a="http://schemas.openxmlformats.org/drawingml/2006/main">
                  <a:graphicData uri="http://schemas.microsoft.com/office/word/2010/wordprocessingShape">
                    <wps:wsp>
                      <wps:cNvSpPr txBox="1">
                        <a:spLocks noChangeArrowheads="1"/>
                      </wps:cNvSpPr>
                      <wps:spPr bwMode="auto">
                        <a:xfrm>
                          <a:off x="0" y="0"/>
                          <a:ext cx="1028700" cy="56705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6pt;height:44.65pt;width:81pt;z-index:251842560;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FmwW2AAA&#10;AAoBAAAPAAAAAAAAAAEAIAAAACIAAABkcnMvZG93bnJldi54bWxQSwECFAAUAAAACACHTuJAHYrT&#10;3x4CAAAnBAAADgAAAAAAAAABACAAAAAnAQAAZHJzL2Uyb0RvYy54bWxQSwUGAAAAAAYABgBZAQAA&#10;t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在合同工程实施、完成及保修期间，承包人承担下列责任：</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（1）承包人应严格按照国家、省、市有关绿色施工安全防护的标准、内容与规范制定绿色施工安全防护操作规程，配备必要的安全生产和劳动保护设施，加强对承包人人员的施工安全教育和培训。</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（2）承包人应对合同工程的绿色施工安全防护负责，采取有效的安全措施消除安全事故隐患，并接受和配合依法实施的监督检查。</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3）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（4）承包人应按监理工程师的指令制定应对灾害的紧急预案，并按预案做好安全检查，配置必要的救助物资和器材，切实保护好有关人员的人身和财产安全。</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（5）承包人违反本条规定或由于承包人原因造成安全事故的，由承包人承担责任，由此增加的费用和延误的工期由承包人承担。</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（6）承包人应对其履行合同所雇佣的全部人员，包括分包人人员的安全事故承担责任，但由于发包人原因造成承包人人员安全事故的，应由发包人承担责任。</w:t>
      </w:r>
    </w:p>
    <w:p>
      <w:pPr>
        <w:adjustRightInd w:val="0"/>
        <w:snapToGrid w:val="0"/>
        <w:spacing w:line="360" w:lineRule="auto"/>
        <w:ind w:left="1619" w:leftChars="771" w:firstLine="60" w:firstLineChars="25"/>
        <w:rPr>
          <w:rFonts w:ascii="宋体" w:hAnsi="宋体" w:cs="宋体"/>
          <w:color w:val="auto"/>
          <w:sz w:val="24"/>
          <w:szCs w:val="24"/>
          <w:highlight w:val="none"/>
        </w:rPr>
      </w:pPr>
      <w:r>
        <w:rPr>
          <w:rFonts w:hint="eastAsia" w:ascii="宋体" w:hAnsi="宋体" w:cs="宋体"/>
          <w:color w:val="auto"/>
          <w:sz w:val="24"/>
          <w:szCs w:val="24"/>
          <w:highlight w:val="none"/>
        </w:rPr>
        <w:t>（7）由于承包人原因在施工场地内及其毗邻造成的第三者人身伤亡和财产损失，由承包人负责赔偿。</w:t>
      </w:r>
    </w:p>
    <w:p>
      <w:pPr>
        <w:adjustRightInd w:val="0"/>
        <w:snapToGrid w:val="0"/>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45.5 </w:t>
      </w:r>
    </w:p>
    <w:p>
      <w:pPr>
        <w:adjustRightInd w:val="0"/>
        <w:snapToGrid w:val="0"/>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252" name="文本框 252"/>
                <wp:cNvGraphicFramePr/>
                <a:graphic xmlns:a="http://schemas.openxmlformats.org/drawingml/2006/main">
                  <a:graphicData uri="http://schemas.microsoft.com/office/word/2010/wordprocessingShape">
                    <wps:wsp>
                      <wps:cNvSpPr txBox="1">
                        <a:spLocks noChangeArrowheads="1"/>
                      </wps:cNvSpPr>
                      <wps:spPr bwMode="auto">
                        <a:xfrm>
                          <a:off x="0" y="0"/>
                          <a:ext cx="954405" cy="47942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3pt;height:37.75pt;width:75.15pt;z-index:251843584;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bHsGtcAAAAK&#10;AQAADwAAAAAAAAABACAAAAAiAAAAZHJzL2Rvd25yZXYueG1sUEsBAhQAFAAAAAgAh07iQBBi4u0d&#10;AgAAJgQAAA4AAAAAAAAAAQAgAAAAJgEAAGRycy9lMm9Eb2MueG1sUEsFBgAAAAAGAAYAWQEAALU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45.6</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251" name="文本框 251"/>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6pt;margin-top:0.9pt;height:56.7pt;width:63pt;z-index:251844608;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2BGNHUAAAACQEAAA8A&#10;AAAAAAAAAQAgAAAAIgAAAGRycy9kb3ducmV2LnhtbFBLAQIUABQAAAAIAIdO4kCmokX/GwIAACYE&#10;AAAOAAAAAAAAAAEAIAAAACMBAABkcnMvZTJvRG9jLnhtbFBLBQYAAAAABgAGAFkBAAC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宋体" w:hAnsi="宋体" w:cs="宋体"/>
          <w:color w:val="auto"/>
          <w:sz w:val="24"/>
          <w:szCs w:val="24"/>
          <w:highlight w:val="none"/>
        </w:rPr>
        <w:t>合同双方当事人不仅应协助现场治安管理机构或联防组织维护施工场地的社会治安，而且应做好包括有关人员现场生活、居住场所在内的施工场地内的治安保卫工作。</w:t>
      </w:r>
    </w:p>
    <w:p>
      <w:pPr>
        <w:adjustRightInd w:val="0"/>
        <w:snapToGrid w:val="0"/>
        <w:spacing w:line="360" w:lineRule="auto"/>
        <w:ind w:left="1575" w:leftChars="750"/>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45.7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250" name="文本框 250"/>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1.25pt;height:51.25pt;width:68.8pt;z-index:251845632;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8AZv1gAAAAkB&#10;AAAPAAAAAAAAAAEAIAAAACIAAABkcnMvZG93bnJldi54bWxQSwECFAAUAAAACACHTuJAXr7+sR0C&#10;AAAmBAAADgAAAAAAAAABACAAAAAlAQAAZHJzL2Uyb0RvYy54bWxQSwUGAAAAAAYABgBZAQAAtAUA&#10;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宋体" w:hAnsi="宋体" w:cs="宋体"/>
          <w:color w:val="auto"/>
          <w:sz w:val="24"/>
          <w:szCs w:val="24"/>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45.8  </w:t>
      </w:r>
    </w:p>
    <w:p>
      <w:pPr>
        <w:adjustRightInd w:val="0"/>
        <w:snapToGrid w:val="0"/>
        <w:spacing w:line="360" w:lineRule="auto"/>
        <w:ind w:left="1619" w:leftChars="771"/>
        <w:rPr>
          <w:rFonts w:ascii="宋体" w:hAnsi="宋体" w:cs="宋体"/>
          <w:cap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249" name="文本框 249"/>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发包人鼓励创建文明工地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1.35pt;height:46.8pt;width:68.8pt;z-index:251846656;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u3p0w1AAAAAUBAAAP&#10;AAAAAAAAAAEAIAAAACIAAABkcnMvZG93bnJldi54bWxQSwECFAAUAAAACACHTuJAS4gepxwCAAAm&#10;BAAADgAAAAAAAAABACAAAAAjAQAAZHJzL2Uyb0RvYy54bWxQSwUGAAAAAAYABgBZAQAAsQ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宋体" w:hAnsi="宋体" w:cs="宋体"/>
          <w:caps/>
          <w:color w:val="auto"/>
          <w:sz w:val="24"/>
          <w:szCs w:val="24"/>
          <w:highlight w:val="none"/>
        </w:rPr>
        <w:t>发包人应配合承包人加强</w:t>
      </w:r>
      <w:r>
        <w:rPr>
          <w:rFonts w:hint="eastAsia" w:ascii="宋体" w:hAnsi="宋体" w:cs="宋体"/>
          <w:color w:val="auto"/>
          <w:sz w:val="24"/>
          <w:szCs w:val="24"/>
          <w:highlight w:val="none"/>
        </w:rPr>
        <w:t>绿色施工安全防护</w:t>
      </w:r>
      <w:r>
        <w:rPr>
          <w:rFonts w:hint="eastAsia" w:ascii="宋体" w:hAnsi="宋体" w:cs="宋体"/>
          <w:caps/>
          <w:color w:val="auto"/>
          <w:sz w:val="24"/>
          <w:szCs w:val="24"/>
          <w:highlight w:val="none"/>
        </w:rPr>
        <w:t>管理，鼓励承包人实施省、市级或其它级别文明工地。对于工程获得省、市级或其它级别文明工地的，应按照第80条规定向承包人支付文明工地增加费。</w:t>
      </w:r>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45.9 </w:t>
      </w:r>
    </w:p>
    <w:p>
      <w:pPr>
        <w:spacing w:line="360" w:lineRule="auto"/>
        <w:ind w:left="1556" w:leftChars="741"/>
        <w:rPr>
          <w:rFonts w:ascii="宋体" w:hAnsi="宋体" w:cs="宋体"/>
          <w:color w:val="auto"/>
          <w:sz w:val="24"/>
          <w:szCs w:val="24"/>
          <w:highlight w:val="none"/>
        </w:rPr>
      </w:pPr>
      <w:r>
        <w:rPr>
          <w:rFonts w:hint="eastAsia" w:ascii="宋体" w:hAnsi="宋体" w:cs="宋体"/>
          <w:color w:val="auto"/>
          <w:sz w:val="24"/>
          <w:szCs w:val="24"/>
          <w:highlight w:val="none"/>
        </w:rPr>
        <w:t>承包人应按照法律规定进行施工，开工前做好安全技术交底工作，施工过程中做好</w:t>
      </w:r>
      <w:r>
        <w:rPr>
          <w:rFonts w:hint="eastAsia" w:ascii="宋体" w:hAnsi="宋体" w:cs="宋体"/>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-137795</wp:posOffset>
                </wp:positionH>
                <wp:positionV relativeFrom="paragraph">
                  <wp:posOffset>100330</wp:posOffset>
                </wp:positionV>
                <wp:extent cx="873760" cy="594360"/>
                <wp:effectExtent l="0" t="0" r="0" b="0"/>
                <wp:wrapNone/>
                <wp:docPr id="248" name="文本框 248"/>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85pt;margin-top:7.9pt;height:46.8pt;width:68.8pt;z-index:252082176;mso-width-relative:page;mso-height-relative:page;" filled="f" stroked="f" coordsize="21600,21600" o:gfxdata="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NXHv1wAAAAoB&#10;AAAPAAAAAAAAAAEAIAAAACIAAABkcnMvZG93bnJldi54bWxQSwECFAAUAAAACACHTuJAz1epoxwC&#10;AAAmBAAADgAAAAAAAAABACAAAAAmAQAAZHJzL2Uyb0RvYy54bWxQSwUGAAAAAAYABgBZAQAAtAUA&#10;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宋体" w:hAnsi="宋体" w:cs="宋体"/>
          <w:color w:val="auto"/>
          <w:sz w:val="24"/>
          <w:szCs w:val="24"/>
          <w:highlight w:val="none"/>
        </w:rPr>
        <w:t>各项安全防护措施。承包人为实施合同而雇用的特殊工种的人员应受过专门的培训并已取得政府有关管理机构颁发的上岗证书。</w:t>
      </w:r>
    </w:p>
    <w:p>
      <w:pPr>
        <w:spacing w:line="360" w:lineRule="auto"/>
        <w:ind w:left="1556" w:leftChars="741"/>
        <w:rPr>
          <w:rFonts w:ascii="宋体" w:hAnsi="宋体" w:cs="宋体"/>
          <w:color w:val="auto"/>
          <w:sz w:val="24"/>
          <w:szCs w:val="24"/>
          <w:highlight w:val="none"/>
        </w:rPr>
      </w:pPr>
      <w:r>
        <w:rPr>
          <w:rFonts w:hint="eastAsia" w:ascii="宋体" w:hAnsi="宋体" w:cs="宋体"/>
          <w:color w:val="auto"/>
          <w:sz w:val="24"/>
          <w:szCs w:val="24"/>
          <w:highlight w:val="none"/>
        </w:rPr>
        <w:t>承包人在动力设备、输电线路、地下管道、密封防震车间、易燃易爆地段以及临街交通要道附近施工时，施工开始前应向发包人和监理人提出安全防护措施，经发包人认可后实施。</w:t>
      </w:r>
    </w:p>
    <w:p>
      <w:pPr>
        <w:spacing w:line="360" w:lineRule="auto"/>
        <w:ind w:left="1556" w:leftChars="741"/>
        <w:rPr>
          <w:rFonts w:ascii="宋体" w:hAnsi="宋体" w:cs="宋体"/>
          <w:color w:val="auto"/>
          <w:sz w:val="24"/>
          <w:szCs w:val="24"/>
          <w:highlight w:val="none"/>
        </w:rPr>
      </w:pPr>
      <w:r>
        <w:rPr>
          <w:rFonts w:hint="eastAsia" w:ascii="宋体" w:hAnsi="宋体" w:cs="宋体"/>
          <w:color w:val="auto"/>
          <w:sz w:val="24"/>
          <w:szCs w:val="24"/>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pPr>
        <w:adjustRightInd w:val="0"/>
        <w:snapToGrid w:val="0"/>
        <w:spacing w:line="360" w:lineRule="auto"/>
        <w:ind w:left="1556" w:leftChars="741"/>
        <w:rPr>
          <w:rFonts w:ascii="宋体" w:hAnsi="宋体" w:cs="宋体"/>
          <w:color w:val="auto"/>
          <w:sz w:val="24"/>
          <w:szCs w:val="24"/>
          <w:highlight w:val="none"/>
        </w:rPr>
      </w:pPr>
      <w:r>
        <w:rPr>
          <w:rFonts w:hint="eastAsia" w:ascii="宋体" w:hAnsi="宋体" w:cs="宋体"/>
          <w:color w:val="auto"/>
          <w:sz w:val="24"/>
          <w:szCs w:val="24"/>
          <w:highlight w:val="none"/>
        </w:rPr>
        <w:t>需单独编制危险性较大分部分项专项工程施工方案的，及要求进行专家论证的超过一定规模的危险性较大的分部分项工程，承包人应及时编制和组织论证。</w:t>
      </w:r>
    </w:p>
    <w:p>
      <w:pPr>
        <w:adjustRightInd w:val="0"/>
        <w:snapToGrid w:val="0"/>
        <w:spacing w:line="24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894" w:name="_Toc410043897"/>
      <w:bookmarkStart w:id="895" w:name="_Toc30364"/>
      <w:bookmarkStart w:id="896" w:name="_Toc15109"/>
      <w:bookmarkStart w:id="897" w:name="_Toc21092"/>
      <w:bookmarkStart w:id="898" w:name="_Toc8941"/>
      <w:bookmarkStart w:id="899" w:name="_Toc226"/>
      <w:bookmarkStart w:id="900" w:name="_Toc90"/>
      <w:bookmarkStart w:id="901" w:name="_Toc469384029"/>
      <w:bookmarkStart w:id="902" w:name="_Toc1620823964"/>
      <w:r>
        <w:rPr>
          <w:rFonts w:hint="eastAsia" w:ascii="宋体" w:hAnsi="宋体" w:cs="宋体"/>
          <w:b/>
          <w:bCs/>
          <w:color w:val="auto"/>
          <w:sz w:val="24"/>
          <w:szCs w:val="24"/>
          <w:highlight w:val="none"/>
        </w:rPr>
        <w:t>46  测量放线</w:t>
      </w:r>
      <w:bookmarkEnd w:id="894"/>
      <w:bookmarkEnd w:id="895"/>
      <w:bookmarkEnd w:id="896"/>
      <w:bookmarkEnd w:id="897"/>
      <w:bookmarkEnd w:id="898"/>
      <w:bookmarkEnd w:id="899"/>
      <w:bookmarkEnd w:id="900"/>
      <w:bookmarkEnd w:id="901"/>
      <w:bookmarkEnd w:id="902"/>
    </w:p>
    <w:p>
      <w:pPr>
        <w:tabs>
          <w:tab w:val="left" w:pos="1202"/>
        </w:tabs>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247"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a:effectLst/>
                      </wps:spPr>
                      <wps:txb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55pt;height:43pt;width:72pt;z-index:251847680;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ret51wAAAAoBAAAP&#10;AAAAAAAAAAEAIAAAACIAAABkcnMvZG93bnJldi54bWxQSwECFAAUAAAACACHTuJAqWM9hxkCAAAm&#10;BAAADgAAAAAAAAABACAAAAAmAQAAZHJzL2Uyb0RvYy54bWxQSwUGAAAAAAYABgBZAQAAsQU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宋体" w:hAnsi="宋体" w:cs="宋体"/>
          <w:b/>
          <w:bCs/>
          <w:color w:val="auto"/>
          <w:sz w:val="24"/>
          <w:szCs w:val="24"/>
          <w:highlight w:val="none"/>
        </w:rPr>
        <w:t>46.1</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pPr>
        <w:adjustRightInd w:val="0"/>
        <w:snapToGrid w:val="0"/>
        <w:spacing w:line="360" w:lineRule="auto"/>
        <w:ind w:left="1619" w:leftChars="771"/>
        <w:rPr>
          <w:rFonts w:ascii="宋体" w:hAnsi="宋体" w:cs="宋体"/>
          <w:color w:val="auto"/>
          <w:sz w:val="24"/>
          <w:szCs w:val="24"/>
          <w:highlight w:val="none"/>
        </w:rPr>
      </w:pPr>
    </w:p>
    <w:p>
      <w:pPr>
        <w:adjustRightInd w:val="0"/>
        <w:snapToGrid w:val="0"/>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46.2  </w:t>
      </w:r>
    </w:p>
    <w:p>
      <w:pPr>
        <w:adjustRightInd w:val="0"/>
        <w:snapToGrid w:val="0"/>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246" name="文本框 246"/>
                <wp:cNvGraphicFramePr/>
                <a:graphic xmlns:a="http://schemas.openxmlformats.org/drawingml/2006/main">
                  <a:graphicData uri="http://schemas.microsoft.com/office/word/2010/wordprocessingShape">
                    <wps:wsp>
                      <wps:cNvSpPr txBox="1">
                        <a:spLocks noChangeArrowheads="1"/>
                      </wps:cNvSpPr>
                      <wps:spPr bwMode="auto">
                        <a:xfrm>
                          <a:off x="0" y="0"/>
                          <a:ext cx="914400" cy="677545"/>
                        </a:xfrm>
                        <a:prstGeom prst="rect">
                          <a:avLst/>
                        </a:prstGeom>
                        <a:noFill/>
                        <a:ln>
                          <a:noFill/>
                        </a:ln>
                        <a:effectLst/>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9pt;height:53.35pt;width:72pt;z-index:251848704;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qTS2nXAAAACgEA&#10;AA8AAAAAAAAAAQAgAAAAIgAAAGRycy9kb3ducmV2LnhtbFBLAQIUABQAAAAIAIdO4kAH2QT1GwIA&#10;ACYEAAAOAAAAAAAAAAEAIAAAACYBAABkcnMvZTJvRG9jLnhtbFBLBQYAAAAABgAGAFkBAACzBQAA&#10;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承包人应负责施工控制网点的管理。施工控制网点丢失或损坏的，承包人应及时修复。承包人应承担施工控制网点的管理与修复费用，并在工程竣工后将施工控制网点移交发包人。</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监理工程师需要使用施工控制网的，承包人应提供必要的协助，发包人无需为此支付任何费用。</w:t>
      </w:r>
    </w:p>
    <w:p>
      <w:pPr>
        <w:adjustRightInd w:val="0"/>
        <w:snapToGrid w:val="0"/>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46.3  </w:t>
      </w:r>
    </w:p>
    <w:p>
      <w:pPr>
        <w:adjustRightInd w:val="0"/>
        <w:snapToGrid w:val="0"/>
        <w:rPr>
          <w:rFonts w:ascii="宋体" w:hAnsi="宋体" w:cs="宋体"/>
          <w:color w:val="auto"/>
          <w:sz w:val="24"/>
          <w:szCs w:val="24"/>
          <w:highlight w:val="none"/>
        </w:rPr>
      </w:pP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245" name="文本框 245"/>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42.6pt;width:72pt;z-index:251849728;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LLC81QAAAAkBAAAP&#10;AAAAAAAAAAEAIAAAACIAAABkcnMvZG93bnJldi54bWxQSwECFAAUAAAACACHTuJAYCZGIxsCAAAm&#10;BAAADgAAAAAAAAABACAAAAAkAQAAZHJzL2Uyb0RvYy54bWxQSwUGAAAAAAYABgBZAQAAsQUAAAAA&#10;">
                <v:fill on="f" focussize="0,0"/>
                <v:stroke on="f"/>
                <v:imagedata o:title=""/>
                <o:lock v:ext="edit" aspectratio="f"/>
                <v:textbo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宋体" w:hAnsi="宋体" w:cs="宋体"/>
          <w:color w:val="auto"/>
          <w:sz w:val="24"/>
          <w:szCs w:val="24"/>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pPr>
        <w:tabs>
          <w:tab w:val="left" w:pos="720"/>
          <w:tab w:val="left" w:pos="1080"/>
        </w:tabs>
        <w:adjustRightInd w:val="0"/>
        <w:snapToGrid w:val="0"/>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46.4 </w:t>
      </w:r>
    </w:p>
    <w:p>
      <w:pPr>
        <w:rPr>
          <w:rFonts w:ascii="宋体" w:hAnsi="宋体" w:cs="宋体"/>
          <w:color w:val="auto"/>
          <w:highlight w:val="none"/>
        </w:rPr>
      </w:pP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244" name="文本框 244"/>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a:effectLst/>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65pt;height:29.6pt;width:72pt;z-index:251850752;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7LALNMAAAAIAQAADwAA&#10;AAAAAAABACAAAAAiAAAAZHJzL2Rvd25yZXYueG1sUEsBAhQAFAAAAAgAh07iQOXrcqcbAgAAJgQA&#10;AA4AAAAAAAAAAQAgAAAAIgEAAGRycy9lMm9Eb2MueG1sUEsFBgAAAAAGAAYAWQEAAK8FA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宋体" w:hAnsi="宋体" w:cs="宋体"/>
          <w:color w:val="auto"/>
          <w:sz w:val="24"/>
          <w:szCs w:val="24"/>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pPr>
        <w:tabs>
          <w:tab w:val="left" w:pos="720"/>
          <w:tab w:val="left" w:pos="1080"/>
        </w:tabs>
        <w:adjustRightInd w:val="0"/>
        <w:snapToGrid w:val="0"/>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46.5 </w:t>
      </w:r>
      <w:r>
        <w:rPr>
          <w:rFonts w:hint="eastAsia" w:ascii="宋体" w:hAnsi="宋体" w:cs="宋体"/>
          <w:color w:val="auto"/>
          <w:szCs w:val="20"/>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243" name="文本框 243"/>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9pt;height:35.3pt;width:72pt;z-index:251851776;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BLqU/XAAAACgEA&#10;AA8AAAAAAAAAAQAgAAAAIgAAAGRycy9kb3ducmV2LnhtbFBLAQIUABQAAAAIAIdO4kD/HW5iGwIA&#10;ACYEAAAOAAAAAAAAAAEAIAAAACYBAABkcnMvZTJvRG9jLnhtbFBLBQYAAAAABgAGAFkBAACzBQAA&#10;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pPr>
        <w:tabs>
          <w:tab w:val="left" w:pos="2070"/>
        </w:tabs>
        <w:adjustRightInd w:val="0"/>
        <w:snapToGrid w:val="0"/>
        <w:spacing w:line="24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903" w:name="_Toc358300753"/>
      <w:bookmarkStart w:id="904" w:name="_Toc469384030"/>
      <w:bookmarkStart w:id="905" w:name="_Toc2091"/>
      <w:bookmarkStart w:id="906" w:name="_Toc23838"/>
      <w:bookmarkStart w:id="907" w:name="_Toc31713"/>
      <w:bookmarkStart w:id="908" w:name="_Toc3129"/>
      <w:bookmarkStart w:id="909" w:name="_Toc332753656"/>
      <w:bookmarkStart w:id="910" w:name="_Toc32126"/>
      <w:bookmarkStart w:id="911" w:name="_Toc22116"/>
      <w:r>
        <w:rPr>
          <w:rFonts w:hint="eastAsia" w:ascii="宋体" w:hAnsi="宋体" w:cs="宋体"/>
          <w:b/>
          <w:bCs/>
          <w:color w:val="auto"/>
          <w:sz w:val="24"/>
          <w:szCs w:val="24"/>
          <w:highlight w:val="none"/>
        </w:rPr>
        <w:t>47  钻孔与勘探性开挖</w:t>
      </w:r>
      <w:bookmarkEnd w:id="903"/>
      <w:bookmarkEnd w:id="904"/>
      <w:bookmarkEnd w:id="905"/>
      <w:bookmarkEnd w:id="906"/>
      <w:bookmarkEnd w:id="907"/>
      <w:bookmarkEnd w:id="908"/>
      <w:bookmarkEnd w:id="909"/>
      <w:bookmarkEnd w:id="910"/>
      <w:bookmarkEnd w:id="911"/>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2800"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242" name="文本框 242"/>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2.45pt;height:51.05pt;width:72pt;z-index:251852800;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2aq1wAAAAoB&#10;AAAPAAAAAAAAAAEAIAAAACIAAABkcnMvZG93bnJldi54bWxQSwECFAAUAAAACACHTuJADBQGlBwC&#10;AAAmBAAADgAAAAAAAAABACAAAAAmAQAAZHJzL2Uyb0RvYy54bWxQSwUGAAAAAAYABgBZAQAAtAUA&#10;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hint="eastAsia" w:ascii="宋体" w:hAnsi="宋体" w:cs="宋体"/>
          <w:b/>
          <w:bCs/>
          <w:color w:val="auto"/>
          <w:sz w:val="24"/>
          <w:szCs w:val="24"/>
          <w:highlight w:val="none"/>
        </w:rPr>
        <w:t>47.1</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在施工过程中，如果需要承包人进行钻孔或勘探性开挖（含疏浚工作在内）工作的，监理工程师应就此项工作按照第56条规定书面发出专项指令。承包人在接到监理工程师指令后，应及时实施相关工作。</w:t>
      </w:r>
    </w:p>
    <w:p>
      <w:pPr>
        <w:tabs>
          <w:tab w:val="left" w:pos="720"/>
          <w:tab w:val="left" w:pos="1080"/>
        </w:tabs>
        <w:adjustRightInd w:val="0"/>
        <w:snapToGrid w:val="0"/>
        <w:spacing w:line="360" w:lineRule="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3824"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241" name="文本框 241"/>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15.7pt;height:55.05pt;width:72pt;z-index:251853824;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QzzG1wAAAAoB&#10;AAAPAAAAAAAAAAEAIAAAACIAAABkcnMvZG93bnJldi54bWxQSwECFAAUAAAACACHTuJAlCYZ/hwC&#10;AAAmBAAADgAAAAAAAAABACAAAAAmAQAAZHJzL2Uyb0RvYy54bWxQSwUGAAAAAAYABgBZAQAAtAUA&#10;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v:textbox>
              </v:shape>
            </w:pict>
          </mc:Fallback>
        </mc:AlternateContent>
      </w:r>
      <w:r>
        <w:rPr>
          <w:rFonts w:hint="eastAsia" w:ascii="宋体" w:hAnsi="宋体" w:cs="宋体"/>
          <w:b/>
          <w:bCs/>
          <w:color w:val="auto"/>
          <w:sz w:val="24"/>
          <w:szCs w:val="24"/>
          <w:highlight w:val="none"/>
        </w:rPr>
        <w:t xml:space="preserve">47.2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除工程量清单中已列有此类工作的支付项目和额度外，此项工作所发生的一切费用，经造价工程师核实后，由合同双方当事人按照第72条规定办理。</w:t>
      </w:r>
    </w:p>
    <w:p>
      <w:pPr>
        <w:tabs>
          <w:tab w:val="left" w:pos="540"/>
        </w:tabs>
        <w:adjustRightInd w:val="0"/>
        <w:snapToGrid w:val="0"/>
        <w:spacing w:before="312" w:beforeLines="100" w:line="240" w:lineRule="exact"/>
        <w:rPr>
          <w:rFonts w:ascii="宋体" w:hAnsi="宋体" w:cs="宋体"/>
          <w:b/>
          <w:bCs/>
          <w:color w:val="auto"/>
          <w:sz w:val="24"/>
          <w:szCs w:val="24"/>
          <w:highlight w:val="none"/>
        </w:rPr>
      </w:pPr>
    </w:p>
    <w:p>
      <w:pPr>
        <w:adjustRightInd w:val="0"/>
        <w:snapToGrid w:val="0"/>
        <w:spacing w:line="360" w:lineRule="auto"/>
        <w:outlineLvl w:val="2"/>
        <w:rPr>
          <w:rFonts w:ascii="宋体" w:hAnsi="宋体" w:cs="宋体"/>
          <w:b/>
          <w:bCs/>
          <w:color w:val="auto"/>
          <w:sz w:val="24"/>
          <w:szCs w:val="24"/>
          <w:highlight w:val="none"/>
        </w:rPr>
      </w:pPr>
      <w:bookmarkStart w:id="912" w:name="_Toc20271"/>
      <w:bookmarkStart w:id="913" w:name="_Toc18500"/>
      <w:bookmarkStart w:id="914" w:name="_Toc543279604"/>
      <w:bookmarkStart w:id="915" w:name="_Toc29062"/>
      <w:bookmarkStart w:id="916" w:name="_Toc27604"/>
      <w:bookmarkStart w:id="917" w:name="_Toc21000"/>
      <w:bookmarkStart w:id="918" w:name="_Toc2954"/>
      <w:bookmarkStart w:id="919" w:name="_Toc469384031"/>
      <w:bookmarkStart w:id="920" w:name="_Toc416609483"/>
      <w:r>
        <w:rPr>
          <w:rFonts w:hint="eastAsia" w:ascii="宋体" w:hAnsi="宋体" w:cs="宋体"/>
          <w:b/>
          <w:bCs/>
          <w:color w:val="auto"/>
          <w:sz w:val="24"/>
          <w:szCs w:val="24"/>
          <w:highlight w:val="none"/>
        </w:rPr>
        <w:t>48  发包人供应材料和工程设备</w:t>
      </w:r>
      <w:bookmarkEnd w:id="912"/>
      <w:bookmarkEnd w:id="913"/>
      <w:bookmarkEnd w:id="914"/>
      <w:bookmarkEnd w:id="915"/>
      <w:bookmarkEnd w:id="916"/>
      <w:bookmarkEnd w:id="917"/>
      <w:bookmarkEnd w:id="918"/>
      <w:bookmarkEnd w:id="919"/>
      <w:bookmarkEnd w:id="920"/>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240" name="文本框 240"/>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95pt;height:40.55pt;width:72pt;z-index:251854848;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joSDjXAAAACgEA&#10;AA8AAAAAAAAAAQAgAAAAIgAAAGRycy9kb3ducmV2LnhtbFBLAQIUABQAAAAIAIdO4kCzSeMfGwIA&#10;ACYEAAAOAAAAAAAAAAEAIAAAACYBAABkcnMvZTJvRG9jLnhtbFBLBQYAAAAABgAGAFkBAACzBQAA&#10;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hint="eastAsia" w:ascii="宋体" w:hAnsi="宋体" w:cs="宋体"/>
          <w:b/>
          <w:bCs/>
          <w:color w:val="auto"/>
          <w:sz w:val="24"/>
          <w:szCs w:val="24"/>
          <w:highlight w:val="none"/>
        </w:rPr>
        <w:t>48.1</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48.2 </w:t>
      </w:r>
    </w:p>
    <w:p>
      <w:pPr>
        <w:adjustRightInd w:val="0"/>
        <w:snapToGrid w:val="0"/>
        <w:spacing w:line="360" w:lineRule="auto"/>
        <w:ind w:left="1575" w:leftChars="750"/>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5872"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239" name="文本框 239"/>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3.75pt;height:40.55pt;width:72pt;z-index:251855872;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GeAvNUAAAAIAQAA&#10;DwAAAAAAAAABACAAAAAiAAAAZHJzL2Rvd25yZXYueG1sUEsBAhQAFAAAAAgAh07iQGayTMccAgAA&#10;JgQAAA4AAAAAAAAAAQAgAAAAJAEAAGRycy9lMm9Eb2MueG1sUEsFBgAAAAAGAAYAWQEAALIFAAAA&#10;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宋体" w:hAnsi="宋体" w:cs="宋体"/>
          <w:color w:val="auto"/>
          <w:sz w:val="24"/>
          <w:szCs w:val="24"/>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48.3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238" name="文本框 238"/>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2pt;height:35.65pt;width:76.2pt;z-index:251856896;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PNd8XVAAAABwEA&#10;AA8AAAAAAAAAAQAgAAAAIgAAAGRycy9kb3ducmV2LnhtbFBLAQIUABQAAAAIAIdO4kD56/mAHQIA&#10;ACYEAAAOAAAAAAAAAAEAIAAAACQBAABkcnMvZTJvRG9jLnhtbFBLBQYAAAAABgAGAFkBAACzBQAA&#10;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宋体" w:hAnsi="宋体" w:cs="宋体"/>
          <w:color w:val="auto"/>
          <w:sz w:val="24"/>
          <w:szCs w:val="24"/>
          <w:highlight w:val="none"/>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48.4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237" name="文本框 237"/>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7pt;height:80.25pt;width:72pt;z-index:251857920;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Z8DYfVAAAACQEA&#10;AA8AAAAAAAAAAQAgAAAAIgAAAGRycy9kb3ducmV2LnhtbFBLAQIUABQAAAAIAIdO4kD+fCorHQIA&#10;ACcEAAAOAAAAAAAAAAEAIAAAACQBAABkcnMvZTJvRG9jLnhtbFBLBQYAAAAABgAGAFkBAACzBQAA&#10;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宋体" w:hAnsi="宋体" w:cs="宋体"/>
          <w:color w:val="auto"/>
          <w:sz w:val="24"/>
          <w:szCs w:val="24"/>
          <w:highlight w:val="none"/>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48.5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236" name="文本框 236"/>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7pt;height:46.8pt;width:72pt;z-index:251858944;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DdBI1AAAAAgBAAAP&#10;AAAAAAAAAAEAIAAAACIAAABkcnMvZG93bnJldi54bWxQSwECFAAUAAAACACHTuJAuvDuBxwCAAAm&#10;BAAADgAAAAAAAAABACAAAAAjAQAAZHJzL2Uyb0RvYy54bWxQSwUGAAAAAAYABgBZAQAAs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宋体" w:hAnsi="宋体" w:cs="宋体"/>
          <w:color w:val="auto"/>
          <w:sz w:val="24"/>
          <w:szCs w:val="24"/>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pPr>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48.6  </w:t>
      </w:r>
    </w:p>
    <w:p>
      <w:p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235" name="文本框 235"/>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5pt;height:71.55pt;width:72pt;z-index:251859968;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KojI9UAAAAJAQAA&#10;DwAAAAAAAAABACAAAAAiAAAAZHJzL2Rvd25yZXYueG1sUEsBAhQAFAAAAAgAh07iQH4ZDVwcAgAA&#10;JgQAAA4AAAAAAAAAAQAgAAAAJAEAAGRycy9lMm9Eb2MueG1sUEsFBgAAAAAGAAYAWQEAALIFAAAA&#10;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宋体" w:hAnsi="宋体" w:cs="宋体"/>
          <w:color w:val="auto"/>
          <w:sz w:val="24"/>
          <w:szCs w:val="24"/>
          <w:highlight w:val="none"/>
        </w:rPr>
        <w:t>发包人供应的材料和工程设备与一览表不符时，发包人应按照下列规定承担相应责任：</w:t>
      </w:r>
    </w:p>
    <w:p>
      <w:pPr>
        <w:numPr>
          <w:ilvl w:val="0"/>
          <w:numId w:val="22"/>
        </w:numPr>
        <w:tabs>
          <w:tab w:val="left" w:pos="1080"/>
          <w:tab w:val="left" w:pos="2160"/>
        </w:tabs>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材料和工程设备的单价与一览表不符，由发包人承担所有价差；</w:t>
      </w:r>
    </w:p>
    <w:p>
      <w:pPr>
        <w:numPr>
          <w:ilvl w:val="0"/>
          <w:numId w:val="22"/>
        </w:numPr>
        <w:tabs>
          <w:tab w:val="left" w:pos="1080"/>
          <w:tab w:val="left" w:pos="1620"/>
        </w:tabs>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材料和工程设备的品种、规格、型号、质量标准与一览表不符，承包人可以拒绝接受保管，由发包人运出施工场地并重新采购；</w:t>
      </w:r>
    </w:p>
    <w:p>
      <w:pPr>
        <w:numPr>
          <w:ilvl w:val="0"/>
          <w:numId w:val="22"/>
        </w:numPr>
        <w:tabs>
          <w:tab w:val="left" w:pos="1080"/>
          <w:tab w:val="left" w:pos="1620"/>
        </w:tabs>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材料和工程设备的品种、规格、型号、质量标准与一览表不符，经发包人同意，承包人可代为调剂替换，由发包人承担相应费用；</w:t>
      </w:r>
    </w:p>
    <w:p>
      <w:pPr>
        <w:numPr>
          <w:ilvl w:val="0"/>
          <w:numId w:val="22"/>
        </w:numPr>
        <w:tabs>
          <w:tab w:val="left" w:pos="1620"/>
        </w:tabs>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交货地点与一览表不符，除合同双方当事人协商确定外，由发包人重新运至一览表指定地点，并承担由此增加的费用和（或）延误的工期；</w:t>
      </w:r>
    </w:p>
    <w:p>
      <w:pPr>
        <w:tabs>
          <w:tab w:val="left" w:pos="2160"/>
        </w:tabs>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(5)供应数量少于一览表约定的数量时，由发包人补齐；多于一览表约定的数量时，发包人应将多出的部分运出施工场地；</w:t>
      </w:r>
    </w:p>
    <w:p>
      <w:pPr>
        <w:tabs>
          <w:tab w:val="left" w:pos="1980"/>
        </w:tabs>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(6)交货时间早于一览表约定计划和第48.2款交货日期，由发包人承担由此发生的保管费；交货时间迟于一览表约定计划和第48.2款交货日期，由发包人承担由此增加的费用和（或）延误的工期。</w:t>
      </w:r>
    </w:p>
    <w:p>
      <w:pPr>
        <w:tabs>
          <w:tab w:val="left" w:pos="216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48.7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234" name="文本框 234"/>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5pt;height:48.15pt;width:72pt;z-index:251860992;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nRnpdUAAAAIAQAA&#10;DwAAAAAAAAABACAAAAAiAAAAZHJzL2Rvd25yZXYueG1sUEsBAhQAFAAAAAgAh07iQIFAG5AcAgAA&#10;JgQAAA4AAAAAAAAAAQAgAAAAJAEAAGRycy9lMm9Eb2MueG1sUEsFBgAAAAAGAAYAWQEAALIFAAAA&#10;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宋体" w:hAnsi="宋体" w:cs="宋体"/>
          <w:color w:val="auto"/>
          <w:sz w:val="24"/>
          <w:szCs w:val="24"/>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pPr>
        <w:adjustRightInd w:val="0"/>
        <w:snapToGrid w:val="0"/>
        <w:spacing w:before="156" w:beforeLines="50"/>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48.8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233" name="文本框 233"/>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23.4pt;width:81pt;z-index:251862016;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5Ymg3UAAAACAEA&#10;AA8AAAAAAAAAAQAgAAAAIgAAAGRycy9kb3ducmV2LnhtbFBLAQIUABQAAAAIAIdO4kDNz3usHgIA&#10;ACcEAAAOAAAAAAAAAAEAIAAAACMBAABkcnMvZTJvRG9jLnhtbFBLBQYAAAAABgAGAFkBAACzBQAA&#10;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宋体" w:hAnsi="宋体" w:cs="宋体"/>
          <w:color w:val="auto"/>
          <w:sz w:val="24"/>
          <w:szCs w:val="24"/>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pPr>
        <w:adjustRightInd w:val="0"/>
        <w:snapToGrid w:val="0"/>
        <w:rPr>
          <w:rFonts w:ascii="宋体" w:hAnsi="宋体" w:cs="宋体"/>
          <w:b/>
          <w:bCs/>
          <w:color w:val="auto"/>
          <w:sz w:val="24"/>
          <w:szCs w:val="24"/>
          <w:highlight w:val="none"/>
          <w:u w:val="single"/>
        </w:rPr>
      </w:pPr>
    </w:p>
    <w:p>
      <w:pPr>
        <w:adjustRightInd w:val="0"/>
        <w:snapToGrid w:val="0"/>
        <w:spacing w:line="360" w:lineRule="auto"/>
        <w:outlineLvl w:val="2"/>
        <w:rPr>
          <w:rFonts w:ascii="宋体" w:hAnsi="宋体" w:cs="宋体"/>
          <w:b/>
          <w:bCs/>
          <w:color w:val="auto"/>
          <w:sz w:val="24"/>
          <w:szCs w:val="24"/>
          <w:highlight w:val="none"/>
        </w:rPr>
      </w:pPr>
      <w:bookmarkStart w:id="921" w:name="_Toc29278"/>
      <w:bookmarkStart w:id="922" w:name="_Toc4735"/>
      <w:bookmarkStart w:id="923" w:name="_Toc6454"/>
      <w:bookmarkStart w:id="924" w:name="_Toc469384032"/>
      <w:bookmarkStart w:id="925" w:name="_Toc1947321031"/>
      <w:bookmarkStart w:id="926" w:name="_Toc13785"/>
      <w:bookmarkStart w:id="927" w:name="_Toc30618"/>
      <w:bookmarkStart w:id="928" w:name="_Toc1158891561"/>
      <w:bookmarkStart w:id="929" w:name="_Toc21970"/>
      <w:r>
        <w:rPr>
          <w:rFonts w:hint="eastAsia" w:ascii="宋体" w:hAnsi="宋体" w:cs="宋体"/>
          <w:b/>
          <w:bCs/>
          <w:color w:val="auto"/>
          <w:sz w:val="24"/>
          <w:szCs w:val="24"/>
          <w:highlight w:val="none"/>
        </w:rPr>
        <w:t>49  承包人采购材料和工程设备</w:t>
      </w:r>
      <w:bookmarkEnd w:id="921"/>
      <w:bookmarkEnd w:id="922"/>
      <w:bookmarkEnd w:id="923"/>
      <w:bookmarkEnd w:id="924"/>
      <w:bookmarkEnd w:id="925"/>
      <w:bookmarkEnd w:id="926"/>
      <w:bookmarkEnd w:id="927"/>
      <w:bookmarkEnd w:id="928"/>
      <w:bookmarkEnd w:id="929"/>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49.1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32" name="文本框 232"/>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5pt;height:38.3pt;width:72pt;z-index:251863040;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7+1dYAAAAIAQAA&#10;DwAAAAAAAAABACAAAAAiAAAAZHJzL2Rvd25yZXYueG1sUEsBAhQAFAAAAAgAh07iQHeNQzUbAgAA&#10;JgQAAA4AAAAAAAAAAQAgAAAAJQEAAGRycy9lMm9Eb2MueG1sUEsFBgAAAAAGAAYAWQEAALIFAAAA&#10;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宋体" w:hAnsi="宋体" w:cs="宋体"/>
          <w:color w:val="auto"/>
          <w:sz w:val="24"/>
          <w:szCs w:val="24"/>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49.2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31" name="文本框 231"/>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5pt;height:38.3pt;width:72pt;z-index:251864064;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7+1dYAAAAIAQAA&#10;DwAAAAAAAAABACAAAAAiAAAAZHJzL2Rvd25yZXYueG1sUEsBAhQAFAAAAAgAh07iQPvtmzgbAgAA&#10;JgQAAA4AAAAAAAAAAQAgAAAAJQEAAGRycy9lMm9Eb2MueG1sUEsFBgAAAAAGAAYAWQEAALIFAAAA&#10;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宋体" w:hAnsi="宋体" w:cs="宋体"/>
          <w:color w:val="auto"/>
          <w:sz w:val="24"/>
          <w:szCs w:val="24"/>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49.3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230" name="文本框 230"/>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62.4pt;width:72pt;z-index:251865088;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ZDwqrUAAAACAEAAA8A&#10;AAAAAAAAAQAgAAAAIgAAAGRycy9kb3ducmV2LnhtbFBLAQIUABQAAAAIAIdO4kCcPeC7GwIAACYE&#10;AAAOAAAAAAAAAAEAIAAAACMBAABkcnMvZTJvRG9jLnhtbFBLBQYAAAAABgAGAFkBAACw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宋体" w:hAnsi="宋体" w:cs="宋体"/>
          <w:color w:val="auto"/>
          <w:sz w:val="24"/>
          <w:szCs w:val="24"/>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49.4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229" name="文本框 229"/>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62.4pt;width:72pt;z-index:251866112;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quL1AAAAAkBAAAP&#10;AAAAAAAAAAEAIAAAACIAAABkcnMvZG93bnJldi54bWxQSwECFAAUAAAACACHTuJA3u44cBwCAAAm&#10;BAAADgAAAAAAAAABACAAAAAjAQAAZHJzL2Uyb0RvYy54bWxQSwUGAAAAAAYABgBZAQAAs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宋体" w:hAnsi="宋体" w:cs="宋体"/>
          <w:color w:val="auto"/>
          <w:sz w:val="24"/>
          <w:szCs w:val="24"/>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228" name="文本框 228"/>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1pt;height:34.8pt;width:72pt;z-index:251867136;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3eY1HXAAAACgEA&#10;AA8AAAAAAAAAAQAgAAAAIgAAAGRycy9kb3ducmV2LnhtbFBLAQIUABQAAAAIAIdO4kBh83GlGwIA&#10;ACYEAAAOAAAAAAAAAAEAIAAAACYBAABkcnMvZTJvRG9jLnhtbFBLBQYAAAAABgAGAFkBAACzBQAA&#10;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hint="eastAsia" w:ascii="宋体" w:hAnsi="宋体" w:cs="宋体"/>
          <w:b/>
          <w:bCs/>
          <w:color w:val="auto"/>
          <w:sz w:val="24"/>
          <w:szCs w:val="24"/>
          <w:highlight w:val="none"/>
        </w:rPr>
        <w:t xml:space="preserve">49.5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果承包人不执行监理工程师依据第49.3款和第49.4款规定发出的指令,则发包人可自行或委托第三方执行该指令，由此发生的费用由承包人承担。该笔款项经造价工程师核实后，由发包人从应付或将付给承包人的工程款中扣除。</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49.6  </w:t>
      </w:r>
    </w:p>
    <w:p>
      <w:pPr>
        <w:tabs>
          <w:tab w:val="left" w:pos="1260"/>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227" name="文本框 227"/>
                <wp:cNvGraphicFramePr/>
                <a:graphic xmlns:a="http://schemas.openxmlformats.org/drawingml/2006/main">
                  <a:graphicData uri="http://schemas.microsoft.com/office/word/2010/wordprocessingShape">
                    <wps:wsp>
                      <wps:cNvSpPr txBox="1">
                        <a:spLocks noChangeArrowheads="1"/>
                      </wps:cNvSpPr>
                      <wps:spPr bwMode="auto">
                        <a:xfrm>
                          <a:off x="0" y="0"/>
                          <a:ext cx="914400" cy="41084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2.35pt;width:72pt;z-index:251868160;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f+s3bUAAAACAEAAA8A&#10;AAAAAAAAAQAgAAAAIgAAAGRycy9kb3ducmV2LnhtbFBLAQIUABQAAAAIAIdO4kCv/CBrGwIAACYE&#10;AAAOAAAAAAAAAAEAIAAAACMBAABkcnMvZTJvRG9jLnhtbFBLBQYAAAAABgAGAFkBAACw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宋体" w:hAnsi="宋体" w:cs="宋体"/>
          <w:color w:val="auto"/>
          <w:sz w:val="24"/>
          <w:szCs w:val="24"/>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49.7  </w:t>
      </w:r>
    </w:p>
    <w:p>
      <w:pPr>
        <w:tabs>
          <w:tab w:val="left" w:pos="1800"/>
        </w:tabs>
        <w:adjustRightInd w:val="0"/>
        <w:snapToGrid w:val="0"/>
        <w:spacing w:before="156" w:beforeLines="50"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226" name="文本框 226"/>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4pt;height:64.5pt;width:72pt;z-index:251869184;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2z3PWAAAACQEA&#10;AA8AAAAAAAAAAQAgAAAAIgAAAGRycy9kb3ducmV2LnhtbFBLAQIUABQAAAAIAIdO4kAIDACpHAIA&#10;ACYEAAAOAAAAAAAAAAEAIAAAACUBAABkcnMvZTJvRG9jLnhtbFBLBQYAAAAABgAGAFkBAACzBQAA&#10;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宋体" w:hAnsi="宋体" w:cs="宋体"/>
          <w:color w:val="auto"/>
          <w:sz w:val="24"/>
          <w:szCs w:val="24"/>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25" name="文本框 225"/>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3pt;height:56.05pt;width:72pt;z-index:251870208;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UP621wAAAAoB&#10;AAAPAAAAAAAAAAEAIAAAACIAAABkcnMvZG93bnJldi54bWxQSwECFAAUAAAACACHTuJAvbBGhRwC&#10;AAAmBAAADgAAAAAAAAABACAAAAAmAQAAZHJzL2Uyb0RvYy54bWxQSwUGAAAAAAYABgBZAQAAtAUA&#10;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hint="eastAsia" w:ascii="宋体" w:hAnsi="宋体" w:cs="宋体"/>
          <w:b/>
          <w:bCs/>
          <w:color w:val="auto"/>
          <w:sz w:val="24"/>
          <w:szCs w:val="24"/>
          <w:highlight w:val="none"/>
        </w:rPr>
        <w:t xml:space="preserve">49.8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承包人采购材料和工程设备的，除专用条款另有约定外，发包人不得指定生产厂家或供应商。</w:t>
      </w:r>
    </w:p>
    <w:p>
      <w:pPr>
        <w:adjustRightInd w:val="0"/>
        <w:snapToGrid w:val="0"/>
        <w:rPr>
          <w:rFonts w:ascii="宋体" w:hAnsi="宋体" w:cs="宋体"/>
          <w:b/>
          <w:bCs/>
          <w:color w:val="auto"/>
          <w:sz w:val="24"/>
          <w:szCs w:val="24"/>
          <w:highlight w:val="none"/>
          <w:u w:val="single"/>
        </w:rPr>
      </w:pPr>
    </w:p>
    <w:p>
      <w:pPr>
        <w:tabs>
          <w:tab w:val="left" w:pos="540"/>
        </w:tabs>
        <w:adjustRightInd w:val="0"/>
        <w:snapToGrid w:val="0"/>
        <w:spacing w:before="312" w:beforeLines="100"/>
        <w:outlineLvl w:val="2"/>
        <w:rPr>
          <w:rFonts w:ascii="宋体" w:hAnsi="宋体" w:cs="宋体"/>
          <w:b/>
          <w:bCs/>
          <w:color w:val="auto"/>
          <w:sz w:val="24"/>
          <w:szCs w:val="24"/>
          <w:highlight w:val="none"/>
        </w:rPr>
      </w:pPr>
      <w:bookmarkStart w:id="930" w:name="_Toc22951"/>
      <w:bookmarkStart w:id="931" w:name="_Toc469384033"/>
      <w:bookmarkStart w:id="932" w:name="_Toc1961271084"/>
      <w:bookmarkStart w:id="933" w:name="_Toc4593"/>
      <w:bookmarkStart w:id="934" w:name="_Toc973787737"/>
      <w:bookmarkStart w:id="935" w:name="_Toc1512"/>
      <w:bookmarkStart w:id="936" w:name="_Toc19130"/>
      <w:bookmarkStart w:id="937" w:name="_Toc27177"/>
      <w:bookmarkStart w:id="938" w:name="_Toc16665"/>
      <w:r>
        <w:rPr>
          <w:rFonts w:hint="eastAsia" w:ascii="宋体" w:hAnsi="宋体" w:cs="宋体"/>
          <w:b/>
          <w:bCs/>
          <w:color w:val="auto"/>
          <w:sz w:val="24"/>
          <w:szCs w:val="24"/>
          <w:highlight w:val="none"/>
        </w:rPr>
        <w:t>50  材料和工程设备的检验试验</w:t>
      </w:r>
      <w:bookmarkEnd w:id="930"/>
      <w:bookmarkEnd w:id="931"/>
      <w:bookmarkEnd w:id="932"/>
      <w:bookmarkEnd w:id="933"/>
      <w:bookmarkEnd w:id="934"/>
      <w:bookmarkEnd w:id="935"/>
      <w:bookmarkEnd w:id="936"/>
      <w:bookmarkEnd w:id="937"/>
      <w:bookmarkEnd w:id="938"/>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50.1</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24" name="文本框 224"/>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39.85pt;width:72pt;z-index:251871232;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ZJPrfUAAAABwEAAA8A&#10;AAAAAAAAAQAgAAAAIgAAAGRycy9kb3ducmV2LnhtbFBLAQIUABQAAAAIAIdO4kAggDuTGwIAACYE&#10;AAAOAAAAAAAAAAEAIAAAACMBAABkcnMvZTJvRG9jLnhtbFBLBQYAAAAABgAGAFkBAACw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宋体" w:hAnsi="宋体" w:cs="宋体"/>
          <w:color w:val="auto"/>
          <w:sz w:val="24"/>
          <w:szCs w:val="24"/>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pPr>
        <w:tabs>
          <w:tab w:val="left" w:pos="360"/>
          <w:tab w:val="left" w:pos="720"/>
        </w:tabs>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50.2  </w:t>
      </w:r>
    </w:p>
    <w:p>
      <w:pPr>
        <w:rPr>
          <w:rFonts w:ascii="宋体" w:hAnsi="宋体" w:cs="宋体"/>
          <w:color w:val="auto"/>
          <w:highlight w:val="none"/>
        </w:rPr>
      </w:pPr>
      <w:r>
        <w:rPr>
          <w:rFonts w:hint="eastAsia" w:ascii="宋体" w:hAnsi="宋体" w:cs="宋体"/>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223" name="文本框 223"/>
                <wp:cNvGraphicFramePr/>
                <a:graphic xmlns:a="http://schemas.openxmlformats.org/drawingml/2006/main">
                  <a:graphicData uri="http://schemas.microsoft.com/office/word/2010/wordprocessingShape">
                    <wps:wsp>
                      <wps:cNvSpPr txBox="1">
                        <a:spLocks noChangeArrowheads="1"/>
                      </wps:cNvSpPr>
                      <wps:spPr bwMode="auto">
                        <a:xfrm>
                          <a:off x="0" y="0"/>
                          <a:ext cx="914400" cy="57277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15pt;height:45.1pt;width:72pt;z-index:251872256;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2bk3TYAAAACgEA&#10;AA8AAAAAAAAAAQAgAAAAIgAAAGRycy9kb3ducmV2LnhtbFBLAQIUABQAAAAIAIdO4kBmoTpQGgIA&#10;ACYEAAAOAAAAAAAAAAEAIAAAACcBAABkcnMvZTJvRG9jLnhtbFBLBQYAAAAABgAGAFkBAACzBQAA&#10;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材料和工程设备等产品的检验试验，包括见证取样和不见证取样两种情形：</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(1)标准与规范、涉及结构安全有要求或合同有约定进行见证取样检验试验的材料和工程设备等产品，承包人应在取样前至少提前24小时通知监理工程师参加，并在监理工程师的见证下现场取样，同时送至具有相应资质等级的质量检测机构进行检验试验。</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(2)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pPr>
        <w:adjustRightInd w:val="0"/>
        <w:snapToGrid w:val="0"/>
        <w:spacing w:line="360" w:lineRule="auto"/>
        <w:ind w:left="1619" w:leftChars="1" w:hanging="1617" w:hangingChars="671"/>
        <w:rPr>
          <w:rFonts w:ascii="宋体" w:hAnsi="宋体" w:cs="宋体"/>
          <w:color w:val="auto"/>
          <w:sz w:val="24"/>
          <w:szCs w:val="24"/>
          <w:highlight w:val="none"/>
        </w:rPr>
      </w:pPr>
      <w:r>
        <w:rPr>
          <w:rFonts w:hint="eastAsia" w:ascii="宋体" w:hAnsi="宋体" w:cs="宋体"/>
          <w:b/>
          <w:bCs/>
          <w:color w:val="auto"/>
          <w:sz w:val="24"/>
          <w:szCs w:val="24"/>
          <w:highlight w:val="none"/>
        </w:rPr>
        <w:t xml:space="preserve">50.3 </w:t>
      </w:r>
    </w:p>
    <w:p>
      <w:pPr>
        <w:adjustRightInd w:val="0"/>
        <w:snapToGrid w:val="0"/>
        <w:spacing w:line="360" w:lineRule="auto"/>
        <w:ind w:left="1575" w:leftChars="750"/>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73280"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22" name="文本框 222"/>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9pt;height:43.9pt;width:72pt;z-index:251873280;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fpbDUAAAACAEAAA8A&#10;AAAAAAAAAQAgAAAAIgAAAGRycy9kb3ducmV2LnhtbFBLAQIUABQAAAAIAIdO4kAwJzqDGwIAACYE&#10;AAAOAAAAAAAAAAEAIAAAACMBAABkcnMvZTJvRG9jLnhtbFBLBQYAAAAABgAGAFkBAACw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宋体" w:hAnsi="宋体" w:cs="宋体"/>
          <w:color w:val="auto"/>
          <w:sz w:val="24"/>
          <w:szCs w:val="24"/>
          <w:highlight w:val="none"/>
        </w:rPr>
        <w:t>材料和工程设备等产品检验试验合格的，可在合同工程中使用。材料和工程设备等产品检验试验不合格的，禁止在合同工程中使用，并及时清出施工场地。</w:t>
      </w:r>
    </w:p>
    <w:p>
      <w:pPr>
        <w:tabs>
          <w:tab w:val="left" w:pos="540"/>
        </w:tabs>
        <w:adjustRightInd w:val="0"/>
        <w:snapToGrid w:val="0"/>
        <w:spacing w:line="360" w:lineRule="auto"/>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50.4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21" name="文本框 221"/>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43.75pt;width:72pt;z-index:251874304;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ER6A1QAAAAgBAAAP&#10;AAAAAAAAAAEAIAAAACIAAABkcnMvZG93bnJldi54bWxQSwECFAAUAAAACACHTuJAlqxeuhsCAAAm&#10;BAAADgAAAAAAAAABACAAAAAkAQAAZHJzL2Uyb0RvYy54bWxQSwUGAAAAAAYABgBZAQAAs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宋体" w:hAnsi="宋体" w:cs="宋体"/>
          <w:color w:val="auto"/>
          <w:sz w:val="24"/>
          <w:szCs w:val="24"/>
          <w:highlight w:val="none"/>
        </w:rPr>
        <w:t>除合同价款已包括外，材料和工程设备等产品的检验试验费，按照实际发生的费用计算。</w:t>
      </w:r>
    </w:p>
    <w:p>
      <w:pPr>
        <w:tabs>
          <w:tab w:val="left" w:pos="1620"/>
          <w:tab w:val="left" w:pos="1980"/>
          <w:tab w:val="left" w:pos="2160"/>
        </w:tabs>
        <w:adjustRightInd w:val="0"/>
        <w:snapToGrid w:val="0"/>
        <w:spacing w:line="360" w:lineRule="auto"/>
        <w:ind w:left="1617"/>
        <w:rPr>
          <w:rFonts w:ascii="宋体" w:hAnsi="宋体" w:cs="宋体"/>
          <w:color w:val="auto"/>
          <w:sz w:val="24"/>
          <w:szCs w:val="24"/>
          <w:highlight w:val="none"/>
        </w:rPr>
      </w:pPr>
      <w:r>
        <w:rPr>
          <w:rFonts w:hint="eastAsia" w:ascii="宋体" w:hAnsi="宋体" w:cs="宋体"/>
          <w:color w:val="auto"/>
          <w:sz w:val="24"/>
          <w:szCs w:val="24"/>
          <w:highlight w:val="none"/>
        </w:rPr>
        <w:t>（1）现场使用前材料和工程设备等产品的检验试验，发包人供应的，检验试验费由发包人承担；承包人采购的，检验试验费由承包人承担。</w:t>
      </w:r>
    </w:p>
    <w:p>
      <w:pPr>
        <w:tabs>
          <w:tab w:val="left" w:pos="1620"/>
          <w:tab w:val="left" w:pos="2160"/>
          <w:tab w:val="left" w:pos="2520"/>
        </w:tabs>
        <w:adjustRightInd w:val="0"/>
        <w:snapToGrid w:val="0"/>
        <w:spacing w:line="360" w:lineRule="auto"/>
        <w:ind w:left="1619"/>
        <w:rPr>
          <w:rFonts w:ascii="宋体" w:hAnsi="宋体" w:cs="宋体"/>
          <w:b/>
          <w:bCs/>
          <w:color w:val="auto"/>
          <w:sz w:val="24"/>
          <w:szCs w:val="24"/>
          <w:highlight w:val="none"/>
        </w:rPr>
      </w:pPr>
      <w:r>
        <w:rPr>
          <w:rFonts w:hint="eastAsia" w:ascii="宋体" w:hAnsi="宋体" w:cs="宋体"/>
          <w:color w:val="auto"/>
          <w:sz w:val="24"/>
          <w:szCs w:val="24"/>
          <w:highlight w:val="none"/>
        </w:rPr>
        <w:t>（2）施工过程中材料和工程设备等产品的检验试验，合格的，检验试验费由发包人承担。不合格的，发包人供应的，检验试验费由发包人承担；承包人采购的，检验试验费由承包人承担。</w:t>
      </w:r>
    </w:p>
    <w:p>
      <w:pPr>
        <w:tabs>
          <w:tab w:val="left" w:pos="1620"/>
          <w:tab w:val="left" w:pos="1980"/>
          <w:tab w:val="left" w:pos="2520"/>
          <w:tab w:val="left" w:pos="270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50.5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20" name="文本框 22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1.2pt;width:72pt;z-index:251875328;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a3aJbVAAAACAEAAA8A&#10;AAAAAAAAAQAgAAAAIgAAAGRycy9kb3ducmV2LnhtbFBLAQIUABQAAAAIAIdO4kC66w5zGgIAACYE&#10;AAAOAAAAAAAAAAEAIAAAACQBAABkcnMvZTJvRG9jLnhtbFBLBQYAAAAABgAGAFkBAACw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宋体" w:hAnsi="宋体" w:cs="宋体"/>
          <w:color w:val="auto"/>
          <w:sz w:val="24"/>
          <w:szCs w:val="24"/>
          <w:highlight w:val="none"/>
        </w:rPr>
        <w:t>监理工程师对承包人自行检验试验结果有疑问的，或重新查验检验试验结果的，可要求承包人共同对材料和工程设备等产品再次检验试验。</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（1）合格的，再次检验试验费和（或）延误的工期由发包人承担，并向承包人支付合理利润。</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（2）不合格的，发包人供应的，再次检验试验费和（或）延误的工期由发包人承担，并向承包人支付合理利润；承包人采购的，再次检验试验费和（或）延误的工期由承包人承担。</w:t>
      </w:r>
    </w:p>
    <w:p>
      <w:pPr>
        <w:tabs>
          <w:tab w:val="left" w:pos="540"/>
        </w:tabs>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50.6 </w:t>
      </w:r>
      <w:r>
        <w:rPr>
          <w:rFonts w:hint="eastAsia" w:ascii="宋体" w:hAnsi="宋体" w:cs="宋体"/>
          <w:color w:val="auto"/>
          <w:szCs w:val="20"/>
          <w:highlight w:val="none"/>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19" name="文本框 219"/>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54.35pt;width:72pt;z-index:251876352;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Fz6H2AAAAAoB&#10;AAAPAAAAAAAAAAEAIAAAACIAAABkcnMvZG93bnJldi54bWxQSwECFAAUAAAACACHTuJAOTPm4BsC&#10;AAAmBAAADgAAAAAAAAABACAAAAAnAQAAZHJzL2Uyb0RvYy54bWxQSwUGAAAAAAYABgBZAQAAtAUA&#10;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合同双方当事人对材料和工程设备等产品质量有争议的，所需的检验试验费由责任方承担。双方均有责任的，由双方根据其责任划分分别承担。</w:t>
      </w:r>
    </w:p>
    <w:p>
      <w:pPr>
        <w:adjustRightInd w:val="0"/>
        <w:snapToGrid w:val="0"/>
        <w:spacing w:line="360" w:lineRule="auto"/>
        <w:rPr>
          <w:rFonts w:ascii="宋体" w:hAnsi="宋体" w:cs="宋体"/>
          <w:color w:val="auto"/>
          <w:sz w:val="24"/>
          <w:szCs w:val="24"/>
          <w:highlight w:val="none"/>
          <w:u w:val="single"/>
        </w:rPr>
      </w:pPr>
    </w:p>
    <w:p>
      <w:pPr>
        <w:adjustRightInd w:val="0"/>
        <w:snapToGrid w:val="0"/>
        <w:spacing w:line="360" w:lineRule="auto"/>
        <w:outlineLvl w:val="2"/>
        <w:rPr>
          <w:rFonts w:ascii="宋体" w:hAnsi="宋体" w:cs="宋体"/>
          <w:b/>
          <w:bCs/>
          <w:color w:val="auto"/>
          <w:sz w:val="24"/>
          <w:szCs w:val="24"/>
          <w:highlight w:val="none"/>
        </w:rPr>
      </w:pPr>
      <w:bookmarkStart w:id="939" w:name="_Toc6248"/>
      <w:bookmarkStart w:id="940" w:name="_Toc7137"/>
      <w:bookmarkStart w:id="941" w:name="_Toc31439"/>
      <w:bookmarkStart w:id="942" w:name="_Toc32345"/>
      <w:bookmarkStart w:id="943" w:name="_Toc469384034"/>
      <w:bookmarkStart w:id="944" w:name="_Toc25600"/>
      <w:bookmarkStart w:id="945" w:name="_Toc1356610985"/>
      <w:bookmarkStart w:id="946" w:name="_Toc477621972"/>
      <w:bookmarkStart w:id="947" w:name="_Toc15563"/>
      <w:r>
        <w:rPr>
          <w:rFonts w:hint="eastAsia" w:ascii="宋体" w:hAnsi="宋体" w:cs="宋体"/>
          <w:b/>
          <w:bCs/>
          <w:color w:val="auto"/>
          <w:sz w:val="24"/>
          <w:szCs w:val="24"/>
          <w:highlight w:val="none"/>
        </w:rPr>
        <w:t>51  施工设备和临时设施</w:t>
      </w:r>
      <w:bookmarkEnd w:id="939"/>
      <w:bookmarkEnd w:id="940"/>
      <w:bookmarkEnd w:id="941"/>
      <w:bookmarkEnd w:id="942"/>
      <w:bookmarkEnd w:id="943"/>
      <w:bookmarkEnd w:id="944"/>
      <w:bookmarkEnd w:id="945"/>
      <w:bookmarkEnd w:id="946"/>
      <w:bookmarkEnd w:id="947"/>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51.1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218" name="文本框 218"/>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45pt;height:59.3pt;width:77.8pt;z-index:251877376;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1usc1QAAAAgB&#10;AAAPAAAAAAAAAAEAIAAAACIAAABkcnMvZG93bnJldi54bWxQSwECFAAUAAAACACHTuJAeLvbKx4C&#10;AAAmBAAADgAAAAAAAAABACAAAAAkAQAAZHJzL2Uyb0RvYy54bWxQSwUGAAAAAAYABgBZAQAAtAUA&#10;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宋体" w:hAnsi="宋体" w:cs="宋体"/>
          <w:color w:val="auto"/>
          <w:sz w:val="24"/>
          <w:szCs w:val="24"/>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进入施工场地的承包人施工设备，需经监理工程师核查后才能投入使用。承包人更换合同约定自身施工设备的，应经监理工程师同意并由其报发包人批准后方可实施。</w:t>
      </w:r>
    </w:p>
    <w:p>
      <w:pPr>
        <w:tabs>
          <w:tab w:val="left" w:pos="540"/>
        </w:tabs>
        <w:adjustRightInd w:val="0"/>
        <w:snapToGrid w:val="0"/>
        <w:spacing w:line="360" w:lineRule="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79424"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873760" cy="68580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发包人提供的施工设备和临时设施</w:t>
                            </w:r>
                          </w:p>
                          <w:p>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7pt;height:54pt;width:68.8pt;z-index:251879424;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JPsD3XAAAA&#10;CgEAAA8AAAAAAAAAAQAgAAAAIgAAAGRycy9kb3ducmV2LnhtbFBLAQIUABQAAAAIAIdO4kBgWEho&#10;HgIAACYEAAAOAAAAAAAAAAEAIAAAACYBAABkcnMvZTJvRG9jLnhtbFBLBQYAAAAABgAGAFkBAAC2&#10;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发包人提供的施工设备和临时设施</w:t>
                      </w:r>
                    </w:p>
                    <w:p>
                      <w:pPr>
                        <w:spacing w:line="240" w:lineRule="exact"/>
                        <w:rPr>
                          <w:sz w:val="18"/>
                          <w:szCs w:val="18"/>
                        </w:rPr>
                      </w:pPr>
                    </w:p>
                  </w:txbxContent>
                </v:textbox>
              </v:shape>
            </w:pict>
          </mc:Fallback>
        </mc:AlternateContent>
      </w:r>
      <w:r>
        <w:rPr>
          <w:rFonts w:hint="eastAsia" w:ascii="宋体" w:hAnsi="宋体" w:cs="宋体"/>
          <w:b/>
          <w:bCs/>
          <w:color w:val="auto"/>
          <w:sz w:val="24"/>
          <w:szCs w:val="24"/>
          <w:highlight w:val="none"/>
        </w:rPr>
        <w:t xml:space="preserve">51.2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如果发包人提供施工设备或临时设施的，合同双方当事人应在专用条款中约定施工设备或临时设施的品种、规格、型号和提供的时间、地点等内容。</w:t>
      </w:r>
    </w:p>
    <w:p>
      <w:pPr>
        <w:tabs>
          <w:tab w:val="left" w:pos="54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51.3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6" name="文本框 216"/>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7pt;height:51.95pt;width:68.8pt;z-index:251878400;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YUgB1QAAAAkB&#10;AAAPAAAAAAAAAAEAIAAAACIAAABkcnMvZG93bnJldi54bWxQSwECFAAUAAAACACHTuJArxPdPx4C&#10;AAAmBAAADgAAAAAAAAABACAAAAAkAQAAZHJzL2Uyb0RvYy54bWxQSwUGAAAAAAYABgBZAQAAtAUA&#10;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宋体" w:hAnsi="宋体" w:cs="宋体"/>
          <w:color w:val="auto"/>
          <w:sz w:val="24"/>
          <w:szCs w:val="24"/>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pPr>
        <w:tabs>
          <w:tab w:val="left" w:pos="54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51.4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rFonts w:hint="eastAsia" w:ascii="宋体" w:hAnsi="宋体" w:cs="宋体"/>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215" name="文本框 215"/>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51.9pt;width:72pt;z-index:251880448;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o6pSNUAAAAJAQAA&#10;DwAAAAAAAAABACAAAAAiAAAAZHJzL2Rvd25yZXYueG1sUEsBAhQAFAAAAAgAh07iQNaREC4cAgAA&#10;JgQAAA4AAAAAAAAAAQAgAAAAJAEAAGRycy9lMm9Eb2MueG1sUEsFBgAAAAAGAAYAWQEAALIFAAAA&#10;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宋体" w:hAnsi="宋体" w:cs="宋体"/>
          <w:color w:val="auto"/>
          <w:sz w:val="24"/>
          <w:szCs w:val="24"/>
          <w:highlight w:val="none"/>
        </w:rPr>
        <w:t>外，承包人不得将上述施工设备和临时设施中的任何部分运出施工场地或挪作他用。</w:t>
      </w:r>
    </w:p>
    <w:p>
      <w:pPr>
        <w:tabs>
          <w:tab w:val="left" w:pos="540"/>
        </w:tabs>
        <w:adjustRightInd w:val="0"/>
        <w:snapToGrid w:val="0"/>
        <w:spacing w:before="312" w:beforeLines="100" w:line="24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948" w:name="_Toc726944696"/>
      <w:bookmarkStart w:id="949" w:name="_Toc98610918"/>
      <w:bookmarkStart w:id="950" w:name="_Toc20335"/>
      <w:bookmarkStart w:id="951" w:name="_Toc21722"/>
      <w:bookmarkStart w:id="952" w:name="_Toc21327"/>
      <w:bookmarkStart w:id="953" w:name="_Toc4033"/>
      <w:bookmarkStart w:id="954" w:name="_Toc31213"/>
      <w:bookmarkStart w:id="955" w:name="_Toc469384035"/>
      <w:bookmarkStart w:id="956" w:name="_Toc30223"/>
      <w:r>
        <w:rPr>
          <w:rFonts w:hint="eastAsia" w:ascii="宋体" w:hAnsi="宋体" w:cs="宋体"/>
          <w:b/>
          <w:bCs/>
          <w:color w:val="auto"/>
          <w:sz w:val="24"/>
          <w:szCs w:val="24"/>
          <w:highlight w:val="none"/>
        </w:rPr>
        <w:t>52  工程质量检查</w:t>
      </w:r>
      <w:bookmarkEnd w:id="948"/>
      <w:bookmarkEnd w:id="949"/>
      <w:bookmarkEnd w:id="950"/>
      <w:bookmarkEnd w:id="951"/>
      <w:bookmarkEnd w:id="952"/>
      <w:bookmarkEnd w:id="953"/>
      <w:bookmarkEnd w:id="954"/>
      <w:bookmarkEnd w:id="955"/>
      <w:bookmarkEnd w:id="956"/>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52.1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214" name="文本框 214"/>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45pt;height:41.15pt;width:77.8pt;z-index:251881472;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pu+lR1QAAAAcB&#10;AAAPAAAAAAAAAAEAIAAAACIAAABkcnMvZG93bnJldi54bWxQSwECFAAUAAAACACHTuJAiF7voR4C&#10;AAAmBAAADgAAAAAAAAABACAAAAAkAQAAZHJzL2Uyb0RvYy54bWxQSwUGAAAAAAYABgBZAQAAtAUA&#10;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宋体" w:hAnsi="宋体" w:cs="宋体"/>
          <w:color w:val="auto"/>
          <w:sz w:val="24"/>
          <w:szCs w:val="24"/>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pPr>
        <w:tabs>
          <w:tab w:val="left" w:pos="54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52.2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213" name="文本框 213"/>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7pt;height:35.3pt;width:68.8pt;z-index:251882496;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alqT1QAAAAgB&#10;AAAPAAAAAAAAAAEAIAAAACIAAABkcnMvZG93bnJldi54bWxQSwECFAAUAAAACACHTuJAP2D19h4C&#10;AAAm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宋体" w:hAnsi="宋体" w:cs="宋体"/>
          <w:color w:val="auto"/>
          <w:sz w:val="24"/>
          <w:szCs w:val="24"/>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pPr>
        <w:adjustRightInd w:val="0"/>
        <w:snapToGrid w:val="0"/>
        <w:spacing w:line="360" w:lineRule="auto"/>
        <w:ind w:left="1619" w:leftChars="771"/>
        <w:rPr>
          <w:rFonts w:ascii="宋体" w:hAnsi="宋体" w:cs="宋体"/>
          <w:color w:val="auto"/>
          <w:sz w:val="24"/>
          <w:szCs w:val="24"/>
          <w:highlight w:val="none"/>
        </w:rPr>
      </w:pPr>
    </w:p>
    <w:p>
      <w:pPr>
        <w:tabs>
          <w:tab w:val="left" w:pos="54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52.3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83520"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2" name="文本框 212"/>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7pt;height:51.95pt;width:68.8pt;z-index:251883520;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YUgB1QAAAAkB&#10;AAAPAAAAAAAAAAEAIAAAACIAAABkcnMvZG93bnJldi54bWxQSwECFAAUAAAACACHTuJAv20CLR4C&#10;AAAm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宋体" w:hAnsi="宋体" w:cs="宋体"/>
          <w:color w:val="auto"/>
          <w:sz w:val="24"/>
          <w:szCs w:val="24"/>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tabs>
          <w:tab w:val="left" w:pos="54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52.4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1" name="文本框 211"/>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34.65pt;width:72pt;z-index:251884544;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8aGEHUAAAACAEAAA8AAAAA&#10;AAAAAQAgAAAAIgAAAGRycy9kb3ducmV2LnhtbFBLAQIUABQAAAAIAIdO4kBG+rnIGAIAACY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宋体" w:hAnsi="宋体" w:cs="宋体"/>
          <w:color w:val="auto"/>
          <w:sz w:val="24"/>
          <w:szCs w:val="24"/>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pPr>
        <w:tabs>
          <w:tab w:val="left" w:pos="54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52.5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0" name="文本框 210"/>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34.65pt;width:72pt;z-index:251885568;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8aGEHUAAAACAEAAA8AAAAA&#10;AAAAAQAgAAAAIgAAAGRycy9kb3ducmV2LnhtbFBLAQIUABQAAAAIAIdO4kDCJQ7MGAIAACY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宋体" w:hAnsi="宋体" w:cs="宋体"/>
          <w:color w:val="auto"/>
          <w:sz w:val="24"/>
          <w:szCs w:val="24"/>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pPr>
        <w:adjustRightInd w:val="0"/>
        <w:snapToGrid w:val="0"/>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957" w:name="_Toc2740"/>
      <w:bookmarkStart w:id="958" w:name="_Toc29176"/>
      <w:bookmarkStart w:id="959" w:name="_Toc469384036"/>
      <w:bookmarkStart w:id="960" w:name="_Toc21932"/>
      <w:bookmarkStart w:id="961" w:name="_Toc1643806989"/>
      <w:bookmarkStart w:id="962" w:name="_Toc10201"/>
      <w:bookmarkStart w:id="963" w:name="_Toc4116"/>
      <w:bookmarkStart w:id="964" w:name="_Toc725037889"/>
      <w:bookmarkStart w:id="965" w:name="_Toc16151"/>
      <w:r>
        <w:rPr>
          <w:rFonts w:hint="eastAsia" w:ascii="宋体" w:hAnsi="宋体" w:cs="宋体"/>
          <w:b/>
          <w:bCs/>
          <w:color w:val="auto"/>
          <w:sz w:val="24"/>
          <w:szCs w:val="24"/>
          <w:highlight w:val="none"/>
        </w:rPr>
        <w:t>53  隐蔽工程和中间验收</w:t>
      </w:r>
      <w:bookmarkEnd w:id="957"/>
      <w:bookmarkEnd w:id="958"/>
      <w:bookmarkEnd w:id="959"/>
      <w:bookmarkEnd w:id="960"/>
      <w:bookmarkEnd w:id="961"/>
      <w:bookmarkEnd w:id="962"/>
      <w:bookmarkEnd w:id="963"/>
      <w:bookmarkEnd w:id="964"/>
      <w:bookmarkEnd w:id="965"/>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53.1</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86592"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209" name="文本框 209"/>
                <wp:cNvGraphicFramePr/>
                <a:graphic xmlns:a="http://schemas.openxmlformats.org/drawingml/2006/main">
                  <a:graphicData uri="http://schemas.microsoft.com/office/word/2010/wordprocessingShape">
                    <wps:wsp>
                      <wps:cNvSpPr txBox="1">
                        <a:spLocks noChangeArrowheads="1"/>
                      </wps:cNvSpPr>
                      <wps:spPr bwMode="auto">
                        <a:xfrm>
                          <a:off x="0" y="0"/>
                          <a:ext cx="873760" cy="4546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1.4pt;height:35.8pt;width:68.8pt;z-index:251886592;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LIDs1AAAAAgBAAAP&#10;AAAAAAAAAAEAIAAAACIAAABkcnMvZG93bnJldi54bWxQSwECFAAUAAAACACHTuJAGQ9yBx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宋体" w:hAnsi="宋体" w:cs="宋体"/>
          <w:color w:val="auto"/>
          <w:sz w:val="24"/>
          <w:szCs w:val="24"/>
          <w:highlight w:val="none"/>
        </w:rPr>
        <w:t>没有经监理工程师验收同意，任何工程均不得覆盖或隐蔽。隐蔽工程覆盖前或中间验收部位具备专用条款约定的验收条件时，承包人应进行自检，并在隐蔽或中间验收前48小时向监理工程师提出隐蔽工程或中间验收申请，通知监理工程师验收。通知的内容包括工程隐蔽或中间验收的内容、时间、地点，以及自检记录和必要的验收资料。承包人应准备验收记录，并提供必要的资料和协助。</w:t>
      </w:r>
    </w:p>
    <w:p>
      <w:pPr>
        <w:tabs>
          <w:tab w:val="left" w:pos="720"/>
        </w:tabs>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53.2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208" name="文本框 208"/>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1pt;height:36.75pt;width:72pt;z-index:251887616;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o09G1QAAAAgBAAAP&#10;AAAAAAAAAAEAIAAAACIAAABkcnMvZG93bnJldi54bWxQSwECFAAUAAAACACHTuJApigQQR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宋体" w:hAnsi="宋体" w:cs="宋体"/>
          <w:color w:val="auto"/>
          <w:sz w:val="24"/>
          <w:szCs w:val="24"/>
          <w:highlight w:val="none"/>
        </w:rPr>
        <w:t>如果监理工程师不能按时参加验收，应至少提前24小时发出延期验收指令并书面说明理由，延期不得超过48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54.1款规定重新验收。</w:t>
      </w:r>
    </w:p>
    <w:p>
      <w:pPr>
        <w:tabs>
          <w:tab w:val="left" w:pos="720"/>
        </w:tabs>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53.3 </w:t>
      </w:r>
    </w:p>
    <w:p>
      <w:pPr>
        <w:tabs>
          <w:tab w:val="left" w:pos="2160"/>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207" name="文本框 207"/>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37.5pt;width:72pt;z-index:251888640;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QcWs1AAAAAcBAAAP&#10;AAAAAAAAAAEAIAAAACIAAABkcnMvZG93bnJldi54bWxQSwECFAAUAAAACACHTuJAf/la5x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宋体" w:hAnsi="宋体" w:cs="宋体"/>
          <w:color w:val="auto"/>
          <w:sz w:val="24"/>
          <w:szCs w:val="24"/>
          <w:highlight w:val="none"/>
        </w:rPr>
        <w:t>验收合格的，监理工程师应在验收记录上签字，并形成验收文件，承包人可进行隐蔽或继续施工。验收合格24小时后，监理工程师仍不在验收记录上签字，视为监理工程师已认可验收记录。</w:t>
      </w:r>
    </w:p>
    <w:p>
      <w:pPr>
        <w:tabs>
          <w:tab w:val="left" w:pos="2160"/>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验收不合格的，承包人应按照监理工程师的指令修改后重新验收，由此增加的费用和（或）延误的工期由承包人承担。</w:t>
      </w:r>
    </w:p>
    <w:p>
      <w:pPr>
        <w:tabs>
          <w:tab w:val="left" w:pos="540"/>
        </w:tabs>
        <w:adjustRightInd w:val="0"/>
        <w:snapToGrid w:val="0"/>
        <w:spacing w:line="360" w:lineRule="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06" name="文本框 20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31.2pt;width:72pt;z-index:251889664;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IIsrLXAAAACgEA&#10;AA8AAAAAAAAAAQAgAAAAIgAAAGRycy9kb3ducmV2LnhtbFBLAQIUABQAAAAIAIdO4kAvzWxm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宋体" w:hAnsi="宋体" w:cs="宋体"/>
          <w:b/>
          <w:bCs/>
          <w:color w:val="auto"/>
          <w:sz w:val="24"/>
          <w:szCs w:val="24"/>
          <w:highlight w:val="none"/>
        </w:rPr>
        <w:t xml:space="preserve">53.4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如监理工程师有指令，承包人应对隐蔽工程进行拍摄或照相，保证监理工程师能充分检查和测量隐蔽的工程。</w:t>
      </w:r>
    </w:p>
    <w:p>
      <w:pPr>
        <w:tabs>
          <w:tab w:val="left" w:pos="540"/>
        </w:tabs>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05" name="文本框 20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31.2pt;width:72pt;z-index:251890688;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CLKy1wAAAAoB&#10;AAAPAAAAAAAAAAEAIAAAACIAAABkcnMvZG93bnJldi54bWxQSwECFAAUAAAACACHTuJAo620axwC&#10;AAAmBAAADgAAAAAAAAABACAAAAAmAQAAZHJzL2Uyb0RvYy54bWxQSwUGAAAAAAYABgBZAQAAtAUA&#10;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宋体" w:hAnsi="宋体" w:cs="宋体"/>
          <w:b/>
          <w:bCs/>
          <w:color w:val="auto"/>
          <w:sz w:val="24"/>
          <w:szCs w:val="24"/>
          <w:highlight w:val="none"/>
        </w:rPr>
        <w:t xml:space="preserve">53.5  </w:t>
      </w:r>
    </w:p>
    <w:p>
      <w:pPr>
        <w:adjustRightInd w:val="0"/>
        <w:snapToGrid w:val="0"/>
        <w:spacing w:line="360" w:lineRule="auto"/>
        <w:ind w:left="1619" w:leftChars="771"/>
        <w:rPr>
          <w:rFonts w:ascii="宋体" w:hAnsi="宋体" w:cs="宋体"/>
          <w:color w:val="auto"/>
          <w:sz w:val="24"/>
          <w:szCs w:val="24"/>
          <w:highlight w:val="none"/>
          <w:u w:val="single"/>
        </w:rPr>
      </w:pPr>
      <w:r>
        <w:rPr>
          <w:rFonts w:hint="eastAsia" w:ascii="宋体" w:hAnsi="宋体" w:cs="宋体"/>
          <w:color w:val="auto"/>
          <w:sz w:val="24"/>
          <w:szCs w:val="24"/>
          <w:highlight w:val="none"/>
        </w:rPr>
        <w:t>承包人未通知监理工程师到场验收，私自将隐蔽工程覆盖的，监理工程师有权指令承包人进行钻孔探测或剥露验收，由此增加的费用和（或）延误的工期由承包人承担。</w:t>
      </w:r>
    </w:p>
    <w:p>
      <w:pPr>
        <w:adjustRightInd w:val="0"/>
        <w:snapToGrid w:val="0"/>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966" w:name="_Toc18319"/>
      <w:bookmarkStart w:id="967" w:name="_Toc28530"/>
      <w:bookmarkStart w:id="968" w:name="_Toc86945468"/>
      <w:bookmarkStart w:id="969" w:name="_Toc14665"/>
      <w:bookmarkStart w:id="970" w:name="_Toc469384037"/>
      <w:bookmarkStart w:id="971" w:name="_Toc12072"/>
      <w:bookmarkStart w:id="972" w:name="_Toc889587345"/>
      <w:bookmarkStart w:id="973" w:name="_Toc22629"/>
      <w:bookmarkStart w:id="974" w:name="_Toc17244"/>
      <w:r>
        <w:rPr>
          <w:rFonts w:hint="eastAsia" w:ascii="宋体" w:hAnsi="宋体" w:cs="宋体"/>
          <w:b/>
          <w:bCs/>
          <w:color w:val="auto"/>
          <w:sz w:val="24"/>
          <w:szCs w:val="24"/>
          <w:highlight w:val="none"/>
        </w:rPr>
        <w:t>54  重新验收和额外检查检验</w:t>
      </w:r>
      <w:bookmarkEnd w:id="966"/>
      <w:bookmarkEnd w:id="967"/>
      <w:bookmarkEnd w:id="968"/>
      <w:bookmarkEnd w:id="969"/>
      <w:bookmarkEnd w:id="970"/>
      <w:bookmarkEnd w:id="971"/>
      <w:bookmarkEnd w:id="972"/>
      <w:bookmarkEnd w:id="973"/>
      <w:bookmarkEnd w:id="974"/>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204" name="文本框 204"/>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4pt;height:22.5pt;width:63pt;z-index:251891712;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ccIW9UAAAAJAQAA&#10;DwAAAAAAAAABACAAAAAiAAAAZHJzL2Rvd25yZXYueG1sUEsBAhQAFAAAAAgAh07iQC6vVc0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宋体" w:hAnsi="宋体" w:cs="宋体"/>
          <w:b/>
          <w:bCs/>
          <w:color w:val="auto"/>
          <w:sz w:val="24"/>
          <w:szCs w:val="24"/>
          <w:highlight w:val="none"/>
        </w:rPr>
        <w:t>54.1</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tabs>
          <w:tab w:val="left" w:pos="540"/>
          <w:tab w:val="left" w:pos="7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54.2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203" name="文本框 203"/>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49.4pt;width:76.4pt;z-index:251892736;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xgWidUAAAAJAQAA&#10;DwAAAAAAAAABACAAAAAiAAAAZHJzL2Rvd25yZXYueG1sUEsBAhQAFAAAAAgAh07iQADltpI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宋体" w:hAnsi="宋体" w:cs="宋体"/>
          <w:color w:val="auto"/>
          <w:sz w:val="24"/>
          <w:szCs w:val="24"/>
          <w:highlight w:val="none"/>
        </w:rPr>
        <w:t>当监理工程师指令承包人进行合同中没有约定的检查检验，以核实合同工程某一部位或某种材料和工程设备等产品是否有缺陷时，承包人应按照要求进行检查检验。存在缺陷的，分别按照第50.5款、第52.3款规定处理；没有缺陷的，检查检验的费用和（或）延误的工期由发包人承担，并向承包人支付合理利润。</w:t>
      </w:r>
    </w:p>
    <w:p>
      <w:pPr>
        <w:adjustRightInd w:val="0"/>
        <w:snapToGrid w:val="0"/>
        <w:spacing w:line="360" w:lineRule="auto"/>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975" w:name="_Toc27363"/>
      <w:bookmarkStart w:id="976" w:name="_Toc513357001"/>
      <w:bookmarkStart w:id="977" w:name="_Toc27018"/>
      <w:bookmarkStart w:id="978" w:name="_Toc24800"/>
      <w:bookmarkStart w:id="979" w:name="_Toc1003600716"/>
      <w:bookmarkStart w:id="980" w:name="_Toc20294"/>
      <w:bookmarkStart w:id="981" w:name="_Toc5127"/>
      <w:bookmarkStart w:id="982" w:name="_Toc9659"/>
      <w:bookmarkStart w:id="983" w:name="_Toc469384038"/>
      <w:r>
        <w:rPr>
          <w:rFonts w:hint="eastAsia" w:ascii="宋体" w:hAnsi="宋体" w:cs="宋体"/>
          <w:b/>
          <w:bCs/>
          <w:color w:val="auto"/>
          <w:sz w:val="24"/>
          <w:szCs w:val="24"/>
          <w:highlight w:val="none"/>
        </w:rPr>
        <w:t>55  工程试车</w:t>
      </w:r>
      <w:bookmarkEnd w:id="975"/>
      <w:bookmarkEnd w:id="976"/>
      <w:bookmarkEnd w:id="977"/>
      <w:bookmarkEnd w:id="978"/>
      <w:bookmarkEnd w:id="979"/>
      <w:bookmarkEnd w:id="980"/>
      <w:bookmarkEnd w:id="981"/>
      <w:bookmarkEnd w:id="982"/>
      <w:bookmarkEnd w:id="983"/>
    </w:p>
    <w:p>
      <w:pPr>
        <w:adjustRightInd w:val="0"/>
        <w:snapToGrid w:val="0"/>
        <w:spacing w:line="360" w:lineRule="auto"/>
        <w:ind w:left="-2" w:leftChars="-1" w:firstLine="1"/>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55.1 </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202" name="文本框 20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pt;height:23.4pt;width:63pt;z-index:251893760;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Heyv9QAAAAIAQAA&#10;DwAAAAAAAAABACAAAAAiAAAAZHJzL2Rvd25yZXYueG1sUEsBAhQAFAAAAAgAh07iQDEzW+sdAgAA&#10;JgQAAA4AAAAAAAAAAQAgAAAAIwEAAGRycy9lMm9Eb2MueG1sUEsFBgAAAAAGAAYAWQEAALIFAAAA&#10;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宋体" w:hAnsi="宋体" w:cs="宋体"/>
          <w:color w:val="auto"/>
          <w:sz w:val="24"/>
          <w:szCs w:val="24"/>
          <w:highlight w:val="none"/>
        </w:rPr>
        <w:t>按照合同约定需要试车的，试车的内容应与承包人承包的安装范围相一致。</w:t>
      </w:r>
    </w:p>
    <w:p>
      <w:pPr>
        <w:tabs>
          <w:tab w:val="left" w:pos="540"/>
        </w:tabs>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55.2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201" name="文本框 201"/>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a:effectLst/>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25pt;height:36.95pt;width:72pt;z-index:251894784;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wf22dQAAAAHAQAADwAA&#10;AAAAAAABACAAAAAiAAAAZHJzL2Rvd25yZXYueG1sUEsBAhQAFAAAAAgAh07iQIR5KeMaAgAAJgQA&#10;AA4AAAAAAAAAAQAgAAAAIwEAAGRycy9lMm9Eb2MueG1sUEsFBgAAAAAGAAYAWQEAAK8FA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宋体" w:hAnsi="宋体" w:cs="宋体"/>
          <w:color w:val="auto"/>
          <w:sz w:val="24"/>
          <w:szCs w:val="24"/>
          <w:highlight w:val="none"/>
        </w:rPr>
        <w:t>设备安装工程具备单机无负荷试车条件时，承包人应组织试车，并在试车前48小时以书面形式通知监理工程师。通知包括试车内容、时间和地点。承包人应自行准备试车记录，发包人应为承包人试车提供便利和协助。</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监理工程师不能按时参加试车的，应在开始试车前至少提前24小时发出延期试车指令并书面说明理由，延期不能超过48小时。监理工程师未发出延期试车指令也未能按时参加试车的，承包人可自行试车，并认为试车是经监理工程师同意下完成的。试车完成后，承包人应立即向监理工程师提交试车记录，监理工程师应予认可。</w:t>
      </w:r>
    </w:p>
    <w:p>
      <w:pPr>
        <w:adjustRightInd w:val="0"/>
        <w:snapToGrid w:val="0"/>
        <w:spacing w:line="360" w:lineRule="auto"/>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55.3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200" name="文本框 200"/>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a:effectLst/>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05pt;height:37.15pt;width:68.8pt;z-index:251895808;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gLOg9QAAAAHAQAA&#10;DwAAAAAAAAABACAAAAAiAAAAZHJzL2Rvd25yZXYueG1sUEsBAhQAFAAAAAgAh07iQEKitvMdAgAA&#10;JgQAAA4AAAAAAAAAAQAgAAAAIwEAAGRycy9lMm9Eb2MueG1sUEsFBgAAAAAGAAYAWQEAALIFAAAA&#10;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宋体" w:hAnsi="宋体" w:cs="宋体"/>
          <w:color w:val="auto"/>
          <w:sz w:val="24"/>
          <w:szCs w:val="24"/>
          <w:highlight w:val="none"/>
        </w:rPr>
        <w:t>单机试车合格，监理工程师应在试车记录上签字，承包人可继续施工或申请办理竣工验收手续。单机试车合格24小时后，监理工程师仍不在试车记录上签字的，视为监理工程师已认可试车记录。</w:t>
      </w:r>
    </w:p>
    <w:p>
      <w:pPr>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55.4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199" name="文本框 199"/>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a:effectLst/>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9pt;height:38.8pt;width:68.8pt;z-index:251896832;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cVsADVAAAACAEAAA8A&#10;AAAAAAAAAQAgAAAAIgAAAGRycy9kb3ducmV2LnhtbFBLAQIUABQAAAAIAIdO4kAsuFrsGgIAACYE&#10;AAAOAAAAAAAAAAEAIAAAACQBAABkcnMvZTJvRG9jLnhtbFBLBQYAAAAABgAGAFkBAACwBQ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宋体" w:hAnsi="宋体" w:cs="宋体"/>
          <w:color w:val="auto"/>
          <w:sz w:val="24"/>
          <w:szCs w:val="24"/>
          <w:highlight w:val="none"/>
        </w:rPr>
        <w:t>设备安装工程具备联动无负荷试车条件时，发包人应组织试车，并在试车前48小时以书面形式通知承包人。通知包括试车内容、时间、地点和对承包人的要求，承包人应按照要求做好准备工作。试车合格，合同双方当事人均应在试车记录上签字。</w:t>
      </w:r>
    </w:p>
    <w:p>
      <w:pPr>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55.5  </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198" name="文本框 198"/>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33.7pt;width:69.6pt;z-index:251897856;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CYfOHWAAAACQEA&#10;AA8AAAAAAAAAAQAgAAAAIgAAAGRycy9kb3ducmV2LnhtbFBLAQIUABQAAAAIAIdO4kBYdhB9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宋体" w:hAnsi="宋体" w:cs="宋体"/>
          <w:color w:val="auto"/>
          <w:sz w:val="24"/>
          <w:szCs w:val="24"/>
          <w:highlight w:val="none"/>
        </w:rPr>
        <w:t>试车费用，除已含在合同价款外，由发包人承担。试车达不到验收要求的，按照下列规定处理：</w:t>
      </w:r>
    </w:p>
    <w:p>
      <w:pPr>
        <w:numPr>
          <w:ilvl w:val="0"/>
          <w:numId w:val="23"/>
        </w:numPr>
        <w:tabs>
          <w:tab w:val="left" w:pos="1080"/>
          <w:tab w:val="left" w:pos="162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由于设计原因试车达不到验收要求，发包人应要求设计人修改设计，承包人按照修改后的设计重新安装。发包人承担修改设计、拆除及重新安装的全部费用和延误的工期。</w:t>
      </w:r>
    </w:p>
    <w:p>
      <w:pPr>
        <w:numPr>
          <w:ilvl w:val="0"/>
          <w:numId w:val="23"/>
        </w:numPr>
        <w:tabs>
          <w:tab w:val="left" w:pos="1080"/>
          <w:tab w:val="left" w:pos="162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numPr>
          <w:ilvl w:val="0"/>
          <w:numId w:val="23"/>
        </w:numPr>
        <w:tabs>
          <w:tab w:val="left" w:pos="1080"/>
          <w:tab w:val="left" w:pos="198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由于承包人施工原因试车达不到验收要求，承包人应按照监理工程师要求重新安装和试车，并承担拆除、重新安装和重新试车的费用和延误的工期。</w:t>
      </w:r>
    </w:p>
    <w:p>
      <w:pPr>
        <w:adjustRightInd w:val="0"/>
        <w:snapToGrid w:val="0"/>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55.6  </w:t>
      </w:r>
    </w:p>
    <w:p>
      <w:pPr>
        <w:adjustRightInd w:val="0"/>
        <w:snapToGrid w:val="0"/>
        <w:rPr>
          <w:rFonts w:ascii="宋体" w:hAnsi="宋体" w:cs="宋体"/>
          <w:b/>
          <w:bCs/>
          <w:color w:val="auto"/>
          <w:sz w:val="24"/>
          <w:szCs w:val="24"/>
          <w:highlight w:val="none"/>
          <w:u w:val="dotted"/>
        </w:rPr>
      </w:pPr>
    </w:p>
    <w:p>
      <w:pPr>
        <w:tabs>
          <w:tab w:val="left" w:pos="0"/>
        </w:tabs>
        <w:adjustRightInd w:val="0"/>
        <w:snapToGrid w:val="0"/>
        <w:spacing w:line="400" w:lineRule="exact"/>
        <w:ind w:left="1678" w:leftChars="799"/>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197" name="文本框 19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pt;height:23.4pt;width:63pt;z-index:251898880;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c7SA1AAAAAgBAAAP&#10;AAAAAAAAAAEAIAAAACIAAABkcnMvZG93bnJldi54bWxQSwECFAAUAAAACACHTuJAsEct9h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宋体" w:hAnsi="宋体" w:cs="宋体"/>
          <w:color w:val="auto"/>
          <w:sz w:val="24"/>
          <w:szCs w:val="20"/>
          <w:highlight w:val="none"/>
        </w:rPr>
        <w:t>投料试车应在永久工程竣工验收后，由发包人负责。如果发包人要求在永久工程竣工验收前进行试车或需要承包人配合时，应事先取得承包人同意，并另行签订补充协议。</w:t>
      </w:r>
    </w:p>
    <w:p>
      <w:pPr>
        <w:adjustRightInd w:val="0"/>
        <w:snapToGrid w:val="0"/>
        <w:spacing w:line="24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984" w:name="_Toc7777"/>
      <w:bookmarkStart w:id="985" w:name="_Toc24391"/>
      <w:bookmarkStart w:id="986" w:name="_Toc469384039"/>
      <w:bookmarkStart w:id="987" w:name="_Toc12197"/>
      <w:bookmarkStart w:id="988" w:name="_Toc26368"/>
      <w:bookmarkStart w:id="989" w:name="_Toc1180670274"/>
      <w:bookmarkStart w:id="990" w:name="_Toc1549305808"/>
      <w:bookmarkStart w:id="991" w:name="_Toc22024"/>
      <w:bookmarkStart w:id="992" w:name="_Toc21965"/>
      <w:r>
        <w:rPr>
          <w:rFonts w:hint="eastAsia" w:ascii="宋体" w:hAnsi="宋体" w:cs="宋体"/>
          <w:b/>
          <w:bCs/>
          <w:color w:val="auto"/>
          <w:sz w:val="24"/>
          <w:szCs w:val="24"/>
          <w:highlight w:val="none"/>
        </w:rPr>
        <w:t>56  工程变更</w:t>
      </w:r>
      <w:bookmarkEnd w:id="984"/>
      <w:bookmarkEnd w:id="985"/>
      <w:bookmarkEnd w:id="986"/>
      <w:bookmarkEnd w:id="987"/>
      <w:bookmarkEnd w:id="988"/>
      <w:bookmarkEnd w:id="989"/>
      <w:bookmarkEnd w:id="990"/>
      <w:bookmarkEnd w:id="991"/>
      <w:bookmarkEnd w:id="992"/>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56.1</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196" name="文本框 196"/>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23.4pt;width:81pt;z-index:251899904;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zJMq0wAAAAcBAAAP&#10;AAAAAAAAAAEAIAAAACIAAABkcnMvZG93bnJldi54bWxQSwECFAAUAAAACACHTuJAyLFd7B0CAAAn&#10;BAAADgAAAAAAAAABACAAAAAi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宋体" w:hAnsi="宋体" w:cs="宋体"/>
          <w:color w:val="auto"/>
          <w:sz w:val="24"/>
          <w:szCs w:val="24"/>
          <w:highlight w:val="none"/>
        </w:rPr>
        <w:t>合同履行期间，经发包人批准，监理工程师可按照第56.3款约定的变更程序向承包人发出变更指令，承包人应按照合同约定实施变更工作。</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没有经发包人批准也没有监理工程师的工程变更指令，承包人应按照合同约定施工，无权对合同工程作出任何变更。</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工程量偏差不属于工程变更，该项工程量增减不需要任何指令。</w:t>
      </w:r>
    </w:p>
    <w:p>
      <w:pPr>
        <w:adjustRightInd w:val="0"/>
        <w:snapToGrid w:val="0"/>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56.2 </w:t>
      </w:r>
    </w:p>
    <w:p>
      <w:pPr>
        <w:adjustRightInd w:val="0"/>
        <w:snapToGrid w:val="0"/>
        <w:rPr>
          <w:rFonts w:ascii="宋体" w:hAnsi="宋体" w:cs="宋体"/>
          <w:color w:val="auto"/>
          <w:sz w:val="24"/>
          <w:szCs w:val="24"/>
          <w:highlight w:val="none"/>
        </w:rPr>
      </w:pP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195" name="文本框 19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5pt;height:31.2pt;width:72pt;z-index:251900928;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Ppe1dYAAAAJAQAA&#10;DwAAAAAAAAABACAAAAAiAAAAZHJzL2Rvd25yZXYueG1sUEsBAhQAFAAAAAgAh07iQLZ4qmAbAgAA&#10;Jg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宋体" w:hAnsi="宋体" w:cs="宋体"/>
          <w:color w:val="auto"/>
          <w:sz w:val="24"/>
          <w:szCs w:val="24"/>
          <w:highlight w:val="none"/>
        </w:rPr>
        <w:t>合同履行期间，发包人可对合同工程或其任何部分的形式、质量或数量作出变更。发生下列情形之一，应按照本条规定进行变更。</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(1) 改变合同工程中任何工程数量（不含工程量的偏差）；</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(2) 删减任何工作，但删减的工作不能转由发包人或其他人实施；</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(3) 改变任何工作内容的性质、质量或其他特征；</w:t>
      </w:r>
    </w:p>
    <w:p>
      <w:pPr>
        <w:adjustRightInd w:val="0"/>
        <w:snapToGrid w:val="0"/>
        <w:spacing w:line="360" w:lineRule="auto"/>
        <w:ind w:left="1619" w:leftChars="771" w:firstLine="1"/>
        <w:rPr>
          <w:rFonts w:ascii="宋体" w:hAnsi="宋体" w:cs="宋体"/>
          <w:color w:val="auto"/>
          <w:sz w:val="24"/>
          <w:szCs w:val="24"/>
          <w:highlight w:val="none"/>
        </w:rPr>
      </w:pPr>
      <w:r>
        <w:rPr>
          <w:rFonts w:hint="eastAsia" w:ascii="宋体" w:hAnsi="宋体" w:cs="宋体"/>
          <w:color w:val="auto"/>
          <w:sz w:val="24"/>
          <w:szCs w:val="24"/>
          <w:highlight w:val="none"/>
        </w:rPr>
        <w:t>(4) 改变工程任何部分的标高、基线、位置和(或)尺寸；</w:t>
      </w:r>
    </w:p>
    <w:p>
      <w:pPr>
        <w:adjustRightInd w:val="0"/>
        <w:snapToGrid w:val="0"/>
        <w:spacing w:line="360" w:lineRule="auto"/>
        <w:ind w:left="1619" w:leftChars="771" w:firstLine="1"/>
        <w:rPr>
          <w:rFonts w:ascii="宋体" w:hAnsi="宋体" w:cs="宋体"/>
          <w:color w:val="auto"/>
          <w:sz w:val="24"/>
          <w:szCs w:val="24"/>
          <w:highlight w:val="none"/>
        </w:rPr>
      </w:pPr>
      <w:r>
        <w:rPr>
          <w:rFonts w:hint="eastAsia" w:ascii="宋体" w:hAnsi="宋体" w:cs="宋体"/>
          <w:color w:val="auto"/>
          <w:sz w:val="24"/>
          <w:szCs w:val="24"/>
          <w:highlight w:val="none"/>
        </w:rPr>
        <w:t>(5) 为完成永久工程所必须的任何额外工作；</w:t>
      </w:r>
    </w:p>
    <w:p>
      <w:pPr>
        <w:adjustRightInd w:val="0"/>
        <w:snapToGrid w:val="0"/>
        <w:spacing w:line="360" w:lineRule="auto"/>
        <w:ind w:left="1619" w:leftChars="771" w:firstLine="1"/>
        <w:rPr>
          <w:rFonts w:ascii="宋体" w:hAnsi="宋体" w:cs="宋体"/>
          <w:color w:val="auto"/>
          <w:sz w:val="24"/>
          <w:szCs w:val="24"/>
          <w:highlight w:val="none"/>
        </w:rPr>
      </w:pPr>
      <w:r>
        <w:rPr>
          <w:rFonts w:hint="eastAsia" w:ascii="宋体" w:hAnsi="宋体" w:cs="宋体"/>
          <w:color w:val="auto"/>
          <w:sz w:val="24"/>
          <w:szCs w:val="24"/>
          <w:highlight w:val="none"/>
        </w:rPr>
        <w:t>但对合同工程工期、质量标准等实质性变更的，应在作出变更前，与承包人签订补充协议书，作为本合同的补充文件。</w:t>
      </w:r>
    </w:p>
    <w:p>
      <w:pPr>
        <w:adjustRightInd w:val="0"/>
        <w:snapToGrid w:val="0"/>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56.3  </w:t>
      </w:r>
    </w:p>
    <w:p>
      <w:pPr>
        <w:adjustRightInd w:val="0"/>
        <w:snapToGrid w:val="0"/>
        <w:rPr>
          <w:rFonts w:ascii="宋体" w:hAnsi="宋体" w:cs="宋体"/>
          <w:b/>
          <w:bCs/>
          <w:color w:val="auto"/>
          <w:sz w:val="24"/>
          <w:szCs w:val="24"/>
          <w:highlight w:val="none"/>
        </w:rPr>
      </w:pP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194" name="文本框 194"/>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43.85pt;width:72pt;z-index:251901952;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MP/Y1QAAAAgBAAAP&#10;AAAAAAAAAAEAIAAAACIAAABkcnMvZG93bnJldi54bWxQSwECFAAUAAAACACHTuJAUb2kKh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bookmarkStart w:id="993" w:name="OLE_LINK1"/>
      <w:r>
        <w:rPr>
          <w:rFonts w:hint="eastAsia" w:ascii="宋体" w:hAnsi="宋体" w:cs="宋体"/>
          <w:color w:val="auto"/>
          <w:sz w:val="24"/>
          <w:szCs w:val="24"/>
          <w:highlight w:val="none"/>
        </w:rPr>
        <w:t>合同工程发生变更</w:t>
      </w:r>
      <w:bookmarkEnd w:id="993"/>
      <w:r>
        <w:rPr>
          <w:rFonts w:hint="eastAsia" w:ascii="宋体" w:hAnsi="宋体" w:cs="宋体"/>
          <w:color w:val="auto"/>
          <w:sz w:val="24"/>
          <w:szCs w:val="24"/>
          <w:highlight w:val="none"/>
        </w:rPr>
        <w:t>，合同双方当事人以及监理工程师、造价工程师应遵循下列程序实施工程变更的相关工作。</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(1)合同工程可能发生或发生工程变更时，监理工程师或承包人可依据下列情况及时提出。</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2）合同工程发生第56.2款所列情形的，监理工程师应至少提前14天以书面形式向承包人发出变更指令，并提供变更的施工设计图纸及其说明等资料。</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4）若承包人收到监理工程师的变更意向书后认为难以实施此项变更的，应立即通知监理工程师，说明原因并附详细依据。监理工程师与合同双方当事人协商后确定撤销、改变或不改变原变更意向书。</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变更工作影响工期的，承包人应提出调整工期的要求。发包人认为有必要时，可要求承包人提交提前或者延长工期的施工进度计划或相应施工措施等资料。</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pPr>
        <w:adjustRightInd w:val="0"/>
        <w:snapToGrid w:val="0"/>
        <w:spacing w:line="360" w:lineRule="auto"/>
        <w:ind w:left="1575" w:leftChars="750"/>
        <w:rPr>
          <w:rFonts w:ascii="宋体" w:hAnsi="宋体" w:cs="宋体"/>
          <w:b/>
          <w:bCs/>
          <w:color w:val="auto"/>
          <w:sz w:val="24"/>
          <w:szCs w:val="24"/>
          <w:highlight w:val="none"/>
        </w:rPr>
      </w:pPr>
      <w:r>
        <w:rPr>
          <w:rFonts w:hint="eastAsia" w:ascii="宋体" w:hAnsi="宋体" w:cs="宋体"/>
          <w:color w:val="auto"/>
          <w:sz w:val="24"/>
          <w:szCs w:val="24"/>
          <w:highlight w:val="none"/>
        </w:rPr>
        <w:t>(4)承包人应在发包人确定工程变更报告后的7天内，按照监理工程师发出的变更指令及时组织实施变更工作。否则，由此引起的损失和（或）延误的工期由承包人承担。</w:t>
      </w:r>
    </w:p>
    <w:p>
      <w:pPr>
        <w:adjustRightInd w:val="0"/>
        <w:snapToGrid w:val="0"/>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56.4  </w:t>
      </w:r>
    </w:p>
    <w:p>
      <w:pPr>
        <w:adjustRightInd w:val="0"/>
        <w:snapToGrid w:val="0"/>
        <w:rPr>
          <w:rFonts w:ascii="宋体" w:hAnsi="宋体" w:cs="宋体"/>
          <w:b/>
          <w:bCs/>
          <w:color w:val="auto"/>
          <w:sz w:val="24"/>
          <w:szCs w:val="24"/>
          <w:highlight w:val="none"/>
        </w:rPr>
      </w:pP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193" name="文本框 193"/>
                <wp:cNvGraphicFramePr/>
                <a:graphic xmlns:a="http://schemas.openxmlformats.org/drawingml/2006/main">
                  <a:graphicData uri="http://schemas.microsoft.com/office/word/2010/wordprocessingShape">
                    <wps:wsp>
                      <wps:cNvSpPr txBox="1">
                        <a:spLocks noChangeArrowheads="1"/>
                      </wps:cNvSpPr>
                      <wps:spPr bwMode="auto">
                        <a:xfrm>
                          <a:off x="0" y="0"/>
                          <a:ext cx="914400" cy="41211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2.45pt;width:72pt;z-index:251902976;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7hOtdQAAAAIAQAADwAA&#10;AAAAAAABACAAAAAiAAAAZHJzL2Rvd25yZXYueG1sUEsBAhQAFAAAAAgAh07iQNyYiL8aAgAAJgQA&#10;AA4AAAAAAAAAAQAgAAAAIw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ascii="宋体" w:hAnsi="宋体" w:cs="宋体"/>
          <w:color w:val="auto"/>
          <w:sz w:val="24"/>
          <w:szCs w:val="24"/>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发包人采纳承包人的建议，给发包人带来降低合同价款、缩短工期或提交工程经济效益等利益的，发包人应按照国家有关规定并在专用条款中约定的计算方法予以奖励。</w:t>
      </w:r>
    </w:p>
    <w:p>
      <w:pPr>
        <w:adjustRightInd w:val="0"/>
        <w:snapToGrid w:val="0"/>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56.5  </w:t>
      </w:r>
    </w:p>
    <w:p>
      <w:pPr>
        <w:adjustRightInd w:val="0"/>
        <w:snapToGrid w:val="0"/>
        <w:rPr>
          <w:rFonts w:ascii="宋体" w:hAnsi="宋体" w:cs="宋体"/>
          <w:b/>
          <w:bCs/>
          <w:color w:val="auto"/>
          <w:sz w:val="24"/>
          <w:szCs w:val="24"/>
          <w:highlight w:val="none"/>
        </w:rPr>
      </w:pP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192" name="文本框 192"/>
                <wp:cNvGraphicFramePr/>
                <a:graphic xmlns:a="http://schemas.openxmlformats.org/drawingml/2006/main">
                  <a:graphicData uri="http://schemas.microsoft.com/office/word/2010/wordprocessingShape">
                    <wps:wsp>
                      <wps:cNvSpPr txBox="1">
                        <a:spLocks noChangeArrowheads="1"/>
                      </wps:cNvSpPr>
                      <wps:spPr bwMode="auto">
                        <a:xfrm>
                          <a:off x="0" y="0"/>
                          <a:ext cx="914400" cy="5880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46.3pt;width:72pt;z-index:251904000;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8ysRLVAAAACAEAAA8A&#10;AAAAAAAAAQAgAAAAIgAAAGRycy9kb3ducmV2LnhtbFBLAQIUABQAAAAIAIdO4kApTVEUGgIAACY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ascii="宋体" w:hAnsi="宋体" w:cs="宋体"/>
          <w:color w:val="auto"/>
          <w:sz w:val="24"/>
          <w:szCs w:val="24"/>
          <w:highlight w:val="none"/>
        </w:rPr>
        <w:t>工程变更不应使合同作废或无效。工程变更应按照第72条规定确定变更的工程款；影响工期的，工期应相应调整。但由于下列原因引起的变更，承包人无权要求任何额外或附加的费用，工期不予顺延：</w:t>
      </w: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（1）为了便于组织施工而采取的技术措施变更或临时工程变更；</w:t>
      </w: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（2）为了施工安全、避免干扰等原因而采取的技术措施变更或临时工程变更；</w:t>
      </w: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（3）因承包人违约、过错或承包人引起的其他变更。</w:t>
      </w:r>
    </w:p>
    <w:p>
      <w:pPr>
        <w:adjustRightInd w:val="0"/>
        <w:snapToGrid w:val="0"/>
        <w:spacing w:line="360" w:lineRule="auto"/>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994" w:name="_Toc468"/>
      <w:bookmarkStart w:id="995" w:name="_Toc25482"/>
      <w:bookmarkStart w:id="996" w:name="_Toc16767"/>
      <w:bookmarkStart w:id="997" w:name="_Toc24372"/>
      <w:bookmarkStart w:id="998" w:name="_Toc26474"/>
      <w:bookmarkStart w:id="999" w:name="_Toc776396838"/>
      <w:bookmarkStart w:id="1000" w:name="_Toc943495181"/>
      <w:bookmarkStart w:id="1001" w:name="_Toc28076"/>
      <w:bookmarkStart w:id="1002" w:name="_Toc469384040"/>
      <w:r>
        <w:rPr>
          <w:rFonts w:hint="eastAsia" w:ascii="宋体" w:hAnsi="宋体" w:cs="宋体"/>
          <w:b/>
          <w:bCs/>
          <w:color w:val="auto"/>
          <w:sz w:val="24"/>
          <w:szCs w:val="24"/>
          <w:highlight w:val="none"/>
        </w:rPr>
        <w:t>57  竣工验收条件</w:t>
      </w:r>
      <w:bookmarkEnd w:id="994"/>
      <w:bookmarkEnd w:id="995"/>
      <w:bookmarkEnd w:id="996"/>
      <w:bookmarkEnd w:id="997"/>
      <w:bookmarkEnd w:id="998"/>
      <w:bookmarkEnd w:id="999"/>
      <w:bookmarkEnd w:id="1000"/>
      <w:bookmarkEnd w:id="1001"/>
      <w:bookmarkEnd w:id="1002"/>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57.1</w:t>
      </w:r>
    </w:p>
    <w:p>
      <w:pPr>
        <w:spacing w:line="360" w:lineRule="auto"/>
        <w:ind w:left="1618" w:hanging="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91" name="文本框 191"/>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pt;height:33.3pt;width:72pt;z-index:251905024;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oeU3VAAAACAEAAA8A&#10;AAAAAAAAAQAgAAAAIgAAAGRycy9kb3ducmV2LnhtbFBLAQIUABQAAAAIAIdO4kBbah+0GgIAACY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宋体" w:hAnsi="宋体" w:cs="宋体"/>
          <w:color w:val="auto"/>
          <w:sz w:val="24"/>
          <w:szCs w:val="24"/>
          <w:highlight w:val="none"/>
        </w:rPr>
        <w:t>承包人实施、完成合同工程的全部工作内容，经自检评定并符合下列条件的，则认为合同工程已具备竣工验收条件。</w:t>
      </w:r>
    </w:p>
    <w:p>
      <w:pPr>
        <w:spacing w:line="360" w:lineRule="auto"/>
        <w:ind w:left="1618" w:hanging="1"/>
        <w:rPr>
          <w:rFonts w:ascii="宋体" w:hAnsi="宋体" w:cs="宋体"/>
          <w:color w:val="auto"/>
          <w:sz w:val="24"/>
          <w:szCs w:val="24"/>
          <w:highlight w:val="none"/>
        </w:rPr>
      </w:pPr>
      <w:r>
        <w:rPr>
          <w:rFonts w:hint="eastAsia" w:ascii="宋体" w:hAnsi="宋体" w:cs="宋体"/>
          <w:color w:val="auto"/>
          <w:sz w:val="24"/>
          <w:szCs w:val="24"/>
          <w:highlight w:val="none"/>
        </w:rPr>
        <w:t>(1）除监理工程师同意列入缺陷责任期内完成的尾工（甩项）工程和缺陷修补工作外，包括合同约定的试验、检验和验收等工作在内的合同范围内全部工作均已完成，并符合施工设计图纸和合同约定的要求；</w:t>
      </w:r>
    </w:p>
    <w:p>
      <w:pPr>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(2）已按照合同约定的内容和份数备齐了符合国家或行业、省要求的竣工资料（质量控制资料、竣工结算文件等）；</w:t>
      </w:r>
    </w:p>
    <w:p>
      <w:pPr>
        <w:spacing w:line="360" w:lineRule="auto"/>
        <w:ind w:left="1618" w:hanging="1"/>
        <w:rPr>
          <w:rFonts w:ascii="宋体" w:hAnsi="宋体" w:cs="宋体"/>
          <w:color w:val="auto"/>
          <w:sz w:val="24"/>
          <w:szCs w:val="24"/>
          <w:highlight w:val="none"/>
        </w:rPr>
      </w:pPr>
      <w:r>
        <w:rPr>
          <w:rFonts w:hint="eastAsia" w:ascii="宋体" w:hAnsi="宋体" w:cs="宋体"/>
          <w:color w:val="auto"/>
          <w:sz w:val="24"/>
          <w:szCs w:val="24"/>
          <w:highlight w:val="none"/>
        </w:rPr>
        <w:t>(3）已按照监理工程师的指令编制了在缺陷责任期内完成的尾工（甩项）工程和缺陷修补工作清单，以及相应的实施计划；</w:t>
      </w:r>
    </w:p>
    <w:p>
      <w:pPr>
        <w:spacing w:line="360" w:lineRule="auto"/>
        <w:ind w:firstLine="1620" w:firstLineChars="675"/>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(4）监理工程师要求在竣工验收前应完成的其他工作</w:t>
      </w:r>
      <w:r>
        <w:rPr>
          <w:rFonts w:hint="eastAsia" w:ascii="宋体" w:hAnsi="宋体" w:cs="宋体"/>
          <w:color w:val="auto"/>
          <w:sz w:val="24"/>
          <w:szCs w:val="24"/>
          <w:highlight w:val="none"/>
          <w:lang w:eastAsia="zh-CN"/>
        </w:rPr>
        <w:t>；</w:t>
      </w:r>
    </w:p>
    <w:p>
      <w:pPr>
        <w:spacing w:line="360" w:lineRule="auto"/>
        <w:ind w:firstLine="1620" w:firstLineChars="675"/>
        <w:rPr>
          <w:rFonts w:ascii="宋体" w:hAnsi="宋体" w:cs="宋体"/>
          <w:color w:val="auto"/>
          <w:sz w:val="24"/>
          <w:szCs w:val="24"/>
          <w:highlight w:val="none"/>
        </w:rPr>
      </w:pPr>
      <w:r>
        <w:rPr>
          <w:rFonts w:hint="eastAsia" w:ascii="宋体" w:hAnsi="宋体" w:cs="宋体"/>
          <w:color w:val="auto"/>
          <w:sz w:val="24"/>
          <w:szCs w:val="24"/>
          <w:highlight w:val="none"/>
        </w:rPr>
        <w:t>(5）监理工程师要求提交的竣工验收资料清单。</w:t>
      </w:r>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57.2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w:t>
      </w:r>
      <w:r>
        <w:rPr>
          <w:rFonts w:hint="eastAsia" w:ascii="宋体" w:hAnsi="宋体" w:cs="宋体"/>
          <w:color w:val="auto"/>
          <w:szCs w:val="20"/>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90" name="文本框 190"/>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pt;height:33.3pt;width:72pt;z-index:251906048;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oeU3VAAAACAEAAA8A&#10;AAAAAAAAAQAgAAAAIgAAAGRycy9kb3ducmV2LnhtbFBLAQIUABQAAAAIAIdO4kDftaiwGgIAACYE&#10;AAAOAAAAAAAAAAEAIAAAACQBAABkcnMvZTJvRG9jLnhtbFBLBQYAAAAABgAGAFkBAACw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宋体" w:hAnsi="宋体" w:cs="宋体"/>
          <w:color w:val="auto"/>
          <w:sz w:val="24"/>
          <w:szCs w:val="24"/>
          <w:highlight w:val="none"/>
        </w:rPr>
        <w:t>认为合同工程具备竣工验收条件的，应按照国家或行业、省规定的工程竣工验收技术资料格式和要求，及时向发包人提交竣工验收申请报告和符合要求的完整竣工资料，合同双方当事人应按照第58条规定进行验收。</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57.3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189" name="文本框 189"/>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05pt;height:32.05pt;width:68.8pt;z-index:251907072;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H8RN1QAAAAgB&#10;AAAPAAAAAAAAAAEAIAAAACIAAABkcnMvZG93bnJldi54bWxQSwECFAAUAAAACACHTuJAXF9B6h4C&#10;AAAm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宋体" w:hAnsi="宋体" w:cs="宋体"/>
          <w:color w:val="auto"/>
          <w:sz w:val="24"/>
          <w:szCs w:val="24"/>
          <w:highlight w:val="none"/>
        </w:rPr>
        <w:t>如果承包人不按照规定提交竣工资料或提交的资料不符合要求，则认为合同工程尚未具备竣工验收条件。</w:t>
      </w:r>
    </w:p>
    <w:p>
      <w:pPr>
        <w:adjustRightInd w:val="0"/>
        <w:snapToGrid w:val="0"/>
        <w:rPr>
          <w:rFonts w:ascii="宋体" w:hAnsi="宋体" w:cs="宋体"/>
          <w:b/>
          <w:bCs/>
          <w:color w:val="auto"/>
          <w:sz w:val="24"/>
          <w:szCs w:val="24"/>
          <w:highlight w:val="none"/>
          <w:u w:val="single"/>
        </w:rPr>
      </w:pPr>
    </w:p>
    <w:p>
      <w:pPr>
        <w:tabs>
          <w:tab w:val="left" w:pos="540"/>
        </w:tabs>
        <w:adjustRightInd w:val="0"/>
        <w:snapToGrid w:val="0"/>
        <w:spacing w:before="312" w:beforeLines="100"/>
        <w:outlineLvl w:val="2"/>
        <w:rPr>
          <w:rFonts w:ascii="宋体" w:hAnsi="宋体" w:cs="宋体"/>
          <w:b/>
          <w:bCs/>
          <w:color w:val="auto"/>
          <w:sz w:val="24"/>
          <w:szCs w:val="24"/>
          <w:highlight w:val="none"/>
        </w:rPr>
      </w:pPr>
      <w:bookmarkStart w:id="1003" w:name="_Toc17227"/>
      <w:bookmarkStart w:id="1004" w:name="_Toc469384041"/>
      <w:bookmarkStart w:id="1005" w:name="_Toc791017094"/>
      <w:bookmarkStart w:id="1006" w:name="_Toc3110"/>
      <w:bookmarkStart w:id="1007" w:name="_Toc14626"/>
      <w:bookmarkStart w:id="1008" w:name="_Toc17988"/>
      <w:bookmarkStart w:id="1009" w:name="_Toc304257619"/>
      <w:bookmarkStart w:id="1010" w:name="_Toc8054"/>
      <w:bookmarkStart w:id="1011" w:name="_Toc32287"/>
      <w:r>
        <w:rPr>
          <w:rFonts w:hint="eastAsia" w:ascii="宋体" w:hAnsi="宋体" w:cs="宋体"/>
          <w:b/>
          <w:bCs/>
          <w:color w:val="auto"/>
          <w:sz w:val="24"/>
          <w:szCs w:val="24"/>
          <w:highlight w:val="none"/>
        </w:rPr>
        <w:t>58  竣工验收</w:t>
      </w:r>
      <w:bookmarkEnd w:id="1003"/>
      <w:bookmarkEnd w:id="1004"/>
      <w:bookmarkEnd w:id="1005"/>
      <w:bookmarkEnd w:id="1006"/>
      <w:bookmarkEnd w:id="1007"/>
      <w:bookmarkEnd w:id="1008"/>
      <w:bookmarkEnd w:id="1009"/>
      <w:bookmarkEnd w:id="1010"/>
      <w:bookmarkEnd w:id="1011"/>
    </w:p>
    <w:p>
      <w:pPr>
        <w:tabs>
          <w:tab w:val="left" w:pos="1620"/>
        </w:tabs>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88" name="文本框 188"/>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3pt;height:32.1pt;width:68.8pt;z-index:25190809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7JEI1gAAAAoB&#10;AAAPAAAAAAAAAAEAIAAAACIAAABkcnMvZG93bnJldi54bWxQSwECFAAUAAAACACHTuJAYv91cR0C&#10;AAAm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宋体" w:hAnsi="宋体" w:cs="宋体"/>
          <w:b/>
          <w:bCs/>
          <w:color w:val="auto"/>
          <w:sz w:val="24"/>
          <w:szCs w:val="24"/>
          <w:highlight w:val="none"/>
        </w:rPr>
        <w:t>58.1</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合同双方当事人应在专用条款中约定合同工程竣工验收标准，但约定的竣工验收标准应符合国家或行业、省的有关规定。</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合同工程需要进行国家验收的，竣工验收是国家验收的一部分。</w:t>
      </w:r>
    </w:p>
    <w:p>
      <w:pPr>
        <w:tabs>
          <w:tab w:val="left" w:pos="1620"/>
        </w:tabs>
        <w:adjustRightInd w:val="0"/>
        <w:snapToGrid w:val="0"/>
        <w:spacing w:line="480" w:lineRule="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87" name="文本框 187"/>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3pt;height:32.1pt;width:68.8pt;z-index:25190912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7JEI1gAAAAoB&#10;AAAPAAAAAAAAAAEAIAAAACIAAABkcnMvZG93bnJldi54bWxQSwECFAAUAAAACACHTuJA3h3MSx0C&#10;AAAm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宋体" w:hAnsi="宋体" w:cs="宋体"/>
          <w:b/>
          <w:bCs/>
          <w:color w:val="auto"/>
          <w:sz w:val="24"/>
          <w:szCs w:val="24"/>
          <w:highlight w:val="none"/>
        </w:rPr>
        <w:t>58.2</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发包人收到承包人按照第57.2 款规定提交的竣工验收申请报告后，应及时通知监理工程师核查合同工程是否具备竣工验收条件。</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(1）经核查未具备竣工验收条件的，监理工程师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(2）经核查已具备竣工验收条件的，监理工程师应在收到竣工验收申请报告后的14天内书面提请发包人组织合同工程验收。</w:t>
      </w:r>
    </w:p>
    <w:p>
      <w:pPr>
        <w:tabs>
          <w:tab w:val="left" w:pos="1620"/>
        </w:tabs>
        <w:adjustRightInd w:val="0"/>
        <w:snapToGrid w:val="0"/>
        <w:spacing w:line="48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86" name="文本框 186"/>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3pt;height:32.1pt;width:68.8pt;z-index:251910144;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7JEI1gAAAAoB&#10;AAAPAAAAAAAAAAEAIAAAACIAAABkcnMvZG93bnJldi54bWxQSwECFAAUAAAACACHTuJAWsJ7Tx0C&#10;AAAm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宋体" w:hAnsi="宋体" w:cs="宋体"/>
          <w:b/>
          <w:bCs/>
          <w:color w:val="auto"/>
          <w:sz w:val="24"/>
          <w:szCs w:val="24"/>
          <w:highlight w:val="none"/>
        </w:rPr>
        <w:t xml:space="preserve">58.3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经监理工程师按照第58.2款规定核查合同工程已具备竣工验收条件的，发包人应在收到监理工程师书面提请后的28天内，根据合同约定的竣工验收标准和施工设计图纸等文件，按照第19.5款规定组织参加验收各方完成合同工程验收，并在竣工验收后14天内予以确认或提出修改意见。</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pPr>
        <w:adjustRightInd w:val="0"/>
        <w:snapToGrid w:val="0"/>
        <w:spacing w:line="480" w:lineRule="auto"/>
        <w:ind w:left="1626" w:leftChars="1" w:hanging="1624" w:hangingChars="674"/>
        <w:rPr>
          <w:rFonts w:ascii="宋体" w:hAnsi="宋体" w:cs="宋体"/>
          <w:color w:val="auto"/>
          <w:sz w:val="24"/>
          <w:szCs w:val="24"/>
          <w:highlight w:val="none"/>
        </w:rPr>
      </w:pPr>
      <w:r>
        <w:rPr>
          <w:rFonts w:hint="eastAsia" w:ascii="宋体" w:hAnsi="宋体" w:cs="宋体"/>
          <w:b/>
          <w:bCs/>
          <w:color w:val="auto"/>
          <w:sz w:val="24"/>
          <w:szCs w:val="24"/>
          <w:highlight w:val="none"/>
        </w:rPr>
        <w:t>58.4</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185" name="文本框 185"/>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5pt;height:35.55pt;width:68.8pt;z-index:251911168;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1iu3WAAAACAEA&#10;AA8AAAAAAAAAAQAgAAAAIgAAAGRycy9kb3ducmV2LnhtbFBLAQIUABQAAAAIAIdO4kCQ9QLx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宋体" w:hAnsi="宋体" w:cs="宋体"/>
          <w:color w:val="auto"/>
          <w:sz w:val="24"/>
          <w:szCs w:val="24"/>
          <w:highlight w:val="none"/>
        </w:rPr>
        <w:t>发包人未按照第58.3款规定完成合同工程验收，或验收后14天内未予确认也未提出修改意见，视为承包人提交的竣工验收申请报告已被认可。</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竣工验收申请报告被认可，则表明已完成合同工程，视为竣工验收合格，但由于不可抗力事件致使发包人不能完成验收的除外。</w:t>
      </w:r>
    </w:p>
    <w:p>
      <w:pPr>
        <w:tabs>
          <w:tab w:val="left" w:pos="1620"/>
        </w:tabs>
        <w:adjustRightInd w:val="0"/>
        <w:snapToGrid w:val="0"/>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58.5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184" name="文本框 18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5pt;height:31.2pt;width:72pt;z-index:251912192;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q/5N1QAAAAgBAAAP&#10;AAAAAAAAAAEAIAAAACIAAABkcnMvZG93bnJldi54bWxQSwECFAAUAAAACACHTuJA1FfMjh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宋体" w:hAnsi="宋体" w:cs="宋体"/>
          <w:color w:val="auto"/>
          <w:sz w:val="24"/>
          <w:szCs w:val="24"/>
          <w:highlight w:val="none"/>
        </w:rPr>
        <w:t>发包人未按照第58.3款规定完成合同工程验收，从收到监理工程师书面提请后的第29天起承担合同工程照管责任和其他一切意外责任。</w:t>
      </w:r>
    </w:p>
    <w:p>
      <w:pPr>
        <w:tabs>
          <w:tab w:val="left" w:pos="1620"/>
        </w:tabs>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58.6</w:t>
      </w:r>
    </w:p>
    <w:p>
      <w:pPr>
        <w:spacing w:line="360" w:lineRule="auto"/>
        <w:ind w:left="1620" w:leftChars="771" w:hanging="1"/>
        <w:rPr>
          <w:rFonts w:ascii="宋体" w:hAnsi="宋体" w:cs="宋体"/>
          <w:color w:val="auto"/>
          <w:sz w:val="24"/>
          <w:szCs w:val="24"/>
          <w:highlight w:val="none"/>
        </w:rPr>
      </w:pPr>
      <w:r>
        <w:rPr>
          <w:rFonts w:hint="eastAsia" w:ascii="宋体" w:hAnsi="宋体" w:cs="宋体"/>
          <w:color w:val="auto"/>
          <w:sz w:val="24"/>
          <w:szCs w:val="24"/>
          <w:highlight w:val="none"/>
        </w:rPr>
        <w:t>竣工</w:t>
      </w:r>
      <w:r>
        <w:rPr>
          <w:rFonts w:hint="eastAsia" w:ascii="宋体" w:hAnsi="宋体" w:cs="宋体"/>
          <w:color w:val="auto"/>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83" name="文本框 183"/>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1.15pt;width:72pt;z-index:251913216;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AkL/UAAAABwEAAA8A&#10;AAAAAAAAAQAgAAAAIgAAAGRycy9kb3ducmV2LnhtbFBLAQIUABQAAAAIAIdO4kAajWNw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宋体" w:hAnsi="宋体" w:cs="宋体"/>
          <w:color w:val="auto"/>
          <w:sz w:val="24"/>
          <w:szCs w:val="24"/>
          <w:highlight w:val="none"/>
        </w:rPr>
        <w:t>验收合格的，发包人应接收工程，并在收到承包人提交的竣工验收申请报告后的56天内向承包人颁发工程接收证书。</w:t>
      </w:r>
    </w:p>
    <w:p>
      <w:pPr>
        <w:spacing w:line="360" w:lineRule="auto"/>
        <w:ind w:left="1620" w:leftChars="771" w:hanging="1"/>
        <w:rPr>
          <w:rFonts w:ascii="宋体" w:hAnsi="宋体" w:cs="宋体"/>
          <w:color w:val="auto"/>
          <w:sz w:val="24"/>
          <w:szCs w:val="24"/>
          <w:highlight w:val="none"/>
        </w:rPr>
      </w:pPr>
      <w:r>
        <w:rPr>
          <w:rFonts w:hint="eastAsia" w:ascii="宋体" w:hAnsi="宋体" w:cs="宋体"/>
          <w:color w:val="auto"/>
          <w:sz w:val="24"/>
          <w:szCs w:val="24"/>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pPr>
        <w:spacing w:line="360" w:lineRule="auto"/>
        <w:ind w:left="1619" w:leftChars="771" w:firstLine="1"/>
        <w:rPr>
          <w:rFonts w:ascii="宋体" w:hAnsi="宋体" w:cs="宋体"/>
          <w:color w:val="auto"/>
          <w:sz w:val="24"/>
          <w:szCs w:val="24"/>
          <w:highlight w:val="none"/>
        </w:rPr>
      </w:pPr>
      <w:r>
        <w:rPr>
          <w:rFonts w:hint="eastAsia" w:ascii="宋体" w:hAnsi="宋体" w:cs="宋体"/>
          <w:color w:val="auto"/>
          <w:sz w:val="24"/>
          <w:szCs w:val="24"/>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tabs>
          <w:tab w:val="left" w:pos="16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58.7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82" name="文本框 182"/>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1.15pt;width:72pt;z-index:251914240;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AkL/UAAAABwEAAA8A&#10;AAAAAAAAAQAgAAAAIgAAAGRycy9kb3ducmV2LnhtbFBLAQIUABQAAAAIAIdO4kCeUtR0GwIAACYE&#10;AAAOAAAAAAAAAAEAIAAAACMBAABkcnMvZTJvRG9jLnhtbFBLBQYAAAAABgAGAFkBAACw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宋体" w:hAnsi="宋体" w:cs="宋体"/>
          <w:color w:val="auto"/>
          <w:sz w:val="24"/>
          <w:szCs w:val="24"/>
          <w:highlight w:val="none"/>
        </w:rPr>
        <w:t>竣工验收合格的合同工程，发包人应按照第38.2款规定在工程接收证书上写明合同工程的实际竣工日期。</w:t>
      </w:r>
    </w:p>
    <w:p>
      <w:pPr>
        <w:tabs>
          <w:tab w:val="left" w:pos="16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58.8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181" name="文本框 181"/>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98.65pt;width:72pt;z-index:251915264;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j9ys1QAAAAgBAAAP&#10;AAAAAAAAAAEAIAAAACIAAABkcnMvZG93bnJldi54bWxQSwECFAAUAAAACACHTuJA+TEs7BsCAAAn&#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宋体" w:hAnsi="宋体" w:cs="宋体"/>
          <w:color w:val="auto"/>
          <w:sz w:val="24"/>
          <w:szCs w:val="24"/>
          <w:highlight w:val="none"/>
        </w:rPr>
        <w:t>发包人要求某一单位工程或任一工程部位提前办理竣工验收的，应与承包人签订单位工程或工程部位竣工验收协议，作为本合同的附件。</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1）发包人根据合同进度计划安排，在全部工程竣工前需要使用已经竣工的单位工程或工程部位时，或承包人提出经发包人同意时，可进行单位工程或工程部位验收。验收的程序可参照第57条和本条上述相关条款规定进行。验收合格后，发包人应向承包人颁发单位工程或工程部位接收证书，并负责照管。单位工程或工程部位的验收成果和结论，作为全部工程竣工验收申请报告的附件。</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（2）发包人在全部工程竣工前，使用已接收的单位工程或工程部位导致承包人费用增加的，发包人应承担由此增加的费用和（或）延误的工期，并向承包人支付合理利润。</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58.9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80" name="文本框 180"/>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46.5pt;width:72pt;z-index:25191628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9Ap+9QAAAAHAQAADwAA&#10;AAAAAAABACAAAAAiAAAAZHJzL2Rvd25yZXYueG1sUEsBAhQAFAAAAAgAh07iQN+ta3IaAgAAJgQA&#10;AA4AAAAAAAAAAQAgAAAAIwEAAGRycy9lMm9Eb2MueG1sUEsFBgAAAAAGAAYAWQEAAK8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宋体" w:hAnsi="宋体" w:cs="宋体"/>
          <w:color w:val="auto"/>
          <w:sz w:val="24"/>
          <w:szCs w:val="24"/>
          <w:highlight w:val="none"/>
        </w:rPr>
        <w:t>合同工程尚未全部竣工（其中某项或某几项单位工程或工程部位已竣工），根据合同约定需要在施工期运行的，应由发包人按照第58.8款规定验收合格，并确保安全后，才能投入施工期运行。</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在施工期运行中，发现单位工程或工程部位存在缺陷或损坏的，由承包人按照第59.3款规定进行修复。</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58.10  </w:t>
      </w:r>
    </w:p>
    <w:p>
      <w:pPr>
        <w:spacing w:line="360" w:lineRule="auto"/>
        <w:ind w:left="1674" w:leftChars="797" w:firstLine="5"/>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79" name="文本框 179"/>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46.5pt;width:72pt;z-index:251917312;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fQKfvUAAAABwEAAA8A&#10;AAAAAAAAAQAgAAAAIgAAAGRycy9kb3ducmV2LnhtbFBLAQIUABQAAAAIAIdO4kA+yI+R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宋体" w:hAnsi="宋体" w:cs="宋体"/>
          <w:color w:val="auto"/>
          <w:sz w:val="24"/>
          <w:szCs w:val="24"/>
          <w:highlight w:val="none"/>
        </w:rPr>
        <w:t>专用条款没有约定的，工程接收证书颁发后，承包人应按照下列要求对施工场地进行清理，直至监理工程师检验合格为止。竣工清场费用由承包人承担。</w:t>
      </w:r>
    </w:p>
    <w:p>
      <w:pPr>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（1）施工场地内残留的垃圾已全部清除出场；</w:t>
      </w:r>
    </w:p>
    <w:p>
      <w:pPr>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（2）临时设施已拆除，场地已按照合同要求进行清理、平整或复原；</w:t>
      </w:r>
    </w:p>
    <w:p>
      <w:pPr>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（3）按照合同约定应撤离的承包人设备和剩余的材料，包括废弃的施工设备和材料，已按照计划撤离施工场地；</w:t>
      </w:r>
    </w:p>
    <w:p>
      <w:pPr>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（4）建筑物周边及其附近道路、河道的施工堆积物，已按照监理工程师指令全部清理；</w:t>
      </w:r>
    </w:p>
    <w:p>
      <w:pPr>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（5）监理工程师指令的其他场地清理工作已全部完成。</w:t>
      </w:r>
    </w:p>
    <w:p>
      <w:pPr>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如承包人未按照监理工程师的要求恢复临时占地，或者场地清理未达到合同约定的，发包人可自行或委托第三方恢复或清理，所发生的费用从应支付或将支付给承包人的款项中扣除。</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58.11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78" name="文本框 178"/>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46.5pt;width:72pt;z-index:251918336;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fQKfvUAAAABwEAAA8A&#10;AAAAAAAAAQAgAAAAIgAAAGRycy9kb3ducmV2LnhtbFBLAQIUABQAAAAIAIdO4kC6FziV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宋体" w:hAnsi="宋体" w:cs="宋体"/>
          <w:color w:val="auto"/>
          <w:sz w:val="24"/>
          <w:szCs w:val="24"/>
          <w:highlight w:val="none"/>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pPr>
        <w:tabs>
          <w:tab w:val="left" w:pos="1620"/>
        </w:tabs>
        <w:adjustRightInd w:val="0"/>
        <w:snapToGrid w:val="0"/>
        <w:spacing w:line="480" w:lineRule="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19360"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177" name="文本框 177"/>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23.55pt;height:46.55pt;width:72pt;z-index:251919360;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RpxRHXAAAACgEA&#10;AA8AAAAAAAAAAQAgAAAAIgAAAGRycy9kb3ducmV2LnhtbFBLAQIUABQAAAAIAIdO4kCpBqbk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hint="eastAsia" w:ascii="宋体" w:hAnsi="宋体" w:cs="宋体"/>
          <w:b/>
          <w:bCs/>
          <w:color w:val="auto"/>
          <w:sz w:val="24"/>
          <w:szCs w:val="24"/>
          <w:highlight w:val="none"/>
        </w:rPr>
        <w:t>58.12</w:t>
      </w:r>
    </w:p>
    <w:p>
      <w:pPr>
        <w:tabs>
          <w:tab w:val="left" w:pos="0"/>
        </w:tabs>
        <w:adjustRightInd w:val="0"/>
        <w:snapToGrid w:val="0"/>
        <w:spacing w:line="400" w:lineRule="exact"/>
        <w:ind w:left="1703" w:leftChars="771" w:hanging="84" w:hangingChars="35"/>
        <w:rPr>
          <w:rFonts w:ascii="宋体" w:hAnsi="宋体" w:cs="宋体"/>
          <w:color w:val="auto"/>
          <w:sz w:val="24"/>
          <w:szCs w:val="20"/>
          <w:highlight w:val="none"/>
        </w:rPr>
      </w:pPr>
      <w:r>
        <w:rPr>
          <w:rFonts w:hint="eastAsia" w:ascii="宋体" w:hAnsi="宋体" w:cs="宋体"/>
          <w:color w:val="auto"/>
          <w:sz w:val="24"/>
          <w:szCs w:val="20"/>
          <w:highlight w:val="none"/>
        </w:rPr>
        <w:t>合同工程未经竣工验收或竣工验收不合格的，发包人不得使用。发包人强行使用的，由此发生的质量问题及其他问题，由发包人承担责任。</w:t>
      </w:r>
    </w:p>
    <w:p>
      <w:pPr>
        <w:tabs>
          <w:tab w:val="left" w:pos="1620"/>
        </w:tabs>
        <w:adjustRightInd w:val="0"/>
        <w:snapToGrid w:val="0"/>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58.13</w:t>
      </w:r>
    </w:p>
    <w:p>
      <w:pPr>
        <w:tabs>
          <w:tab w:val="left" w:pos="0"/>
        </w:tabs>
        <w:adjustRightInd w:val="0"/>
        <w:snapToGrid w:val="0"/>
        <w:spacing w:line="400" w:lineRule="exact"/>
        <w:ind w:left="1703" w:leftChars="771" w:hanging="84" w:hangingChars="35"/>
        <w:rPr>
          <w:rFonts w:ascii="宋体" w:hAnsi="宋体" w:cs="宋体"/>
          <w:color w:val="auto"/>
          <w:sz w:val="24"/>
          <w:szCs w:val="20"/>
          <w:highlight w:val="none"/>
        </w:rPr>
      </w:pPr>
      <w:r>
        <w:rPr>
          <w:rFonts w:hint="eastAsia" w:ascii="宋体" w:hAnsi="宋体" w:cs="宋体"/>
          <w:color w:val="auto"/>
          <w:sz w:val="24"/>
          <w:szCs w:val="20"/>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176" name="文本框 176"/>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pt;width:72pt;z-index:251920384;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M+L1QAAAAgBAAAPAAAA&#10;AAAAAAEAIAAAACIAAABkcnMvZG93bnJldi54bWxQSwECFAAUAAAACACHTuJAQ2FQeBgCAAAm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宋体" w:hAnsi="宋体" w:cs="宋体"/>
          <w:color w:val="auto"/>
          <w:sz w:val="24"/>
          <w:szCs w:val="20"/>
          <w:highlight w:val="none"/>
        </w:rPr>
        <w:t>合同工程竣工验收时发生工程质量争议，经第86.4款规定调解或认定工程质量符合合同要求的，由发包人承担由此增加的费用和（或）延误的工期。</w:t>
      </w:r>
    </w:p>
    <w:p>
      <w:pPr>
        <w:adjustRightInd w:val="0"/>
        <w:snapToGrid w:val="0"/>
        <w:rPr>
          <w:rFonts w:ascii="宋体" w:hAnsi="宋体" w:cs="宋体"/>
          <w:b/>
          <w:bCs/>
          <w:color w:val="auto"/>
          <w:sz w:val="24"/>
          <w:szCs w:val="24"/>
          <w:highlight w:val="none"/>
          <w:u w:val="single"/>
        </w:rPr>
      </w:pPr>
    </w:p>
    <w:p>
      <w:pPr>
        <w:tabs>
          <w:tab w:val="left" w:pos="540"/>
        </w:tabs>
        <w:adjustRightInd w:val="0"/>
        <w:snapToGrid w:val="0"/>
        <w:spacing w:before="468" w:beforeLines="150" w:line="360" w:lineRule="auto"/>
        <w:outlineLvl w:val="2"/>
        <w:rPr>
          <w:rFonts w:ascii="宋体" w:hAnsi="宋体" w:cs="宋体"/>
          <w:b/>
          <w:bCs/>
          <w:color w:val="auto"/>
          <w:sz w:val="24"/>
          <w:szCs w:val="24"/>
          <w:highlight w:val="none"/>
        </w:rPr>
      </w:pPr>
      <w:bookmarkStart w:id="1012" w:name="_Toc26897"/>
      <w:bookmarkStart w:id="1013" w:name="_Toc469384042"/>
      <w:bookmarkStart w:id="1014" w:name="_Toc10453"/>
      <w:bookmarkStart w:id="1015" w:name="_Toc29596"/>
      <w:bookmarkStart w:id="1016" w:name="_Toc17065"/>
      <w:bookmarkStart w:id="1017" w:name="_Toc14547"/>
      <w:bookmarkStart w:id="1018" w:name="_Toc13379"/>
      <w:bookmarkStart w:id="1019" w:name="_Toc1700523928"/>
      <w:bookmarkStart w:id="1020" w:name="_Toc499239026"/>
      <w:r>
        <w:rPr>
          <w:rFonts w:hint="eastAsia" w:ascii="宋体" w:hAnsi="宋体" w:cs="宋体"/>
          <w:b/>
          <w:bCs/>
          <w:color w:val="auto"/>
          <w:sz w:val="24"/>
          <w:szCs w:val="24"/>
          <w:highlight w:val="none"/>
        </w:rPr>
        <w:t>59  缺陷责任与质量保修</w:t>
      </w:r>
      <w:bookmarkEnd w:id="1012"/>
      <w:bookmarkEnd w:id="1013"/>
      <w:bookmarkEnd w:id="1014"/>
      <w:bookmarkEnd w:id="1015"/>
      <w:bookmarkEnd w:id="1016"/>
      <w:bookmarkEnd w:id="1017"/>
      <w:bookmarkEnd w:id="1018"/>
      <w:bookmarkEnd w:id="1019"/>
      <w:bookmarkEnd w:id="1020"/>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5" name="文本框 175"/>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D2cKvX&#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宋体" w:hAnsi="宋体" w:cs="宋体"/>
          <w:b/>
          <w:bCs/>
          <w:color w:val="auto"/>
          <w:sz w:val="24"/>
          <w:szCs w:val="24"/>
          <w:highlight w:val="none"/>
        </w:rPr>
        <w:t xml:space="preserve">59.1  </w:t>
      </w:r>
    </w:p>
    <w:p>
      <w:pPr>
        <w:spacing w:line="360" w:lineRule="auto"/>
        <w:ind w:firstLine="1574" w:firstLineChars="656"/>
        <w:rPr>
          <w:rFonts w:ascii="宋体" w:hAnsi="宋体" w:cs="宋体"/>
          <w:color w:val="auto"/>
          <w:sz w:val="24"/>
          <w:szCs w:val="24"/>
          <w:highlight w:val="none"/>
        </w:rPr>
      </w:pPr>
      <w:r>
        <w:rPr>
          <w:rFonts w:hint="eastAsia" w:ascii="宋体" w:hAnsi="宋体" w:cs="宋体"/>
          <w:color w:val="auto"/>
          <w:sz w:val="24"/>
          <w:szCs w:val="24"/>
          <w:highlight w:val="none"/>
        </w:rPr>
        <w:t>合同双方当事人应在专用条款中约定缺陷责任期。</w:t>
      </w:r>
    </w:p>
    <w:p>
      <w:pPr>
        <w:adjustRightInd w:val="0"/>
        <w:snapToGrid w:val="0"/>
        <w:spacing w:line="360" w:lineRule="auto"/>
        <w:ind w:left="1575" w:leftChars="750"/>
        <w:rPr>
          <w:rFonts w:ascii="宋体" w:hAnsi="宋体" w:cs="宋体"/>
          <w:b/>
          <w:bCs/>
          <w:color w:val="auto"/>
          <w:sz w:val="24"/>
          <w:szCs w:val="24"/>
          <w:highlight w:val="none"/>
        </w:rPr>
      </w:pPr>
      <w:r>
        <w:rPr>
          <w:rFonts w:hint="eastAsia" w:ascii="宋体" w:hAnsi="宋体" w:cs="宋体"/>
          <w:color w:val="auto"/>
          <w:sz w:val="24"/>
          <w:szCs w:val="24"/>
          <w:highlight w:val="none"/>
        </w:rPr>
        <w:t>缺陷责任期自实际竣工之日起计算。在全部工程竣工验收前，已经发包人提前验收的单位工程，其缺陷责任期的起算日期相应提前。</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4" name="文本框 174"/>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2243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ByrxzT&#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宋体" w:hAnsi="宋体" w:cs="宋体"/>
          <w:b/>
          <w:bCs/>
          <w:color w:val="auto"/>
          <w:sz w:val="24"/>
          <w:szCs w:val="24"/>
          <w:highlight w:val="none"/>
        </w:rPr>
        <w:t xml:space="preserve">59.2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由于承包人原因造成某项缺陷或损坏使某项工程或工程设备不能按照原定目标使用而需要再次检查、检验和修复的，发包人有权要求承包人相应延长缺陷责任期，但缺陷责任期最长不超过2年。</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3" name="文本框 173"/>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2345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DusRvM&#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宋体" w:hAnsi="宋体" w:cs="宋体"/>
          <w:b/>
          <w:bCs/>
          <w:color w:val="auto"/>
          <w:sz w:val="24"/>
          <w:szCs w:val="24"/>
          <w:highlight w:val="none"/>
        </w:rPr>
        <w:t xml:space="preserve">59.3  </w:t>
      </w:r>
    </w:p>
    <w:p>
      <w:pPr>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合同工程存在某项缺陷或损坏的，合同双方当事人应按照下列规定承担缺陷责任以及由此产生的费用。</w:t>
      </w:r>
    </w:p>
    <w:p>
      <w:pPr>
        <w:tabs>
          <w:tab w:val="left" w:pos="0"/>
        </w:tabs>
        <w:adjustRightInd w:val="0"/>
        <w:snapToGrid w:val="0"/>
        <w:spacing w:line="400" w:lineRule="exact"/>
        <w:ind w:left="1676" w:leftChars="798" w:firstLine="3"/>
        <w:rPr>
          <w:rFonts w:ascii="宋体" w:hAnsi="宋体" w:cs="宋体"/>
          <w:color w:val="auto"/>
          <w:sz w:val="24"/>
          <w:szCs w:val="20"/>
          <w:highlight w:val="none"/>
        </w:rPr>
      </w:pPr>
      <w:r>
        <w:rPr>
          <w:rFonts w:hint="eastAsia" w:ascii="宋体" w:hAnsi="宋体" w:cs="宋体"/>
          <w:color w:val="auto"/>
          <w:sz w:val="24"/>
          <w:szCs w:val="20"/>
          <w:highlight w:val="none"/>
        </w:rPr>
        <w:t>（1）承包人应在缺陷责任期内对已交付使用的工程承担缺陷责任。</w:t>
      </w:r>
    </w:p>
    <w:p>
      <w:pPr>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pPr>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3）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2" name="文本框 172"/>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2448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BqbqzI&#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宋体" w:hAnsi="宋体" w:cs="宋体"/>
          <w:b/>
          <w:bCs/>
          <w:color w:val="auto"/>
          <w:sz w:val="24"/>
          <w:szCs w:val="24"/>
          <w:highlight w:val="none"/>
        </w:rPr>
        <w:t xml:space="preserve">59.4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任何一项缺陷或损坏修复后，经检查证明其影响了工程或工程设备的使用性能，承包人应按照第54条规定重新检（试）验，重新检（试）验的费用由责任方承担。</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1" name="文本框 171"/>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2550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Wb+ndgAAAAK&#10;AQAADwAAAAAAAAABACAAAAAiAAAAZHJzL2Rvd25yZXYueG1sUEsBAhQAFAAAAAgAh07iQOYOdMU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宋体" w:hAnsi="宋体" w:cs="宋体"/>
          <w:b/>
          <w:bCs/>
          <w:color w:val="auto"/>
          <w:sz w:val="24"/>
          <w:szCs w:val="24"/>
          <w:highlight w:val="none"/>
        </w:rPr>
        <w:t xml:space="preserve">59.5  </w:t>
      </w:r>
    </w:p>
    <w:p>
      <w:pPr>
        <w:spacing w:line="360" w:lineRule="auto"/>
        <w:ind w:left="1619" w:leftChars="771"/>
        <w:rPr>
          <w:rFonts w:ascii="宋体" w:hAnsi="宋体" w:cs="宋体"/>
          <w:b/>
          <w:bCs/>
          <w:color w:val="auto"/>
          <w:sz w:val="24"/>
          <w:szCs w:val="24"/>
          <w:highlight w:val="none"/>
        </w:rPr>
      </w:pPr>
      <w:r>
        <w:rPr>
          <w:rFonts w:hint="eastAsia" w:ascii="宋体" w:hAnsi="宋体" w:cs="宋体"/>
          <w:color w:val="auto"/>
          <w:sz w:val="24"/>
          <w:szCs w:val="24"/>
          <w:highlight w:val="none"/>
        </w:rPr>
        <w:t>缺陷责任期内承包人为缺陷修复工作需要，有权进入工程现场，但应遵守发包人的保安和保密等规定。</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0" name="文本框 170"/>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2652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Wb+ndgAAAAK&#10;AQAADwAAAAAAAAABACAAAAAiAAAAZHJzL2Rvd25yZXYueG1sUEsBAhQAFAAAAAgAh07iQGLRw8E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hint="eastAsia" w:ascii="宋体" w:hAnsi="宋体" w:cs="宋体"/>
          <w:b/>
          <w:bCs/>
          <w:color w:val="auto"/>
          <w:sz w:val="24"/>
          <w:szCs w:val="24"/>
          <w:highlight w:val="none"/>
        </w:rPr>
        <w:t xml:space="preserve">59.6  </w:t>
      </w:r>
    </w:p>
    <w:p>
      <w:pPr>
        <w:spacing w:line="360" w:lineRule="auto"/>
        <w:ind w:left="1619" w:leftChars="771"/>
        <w:rPr>
          <w:rFonts w:ascii="宋体" w:hAnsi="宋体" w:cs="宋体"/>
          <w:b/>
          <w:bCs/>
          <w:color w:val="auto"/>
          <w:sz w:val="24"/>
          <w:szCs w:val="24"/>
          <w:highlight w:val="none"/>
        </w:rPr>
      </w:pPr>
      <w:r>
        <w:rPr>
          <w:rFonts w:hint="eastAsia" w:ascii="宋体" w:hAnsi="宋体" w:cs="宋体"/>
          <w:color w:val="auto"/>
          <w:sz w:val="24"/>
          <w:szCs w:val="24"/>
          <w:highlight w:val="none"/>
        </w:rPr>
        <w:t>在专用条款约定的缺陷责任期（包括第59.2款延长的期限）终止后的14天内，发包人应向承包人颁发缺陷责任期终止证书。</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69"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2755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AgAhsK&#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宋体" w:hAnsi="宋体" w:cs="宋体"/>
          <w:b/>
          <w:bCs/>
          <w:color w:val="auto"/>
          <w:sz w:val="24"/>
          <w:szCs w:val="24"/>
          <w:highlight w:val="none"/>
        </w:rPr>
        <w:t xml:space="preserve">59.7  </w:t>
      </w:r>
    </w:p>
    <w:p>
      <w:pPr>
        <w:tabs>
          <w:tab w:val="left" w:pos="0"/>
        </w:tabs>
        <w:adjustRightInd w:val="0"/>
        <w:snapToGrid w:val="0"/>
        <w:spacing w:line="400" w:lineRule="exact"/>
        <w:ind w:left="1703" w:leftChars="771" w:hanging="84" w:hangingChars="35"/>
        <w:rPr>
          <w:rFonts w:ascii="宋体" w:hAnsi="宋体" w:cs="宋体"/>
          <w:color w:val="auto"/>
          <w:sz w:val="24"/>
          <w:szCs w:val="20"/>
          <w:highlight w:val="none"/>
        </w:rPr>
      </w:pPr>
      <w:r>
        <w:rPr>
          <w:rFonts w:hint="eastAsia" w:ascii="宋体" w:hAnsi="宋体" w:cs="宋体"/>
          <w:color w:val="auto"/>
          <w:sz w:val="24"/>
          <w:szCs w:val="20"/>
          <w:highlight w:val="none"/>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adjustRightInd w:val="0"/>
        <w:snapToGrid w:val="0"/>
        <w:spacing w:line="480" w:lineRule="auto"/>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68"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2857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Wb+ndgAAAAK&#10;AQAADwAAAAAAAAABACAAAAAiAAAAZHJzL2Rvd25yZXYueG1sUEsBAhQAFAAAAAgAh07iQKTdrA4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宋体" w:hAnsi="宋体" w:cs="宋体"/>
          <w:b/>
          <w:bCs/>
          <w:color w:val="auto"/>
          <w:sz w:val="24"/>
          <w:szCs w:val="24"/>
          <w:highlight w:val="none"/>
        </w:rPr>
        <w:t xml:space="preserve">59.8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合同双方当事人应在专用条款和合同工程质量保修书中约定质量保修期。</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质量保修期自实际竣工之日起计算。在全部工程竣工验收前，已经发包人提前验收的单位工程，其质量保修期的起算日期相应提前。</w:t>
      </w:r>
    </w:p>
    <w:p>
      <w:pPr>
        <w:tabs>
          <w:tab w:val="left" w:pos="360"/>
          <w:tab w:val="left" w:pos="900"/>
        </w:tabs>
        <w:adjustRightInd w:val="0"/>
        <w:snapToGrid w:val="0"/>
        <w:spacing w:line="48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59.9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167" name="文本框 167"/>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1.2pt;height:28.8pt;width:77.8pt;z-index:251929600;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ViiUO1QAAAAgBAAAP&#10;AAAAAAAAAAEAIAAAACIAAABkcnMvZG93bnJldi54bWxQSwECFAAUAAAACACHTuJAC9ghKxsCAAAm&#10;BAAADgAAAAAAAAABACAAAAAkAQAAZHJzL2Uyb0RvYy54bWxQSwUGAAAAAAYABgBZAQAAs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宋体" w:hAnsi="宋体" w:cs="宋体"/>
          <w:color w:val="auto"/>
          <w:sz w:val="24"/>
          <w:szCs w:val="24"/>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adjustRightInd w:val="0"/>
        <w:snapToGrid w:val="0"/>
        <w:spacing w:line="480" w:lineRule="auto"/>
        <w:rPr>
          <w:rFonts w:ascii="宋体" w:hAnsi="宋体" w:cs="宋体"/>
          <w:color w:val="auto"/>
          <w:sz w:val="24"/>
          <w:szCs w:val="24"/>
          <w:highlight w:val="none"/>
          <w:u w:val="dotted"/>
        </w:rPr>
      </w:pPr>
      <w:r>
        <w:rPr>
          <w:rFonts w:hint="eastAsia" w:ascii="宋体" w:hAnsi="宋体" w:cs="宋体"/>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166" name="文本框 166"/>
                <wp:cNvGraphicFramePr/>
                <a:graphic xmlns:a="http://schemas.openxmlformats.org/drawingml/2006/main">
                  <a:graphicData uri="http://schemas.microsoft.com/office/word/2010/wordprocessingShape">
                    <wps:wsp>
                      <wps:cNvSpPr txBox="1">
                        <a:spLocks noChangeArrowheads="1"/>
                      </wps:cNvSpPr>
                      <wps:spPr bwMode="auto">
                        <a:xfrm>
                          <a:off x="0" y="0"/>
                          <a:ext cx="959485" cy="45212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20.4pt;height:35.6pt;width:75.55pt;z-index:251930624;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hxmetYAAAAK&#10;AQAADwAAAAAAAAABACAAAAAiAAAAZHJzL2Rvd25yZXYueG1sUEsBAhQAFAAAAAgAh07iQOncBzAe&#10;AgAAJgQAAA4AAAAAAAAAAQAgAAAAJQEAAGRycy9lMm9Eb2MueG1sUEsFBgAAAAAGAAYAWQEAALU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hint="eastAsia" w:ascii="宋体" w:hAnsi="宋体" w:cs="宋体"/>
          <w:b/>
          <w:bCs/>
          <w:color w:val="auto"/>
          <w:sz w:val="24"/>
          <w:szCs w:val="24"/>
          <w:highlight w:val="none"/>
        </w:rPr>
        <w:t xml:space="preserve">59.10 </w:t>
      </w:r>
    </w:p>
    <w:p>
      <w:pPr>
        <w:adjustRightInd w:val="0"/>
        <w:snapToGrid w:val="0"/>
        <w:spacing w:line="360" w:lineRule="auto"/>
        <w:ind w:firstLine="1574" w:firstLineChars="656"/>
        <w:rPr>
          <w:rFonts w:ascii="宋体" w:hAnsi="宋体" w:cs="宋体"/>
          <w:color w:val="auto"/>
          <w:sz w:val="24"/>
          <w:szCs w:val="24"/>
          <w:highlight w:val="none"/>
        </w:rPr>
      </w:pPr>
      <w:r>
        <w:rPr>
          <w:rFonts w:hint="eastAsia" w:ascii="宋体" w:hAnsi="宋体" w:cs="宋体"/>
          <w:color w:val="auto"/>
          <w:sz w:val="24"/>
          <w:szCs w:val="24"/>
          <w:highlight w:val="none"/>
        </w:rPr>
        <w:t>承包人修复属于质量缺陷以外的费用，由责任方承担。</w:t>
      </w:r>
    </w:p>
    <w:p>
      <w:pPr>
        <w:adjustRightInd w:val="0"/>
        <w:snapToGrid w:val="0"/>
        <w:spacing w:line="360" w:lineRule="auto"/>
        <w:rPr>
          <w:rFonts w:ascii="宋体" w:hAnsi="宋体" w:cs="宋体"/>
          <w:color w:val="auto"/>
          <w:sz w:val="24"/>
          <w:szCs w:val="24"/>
          <w:highlight w:val="none"/>
          <w:u w:val="single"/>
        </w:rPr>
      </w:pPr>
    </w:p>
    <w:p>
      <w:pPr>
        <w:tabs>
          <w:tab w:val="left" w:pos="1620"/>
        </w:tabs>
        <w:adjustRightInd w:val="0"/>
        <w:snapToGrid w:val="0"/>
        <w:spacing w:line="360" w:lineRule="auto"/>
        <w:outlineLvl w:val="1"/>
        <w:rPr>
          <w:rFonts w:ascii="宋体" w:hAnsi="宋体" w:cs="宋体"/>
          <w:b/>
          <w:bCs/>
          <w:color w:val="auto"/>
          <w:sz w:val="24"/>
          <w:szCs w:val="24"/>
          <w:highlight w:val="none"/>
        </w:rPr>
      </w:pPr>
      <w:bookmarkStart w:id="1021" w:name="_Toc491701153"/>
      <w:bookmarkStart w:id="1022" w:name="_Toc469384043"/>
      <w:bookmarkStart w:id="1023" w:name="_Toc30171"/>
      <w:bookmarkStart w:id="1024" w:name="_Toc31932"/>
      <w:bookmarkStart w:id="1025" w:name="_Toc30753"/>
      <w:bookmarkStart w:id="1026" w:name="_Toc29714"/>
      <w:bookmarkStart w:id="1027" w:name="_Toc5436"/>
      <w:bookmarkStart w:id="1028" w:name="_Toc1519"/>
      <w:bookmarkStart w:id="1029" w:name="_Toc1993283620"/>
      <w:r>
        <w:rPr>
          <w:rFonts w:hint="eastAsia" w:ascii="宋体" w:hAnsi="宋体" w:cs="宋体"/>
          <w:b/>
          <w:bCs/>
          <w:color w:val="auto"/>
          <w:sz w:val="24"/>
          <w:szCs w:val="24"/>
          <w:highlight w:val="none"/>
        </w:rPr>
        <w:t>六、造价</w:t>
      </w:r>
      <w:bookmarkEnd w:id="1021"/>
      <w:bookmarkEnd w:id="1022"/>
      <w:bookmarkEnd w:id="1023"/>
      <w:bookmarkEnd w:id="1024"/>
      <w:bookmarkEnd w:id="1025"/>
      <w:bookmarkEnd w:id="1026"/>
      <w:bookmarkEnd w:id="1027"/>
      <w:bookmarkEnd w:id="1028"/>
      <w:bookmarkEnd w:id="1029"/>
    </w:p>
    <w:p>
      <w:pPr>
        <w:widowControl/>
        <w:tabs>
          <w:tab w:val="left" w:pos="420"/>
        </w:tabs>
        <w:spacing w:before="100" w:beforeAutospacing="1" w:after="100" w:afterAutospacing="1"/>
        <w:jc w:val="left"/>
        <w:outlineLvl w:val="2"/>
        <w:rPr>
          <w:rFonts w:ascii="宋体" w:hAnsi="宋体" w:cs="宋体"/>
          <w:color w:val="auto"/>
          <w:kern w:val="0"/>
          <w:sz w:val="24"/>
          <w:szCs w:val="24"/>
          <w:highlight w:val="none"/>
        </w:rPr>
      </w:pPr>
      <w:bookmarkStart w:id="1030" w:name="_Toc19011"/>
      <w:bookmarkStart w:id="1031" w:name="_Toc32688"/>
      <w:bookmarkStart w:id="1032" w:name="_Toc372908140"/>
      <w:bookmarkStart w:id="1033" w:name="_Toc20835"/>
      <w:bookmarkStart w:id="1034" w:name="_Toc24787"/>
      <w:bookmarkStart w:id="1035" w:name="_Toc32047"/>
      <w:bookmarkStart w:id="1036" w:name="_Toc5502"/>
      <w:bookmarkStart w:id="1037" w:name="_Toc504204815"/>
      <w:bookmarkStart w:id="1038" w:name="_Toc469384044"/>
      <w:r>
        <w:rPr>
          <w:rFonts w:hint="eastAsia" w:ascii="宋体" w:hAnsi="宋体" w:cs="宋体"/>
          <w:color w:val="auto"/>
          <w:kern w:val="0"/>
          <w:sz w:val="24"/>
          <w:szCs w:val="24"/>
          <w:highlight w:val="none"/>
        </w:rPr>
        <w:t>60  资金计划和安排</w:t>
      </w:r>
      <w:bookmarkEnd w:id="1030"/>
      <w:bookmarkEnd w:id="1031"/>
      <w:bookmarkEnd w:id="1032"/>
      <w:bookmarkEnd w:id="1033"/>
      <w:bookmarkEnd w:id="1034"/>
      <w:bookmarkEnd w:id="1035"/>
      <w:bookmarkEnd w:id="1036"/>
      <w:bookmarkEnd w:id="1037"/>
      <w:bookmarkEnd w:id="1038"/>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60.1</w:t>
      </w:r>
    </w:p>
    <w:p>
      <w:pPr>
        <w:adjustRightInd w:val="0"/>
        <w:snapToGrid w:val="0"/>
        <w:spacing w:line="360" w:lineRule="auto"/>
        <w:ind w:left="1579" w:leftChars="752"/>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1648" behindDoc="0" locked="0" layoutInCell="1" allowOverlap="1">
                <wp:simplePos x="0" y="0"/>
                <wp:positionH relativeFrom="column">
                  <wp:posOffset>-133350</wp:posOffset>
                </wp:positionH>
                <wp:positionV relativeFrom="paragraph">
                  <wp:posOffset>68580</wp:posOffset>
                </wp:positionV>
                <wp:extent cx="914400" cy="495300"/>
                <wp:effectExtent l="0" t="0" r="0" b="0"/>
                <wp:wrapNone/>
                <wp:docPr id="165" name="文本框 165"/>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a:noFill/>
                        </a:ln>
                        <a:effectLst/>
                      </wps:spPr>
                      <wps:txbx>
                        <w:txbxContent>
                          <w:p>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5.4pt;height:39pt;width:72pt;z-index:251931648;mso-width-relative:page;mso-height-relative:page;" filled="f" stroked="f" coordsize="21600,21600" o:gfxdata="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4Tog9UAAAAJAQAADwAA&#10;AAAAAAABACAAAAAiAAAAZHJzL2Rvd25yZXYueG1sUEsBAhQAFAAAAAgAh07iQJ4d9AIZAgAAJgQA&#10;AA4AAAAAAAAAAQAgAAAAJAEAAGRycy9lMm9Eb2MueG1sUEsFBgAAAAAGAAYAWQEAAK8FAAAAAA==&#10;">
                <v:fill on="f" focussize="0,0"/>
                <v:stroke on="f"/>
                <v:imagedata o:title=""/>
                <o:lock v:ext="edit" aspectratio="f"/>
                <v:textbox>
                  <w:txbxContent>
                    <w:p>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ascii="宋体" w:hAnsi="宋体" w:cs="宋体"/>
          <w:color w:val="auto"/>
          <w:sz w:val="24"/>
          <w:szCs w:val="24"/>
          <w:highlight w:val="none"/>
        </w:rPr>
        <w:t>工程进度计划被批准后，承包人应向发包人提交一份合同工程资金需求计划书；工程进度计划更新后，承包人应及时向发包人提交一份更新后的工程资金需求计划书。</w:t>
      </w:r>
    </w:p>
    <w:p>
      <w:pPr>
        <w:adjustRightInd w:val="0"/>
        <w:snapToGrid w:val="0"/>
        <w:ind w:left="1619" w:leftChars="1" w:hanging="1617" w:hangingChars="671"/>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60.2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164" name="文本框 164"/>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a:effectLst/>
                      </wps:spPr>
                      <wps:txbx>
                        <w:txbxContent>
                          <w:p>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6.6pt;width:72pt;z-index:251932672;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5awd7VAAAACAEAAA8A&#10;AAAAAAAAAQAgAAAAIgAAAGRycy9kb3ducmV2LnhtbFBLAQIUABQAAAAIAIdO4kD0scMDGgIAACYE&#10;AAAOAAAAAAAAAAEAIAAAACQBAABkcnMvZTJvRG9jLnhtbFBLBQYAAAAABgAGAFkBAACwBQAAAAA=&#10;">
                <v:fill on="f" focussize="0,0"/>
                <v:stroke on="f"/>
                <v:imagedata o:title=""/>
                <o:lock v:ext="edit" aspectratio="f"/>
                <v:textbox>
                  <w:txbxContent>
                    <w:p>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r>
        <w:rPr>
          <w:rFonts w:hint="eastAsia" w:ascii="宋体" w:hAnsi="宋体" w:cs="宋体"/>
          <w:color w:val="auto"/>
          <w:sz w:val="24"/>
          <w:szCs w:val="24"/>
          <w:highlight w:val="none"/>
        </w:rPr>
        <w:t>发包人在收到承包人提交的工程资金需求计划书后28天内，应根据合同约定提供已做出资金安排的合理证据，表明自己有能力按照第78条规定支付合同价款。如果发包人对资金安排作出任何变更时，应及时将变更的详情通知承包人。</w:t>
      </w:r>
    </w:p>
    <w:p>
      <w:pPr>
        <w:tabs>
          <w:tab w:val="left" w:pos="1800"/>
        </w:tabs>
        <w:adjustRightInd w:val="0"/>
        <w:snapToGrid w:val="0"/>
        <w:spacing w:line="24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outlineLvl w:val="2"/>
        <w:rPr>
          <w:rFonts w:ascii="宋体" w:hAnsi="宋体" w:cs="宋体"/>
          <w:b/>
          <w:bCs/>
          <w:color w:val="auto"/>
          <w:sz w:val="24"/>
          <w:szCs w:val="24"/>
          <w:highlight w:val="none"/>
        </w:rPr>
      </w:pPr>
      <w:bookmarkStart w:id="1039" w:name="_Toc2290"/>
      <w:bookmarkStart w:id="1040" w:name="_Toc1109827034"/>
      <w:bookmarkStart w:id="1041" w:name="_Toc199854643"/>
      <w:bookmarkStart w:id="1042" w:name="_Toc123"/>
      <w:bookmarkStart w:id="1043" w:name="_Toc11645"/>
      <w:bookmarkStart w:id="1044" w:name="_Toc28841"/>
      <w:bookmarkStart w:id="1045" w:name="_Toc12234"/>
      <w:bookmarkStart w:id="1046" w:name="_Toc4063"/>
      <w:bookmarkStart w:id="1047" w:name="_Toc469384045"/>
      <w:r>
        <w:rPr>
          <w:rFonts w:hint="eastAsia" w:ascii="宋体" w:hAnsi="宋体" w:cs="宋体"/>
          <w:b/>
          <w:bCs/>
          <w:color w:val="auto"/>
          <w:sz w:val="24"/>
          <w:szCs w:val="24"/>
          <w:highlight w:val="none"/>
        </w:rPr>
        <w:t>61  工程量</w:t>
      </w:r>
      <w:bookmarkEnd w:id="1039"/>
      <w:bookmarkEnd w:id="1040"/>
      <w:bookmarkEnd w:id="1041"/>
      <w:bookmarkEnd w:id="1042"/>
      <w:bookmarkEnd w:id="1043"/>
      <w:bookmarkEnd w:id="1044"/>
      <w:bookmarkEnd w:id="1045"/>
      <w:bookmarkEnd w:id="1046"/>
      <w:bookmarkEnd w:id="1047"/>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61.1</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w:t>
      </w:r>
      <w:r>
        <w:rPr>
          <w:rFonts w:hint="eastAsia" w:ascii="宋体" w:hAnsi="宋体" w:cs="宋体"/>
          <w:color w:val="auto"/>
          <w:szCs w:val="20"/>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163" name="文本框 163"/>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a:effectLst/>
                      </wps:spPr>
                      <wps:txbx>
                        <w:txbxContent>
                          <w:p>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pt;height:37.5pt;width:72pt;z-index:251933696;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m453XUAAAACAEAAA8A&#10;AAAAAAAAAQAgAAAAIgAAAGRycy9kb3ducmV2LnhtbFBLAQIUABQAAAAIAIdO4kA/FHY8GwIAACYE&#10;AAAOAAAAAAAAAAEAIAAAACMBAABkcnMvZTJvRG9jLnhtbFBLBQYAAAAABgAGAFkBAACwBQAAAAA=&#10;">
                <v:fill on="f" focussize="0,0"/>
                <v:stroke on="f"/>
                <v:imagedata o:title=""/>
                <o:lock v:ext="edit" aspectratio="f"/>
                <v:textbox>
                  <w:txbxContent>
                    <w:p>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ascii="宋体" w:hAnsi="宋体" w:cs="宋体"/>
          <w:color w:val="auto"/>
          <w:sz w:val="24"/>
          <w:szCs w:val="24"/>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72条规定确定合同价款的增加额。</w:t>
      </w:r>
    </w:p>
    <w:p>
      <w:pPr>
        <w:adjustRightInd w:val="0"/>
        <w:snapToGrid w:val="0"/>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61.2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162" name="文本框 162"/>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a:effectLst/>
                      </wps:spPr>
                      <wps:txbx>
                        <w:txbxContent>
                          <w:p>
                            <w:pPr>
                              <w:pStyle w:val="1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pt;height:28.5pt;width:81pt;z-index:251934720;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NjRGtQAAAAIAQAA&#10;DwAAAAAAAAABACAAAAAiAAAAZHJzL2Rvd25yZXYueG1sUEsBAhQAFAAAAAgAh07iQIWSDLUdAgAA&#10;JwQAAA4AAAAAAAAAAQAgAAAAIwEAAGRycy9lMm9Eb2MueG1sUEsFBgAAAAAGAAYAWQEAALIFAAAA&#10;AA==&#10;">
                <v:fill on="f" focussize="0,0"/>
                <v:stroke on="f"/>
                <v:imagedata o:title=""/>
                <o:lock v:ext="edit" aspectratio="f"/>
                <v:textbox>
                  <w:txbxContent>
                    <w:p>
                      <w:pPr>
                        <w:pStyle w:val="1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宋体" w:hAnsi="宋体" w:cs="宋体"/>
          <w:color w:val="auto"/>
          <w:sz w:val="24"/>
          <w:szCs w:val="24"/>
          <w:highlight w:val="none"/>
        </w:rPr>
        <w:t>工程量清单中开列的工程量是根据合同工程施工设计图纸提供的预计工程量，不能作为承包人履行合同义务中应予完成合同工程的实际和准确工程量。</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发包人应按照承包人实际完成的应予计量的工程量与其在工程量清单中填报的单价或合价的乘积向承包人支付工程款。</w:t>
      </w:r>
    </w:p>
    <w:p>
      <w:pPr>
        <w:adjustRightInd w:val="0"/>
        <w:snapToGrid w:val="0"/>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048" w:name="_Toc1967486243"/>
      <w:bookmarkStart w:id="1049" w:name="_Toc21423"/>
      <w:bookmarkStart w:id="1050" w:name="_Toc12658"/>
      <w:bookmarkStart w:id="1051" w:name="_Toc13170"/>
      <w:bookmarkStart w:id="1052" w:name="_Toc22541"/>
      <w:bookmarkStart w:id="1053" w:name="_Toc292560993"/>
      <w:bookmarkStart w:id="1054" w:name="_Toc4658"/>
      <w:bookmarkStart w:id="1055" w:name="_Toc22160"/>
      <w:bookmarkStart w:id="1056" w:name="_Toc469384046"/>
      <w:r>
        <w:rPr>
          <w:rFonts w:hint="eastAsia" w:ascii="宋体" w:hAnsi="宋体" w:cs="宋体"/>
          <w:b/>
          <w:bCs/>
          <w:color w:val="auto"/>
          <w:sz w:val="24"/>
          <w:szCs w:val="24"/>
          <w:highlight w:val="none"/>
        </w:rPr>
        <w:t>62  工程计量和计价</w:t>
      </w:r>
      <w:bookmarkEnd w:id="1048"/>
      <w:bookmarkEnd w:id="1049"/>
      <w:bookmarkEnd w:id="1050"/>
      <w:bookmarkEnd w:id="1051"/>
      <w:bookmarkEnd w:id="1052"/>
      <w:bookmarkEnd w:id="1053"/>
      <w:bookmarkEnd w:id="1054"/>
      <w:bookmarkEnd w:id="1055"/>
      <w:bookmarkEnd w:id="1056"/>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62.1</w:t>
      </w:r>
    </w:p>
    <w:p>
      <w:pPr>
        <w:adjustRightInd w:val="0"/>
        <w:snapToGrid w:val="0"/>
        <w:spacing w:line="360" w:lineRule="auto"/>
        <w:ind w:left="1619" w:leftChars="771"/>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161" name="文本框 161"/>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pt;height:32.75pt;width:72pt;z-index:251935744;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HrCS1gAAAAgBAAAP&#10;AAAAAAAAAAEAIAAAACIAAABkcnMvZG93bnJldi54bWxQSwECFAAUAAAACACHTuJA98hcCRoCAAAm&#10;BAAADgAAAAAAAAABACAAAAAlAQAAZHJzL2Uyb0RvYy54bWxQSwUGAAAAAAYABgBZAQAAsQUAAAAA&#10;">
                <v:fill on="f" focussize="0,0"/>
                <v:stroke on="f"/>
                <v:imagedata o:title=""/>
                <o:lock v:ext="edit" aspectratio="f"/>
                <v:textbox>
                  <w:txbxContent>
                    <w:p>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ascii="宋体" w:hAnsi="宋体" w:cs="宋体"/>
          <w:color w:val="auto"/>
          <w:sz w:val="24"/>
          <w:szCs w:val="24"/>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62.2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160" name="文本框 160"/>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pt;height:32.75pt;width:72pt;z-index:251936768;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vOwRdYAAAAIAQAA&#10;DwAAAAAAAAABACAAAAAiAAAAZHJzL2Rvd25yZXYueG1sUEsBAhQAFAAAAAgAh07iQHMX6w0bAgAA&#10;JgQAAA4AAAAAAAAAAQAgAAAAJQEAAGRycy9lMm9Eb2MueG1sUEsFBgAAAAAGAAYAWQEAALIFAAAA&#10;AA==&#10;">
                <v:fill on="f" focussize="0,0"/>
                <v:stroke on="f"/>
                <v:imagedata o:title=""/>
                <o:lock v:ext="edit" aspectratio="f"/>
                <v:textbox>
                  <w:txbxContent>
                    <w:p>
                      <w:pPr>
                        <w:pStyle w:val="19"/>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ascii="宋体" w:hAnsi="宋体" w:cs="宋体"/>
          <w:color w:val="auto"/>
          <w:sz w:val="24"/>
          <w:szCs w:val="24"/>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造价工程师负责工程计量和计价的核实工作。</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62.3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159" name="文本框 159"/>
                <wp:cNvGraphicFramePr/>
                <a:graphic xmlns:a="http://schemas.openxmlformats.org/drawingml/2006/main">
                  <a:graphicData uri="http://schemas.microsoft.com/office/word/2010/wordprocessingShape">
                    <wps:wsp>
                      <wps:cNvSpPr txBox="1">
                        <a:spLocks noChangeArrowheads="1"/>
                      </wps:cNvSpPr>
                      <wps:spPr bwMode="auto">
                        <a:xfrm>
                          <a:off x="0" y="0"/>
                          <a:ext cx="914400" cy="54800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5pt;height:43.15pt;width:72pt;z-index:251937792;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5H2vTUAAAACAEAAA8A&#10;AAAAAAAAAQAgAAAAIgAAAGRycy9kb3ducmV2LnhtbFBLAQIUABQAAAAIAIdO4kB2qQLPGwIAACYE&#10;AAAOAAAAAAAAAAEAIAAAACMBAABkcnMvZTJvRG9jLnhtbFBLBQYAAAAABgAGAFkBAACwBQ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v:textbox>
              </v:shape>
            </w:pict>
          </mc:Fallback>
        </mc:AlternateContent>
      </w:r>
      <w:r>
        <w:rPr>
          <w:rFonts w:hint="eastAsia" w:ascii="宋体" w:hAnsi="宋体" w:cs="宋体"/>
          <w:color w:val="auto"/>
          <w:sz w:val="24"/>
          <w:szCs w:val="24"/>
          <w:highlight w:val="none"/>
        </w:rPr>
        <w:t>承包人应按照第81.1款规定向造价工程师提交已完工程款额报告。造价工程师应在收到报告后的14天内核实工程量，并将核实结果通知承包人、抄报发包人，作为工程计价和工程款支付的依据。</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62.4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158" name="文本框 158"/>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a:effectLst/>
                      </wps:spPr>
                      <wps:txbx>
                        <w:txbxContent>
                          <w:p>
                            <w:pPr>
                              <w:rPr>
                                <w:rFonts w:ascii="宋体"/>
                                <w:sz w:val="18"/>
                                <w:szCs w:val="18"/>
                              </w:rPr>
                            </w:pPr>
                            <w:r>
                              <w:rPr>
                                <w:rFonts w:hint="eastAsia" w:hAnsi="宋体"/>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95pt;height:27.9pt;width:63pt;z-index:251938816;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9g4Zt1QAAAAgBAAAP&#10;AAAAAAAAAAEAIAAAACIAAABkcnMvZG93bnJldi54bWxQSwECFAAUAAAACACHTuJAdbLW5BsCAAAm&#10;BAAADgAAAAAAAAABACAAAAAkAQAAZHJzL2Uyb0RvYy54bWxQSwUGAAAAAAYABgBZAQAAsQUAAAAA&#10;">
                <v:fill on="f" focussize="0,0"/>
                <v:stroke on="f"/>
                <v:imagedata o:title=""/>
                <o:lock v:ext="edit" aspectratio="f"/>
                <v:textbox>
                  <w:txbxContent>
                    <w:p>
                      <w:pPr>
                        <w:rPr>
                          <w:rFonts w:ascii="宋体"/>
                          <w:sz w:val="18"/>
                          <w:szCs w:val="18"/>
                        </w:rPr>
                      </w:pPr>
                      <w:r>
                        <w:rPr>
                          <w:rFonts w:hint="eastAsia" w:hAnsi="宋体"/>
                          <w:b/>
                          <w:bCs/>
                          <w:color w:val="000000"/>
                          <w:sz w:val="18"/>
                          <w:szCs w:val="18"/>
                        </w:rPr>
                        <w:t>现场计量</w:t>
                      </w:r>
                    </w:p>
                  </w:txbxContent>
                </v:textbox>
              </v:shape>
            </w:pict>
          </mc:Fallback>
        </mc:AlternateContent>
      </w:r>
      <w:r>
        <w:rPr>
          <w:rFonts w:hint="eastAsia" w:ascii="宋体" w:hAnsi="宋体" w:cs="宋体"/>
          <w:color w:val="auto"/>
          <w:sz w:val="24"/>
          <w:szCs w:val="24"/>
          <w:highlight w:val="none"/>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62.5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157" name="文本框 157"/>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5pt;height:47.5pt;width:72pt;z-index:251939840;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W/1n11QAAAAkBAAAP&#10;AAAAAAAAAAEAIAAAACIAAABkcnMvZG93bnJldi54bWxQSwECFAAUAAAACACHTuJAfoYUvxsCAAAm&#10;BAAADgAAAAAAAAABACAAAAAk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v:textbox>
              </v:shape>
            </w:pict>
          </mc:Fallback>
        </mc:AlternateContent>
      </w:r>
      <w:r>
        <w:rPr>
          <w:rFonts w:hint="eastAsia" w:ascii="宋体" w:hAnsi="宋体" w:cs="宋体"/>
          <w:color w:val="auto"/>
          <w:sz w:val="24"/>
          <w:szCs w:val="24"/>
          <w:highlight w:val="none"/>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62.6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156" name="文本框 156"/>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23.4pt;width:72pt;z-index:251940864;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sr5n1QAAAAgBAAAP&#10;AAAAAAAAAAEAIAAAACIAAABkcnMvZG93bnJldi54bWxQSwECFAAUAAAACACHTuJA3W8AIBsCAAAm&#10;BAAADgAAAAAAAAABACAAAAAk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宋体" w:hAnsi="宋体" w:cs="宋体"/>
          <w:color w:val="auto"/>
          <w:sz w:val="24"/>
          <w:szCs w:val="24"/>
          <w:highlight w:val="none"/>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62.7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155" name="文本框 155"/>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85pt;height:23.4pt;width:63pt;z-index:251941888;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Urpk1AAAAAgBAAAP&#10;AAAAAAAAAAEAIAAAACIAAABkcnMvZG93bnJldi54bWxQSwECFAAUAAAACACHTuJAlqms2RwCAAAm&#10;BAAADgAAAAAAAAABACAAAAAj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宋体" w:hAnsi="宋体" w:cs="宋体"/>
          <w:color w:val="auto"/>
          <w:sz w:val="24"/>
          <w:szCs w:val="24"/>
          <w:highlight w:val="none"/>
        </w:rPr>
        <w:t>对承包人超出施工设计图纸范围或因承包人的原因造成返工的工程量，造价工程师均不予计量。</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62.8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154" name="文本框 154"/>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pt;height:38.9pt;width:72pt;z-index:251942912;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2vWpbUAAAACAEAAA8A&#10;AAAAAAAAAQAgAAAAIgAAAGRycy9kb3ducmV2LnhtbFBLAQIUABQAAAAIAIdO4kDNwuMwGwIAACYE&#10;AAAOAAAAAAAAAAEAIAAAACMBAABkcnMvZTJvRG9jLnhtbFBLBQYAAAAABgAGAFkBAACwBQ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宋体" w:hAnsi="宋体" w:cs="宋体"/>
          <w:color w:val="auto"/>
          <w:sz w:val="24"/>
          <w:szCs w:val="24"/>
          <w:highlight w:val="none"/>
        </w:rPr>
        <w:t>除按照第69条至第73条、第76条规定所做的调整外，每项工作所适用的单价(费率)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pPr>
        <w:tabs>
          <w:tab w:val="left" w:pos="1620"/>
        </w:tabs>
        <w:adjustRightInd w:val="0"/>
        <w:snapToGrid w:val="0"/>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dstrike/>
          <w:color w:val="auto"/>
          <w:sz w:val="24"/>
          <w:szCs w:val="24"/>
          <w:highlight w:val="none"/>
        </w:rPr>
      </w:pPr>
      <w:bookmarkStart w:id="1057" w:name="_Toc2599"/>
      <w:bookmarkStart w:id="1058" w:name="_Toc22973"/>
      <w:bookmarkStart w:id="1059" w:name="_Toc6462"/>
      <w:bookmarkStart w:id="1060" w:name="_Toc26259"/>
      <w:bookmarkStart w:id="1061" w:name="_Toc469384047"/>
      <w:bookmarkStart w:id="1062" w:name="_Toc394"/>
      <w:bookmarkStart w:id="1063" w:name="_Toc588089595"/>
      <w:bookmarkStart w:id="1064" w:name="_Toc24659"/>
      <w:bookmarkStart w:id="1065" w:name="_Toc1482541368"/>
      <w:r>
        <w:rPr>
          <w:rFonts w:hint="eastAsia" w:ascii="宋体" w:hAnsi="宋体" w:cs="宋体"/>
          <w:b/>
          <w:bCs/>
          <w:color w:val="auto"/>
          <w:sz w:val="24"/>
          <w:szCs w:val="24"/>
          <w:highlight w:val="none"/>
        </w:rPr>
        <w:t>63  暂列金额</w:t>
      </w:r>
      <w:bookmarkEnd w:id="1057"/>
      <w:bookmarkEnd w:id="1058"/>
      <w:bookmarkEnd w:id="1059"/>
      <w:bookmarkEnd w:id="1060"/>
      <w:bookmarkEnd w:id="1061"/>
      <w:bookmarkEnd w:id="1062"/>
      <w:bookmarkEnd w:id="1063"/>
      <w:bookmarkEnd w:id="1064"/>
      <w:bookmarkEnd w:id="1065"/>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63.1</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153" name="文本框 153"/>
                <wp:cNvGraphicFramePr/>
                <a:graphic xmlns:a="http://schemas.openxmlformats.org/drawingml/2006/main">
                  <a:graphicData uri="http://schemas.microsoft.com/office/word/2010/wordprocessingShape">
                    <wps:wsp>
                      <wps:cNvSpPr txBox="1">
                        <a:spLocks noChangeArrowheads="1"/>
                      </wps:cNvSpPr>
                      <wps:spPr bwMode="auto">
                        <a:xfrm>
                          <a:off x="0" y="0"/>
                          <a:ext cx="1143000" cy="68834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pt;margin-top:7.5pt;height:54.2pt;width:90pt;z-index:251943936;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gIwz1QAAAAoB&#10;AAAPAAAAAAAAAAEAIAAAACIAAABkcnMvZG93bnJldi54bWxQSwECFAAUAAAACACHTuJAg98IOh4C&#10;AAAnBAAADgAAAAAAAAABACAAAAAkAQAAZHJzL2Uyb0RvYy54bWxQSwUGAAAAAAYABgBZAQAAtAUA&#10;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宋体" w:hAnsi="宋体" w:cs="宋体"/>
          <w:color w:val="auto"/>
          <w:sz w:val="24"/>
          <w:szCs w:val="24"/>
          <w:highlight w:val="none"/>
        </w:rPr>
        <w:t>合同双方当事人应在专用条款中明确工程量清单中开列的已标价的暂列金额。</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63.2  </w:t>
      </w:r>
    </w:p>
    <w:p>
      <w:pPr>
        <w:adjustRightInd w:val="0"/>
        <w:snapToGrid w:val="0"/>
        <w:spacing w:line="360" w:lineRule="auto"/>
        <w:ind w:left="1575" w:leftChars="750"/>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44960"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152" name="文本框 152"/>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7.85pt;height:43.55pt;width:81pt;z-index:251944960;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Et8mf1gAAAAoB&#10;AAAPAAAAAAAAAAEAIAAAACIAAABkcnMvZG93bnJldi54bWxQSwECFAAUAAAACACHTuJANboFSh0C&#10;AAAnBAAADgAAAAAAAAABACAAAAAlAQAAZHJzL2Uyb0RvYy54bWxQSwUGAAAAAAYABgBZAQAAtAUA&#10;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ascii="宋体" w:hAnsi="宋体" w:cs="宋体"/>
          <w:color w:val="auto"/>
          <w:sz w:val="24"/>
          <w:szCs w:val="24"/>
          <w:highlight w:val="none"/>
        </w:rPr>
        <w:t>经发包人批准后，监理工程师应就承包人实施第63.1款规定的工作发出书面指令。承包人应就此项指令提出所需价款，经造价工程师核实并由其报发包人确认后，向承包人支付相关款项。</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63.3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51" name="文本框 15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19459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Bw1QAAAAgBAAAP&#10;AAAAAAAAAAEAIAAAACIAAABkcnMvZG93bnJldi54bWxQSwECFAAUAAAACACHTuJAiFebVBsCAAAm&#10;BAAADgAAAAAAAAABACAAAAAk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宋体" w:hAnsi="宋体" w:cs="宋体"/>
          <w:color w:val="auto"/>
          <w:sz w:val="24"/>
          <w:szCs w:val="24"/>
          <w:highlight w:val="none"/>
        </w:rPr>
        <w:t>造价工程师有要求时，承包人应提供使用暂列金额支付项目的所有报价单、发票、账单或收据。</w:t>
      </w:r>
    </w:p>
    <w:p>
      <w:pPr>
        <w:adjustRightInd w:val="0"/>
        <w:snapToGrid w:val="0"/>
        <w:spacing w:line="24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dstrike/>
          <w:color w:val="auto"/>
          <w:sz w:val="24"/>
          <w:szCs w:val="24"/>
          <w:highlight w:val="none"/>
        </w:rPr>
      </w:pPr>
      <w:bookmarkStart w:id="1066" w:name="_Toc1660"/>
      <w:bookmarkStart w:id="1067" w:name="_Toc29805"/>
      <w:bookmarkStart w:id="1068" w:name="_Toc27992"/>
      <w:bookmarkStart w:id="1069" w:name="_Toc1967499482"/>
      <w:bookmarkStart w:id="1070" w:name="_Toc30054"/>
      <w:bookmarkStart w:id="1071" w:name="_Toc13677"/>
      <w:bookmarkStart w:id="1072" w:name="_Toc28649"/>
      <w:bookmarkStart w:id="1073" w:name="_Toc1302079671"/>
      <w:bookmarkStart w:id="1074" w:name="_Toc469384048"/>
      <w:r>
        <w:rPr>
          <w:rFonts w:hint="eastAsia" w:ascii="宋体" w:hAnsi="宋体" w:cs="宋体"/>
          <w:b/>
          <w:bCs/>
          <w:color w:val="auto"/>
          <w:sz w:val="24"/>
          <w:szCs w:val="24"/>
          <w:highlight w:val="none"/>
        </w:rPr>
        <w:t>64  计日工</w:t>
      </w:r>
      <w:bookmarkEnd w:id="1066"/>
      <w:bookmarkEnd w:id="1067"/>
      <w:bookmarkEnd w:id="1068"/>
      <w:bookmarkEnd w:id="1069"/>
      <w:bookmarkEnd w:id="1070"/>
      <w:bookmarkEnd w:id="1071"/>
      <w:bookmarkEnd w:id="1072"/>
      <w:bookmarkEnd w:id="1073"/>
      <w:bookmarkEnd w:id="1074"/>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64.1</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150" name="文本框 150"/>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0.55pt;width:72pt;z-index:251947008;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yvS1QAAAAgBAAAP&#10;AAAAAAAAAAEAIAAAACIAAABkcnMvZG93bnJldi54bWxQSwECFAAUAAAACACHTuJAsDN9axsCAAAm&#10;BAAADgAAAAAAAAABACAAAAAk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宋体" w:hAnsi="宋体" w:cs="宋体"/>
          <w:color w:val="auto"/>
          <w:sz w:val="24"/>
          <w:szCs w:val="24"/>
          <w:highlight w:val="none"/>
        </w:rPr>
        <w:t>承包人投标文件中填报的计日工单价或价格是用于实施发包人要求的合同以外零星工作项目所需的人工单价、材料、工程设备价格和施工设备机械台班单价。</w:t>
      </w:r>
    </w:p>
    <w:p>
      <w:pPr>
        <w:adjustRightInd w:val="0"/>
        <w:snapToGrid w:val="0"/>
        <w:spacing w:line="48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64.2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经发包人批准后，监理工程师应就使用计日工项目发出书面指令。</w:t>
      </w:r>
      <w:r>
        <w:rPr>
          <w:rFonts w:hint="eastAsia" w:ascii="宋体" w:hAnsi="宋体" w:cs="宋体"/>
          <w:color w:val="auto"/>
          <w:szCs w:val="20"/>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149" name="文本框 149"/>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15pt;height:32.5pt;width:72pt;z-index:251948032;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W6Ma9YAAAAIAQAA&#10;DwAAAAAAAAABACAAAAAiAAAAZHJzL2Rvd25yZXYueG1sUEsBAhQAFAAAAAgAh07iQIYF5cAbAgAA&#10;JgQAAA4AAAAAAAAAAQAgAAAAJQEAAGRycy9lMm9Eb2MueG1sUEsFBgAAAAAGAAYAWQEAALIFAAAA&#10;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宋体" w:hAnsi="宋体" w:cs="宋体"/>
          <w:color w:val="auto"/>
          <w:sz w:val="24"/>
          <w:szCs w:val="24"/>
          <w:highlight w:val="none"/>
        </w:rPr>
        <w:t>任一按照计日工方式计价的工作，承包人应在该项工作实施结束后的24小时内，向监理工程师提交有计日工记录的现场签证报告一式两份。</w:t>
      </w:r>
    </w:p>
    <w:p>
      <w:pPr>
        <w:adjustRightInd w:val="0"/>
        <w:snapToGrid w:val="0"/>
        <w:spacing w:line="360" w:lineRule="auto"/>
        <w:ind w:left="1575" w:leftChars="750"/>
        <w:rPr>
          <w:rFonts w:ascii="宋体" w:hAnsi="宋体" w:cs="宋体"/>
          <w:color w:val="auto"/>
          <w:sz w:val="24"/>
          <w:szCs w:val="24"/>
          <w:highlight w:val="none"/>
        </w:rPr>
      </w:pPr>
      <w:r>
        <w:rPr>
          <w:rFonts w:hint="eastAsia" w:ascii="宋体" w:hAnsi="宋体" w:cs="宋体"/>
          <w:color w:val="auto"/>
          <w:sz w:val="24"/>
          <w:szCs w:val="24"/>
          <w:highlight w:val="none"/>
        </w:rPr>
        <w:t>当此工作持续进行时，承包人应每天向监理工程师提交当天计日工记录完毕的现场签证报告。监理工程师在收到承包人提交现场签证报告后的2天内予以确认并由其报发包人批准后，将其中一份返还给承包人，作为计日工计价和支付的依据。监理工程师逾期未确认也未提出修改意见的，视为承包人提交的现场签证报告已被认可。</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64.3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148" name="文本框 14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31.2pt;width:72pt;z-index:251949056;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RQ059QAAAAHAQAADwAA&#10;AAAAAAABACAAAAAiAAAAZHJzL2Rvd25yZXYueG1sUEsBAhQAFAAAAAgAh07iQMqEQ58aAgAAJgQA&#10;AA4AAAAAAAAAAQAgAAAAIwEAAGRycy9lMm9Eb2MueG1sUEsFBgAAAAAGAAYAWQEAAK8FA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宋体" w:hAnsi="宋体" w:cs="宋体"/>
          <w:color w:val="auto"/>
          <w:sz w:val="24"/>
          <w:szCs w:val="24"/>
          <w:highlight w:val="none"/>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每个支付期末，承包人应按照第81.1款规定向发包人提交本期间所有计日工记录的签证汇总表，以说明本期间自己认为有权得到的计日工费用。</w:t>
      </w:r>
    </w:p>
    <w:p>
      <w:pPr>
        <w:tabs>
          <w:tab w:val="left" w:pos="540"/>
        </w:tabs>
        <w:adjustRightInd w:val="0"/>
        <w:snapToGrid w:val="0"/>
        <w:spacing w:before="312" w:beforeLines="100" w:line="360" w:lineRule="auto"/>
        <w:rPr>
          <w:rFonts w:ascii="宋体" w:hAnsi="宋体" w:cs="宋体"/>
          <w:b/>
          <w:bCs/>
          <w:color w:val="auto"/>
          <w:sz w:val="24"/>
          <w:szCs w:val="24"/>
          <w:highlight w:val="none"/>
        </w:rPr>
      </w:pPr>
    </w:p>
    <w:p>
      <w:pPr>
        <w:tabs>
          <w:tab w:val="left" w:pos="540"/>
        </w:tabs>
        <w:adjustRightInd w:val="0"/>
        <w:snapToGrid w:val="0"/>
        <w:spacing w:before="312" w:beforeLines="100" w:line="360" w:lineRule="auto"/>
        <w:outlineLvl w:val="2"/>
        <w:rPr>
          <w:rFonts w:ascii="宋体" w:hAnsi="宋体" w:cs="宋体"/>
          <w:b/>
          <w:bCs/>
          <w:dstrike/>
          <w:color w:val="auto"/>
          <w:sz w:val="24"/>
          <w:szCs w:val="24"/>
          <w:highlight w:val="none"/>
        </w:rPr>
      </w:pPr>
      <w:bookmarkStart w:id="1075" w:name="_Toc810597468"/>
      <w:bookmarkStart w:id="1076" w:name="_Toc10764"/>
      <w:bookmarkStart w:id="1077" w:name="_Toc14490"/>
      <w:bookmarkStart w:id="1078" w:name="_Toc1194667567"/>
      <w:bookmarkStart w:id="1079" w:name="_Toc469384049"/>
      <w:bookmarkStart w:id="1080" w:name="_Toc31494"/>
      <w:bookmarkStart w:id="1081" w:name="_Toc5766"/>
      <w:bookmarkStart w:id="1082" w:name="_Toc18890"/>
      <w:bookmarkStart w:id="1083" w:name="_Toc10535"/>
      <w:r>
        <w:rPr>
          <w:rFonts w:hint="eastAsia" w:ascii="宋体" w:hAnsi="宋体" w:cs="宋体"/>
          <w:b/>
          <w:bCs/>
          <w:color w:val="auto"/>
          <w:sz w:val="24"/>
          <w:szCs w:val="24"/>
          <w:highlight w:val="none"/>
        </w:rPr>
        <w:t>65  暂估价</w:t>
      </w:r>
      <w:bookmarkEnd w:id="1075"/>
      <w:bookmarkEnd w:id="1076"/>
      <w:bookmarkEnd w:id="1077"/>
      <w:bookmarkEnd w:id="1078"/>
      <w:bookmarkEnd w:id="1079"/>
      <w:bookmarkEnd w:id="1080"/>
      <w:bookmarkEnd w:id="1081"/>
      <w:bookmarkEnd w:id="1082"/>
      <w:bookmarkEnd w:id="1083"/>
    </w:p>
    <w:p>
      <w:pPr>
        <w:adjustRightInd w:val="0"/>
        <w:snapToGrid w:val="0"/>
        <w:spacing w:line="360" w:lineRule="auto"/>
        <w:ind w:left="1470" w:hanging="1470" w:hangingChars="700"/>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0080"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147" name="文本框 147"/>
                <wp:cNvGraphicFramePr/>
                <a:graphic xmlns:a="http://schemas.openxmlformats.org/drawingml/2006/main">
                  <a:graphicData uri="http://schemas.microsoft.com/office/word/2010/wordprocessingShape">
                    <wps:wsp>
                      <wps:cNvSpPr txBox="1">
                        <a:spLocks noChangeArrowheads="1"/>
                      </wps:cNvSpPr>
                      <wps:spPr bwMode="auto">
                        <a:xfrm>
                          <a:off x="0" y="0"/>
                          <a:ext cx="1047750" cy="48387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b/>
                                <w:bCs/>
                                <w:color w:val="000000"/>
                                <w:sz w:val="18"/>
                                <w:szCs w:val="18"/>
                              </w:rPr>
                            </w:pP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5.2pt;height:38.1pt;width:82.5pt;z-index:251950080;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f4+NcAAAAK&#10;AQAADwAAAAAAAAABACAAAAAiAAAAZHJzL2Rvd25yZXYueG1sUEsBAhQAFAAAAAgAh07iQAnuge0d&#10;AgAAJwQAAA4AAAAAAAAAAQAgAAAAJgEAAGRycy9lMm9Eb2MueG1sUEsFBgAAAAAGAAYAWQEAALUF&#10;A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b/>
                          <w:bCs/>
                          <w:color w:val="000000"/>
                          <w:sz w:val="18"/>
                          <w:szCs w:val="18"/>
                        </w:rPr>
                      </w:pPr>
                    </w:p>
                    <w:p>
                      <w:pPr>
                        <w:rPr>
                          <w:sz w:val="18"/>
                          <w:szCs w:val="18"/>
                        </w:rPr>
                      </w:pPr>
                    </w:p>
                  </w:txbxContent>
                </v:textbox>
              </v:shape>
            </w:pict>
          </mc:Fallback>
        </mc:AlternateContent>
      </w:r>
      <w:r>
        <w:rPr>
          <w:rFonts w:hint="eastAsia" w:ascii="宋体" w:hAnsi="宋体" w:cs="宋体"/>
          <w:b/>
          <w:bCs/>
          <w:color w:val="auto"/>
          <w:sz w:val="24"/>
          <w:szCs w:val="24"/>
          <w:highlight w:val="none"/>
        </w:rPr>
        <w:t xml:space="preserve">65.1        </w:t>
      </w:r>
    </w:p>
    <w:p>
      <w:pPr>
        <w:adjustRightInd w:val="0"/>
        <w:snapToGrid w:val="0"/>
        <w:spacing w:line="360" w:lineRule="auto"/>
        <w:ind w:left="1676" w:leftChars="798"/>
        <w:rPr>
          <w:rFonts w:ascii="宋体" w:hAnsi="宋体" w:cs="宋体"/>
          <w:color w:val="auto"/>
          <w:sz w:val="24"/>
          <w:szCs w:val="24"/>
          <w:highlight w:val="none"/>
        </w:rPr>
      </w:pPr>
      <w:r>
        <w:rPr>
          <w:rFonts w:hint="eastAsia" w:ascii="宋体" w:hAnsi="宋体" w:cs="宋体"/>
          <w:color w:val="auto"/>
          <w:sz w:val="24"/>
          <w:szCs w:val="24"/>
          <w:highlight w:val="none"/>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146" name="文本框 146"/>
                <wp:cNvGraphicFramePr/>
                <a:graphic xmlns:a="http://schemas.openxmlformats.org/drawingml/2006/main">
                  <a:graphicData uri="http://schemas.microsoft.com/office/word/2010/wordprocessingShape">
                    <wps:wsp>
                      <wps:cNvSpPr txBox="1">
                        <a:spLocks noChangeArrowheads="1"/>
                      </wps:cNvSpPr>
                      <wps:spPr bwMode="auto">
                        <a:xfrm>
                          <a:off x="0" y="0"/>
                          <a:ext cx="1028700" cy="95631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5pt;height:75.3pt;width:81pt;z-index:251951104;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DBSttcAAAAK&#10;AQAADwAAAAAAAAABACAAAAAiAAAAZHJzL2Rvd25yZXYueG1sUEsBAhQAFAAAAAgAh07iQD9zyN0d&#10;AgAAJwQAAA4AAAAAAAAAAQAgAAAAJgEAAGRycy9lMm9Eb2MueG1sUEsFBgAAAAAGAAYAWQEAALUF&#10;A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sz w:val="18"/>
                          <w:szCs w:val="18"/>
                        </w:rPr>
                      </w:pPr>
                    </w:p>
                  </w:txbxContent>
                </v:textbox>
              </v:shape>
            </w:pict>
          </mc:Fallback>
        </mc:AlternateContent>
      </w:r>
      <w:r>
        <w:rPr>
          <w:rFonts w:hint="eastAsia" w:ascii="宋体" w:hAnsi="宋体" w:cs="宋体"/>
          <w:b/>
          <w:bCs/>
          <w:color w:val="auto"/>
          <w:sz w:val="24"/>
          <w:szCs w:val="24"/>
          <w:highlight w:val="none"/>
        </w:rPr>
        <w:t xml:space="preserve">65.2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发包人在工程量清单中给定暂估价的材料和工程设备，未达到依法必须招标的规模、标准的，由承包人按照第49条规定采购。经造价工程师确认的材料和工程设备价格与工程量清单中所列的暂估价的差额以及相应的规费、税金等其他费用，应列入合同价款。</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65.3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2128"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145" name="文本框 145"/>
                <wp:cNvGraphicFramePr/>
                <a:graphic xmlns:a="http://schemas.openxmlformats.org/drawingml/2006/main">
                  <a:graphicData uri="http://schemas.microsoft.com/office/word/2010/wordprocessingShape">
                    <wps:wsp>
                      <wps:cNvSpPr txBox="1">
                        <a:spLocks noChangeArrowheads="1"/>
                      </wps:cNvSpPr>
                      <wps:spPr bwMode="auto">
                        <a:xfrm>
                          <a:off x="0" y="0"/>
                          <a:ext cx="1028700" cy="86360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pt;margin-top:5.65pt;height:68pt;width:81pt;z-index:251952128;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o3/6P1wAAAAoB&#10;AAAPAAAAAAAAAAEAIAAAACIAAABkcnMvZG93bnJldi54bWxQSwECFAAUAAAACACHTuJA7oxw8RwC&#10;AAAnBAAADgAAAAAAAAABACAAAAAmAQAAZHJzL2Uyb0RvYy54bWxQSwUGAAAAAAYABgBZAQAAtAUA&#10;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宋体" w:hAnsi="宋体" w:cs="宋体"/>
          <w:color w:val="auto"/>
          <w:sz w:val="24"/>
          <w:szCs w:val="24"/>
          <w:highlight w:val="none"/>
        </w:rPr>
        <w:t>发包人在工程量清单中给定暂估价的专业工程，未达到依法必须招标的规模及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w:t>
      </w:r>
    </w:p>
    <w:p>
      <w:pPr>
        <w:tabs>
          <w:tab w:val="left" w:pos="3038"/>
        </w:tabs>
        <w:adjustRightInd w:val="0"/>
        <w:snapToGrid w:val="0"/>
        <w:spacing w:line="24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084" w:name="_Toc25717"/>
      <w:bookmarkStart w:id="1085" w:name="_Toc469384050"/>
      <w:bookmarkStart w:id="1086" w:name="_Toc30539"/>
      <w:bookmarkStart w:id="1087" w:name="_Toc1953182766"/>
      <w:bookmarkStart w:id="1088" w:name="_Toc14484"/>
      <w:bookmarkStart w:id="1089" w:name="_Toc75388108"/>
      <w:bookmarkStart w:id="1090" w:name="_Toc6673"/>
      <w:bookmarkStart w:id="1091" w:name="_Toc18377"/>
      <w:bookmarkStart w:id="1092" w:name="_Toc26668"/>
      <w:r>
        <w:rPr>
          <w:rFonts w:hint="eastAsia" w:ascii="宋体" w:hAnsi="宋体" w:cs="宋体"/>
          <w:b/>
          <w:bCs/>
          <w:color w:val="auto"/>
          <w:sz w:val="24"/>
          <w:szCs w:val="24"/>
          <w:highlight w:val="none"/>
        </w:rPr>
        <w:t>66  提前竣工奖与误期赔偿费</w:t>
      </w:r>
      <w:bookmarkEnd w:id="1084"/>
      <w:bookmarkEnd w:id="1085"/>
      <w:bookmarkEnd w:id="1086"/>
      <w:bookmarkEnd w:id="1087"/>
      <w:bookmarkEnd w:id="1088"/>
      <w:bookmarkEnd w:id="1089"/>
      <w:bookmarkEnd w:id="1090"/>
      <w:bookmarkEnd w:id="1091"/>
      <w:bookmarkEnd w:id="1092"/>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66.1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144" name="文本框 144"/>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4pt;height:31.9pt;width:81pt;z-index:251953152;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Q0RG9UAAAAIAQAA&#10;DwAAAAAAAAABACAAAAAiAAAAZHJzL2Rvd25yZXYueG1sUEsBAhQAFAAAAAgAh07iQAWSuLQcAgAA&#10;JwQAAA4AAAAAAAAAAQAgAAAAJAEAAGRycy9lMm9Eb2MueG1sUEsFBgAAAAAGAAYAWQEAALIFAAAA&#10;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宋体" w:hAnsi="宋体" w:cs="宋体"/>
          <w:color w:val="auto"/>
          <w:sz w:val="24"/>
          <w:szCs w:val="24"/>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66.2  </w:t>
      </w:r>
    </w:p>
    <w:p>
      <w:pPr>
        <w:adjustRightInd w:val="0"/>
        <w:snapToGrid w:val="0"/>
        <w:spacing w:line="460" w:lineRule="exact"/>
        <w:ind w:left="1619" w:leftChars="771"/>
        <w:rPr>
          <w:rFonts w:hint="eastAsia" w:ascii="宋体" w:hAnsi="宋体" w:eastAsia="宋体" w:cs="宋体"/>
          <w:color w:val="auto"/>
          <w:sz w:val="24"/>
          <w:szCs w:val="24"/>
          <w:highlight w:val="none"/>
          <w:lang w:eastAsia="zh-CN"/>
        </w:rPr>
      </w:pPr>
      <w:r>
        <w:rPr>
          <w:rFonts w:hint="eastAsia" w:ascii="宋体" w:hAnsi="宋体" w:cs="宋体"/>
          <w:color w:val="auto"/>
          <w:szCs w:val="20"/>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143" name="文本框 143"/>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pt;height:29.75pt;width:72pt;z-index:251954176;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E0kpnUAAAACAEAAA8A&#10;AAAAAAAAAQAgAAAAIgAAAGRycy9kb3ducmV2LnhtbFBLAQIUABQAAAAIAIdO4kAUzp3+GwIAACYE&#10;AAAOAAAAAAAAAAEAIAAAACMBAABkcnMvZTJvRG9jLnhtbFBLBQYAAAAABgAGAFkBAACwBQ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宋体" w:hAnsi="宋体" w:cs="宋体"/>
          <w:color w:val="auto"/>
          <w:sz w:val="24"/>
          <w:szCs w:val="24"/>
          <w:highlight w:val="none"/>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p>
    <w:p>
      <w:pPr>
        <w:adjustRightInd w:val="0"/>
        <w:snapToGrid w:val="0"/>
        <w:spacing w:line="460" w:lineRule="exact"/>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pPr>
        <w:adjustRightInd w:val="0"/>
        <w:snapToGrid w:val="0"/>
        <w:spacing w:line="360" w:lineRule="auto"/>
        <w:ind w:right="-238"/>
        <w:rPr>
          <w:rFonts w:ascii="宋体" w:hAnsi="宋体" w:cs="宋体"/>
          <w:b/>
          <w:bCs/>
          <w:color w:val="auto"/>
          <w:sz w:val="24"/>
          <w:szCs w:val="24"/>
          <w:highlight w:val="none"/>
          <w:u w:val="single"/>
        </w:rPr>
      </w:pPr>
    </w:p>
    <w:p>
      <w:pPr>
        <w:tabs>
          <w:tab w:val="left" w:pos="540"/>
        </w:tabs>
        <w:adjustRightInd w:val="0"/>
        <w:snapToGrid w:val="0"/>
        <w:spacing w:before="312" w:beforeLines="100"/>
        <w:outlineLvl w:val="2"/>
        <w:rPr>
          <w:rFonts w:ascii="宋体" w:hAnsi="宋体" w:cs="宋体"/>
          <w:b/>
          <w:bCs/>
          <w:color w:val="auto"/>
          <w:sz w:val="24"/>
          <w:szCs w:val="24"/>
          <w:highlight w:val="none"/>
        </w:rPr>
      </w:pPr>
      <w:bookmarkStart w:id="1093" w:name="_Toc8934"/>
      <w:bookmarkStart w:id="1094" w:name="_Toc707720120"/>
      <w:bookmarkStart w:id="1095" w:name="_Toc32579426"/>
      <w:bookmarkStart w:id="1096" w:name="_Toc1229"/>
      <w:bookmarkStart w:id="1097" w:name="_Toc17004"/>
      <w:bookmarkStart w:id="1098" w:name="_Toc23613"/>
      <w:bookmarkStart w:id="1099" w:name="_Toc469384051"/>
      <w:bookmarkStart w:id="1100" w:name="_Toc12425"/>
      <w:bookmarkStart w:id="1101" w:name="_Toc17751"/>
      <w:r>
        <w:rPr>
          <w:rFonts w:hint="eastAsia" w:ascii="宋体" w:hAnsi="宋体" w:cs="宋体"/>
          <w:b/>
          <w:bCs/>
          <w:color w:val="auto"/>
          <w:sz w:val="24"/>
          <w:szCs w:val="24"/>
          <w:highlight w:val="none"/>
        </w:rPr>
        <w:t>67  工程优质费</w:t>
      </w:r>
      <w:bookmarkEnd w:id="1093"/>
      <w:bookmarkEnd w:id="1094"/>
      <w:bookmarkEnd w:id="1095"/>
      <w:bookmarkEnd w:id="1096"/>
      <w:bookmarkEnd w:id="1097"/>
      <w:bookmarkEnd w:id="1098"/>
      <w:bookmarkEnd w:id="1099"/>
      <w:bookmarkEnd w:id="1100"/>
      <w:bookmarkEnd w:id="1101"/>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67.1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142" name="文本框 142"/>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4pt;height:41.3pt;width:81pt;z-index:251955200;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Xf1wNQAAAAIAQAA&#10;DwAAAAAAAAABACAAAAAiAAAAZHJzL2Rvd25yZXYueG1sUEsBAhQAFAAAAAgAh07iQCC+VW0dAgAA&#10;JwQAAA4AAAAAAAAAAQAgAAAAIwEAAGRycy9lMm9Eb2MueG1sUEsFBgAAAAAGAAYAWQEAALIFAAAA&#10;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ascii="宋体" w:hAnsi="宋体" w:cs="宋体"/>
          <w:color w:val="auto"/>
          <w:sz w:val="24"/>
          <w:szCs w:val="24"/>
          <w:highlight w:val="none"/>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141" name="文本框 141"/>
                <wp:cNvGraphicFramePr/>
                <a:graphic xmlns:a="http://schemas.openxmlformats.org/drawingml/2006/main">
                  <a:graphicData uri="http://schemas.microsoft.com/office/word/2010/wordprocessingShape">
                    <wps:wsp>
                      <wps:cNvSpPr txBox="1">
                        <a:spLocks noChangeArrowheads="1"/>
                      </wps:cNvSpPr>
                      <wps:spPr bwMode="auto">
                        <a:xfrm>
                          <a:off x="0" y="0"/>
                          <a:ext cx="914400" cy="62103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45pt;height:48.9pt;width:72pt;z-index:251956224;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zvPWzYAAAACgEA&#10;AA8AAAAAAAAAAQAgAAAAIgAAAGRycy9kb3ducmV2LnhtbFBLAQIUABQAAAAIAIdO4kDKTTr9GgIA&#10;ACYEAAAOAAAAAAAAAAEAIAAAACcBAABkcnMvZTJvRG9jLnhtbFBLBQYAAAAABgAGAFkBAACzBQAA&#10;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hint="eastAsia" w:ascii="宋体" w:hAnsi="宋体" w:cs="宋体"/>
          <w:b/>
          <w:bCs/>
          <w:color w:val="auto"/>
          <w:sz w:val="24"/>
          <w:szCs w:val="24"/>
          <w:highlight w:val="none"/>
        </w:rPr>
        <w:t xml:space="preserve">67.2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28天内支付。</w:t>
      </w:r>
    </w:p>
    <w:p>
      <w:pPr>
        <w:adjustRightInd w:val="0"/>
        <w:snapToGrid w:val="0"/>
        <w:spacing w:line="240" w:lineRule="exact"/>
        <w:jc w:val="left"/>
        <w:rPr>
          <w:rFonts w:ascii="宋体" w:hAnsi="宋体" w:cs="宋体"/>
          <w:b/>
          <w:bCs/>
          <w:color w:val="auto"/>
          <w:sz w:val="24"/>
          <w:szCs w:val="24"/>
          <w:highlight w:val="non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102" w:name="_Toc28493"/>
      <w:bookmarkStart w:id="1103" w:name="_Toc2101566444"/>
      <w:bookmarkStart w:id="1104" w:name="_Toc31002"/>
      <w:bookmarkStart w:id="1105" w:name="_Toc1887619754"/>
      <w:bookmarkStart w:id="1106" w:name="_Toc4399"/>
      <w:bookmarkStart w:id="1107" w:name="_Toc15554"/>
      <w:bookmarkStart w:id="1108" w:name="_Toc26623"/>
      <w:bookmarkStart w:id="1109" w:name="_Toc29012"/>
      <w:bookmarkStart w:id="1110" w:name="_Toc469384052"/>
      <w:r>
        <w:rPr>
          <w:rFonts w:hint="eastAsia" w:ascii="宋体" w:hAnsi="宋体" w:cs="宋体"/>
          <w:b/>
          <w:bCs/>
          <w:color w:val="auto"/>
          <w:sz w:val="24"/>
          <w:szCs w:val="24"/>
          <w:highlight w:val="none"/>
        </w:rPr>
        <w:t>68  合同价款的约定与调整</w:t>
      </w:r>
      <w:bookmarkEnd w:id="1102"/>
      <w:bookmarkEnd w:id="1103"/>
      <w:bookmarkEnd w:id="1104"/>
      <w:bookmarkEnd w:id="1105"/>
      <w:bookmarkEnd w:id="1106"/>
      <w:bookmarkEnd w:id="1107"/>
      <w:bookmarkEnd w:id="1108"/>
      <w:bookmarkEnd w:id="1109"/>
      <w:bookmarkEnd w:id="1110"/>
    </w:p>
    <w:p>
      <w:pPr>
        <w:adjustRightInd w:val="0"/>
        <w:snapToGrid w:val="0"/>
        <w:spacing w:line="360" w:lineRule="auto"/>
        <w:ind w:left="1446" w:hanging="1446" w:hangingChars="600"/>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68.1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140" name="文本框 140"/>
                <wp:cNvGraphicFramePr/>
                <a:graphic xmlns:a="http://schemas.openxmlformats.org/drawingml/2006/main">
                  <a:graphicData uri="http://schemas.microsoft.com/office/word/2010/wordprocessingShape">
                    <wps:wsp>
                      <wps:cNvSpPr txBox="1">
                        <a:spLocks noChangeArrowheads="1"/>
                      </wps:cNvSpPr>
                      <wps:spPr bwMode="auto">
                        <a:xfrm>
                          <a:off x="0" y="0"/>
                          <a:ext cx="1009650" cy="31305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5pt;height:24.65pt;width:79.5pt;z-index:251957248;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VZCG9UAAAAIAQAA&#10;DwAAAAAAAAABACAAAAAiAAAAZHJzL2Rvd25yZXYueG1sUEsBAhQAFAAAAAgAh07iQB+KNagcAgAA&#10;JwQAAA4AAAAAAAAAAQAgAAAAJAEAAGRycy9lMm9Eb2MueG1sUEsFBgAAAAAGAAYAWQEAALIFAAAA&#10;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v:textbox>
              </v:shape>
            </w:pict>
          </mc:Fallback>
        </mc:AlternateContent>
      </w:r>
      <w:r>
        <w:rPr>
          <w:rFonts w:hint="eastAsia" w:ascii="宋体" w:hAnsi="宋体" w:cs="宋体"/>
          <w:color w:val="auto"/>
          <w:sz w:val="24"/>
          <w:szCs w:val="24"/>
          <w:highlight w:val="none"/>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pPr>
        <w:adjustRightInd w:val="0"/>
        <w:snapToGrid w:val="0"/>
        <w:spacing w:line="480" w:lineRule="auto"/>
        <w:rPr>
          <w:rFonts w:ascii="宋体" w:hAnsi="宋体" w:cs="宋体"/>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958272"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139" name="文本框 139"/>
                <wp:cNvGraphicFramePr/>
                <a:graphic xmlns:a="http://schemas.openxmlformats.org/drawingml/2006/main">
                  <a:graphicData uri="http://schemas.microsoft.com/office/word/2010/wordprocessingShape">
                    <wps:wsp>
                      <wps:cNvSpPr txBox="1">
                        <a:spLocks noChangeArrowheads="1"/>
                      </wps:cNvSpPr>
                      <wps:spPr bwMode="auto">
                        <a:xfrm>
                          <a:off x="0" y="0"/>
                          <a:ext cx="726440" cy="483235"/>
                        </a:xfrm>
                        <a:prstGeom prst="rect">
                          <a:avLst/>
                        </a:prstGeom>
                        <a:noFill/>
                        <a:ln>
                          <a:noFill/>
                        </a:ln>
                        <a:effectLst/>
                      </wps:spPr>
                      <wps:txbx>
                        <w:txbxContent>
                          <w:p>
                            <w:pPr>
                              <w:pStyle w:val="18"/>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05pt;margin-top:17.3pt;height:38.05pt;width:57.2pt;z-index:251958272;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IixdbXAAAACQEA&#10;AA8AAAAAAAAAAQAgAAAAIgAAAGRycy9kb3ducmV2LnhtbFBLAQIUABQAAAAIAIdO4kCgoynDGwIA&#10;ACYEAAAOAAAAAAAAAAEAIAAAACYBAABkcnMvZTJvRG9jLnhtbFBLBQYAAAAABgAGAFkBAACzBQAA&#10;AAA=&#10;">
                <v:fill on="f" focussize="0,0"/>
                <v:stroke on="f"/>
                <v:imagedata o:title=""/>
                <o:lock v:ext="edit" aspectratio="f"/>
                <v:textbox>
                  <w:txbxContent>
                    <w:p>
                      <w:pPr>
                        <w:pStyle w:val="18"/>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v:textbox>
              </v:shape>
            </w:pict>
          </mc:Fallback>
        </mc:AlternateContent>
      </w:r>
      <w:r>
        <w:rPr>
          <w:rFonts w:hint="eastAsia" w:ascii="宋体" w:hAnsi="宋体" w:cs="宋体"/>
          <w:color w:val="auto"/>
          <w:sz w:val="24"/>
          <w:szCs w:val="24"/>
          <w:highlight w:val="none"/>
        </w:rPr>
        <w:t xml:space="preserve">68.2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b/>
          <w:bCs/>
          <w:color w:val="auto"/>
          <w:sz w:val="24"/>
          <w:szCs w:val="24"/>
          <w:highlight w:val="none"/>
        </w:rPr>
        <w:t>下列各种确定合同价款的方式，双方可在专用条款内约定采用其中一种：</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1）总价合同。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2）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（3）按实结算合同。承包方根据相关资料编制预算，合同价款是暂定价，双方在专用条款内约定合同价款调整方法。</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（4）其它价格形式。合同当事人可在专用条款中约定其他合同价格形式。</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68.3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38" name="文本框 138"/>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1.05pt;width:72pt;z-index:251959296;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uGv70wAAAAcBAAAPAAAA&#10;AAAAAAEAIAAAACIAAABkcnMvZG93bnJldi54bWxQSwECFAAUAAAACACHTuJA3Wgl7BoCAAAmBAAA&#10;DgAAAAAAAAABACAAAAAiAQAAZHJzL2Uyb0RvYy54bWxQSwUGAAAAAAYABgBZAQAArg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v:textbox>
              </v:shape>
            </w:pict>
          </mc:Fallback>
        </mc:AlternateContent>
      </w:r>
      <w:r>
        <w:rPr>
          <w:rFonts w:hint="eastAsia" w:ascii="宋体" w:hAnsi="宋体" w:cs="宋体"/>
          <w:b/>
          <w:bCs/>
          <w:color w:val="auto"/>
          <w:sz w:val="24"/>
          <w:szCs w:val="24"/>
          <w:highlight w:val="none"/>
        </w:rPr>
        <w:t>合同双方当事人应明确合同价款的调整事件。除专用条款另有约定外，调整事件应包括：</w:t>
      </w:r>
    </w:p>
    <w:p>
      <w:pPr>
        <w:numPr>
          <w:ilvl w:val="0"/>
          <w:numId w:val="24"/>
        </w:numPr>
        <w:adjustRightInd w:val="0"/>
        <w:snapToGrid w:val="0"/>
        <w:spacing w:line="360" w:lineRule="auto"/>
        <w:ind w:firstLine="420"/>
        <w:rPr>
          <w:rFonts w:ascii="宋体" w:hAnsi="宋体" w:cs="宋体"/>
          <w:color w:val="auto"/>
          <w:sz w:val="24"/>
          <w:szCs w:val="24"/>
          <w:highlight w:val="none"/>
        </w:rPr>
      </w:pPr>
      <w:r>
        <w:rPr>
          <w:rFonts w:hint="eastAsia" w:ascii="宋体" w:hAnsi="宋体" w:cs="宋体"/>
          <w:color w:val="auto"/>
          <w:sz w:val="24"/>
          <w:szCs w:val="24"/>
          <w:highlight w:val="none"/>
        </w:rPr>
        <w:t>后继法律变化事件；</w:t>
      </w:r>
    </w:p>
    <w:p>
      <w:pPr>
        <w:numPr>
          <w:ilvl w:val="0"/>
          <w:numId w:val="24"/>
        </w:numPr>
        <w:adjustRightInd w:val="0"/>
        <w:snapToGrid w:val="0"/>
        <w:spacing w:line="360" w:lineRule="auto"/>
        <w:ind w:firstLine="420"/>
        <w:rPr>
          <w:rFonts w:ascii="宋体" w:hAnsi="宋体" w:cs="宋体"/>
          <w:color w:val="auto"/>
          <w:sz w:val="24"/>
          <w:szCs w:val="24"/>
          <w:highlight w:val="none"/>
        </w:rPr>
      </w:pPr>
      <w:r>
        <w:rPr>
          <w:rFonts w:hint="eastAsia" w:ascii="宋体" w:hAnsi="宋体" w:cs="宋体"/>
          <w:color w:val="auto"/>
          <w:sz w:val="24"/>
          <w:szCs w:val="24"/>
          <w:highlight w:val="none"/>
        </w:rPr>
        <w:t>项目特征描述不符事件；</w:t>
      </w:r>
    </w:p>
    <w:p>
      <w:pPr>
        <w:numPr>
          <w:ilvl w:val="0"/>
          <w:numId w:val="24"/>
        </w:numPr>
        <w:adjustRightInd w:val="0"/>
        <w:snapToGrid w:val="0"/>
        <w:spacing w:line="360" w:lineRule="auto"/>
        <w:ind w:firstLine="420"/>
        <w:rPr>
          <w:rFonts w:ascii="宋体" w:hAnsi="宋体" w:cs="宋体"/>
          <w:color w:val="auto"/>
          <w:sz w:val="24"/>
          <w:szCs w:val="24"/>
          <w:highlight w:val="none"/>
        </w:rPr>
      </w:pPr>
      <w:r>
        <w:rPr>
          <w:rFonts w:hint="eastAsia" w:ascii="宋体" w:hAnsi="宋体" w:cs="宋体"/>
          <w:color w:val="auto"/>
          <w:sz w:val="24"/>
          <w:szCs w:val="24"/>
          <w:highlight w:val="none"/>
        </w:rPr>
        <w:t>分部分项工程量清单缺项漏项事件；</w:t>
      </w:r>
    </w:p>
    <w:p>
      <w:pPr>
        <w:numPr>
          <w:ilvl w:val="0"/>
          <w:numId w:val="24"/>
        </w:numPr>
        <w:adjustRightInd w:val="0"/>
        <w:snapToGrid w:val="0"/>
        <w:spacing w:line="360" w:lineRule="auto"/>
        <w:ind w:firstLine="420"/>
        <w:rPr>
          <w:rFonts w:ascii="宋体" w:hAnsi="宋体" w:cs="宋体"/>
          <w:color w:val="auto"/>
          <w:sz w:val="24"/>
          <w:szCs w:val="24"/>
          <w:highlight w:val="none"/>
        </w:rPr>
      </w:pPr>
      <w:r>
        <w:rPr>
          <w:rFonts w:hint="eastAsia" w:ascii="宋体" w:hAnsi="宋体" w:cs="宋体"/>
          <w:color w:val="auto"/>
          <w:sz w:val="24"/>
          <w:szCs w:val="24"/>
          <w:highlight w:val="none"/>
        </w:rPr>
        <w:t>工程变更事件；</w:t>
      </w:r>
    </w:p>
    <w:p>
      <w:pPr>
        <w:numPr>
          <w:ilvl w:val="0"/>
          <w:numId w:val="24"/>
        </w:numPr>
        <w:adjustRightInd w:val="0"/>
        <w:snapToGrid w:val="0"/>
        <w:spacing w:line="360" w:lineRule="auto"/>
        <w:ind w:firstLine="420"/>
        <w:rPr>
          <w:rFonts w:ascii="宋体" w:hAnsi="宋体" w:cs="宋体"/>
          <w:color w:val="auto"/>
          <w:sz w:val="24"/>
          <w:szCs w:val="24"/>
          <w:highlight w:val="none"/>
        </w:rPr>
      </w:pPr>
      <w:r>
        <w:rPr>
          <w:rFonts w:hint="eastAsia" w:ascii="宋体" w:hAnsi="宋体" w:cs="宋体"/>
          <w:color w:val="auto"/>
          <w:sz w:val="24"/>
          <w:szCs w:val="24"/>
          <w:highlight w:val="none"/>
        </w:rPr>
        <w:t>工程量偏差事件；</w:t>
      </w:r>
    </w:p>
    <w:p>
      <w:pPr>
        <w:numPr>
          <w:ilvl w:val="0"/>
          <w:numId w:val="24"/>
        </w:numPr>
        <w:adjustRightInd w:val="0"/>
        <w:snapToGrid w:val="0"/>
        <w:spacing w:line="360" w:lineRule="auto"/>
        <w:ind w:firstLine="420"/>
        <w:rPr>
          <w:rFonts w:ascii="宋体" w:hAnsi="宋体" w:cs="宋体"/>
          <w:color w:val="auto"/>
          <w:sz w:val="24"/>
          <w:szCs w:val="24"/>
          <w:highlight w:val="none"/>
        </w:rPr>
      </w:pPr>
      <w:r>
        <w:rPr>
          <w:rFonts w:hint="eastAsia" w:ascii="宋体" w:hAnsi="宋体" w:cs="宋体"/>
          <w:color w:val="auto"/>
          <w:sz w:val="24"/>
          <w:szCs w:val="24"/>
          <w:highlight w:val="none"/>
        </w:rPr>
        <w:t>费用索赔事件；</w:t>
      </w:r>
    </w:p>
    <w:p>
      <w:pPr>
        <w:numPr>
          <w:ilvl w:val="0"/>
          <w:numId w:val="24"/>
        </w:numPr>
        <w:adjustRightInd w:val="0"/>
        <w:snapToGrid w:val="0"/>
        <w:spacing w:line="360" w:lineRule="auto"/>
        <w:ind w:firstLine="420"/>
        <w:rPr>
          <w:rFonts w:ascii="宋体" w:hAnsi="宋体" w:cs="宋体"/>
          <w:color w:val="auto"/>
          <w:sz w:val="24"/>
          <w:szCs w:val="24"/>
          <w:highlight w:val="none"/>
        </w:rPr>
      </w:pPr>
      <w:r>
        <w:rPr>
          <w:rFonts w:hint="eastAsia" w:ascii="宋体" w:hAnsi="宋体" w:cs="宋体"/>
          <w:color w:val="auto"/>
          <w:sz w:val="24"/>
          <w:szCs w:val="24"/>
          <w:highlight w:val="none"/>
        </w:rPr>
        <w:t>现场签证事件；</w:t>
      </w:r>
    </w:p>
    <w:p>
      <w:pPr>
        <w:numPr>
          <w:ilvl w:val="0"/>
          <w:numId w:val="24"/>
        </w:numPr>
        <w:adjustRightInd w:val="0"/>
        <w:snapToGrid w:val="0"/>
        <w:spacing w:line="360" w:lineRule="auto"/>
        <w:ind w:firstLine="420"/>
        <w:rPr>
          <w:rFonts w:ascii="宋体" w:hAnsi="宋体" w:cs="宋体"/>
          <w:color w:val="auto"/>
          <w:sz w:val="24"/>
          <w:szCs w:val="24"/>
          <w:highlight w:val="none"/>
        </w:rPr>
      </w:pPr>
      <w:r>
        <w:rPr>
          <w:rFonts w:hint="eastAsia" w:ascii="宋体" w:hAnsi="宋体" w:cs="宋体"/>
          <w:color w:val="auto"/>
          <w:sz w:val="24"/>
          <w:szCs w:val="24"/>
          <w:highlight w:val="none"/>
        </w:rPr>
        <w:t>物价涨落事件；</w:t>
      </w:r>
    </w:p>
    <w:p>
      <w:pPr>
        <w:numPr>
          <w:ilvl w:val="0"/>
          <w:numId w:val="24"/>
        </w:numPr>
        <w:adjustRightInd w:val="0"/>
        <w:snapToGrid w:val="0"/>
        <w:spacing w:line="360" w:lineRule="auto"/>
        <w:ind w:firstLine="420"/>
        <w:rPr>
          <w:rFonts w:ascii="宋体" w:hAnsi="宋体" w:cs="宋体"/>
          <w:color w:val="auto"/>
          <w:sz w:val="24"/>
          <w:szCs w:val="24"/>
          <w:highlight w:val="none"/>
        </w:rPr>
      </w:pPr>
      <w:r>
        <w:rPr>
          <w:rFonts w:hint="eastAsia" w:ascii="宋体" w:hAnsi="宋体" w:cs="宋体"/>
          <w:color w:val="auto"/>
          <w:sz w:val="24"/>
          <w:szCs w:val="24"/>
          <w:highlight w:val="none"/>
        </w:rPr>
        <w:t>专用条款约定的其他事件。</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本款(1)至(9)调整事件应分别按照第69条至第76条的规定调整合同价款。</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68.4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37" name="文本框 137"/>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a:effectLst/>
                      </wps:spPr>
                      <wps:txbx>
                        <w:txbxContent>
                          <w:p>
                            <w:pPr>
                              <w:pStyle w:val="18"/>
                              <w:spacing w:line="200" w:lineRule="exact"/>
                              <w:rPr>
                                <w:sz w:val="18"/>
                                <w:szCs w:val="18"/>
                              </w:rPr>
                            </w:pPr>
                            <w:r>
                              <w:rPr>
                                <w:rFonts w:hint="eastAsia" w:ascii="楷体_GB2312" w:hAnsi="宋体" w:eastAsia="楷体_GB2312" w:cs="楷体_GB2312"/>
                                <w:b/>
                                <w:bCs/>
                                <w:color w:val="000000"/>
                                <w:sz w:val="18"/>
                                <w:szCs w:val="18"/>
                              </w:rPr>
                              <w:t>调整合同价款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1.05pt;width:72pt;z-index:251960320;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uGv70wAAAAcBAAAPAAAA&#10;AAAAAAEAIAAAACIAAABkcnMvZG93bnJldi54bWxQSwECFAAUAAAACACHTuJAYYqc1hoCAAAmBAAA&#10;DgAAAAAAAAABACAAAAAiAQAAZHJzL2Uyb0RvYy54bWxQSwUGAAAAAAYABgBZAQAArgUAAAAA&#10;">
                <v:fill on="f" focussize="0,0"/>
                <v:stroke on="f"/>
                <v:imagedata o:title=""/>
                <o:lock v:ext="edit" aspectratio="f"/>
                <v:textbox>
                  <w:txbxContent>
                    <w:p>
                      <w:pPr>
                        <w:pStyle w:val="18"/>
                        <w:spacing w:line="200" w:lineRule="exact"/>
                        <w:rPr>
                          <w:sz w:val="18"/>
                          <w:szCs w:val="18"/>
                        </w:rPr>
                      </w:pPr>
                      <w:r>
                        <w:rPr>
                          <w:rFonts w:hint="eastAsia" w:ascii="楷体_GB2312" w:hAnsi="宋体" w:eastAsia="楷体_GB2312" w:cs="楷体_GB2312"/>
                          <w:b/>
                          <w:bCs/>
                          <w:color w:val="000000"/>
                          <w:sz w:val="18"/>
                          <w:szCs w:val="18"/>
                        </w:rPr>
                        <w:t>调整合同价款</w:t>
                      </w:r>
                    </w:p>
                  </w:txbxContent>
                </v:textbox>
              </v:shape>
            </w:pict>
          </mc:Fallback>
        </mc:AlternateContent>
      </w:r>
      <w:r>
        <w:rPr>
          <w:rFonts w:hint="eastAsia" w:ascii="宋体" w:hAnsi="宋体" w:cs="宋体"/>
          <w:color w:val="auto"/>
          <w:sz w:val="24"/>
          <w:szCs w:val="24"/>
          <w:highlight w:val="none"/>
        </w:rPr>
        <w:t>出现第</w:t>
      </w:r>
      <w:r>
        <w:rPr>
          <w:rFonts w:hint="eastAsia" w:ascii="宋体" w:hAnsi="宋体" w:cs="宋体"/>
          <w:color w:val="auto"/>
          <w:sz w:val="24"/>
          <w:szCs w:val="24"/>
          <w:highlight w:val="none"/>
          <w:lang w:val="en-US" w:eastAsia="zh-CN"/>
        </w:rPr>
        <w:t>68.3</w:t>
      </w:r>
      <w:r>
        <w:rPr>
          <w:rFonts w:hint="eastAsia" w:ascii="宋体" w:hAnsi="宋体" w:cs="宋体"/>
          <w:color w:val="auto"/>
          <w:sz w:val="24"/>
          <w:szCs w:val="24"/>
          <w:highlight w:val="none"/>
        </w:rPr>
        <w:t>款规定调整合同价款事件的，合同双方当事人应调整合同价款。除费用索赔、现场签证事件分别按照第74条、第75条规定外，调整合同价款的提出、核实、确认与支付等事项，由合同双方当事人按照第77条规定办理。</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根据第</w:t>
      </w:r>
      <w:r>
        <w:rPr>
          <w:rFonts w:hint="eastAsia" w:ascii="宋体" w:hAnsi="宋体" w:cs="宋体"/>
          <w:color w:val="auto"/>
          <w:sz w:val="24"/>
          <w:szCs w:val="24"/>
          <w:highlight w:val="none"/>
          <w:lang w:val="en-US" w:eastAsia="zh-CN"/>
        </w:rPr>
        <w:t>68.3</w:t>
      </w:r>
      <w:r>
        <w:rPr>
          <w:rFonts w:hint="eastAsia" w:ascii="宋体" w:hAnsi="宋体" w:cs="宋体"/>
          <w:color w:val="auto"/>
          <w:sz w:val="24"/>
          <w:szCs w:val="24"/>
          <w:highlight w:val="none"/>
        </w:rPr>
        <w:t>款规定事件调整合同价款，如果是按照第48条规定由发包人自行供应或发包人招标、承包人采购材料和工程设备的，均不应考虑第72.2款规定的承包人报价下浮率因素。</w:t>
      </w:r>
    </w:p>
    <w:p>
      <w:pPr>
        <w:tabs>
          <w:tab w:val="left" w:pos="3480"/>
        </w:tabs>
        <w:adjustRightInd w:val="0"/>
        <w:snapToGrid w:val="0"/>
        <w:spacing w:line="360" w:lineRule="exact"/>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color w:val="auto"/>
          <w:kern w:val="0"/>
          <w:sz w:val="24"/>
          <w:szCs w:val="24"/>
          <w:highlight w:val="none"/>
        </w:rPr>
      </w:pPr>
      <w:bookmarkStart w:id="1111" w:name="_Toc1363682099"/>
      <w:bookmarkStart w:id="1112" w:name="_Toc9711"/>
      <w:bookmarkStart w:id="1113" w:name="_Toc4456"/>
      <w:bookmarkStart w:id="1114" w:name="_Toc469384053"/>
      <w:bookmarkStart w:id="1115" w:name="_Toc26840"/>
      <w:bookmarkStart w:id="1116" w:name="_Toc28078"/>
      <w:bookmarkStart w:id="1117" w:name="_Toc449288347"/>
      <w:bookmarkStart w:id="1118" w:name="_Toc7567"/>
      <w:bookmarkStart w:id="1119" w:name="_Toc31528"/>
      <w:r>
        <w:rPr>
          <w:rFonts w:hint="eastAsia" w:ascii="宋体" w:hAnsi="宋体" w:cs="宋体"/>
          <w:color w:val="auto"/>
          <w:kern w:val="0"/>
          <w:sz w:val="24"/>
          <w:szCs w:val="24"/>
          <w:highlight w:val="none"/>
        </w:rPr>
        <w:t>69  后继法律变化事件</w:t>
      </w:r>
      <w:bookmarkEnd w:id="1111"/>
      <w:bookmarkEnd w:id="1112"/>
      <w:bookmarkEnd w:id="1113"/>
      <w:bookmarkEnd w:id="1114"/>
      <w:bookmarkEnd w:id="1115"/>
      <w:bookmarkEnd w:id="1116"/>
      <w:bookmarkEnd w:id="1117"/>
      <w:bookmarkEnd w:id="1118"/>
      <w:bookmarkEnd w:id="1119"/>
    </w:p>
    <w:p>
      <w:pPr>
        <w:adjustRightInd w:val="0"/>
        <w:snapToGrid w:val="0"/>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1344"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136" name="文本框 13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1.55pt;height:48.75pt;width:72pt;z-index:251961344;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92ABzXAAAACgEA&#10;AA8AAAAAAAAAAQAgAAAAIgAAAGRycy9kb3ducmV2LnhtbFBLAQIUABQAAAAIAIdO4kBHvdFaGwIA&#10;ACYEAAAOAAAAAAAAAAEAIAAAACYBAABkcnMvZTJvRG9jLnhtbFBLBQYAAAAABgAGAFkBAACzBQAA&#10;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Pr>
          <w:rFonts w:hint="eastAsia" w:ascii="宋体" w:hAnsi="宋体" w:cs="宋体"/>
          <w:b/>
          <w:bCs/>
          <w:color w:val="auto"/>
          <w:sz w:val="24"/>
          <w:szCs w:val="24"/>
          <w:highlight w:val="none"/>
        </w:rPr>
        <w:t xml:space="preserve">69.1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合同履行期间，出现国家或省颁布的法律和政策在合同工程基准日期后发生变化，且因执行上述法律和政策引起除第76条规定以外的工程造价增减事件的，合同双方当事人应调整合同价款。</w:t>
      </w:r>
    </w:p>
    <w:p>
      <w:pPr>
        <w:tabs>
          <w:tab w:val="left" w:pos="540"/>
        </w:tabs>
        <w:adjustRightInd w:val="0"/>
        <w:snapToGrid w:val="0"/>
        <w:spacing w:line="48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69.2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135" name="文本框 135"/>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48.75pt;width:72pt;z-index:251962368;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yAwH1QAAAAkBAAAP&#10;AAAAAAAAAAEAIAAAACIAAABkcnMvZG93bnJldi54bWxQSwECFAAUAAAACACHTuJAy90JVxsCAAAm&#10;BAAADgAAAAAAAAABACAAAAAk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宋体" w:hAnsi="宋体" w:cs="宋体"/>
          <w:color w:val="auto"/>
          <w:sz w:val="24"/>
          <w:szCs w:val="24"/>
          <w:highlight w:val="none"/>
        </w:rPr>
        <w:t>发生第69.1款情况的，应根据合同工程实际情况，按照上述法律和政策规定计算调整的合同价款。</w:t>
      </w:r>
    </w:p>
    <w:p>
      <w:pPr>
        <w:tabs>
          <w:tab w:val="left" w:pos="1620"/>
        </w:tabs>
        <w:spacing w:line="360" w:lineRule="auto"/>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b/>
          <w:bCs/>
          <w:color w:val="auto"/>
          <w:kern w:val="0"/>
          <w:sz w:val="24"/>
          <w:szCs w:val="24"/>
          <w:highlight w:val="none"/>
        </w:rPr>
      </w:pPr>
      <w:bookmarkStart w:id="1120" w:name="_Toc11196"/>
      <w:bookmarkStart w:id="1121" w:name="_Toc16193"/>
      <w:bookmarkStart w:id="1122" w:name="_Toc636745177"/>
      <w:bookmarkStart w:id="1123" w:name="_Toc469384054"/>
      <w:bookmarkStart w:id="1124" w:name="_Toc22582"/>
      <w:bookmarkStart w:id="1125" w:name="_Toc26378"/>
      <w:bookmarkStart w:id="1126" w:name="_Toc9994"/>
      <w:bookmarkStart w:id="1127" w:name="_Toc14335"/>
      <w:bookmarkStart w:id="1128" w:name="_Toc1459557109"/>
      <w:r>
        <w:rPr>
          <w:rFonts w:hint="eastAsia" w:ascii="宋体" w:hAnsi="宋体" w:cs="宋体"/>
          <w:bCs/>
          <w:color w:val="auto"/>
          <w:kern w:val="0"/>
          <w:sz w:val="24"/>
          <w:szCs w:val="24"/>
          <w:highlight w:val="none"/>
        </w:rPr>
        <w:t>70  项目特征描述不符事件</w:t>
      </w:r>
      <w:bookmarkEnd w:id="1120"/>
      <w:bookmarkEnd w:id="1121"/>
      <w:bookmarkEnd w:id="1122"/>
      <w:bookmarkEnd w:id="1123"/>
      <w:bookmarkEnd w:id="1124"/>
      <w:bookmarkEnd w:id="1125"/>
      <w:bookmarkEnd w:id="1126"/>
      <w:bookmarkEnd w:id="1127"/>
      <w:bookmarkEnd w:id="1128"/>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70.1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134" name="文本框 134"/>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48.75pt;width:72pt;z-index:251963392;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ckphdYAAAAJAQAA&#10;DwAAAAAAAAABACAAAAAiAAAAZHJzL2Rvd25yZXYueG1sUEsBAhQAFAAAAAgAh07iQE8CvlMbAgAA&#10;JgQAAA4AAAAAAAAAAQAgAAAAJQEAAGRycy9lMm9Eb2MueG1sUEsFBgAAAAAGAAYAWQEAALIFAAAA&#10;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v:textbox>
              </v:shape>
            </w:pict>
          </mc:Fallback>
        </mc:AlternateContent>
      </w:r>
      <w:r>
        <w:rPr>
          <w:rFonts w:hint="eastAsia" w:ascii="宋体" w:hAnsi="宋体" w:cs="宋体"/>
          <w:color w:val="auto"/>
          <w:sz w:val="24"/>
          <w:szCs w:val="24"/>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70.2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33" name="文本框 133"/>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32"/>
                              <w:spacing w:line="200" w:lineRule="exact"/>
                              <w:ind w:firstLine="392"/>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48.75pt;width:72pt;z-index:251964416;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nf/5HUAAAABwEAAA8A&#10;AAAAAAAAAQAgAAAAIgAAAGRycy9kb3ducmV2LnhtbFBLAQIUABQAAAAIAIdO4kDTHLlMGwIAACYE&#10;AAAOAAAAAAAAAAEAIAAAACMBAABkcnMvZTJvRG9jLnhtbFBLBQYAAAAABgAGAFkBAACwBQ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32"/>
                        <w:spacing w:line="200" w:lineRule="exact"/>
                        <w:ind w:firstLine="392"/>
                        <w:rPr>
                          <w:sz w:val="18"/>
                          <w:szCs w:val="18"/>
                        </w:rPr>
                      </w:pPr>
                    </w:p>
                  </w:txbxContent>
                </v:textbox>
              </v:shape>
            </w:pict>
          </mc:Fallback>
        </mc:AlternateContent>
      </w:r>
      <w:r>
        <w:rPr>
          <w:rFonts w:hint="eastAsia" w:ascii="宋体" w:hAnsi="宋体" w:cs="宋体"/>
          <w:color w:val="auto"/>
          <w:sz w:val="24"/>
          <w:szCs w:val="24"/>
          <w:highlight w:val="none"/>
        </w:rPr>
        <w:t>合同履行期间，出现实际施工设计图纸（含设计变更）与招标文件提供的工程量清单任一项目特征描述不符，且该变化引起工程造价增减事件的，合同双方当事人应调整合同价款。</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70.3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32" name="文本框 132"/>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8"/>
                              <w:spacing w:line="200" w:lineRule="exact"/>
                              <w:rPr>
                                <w:color w:val="FF0000"/>
                                <w:szCs w:val="24"/>
                              </w:rPr>
                            </w:pPr>
                            <w:r>
                              <w:rPr>
                                <w:rFonts w:hint="eastAsia" w:ascii="楷体_GB2312" w:hAnsi="宋体" w:eastAsia="楷体_GB2312" w:cs="楷体_GB2312"/>
                                <w:b/>
                                <w:bCs/>
                                <w:color w:val="000000"/>
                                <w:sz w:val="18"/>
                                <w:szCs w:val="18"/>
                              </w:rPr>
                              <w:t>调整价款的方法</w:t>
                            </w:r>
                          </w:p>
                          <w:p>
                            <w:pPr>
                              <w:pStyle w:val="32"/>
                              <w:spacing w:line="200" w:lineRule="exact"/>
                              <w:ind w:firstLine="392"/>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48.75pt;width:72pt;z-index:251965440;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nf/5HUAAAABwEAAA8A&#10;AAAAAAAAAQAgAAAAIgAAAGRycy9kb3ducmV2LnhtbFBLAQIUABQAAAAIAIdO4kBXww5IGwIAACYE&#10;AAAOAAAAAAAAAAEAIAAAACMBAABkcnMvZTJvRG9jLnhtbFBLBQYAAAAABgAGAFkBAACwBQAAAAA=&#10;">
                <v:fill on="f" focussize="0,0"/>
                <v:stroke on="f"/>
                <v:imagedata o:title=""/>
                <o:lock v:ext="edit" aspectratio="f"/>
                <v:textbox>
                  <w:txbxContent>
                    <w:p>
                      <w:pPr>
                        <w:pStyle w:val="18"/>
                        <w:spacing w:line="200" w:lineRule="exact"/>
                        <w:rPr>
                          <w:color w:val="FF0000"/>
                          <w:szCs w:val="24"/>
                        </w:rPr>
                      </w:pPr>
                      <w:r>
                        <w:rPr>
                          <w:rFonts w:hint="eastAsia" w:ascii="楷体_GB2312" w:hAnsi="宋体" w:eastAsia="楷体_GB2312" w:cs="楷体_GB2312"/>
                          <w:b/>
                          <w:bCs/>
                          <w:color w:val="000000"/>
                          <w:sz w:val="18"/>
                          <w:szCs w:val="18"/>
                        </w:rPr>
                        <w:t>调整价款的方法</w:t>
                      </w:r>
                    </w:p>
                    <w:p>
                      <w:pPr>
                        <w:pStyle w:val="32"/>
                        <w:spacing w:line="200" w:lineRule="exact"/>
                        <w:ind w:firstLine="392"/>
                        <w:rPr>
                          <w:sz w:val="18"/>
                          <w:szCs w:val="18"/>
                        </w:rPr>
                      </w:pPr>
                    </w:p>
                  </w:txbxContent>
                </v:textbox>
              </v:shape>
            </w:pict>
          </mc:Fallback>
        </mc:AlternateContent>
      </w:r>
      <w:r>
        <w:rPr>
          <w:rFonts w:hint="eastAsia" w:ascii="宋体" w:hAnsi="宋体" w:cs="宋体"/>
          <w:color w:val="auto"/>
          <w:sz w:val="24"/>
          <w:szCs w:val="24"/>
          <w:highlight w:val="none"/>
        </w:rPr>
        <w:t>发生第70.2款情况的，应按照实际施工的项目特征重新确定相应工程量清单项目的综合单价，计算调整的合同价款。</w:t>
      </w:r>
    </w:p>
    <w:p>
      <w:pPr>
        <w:adjustRightInd w:val="0"/>
        <w:snapToGrid w:val="0"/>
        <w:spacing w:line="360" w:lineRule="auto"/>
        <w:rPr>
          <w:rFonts w:ascii="宋体" w:hAnsi="宋体" w:cs="宋体"/>
          <w:b/>
          <w:bCs/>
          <w:color w:val="auto"/>
          <w:sz w:val="24"/>
          <w:szCs w:val="24"/>
          <w:highlight w:val="none"/>
          <w:u w:val="single"/>
        </w:rPr>
      </w:pPr>
    </w:p>
    <w:p>
      <w:pPr>
        <w:adjustRightInd w:val="0"/>
        <w:snapToGrid w:val="0"/>
        <w:spacing w:line="360" w:lineRule="auto"/>
        <w:outlineLvl w:val="2"/>
        <w:rPr>
          <w:rFonts w:ascii="宋体" w:hAnsi="宋体" w:cs="宋体"/>
          <w:color w:val="auto"/>
          <w:sz w:val="24"/>
          <w:szCs w:val="24"/>
          <w:highlight w:val="none"/>
        </w:rPr>
      </w:pPr>
      <w:bookmarkStart w:id="1129" w:name="_Toc18206"/>
      <w:bookmarkStart w:id="1130" w:name="_Toc865176838"/>
      <w:bookmarkStart w:id="1131" w:name="_Toc70631282"/>
      <w:bookmarkStart w:id="1132" w:name="_Toc28637"/>
      <w:bookmarkStart w:id="1133" w:name="_Toc8800"/>
      <w:bookmarkStart w:id="1134" w:name="_Toc14958"/>
      <w:bookmarkStart w:id="1135" w:name="_Toc24132"/>
      <w:bookmarkStart w:id="1136" w:name="_Toc469384055"/>
      <w:bookmarkStart w:id="1137" w:name="_Toc26498"/>
      <w:r>
        <w:rPr>
          <w:rFonts w:hint="eastAsia" w:ascii="宋体" w:hAnsi="宋体" w:cs="宋体"/>
          <w:b/>
          <w:bCs/>
          <w:color w:val="auto"/>
          <w:sz w:val="24"/>
          <w:szCs w:val="24"/>
          <w:highlight w:val="none"/>
        </w:rPr>
        <w:t>71  分部分项工程量清单缺项漏项事件</w:t>
      </w:r>
      <w:bookmarkEnd w:id="1129"/>
      <w:bookmarkEnd w:id="1130"/>
      <w:bookmarkEnd w:id="1131"/>
      <w:bookmarkEnd w:id="1132"/>
      <w:bookmarkEnd w:id="1133"/>
      <w:bookmarkEnd w:id="1134"/>
      <w:bookmarkEnd w:id="1135"/>
      <w:bookmarkEnd w:id="1136"/>
      <w:bookmarkEnd w:id="1137"/>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71.1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6464"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131" name="文本框 131"/>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0.5pt;height:54.5pt;width:72pt;z-index:251966464;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Fk3jDUAAAACQEAAA8A&#10;AAAAAAAAAQAgAAAAIgAAAGRycy9kb3ducmV2LnhtbFBLAQIUABQAAAAIAIdO4kB5eLIlGwIAACYE&#10;AAAOAAAAAAAAAAEAIAAAACMBAABkcnMvZTJvRG9jLnhtbFBLBQYAAAAABgAGAFkBAACwBQ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rFonts w:hint="eastAsia" w:ascii="宋体" w:hAnsi="宋体" w:cs="宋体"/>
          <w:color w:val="auto"/>
          <w:szCs w:val="20"/>
          <w:highlight w:val="none"/>
        </w:rPr>
        <mc:AlternateContent>
          <mc:Choice Requires="wps">
            <w:drawing>
              <wp:anchor distT="0" distB="0" distL="114300" distR="114300" simplePos="0" relativeHeight="251967488"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130" name="文本框 13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0.5pt;height:54.6pt;width:72pt;z-index:251967488;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GJqRNQAAAAJAQAADwAA&#10;AAAAAAABACAAAAAiAAAAZHJzL2Rvd25yZXYueG1sUEsBAhQAFAAAAAgAh07iQNGEOqcaAgAAJgQA&#10;AA4AAAAAAAAAAQAgAAAAIwEAAGRycy9lMm9Eb2MueG1sUEsFBgAAAAAGAAYAWQEAAK8FAAAAAA==&#10;">
                <v:fill on="f" focussize="0,0"/>
                <v:stroke on="f"/>
                <v:imagedata o:title=""/>
                <o:lock v:ext="edit" aspectratio="f"/>
                <v:textbox>
                  <w:txbxContent>
                    <w:p/>
                  </w:txbxContent>
                </v:textbox>
              </v:shape>
            </w:pict>
          </mc:Fallback>
        </mc:AlternateContent>
      </w:r>
      <w:r>
        <w:rPr>
          <w:rFonts w:hint="eastAsia" w:ascii="宋体" w:hAnsi="宋体" w:cs="宋体"/>
          <w:color w:val="auto"/>
          <w:sz w:val="24"/>
          <w:szCs w:val="24"/>
          <w:highlight w:val="none"/>
        </w:rPr>
        <w:t>合同履行期间，出现工程量清单中分部分项工程缺项漏项事件的，合同双方当事人应调整合同价款。</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71.2   </w:t>
      </w:r>
    </w:p>
    <w:p>
      <w:pPr>
        <w:adjustRightInd w:val="0"/>
        <w:snapToGrid w:val="0"/>
        <w:spacing w:line="360" w:lineRule="auto"/>
        <w:ind w:left="1619" w:leftChars="771" w:firstLine="1"/>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8512"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129" name="文本框 129"/>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7pt;height:54.5pt;width:72pt;z-index:251968512;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6Ioy3UAAAACQEAAA8A&#10;AAAAAAAAAQAgAAAAIgAAAGRycy9kb3ducmV2LnhtbFBLAQIUABQAAAAIAIdO4kC/dN3qGwIAACYE&#10;AAAOAAAAAAAAAAEAIAAAACMBAABkcnMvZTJvRG9jLnhtbFBLBQYAAAAABgAGAFkBAACwBQ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spacing w:line="240" w:lineRule="exact"/>
                        <w:rPr>
                          <w:sz w:val="18"/>
                          <w:szCs w:val="18"/>
                        </w:rPr>
                      </w:pPr>
                    </w:p>
                  </w:txbxContent>
                </v:textbox>
              </v:shape>
            </w:pict>
          </mc:Fallback>
        </mc:AlternateContent>
      </w:r>
      <w:r>
        <w:rPr>
          <w:rFonts w:hint="eastAsia" w:ascii="宋体" w:hAnsi="宋体" w:cs="宋体"/>
          <w:color w:val="auto"/>
          <w:sz w:val="24"/>
          <w:szCs w:val="24"/>
          <w:highlight w:val="none"/>
        </w:rPr>
        <w:t>工程量清单中分部分项工程出现缺项漏项，造成新增工程量清单项目的，应按照第72.2款规定计算调整的分部分项工程费。</w:t>
      </w:r>
    </w:p>
    <w:p>
      <w:pPr>
        <w:tabs>
          <w:tab w:val="left" w:pos="540"/>
        </w:tabs>
        <w:adjustRightInd w:val="0"/>
        <w:snapToGrid w:val="0"/>
        <w:spacing w:before="312" w:beforeLines="100"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71.3  </w:t>
      </w:r>
    </w:p>
    <w:p>
      <w:pPr>
        <w:adjustRightInd w:val="0"/>
        <w:snapToGrid w:val="0"/>
        <w:spacing w:line="360" w:lineRule="auto"/>
        <w:ind w:left="1619" w:leftChars="771" w:firstLine="2"/>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69536"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128" name="文本框 128"/>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0.4pt;height:54.5pt;width:72pt;z-index:251969536;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3xw51QAAAAgBAAAP&#10;AAAAAAAAAAEAIAAAACIAAABkcnMvZG93bnJldi54bWxQSwECFAAUAAAACACHTuJAO6tq7hsCAAAm&#10;BAAADgAAAAAAAAABACAAAAAk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spacing w:line="240" w:lineRule="exact"/>
                        <w:rPr>
                          <w:sz w:val="18"/>
                          <w:szCs w:val="18"/>
                        </w:rPr>
                      </w:pPr>
                    </w:p>
                  </w:txbxContent>
                </v:textbox>
              </v:shape>
            </w:pict>
          </mc:Fallback>
        </mc:AlternateContent>
      </w:r>
      <w:r>
        <w:rPr>
          <w:rFonts w:hint="eastAsia" w:ascii="宋体" w:hAnsi="宋体" w:cs="宋体"/>
          <w:color w:val="auto"/>
          <w:sz w:val="24"/>
          <w:szCs w:val="24"/>
          <w:highlight w:val="none"/>
        </w:rPr>
        <w:t>工程量清单中分部分项工程出现缺项漏项，引起增加措施项目的，应按照第72.3款规定在提交的实施方案被批准后计算调整的措施项目费。</w:t>
      </w:r>
    </w:p>
    <w:p>
      <w:pPr>
        <w:adjustRightInd w:val="0"/>
        <w:snapToGrid w:val="0"/>
        <w:spacing w:line="38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138" w:name="_Toc25726"/>
      <w:bookmarkStart w:id="1139" w:name="_Toc31280"/>
      <w:bookmarkStart w:id="1140" w:name="_Toc11439"/>
      <w:bookmarkStart w:id="1141" w:name="_Toc18466"/>
      <w:bookmarkStart w:id="1142" w:name="_Toc469384056"/>
      <w:bookmarkStart w:id="1143" w:name="_Toc415342429"/>
      <w:bookmarkStart w:id="1144" w:name="_Toc30628"/>
      <w:bookmarkStart w:id="1145" w:name="_Toc26777"/>
      <w:bookmarkStart w:id="1146" w:name="_Toc1688983430"/>
      <w:r>
        <w:rPr>
          <w:rFonts w:hint="eastAsia" w:ascii="宋体" w:hAnsi="宋体" w:cs="宋体"/>
          <w:b/>
          <w:bCs/>
          <w:color w:val="auto"/>
          <w:sz w:val="24"/>
          <w:szCs w:val="24"/>
          <w:highlight w:val="none"/>
        </w:rPr>
        <w:t>72  工程变更事件</w:t>
      </w:r>
      <w:bookmarkEnd w:id="1138"/>
      <w:bookmarkEnd w:id="1139"/>
      <w:bookmarkEnd w:id="1140"/>
      <w:bookmarkEnd w:id="1141"/>
      <w:bookmarkEnd w:id="1142"/>
      <w:bookmarkEnd w:id="1143"/>
      <w:bookmarkEnd w:id="1144"/>
      <w:bookmarkEnd w:id="1145"/>
      <w:bookmarkEnd w:id="1146"/>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127"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6pt;height:31.2pt;width:81pt;z-index:251970560;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K4/StcAAAAJ&#10;AQAADwAAAAAAAAABACAAAAAiAAAAZHJzL2Rvd25yZXYueG1sUEsBAhQAFAAAAAgAh07iQAtjG5Yd&#10;AgAAJwQAAA4AAAAAAAAAAQAgAAAAJgEAAGRycy9lMm9Eb2MueG1sUEsFBgAAAAAGAAYAWQEAALUF&#10;A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ascii="宋体" w:hAnsi="宋体" w:cs="宋体"/>
          <w:b/>
          <w:bCs/>
          <w:color w:val="auto"/>
          <w:sz w:val="24"/>
          <w:szCs w:val="24"/>
          <w:highlight w:val="none"/>
        </w:rPr>
        <w:t xml:space="preserve">72.1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合同履行期间，出现第56条工程变更事件的，合同双方当事人应调整合同价款。</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72.2   </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126" name="文本框 126"/>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46.7pt;width:72pt;z-index:251971584;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8Y4/81QAAAAgBAAAP&#10;AAAAAAAAAAEAIAAAACIAAABkcnMvZG93bnJldi54bWxQSwECFAAUAAAACACHTuJACLlwaxsCAAAm&#10;BAAADgAAAAAAAAABACAAAAAk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宋体" w:hAnsi="宋体" w:cs="宋体"/>
          <w:color w:val="auto"/>
          <w:sz w:val="24"/>
          <w:szCs w:val="24"/>
          <w:highlight w:val="none"/>
        </w:rPr>
        <w:t>工程变更引起分部分项工程项目发生变化，属于第73.2款规定情况的，按照其规定调整；否则按照下列规定调整分部分项工程费：</w:t>
      </w:r>
    </w:p>
    <w:p>
      <w:pPr>
        <w:tabs>
          <w:tab w:val="left" w:pos="1380"/>
          <w:tab w:val="left" w:pos="216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(1)合同中有适用于变更工程项目的，按照该项目的单价或合价调整;</w:t>
      </w:r>
    </w:p>
    <w:p>
      <w:pPr>
        <w:tabs>
          <w:tab w:val="left" w:pos="1620"/>
          <w:tab w:val="left" w:pos="216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(2)合同中没有适用、只有类似于变更工程项目的，可在合理范围内参照类似项目的单价或合价调整;</w:t>
      </w:r>
    </w:p>
    <w:p>
      <w:pPr>
        <w:tabs>
          <w:tab w:val="left" w:pos="1380"/>
          <w:tab w:val="left" w:pos="2160"/>
        </w:tabs>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(3)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其中，招标工程：承包人报价浮动率L=（1—中标价格/招标控制价）×100%；</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非招标工程：承包人报价浮动率L=（1—报价值/施工图预算）×100%。</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式中：中标价格、招标控制价或报价值、施工图预算，均不含绿色施工安全防护费。</w:t>
      </w:r>
    </w:p>
    <w:p>
      <w:pPr>
        <w:adjustRightInd w:val="0"/>
        <w:snapToGrid w:val="0"/>
        <w:spacing w:line="360" w:lineRule="auto"/>
        <w:ind w:left="1676" w:leftChars="798" w:firstLine="3"/>
        <w:rPr>
          <w:rFonts w:ascii="宋体" w:hAnsi="宋体" w:cs="宋体"/>
          <w:color w:val="auto"/>
          <w:sz w:val="24"/>
          <w:szCs w:val="24"/>
          <w:highlight w:val="none"/>
        </w:rPr>
      </w:pPr>
      <w:r>
        <w:rPr>
          <w:rFonts w:hint="eastAsia" w:ascii="宋体" w:hAnsi="宋体" w:cs="宋体"/>
          <w:color w:val="auto"/>
          <w:sz w:val="24"/>
          <w:szCs w:val="24"/>
          <w:highlight w:val="none"/>
        </w:rPr>
        <w:t>(4) 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72.3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25"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1.2pt;width:72pt;z-index:25197260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PS031QAAAAgBAAAP&#10;AAAAAAAAAAEAIAAAACIAAABkcnMvZG93bnJldi54bWxQSwECFAAUAAAACACHTuJA6fHivxsCAAAm&#10;BAAADgAAAAAAAAABACAAAAAk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宋体" w:hAnsi="宋体" w:cs="宋体"/>
          <w:color w:val="auto"/>
          <w:sz w:val="24"/>
          <w:szCs w:val="24"/>
          <w:highlight w:val="none"/>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(1)绿色施工安全防护费，按照实际发生变化的措施项目调整，不得浮动。</w:t>
      </w:r>
    </w:p>
    <w:p>
      <w:pPr>
        <w:adjustRightInd w:val="0"/>
        <w:snapToGrid w:val="0"/>
        <w:spacing w:line="360" w:lineRule="auto"/>
        <w:ind w:left="1630" w:leftChars="776"/>
        <w:rPr>
          <w:rFonts w:ascii="宋体" w:hAnsi="宋体" w:cs="宋体"/>
          <w:color w:val="auto"/>
          <w:sz w:val="24"/>
          <w:szCs w:val="24"/>
          <w:highlight w:val="none"/>
        </w:rPr>
      </w:pPr>
      <w:r>
        <w:rPr>
          <w:rFonts w:hint="eastAsia" w:ascii="宋体" w:hAnsi="宋体" w:cs="宋体"/>
          <w:color w:val="auto"/>
          <w:sz w:val="24"/>
          <w:szCs w:val="24"/>
          <w:highlight w:val="none"/>
        </w:rPr>
        <w:t>(2)凡可计算工程量的措施项目费，按照实际发生变化的措施项目的工程量乘以第72.2款规定的单价或合价调整。</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(3)凡按系数计算的措施项目费，除本款第(1)点情形外，按照实际发生变化的措施项目调整，但应考虑承包人报价浮动因素，即调整金额按照实际调整金额乘以第72.2款规定的承包人报价浮动率计算。</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如果不利一方当事人未按本款规定事先将拟实施的方案提交给另一方当事人，则认为工程变更不引起措施项目费的调整或不利一方当事人放弃调整措施项目费的权利。</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72.4  </w:t>
      </w:r>
    </w:p>
    <w:p>
      <w:pPr>
        <w:spacing w:line="360" w:lineRule="auto"/>
        <w:ind w:left="1692" w:leftChars="800" w:hanging="12" w:hangingChars="6"/>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124"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1028700" cy="76644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60.35pt;width:81pt;z-index:251973632;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DLkB1gAAAAkB&#10;AAAPAAAAAAAAAAEAIAAAACIAAABkcnMvZG93bnJldi54bWxQSwECFAAUAAAACACHTuJAG2gh/x0C&#10;AAAnBAAADgAAAAAAAAABACAAAAAlAQAAZHJzL2Uyb0RvYy54bWxQSwUGAAAAAAYABgBZAQAAtAUA&#10;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宋体" w:hAnsi="宋体" w:cs="宋体"/>
          <w:color w:val="auto"/>
          <w:sz w:val="24"/>
          <w:szCs w:val="24"/>
          <w:highlight w:val="none"/>
        </w:rPr>
        <w:t>工程量发生变化的分部分项工程项目，如承包人投标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pPr>
        <w:adjustRightInd w:val="0"/>
        <w:snapToGrid w:val="0"/>
        <w:spacing w:line="360" w:lineRule="auto"/>
        <w:ind w:left="1694" w:leftChars="800" w:hanging="14" w:hangingChars="6"/>
        <w:rPr>
          <w:rFonts w:ascii="宋体" w:hAnsi="宋体" w:cs="宋体"/>
          <w:color w:val="auto"/>
          <w:sz w:val="24"/>
          <w:szCs w:val="24"/>
          <w:highlight w:val="none"/>
        </w:rPr>
      </w:pPr>
      <w:r>
        <w:rPr>
          <w:rFonts w:hint="eastAsia" w:ascii="宋体" w:hAnsi="宋体" w:cs="宋体"/>
          <w:color w:val="auto"/>
          <w:sz w:val="24"/>
          <w:szCs w:val="24"/>
          <w:highlight w:val="none"/>
        </w:rPr>
        <w:t>(1)当P</w:t>
      </w:r>
      <w:r>
        <w:rPr>
          <w:rFonts w:hint="eastAsia" w:ascii="宋体" w:hAnsi="宋体" w:cs="宋体"/>
          <w:color w:val="auto"/>
          <w:sz w:val="24"/>
          <w:szCs w:val="24"/>
          <w:highlight w:val="none"/>
          <w:vertAlign w:val="subscript"/>
        </w:rPr>
        <w:t xml:space="preserve">0 </w:t>
      </w:r>
      <w:r>
        <w:rPr>
          <w:rFonts w:hint="eastAsia" w:ascii="宋体" w:hAnsi="宋体" w:cs="宋体"/>
          <w:color w:val="auto"/>
          <w:sz w:val="24"/>
          <w:szCs w:val="24"/>
          <w:highlight w:val="none"/>
        </w:rPr>
        <w:t>&lt;P</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×(1-L)×(1-15%)时，该类项目的综合单价按照P</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×(1-L)×(1-15%)调整。</w:t>
      </w:r>
    </w:p>
    <w:p>
      <w:pPr>
        <w:adjustRightInd w:val="0"/>
        <w:snapToGrid w:val="0"/>
        <w:spacing w:line="360" w:lineRule="auto"/>
        <w:ind w:left="1694" w:leftChars="800" w:hanging="14" w:hangingChars="6"/>
        <w:rPr>
          <w:rFonts w:ascii="宋体" w:hAnsi="宋体" w:cs="宋体"/>
          <w:color w:val="auto"/>
          <w:sz w:val="24"/>
          <w:szCs w:val="24"/>
          <w:highlight w:val="none"/>
        </w:rPr>
      </w:pPr>
      <w:r>
        <w:rPr>
          <w:rFonts w:hint="eastAsia" w:ascii="宋体" w:hAnsi="宋体" w:cs="宋体"/>
          <w:color w:val="auto"/>
          <w:sz w:val="24"/>
          <w:szCs w:val="24"/>
          <w:highlight w:val="none"/>
        </w:rPr>
        <w:t>(2)当P</w:t>
      </w:r>
      <w:r>
        <w:rPr>
          <w:rFonts w:hint="eastAsia" w:ascii="宋体" w:hAnsi="宋体" w:cs="宋体"/>
          <w:color w:val="auto"/>
          <w:sz w:val="24"/>
          <w:szCs w:val="24"/>
          <w:highlight w:val="none"/>
          <w:vertAlign w:val="subscript"/>
        </w:rPr>
        <w:t xml:space="preserve">0 </w:t>
      </w:r>
      <w:r>
        <w:rPr>
          <w:rFonts w:hint="eastAsia" w:ascii="宋体" w:hAnsi="宋体" w:cs="宋体"/>
          <w:color w:val="auto"/>
          <w:sz w:val="24"/>
          <w:szCs w:val="24"/>
          <w:highlight w:val="none"/>
        </w:rPr>
        <w:t>&gt;P</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 (1+15%)时，该类项目的综合单价按照P</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×（1+15%)调整。</w:t>
      </w:r>
    </w:p>
    <w:p>
      <w:pPr>
        <w:adjustRightInd w:val="0"/>
        <w:snapToGrid w:val="0"/>
        <w:spacing w:line="360" w:lineRule="auto"/>
        <w:ind w:left="1694" w:leftChars="800" w:hanging="14" w:hangingChars="6"/>
        <w:rPr>
          <w:rFonts w:ascii="宋体" w:hAnsi="宋体" w:cs="宋体"/>
          <w:color w:val="auto"/>
          <w:sz w:val="24"/>
          <w:szCs w:val="24"/>
          <w:highlight w:val="none"/>
        </w:rPr>
      </w:pPr>
      <w:r>
        <w:rPr>
          <w:rFonts w:hint="eastAsia" w:ascii="宋体" w:hAnsi="宋体" w:cs="宋体"/>
          <w:color w:val="auto"/>
          <w:sz w:val="24"/>
          <w:szCs w:val="24"/>
          <w:highlight w:val="none"/>
        </w:rPr>
        <w:t>式中：P</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——承包人在工程量清单中填报的综合单价。</w:t>
      </w:r>
    </w:p>
    <w:p>
      <w:pPr>
        <w:adjustRightInd w:val="0"/>
        <w:snapToGrid w:val="0"/>
        <w:spacing w:line="360" w:lineRule="auto"/>
        <w:ind w:left="1694" w:leftChars="800" w:hanging="14" w:hangingChars="6"/>
        <w:rPr>
          <w:rFonts w:ascii="宋体" w:hAnsi="宋体" w:cs="宋体"/>
          <w:color w:val="auto"/>
          <w:sz w:val="24"/>
          <w:szCs w:val="24"/>
          <w:highlight w:val="none"/>
        </w:rPr>
      </w:pPr>
      <w:r>
        <w:rPr>
          <w:rFonts w:hint="eastAsia" w:ascii="宋体" w:hAnsi="宋体" w:cs="宋体"/>
          <w:color w:val="auto"/>
          <w:sz w:val="24"/>
          <w:szCs w:val="24"/>
          <w:highlight w:val="none"/>
        </w:rPr>
        <w:t>P</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——发包人招标控制价或施工预算相应清单项目的综合单价。</w:t>
      </w:r>
    </w:p>
    <w:p>
      <w:pPr>
        <w:adjustRightInd w:val="0"/>
        <w:snapToGrid w:val="0"/>
        <w:spacing w:line="360" w:lineRule="auto"/>
        <w:ind w:left="1694" w:leftChars="800" w:hanging="14" w:hangingChars="6"/>
        <w:rPr>
          <w:rFonts w:ascii="宋体" w:hAnsi="宋体" w:cs="宋体"/>
          <w:b/>
          <w:bCs/>
          <w:color w:val="auto"/>
          <w:sz w:val="24"/>
          <w:szCs w:val="24"/>
          <w:highlight w:val="none"/>
        </w:rPr>
      </w:pPr>
      <w:r>
        <w:rPr>
          <w:rFonts w:hint="eastAsia" w:ascii="宋体" w:hAnsi="宋体" w:cs="宋体"/>
          <w:color w:val="auto"/>
          <w:sz w:val="24"/>
          <w:szCs w:val="24"/>
          <w:highlight w:val="none"/>
        </w:rPr>
        <w:t>L——第72.2款规定的承包人报价浮动率。</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72.5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23" name="文本框 12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1.2pt;width:72pt;z-index:251974656;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PS031QAAAAgBAAAP&#10;AAAAAAAAAAEAIAAAACIAAABkcnMvZG93bnJldi54bWxQSwECFAAUAAAACACHTuJA8TBSpBsCAAAm&#10;BAAADgAAAAAAAAABACAAAAAk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宋体" w:hAnsi="宋体" w:cs="宋体"/>
          <w:color w:val="auto"/>
          <w:sz w:val="24"/>
          <w:szCs w:val="24"/>
          <w:highlight w:val="none"/>
        </w:rPr>
        <w:t>如果因为非承包人原因删减了合同中的某项原定工作或工程，致使承包人发生的费用或(和)得到的收益不能被包括在其他已支付或应支付的项目中，也未被包含在任何替代的工作或工程中，则承包人有权按照本条规定提出并得到补偿。</w:t>
      </w:r>
    </w:p>
    <w:p>
      <w:pPr>
        <w:adjustRightInd w:val="0"/>
        <w:snapToGrid w:val="0"/>
        <w:ind w:right="-238"/>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147" w:name="_Toc1305661964"/>
      <w:bookmarkStart w:id="1148" w:name="_Toc12998"/>
      <w:bookmarkStart w:id="1149" w:name="_Toc12620"/>
      <w:bookmarkStart w:id="1150" w:name="_Toc4763"/>
      <w:bookmarkStart w:id="1151" w:name="_Toc29162"/>
      <w:bookmarkStart w:id="1152" w:name="_Toc469384057"/>
      <w:bookmarkStart w:id="1153" w:name="_Toc25168"/>
      <w:bookmarkStart w:id="1154" w:name="_Toc1338351453"/>
      <w:bookmarkStart w:id="1155" w:name="_Toc23778"/>
      <w:r>
        <w:rPr>
          <w:rFonts w:hint="eastAsia" w:ascii="宋体" w:hAnsi="宋体" w:cs="宋体"/>
          <w:b/>
          <w:bCs/>
          <w:color w:val="auto"/>
          <w:sz w:val="24"/>
          <w:szCs w:val="24"/>
          <w:highlight w:val="none"/>
        </w:rPr>
        <w:t>73  工程量偏差事件</w:t>
      </w:r>
      <w:bookmarkEnd w:id="1147"/>
      <w:bookmarkEnd w:id="1148"/>
      <w:bookmarkEnd w:id="1149"/>
      <w:bookmarkEnd w:id="1150"/>
      <w:bookmarkEnd w:id="1151"/>
      <w:bookmarkEnd w:id="1152"/>
      <w:bookmarkEnd w:id="1153"/>
      <w:bookmarkEnd w:id="1154"/>
      <w:bookmarkEnd w:id="1155"/>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73.1</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122"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1028700" cy="76009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5pt;height:59.85pt;width:81pt;z-index:251975680;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nz1TtQAAAAIAQAA&#10;DwAAAAAAAAABACAAAAAiAAAAZHJzL2Rvd25yZXYueG1sUEsBAhQAFAAAAAgAh07iQP17d6kdAgAA&#10;JwQAAA4AAAAAAAAAAQAgAAAAIwEAAGRycy9lMm9Eb2MueG1sUEsFBgAAAAAGAAYAWQEAALIFAAAA&#10;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ascii="宋体" w:hAnsi="宋体" w:cs="宋体"/>
          <w:color w:val="auto"/>
          <w:sz w:val="24"/>
          <w:szCs w:val="24"/>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合同履行期间，出现工程量偏差，且符合第73.2款、第73.3款规定事件的，合同双方当事人应调整合同价款。调整合同价款时，出现第72.4款情形的，应先按照其规定调整，再按照本条规定调整。</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73.2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121"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914400" cy="444500"/>
                        </a:xfrm>
                        <a:prstGeom prst="rect">
                          <a:avLst/>
                        </a:prstGeom>
                        <a:noFill/>
                        <a:ln>
                          <a:noFill/>
                        </a:ln>
                        <a:effectLst/>
                      </wps:spPr>
                      <wps:txbx>
                        <w:txbxContent>
                          <w:p>
                            <w:pPr>
                              <w:pStyle w:val="18"/>
                              <w:spacing w:line="200" w:lineRule="exact"/>
                              <w:rPr>
                                <w:sz w:val="18"/>
                                <w:szCs w:val="18"/>
                              </w:rPr>
                            </w:pPr>
                            <w:r>
                              <w:rPr>
                                <w:rFonts w:hint="eastAsia" w:ascii="楷体_GB2312" w:hAnsi="宋体" w:eastAsia="楷体_GB2312" w:cs="楷体_GB2312"/>
                                <w:b/>
                                <w:bCs/>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pt;height:35pt;width:72pt;z-index:251976704;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IqvrdUAAAAIAQAADwAA&#10;AAAAAAABACAAAAAiAAAAZHJzL2Rvd25yZXYueG1sUEsBAhQAFAAAAAgAh07iQK0PeUEZAgAAJgQA&#10;AA4AAAAAAAAAAQAgAAAAJAEAAGRycy9lMm9Eb2MueG1sUEsFBgAAAAAGAAYAWQEAAK8FAAAAAA==&#10;">
                <v:fill on="f" focussize="0,0"/>
                <v:stroke on="f"/>
                <v:imagedata o:title=""/>
                <o:lock v:ext="edit" aspectratio="f"/>
                <v:textbox>
                  <w:txbxContent>
                    <w:p>
                      <w:pPr>
                        <w:pStyle w:val="18"/>
                        <w:spacing w:line="200" w:lineRule="exact"/>
                        <w:rPr>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宋体" w:hAnsi="宋体" w:cs="宋体"/>
          <w:color w:val="auto"/>
          <w:sz w:val="24"/>
          <w:szCs w:val="24"/>
          <w:highlight w:val="none"/>
        </w:rPr>
        <w:t>对于某一分部分项工程项目，如果因本条规定工程量偏差和第56条规定工程变更等原因导致工程量偏差超过10%，且该变化使其分部分项工程费变化超过0.1%，则超过10%部分的综合单价应予调整。除专用条款另有约定外，应按照下列规定调整该分部分项工程费结算价：</w:t>
      </w:r>
    </w:p>
    <w:p>
      <w:pPr>
        <w:adjustRightInd w:val="0"/>
        <w:snapToGrid w:val="0"/>
        <w:spacing w:line="360" w:lineRule="auto"/>
        <w:ind w:left="2145" w:leftChars="707" w:hanging="660" w:hangingChars="275"/>
        <w:rPr>
          <w:rFonts w:ascii="宋体" w:hAnsi="宋体" w:cs="宋体"/>
          <w:color w:val="auto"/>
          <w:sz w:val="24"/>
          <w:szCs w:val="24"/>
          <w:highlight w:val="none"/>
        </w:rPr>
      </w:pPr>
      <w:r>
        <w:rPr>
          <w:rFonts w:hint="eastAsia" w:ascii="宋体" w:hAnsi="宋体" w:cs="宋体"/>
          <w:color w:val="auto"/>
          <w:sz w:val="24"/>
          <w:szCs w:val="24"/>
          <w:highlight w:val="none"/>
        </w:rPr>
        <w:t>（1）当Q</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﹥1.1Q</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时，S=1.1Q</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×P</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+（Q</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-1.1Q</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）×P</w:t>
      </w:r>
      <w:r>
        <w:rPr>
          <w:rFonts w:hint="eastAsia" w:ascii="宋体" w:hAnsi="宋体" w:cs="宋体"/>
          <w:color w:val="auto"/>
          <w:sz w:val="24"/>
          <w:szCs w:val="24"/>
          <w:highlight w:val="none"/>
          <w:vertAlign w:val="subscript"/>
        </w:rPr>
        <w:t>1</w:t>
      </w:r>
    </w:p>
    <w:p>
      <w:pPr>
        <w:adjustRightInd w:val="0"/>
        <w:snapToGrid w:val="0"/>
        <w:spacing w:line="360" w:lineRule="auto"/>
        <w:ind w:left="2057" w:leftChars="694" w:hanging="600" w:hangingChars="250"/>
        <w:rPr>
          <w:rFonts w:ascii="宋体" w:hAnsi="宋体" w:cs="宋体"/>
          <w:color w:val="auto"/>
          <w:sz w:val="24"/>
          <w:szCs w:val="24"/>
          <w:highlight w:val="none"/>
          <w:vertAlign w:val="subscript"/>
        </w:rPr>
      </w:pPr>
      <w:r>
        <w:rPr>
          <w:rFonts w:hint="eastAsia" w:ascii="宋体" w:hAnsi="宋体" w:cs="宋体"/>
          <w:color w:val="auto"/>
          <w:sz w:val="24"/>
          <w:szCs w:val="24"/>
          <w:highlight w:val="none"/>
        </w:rPr>
        <w:t>（2）当Q</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﹤0.9Q</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时，S=0.9Q</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×P</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-（0.9Q</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-Q</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）×P</w:t>
      </w:r>
      <w:r>
        <w:rPr>
          <w:rFonts w:hint="eastAsia" w:ascii="宋体" w:hAnsi="宋体" w:cs="宋体"/>
          <w:color w:val="auto"/>
          <w:sz w:val="24"/>
          <w:szCs w:val="24"/>
          <w:highlight w:val="none"/>
          <w:vertAlign w:val="subscript"/>
        </w:rPr>
        <w:t>1</w:t>
      </w:r>
    </w:p>
    <w:p>
      <w:pPr>
        <w:adjustRightInd w:val="0"/>
        <w:snapToGrid w:val="0"/>
        <w:spacing w:line="360" w:lineRule="auto"/>
        <w:ind w:firstLine="1620" w:firstLineChars="675"/>
        <w:rPr>
          <w:rFonts w:ascii="宋体" w:hAnsi="宋体" w:cs="宋体"/>
          <w:color w:val="auto"/>
          <w:sz w:val="24"/>
          <w:szCs w:val="24"/>
          <w:highlight w:val="none"/>
        </w:rPr>
      </w:pPr>
      <w:r>
        <w:rPr>
          <w:rFonts w:hint="eastAsia" w:ascii="宋体" w:hAnsi="宋体" w:cs="宋体"/>
          <w:color w:val="auto"/>
          <w:sz w:val="24"/>
          <w:szCs w:val="24"/>
          <w:highlight w:val="none"/>
        </w:rPr>
        <w:t>式中S——调整后的某一分部分项工程费结算价；</w:t>
      </w:r>
    </w:p>
    <w:p>
      <w:pPr>
        <w:adjustRightInd w:val="0"/>
        <w:snapToGrid w:val="0"/>
        <w:spacing w:line="360" w:lineRule="auto"/>
        <w:ind w:firstLine="2160" w:firstLineChars="900"/>
        <w:rPr>
          <w:rFonts w:ascii="宋体" w:hAnsi="宋体" w:cs="宋体"/>
          <w:color w:val="auto"/>
          <w:sz w:val="24"/>
          <w:szCs w:val="24"/>
          <w:highlight w:val="none"/>
        </w:rPr>
      </w:pPr>
      <w:r>
        <w:rPr>
          <w:rFonts w:hint="eastAsia" w:ascii="宋体" w:hAnsi="宋体" w:cs="宋体"/>
          <w:color w:val="auto"/>
          <w:sz w:val="24"/>
          <w:szCs w:val="24"/>
          <w:highlight w:val="none"/>
        </w:rPr>
        <w:t>Q</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——最终完成的工程量；</w:t>
      </w:r>
    </w:p>
    <w:p>
      <w:pPr>
        <w:adjustRightInd w:val="0"/>
        <w:snapToGrid w:val="0"/>
        <w:spacing w:line="360" w:lineRule="auto"/>
        <w:ind w:firstLine="2160" w:firstLineChars="900"/>
        <w:rPr>
          <w:rFonts w:ascii="宋体" w:hAnsi="宋体" w:cs="宋体"/>
          <w:color w:val="auto"/>
          <w:sz w:val="24"/>
          <w:szCs w:val="24"/>
          <w:highlight w:val="none"/>
        </w:rPr>
      </w:pPr>
      <w:r>
        <w:rPr>
          <w:rFonts w:hint="eastAsia" w:ascii="宋体" w:hAnsi="宋体" w:cs="宋体"/>
          <w:color w:val="auto"/>
          <w:sz w:val="24"/>
          <w:szCs w:val="24"/>
          <w:highlight w:val="none"/>
        </w:rPr>
        <w:t>Q</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——工程量清单中开列的工程量；</w:t>
      </w:r>
    </w:p>
    <w:p>
      <w:pPr>
        <w:adjustRightInd w:val="0"/>
        <w:snapToGrid w:val="0"/>
        <w:spacing w:line="360" w:lineRule="auto"/>
        <w:ind w:firstLine="2160" w:firstLineChars="900"/>
        <w:rPr>
          <w:rFonts w:ascii="宋体" w:hAnsi="宋体" w:cs="宋体"/>
          <w:color w:val="auto"/>
          <w:sz w:val="24"/>
          <w:szCs w:val="24"/>
          <w:highlight w:val="none"/>
        </w:rPr>
      </w:pPr>
      <w:r>
        <w:rPr>
          <w:rFonts w:hint="eastAsia" w:ascii="宋体" w:hAnsi="宋体" w:cs="宋体"/>
          <w:color w:val="auto"/>
          <w:sz w:val="24"/>
          <w:szCs w:val="24"/>
          <w:highlight w:val="none"/>
        </w:rPr>
        <w:t>P</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——按照最终完成工程量重新调整后的综合单价；</w:t>
      </w:r>
    </w:p>
    <w:p>
      <w:pPr>
        <w:adjustRightInd w:val="0"/>
        <w:snapToGrid w:val="0"/>
        <w:spacing w:line="360" w:lineRule="auto"/>
        <w:ind w:firstLine="2160" w:firstLineChars="900"/>
        <w:rPr>
          <w:rFonts w:ascii="宋体" w:hAnsi="宋体" w:cs="宋体"/>
          <w:b/>
          <w:bCs/>
          <w:color w:val="auto"/>
          <w:sz w:val="24"/>
          <w:szCs w:val="24"/>
          <w:highlight w:val="none"/>
        </w:rPr>
      </w:pPr>
      <w:r>
        <w:rPr>
          <w:rFonts w:hint="eastAsia" w:ascii="宋体" w:hAnsi="宋体" w:cs="宋体"/>
          <w:color w:val="auto"/>
          <w:sz w:val="24"/>
          <w:szCs w:val="24"/>
          <w:highlight w:val="none"/>
        </w:rPr>
        <w:t>P</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——承包人在工程量清单中填报的综合单价。</w:t>
      </w:r>
    </w:p>
    <w:p>
      <w:pPr>
        <w:adjustRightInd w:val="0"/>
        <w:snapToGrid w:val="0"/>
        <w:spacing w:line="480" w:lineRule="auto"/>
        <w:rPr>
          <w:rFonts w:ascii="宋体" w:hAnsi="宋体" w:cs="宋体"/>
          <w:color w:val="auto"/>
          <w:sz w:val="24"/>
          <w:szCs w:val="24"/>
          <w:highlight w:val="none"/>
        </w:rPr>
      </w:pPr>
      <w:r>
        <w:rPr>
          <w:rFonts w:hint="eastAsia" w:ascii="宋体" w:hAnsi="宋体" w:cs="宋体"/>
          <w:b/>
          <w:bCs/>
          <w:color w:val="auto"/>
          <w:sz w:val="24"/>
          <w:szCs w:val="24"/>
          <w:highlight w:val="none"/>
        </w:rPr>
        <w:t>73.3</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120" name="文本框 120"/>
                <wp:cNvGraphicFramePr/>
                <a:graphic xmlns:a="http://schemas.openxmlformats.org/drawingml/2006/main">
                  <a:graphicData uri="http://schemas.microsoft.com/office/word/2010/wordprocessingShape">
                    <wps:wsp>
                      <wps:cNvSpPr txBox="1">
                        <a:spLocks noChangeArrowheads="1"/>
                      </wps:cNvSpPr>
                      <wps:spPr bwMode="auto">
                        <a:xfrm>
                          <a:off x="0" y="0"/>
                          <a:ext cx="914400" cy="50546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05pt;height:39.8pt;width:72pt;z-index:251977728;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1RYym1AAAAAgBAAAPAAAA&#10;AAAAAAEAIAAAACIAAABkcnMvZG93bnJldi54bWxQSwECFAAUAAAACACHTuJA7QQ5LxkCAAAmBAAA&#10;DgAAAAAAAAABACAAAAAjAQAAZHJzL2Uyb0RvYy54bWxQSwUGAAAAAAYABgBZAQAArg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宋体" w:hAnsi="宋体" w:cs="宋体"/>
          <w:color w:val="auto"/>
          <w:sz w:val="24"/>
          <w:szCs w:val="24"/>
          <w:highlight w:val="none"/>
        </w:rPr>
        <w:t>如果因本条规定工程量偏差使某一分部分项工程费的变化超过10%，且该变化引起措施项目相应发生变化，则发生变化部分的措施项目费应按照第72.3款规定调整。除专用条款另有约定外，应按照下列规定调整发生变化的措施项目费结算价：</w:t>
      </w:r>
    </w:p>
    <w:p>
      <w:pPr>
        <w:tabs>
          <w:tab w:val="left" w:pos="900"/>
        </w:tabs>
        <w:adjustRightInd w:val="0"/>
        <w:snapToGrid w:val="0"/>
        <w:spacing w:line="360" w:lineRule="auto"/>
        <w:ind w:left="2240" w:leftChars="781" w:hanging="600" w:hangingChars="250"/>
        <w:rPr>
          <w:rFonts w:ascii="宋体" w:hAnsi="宋体" w:cs="宋体"/>
          <w:color w:val="auto"/>
          <w:sz w:val="24"/>
          <w:szCs w:val="24"/>
          <w:highlight w:val="none"/>
        </w:rPr>
      </w:pPr>
      <w:r>
        <w:rPr>
          <w:rFonts w:hint="eastAsia" w:ascii="宋体" w:hAnsi="宋体" w:cs="宋体"/>
          <w:color w:val="auto"/>
          <w:sz w:val="24"/>
          <w:szCs w:val="24"/>
          <w:highlight w:val="none"/>
        </w:rPr>
        <w:t>（1）当S</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﹥1.1S</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时，M</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=M</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+△M</w:t>
      </w:r>
    </w:p>
    <w:p>
      <w:pPr>
        <w:adjustRightInd w:val="0"/>
        <w:snapToGrid w:val="0"/>
        <w:spacing w:line="360" w:lineRule="auto"/>
        <w:ind w:left="2240" w:leftChars="781" w:hanging="600" w:hangingChars="250"/>
        <w:rPr>
          <w:rFonts w:ascii="宋体" w:hAnsi="宋体" w:cs="宋体"/>
          <w:color w:val="auto"/>
          <w:sz w:val="24"/>
          <w:szCs w:val="24"/>
          <w:highlight w:val="none"/>
        </w:rPr>
      </w:pPr>
      <w:r>
        <w:rPr>
          <w:rFonts w:hint="eastAsia" w:ascii="宋体" w:hAnsi="宋体" w:cs="宋体"/>
          <w:color w:val="auto"/>
          <w:sz w:val="24"/>
          <w:szCs w:val="24"/>
          <w:highlight w:val="none"/>
        </w:rPr>
        <w:t>（2）当S</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﹤0.9S</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时，M</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=M</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–△M</w:t>
      </w:r>
    </w:p>
    <w:p>
      <w:pPr>
        <w:adjustRightInd w:val="0"/>
        <w:snapToGrid w:val="0"/>
        <w:spacing w:line="360" w:lineRule="auto"/>
        <w:ind w:firstLine="1800" w:firstLineChars="750"/>
        <w:rPr>
          <w:rFonts w:ascii="宋体" w:hAnsi="宋体" w:cs="宋体"/>
          <w:color w:val="auto"/>
          <w:sz w:val="24"/>
          <w:szCs w:val="24"/>
          <w:highlight w:val="none"/>
        </w:rPr>
      </w:pPr>
      <w:r>
        <w:rPr>
          <w:rFonts w:hint="eastAsia" w:ascii="宋体" w:hAnsi="宋体" w:cs="宋体"/>
          <w:color w:val="auto"/>
          <w:sz w:val="24"/>
          <w:szCs w:val="24"/>
          <w:highlight w:val="none"/>
        </w:rPr>
        <w:t>式中M</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——调整后的发生变化措施项目费结算价；</w:t>
      </w:r>
    </w:p>
    <w:p>
      <w:pPr>
        <w:adjustRightInd w:val="0"/>
        <w:snapToGrid w:val="0"/>
        <w:spacing w:line="360" w:lineRule="auto"/>
        <w:ind w:firstLine="2280" w:firstLineChars="950"/>
        <w:rPr>
          <w:rFonts w:ascii="宋体" w:hAnsi="宋体" w:cs="宋体"/>
          <w:color w:val="auto"/>
          <w:sz w:val="24"/>
          <w:szCs w:val="24"/>
          <w:highlight w:val="none"/>
        </w:rPr>
      </w:pPr>
      <w:r>
        <w:rPr>
          <w:rFonts w:hint="eastAsia" w:ascii="宋体" w:hAnsi="宋体" w:cs="宋体"/>
          <w:color w:val="auto"/>
          <w:sz w:val="24"/>
          <w:szCs w:val="24"/>
          <w:highlight w:val="none"/>
        </w:rPr>
        <w:t>M</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——承包人在工程量清单中填报的措施项目费；</w:t>
      </w:r>
    </w:p>
    <w:p>
      <w:pPr>
        <w:adjustRightInd w:val="0"/>
        <w:snapToGrid w:val="0"/>
        <w:spacing w:line="360" w:lineRule="auto"/>
        <w:ind w:left="960" w:leftChars="457" w:firstLine="1320" w:firstLineChars="550"/>
        <w:rPr>
          <w:rFonts w:ascii="宋体" w:hAnsi="宋体" w:cs="宋体"/>
          <w:color w:val="auto"/>
          <w:sz w:val="24"/>
          <w:szCs w:val="24"/>
          <w:highlight w:val="none"/>
        </w:rPr>
      </w:pPr>
      <w:r>
        <w:rPr>
          <w:rFonts w:hint="eastAsia" w:ascii="宋体" w:hAnsi="宋体" w:cs="宋体"/>
          <w:color w:val="auto"/>
          <w:sz w:val="24"/>
          <w:szCs w:val="24"/>
          <w:highlight w:val="none"/>
        </w:rPr>
        <w:t>∆M——按照第72.3款规定调整的发生变化部分的措施项目费；</w:t>
      </w:r>
    </w:p>
    <w:p>
      <w:pPr>
        <w:adjustRightInd w:val="0"/>
        <w:snapToGrid w:val="0"/>
        <w:spacing w:line="360" w:lineRule="auto"/>
        <w:ind w:firstLine="2280" w:firstLineChars="950"/>
        <w:rPr>
          <w:rFonts w:ascii="宋体" w:hAnsi="宋体" w:cs="宋体"/>
          <w:color w:val="auto"/>
          <w:sz w:val="24"/>
          <w:szCs w:val="24"/>
          <w:highlight w:val="none"/>
        </w:rPr>
      </w:pPr>
      <w:r>
        <w:rPr>
          <w:rFonts w:hint="eastAsia" w:ascii="宋体" w:hAnsi="宋体" w:cs="宋体"/>
          <w:color w:val="auto"/>
          <w:sz w:val="24"/>
          <w:szCs w:val="24"/>
          <w:highlight w:val="none"/>
        </w:rPr>
        <w:t>S</w:t>
      </w:r>
      <w:r>
        <w:rPr>
          <w:rFonts w:hint="eastAsia" w:ascii="宋体" w:hAnsi="宋体" w:cs="宋体"/>
          <w:color w:val="auto"/>
          <w:sz w:val="24"/>
          <w:szCs w:val="24"/>
          <w:highlight w:val="none"/>
          <w:vertAlign w:val="subscript"/>
        </w:rPr>
        <w:t>1</w:t>
      </w:r>
      <w:r>
        <w:rPr>
          <w:rFonts w:hint="eastAsia" w:ascii="宋体" w:hAnsi="宋体" w:cs="宋体"/>
          <w:color w:val="auto"/>
          <w:sz w:val="24"/>
          <w:szCs w:val="24"/>
          <w:highlight w:val="none"/>
        </w:rPr>
        <w:t>——调整后的某一分部分项工程费结算价；</w:t>
      </w:r>
    </w:p>
    <w:p>
      <w:pPr>
        <w:adjustRightInd w:val="0"/>
        <w:snapToGrid w:val="0"/>
        <w:spacing w:line="360" w:lineRule="auto"/>
        <w:ind w:firstLine="2280" w:firstLineChars="950"/>
        <w:rPr>
          <w:rFonts w:ascii="宋体" w:hAnsi="宋体" w:cs="宋体"/>
          <w:color w:val="auto"/>
          <w:sz w:val="24"/>
          <w:szCs w:val="24"/>
          <w:highlight w:val="none"/>
        </w:rPr>
      </w:pPr>
      <w:r>
        <w:rPr>
          <w:rFonts w:hint="eastAsia" w:ascii="宋体" w:hAnsi="宋体" w:cs="宋体"/>
          <w:color w:val="auto"/>
          <w:sz w:val="24"/>
          <w:szCs w:val="24"/>
          <w:highlight w:val="none"/>
        </w:rPr>
        <w:t>S</w:t>
      </w:r>
      <w:r>
        <w:rPr>
          <w:rFonts w:hint="eastAsia" w:ascii="宋体" w:hAnsi="宋体" w:cs="宋体"/>
          <w:color w:val="auto"/>
          <w:sz w:val="24"/>
          <w:szCs w:val="24"/>
          <w:highlight w:val="none"/>
          <w:vertAlign w:val="subscript"/>
        </w:rPr>
        <w:t>0</w:t>
      </w:r>
      <w:r>
        <w:rPr>
          <w:rFonts w:hint="eastAsia" w:ascii="宋体" w:hAnsi="宋体" w:cs="宋体"/>
          <w:color w:val="auto"/>
          <w:sz w:val="24"/>
          <w:szCs w:val="24"/>
          <w:highlight w:val="none"/>
        </w:rPr>
        <w:t>——承包人报价文件对应的某一分部分项工程费。</w:t>
      </w:r>
    </w:p>
    <w:p>
      <w:pPr>
        <w:tabs>
          <w:tab w:val="left" w:pos="1620"/>
        </w:tabs>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156" w:name="_Toc19375"/>
      <w:bookmarkStart w:id="1157" w:name="_Toc469384058"/>
      <w:bookmarkStart w:id="1158" w:name="_Toc30656"/>
      <w:bookmarkStart w:id="1159" w:name="_Toc598"/>
      <w:bookmarkStart w:id="1160" w:name="_Toc25114"/>
      <w:bookmarkStart w:id="1161" w:name="_Toc929151893"/>
      <w:bookmarkStart w:id="1162" w:name="_Toc1272723902"/>
      <w:bookmarkStart w:id="1163" w:name="_Toc31672"/>
      <w:bookmarkStart w:id="1164" w:name="_Toc30067"/>
      <w:r>
        <w:rPr>
          <w:rFonts w:hint="eastAsia" w:ascii="宋体" w:hAnsi="宋体" w:cs="宋体"/>
          <w:b/>
          <w:bCs/>
          <w:color w:val="auto"/>
          <w:sz w:val="24"/>
          <w:szCs w:val="24"/>
          <w:highlight w:val="none"/>
        </w:rPr>
        <w:t>74  费用索赔事件</w:t>
      </w:r>
      <w:bookmarkEnd w:id="1156"/>
      <w:bookmarkEnd w:id="1157"/>
      <w:bookmarkEnd w:id="1158"/>
      <w:bookmarkEnd w:id="1159"/>
      <w:bookmarkEnd w:id="1160"/>
      <w:bookmarkEnd w:id="1161"/>
      <w:bookmarkEnd w:id="1162"/>
      <w:bookmarkEnd w:id="1163"/>
      <w:bookmarkEnd w:id="1164"/>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74.1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19" name="文本框 11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197875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Bw1QAAAAgBAAAP&#10;AAAAAAAAAAEAIAAAACIAAABkcnMvZG93bnJldi54bWxQSwECFAAUAAAACACHTuJAsmSAbBsCAAAm&#10;BAAADgAAAAAAAAABACAAAAAk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宋体" w:hAnsi="宋体" w:cs="宋体"/>
          <w:color w:val="auto"/>
          <w:sz w:val="24"/>
          <w:szCs w:val="24"/>
          <w:highlight w:val="none"/>
        </w:rPr>
        <w:t>费用索赔是指合同履行期间，对于非自己过错而应由对方当事人承担责任的情况造成的损失，向对方当事人提出经济补偿要求的行为。</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合同履行期间，出现费用索赔事件的，合同双方当事人应调整合同价款。</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74.2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18" name="文本框 11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197977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8HDVAAAACAEAAA8A&#10;AAAAAAAAAQAgAAAAIgAAAGRycy9kb3ducmV2LnhtbFBLAQIUABQAAAAIAIdO4kA2uzdoGgIAACYE&#10;AAAOAAAAAAAAAAEAIAAAACQBAABkcnMvZTJvRG9jLnhtbFBLBQYAAAAABgAGAFkBAACwBQ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宋体" w:hAnsi="宋体" w:cs="宋体"/>
          <w:color w:val="auto"/>
          <w:sz w:val="24"/>
          <w:szCs w:val="24"/>
          <w:highlight w:val="none"/>
        </w:rPr>
        <w:t>如果承包人根据合同约定提出任何费用或其它形式的损失索赔时，应在该索赔事件首次发生之后的14天内向造价工程师发出索赔意向书，并抄送发包人。</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74.3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117" name="文本框 117"/>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41.15pt;width:72pt;z-index:251980800;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02QKdMAAAAHAQAADwAA&#10;AAAAAAABACAAAAAiAAAAZHJzL2Rvd25yZXYueG1sUEsBAhQAFAAAAAgAh07iQJw1iE0bAgAAJgQA&#10;AA4AAAAAAAAAAQAgAAAAIgEAAGRycy9lMm9Eb2MueG1sUEsFBgAAAAAGAAYAWQEAAK8FA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宋体" w:hAnsi="宋体" w:cs="宋体"/>
          <w:color w:val="auto"/>
          <w:sz w:val="24"/>
          <w:szCs w:val="24"/>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74.4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116" name="文本框 116"/>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37.8pt;width:81pt;z-index:251981824;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hmslzTAAAABwEAAA8A&#10;AAAAAAAAAQAgAAAAIgAAAGRycy9kb3ducmV2LnhtbFBLAQIUABQAAAAIAIdO4kBDYBQzHAIAACcE&#10;AAAOAAAAAAAAAAEAIAAAACIBAABkcnMvZTJvRG9jLnhtbFBLBQYAAAAABgAGAFkBAACwBQ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ascii="宋体" w:hAnsi="宋体" w:cs="宋体"/>
          <w:color w:val="auto"/>
          <w:sz w:val="24"/>
          <w:szCs w:val="24"/>
          <w:highlight w:val="none"/>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115" name="文本框 115"/>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75pt;height:25.55pt;width:63pt;z-index:251982848;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V2otYAAAAJAQAA&#10;DwAAAAAAAAABACAAAAAiAAAAZHJzL2Rvd25yZXYueG1sUEsBAhQAFAAAAAgAh07iQBilJ4gbAgAA&#10;JgQAAA4AAAAAAAAAAQAgAAAAJQEAAGRycy9lMm9Eb2MueG1sUEsFBgAAAAAGAAYAWQEAALIFAAAA&#10;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宋体" w:hAnsi="宋体" w:cs="宋体"/>
          <w:b/>
          <w:bCs/>
          <w:color w:val="auto"/>
          <w:sz w:val="24"/>
          <w:szCs w:val="24"/>
          <w:highlight w:val="none"/>
        </w:rPr>
        <w:t xml:space="preserve">74.5  </w:t>
      </w:r>
    </w:p>
    <w:p>
      <w:pPr>
        <w:adjustRightInd w:val="0"/>
        <w:snapToGrid w:val="0"/>
        <w:spacing w:line="360" w:lineRule="auto"/>
        <w:ind w:left="1619" w:leftChars="771"/>
        <w:rPr>
          <w:rFonts w:ascii="宋体" w:hAnsi="宋体" w:cs="宋体"/>
          <w:b/>
          <w:bCs/>
          <w:color w:val="auto"/>
          <w:sz w:val="24"/>
          <w:szCs w:val="24"/>
          <w:highlight w:val="none"/>
        </w:rPr>
      </w:pPr>
      <w:r>
        <w:rPr>
          <w:rFonts w:hint="eastAsia" w:ascii="宋体" w:hAnsi="宋体" w:cs="宋体"/>
          <w:color w:val="auto"/>
          <w:sz w:val="24"/>
          <w:szCs w:val="24"/>
          <w:highlight w:val="none"/>
        </w:rPr>
        <w:t>如果承包人提出的索赔未能遵守第74.2款至第74.4款规定，则承包人无权获得索赔或只限于获得由造价工程师按照提供记录予以核实的部分款额。</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74.6  </w:t>
      </w:r>
    </w:p>
    <w:p>
      <w:pPr>
        <w:adjustRightInd w:val="0"/>
        <w:snapToGrid w:val="0"/>
        <w:spacing w:line="360" w:lineRule="auto"/>
        <w:ind w:left="1619" w:leftChars="771"/>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114" name="文本框 114"/>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4.55pt;width:72pt;z-index:251983872;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00F1QAAAAgBAAAP&#10;AAAAAAAAAAEAIAAAACIAAABkcnMvZG93bnJldi54bWxQSwECFAAUAAAACACHTuJAllfciBsCAAAm&#10;BAAADgAAAAAAAAABACAAAAAk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Pr>
          <w:rFonts w:hint="eastAsia" w:ascii="宋体" w:hAnsi="宋体" w:cs="宋体"/>
          <w:color w:val="auto"/>
          <w:sz w:val="24"/>
          <w:szCs w:val="24"/>
          <w:highlight w:val="none"/>
        </w:rPr>
        <w:t>造价工程师应在收到承包人提交的费用索赔报告和有关资料后的28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74.7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113" name="文本框 113"/>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05pt;height:27.55pt;width:63pt;z-index:251984896;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rekmnTAAAACAEAAA8A&#10;AAAAAAAAAQAgAAAAIgAAAGRycy9kb3ducmV2LnhtbFBLAQIUABQAAAAIAIdO4kCJcLL8HAIAACYE&#10;AAAOAAAAAAAAAAEAIAAAACIBAABkcnMvZTJvRG9jLnhtbFBLBQYAAAAABgAGAFkBAACwBQ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宋体" w:hAnsi="宋体" w:cs="宋体"/>
          <w:color w:val="auto"/>
          <w:sz w:val="24"/>
          <w:szCs w:val="24"/>
          <w:highlight w:val="none"/>
        </w:rPr>
        <w:t>承包人未能按照合同约定履行各项义务或发生错误，给发包人造成损失，发包人可按照本条规定的时限和要求向承包人提出索赔。</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74.8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112" name="文本框 112"/>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5pt;height:49pt;width:72pt;z-index:251985920;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666a9YAAAAJAQAADwAA&#10;AAAAAAABACAAAAAiAAAAZHJzL2Rvd25yZXYueG1sUEsBAhQAFAAAAAgAh07iQN+XqksYAgAAJgQA&#10;AA4AAAAAAAAAAQAgAAAAJQEAAGRycy9lMm9Eb2MueG1sUEsFBgAAAAAGAAYAWQEAAK8FA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v:textbox>
              </v:shape>
            </w:pict>
          </mc:Fallback>
        </mc:AlternateContent>
      </w:r>
      <w:r>
        <w:rPr>
          <w:rFonts w:hint="eastAsia" w:ascii="宋体" w:hAnsi="宋体" w:cs="宋体"/>
          <w:color w:val="auto"/>
          <w:sz w:val="24"/>
          <w:szCs w:val="24"/>
          <w:highlight w:val="none"/>
        </w:rPr>
        <w:t>费用索赔报告被认可，则表明该事件已索赔成功，合同双方当事人应确认由此引起调整的合同价款，并作为追加（减）合同价款，与工程进度款或结算款同期支付。</w:t>
      </w:r>
    </w:p>
    <w:p>
      <w:pPr>
        <w:adjustRightInd w:val="0"/>
        <w:snapToGrid w:val="0"/>
        <w:ind w:right="-238"/>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165" w:name="_Toc14017"/>
      <w:bookmarkStart w:id="1166" w:name="_Toc1733496794"/>
      <w:bookmarkStart w:id="1167" w:name="_Toc13177"/>
      <w:bookmarkStart w:id="1168" w:name="_Toc469384059"/>
      <w:bookmarkStart w:id="1169" w:name="_Toc20223"/>
      <w:bookmarkStart w:id="1170" w:name="_Toc1902268314"/>
      <w:bookmarkStart w:id="1171" w:name="_Toc20178"/>
      <w:bookmarkStart w:id="1172" w:name="_Toc24628"/>
      <w:bookmarkStart w:id="1173" w:name="_Toc30061"/>
      <w:r>
        <w:rPr>
          <w:rFonts w:hint="eastAsia" w:ascii="宋体" w:hAnsi="宋体" w:cs="宋体"/>
          <w:b/>
          <w:bCs/>
          <w:color w:val="auto"/>
          <w:sz w:val="24"/>
          <w:szCs w:val="24"/>
          <w:highlight w:val="none"/>
        </w:rPr>
        <w:t>75  现场签证事件</w:t>
      </w:r>
      <w:bookmarkEnd w:id="1165"/>
      <w:bookmarkEnd w:id="1166"/>
      <w:bookmarkEnd w:id="1167"/>
      <w:bookmarkEnd w:id="1168"/>
      <w:bookmarkEnd w:id="1169"/>
      <w:bookmarkEnd w:id="1170"/>
      <w:bookmarkEnd w:id="1171"/>
      <w:bookmarkEnd w:id="1172"/>
      <w:bookmarkEnd w:id="1173"/>
    </w:p>
    <w:p>
      <w:pPr>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75.1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111" name="文本框 111"/>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0.2pt;width:72pt;z-index:25198694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bjX+0wAAAAcBAAAPAAAA&#10;AAAAAAEAIAAAACIAAABkcnMvZG93bnJldi54bWxQSwECFAAUAAAACACHTuJAcPqrPxoCAAAmBAAA&#10;DgAAAAAAAAABACAAAAAiAQAAZHJzL2Uyb0RvYy54bWxQSwUGAAAAAAYABgBZAQAArg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txbxContent>
                </v:textbox>
              </v:shape>
            </w:pict>
          </mc:Fallback>
        </mc:AlternateContent>
      </w:r>
      <w:r>
        <w:rPr>
          <w:rFonts w:hint="eastAsia" w:ascii="宋体" w:hAnsi="宋体" w:cs="宋体"/>
          <w:color w:val="auto"/>
          <w:sz w:val="24"/>
          <w:szCs w:val="24"/>
          <w:highlight w:val="none"/>
        </w:rPr>
        <w:t>现场签证是指合同双方当事人就施工过程中涉及的责任事件所作的签认证明。</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合同履行期间，出现现场签证事件的，合同双方当事人应调整合同价款。</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75.2  </w:t>
      </w:r>
    </w:p>
    <w:p>
      <w:pPr>
        <w:adjustRightInd w:val="0"/>
        <w:snapToGrid w:val="0"/>
        <w:spacing w:line="360" w:lineRule="auto"/>
        <w:ind w:left="1617" w:leftChars="770" w:firstLine="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110" name="文本框 110"/>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5pt;height:40.2pt;width:72pt;z-index:251987968;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Zeed9UAAAAIAQAADwAA&#10;AAAAAAABACAAAAAiAAAAZHJzL2Rvd25yZXYueG1sUEsBAhQAFAAAAAgAh07iQPQlHDsZAgAAJgQA&#10;AA4AAAAAAAAAAQAgAAAAJAEAAGRycy9lMm9Eb2MueG1sUEsFBgAAAAAGAAYAWQEAAK8FA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txbxContent>
                </v:textbox>
              </v:shape>
            </w:pict>
          </mc:Fallback>
        </mc:AlternateContent>
      </w:r>
      <w:r>
        <w:rPr>
          <w:rFonts w:hint="eastAsia" w:ascii="宋体" w:hAnsi="宋体" w:cs="宋体"/>
          <w:color w:val="auto"/>
          <w:sz w:val="24"/>
          <w:szCs w:val="24"/>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75.3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109" name="文本框 109"/>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0.2pt;width:72pt;z-index:251988992;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W41/tMAAAAHAQAADwAA&#10;AAAAAAABACAAAAAiAAAAZHJzL2Rvd25yZXYueG1sUEsBAhQAFAAAAAgAh07iQLb2xPAbAgAAJgQA&#10;AA4AAAAAAAAAAQAgAAAAIgEAAGRycy9lMm9Eb2MueG1sUEsFBgAAAAAGAAYAWQEAAK8FA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txbxContent>
                </v:textbox>
              </v:shape>
            </w:pict>
          </mc:Fallback>
        </mc:AlternateContent>
      </w:r>
      <w:r>
        <w:rPr>
          <w:rFonts w:hint="eastAsia" w:ascii="宋体" w:hAnsi="宋体" w:cs="宋体"/>
          <w:color w:val="auto"/>
          <w:sz w:val="24"/>
          <w:szCs w:val="24"/>
          <w:highlight w:val="none"/>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视为承包人提交的现场签证报告已被认可。</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75.4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108" name="文本框 108"/>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21"/>
                              <w:adjustRightInd w:val="0"/>
                              <w:snapToGrid w:val="0"/>
                              <w:spacing w:line="360" w:lineRule="auto"/>
                              <w:rPr>
                                <w:rFonts w:ascii="Times New Roman" w:hAnsi="Times New Roman" w:eastAsia="楷体_GB2312"/>
                                <w:b/>
                                <w:bCs/>
                                <w:sz w:val="18"/>
                                <w:szCs w:val="18"/>
                              </w:rPr>
                            </w:pP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7.8pt;width:72pt;z-index:251990016;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zO099UAAAAIAQAADwAA&#10;AAAAAAABACAAAAAiAAAAZHJzL2Rvd25yZXYueG1sUEsBAhQAFAAAAAgAh07iQLkDvBcZAgAAJgQA&#10;AA4AAAAAAAAAAQAgAAAAJAEAAGRycy9lMm9Eb2MueG1sUEsFBgAAAAAGAAYAWQEAAK8FA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21"/>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宋体" w:hAnsi="宋体" w:cs="宋体"/>
          <w:color w:val="auto"/>
          <w:sz w:val="24"/>
          <w:szCs w:val="24"/>
          <w:highlight w:val="none"/>
        </w:rPr>
        <w:t>计日工有相应单价或合同中有适用单价的项目，合同双方当事人仅在现场签证报告中列明完成该类项目所需的人工、材料、工程设备和施工设备机械台班的数量。</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计日工没有相应单价或合同中没有适用单价的项目，合同双方当事人应在现场签证报告中列明完成这类项目所需的人工、材料、工程设备和施工设备机械台班的数量和单价。</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75.5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07" name="文本框 107"/>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21"/>
                              <w:adjustRightInd w:val="0"/>
                              <w:snapToGrid w:val="0"/>
                              <w:rPr>
                                <w:rFonts w:ascii="Times New Roman" w:hAnsi="Times New Roman" w:eastAsia="楷体_GB2312"/>
                                <w:b/>
                                <w:bCs/>
                                <w:sz w:val="18"/>
                                <w:szCs w:val="18"/>
                              </w:rPr>
                            </w:pPr>
                          </w:p>
                          <w:p>
                            <w:pPr>
                              <w:pStyle w:val="21"/>
                              <w:adjustRightInd w:val="0"/>
                              <w:snapToGrid w:val="0"/>
                              <w:spacing w:line="360" w:lineRule="auto"/>
                              <w:rPr>
                                <w:rFonts w:ascii="Times New Roman" w:hAnsi="Times New Roman" w:eastAsia="楷体_GB2312"/>
                                <w:b/>
                                <w:bCs/>
                                <w:sz w:val="18"/>
                                <w:szCs w:val="18"/>
                              </w:rPr>
                            </w:pP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1pt;height:37.8pt;width:72pt;z-index:25199104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Hp6c1gAAAAkBAAAP&#10;AAAAAAAAAAEAIAAAACIAAABkcnMvZG93bnJldi54bWxQSwECFAAUAAAACACHTuJABeEFLRoCAAAm&#10;BAAADgAAAAAAAAABACAAAAAl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21"/>
                        <w:adjustRightInd w:val="0"/>
                        <w:snapToGrid w:val="0"/>
                        <w:rPr>
                          <w:rFonts w:ascii="Times New Roman" w:hAnsi="Times New Roman" w:eastAsia="楷体_GB2312"/>
                          <w:b/>
                          <w:bCs/>
                          <w:sz w:val="18"/>
                          <w:szCs w:val="18"/>
                        </w:rPr>
                      </w:pPr>
                    </w:p>
                    <w:p>
                      <w:pPr>
                        <w:pStyle w:val="21"/>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宋体" w:hAnsi="宋体" w:cs="宋体"/>
          <w:color w:val="auto"/>
          <w:sz w:val="24"/>
          <w:szCs w:val="24"/>
          <w:highlight w:val="none"/>
        </w:rPr>
        <w:t>承包人应在发包人确认现场签证报告后的48小时内，按照监理工程师发出的工作指令及时组织实施相关工作。否则，由此引起的损失和（或）延误的工期由承包人承担。</w:t>
      </w:r>
    </w:p>
    <w:p>
      <w:pPr>
        <w:adjustRightInd w:val="0"/>
        <w:snapToGrid w:val="0"/>
        <w:spacing w:line="48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75.6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06" name="文本框 106"/>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18"/>
                              <w:spacing w:line="200" w:lineRule="exact"/>
                              <w:rPr>
                                <w:rFonts w:ascii="楷体_GB2312" w:hAnsi="宋体" w:eastAsia="楷体_GB2312"/>
                                <w:b/>
                                <w:bCs/>
                                <w:color w:val="000000"/>
                                <w:sz w:val="18"/>
                                <w:szCs w:val="18"/>
                              </w:rPr>
                            </w:pPr>
                          </w:p>
                          <w:p>
                            <w:pPr>
                              <w:pStyle w:val="21"/>
                              <w:adjustRightInd w:val="0"/>
                              <w:snapToGrid w:val="0"/>
                              <w:spacing w:line="360" w:lineRule="auto"/>
                              <w:rPr>
                                <w:rFonts w:ascii="Times New Roman" w:hAnsi="Times New Roman" w:eastAsia="楷体_GB2312"/>
                                <w:b/>
                                <w:bCs/>
                                <w:sz w:val="18"/>
                                <w:szCs w:val="18"/>
                              </w:rPr>
                            </w:pP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1pt;height:37.8pt;width:72pt;z-index:251992064;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Hp6c1gAAAAkBAAAP&#10;AAAAAAAAAAEAIAAAACIAAABkcnMvZG93bnJldi54bWxQSwECFAAUAAAACACHTuJAgT6yKRoCAAAm&#10;BAAADgAAAAAAAAABACAAAAAl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18"/>
                        <w:spacing w:line="200" w:lineRule="exact"/>
                        <w:rPr>
                          <w:rFonts w:ascii="楷体_GB2312" w:hAnsi="宋体" w:eastAsia="楷体_GB2312"/>
                          <w:b/>
                          <w:bCs/>
                          <w:color w:val="000000"/>
                          <w:sz w:val="18"/>
                          <w:szCs w:val="18"/>
                        </w:rPr>
                      </w:pPr>
                    </w:p>
                    <w:p>
                      <w:pPr>
                        <w:pStyle w:val="21"/>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宋体" w:hAnsi="宋体" w:cs="宋体"/>
          <w:color w:val="auto"/>
          <w:sz w:val="24"/>
          <w:szCs w:val="24"/>
          <w:highlight w:val="none"/>
        </w:rPr>
        <w:t>合同工程发生现场签证事件，未经发包人签证、确认，承包人便擅自实施相关工作的，除非征得发包人同意，否则发生的费用由承包人承担。</w:t>
      </w:r>
    </w:p>
    <w:p>
      <w:pPr>
        <w:adjustRightInd w:val="0"/>
        <w:snapToGrid w:val="0"/>
        <w:spacing w:line="48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75.7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05" name="文本框 105"/>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21"/>
                              <w:adjustRightInd w:val="0"/>
                              <w:snapToGrid w:val="0"/>
                              <w:rPr>
                                <w:rFonts w:ascii="Times New Roman" w:hAnsi="Times New Roman" w:eastAsia="楷体_GB2312"/>
                                <w:b/>
                                <w:bCs/>
                                <w:sz w:val="18"/>
                                <w:szCs w:val="18"/>
                              </w:rPr>
                            </w:pPr>
                          </w:p>
                          <w:p>
                            <w:pPr>
                              <w:pStyle w:val="21"/>
                              <w:adjustRightInd w:val="0"/>
                              <w:snapToGrid w:val="0"/>
                              <w:spacing w:line="360" w:lineRule="auto"/>
                              <w:rPr>
                                <w:rFonts w:ascii="Times New Roman" w:hAnsi="Times New Roman" w:eastAsia="楷体_GB2312"/>
                                <w:b/>
                                <w:bCs/>
                                <w:sz w:val="18"/>
                                <w:szCs w:val="18"/>
                              </w:rPr>
                            </w:pP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1pt;height:37.8pt;width:72pt;z-index:251993088;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Hp6c1gAAAAkBAAAP&#10;AAAAAAAAAAEAIAAAACIAAABkcnMvZG93bnJldi54bWxQSwECFAAUAAAACACHTuJADV5qJBoCAAAm&#10;BAAADgAAAAAAAAABACAAAAAl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21"/>
                        <w:adjustRightInd w:val="0"/>
                        <w:snapToGrid w:val="0"/>
                        <w:rPr>
                          <w:rFonts w:ascii="Times New Roman" w:hAnsi="Times New Roman" w:eastAsia="楷体_GB2312"/>
                          <w:b/>
                          <w:bCs/>
                          <w:sz w:val="18"/>
                          <w:szCs w:val="18"/>
                        </w:rPr>
                      </w:pPr>
                    </w:p>
                    <w:p>
                      <w:pPr>
                        <w:pStyle w:val="21"/>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宋体" w:hAnsi="宋体" w:cs="宋体"/>
          <w:color w:val="auto"/>
          <w:sz w:val="24"/>
          <w:szCs w:val="24"/>
          <w:highlight w:val="none"/>
        </w:rPr>
        <w:t>现场签证工作完成后的48小时内，合同双方当事人应确认由此引起调整的合同价款，并作为追加合同价款，与工程进度款同期支付。</w:t>
      </w:r>
    </w:p>
    <w:p>
      <w:pPr>
        <w:adjustRightInd w:val="0"/>
        <w:snapToGrid w:val="0"/>
        <w:spacing w:line="24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174" w:name="_Toc21604"/>
      <w:bookmarkStart w:id="1175" w:name="_Toc2117461556"/>
      <w:bookmarkStart w:id="1176" w:name="_Toc21592"/>
      <w:bookmarkStart w:id="1177" w:name="_Toc17002"/>
      <w:bookmarkStart w:id="1178" w:name="_Toc8945"/>
      <w:bookmarkStart w:id="1179" w:name="_Toc469384060"/>
      <w:bookmarkStart w:id="1180" w:name="_Toc12601"/>
      <w:bookmarkStart w:id="1181" w:name="_Toc1367"/>
      <w:bookmarkStart w:id="1182" w:name="_Toc1834500509"/>
      <w:r>
        <w:rPr>
          <w:rFonts w:hint="eastAsia" w:ascii="宋体" w:hAnsi="宋体" w:cs="宋体"/>
          <w:b/>
          <w:bCs/>
          <w:color w:val="auto"/>
          <w:sz w:val="24"/>
          <w:szCs w:val="24"/>
          <w:highlight w:val="none"/>
        </w:rPr>
        <w:t>76  物价涨落事件</w:t>
      </w:r>
      <w:bookmarkEnd w:id="1174"/>
      <w:bookmarkEnd w:id="1175"/>
      <w:bookmarkEnd w:id="1176"/>
      <w:bookmarkEnd w:id="1177"/>
      <w:bookmarkEnd w:id="1178"/>
      <w:bookmarkEnd w:id="1179"/>
      <w:bookmarkEnd w:id="1180"/>
      <w:bookmarkEnd w:id="1181"/>
      <w:bookmarkEnd w:id="1182"/>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104" name="文本框 104"/>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6pt;height:46.55pt;width:72pt;z-index:251994112;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syqi3XAAAACgEA&#10;AA8AAAAAAAAAAQAgAAAAIgAAAGRycy9kb3ducmV2LnhtbFBLAQIUABQAAAAIAIdO4kBUvtgQGwIA&#10;ACYEAAAOAAAAAAAAAAEAIAAAACYBAABkcnMvZTJvRG9jLnhtbFBLBQYAAAAABgAGAFkBAACzBQAA&#10;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v:textbox>
              </v:shape>
            </w:pict>
          </mc:Fallback>
        </mc:AlternateContent>
      </w:r>
      <w:r>
        <w:rPr>
          <w:rFonts w:hint="eastAsia" w:ascii="宋体" w:hAnsi="宋体" w:cs="宋体"/>
          <w:b/>
          <w:bCs/>
          <w:color w:val="auto"/>
          <w:sz w:val="24"/>
          <w:szCs w:val="24"/>
          <w:highlight w:val="none"/>
        </w:rPr>
        <w:t xml:space="preserve">76.1      </w:t>
      </w:r>
    </w:p>
    <w:p>
      <w:pPr>
        <w:adjustRightInd w:val="0"/>
        <w:snapToGrid w:val="0"/>
        <w:spacing w:line="420" w:lineRule="exact"/>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合同履行期间，除专用合同条款另有约定外，市场价格波动超过合同当事人约定的范围，合同价格应当调整。合同当事人可以在专用条款中约定按通用条款76.3款选择一种方式对合同价格进行调整。</w:t>
      </w:r>
    </w:p>
    <w:p>
      <w:pPr>
        <w:spacing w:line="360" w:lineRule="auto"/>
        <w:ind w:firstLine="480" w:firstLineChars="200"/>
        <w:rPr>
          <w:rFonts w:ascii="宋体" w:hAnsi="宋体" w:cs="宋体"/>
          <w:color w:val="auto"/>
          <w:sz w:val="24"/>
          <w:szCs w:val="24"/>
          <w:highlight w:val="none"/>
        </w:rPr>
      </w:pPr>
    </w:p>
    <w:p>
      <w:pPr>
        <w:tabs>
          <w:tab w:val="left" w:pos="540"/>
        </w:tabs>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color w:val="auto"/>
          <w:szCs w:val="20"/>
          <w:highlight w:val="none"/>
        </w:rPr>
        <mc:AlternateContent>
          <mc:Choice Requires="wps">
            <w:drawing>
              <wp:anchor distT="0" distB="0" distL="114300" distR="114300" simplePos="0" relativeHeight="251995136"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103" name="文本框 103"/>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19.5pt;height:48.75pt;width:72pt;z-index:251995136;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nPrZfXAAAACgEA&#10;AA8AAAAAAAAAAQAgAAAAIgAAAGRycy9kb3ducmV2LnhtbFBLAQIUABQAAAAIAIdO4kC4C7qoGwIA&#10;ACYEAAAOAAAAAAAAAAEAIAAAACYBAABkcnMvZTJvRG9jLnhtbFBLBQYAAAAABgAGAFkBAACzBQAA&#10;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宋体" w:hAnsi="宋体" w:cs="宋体"/>
          <w:b/>
          <w:bCs/>
          <w:color w:val="auto"/>
          <w:sz w:val="24"/>
          <w:szCs w:val="24"/>
          <w:highlight w:val="none"/>
        </w:rPr>
        <w:t xml:space="preserve">76.2  </w:t>
      </w:r>
    </w:p>
    <w:p>
      <w:pPr>
        <w:adjustRightInd w:val="0"/>
        <w:snapToGrid w:val="0"/>
        <w:spacing w:line="420" w:lineRule="exact"/>
        <w:ind w:left="1619" w:leftChars="771"/>
        <w:rPr>
          <w:rFonts w:ascii="宋体" w:hAnsi="宋体" w:cs="宋体"/>
          <w:color w:val="auto"/>
          <w:szCs w:val="20"/>
          <w:highlight w:val="none"/>
        </w:rPr>
      </w:pPr>
      <w:r>
        <w:rPr>
          <w:rFonts w:hint="eastAsia" w:ascii="宋体" w:hAnsi="宋体" w:cs="宋体"/>
          <w:color w:val="auto"/>
          <w:sz w:val="24"/>
          <w:szCs w:val="24"/>
          <w:highlight w:val="none"/>
        </w:rPr>
        <w:t>执行第76.3款“第1种方式：采用造价信息进行价格调整”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pPr>
        <w:tabs>
          <w:tab w:val="left" w:pos="540"/>
        </w:tabs>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-389890</wp:posOffset>
                </wp:positionH>
                <wp:positionV relativeFrom="paragraph">
                  <wp:posOffset>291465</wp:posOffset>
                </wp:positionV>
                <wp:extent cx="914400" cy="1003300"/>
                <wp:effectExtent l="0" t="0" r="0" b="0"/>
                <wp:wrapNone/>
                <wp:docPr id="102" name="文本框 102"/>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7pt;margin-top:22.95pt;height:79pt;width:72pt;z-index:251996160;mso-width-relative:page;mso-height-relative:page;" filled="f" stroked="f" coordsize="21600,21600" o:gfxdata="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AjKi41wAAAAkBAAAP&#10;AAAAAAAAAAEAIAAAACIAAABkcnMvZG93bnJldi54bWxQSwECFAAUAAAACACHTuJAHr7pOBkCAAAn&#10;BAAADgAAAAAAAAABACAAAAAm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v:textbox>
              </v:shape>
            </w:pict>
          </mc:Fallback>
        </mc:AlternateContent>
      </w:r>
      <w:r>
        <w:rPr>
          <w:rFonts w:hint="eastAsia" w:ascii="宋体" w:hAnsi="宋体" w:cs="宋体"/>
          <w:b/>
          <w:bCs/>
          <w:color w:val="auto"/>
          <w:sz w:val="24"/>
          <w:szCs w:val="24"/>
          <w:highlight w:val="none"/>
        </w:rPr>
        <w:t xml:space="preserve">76.3  </w:t>
      </w:r>
    </w:p>
    <w:p>
      <w:pPr>
        <w:spacing w:line="360" w:lineRule="auto"/>
        <w:ind w:firstLine="1440" w:firstLineChars="600"/>
        <w:rPr>
          <w:rFonts w:ascii="宋体" w:hAnsi="宋体" w:cs="宋体"/>
          <w:color w:val="auto"/>
          <w:sz w:val="30"/>
          <w:szCs w:val="30"/>
          <w:highlight w:val="none"/>
        </w:rPr>
      </w:pPr>
      <w:r>
        <w:rPr>
          <w:rFonts w:hint="eastAsia" w:ascii="宋体" w:hAnsi="宋体" w:cs="宋体"/>
          <w:color w:val="auto"/>
          <w:sz w:val="24"/>
          <w:szCs w:val="24"/>
          <w:highlight w:val="none"/>
        </w:rPr>
        <w:t>第1种方式：采用造价信息进行价格调整。</w:t>
      </w:r>
    </w:p>
    <w:p>
      <w:pPr>
        <w:spacing w:line="360" w:lineRule="auto"/>
        <w:ind w:left="1438" w:leftChars="685"/>
        <w:rPr>
          <w:rFonts w:ascii="宋体" w:hAnsi="宋体" w:cs="宋体"/>
          <w:color w:val="auto"/>
          <w:highlight w:val="none"/>
        </w:rPr>
      </w:pPr>
      <w:r>
        <w:rPr>
          <w:rFonts w:hint="eastAsia" w:ascii="宋体" w:hAnsi="宋体" w:cs="宋体"/>
          <w:color w:val="auto"/>
          <w:sz w:val="24"/>
          <w:szCs w:val="24"/>
          <w:highlight w:val="none"/>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pPr>
        <w:spacing w:line="360" w:lineRule="auto"/>
        <w:ind w:left="1559" w:leftChars="628" w:hanging="240" w:hangingChars="100"/>
        <w:rPr>
          <w:rFonts w:ascii="宋体" w:hAnsi="宋体" w:cs="宋体"/>
          <w:color w:val="auto"/>
          <w:sz w:val="24"/>
          <w:szCs w:val="24"/>
          <w:highlight w:val="none"/>
        </w:rPr>
      </w:pPr>
      <w:r>
        <w:rPr>
          <w:rFonts w:hint="eastAsia" w:ascii="宋体" w:hAnsi="宋体" w:cs="宋体"/>
          <w:color w:val="auto"/>
          <w:sz w:val="24"/>
          <w:szCs w:val="24"/>
          <w:highlight w:val="none"/>
        </w:rPr>
        <w:t>（1）材料、工程设备价格变化的价款调整按照发包人提供的基准价格，按以下风险范围规定执行:</w:t>
      </w:r>
    </w:p>
    <w:p>
      <w:pPr>
        <w:spacing w:line="360" w:lineRule="auto"/>
        <w:ind w:left="1514" w:leftChars="721"/>
        <w:rPr>
          <w:rFonts w:ascii="宋体" w:hAnsi="宋体" w:cs="宋体"/>
          <w:color w:val="auto"/>
          <w:sz w:val="24"/>
          <w:szCs w:val="24"/>
          <w:highlight w:val="none"/>
        </w:rPr>
      </w:pPr>
      <w:r>
        <w:rPr>
          <w:rFonts w:hint="eastAsia" w:ascii="宋体" w:hAnsi="宋体" w:cs="宋体"/>
          <w:color w:val="auto"/>
          <w:sz w:val="24"/>
          <w:szCs w:val="24"/>
          <w:highlight w:val="none"/>
        </w:rPr>
        <w:t>①承包人在已标价工程量清单或预算书中载明材料单价低于基准价格的：除专用合同条款另有约定外，合同履行期间材料单价涨幅以基准价格为基础超5%时，或材料单价跌幅以在已标价工程量清单或预算书中载明材料单价为基础超过5%时，其超过部分据实调整。</w:t>
      </w:r>
    </w:p>
    <w:p>
      <w:pPr>
        <w:spacing w:line="360" w:lineRule="auto"/>
        <w:ind w:left="1514" w:leftChars="721"/>
        <w:rPr>
          <w:rFonts w:ascii="宋体" w:hAnsi="宋体" w:cs="宋体"/>
          <w:color w:val="auto"/>
          <w:sz w:val="24"/>
          <w:szCs w:val="24"/>
          <w:highlight w:val="none"/>
        </w:rPr>
      </w:pPr>
      <w:r>
        <w:rPr>
          <w:rFonts w:hint="eastAsia" w:ascii="宋体" w:hAnsi="宋体" w:cs="宋体"/>
          <w:color w:val="auto"/>
          <w:sz w:val="24"/>
          <w:szCs w:val="24"/>
          <w:highlight w:val="none"/>
        </w:rPr>
        <w:t>②承包人在已标价工程量清单或预算书中载明材料单价高于基准价格的：除专用合同条款另有约定外，合同履行期间材料单价跌幅以基准价格为基础超过5%时，材料单价涨 幅以在已标价工程量清单或预算书中载明材料单价为基础超过5%时，其超过部分据实调整。</w:t>
      </w:r>
    </w:p>
    <w:p>
      <w:pPr>
        <w:spacing w:line="360" w:lineRule="auto"/>
        <w:ind w:left="1514" w:leftChars="721"/>
        <w:rPr>
          <w:rFonts w:ascii="宋体" w:hAnsi="宋体" w:cs="宋体"/>
          <w:color w:val="auto"/>
          <w:sz w:val="30"/>
          <w:szCs w:val="30"/>
          <w:highlight w:val="none"/>
        </w:rPr>
      </w:pPr>
      <w:r>
        <w:rPr>
          <w:rFonts w:hint="eastAsia" w:ascii="宋体" w:hAnsi="宋体" w:cs="宋体"/>
          <w:color w:val="auto"/>
          <w:sz w:val="24"/>
          <w:szCs w:val="24"/>
          <w:highlight w:val="none"/>
        </w:rPr>
        <w:t>③承包人在已标价工程量清单或预算书中载明材料单价等于基准价格的：除专用合同条款另有约定外，合同履行期间材料单价涨跌幅以基准价格为基础超过±5%时，其超过部分据实调整。</w:t>
      </w:r>
    </w:p>
    <w:p>
      <w:pPr>
        <w:spacing w:line="360" w:lineRule="auto"/>
        <w:ind w:left="1529" w:leftChars="728"/>
        <w:rPr>
          <w:rFonts w:ascii="宋体" w:hAnsi="宋体" w:cs="宋体"/>
          <w:color w:val="auto"/>
          <w:sz w:val="30"/>
          <w:szCs w:val="30"/>
          <w:highlight w:val="none"/>
        </w:rPr>
      </w:pPr>
      <w:r>
        <w:rPr>
          <w:rFonts w:hint="eastAsia" w:ascii="宋体" w:hAnsi="宋体" w:cs="宋体"/>
          <w:color w:val="auto"/>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pPr>
        <w:ind w:left="1470" w:leftChars="700"/>
        <w:rPr>
          <w:rFonts w:ascii="宋体" w:hAnsi="宋体" w:cs="宋体"/>
          <w:color w:val="auto"/>
          <w:sz w:val="24"/>
          <w:szCs w:val="24"/>
          <w:highlight w:val="none"/>
        </w:rPr>
      </w:pPr>
      <w:r>
        <w:rPr>
          <w:rFonts w:hint="eastAsia" w:ascii="宋体" w:hAnsi="宋体" w:cs="宋体"/>
          <w:color w:val="auto"/>
          <w:sz w:val="24"/>
          <w:szCs w:val="24"/>
          <w:highlight w:val="none"/>
        </w:rPr>
        <w:t>（2）施工机械台班单价或施工机械使用费发生变化超过省级或行业建设主管部门或其授权的工程造价管理机构规定的范围时，按规定调整合同价格。</w:t>
      </w:r>
    </w:p>
    <w:p>
      <w:pPr>
        <w:rPr>
          <w:rFonts w:ascii="宋体" w:hAnsi="宋体" w:cs="宋体"/>
          <w:color w:val="auto"/>
          <w:sz w:val="24"/>
          <w:szCs w:val="24"/>
          <w:highlight w:val="none"/>
        </w:rPr>
      </w:pPr>
    </w:p>
    <w:p>
      <w:pPr>
        <w:ind w:firstLine="1680" w:firstLineChars="700"/>
        <w:rPr>
          <w:rFonts w:ascii="宋体" w:hAnsi="宋体" w:cs="宋体"/>
          <w:color w:val="auto"/>
          <w:highlight w:val="none"/>
        </w:rPr>
      </w:pPr>
      <w:r>
        <w:rPr>
          <w:rFonts w:hint="eastAsia" w:ascii="宋体" w:hAnsi="宋体" w:cs="宋体"/>
          <w:color w:val="auto"/>
          <w:sz w:val="24"/>
          <w:szCs w:val="24"/>
          <w:highlight w:val="none"/>
        </w:rPr>
        <w:t>第2种方式：专用合同条款约定的其他方式。</w:t>
      </w:r>
    </w:p>
    <w:p>
      <w:pPr>
        <w:rPr>
          <w:rFonts w:ascii="宋体" w:hAnsi="宋体" w:cs="宋体"/>
          <w:color w:val="auto"/>
          <w:highlight w:val="none"/>
        </w:rPr>
      </w:pPr>
    </w:p>
    <w:p>
      <w:pPr>
        <w:tabs>
          <w:tab w:val="left" w:pos="540"/>
        </w:tabs>
        <w:adjustRightInd w:val="0"/>
        <w:snapToGrid w:val="0"/>
        <w:spacing w:line="480" w:lineRule="auto"/>
        <w:rPr>
          <w:rFonts w:ascii="宋体" w:hAnsi="宋体" w:cs="宋体"/>
          <w:color w:val="auto"/>
          <w:sz w:val="24"/>
          <w:szCs w:val="24"/>
          <w:highlight w:val="none"/>
          <w:u w:val="dotted"/>
        </w:rPr>
      </w:pPr>
      <w:r>
        <w:rPr>
          <w:rFonts w:hint="eastAsia" w:ascii="宋体" w:hAnsi="宋体" w:cs="宋体"/>
          <w:b/>
          <w:bCs/>
          <w:color w:val="auto"/>
          <w:sz w:val="24"/>
          <w:szCs w:val="24"/>
          <w:highlight w:val="none"/>
        </w:rPr>
        <w:t>76.4</w:t>
      </w:r>
    </w:p>
    <w:p>
      <w:pPr>
        <w:adjustRightInd w:val="0"/>
        <w:snapToGrid w:val="0"/>
        <w:spacing w:line="420" w:lineRule="exact"/>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执行第76.3款“第1种方式：采用造价信息进行价格调整”规定的，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r>
        <w:rPr>
          <w:rFonts w:hint="eastAsia" w:ascii="宋体" w:hAnsi="宋体" w:cs="宋体"/>
          <w:color w:val="auto"/>
          <w:szCs w:val="20"/>
          <w:highlight w:val="none"/>
        </w:rPr>
        <mc:AlternateContent>
          <mc:Choice Requires="wps">
            <w:drawing>
              <wp:anchor distT="0" distB="0" distL="114300" distR="114300" simplePos="0" relativeHeight="251997184"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101" name="文本框 101"/>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2.45pt;height:56.05pt;width:72pt;z-index:251997184;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M+ywdYAAAAJAQAA&#10;DwAAAAAAAAABACAAAAAiAAAAZHJzL2Rvd25yZXYueG1sUEsBAhQAFAAAAAgAh07iQOeSz0MbAgAA&#10;JgQAAA4AAAAAAAAAAQAgAAAAJQEAAGRycy9lMm9Eb2MueG1sUEsFBgAAAAAGAAYAWQEAALIFAAAA&#10;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v:textbox>
              </v:shape>
            </w:pict>
          </mc:Fallback>
        </mc:AlternateContent>
      </w:r>
    </w:p>
    <w:p>
      <w:pPr>
        <w:adjustRightInd w:val="0"/>
        <w:snapToGrid w:val="0"/>
        <w:spacing w:line="420" w:lineRule="exact"/>
        <w:rPr>
          <w:rFonts w:ascii="宋体" w:hAnsi="宋体" w:cs="宋体"/>
          <w:color w:val="auto"/>
          <w:sz w:val="24"/>
          <w:szCs w:val="24"/>
          <w:highlight w:val="none"/>
        </w:rPr>
      </w:pPr>
    </w:p>
    <w:p>
      <w:pPr>
        <w:tabs>
          <w:tab w:val="left" w:pos="540"/>
        </w:tabs>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76.5 </w:t>
      </w:r>
    </w:p>
    <w:p>
      <w:pPr>
        <w:adjustRightInd w:val="0"/>
        <w:snapToGrid w:val="0"/>
        <w:spacing w:line="420" w:lineRule="exact"/>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100" name="文本框 100"/>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8"/>
                              <w:spacing w:line="200" w:lineRule="exact"/>
                              <w:rPr>
                                <w:rFonts w:ascii="楷体_GB2312"/>
                                <w:sz w:val="18"/>
                                <w:szCs w:val="18"/>
                              </w:rPr>
                            </w:pPr>
                            <w:r>
                              <w:rPr>
                                <w:rFonts w:hint="eastAsia" w:ascii="楷体_GB2312" w:hAnsi="宋体" w:eastAsia="楷体_GB2312" w:cs="楷体_GB2312"/>
                                <w:b/>
                                <w:bCs/>
                                <w:color w:val="000000"/>
                                <w:sz w:val="18"/>
                                <w:szCs w:val="18"/>
                              </w:rPr>
                              <w:t>发包人供应材料设备的价款调整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48.75pt;width:72pt;z-index:251998208;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IDAfVAAAACQEAAA8A&#10;AAAAAAAAAQAgAAAAIgAAAGRycy9kb3ducmV2LnhtbFBLAQIUABQAAAAIAIdO4kA0a2KlGgIAACYE&#10;AAAOAAAAAAAAAAEAIAAAACQBAABkcnMvZTJvRG9jLnhtbFBLBQYAAAAABgAGAFkBAACwBQAAAAA=&#10;">
                <v:fill on="f" focussize="0,0"/>
                <v:stroke on="f"/>
                <v:imagedata o:title=""/>
                <o:lock v:ext="edit" aspectratio="f"/>
                <v:textbox>
                  <w:txbxContent>
                    <w:p>
                      <w:pPr>
                        <w:pStyle w:val="18"/>
                        <w:spacing w:line="200" w:lineRule="exact"/>
                        <w:rPr>
                          <w:rFonts w:ascii="楷体_GB2312"/>
                          <w:sz w:val="18"/>
                          <w:szCs w:val="18"/>
                        </w:rPr>
                      </w:pPr>
                      <w:r>
                        <w:rPr>
                          <w:rFonts w:hint="eastAsia" w:ascii="楷体_GB2312" w:hAnsi="宋体" w:eastAsia="楷体_GB2312" w:cs="楷体_GB2312"/>
                          <w:b/>
                          <w:bCs/>
                          <w:color w:val="000000"/>
                          <w:sz w:val="18"/>
                          <w:szCs w:val="18"/>
                        </w:rPr>
                        <w:t>发包人供应材料设备的价款调整</w:t>
                      </w:r>
                    </w:p>
                  </w:txbxContent>
                </v:textbox>
              </v:shape>
            </w:pict>
          </mc:Fallback>
        </mc:AlternateContent>
      </w:r>
      <w:r>
        <w:rPr>
          <w:rFonts w:hint="eastAsia" w:ascii="宋体" w:hAnsi="宋体" w:cs="宋体"/>
          <w:color w:val="auto"/>
          <w:sz w:val="24"/>
          <w:szCs w:val="24"/>
          <w:highlight w:val="none"/>
        </w:rPr>
        <w:t>发包人供应材料和工程设备的，由发包人按照实际变化调整，列入合同工程的工程造价内。</w:t>
      </w:r>
    </w:p>
    <w:p>
      <w:pPr>
        <w:adjustRightInd w:val="0"/>
        <w:snapToGrid w:val="0"/>
        <w:ind w:right="-238"/>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b/>
          <w:bCs/>
          <w:color w:val="auto"/>
          <w:kern w:val="0"/>
          <w:sz w:val="24"/>
          <w:szCs w:val="24"/>
          <w:highlight w:val="none"/>
        </w:rPr>
      </w:pPr>
      <w:bookmarkStart w:id="1183" w:name="_Toc77373608"/>
      <w:bookmarkStart w:id="1184" w:name="_Toc21830"/>
      <w:bookmarkStart w:id="1185" w:name="_Toc29954"/>
      <w:bookmarkStart w:id="1186" w:name="_Toc30861"/>
      <w:bookmarkStart w:id="1187" w:name="_Toc23242"/>
      <w:bookmarkStart w:id="1188" w:name="_Toc10122"/>
      <w:bookmarkStart w:id="1189" w:name="_Toc469384061"/>
      <w:bookmarkStart w:id="1190" w:name="_Toc1027334784"/>
      <w:bookmarkStart w:id="1191" w:name="_Toc12675"/>
      <w:r>
        <w:rPr>
          <w:rFonts w:hint="eastAsia" w:ascii="宋体" w:hAnsi="宋体" w:cs="宋体"/>
          <w:bCs/>
          <w:color w:val="auto"/>
          <w:kern w:val="0"/>
          <w:sz w:val="24"/>
          <w:szCs w:val="24"/>
          <w:highlight w:val="none"/>
        </w:rPr>
        <w:t>77  合同价款调整程序</w:t>
      </w:r>
      <w:bookmarkEnd w:id="1183"/>
      <w:bookmarkEnd w:id="1184"/>
      <w:bookmarkEnd w:id="1185"/>
      <w:bookmarkEnd w:id="1186"/>
      <w:bookmarkEnd w:id="1187"/>
      <w:bookmarkEnd w:id="1188"/>
      <w:bookmarkEnd w:id="1189"/>
      <w:bookmarkEnd w:id="1190"/>
      <w:bookmarkEnd w:id="1191"/>
    </w:p>
    <w:p>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77.1</w:t>
      </w:r>
    </w:p>
    <w:p>
      <w:pPr>
        <w:spacing w:line="360" w:lineRule="auto"/>
        <w:ind w:left="1619" w:leftChars="771" w:firstLine="2"/>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99" name="文本框 9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pStyle w:val="18"/>
                              <w:spacing w:line="200" w:lineRule="exact"/>
                            </w:pPr>
                            <w:r>
                              <w:rPr>
                                <w:rFonts w:hint="eastAsia" w:ascii="楷体_GB2312" w:hAnsi="宋体" w:eastAsia="楷体_GB2312" w:cs="楷体_GB2312"/>
                                <w:b/>
                                <w:bCs/>
                                <w:color w:val="000000"/>
                                <w:sz w:val="18"/>
                                <w:szCs w:val="18"/>
                              </w:rPr>
                              <w:t>合同价款调整程序的规定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4.6pt;width:72pt;z-index:251999232;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PuPt9YAAAAJAQAA&#10;DwAAAAAAAAABACAAAAAiAAAAZHJzL2Rvd25yZXYueG1sUEsBAhQAFAAAAAgAh07iQAwHRjEbAgAA&#10;JAQAAA4AAAAAAAAAAQAgAAAAJQEAAGRycy9lMm9Eb2MueG1sUEsFBgAAAAAGAAYAWQEAALIFAAAA&#10;AA==&#10;">
                <v:fill on="f" focussize="0,0"/>
                <v:stroke on="f"/>
                <v:imagedata o:title=""/>
                <o:lock v:ext="edit" aspectratio="f"/>
                <v:textbox>
                  <w:txbxContent>
                    <w:p>
                      <w:pPr>
                        <w:pStyle w:val="18"/>
                        <w:spacing w:line="200" w:lineRule="exact"/>
                      </w:pPr>
                      <w:r>
                        <w:rPr>
                          <w:rFonts w:hint="eastAsia" w:ascii="楷体_GB2312" w:hAnsi="宋体" w:eastAsia="楷体_GB2312" w:cs="楷体_GB2312"/>
                          <w:b/>
                          <w:bCs/>
                          <w:color w:val="000000"/>
                          <w:sz w:val="18"/>
                          <w:szCs w:val="18"/>
                        </w:rPr>
                        <w:t>合同价款调整程序的规定</w:t>
                      </w:r>
                    </w:p>
                  </w:txbxContent>
                </v:textbox>
              </v:shape>
            </w:pict>
          </mc:Fallback>
        </mc:AlternateContent>
      </w:r>
      <w:r>
        <w:rPr>
          <w:rFonts w:hint="eastAsia" w:ascii="宋体" w:hAnsi="宋体" w:cs="宋体"/>
          <w:color w:val="auto"/>
          <w:sz w:val="24"/>
          <w:szCs w:val="24"/>
          <w:highlight w:val="none"/>
        </w:rPr>
        <w:t>合同履行期间，出现第</w:t>
      </w:r>
      <w:r>
        <w:rPr>
          <w:rFonts w:hint="eastAsia" w:ascii="宋体" w:hAnsi="宋体" w:cs="宋体"/>
          <w:color w:val="auto"/>
          <w:sz w:val="24"/>
          <w:szCs w:val="24"/>
          <w:highlight w:val="none"/>
          <w:lang w:val="en-US" w:eastAsia="zh-CN"/>
        </w:rPr>
        <w:t>68.3</w:t>
      </w:r>
      <w:r>
        <w:rPr>
          <w:rFonts w:hint="eastAsia" w:ascii="宋体" w:hAnsi="宋体" w:cs="宋体"/>
          <w:color w:val="auto"/>
          <w:sz w:val="24"/>
          <w:szCs w:val="24"/>
          <w:highlight w:val="none"/>
        </w:rPr>
        <w:t>款规定调整合同价款事件的，除费用索赔、现场签证事件分别按照第74条、第75条规定程序外，合同双方当事人应按照本条规定程序调整合同价款。</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0256"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98"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8"/>
                              <w:spacing w:line="200" w:lineRule="exact"/>
                              <w:rPr>
                                <w:rFonts w:ascii="楷体_GB2312"/>
                                <w:sz w:val="18"/>
                                <w:szCs w:val="18"/>
                              </w:rPr>
                            </w:pPr>
                            <w:r>
                              <w:rPr>
                                <w:rFonts w:hint="eastAsia" w:ascii="楷体_GB2312" w:hAnsi="宋体" w:eastAsia="楷体_GB2312" w:cs="楷体_GB2312"/>
                                <w:b/>
                                <w:bCs/>
                                <w:color w:val="000000"/>
                                <w:sz w:val="18"/>
                                <w:szCs w:val="18"/>
                              </w:rPr>
                              <w:t>合同价款调增报告的提出</w:t>
                            </w:r>
                          </w:p>
                          <w:p>
                            <w:pPr>
                              <w:pStyle w:val="32"/>
                              <w:spacing w:line="200" w:lineRule="exact"/>
                              <w:ind w:firstLine="392"/>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6pt;margin-top:19.4pt;height:48.75pt;width:72pt;z-index:252000256;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QvB/7VAAAACQEAAA8A&#10;AAAAAAAAAQAgAAAAIgAAAGRycy9kb3ducmV2LnhtbFBLAQIUABQAAAAIAIdO4kCxdpmpGgIAACQE&#10;AAAOAAAAAAAAAAEAIAAAACQBAABkcnMvZTJvRG9jLnhtbFBLBQYAAAAABgAGAFkBAACwBQAAAAA=&#10;">
                <v:fill on="f" focussize="0,0"/>
                <v:stroke on="f"/>
                <v:imagedata o:title=""/>
                <o:lock v:ext="edit" aspectratio="f"/>
                <v:textbox>
                  <w:txbxContent>
                    <w:p>
                      <w:pPr>
                        <w:pStyle w:val="18"/>
                        <w:spacing w:line="200" w:lineRule="exact"/>
                        <w:rPr>
                          <w:rFonts w:ascii="楷体_GB2312"/>
                          <w:sz w:val="18"/>
                          <w:szCs w:val="18"/>
                        </w:rPr>
                      </w:pPr>
                      <w:r>
                        <w:rPr>
                          <w:rFonts w:hint="eastAsia" w:ascii="楷体_GB2312" w:hAnsi="宋体" w:eastAsia="楷体_GB2312" w:cs="楷体_GB2312"/>
                          <w:b/>
                          <w:bCs/>
                          <w:color w:val="000000"/>
                          <w:sz w:val="18"/>
                          <w:szCs w:val="18"/>
                        </w:rPr>
                        <w:t>合同价款调增报告的提出</w:t>
                      </w:r>
                    </w:p>
                    <w:p>
                      <w:pPr>
                        <w:pStyle w:val="32"/>
                        <w:spacing w:line="200" w:lineRule="exact"/>
                        <w:ind w:firstLine="392"/>
                        <w:rPr>
                          <w:sz w:val="18"/>
                          <w:szCs w:val="18"/>
                        </w:rPr>
                      </w:pPr>
                    </w:p>
                  </w:txbxContent>
                </v:textbox>
              </v:shape>
            </w:pict>
          </mc:Fallback>
        </mc:AlternateContent>
      </w:r>
      <w:r>
        <w:rPr>
          <w:rFonts w:hint="eastAsia" w:ascii="宋体" w:hAnsi="宋体" w:cs="宋体"/>
          <w:b/>
          <w:bCs/>
          <w:color w:val="auto"/>
          <w:sz w:val="24"/>
          <w:szCs w:val="24"/>
          <w:highlight w:val="none"/>
        </w:rPr>
        <w:t xml:space="preserve">77.2 </w:t>
      </w:r>
    </w:p>
    <w:p>
      <w:pPr>
        <w:adjustRightInd w:val="0"/>
        <w:snapToGrid w:val="0"/>
        <w:spacing w:line="360" w:lineRule="auto"/>
        <w:ind w:left="1619" w:leftChars="771"/>
        <w:rPr>
          <w:rFonts w:ascii="宋体" w:hAnsi="宋体" w:cs="宋体"/>
          <w:b/>
          <w:bCs/>
          <w:color w:val="auto"/>
          <w:sz w:val="24"/>
          <w:szCs w:val="24"/>
          <w:highlight w:val="none"/>
        </w:rPr>
      </w:pPr>
      <w:r>
        <w:rPr>
          <w:rFonts w:hint="eastAsia" w:ascii="宋体" w:hAnsi="宋体" w:cs="宋体"/>
          <w:color w:val="auto"/>
          <w:sz w:val="24"/>
          <w:szCs w:val="24"/>
          <w:highlight w:val="none"/>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pPr>
        <w:adjustRightInd w:val="0"/>
        <w:snapToGrid w:val="0"/>
        <w:spacing w:line="360" w:lineRule="auto"/>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77.3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97" name="文本框 97"/>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wps:spPr>
                      <wps:txbx>
                        <w:txbxContent>
                          <w:p>
                            <w:pPr>
                              <w:pStyle w:val="18"/>
                              <w:spacing w:line="200" w:lineRule="exact"/>
                              <w:rPr>
                                <w:rFonts w:ascii="楷体_GB2312"/>
                                <w:b/>
                                <w:sz w:val="18"/>
                                <w:szCs w:val="18"/>
                              </w:rPr>
                            </w:pPr>
                            <w:r>
                              <w:rPr>
                                <w:rFonts w:hint="eastAsia" w:ascii="楷体_GB2312" w:cs="楷体_GB2312"/>
                                <w:b/>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9pt;width:81pt;z-index:252001280;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YhhG1QAAAAgBAAAP&#10;AAAAAAAAAAEAIAAAACIAAABkcnMvZG93bnJldi54bWxQSwECFAAUAAAACACHTuJAdCo+DhsCAAAl&#10;BAAADgAAAAAAAAABACAAAAAkAQAAZHJzL2Uyb0RvYy54bWxQSwUGAAAAAAYABgBZAQAAsQUAAAAA&#10;">
                <v:fill on="f" focussize="0,0"/>
                <v:stroke on="f"/>
                <v:imagedata o:title=""/>
                <o:lock v:ext="edit" aspectratio="f"/>
                <v:textbox>
                  <w:txbxContent>
                    <w:p>
                      <w:pPr>
                        <w:pStyle w:val="18"/>
                        <w:spacing w:line="200" w:lineRule="exact"/>
                        <w:rPr>
                          <w:rFonts w:ascii="楷体_GB2312"/>
                          <w:b/>
                          <w:sz w:val="18"/>
                          <w:szCs w:val="18"/>
                        </w:rPr>
                      </w:pPr>
                      <w:r>
                        <w:rPr>
                          <w:rFonts w:hint="eastAsia" w:ascii="楷体_GB2312" w:cs="楷体_GB2312"/>
                          <w:b/>
                          <w:sz w:val="18"/>
                          <w:szCs w:val="18"/>
                        </w:rPr>
                        <w:t>调增价款的核实</w:t>
                      </w:r>
                    </w:p>
                  </w:txbxContent>
                </v:textbox>
              </v:shape>
            </w:pict>
          </mc:Fallback>
        </mc:AlternateContent>
      </w:r>
      <w:r>
        <w:rPr>
          <w:rFonts w:hint="eastAsia" w:ascii="宋体" w:hAnsi="宋体" w:cs="宋体"/>
          <w:color w:val="auto"/>
          <w:sz w:val="24"/>
          <w:szCs w:val="24"/>
          <w:highlight w:val="none"/>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pPr>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77.4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96" name="文本框 96"/>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wps:spPr>
                      <wps:txbx>
                        <w:txbxContent>
                          <w:p>
                            <w:pPr>
                              <w:pStyle w:val="18"/>
                              <w:spacing w:line="200" w:lineRule="exact"/>
                              <w:rPr>
                                <w:rFonts w:ascii="楷体_GB2312"/>
                                <w:b/>
                                <w:sz w:val="18"/>
                                <w:szCs w:val="18"/>
                              </w:rPr>
                            </w:pPr>
                            <w:r>
                              <w:rPr>
                                <w:rFonts w:hint="eastAsia" w:ascii="楷体_GB2312" w:cs="楷体_GB2312"/>
                                <w:b/>
                                <w:sz w:val="18"/>
                                <w:szCs w:val="18"/>
                              </w:rPr>
                              <w:t>调增价款的支付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9pt;width:81pt;z-index:252002304;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YhhG1QAAAAgBAAAP&#10;AAAAAAAAAAEAIAAAACIAAABkcnMvZG93bnJldi54bWxQSwECFAAUAAAACACHTuJA68+QsRsCAAAl&#10;BAAADgAAAAAAAAABACAAAAAkAQAAZHJzL2Uyb0RvYy54bWxQSwUGAAAAAAYABgBZAQAAsQUAAAAA&#10;">
                <v:fill on="f" focussize="0,0"/>
                <v:stroke on="f"/>
                <v:imagedata o:title=""/>
                <o:lock v:ext="edit" aspectratio="f"/>
                <v:textbox>
                  <w:txbxContent>
                    <w:p>
                      <w:pPr>
                        <w:pStyle w:val="18"/>
                        <w:spacing w:line="200" w:lineRule="exact"/>
                        <w:rPr>
                          <w:rFonts w:ascii="楷体_GB2312"/>
                          <w:b/>
                          <w:sz w:val="18"/>
                          <w:szCs w:val="18"/>
                        </w:rPr>
                      </w:pPr>
                      <w:r>
                        <w:rPr>
                          <w:rFonts w:hint="eastAsia" w:ascii="楷体_GB2312" w:cs="楷体_GB2312"/>
                          <w:b/>
                          <w:sz w:val="18"/>
                          <w:szCs w:val="18"/>
                        </w:rPr>
                        <w:t>调增价款的支付</w:t>
                      </w:r>
                    </w:p>
                  </w:txbxContent>
                </v:textbox>
              </v:shape>
            </w:pict>
          </mc:Fallback>
        </mc:AlternateContent>
      </w:r>
      <w:r>
        <w:rPr>
          <w:rFonts w:hint="eastAsia" w:ascii="宋体" w:hAnsi="宋体" w:cs="宋体"/>
          <w:color w:val="auto"/>
          <w:sz w:val="24"/>
          <w:szCs w:val="24"/>
          <w:highlight w:val="none"/>
        </w:rPr>
        <w:t>经合同双方当事人确认或造价工程师暂定调增的合同价款，作为追加合同价款，与工程进度款或结算款同期支付。</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77.5 </w:t>
      </w:r>
    </w:p>
    <w:p>
      <w:pPr>
        <w:adjustRightInd w:val="0"/>
        <w:snapToGrid w:val="0"/>
        <w:spacing w:line="360" w:lineRule="auto"/>
        <w:ind w:left="1606" w:leftChars="765"/>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3328"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95" name="文本框 95"/>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a:effectLst/>
                      </wps:spPr>
                      <wps:txbx>
                        <w:txbxContent>
                          <w:p>
                            <w:pPr>
                              <w:pStyle w:val="32"/>
                              <w:spacing w:line="200" w:lineRule="exact"/>
                              <w:rPr>
                                <w:rFonts w:ascii="楷体_GB2312"/>
                                <w:b/>
                                <w:sz w:val="18"/>
                                <w:szCs w:val="18"/>
                              </w:rPr>
                            </w:pPr>
                            <w:r>
                              <w:rPr>
                                <w:rFonts w:hint="eastAsia" w:ascii="楷体_GB2312" w:cs="楷体_GB2312"/>
                                <w:b/>
                                <w:sz w:val="18"/>
                                <w:szCs w:val="18"/>
                              </w:rPr>
                              <w:t>合同价款调减事件的处理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45pt;height:39pt;width:90pt;z-index:252003328;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mpeOdMAAAAHAQAADwAA&#10;AAAAAAABACAAAAAiAAAAZHJzL2Rvd25yZXYueG1sUEsBAhQAFAAAAAgAh07iQPb7EzgbAgAAJQQA&#10;AA4AAAAAAAAAAQAgAAAAIgEAAGRycy9lMm9Eb2MueG1sUEsFBgAAAAAGAAYAWQEAAK8FAAAAAA==&#10;">
                <v:fill on="f" focussize="0,0"/>
                <v:stroke on="f"/>
                <v:imagedata o:title=""/>
                <o:lock v:ext="edit" aspectratio="f"/>
                <v:textbox>
                  <w:txbxContent>
                    <w:p>
                      <w:pPr>
                        <w:pStyle w:val="32"/>
                        <w:spacing w:line="200" w:lineRule="exact"/>
                        <w:rPr>
                          <w:rFonts w:ascii="楷体_GB2312"/>
                          <w:b/>
                          <w:sz w:val="18"/>
                          <w:szCs w:val="18"/>
                        </w:rPr>
                      </w:pPr>
                      <w:r>
                        <w:rPr>
                          <w:rFonts w:hint="eastAsia" w:ascii="楷体_GB2312" w:cs="楷体_GB2312"/>
                          <w:b/>
                          <w:sz w:val="18"/>
                          <w:szCs w:val="18"/>
                        </w:rPr>
                        <w:t>合同价款调减事件的处理</w:t>
                      </w:r>
                    </w:p>
                  </w:txbxContent>
                </v:textbox>
              </v:shape>
            </w:pict>
          </mc:Fallback>
        </mc:AlternateContent>
      </w:r>
      <w:r>
        <w:rPr>
          <w:rFonts w:hint="eastAsia" w:ascii="宋体" w:hAnsi="宋体" w:cs="宋体"/>
          <w:color w:val="auto"/>
          <w:sz w:val="24"/>
          <w:szCs w:val="24"/>
          <w:highlight w:val="none"/>
        </w:rPr>
        <w:t>出现合同价款调减事件时，发包人可按照本条规定的时限和要求，向承包人提交合同价款调减报告以及调减的金额，但调减部分金额应按照实际调减金额乘以承包人报价浮动率计算。</w:t>
      </w:r>
    </w:p>
    <w:p>
      <w:pPr>
        <w:adjustRightInd w:val="0"/>
        <w:snapToGrid w:val="0"/>
        <w:ind w:left="1626" w:right="-238" w:hanging="1626" w:hangingChars="675"/>
        <w:rPr>
          <w:rFonts w:ascii="宋体" w:hAnsi="宋体" w:cs="宋体"/>
          <w:b/>
          <w:bCs/>
          <w:color w:val="auto"/>
          <w:sz w:val="24"/>
          <w:szCs w:val="24"/>
          <w:highlight w:val="none"/>
          <w:u w:val="single"/>
        </w:rPr>
      </w:pPr>
    </w:p>
    <w:p>
      <w:pPr>
        <w:widowControl/>
        <w:tabs>
          <w:tab w:val="left" w:pos="420"/>
        </w:tabs>
        <w:spacing w:before="100" w:beforeAutospacing="1" w:after="100" w:afterAutospacing="1"/>
        <w:jc w:val="left"/>
        <w:outlineLvl w:val="2"/>
        <w:rPr>
          <w:rFonts w:ascii="宋体" w:hAnsi="宋体" w:cs="宋体"/>
          <w:color w:val="auto"/>
          <w:kern w:val="0"/>
          <w:sz w:val="24"/>
          <w:szCs w:val="24"/>
          <w:highlight w:val="none"/>
        </w:rPr>
      </w:pPr>
      <w:bookmarkStart w:id="1192" w:name="_Toc12582"/>
      <w:bookmarkStart w:id="1193" w:name="_Toc469384062"/>
      <w:bookmarkStart w:id="1194" w:name="_Toc14793"/>
      <w:bookmarkStart w:id="1195" w:name="_Toc24877"/>
      <w:bookmarkStart w:id="1196" w:name="_Toc1190623221"/>
      <w:bookmarkStart w:id="1197" w:name="_Toc12012"/>
      <w:bookmarkStart w:id="1198" w:name="_Toc647192808"/>
      <w:bookmarkStart w:id="1199" w:name="_Toc27071"/>
      <w:bookmarkStart w:id="1200" w:name="_Toc13856"/>
      <w:r>
        <w:rPr>
          <w:rFonts w:hint="eastAsia" w:ascii="宋体" w:hAnsi="宋体" w:cs="宋体"/>
          <w:color w:val="auto"/>
          <w:kern w:val="0"/>
          <w:sz w:val="24"/>
          <w:szCs w:val="24"/>
          <w:highlight w:val="none"/>
        </w:rPr>
        <w:t>78  支付事项</w:t>
      </w:r>
      <w:bookmarkEnd w:id="1192"/>
      <w:bookmarkEnd w:id="1193"/>
      <w:bookmarkEnd w:id="1194"/>
      <w:bookmarkEnd w:id="1195"/>
      <w:bookmarkEnd w:id="1196"/>
      <w:bookmarkEnd w:id="1197"/>
      <w:bookmarkEnd w:id="1198"/>
      <w:bookmarkEnd w:id="1199"/>
      <w:bookmarkEnd w:id="1200"/>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78.1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94" name="文本框 94"/>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a:effectLst/>
                      </wps:spPr>
                      <wps:txbx>
                        <w:txbxContent>
                          <w:p>
                            <w:pPr>
                              <w:pStyle w:val="32"/>
                              <w:spacing w:line="200" w:lineRule="exact"/>
                              <w:rPr>
                                <w:rFonts w:ascii="楷体_GB2312"/>
                                <w:sz w:val="18"/>
                                <w:szCs w:val="18"/>
                              </w:rPr>
                            </w:pPr>
                            <w:r>
                              <w:rPr>
                                <w:rFonts w:hint="eastAsia" w:ascii="楷体_GB2312" w:cs="楷体_GB2312"/>
                                <w:b/>
                                <w:sz w:val="18"/>
                                <w:szCs w:val="18"/>
                              </w:rPr>
                              <w:t>支付工程款项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pt;height:24.75pt;width:90pt;z-index:252004352;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oX0y9UAAAAIAQAA&#10;DwAAAAAAAAABACAAAAAiAAAAZHJzL2Rvd25yZXYueG1sUEsBAhQAFAAAAAgAh07iQAbVElUcAgAA&#10;JQQAAA4AAAAAAAAAAQAgAAAAJAEAAGRycy9lMm9Eb2MueG1sUEsFBgAAAAAGAAYAWQEAALIFAAAA&#10;AA==&#10;">
                <v:fill on="f" focussize="0,0"/>
                <v:stroke on="f"/>
                <v:imagedata o:title=""/>
                <o:lock v:ext="edit" aspectratio="f"/>
                <v:textbox>
                  <w:txbxContent>
                    <w:p>
                      <w:pPr>
                        <w:pStyle w:val="32"/>
                        <w:spacing w:line="200" w:lineRule="exact"/>
                        <w:rPr>
                          <w:rFonts w:ascii="楷体_GB2312"/>
                          <w:sz w:val="18"/>
                          <w:szCs w:val="18"/>
                        </w:rPr>
                      </w:pPr>
                      <w:r>
                        <w:rPr>
                          <w:rFonts w:hint="eastAsia" w:ascii="楷体_GB2312" w:cs="楷体_GB2312"/>
                          <w:b/>
                          <w:sz w:val="18"/>
                          <w:szCs w:val="18"/>
                        </w:rPr>
                        <w:t>支付工程款项</w:t>
                      </w:r>
                    </w:p>
                  </w:txbxContent>
                </v:textbox>
              </v:shape>
            </w:pict>
          </mc:Fallback>
        </mc:AlternateContent>
      </w:r>
      <w:r>
        <w:rPr>
          <w:rFonts w:hint="eastAsia" w:ascii="宋体" w:hAnsi="宋体" w:cs="宋体"/>
          <w:color w:val="auto"/>
          <w:sz w:val="24"/>
          <w:szCs w:val="24"/>
          <w:highlight w:val="none"/>
        </w:rPr>
        <w:t>发包人应按照下列规定向承包人支付工程款及其他各种款项：</w:t>
      </w:r>
    </w:p>
    <w:p>
      <w:pPr>
        <w:adjustRightInd w:val="0"/>
        <w:snapToGrid w:val="0"/>
        <w:spacing w:line="360" w:lineRule="auto"/>
        <w:ind w:left="1079" w:leftChars="514"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(1)预付款按照第79条的规定支付；</w:t>
      </w:r>
    </w:p>
    <w:p>
      <w:pPr>
        <w:adjustRightInd w:val="0"/>
        <w:snapToGrid w:val="0"/>
        <w:spacing w:line="360" w:lineRule="auto"/>
        <w:ind w:left="1079" w:leftChars="514"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(2)绿色施工安全防护费按照第80条规定支付；</w:t>
      </w:r>
    </w:p>
    <w:p>
      <w:pPr>
        <w:adjustRightInd w:val="0"/>
        <w:snapToGrid w:val="0"/>
        <w:spacing w:line="360" w:lineRule="auto"/>
        <w:ind w:left="1079" w:leftChars="514"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(3)进度款按照第81条的规定支付；</w:t>
      </w:r>
    </w:p>
    <w:p>
      <w:pPr>
        <w:adjustRightInd w:val="0"/>
        <w:snapToGrid w:val="0"/>
        <w:spacing w:line="360" w:lineRule="auto"/>
        <w:ind w:left="481" w:leftChars="229" w:firstLine="1320" w:firstLineChars="550"/>
        <w:rPr>
          <w:rFonts w:ascii="宋体" w:hAnsi="宋体" w:cs="宋体"/>
          <w:color w:val="auto"/>
          <w:sz w:val="24"/>
          <w:szCs w:val="24"/>
          <w:highlight w:val="none"/>
        </w:rPr>
      </w:pPr>
      <w:r>
        <w:rPr>
          <w:rFonts w:hint="eastAsia" w:ascii="宋体" w:hAnsi="宋体" w:cs="宋体"/>
          <w:color w:val="auto"/>
          <w:sz w:val="24"/>
          <w:szCs w:val="24"/>
          <w:highlight w:val="none"/>
        </w:rPr>
        <w:t>(4)结算款按照第83条的规定支付；</w:t>
      </w:r>
    </w:p>
    <w:p>
      <w:pPr>
        <w:adjustRightInd w:val="0"/>
        <w:snapToGrid w:val="0"/>
        <w:spacing w:line="360" w:lineRule="auto"/>
        <w:ind w:left="1079" w:leftChars="514"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(5)质量保证金按照第84条的规定支付；</w:t>
      </w:r>
    </w:p>
    <w:p>
      <w:pPr>
        <w:adjustRightInd w:val="0"/>
        <w:snapToGrid w:val="0"/>
        <w:spacing w:line="360" w:lineRule="auto"/>
        <w:ind w:left="1079" w:leftChars="514"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(6)最终清算款按照第85条的规定支付。</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78.2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93" name="文本框 93"/>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a:effectLst/>
                      </wps:spPr>
                      <wps:txbx>
                        <w:txbxContent>
                          <w:p>
                            <w:pPr>
                              <w:pStyle w:val="32"/>
                              <w:spacing w:line="200" w:lineRule="exact"/>
                              <w:rPr>
                                <w:rFonts w:ascii="楷体_GB2312"/>
                                <w:sz w:val="18"/>
                                <w:szCs w:val="18"/>
                              </w:rPr>
                            </w:pPr>
                            <w:r>
                              <w:rPr>
                                <w:rFonts w:hint="eastAsia" w:ascii="楷体_GB2312" w:cs="楷体_GB2312"/>
                                <w:b/>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45pt;height:31.35pt;width:72pt;z-index:252005376;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rgnaPUAAAACAEAAA8A&#10;AAAAAAAAAQAgAAAAIgAAAGRycy9kb3ducmV2LnhtbFBLAQIUABQAAAAIAIdO4kAPfCVkGwIAACQE&#10;AAAOAAAAAAAAAAEAIAAAACMBAABkcnMvZTJvRG9jLnhtbFBLBQYAAAAABgAGAFkBAACwBQAAAAA=&#10;">
                <v:fill on="f" focussize="0,0"/>
                <v:stroke on="f"/>
                <v:imagedata o:title=""/>
                <o:lock v:ext="edit" aspectratio="f"/>
                <v:textbox>
                  <w:txbxContent>
                    <w:p>
                      <w:pPr>
                        <w:pStyle w:val="32"/>
                        <w:spacing w:line="200" w:lineRule="exact"/>
                        <w:rPr>
                          <w:rFonts w:ascii="楷体_GB2312"/>
                          <w:sz w:val="18"/>
                          <w:szCs w:val="18"/>
                        </w:rPr>
                      </w:pPr>
                      <w:r>
                        <w:rPr>
                          <w:rFonts w:hint="eastAsia" w:ascii="楷体_GB2312" w:cs="楷体_GB2312"/>
                          <w:b/>
                          <w:sz w:val="18"/>
                          <w:szCs w:val="18"/>
                        </w:rPr>
                        <w:t>延迟支付的利息计算</w:t>
                      </w:r>
                    </w:p>
                  </w:txbxContent>
                </v:textbox>
              </v:shape>
            </w:pict>
          </mc:Fallback>
        </mc:AlternateContent>
      </w:r>
      <w:r>
        <w:rPr>
          <w:rFonts w:hint="eastAsia" w:ascii="宋体" w:hAnsi="宋体" w:cs="宋体"/>
          <w:color w:val="auto"/>
          <w:sz w:val="24"/>
          <w:szCs w:val="24"/>
          <w:highlight w:val="none"/>
        </w:rPr>
        <w:t>如果发包人延迟支付款项，则承包人有权按照专用条款约定的利率计算和得到利息。计息时间从应支付之日算起直到该笔延迟款额支付之日止。除专用条款另有约定外，利息的利率按照中国人民银行授权全国银行间同业拆借中心公布的贷款市场报价利率（LPR）计算。</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78.3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92" name="文本框 92"/>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a:effectLst/>
                      </wps:spPr>
                      <wps:txbx>
                        <w:txbxContent>
                          <w:p>
                            <w:pPr>
                              <w:pStyle w:val="32"/>
                              <w:spacing w:line="200" w:lineRule="exact"/>
                              <w:rPr>
                                <w:rFonts w:ascii="楷体_GB2312"/>
                                <w:sz w:val="18"/>
                                <w:szCs w:val="18"/>
                              </w:rPr>
                            </w:pPr>
                            <w:r>
                              <w:rPr>
                                <w:rFonts w:hint="eastAsia" w:ascii="楷体_GB2312" w:cs="楷体_GB2312"/>
                                <w:b/>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4.5pt;width:72pt;z-index:252006400;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qru6LUAAAABwEAAA8A&#10;AAAAAAAAAQAgAAAAIgAAAGRycy9kb3ducmV2LnhtbFBLAQIUABQAAAAIAIdO4kDM0RbSGwIAACQE&#10;AAAOAAAAAAAAAAEAIAAAACMBAABkcnMvZTJvRG9jLnhtbFBLBQYAAAAABgAGAFkBAACwBQAAAAA=&#10;">
                <v:fill on="f" focussize="0,0"/>
                <v:stroke on="f"/>
                <v:imagedata o:title=""/>
                <o:lock v:ext="edit" aspectratio="f"/>
                <v:textbox>
                  <w:txbxContent>
                    <w:p>
                      <w:pPr>
                        <w:pStyle w:val="32"/>
                        <w:spacing w:line="200" w:lineRule="exact"/>
                        <w:rPr>
                          <w:rFonts w:ascii="楷体_GB2312"/>
                          <w:sz w:val="18"/>
                          <w:szCs w:val="18"/>
                        </w:rPr>
                      </w:pPr>
                      <w:r>
                        <w:rPr>
                          <w:rFonts w:hint="eastAsia" w:ascii="楷体_GB2312" w:cs="楷体_GB2312"/>
                          <w:b/>
                          <w:sz w:val="18"/>
                          <w:szCs w:val="18"/>
                        </w:rPr>
                        <w:t>承包人提供支付凭证</w:t>
                      </w:r>
                    </w:p>
                  </w:txbxContent>
                </v:textbox>
              </v:shape>
            </w:pict>
          </mc:Fallback>
        </mc:AlternateContent>
      </w:r>
      <w:r>
        <w:rPr>
          <w:rFonts w:hint="eastAsia" w:ascii="宋体" w:hAnsi="宋体" w:cs="宋体"/>
          <w:color w:val="auto"/>
          <w:sz w:val="24"/>
          <w:szCs w:val="24"/>
          <w:highlight w:val="none"/>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78.4  </w:t>
      </w:r>
    </w:p>
    <w:p>
      <w:pPr>
        <w:adjustRightInd w:val="0"/>
        <w:snapToGrid w:val="0"/>
        <w:spacing w:line="420" w:lineRule="exact"/>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91" name="文本框 91"/>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a:effectLst/>
                      </wps:spPr>
                      <wps:txbx>
                        <w:txbxContent>
                          <w:p>
                            <w:pPr>
                              <w:pStyle w:val="32"/>
                              <w:spacing w:line="200" w:lineRule="exact"/>
                              <w:rPr>
                                <w:rFonts w:ascii="楷体_GB2312"/>
                                <w:b/>
                                <w:sz w:val="18"/>
                                <w:szCs w:val="18"/>
                              </w:rPr>
                            </w:pPr>
                            <w:r>
                              <w:rPr>
                                <w:rFonts w:hint="eastAsia" w:ascii="楷体_GB2312" w:cs="楷体_GB2312"/>
                                <w:b/>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5pt;height:39.7pt;width:72pt;z-index:252007424;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J7KfVAAAACAEAAA8A&#10;AAAAAAAAAQAgAAAAIgAAAGRycy9kb3ducmV2LnhtbFBLAQIUABQAAAAIAIdO4kB882f5GgIAACQE&#10;AAAOAAAAAAAAAAEAIAAAACQBAABkcnMvZTJvRG9jLnhtbFBLBQYAAAAABgAGAFkBAACwBQAAAAA=&#10;">
                <v:fill on="f" focussize="0,0"/>
                <v:stroke on="f"/>
                <v:imagedata o:title=""/>
                <o:lock v:ext="edit" aspectratio="f"/>
                <v:textbox>
                  <w:txbxContent>
                    <w:p>
                      <w:pPr>
                        <w:pStyle w:val="32"/>
                        <w:spacing w:line="200" w:lineRule="exact"/>
                        <w:rPr>
                          <w:rFonts w:ascii="楷体_GB2312"/>
                          <w:b/>
                          <w:sz w:val="18"/>
                          <w:szCs w:val="18"/>
                        </w:rPr>
                      </w:pPr>
                      <w:r>
                        <w:rPr>
                          <w:rFonts w:hint="eastAsia" w:ascii="楷体_GB2312" w:cs="楷体_GB2312"/>
                          <w:b/>
                          <w:sz w:val="18"/>
                          <w:szCs w:val="18"/>
                        </w:rPr>
                        <w:t>承包人未按规定支付款项的限制</w:t>
                      </w:r>
                    </w:p>
                  </w:txbxContent>
                </v:textbox>
              </v:shape>
            </w:pict>
          </mc:Fallback>
        </mc:AlternateContent>
      </w:r>
      <w:r>
        <w:rPr>
          <w:rFonts w:hint="eastAsia" w:ascii="宋体" w:hAnsi="宋体" w:cs="宋体"/>
          <w:color w:val="auto"/>
          <w:sz w:val="24"/>
          <w:szCs w:val="24"/>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pPr>
        <w:numPr>
          <w:ilvl w:val="0"/>
          <w:numId w:val="25"/>
        </w:numPr>
        <w:tabs>
          <w:tab w:val="left" w:pos="2160"/>
        </w:tabs>
        <w:adjustRightInd w:val="0"/>
        <w:snapToGrid w:val="0"/>
        <w:spacing w:line="420" w:lineRule="exact"/>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立即停止向承包人支付应付的款项；</w:t>
      </w:r>
    </w:p>
    <w:p>
      <w:pPr>
        <w:numPr>
          <w:ilvl w:val="0"/>
          <w:numId w:val="25"/>
        </w:numPr>
        <w:tabs>
          <w:tab w:val="left" w:pos="2160"/>
        </w:tabs>
        <w:adjustRightInd w:val="0"/>
        <w:snapToGrid w:val="0"/>
        <w:spacing w:line="420" w:lineRule="exact"/>
        <w:ind w:left="1618" w:leftChars="770" w:hanging="1"/>
        <w:rPr>
          <w:rFonts w:ascii="宋体" w:hAnsi="宋体" w:cs="宋体"/>
          <w:color w:val="auto"/>
          <w:sz w:val="24"/>
          <w:szCs w:val="24"/>
          <w:highlight w:val="none"/>
        </w:rPr>
      </w:pPr>
      <w:r>
        <w:rPr>
          <w:rFonts w:hint="eastAsia" w:ascii="宋体" w:hAnsi="宋体" w:cs="宋体"/>
          <w:color w:val="auto"/>
          <w:sz w:val="24"/>
          <w:szCs w:val="24"/>
          <w:highlight w:val="none"/>
        </w:rPr>
        <w:t>在相应支付期应付的工程款范围内，直接向雇员、分包人和材料设备供应商支付承包人应付的款项。</w:t>
      </w:r>
    </w:p>
    <w:p>
      <w:pPr>
        <w:adjustRightInd w:val="0"/>
        <w:snapToGrid w:val="0"/>
        <w:spacing w:line="420" w:lineRule="exact"/>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pPr>
        <w:adjustRightInd w:val="0"/>
        <w:snapToGrid w:val="0"/>
        <w:spacing w:line="240" w:lineRule="exact"/>
        <w:ind w:right="-238"/>
        <w:rPr>
          <w:rFonts w:ascii="宋体" w:hAnsi="宋体" w:cs="宋体"/>
          <w:b/>
          <w:bCs/>
          <w:color w:val="auto"/>
          <w:sz w:val="24"/>
          <w:szCs w:val="24"/>
          <w:highlight w:val="none"/>
          <w:u w:val="single"/>
        </w:rPr>
      </w:pPr>
    </w:p>
    <w:p>
      <w:pPr>
        <w:tabs>
          <w:tab w:val="left" w:pos="540"/>
        </w:tabs>
        <w:adjustRightInd w:val="0"/>
        <w:snapToGrid w:val="0"/>
        <w:spacing w:before="312" w:beforeLines="100" w:line="240" w:lineRule="exact"/>
        <w:ind w:firstLine="482"/>
        <w:rPr>
          <w:rFonts w:ascii="宋体" w:hAnsi="宋体" w:cs="宋体"/>
          <w:b/>
          <w:bCs/>
          <w:color w:val="auto"/>
          <w:sz w:val="24"/>
          <w:szCs w:val="24"/>
          <w:highlight w:val="non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201" w:name="_Toc364852001"/>
      <w:bookmarkStart w:id="1202" w:name="_Toc551852601"/>
      <w:bookmarkStart w:id="1203" w:name="_Toc25704"/>
      <w:bookmarkStart w:id="1204" w:name="_Toc443"/>
      <w:bookmarkStart w:id="1205" w:name="_Toc23922"/>
      <w:bookmarkStart w:id="1206" w:name="_Toc469384063"/>
      <w:bookmarkStart w:id="1207" w:name="_Toc17056"/>
      <w:bookmarkStart w:id="1208" w:name="_Toc18507"/>
      <w:bookmarkStart w:id="1209" w:name="_Toc25457"/>
      <w:r>
        <w:rPr>
          <w:rFonts w:hint="eastAsia" w:ascii="宋体" w:hAnsi="宋体" w:cs="宋体"/>
          <w:b/>
          <w:bCs/>
          <w:color w:val="auto"/>
          <w:sz w:val="24"/>
          <w:szCs w:val="24"/>
          <w:highlight w:val="none"/>
        </w:rPr>
        <w:t>79  预付款</w:t>
      </w:r>
      <w:bookmarkEnd w:id="1201"/>
      <w:bookmarkEnd w:id="1202"/>
      <w:bookmarkEnd w:id="1203"/>
      <w:bookmarkEnd w:id="1204"/>
      <w:bookmarkEnd w:id="1205"/>
      <w:bookmarkEnd w:id="1206"/>
      <w:bookmarkEnd w:id="1207"/>
      <w:bookmarkEnd w:id="1208"/>
      <w:bookmarkEnd w:id="1209"/>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90"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a:effectLst/>
                      </wps:spPr>
                      <wps:txbx>
                        <w:txbxContent>
                          <w:p>
                            <w:pPr>
                              <w:pStyle w:val="32"/>
                              <w:spacing w:line="200" w:lineRule="exact"/>
                              <w:ind w:firstLine="392"/>
                              <w:rPr>
                                <w:rFonts w:ascii="楷体_GB2312"/>
                                <w:b/>
                                <w:sz w:val="18"/>
                                <w:szCs w:val="18"/>
                              </w:rPr>
                            </w:pPr>
                            <w:r>
                              <w:rPr>
                                <w:rFonts w:hint="eastAsia" w:ascii="楷体_GB2312" w:cs="楷体_GB2312"/>
                                <w:b/>
                                <w:sz w:val="18"/>
                                <w:szCs w:val="18"/>
                              </w:rPr>
                              <w:t>预付款的约定</w:t>
                            </w:r>
                          </w:p>
                          <w:p>
                            <w:pPr>
                              <w:pStyle w:val="32"/>
                              <w:spacing w:line="200" w:lineRule="exact"/>
                              <w:rPr>
                                <w:rFonts w:ascii="楷体_GB2312"/>
                                <w:b/>
                                <w:sz w:val="18"/>
                                <w:szCs w:val="18"/>
                              </w:rPr>
                            </w:pPr>
                            <w:r>
                              <w:rPr>
                                <w:rFonts w:hint="eastAsia" w:ascii="楷体_GB2312" w:cs="楷体_GB2312"/>
                                <w:b/>
                                <w:sz w:val="18"/>
                                <w:szCs w:val="18"/>
                              </w:rPr>
                              <w:t>及管理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85pt;height:44.15pt;width:108pt;z-index:252008448;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Gj/f1wAAAAoB&#10;AAAPAAAAAAAAAAEAIAAAACIAAABkcnMvZG93bnJldi54bWxQSwECFAAUAAAACACHTuJA22M5WRwC&#10;AAAlBAAADgAAAAAAAAABACAAAAAmAQAAZHJzL2Uyb0RvYy54bWxQSwUGAAAAAAYABgBZAQAAtAUA&#10;AAAA&#10;">
                <v:fill on="f" focussize="0,0"/>
                <v:stroke on="f"/>
                <v:imagedata o:title=""/>
                <o:lock v:ext="edit" aspectratio="f"/>
                <v:textbox>
                  <w:txbxContent>
                    <w:p>
                      <w:pPr>
                        <w:pStyle w:val="32"/>
                        <w:spacing w:line="200" w:lineRule="exact"/>
                        <w:ind w:firstLine="392"/>
                        <w:rPr>
                          <w:rFonts w:ascii="楷体_GB2312"/>
                          <w:b/>
                          <w:sz w:val="18"/>
                          <w:szCs w:val="18"/>
                        </w:rPr>
                      </w:pPr>
                      <w:r>
                        <w:rPr>
                          <w:rFonts w:hint="eastAsia" w:ascii="楷体_GB2312" w:cs="楷体_GB2312"/>
                          <w:b/>
                          <w:sz w:val="18"/>
                          <w:szCs w:val="18"/>
                        </w:rPr>
                        <w:t>预付款的约定</w:t>
                      </w:r>
                    </w:p>
                    <w:p>
                      <w:pPr>
                        <w:pStyle w:val="32"/>
                        <w:spacing w:line="200" w:lineRule="exact"/>
                        <w:rPr>
                          <w:rFonts w:ascii="楷体_GB2312"/>
                          <w:b/>
                          <w:sz w:val="18"/>
                          <w:szCs w:val="18"/>
                        </w:rPr>
                      </w:pPr>
                      <w:r>
                        <w:rPr>
                          <w:rFonts w:hint="eastAsia" w:ascii="楷体_GB2312" w:cs="楷体_GB2312"/>
                          <w:b/>
                          <w:sz w:val="18"/>
                          <w:szCs w:val="18"/>
                        </w:rPr>
                        <w:t>及管理</w:t>
                      </w:r>
                    </w:p>
                  </w:txbxContent>
                </v:textbox>
              </v:shape>
            </w:pict>
          </mc:Fallback>
        </mc:AlternateContent>
      </w:r>
      <w:r>
        <w:rPr>
          <w:rFonts w:hint="eastAsia" w:ascii="宋体" w:hAnsi="宋体" w:cs="宋体"/>
          <w:b/>
          <w:bCs/>
          <w:color w:val="auto"/>
          <w:sz w:val="24"/>
          <w:szCs w:val="24"/>
          <w:highlight w:val="none"/>
        </w:rPr>
        <w:t xml:space="preserve">79.1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除专用条款另有约定外，合同双方当事人应约定预付款，并在专用条款中明确预付款金额、支付办法和抵扣方式。</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10%，不高于合同价款（扣除暂列金额）的30%。</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79.2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89" name="文本框 89"/>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pPr>
                              <w:pStyle w:val="32"/>
                              <w:spacing w:line="200" w:lineRule="exact"/>
                              <w:ind w:firstLine="392"/>
                              <w:rPr>
                                <w:rFonts w:ascii="楷体_GB2312" w:cs="楷体_GB2312"/>
                                <w:b/>
                                <w:sz w:val="18"/>
                                <w:szCs w:val="18"/>
                              </w:rPr>
                            </w:pPr>
                            <w:r>
                              <w:rPr>
                                <w:rFonts w:hint="eastAsia" w:ascii="楷体_GB2312" w:cs="楷体_GB2312"/>
                                <w:b/>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5pt;height:46.55pt;width:72pt;z-index:252009472;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J4nzk1QAAAAgBAAAP&#10;AAAAAAAAAAEAIAAAACIAAABkcnMvZG93bnJldi54bWxQSwECFAAUAAAACACHTuJAbbHWzxsCAAAk&#10;BAAADgAAAAAAAAABACAAAAAkAQAAZHJzL2Uyb0RvYy54bWxQSwUGAAAAAAYABgBZAQAAsQUAAAAA&#10;">
                <v:fill on="f" focussize="0,0"/>
                <v:stroke on="f"/>
                <v:imagedata o:title=""/>
                <o:lock v:ext="edit" aspectratio="f"/>
                <v:textbox>
                  <w:txbxContent>
                    <w:p>
                      <w:pPr>
                        <w:pStyle w:val="32"/>
                        <w:spacing w:line="200" w:lineRule="exact"/>
                        <w:ind w:firstLine="392"/>
                        <w:rPr>
                          <w:rFonts w:ascii="楷体_GB2312" w:cs="楷体_GB2312"/>
                          <w:b/>
                          <w:sz w:val="18"/>
                          <w:szCs w:val="18"/>
                        </w:rPr>
                      </w:pPr>
                      <w:r>
                        <w:rPr>
                          <w:rFonts w:hint="eastAsia" w:ascii="楷体_GB2312" w:cs="楷体_GB2312"/>
                          <w:b/>
                          <w:sz w:val="18"/>
                          <w:szCs w:val="18"/>
                        </w:rPr>
                        <w:t>预付款支付申请的提交、核实与支付</w:t>
                      </w:r>
                    </w:p>
                  </w:txbxContent>
                </v:textbox>
              </v:shape>
            </w:pict>
          </mc:Fallback>
        </mc:AlternateContent>
      </w:r>
      <w:r>
        <w:rPr>
          <w:rFonts w:hint="eastAsia" w:ascii="宋体" w:hAnsi="宋体" w:cs="宋体"/>
          <w:color w:val="auto"/>
          <w:sz w:val="24"/>
          <w:szCs w:val="24"/>
          <w:highlight w:val="none"/>
        </w:rPr>
        <w:t>承包人在完成下列工作后，应按照专用条款约定的期限内向造价工程师提交预付款支付申请，并抄送发包人。</w:t>
      </w:r>
    </w:p>
    <w:p>
      <w:pPr>
        <w:adjustRightInd w:val="0"/>
        <w:snapToGrid w:val="0"/>
        <w:spacing w:line="360" w:lineRule="auto"/>
        <w:ind w:firstLine="1620" w:firstLineChars="675"/>
        <w:rPr>
          <w:rFonts w:ascii="宋体" w:hAnsi="宋体" w:cs="宋体"/>
          <w:color w:val="auto"/>
          <w:sz w:val="24"/>
          <w:szCs w:val="24"/>
          <w:highlight w:val="none"/>
        </w:rPr>
      </w:pPr>
      <w:r>
        <w:rPr>
          <w:rFonts w:hint="eastAsia" w:ascii="宋体" w:hAnsi="宋体" w:cs="宋体"/>
          <w:color w:val="auto"/>
          <w:sz w:val="24"/>
          <w:szCs w:val="24"/>
          <w:highlight w:val="none"/>
        </w:rPr>
        <w:t>（1）签订本合同；</w:t>
      </w:r>
    </w:p>
    <w:p>
      <w:pPr>
        <w:adjustRightInd w:val="0"/>
        <w:snapToGrid w:val="0"/>
        <w:spacing w:line="360" w:lineRule="auto"/>
        <w:ind w:firstLine="1620" w:firstLineChars="675"/>
        <w:rPr>
          <w:rFonts w:ascii="宋体" w:hAnsi="宋体" w:cs="宋体"/>
          <w:color w:val="auto"/>
          <w:sz w:val="24"/>
          <w:szCs w:val="24"/>
          <w:highlight w:val="none"/>
        </w:rPr>
      </w:pPr>
      <w:r>
        <w:rPr>
          <w:rFonts w:hint="eastAsia" w:ascii="宋体" w:hAnsi="宋体" w:cs="宋体"/>
          <w:color w:val="auto"/>
          <w:sz w:val="24"/>
          <w:szCs w:val="24"/>
          <w:highlight w:val="none"/>
        </w:rPr>
        <w:t>（2）按照第</w:t>
      </w:r>
      <w:bookmarkStart w:id="1210" w:name="OLE_LINK7"/>
      <w:r>
        <w:rPr>
          <w:rFonts w:hint="eastAsia" w:ascii="宋体" w:hAnsi="宋体" w:cs="宋体"/>
          <w:color w:val="auto"/>
          <w:sz w:val="24"/>
          <w:szCs w:val="24"/>
          <w:highlight w:val="none"/>
        </w:rPr>
        <w:t>28.1</w:t>
      </w:r>
      <w:bookmarkEnd w:id="1210"/>
      <w:r>
        <w:rPr>
          <w:rFonts w:hint="eastAsia" w:ascii="宋体" w:hAnsi="宋体" w:cs="宋体"/>
          <w:color w:val="auto"/>
          <w:sz w:val="24"/>
          <w:szCs w:val="24"/>
          <w:highlight w:val="none"/>
        </w:rPr>
        <w:t>款规定提供履约担保；</w:t>
      </w:r>
    </w:p>
    <w:p>
      <w:pPr>
        <w:adjustRightInd w:val="0"/>
        <w:snapToGrid w:val="0"/>
        <w:spacing w:line="360" w:lineRule="auto"/>
        <w:ind w:firstLine="1620" w:firstLineChars="675"/>
        <w:rPr>
          <w:rFonts w:ascii="宋体" w:hAnsi="宋体" w:cs="宋体"/>
          <w:color w:val="auto"/>
          <w:sz w:val="24"/>
          <w:szCs w:val="24"/>
          <w:highlight w:val="none"/>
        </w:rPr>
      </w:pPr>
      <w:r>
        <w:rPr>
          <w:rFonts w:hint="eastAsia" w:ascii="宋体" w:hAnsi="宋体" w:cs="宋体"/>
          <w:color w:val="auto"/>
          <w:sz w:val="24"/>
          <w:szCs w:val="24"/>
          <w:highlight w:val="none"/>
        </w:rPr>
        <w:t>（3）向发包人提供与预付款等额的预付款保函的正本。</w:t>
      </w:r>
    </w:p>
    <w:p>
      <w:pPr>
        <w:adjustRightInd w:val="0"/>
        <w:snapToGrid w:val="0"/>
        <w:spacing w:line="360" w:lineRule="auto"/>
        <w:ind w:left="1619" w:leftChars="771" w:firstLine="2"/>
        <w:rPr>
          <w:rFonts w:ascii="宋体" w:hAnsi="宋体" w:cs="宋体"/>
          <w:color w:val="auto"/>
          <w:sz w:val="24"/>
          <w:szCs w:val="24"/>
          <w:highlight w:val="none"/>
        </w:rPr>
      </w:pPr>
      <w:r>
        <w:rPr>
          <w:rFonts w:hint="eastAsia" w:ascii="宋体" w:hAnsi="宋体" w:cs="宋体"/>
          <w:color w:val="auto"/>
          <w:sz w:val="24"/>
          <w:szCs w:val="24"/>
          <w:highlight w:val="none"/>
        </w:rPr>
        <w:t>造价工程师应对支付申请进行核实，并在收到支付申请后的7天内报发包人确认后向发包人发出支付证书，同时抄送承包人。</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发包人在造价工程师签发支付证书后的30天内向承包人支付预付款，并通知造价工程师。</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79.3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88" name="文本框 88"/>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a:effectLst/>
                      </wps:spPr>
                      <wps:txbx>
                        <w:txbxContent>
                          <w:p>
                            <w:pPr>
                              <w:pStyle w:val="32"/>
                              <w:spacing w:line="200" w:lineRule="exact"/>
                              <w:ind w:firstLine="392"/>
                              <w:rPr>
                                <w:rFonts w:ascii="楷体_GB2312"/>
                                <w:b/>
                                <w:bCs/>
                                <w:sz w:val="18"/>
                                <w:szCs w:val="18"/>
                              </w:rPr>
                            </w:pPr>
                            <w:r>
                              <w:rPr>
                                <w:rFonts w:hint="eastAsia" w:ascii="楷体_GB2312" w:cs="楷体_GB2312"/>
                                <w:b/>
                                <w:bCs/>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31.55pt;width:72pt;z-index:252010496;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N/jDNUAAAAIAQAADwAA&#10;AAAAAAABACAAAAAiAAAAZHJzL2Rvd25yZXYueG1sUEsBAhQAFAAAAAgAh07iQIgbyBMZAgAAJAQA&#10;AA4AAAAAAAAAAQAgAAAAJAEAAGRycy9lMm9Eb2MueG1sUEsFBgAAAAAGAAYAWQEAAK8FAAAAAA==&#10;">
                <v:fill on="f" focussize="0,0"/>
                <v:stroke on="f"/>
                <v:imagedata o:title=""/>
                <o:lock v:ext="edit" aspectratio="f"/>
                <v:textbox>
                  <w:txbxContent>
                    <w:p>
                      <w:pPr>
                        <w:pStyle w:val="32"/>
                        <w:spacing w:line="200" w:lineRule="exact"/>
                        <w:ind w:firstLine="392"/>
                        <w:rPr>
                          <w:rFonts w:ascii="楷体_GB2312"/>
                          <w:b/>
                          <w:bCs/>
                          <w:sz w:val="18"/>
                          <w:szCs w:val="18"/>
                        </w:rPr>
                      </w:pPr>
                      <w:r>
                        <w:rPr>
                          <w:rFonts w:hint="eastAsia" w:ascii="楷体_GB2312" w:cs="楷体_GB2312"/>
                          <w:b/>
                          <w:bCs/>
                          <w:sz w:val="18"/>
                          <w:szCs w:val="18"/>
                        </w:rPr>
                        <w:t>预付款支付的限制</w:t>
                      </w:r>
                    </w:p>
                  </w:txbxContent>
                </v:textbox>
              </v:shape>
            </w:pict>
          </mc:Fallback>
        </mc:AlternateContent>
      </w:r>
      <w:r>
        <w:rPr>
          <w:rFonts w:hint="eastAsia" w:ascii="宋体" w:hAnsi="宋体" w:cs="宋体"/>
          <w:color w:val="auto"/>
          <w:sz w:val="24"/>
          <w:szCs w:val="24"/>
          <w:highlight w:val="none"/>
        </w:rPr>
        <w:t>发包人没有按时支付预付款的，承包人应在付款期满后的10天向发包人发出要求支付的通知；发包人收到通知后仍不按要求支付，承包人可在发出通知14天后暂停施工。发包人可与承包人协商签订延期支付协议，经承包人同意后可延期支付，承包人有权按照第78.2款规定获得延期支付的利息。发包方承担由此增加的费用和（或）延误的工期，并向承包人支付合理利润。</w:t>
      </w:r>
    </w:p>
    <w:p>
      <w:pPr>
        <w:tabs>
          <w:tab w:val="left" w:pos="1320"/>
        </w:tabs>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79.4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46355</wp:posOffset>
                </wp:positionV>
                <wp:extent cx="954405" cy="451485"/>
                <wp:effectExtent l="0" t="0" r="0" b="0"/>
                <wp:wrapNone/>
                <wp:docPr id="87"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a:effectLst/>
                      </wps:spPr>
                      <wps:txbx>
                        <w:txbxContent>
                          <w:p>
                            <w:pPr>
                              <w:pStyle w:val="32"/>
                              <w:spacing w:line="200" w:lineRule="exact"/>
                              <w:rPr>
                                <w:rFonts w:ascii="楷体_GB2312"/>
                                <w:b/>
                                <w:bCs/>
                                <w:sz w:val="18"/>
                                <w:szCs w:val="18"/>
                              </w:rPr>
                            </w:pPr>
                            <w:r>
                              <w:rPr>
                                <w:rFonts w:hint="eastAsia" w:ascii="楷体_GB2312" w:cs="楷体_GB2312"/>
                                <w:b/>
                                <w:bCs/>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35.55pt;width:75.15pt;z-index:252011520;mso-width-relative:page;mso-height-relative:page;" filled="f" stroked="f" coordsize="21600,21600" o:gfxdata="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VxD61gAAAAgB&#10;AAAPAAAAAAAAAAEAIAAAACIAAABkcnMvZG93bnJldi54bWxQSwECFAAUAAAACACHTuJAN8L8uh0C&#10;AAAlBAAADgAAAAAAAAABACAAAAAlAQAAZHJzL2Uyb0RvYy54bWxQSwUGAAAAAAYABgBZAQAAtAUA&#10;AAAA&#10;">
                <v:fill on="f" focussize="0,0"/>
                <v:stroke on="f"/>
                <v:imagedata o:title=""/>
                <o:lock v:ext="edit" aspectratio="f"/>
                <v:textbox>
                  <w:txbxContent>
                    <w:p>
                      <w:pPr>
                        <w:pStyle w:val="32"/>
                        <w:spacing w:line="200" w:lineRule="exact"/>
                        <w:rPr>
                          <w:rFonts w:ascii="楷体_GB2312"/>
                          <w:b/>
                          <w:bCs/>
                          <w:sz w:val="18"/>
                          <w:szCs w:val="18"/>
                        </w:rPr>
                      </w:pPr>
                      <w:r>
                        <w:rPr>
                          <w:rFonts w:hint="eastAsia" w:ascii="楷体_GB2312" w:cs="楷体_GB2312"/>
                          <w:b/>
                          <w:bCs/>
                          <w:sz w:val="18"/>
                          <w:szCs w:val="18"/>
                        </w:rPr>
                        <w:t>预付款的扣回</w:t>
                      </w:r>
                    </w:p>
                  </w:txbxContent>
                </v:textbox>
              </v:shape>
            </w:pict>
          </mc:Fallback>
        </mc:AlternateContent>
      </w:r>
      <w:r>
        <w:rPr>
          <w:rFonts w:hint="eastAsia" w:ascii="宋体" w:hAnsi="宋体" w:cs="宋体"/>
          <w:color w:val="auto"/>
          <w:sz w:val="24"/>
          <w:szCs w:val="24"/>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79.5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86"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914400" cy="408305"/>
                        </a:xfrm>
                        <a:prstGeom prst="rect">
                          <a:avLst/>
                        </a:prstGeom>
                        <a:noFill/>
                        <a:ln>
                          <a:noFill/>
                        </a:ln>
                        <a:effectLst/>
                      </wps:spPr>
                      <wps:txbx>
                        <w:txbxContent>
                          <w:p>
                            <w:pPr>
                              <w:pStyle w:val="32"/>
                              <w:spacing w:line="200" w:lineRule="exact"/>
                              <w:ind w:firstLine="392"/>
                              <w:rPr>
                                <w:rFonts w:ascii="楷体_GB2312"/>
                                <w:b/>
                                <w:bCs/>
                                <w:sz w:val="18"/>
                                <w:szCs w:val="18"/>
                              </w:rPr>
                            </w:pPr>
                            <w:r>
                              <w:rPr>
                                <w:rFonts w:hint="eastAsia" w:ascii="楷体_GB2312" w:cs="楷体_GB2312"/>
                                <w:b/>
                                <w:bCs/>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15pt;width:72pt;z-index:252012544;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cUW11QAAAAgBAAAP&#10;AAAAAAAAAAEAIAAAACIAAABkcnMvZG93bnJldi54bWxQSwECFAAUAAAACACHTuJAEpQhKBsCAAAk&#10;BAAADgAAAAAAAAABACAAAAAkAQAAZHJzL2Uyb0RvYy54bWxQSwUGAAAAAAYABgBZAQAAsQUAAAAA&#10;">
                <v:fill on="f" focussize="0,0"/>
                <v:stroke on="f"/>
                <v:imagedata o:title=""/>
                <o:lock v:ext="edit" aspectratio="f"/>
                <v:textbox>
                  <w:txbxContent>
                    <w:p>
                      <w:pPr>
                        <w:pStyle w:val="32"/>
                        <w:spacing w:line="200" w:lineRule="exact"/>
                        <w:ind w:firstLine="392"/>
                        <w:rPr>
                          <w:rFonts w:ascii="楷体_GB2312"/>
                          <w:b/>
                          <w:bCs/>
                          <w:sz w:val="18"/>
                          <w:szCs w:val="18"/>
                        </w:rPr>
                      </w:pPr>
                      <w:r>
                        <w:rPr>
                          <w:rFonts w:hint="eastAsia" w:ascii="楷体_GB2312" w:cs="楷体_GB2312"/>
                          <w:b/>
                          <w:bCs/>
                          <w:sz w:val="18"/>
                          <w:szCs w:val="18"/>
                        </w:rPr>
                        <w:t>预付款保函的有效与退还</w:t>
                      </w:r>
                    </w:p>
                  </w:txbxContent>
                </v:textbox>
              </v:shape>
            </w:pict>
          </mc:Fallback>
        </mc:AlternateContent>
      </w:r>
      <w:r>
        <w:rPr>
          <w:rFonts w:hint="eastAsia" w:ascii="宋体" w:hAnsi="宋体" w:cs="宋体"/>
          <w:color w:val="auto"/>
          <w:sz w:val="24"/>
          <w:szCs w:val="24"/>
          <w:highlight w:val="none"/>
        </w:rPr>
        <w:t>承包人应保持预付款保函在预付款全部扣回之前一直有效。发包人应在预付款扣完后的14天内将预付款保函退还承包人，并不得向承包人收取预付款的任何利息。</w:t>
      </w:r>
    </w:p>
    <w:p>
      <w:pPr>
        <w:adjustRightInd w:val="0"/>
        <w:snapToGrid w:val="0"/>
        <w:spacing w:line="24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line="240" w:lineRule="exact"/>
        <w:ind w:firstLine="482"/>
        <w:rPr>
          <w:rFonts w:ascii="宋体" w:hAnsi="宋体" w:cs="宋体"/>
          <w:b/>
          <w:bCs/>
          <w:color w:val="auto"/>
          <w:sz w:val="24"/>
          <w:szCs w:val="24"/>
          <w:highlight w:val="non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211" w:name="_Toc24094"/>
      <w:bookmarkStart w:id="1212" w:name="_Toc1001768622"/>
      <w:bookmarkStart w:id="1213" w:name="_Toc28666"/>
      <w:bookmarkStart w:id="1214" w:name="_Toc469384064"/>
      <w:bookmarkStart w:id="1215" w:name="_Toc29483"/>
      <w:bookmarkStart w:id="1216" w:name="_Toc2255"/>
      <w:bookmarkStart w:id="1217" w:name="_Toc15791"/>
      <w:bookmarkStart w:id="1218" w:name="_Toc4793614"/>
      <w:bookmarkStart w:id="1219" w:name="_Toc16897"/>
      <w:r>
        <w:rPr>
          <w:rFonts w:hint="eastAsia" w:ascii="宋体" w:hAnsi="宋体" w:cs="宋体"/>
          <w:b/>
          <w:bCs/>
          <w:color w:val="auto"/>
          <w:sz w:val="24"/>
          <w:szCs w:val="24"/>
          <w:highlight w:val="none"/>
        </w:rPr>
        <w:t>80  绿色施工安全防护费</w:t>
      </w:r>
      <w:bookmarkEnd w:id="1211"/>
      <w:bookmarkEnd w:id="1212"/>
      <w:bookmarkEnd w:id="1213"/>
      <w:bookmarkEnd w:id="1214"/>
      <w:bookmarkEnd w:id="1215"/>
      <w:bookmarkEnd w:id="1216"/>
      <w:bookmarkEnd w:id="1217"/>
      <w:bookmarkEnd w:id="1218"/>
      <w:bookmarkEnd w:id="1219"/>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80.1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85" name="文本框 85"/>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a:effectLst/>
                      </wps:spPr>
                      <wps:txbx>
                        <w:txbxContent>
                          <w:p>
                            <w:pPr>
                              <w:pStyle w:val="32"/>
                              <w:spacing w:line="200" w:lineRule="exact"/>
                              <w:ind w:firstLine="392"/>
                              <w:rPr>
                                <w:rFonts w:ascii="楷体_GB2312"/>
                                <w:b/>
                                <w:bCs/>
                                <w:sz w:val="18"/>
                                <w:szCs w:val="18"/>
                              </w:rPr>
                            </w:pPr>
                            <w:r>
                              <w:rPr>
                                <w:rFonts w:hint="eastAsia" w:ascii="楷体_GB2312" w:cs="楷体_GB2312"/>
                                <w:b/>
                                <w:bCs/>
                                <w:sz w:val="18"/>
                                <w:szCs w:val="18"/>
                              </w:rPr>
                              <w:t>内容、范围和金额</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pt;height:34.65pt;width:81pt;z-index:252013568;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2yIt1AAAAAgBAAAP&#10;AAAAAAAAAAEAIAAAACIAAABkcnMvZG93bnJldi54bWxQSwECFAAUAAAACACHTuJAjqXOixwCAAAl&#10;BAAADgAAAAAAAAABACAAAAAjAQAAZHJzL2Uyb0RvYy54bWxQSwUGAAAAAAYABgBZAQAAsQUAAAAA&#10;">
                <v:fill on="f" focussize="0,0"/>
                <v:stroke on="f"/>
                <v:imagedata o:title=""/>
                <o:lock v:ext="edit" aspectratio="f"/>
                <v:textbox>
                  <w:txbxContent>
                    <w:p>
                      <w:pPr>
                        <w:pStyle w:val="32"/>
                        <w:spacing w:line="200" w:lineRule="exact"/>
                        <w:ind w:firstLine="392"/>
                        <w:rPr>
                          <w:rFonts w:ascii="楷体_GB2312"/>
                          <w:b/>
                          <w:bCs/>
                          <w:sz w:val="18"/>
                          <w:szCs w:val="18"/>
                        </w:rPr>
                      </w:pPr>
                      <w:r>
                        <w:rPr>
                          <w:rFonts w:hint="eastAsia" w:ascii="楷体_GB2312" w:cs="楷体_GB2312"/>
                          <w:b/>
                          <w:bCs/>
                          <w:sz w:val="18"/>
                          <w:szCs w:val="18"/>
                        </w:rPr>
                        <w:t>内容、范围和金额</w:t>
                      </w:r>
                    </w:p>
                  </w:txbxContent>
                </v:textbox>
              </v:shape>
            </w:pict>
          </mc:Fallback>
        </mc:AlternateContent>
      </w:r>
      <w:r>
        <w:rPr>
          <w:rFonts w:hint="eastAsia" w:ascii="宋体" w:hAnsi="宋体" w:cs="宋体"/>
          <w:color w:val="auto"/>
          <w:sz w:val="24"/>
          <w:szCs w:val="24"/>
          <w:highlight w:val="none"/>
        </w:rPr>
        <w:t>合同双方当事人应在专用条款中约定绿色施工安全防护费的内容、范围和金额，并按照第45条规定实施绿色施工安全防护。除专用条款另有约定外，绿色施工安全防护费的内容和范围，应以现行广东省统一工程计价依据、省市造价管理部门发布管理文件的规定为准。</w:t>
      </w:r>
    </w:p>
    <w:p>
      <w:pPr>
        <w:adjustRightInd w:val="0"/>
        <w:snapToGrid w:val="0"/>
        <w:spacing w:line="360" w:lineRule="auto"/>
        <w:rPr>
          <w:rFonts w:ascii="宋体" w:hAnsi="宋体" w:cs="宋体"/>
          <w:color w:val="auto"/>
          <w:sz w:val="24"/>
          <w:szCs w:val="24"/>
          <w:highlight w:val="none"/>
          <w:u w:val="dotted"/>
        </w:rPr>
      </w:pPr>
      <w:r>
        <w:rPr>
          <w:rFonts w:hint="eastAsia" w:ascii="宋体" w:hAnsi="宋体" w:cs="宋体"/>
          <w:b/>
          <w:bCs/>
          <w:color w:val="auto"/>
          <w:sz w:val="24"/>
          <w:szCs w:val="24"/>
          <w:highlight w:val="none"/>
        </w:rPr>
        <w:t xml:space="preserve">80.2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84" name="文本框 84"/>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a:effectLst/>
                      </wps:spPr>
                      <wps:txbx>
                        <w:txbxContent>
                          <w:p>
                            <w:pPr>
                              <w:pStyle w:val="32"/>
                              <w:spacing w:line="200" w:lineRule="exact"/>
                              <w:ind w:firstLine="392"/>
                              <w:rPr>
                                <w:rFonts w:ascii="楷体_GB2312"/>
                                <w:b/>
                                <w:bCs/>
                                <w:sz w:val="18"/>
                                <w:szCs w:val="18"/>
                              </w:rPr>
                            </w:pPr>
                            <w:r>
                              <w:rPr>
                                <w:rFonts w:hint="eastAsia" w:ascii="楷体_GB2312" w:cs="楷体_GB2312"/>
                                <w:b/>
                                <w:bCs/>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62.15pt;width:72pt;z-index:252014592;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kXix9YAAAAJAQAA&#10;DwAAAAAAAAABACAAAAAiAAAAZHJzL2Rvd25yZXYueG1sUEsBAhQAFAAAAAgAh07iQH5aS4YbAgAA&#10;JAQAAA4AAAAAAAAAAQAgAAAAJQEAAGRycy9lMm9Eb2MueG1sUEsFBgAAAAAGAAYAWQEAALIFAAAA&#10;AA==&#10;">
                <v:fill on="f" focussize="0,0"/>
                <v:stroke on="f"/>
                <v:imagedata o:title=""/>
                <o:lock v:ext="edit" aspectratio="f"/>
                <v:textbox>
                  <w:txbxContent>
                    <w:p>
                      <w:pPr>
                        <w:pStyle w:val="32"/>
                        <w:spacing w:line="200" w:lineRule="exact"/>
                        <w:ind w:firstLine="392"/>
                        <w:rPr>
                          <w:rFonts w:ascii="楷体_GB2312"/>
                          <w:b/>
                          <w:bCs/>
                          <w:sz w:val="18"/>
                          <w:szCs w:val="18"/>
                        </w:rPr>
                      </w:pPr>
                      <w:r>
                        <w:rPr>
                          <w:rFonts w:hint="eastAsia" w:ascii="楷体_GB2312" w:cs="楷体_GB2312"/>
                          <w:b/>
                          <w:bCs/>
                          <w:sz w:val="18"/>
                          <w:szCs w:val="18"/>
                        </w:rPr>
                        <w:t>支付申请的提交与核实</w:t>
                      </w:r>
                    </w:p>
                  </w:txbxContent>
                </v:textbox>
              </v:shape>
            </w:pict>
          </mc:Fallback>
        </mc:AlternateContent>
      </w:r>
      <w:r>
        <w:rPr>
          <w:rFonts w:hint="eastAsia" w:ascii="宋体" w:hAnsi="宋体" w:cs="宋体"/>
          <w:color w:val="auto"/>
          <w:sz w:val="24"/>
          <w:szCs w:val="24"/>
          <w:highlight w:val="none"/>
        </w:rPr>
        <w:t>专用条款没有约定的，承包人应在接到监理工程师按照第34.2款规定发出开工令后的7天内向造价工程师提交绿色施工安全防护费支付申请，并抄送发包人。造价工程师应对支付申请进行核实，并在收到支付申请后的7天内报发包人确认后向发包人发出支付证书，同时抄送承包人。</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80.3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合同双方当事人应按照建设行政主管部门的规定，在专用条款中约定绿色施工安全防护费的支付办法和抵扣方式。除专用条款另有约定外，</w:t>
      </w:r>
      <w:r>
        <w:rPr>
          <w:rFonts w:hint="eastAsia" w:ascii="宋体" w:hAnsi="宋体" w:cs="宋体"/>
          <w:color w:val="auto"/>
          <w:szCs w:val="20"/>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83" name="文本框 83"/>
                <wp:cNvGraphicFramePr/>
                <a:graphic xmlns:a="http://schemas.openxmlformats.org/drawingml/2006/main">
                  <a:graphicData uri="http://schemas.microsoft.com/office/word/2010/wordprocessingShape">
                    <wps:wsp>
                      <wps:cNvSpPr txBox="1">
                        <a:spLocks noChangeArrowheads="1"/>
                      </wps:cNvSpPr>
                      <wps:spPr bwMode="auto">
                        <a:xfrm>
                          <a:off x="0" y="0"/>
                          <a:ext cx="1028700" cy="35242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65pt;height:27.75pt;width:81pt;z-index:252015616;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voLXfVAAAACQEA&#10;AA8AAAAAAAAAAQAgAAAAIgAAAGRycy9kb3ducmV2LnhtbFBLAQIUABQAAAAIAIdO4kAr2+5uHQIA&#10;ACUEAAAOAAAAAAAAAAEAIAAAACQBAABkcnMvZTJvRG9jLnhtbFBLBQYAAAAABgAGAFkBAACzBQAA&#10;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宋体" w:hAnsi="宋体" w:cs="宋体"/>
          <w:color w:val="auto"/>
          <w:sz w:val="24"/>
          <w:szCs w:val="24"/>
          <w:highlight w:val="none"/>
        </w:rPr>
        <w:t>发包人应在造价工程师签发支付证书后的7天内向承包人支付绿色施工安全防护费，并保证在工程开工后的28天内支付绿色施工安全防护费金额的50%，同时通知造价工程师。其余部分与进度款同期支付。</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80.4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31.55pt;width:72pt;z-index:252016640;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N/jDNUAAAAIAQAADwAA&#10;AAAAAAABACAAAAAiAAAAZHJzL2Rvd25yZXYueG1sUEsBAhQAFAAAAAgAh07iQPRMB6wZAgAAJAQA&#10;AA4AAAAAAAAAAQAgAAAAJAEAAGRycy9lMm9Eb2MueG1sUEsFBgAAAAAGAAYAWQEAAK8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宋体" w:hAnsi="宋体" w:cs="宋体"/>
          <w:color w:val="auto"/>
          <w:sz w:val="24"/>
          <w:szCs w:val="24"/>
          <w:highlight w:val="none"/>
        </w:rPr>
        <w:t>发包人没有按时支付绿色施工安全防护费的，承包人应在付款期满后的10天向发包人发出要求支付的通知；发包人收到通知后仍不按要求支付，承包人可在发出通知14天后暂停施工。发包人应承担由此增加的费用和（或）延误的工期，并向承包人支付合理利润。</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80.5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81"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a:effectLst/>
                      </wps:spPr>
                      <wps:txbx>
                        <w:txbxContent>
                          <w:p>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5pt;height:37.1pt;width:72pt;z-index:252017664;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9w1MfVAAAABwEAAA8A&#10;AAAAAAAAAQAgAAAAIgAAAGRycy9kb3ducmV2LnhtbFBLAQIUABQAAAAIAIdO4kAlJnNIGgIAACQE&#10;AAAOAAAAAAAAAAEAIAAAACQBAABkcnMvZTJvRG9jLnhtbFBLBQYAAAAABgAGAFkBAACwBQAAAAA=&#10;">
                <v:fill on="f" focussize="0,0"/>
                <v:stroke on="f"/>
                <v:imagedata o:title=""/>
                <o:lock v:ext="edit" aspectratio="f"/>
                <v:textbox>
                  <w:txbxContent>
                    <w:p>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宋体" w:hAnsi="宋体" w:cs="宋体"/>
          <w:color w:val="auto"/>
          <w:sz w:val="24"/>
          <w:szCs w:val="24"/>
          <w:highlight w:val="none"/>
        </w:rPr>
        <w:t>绿色施工安全防护费专款专用，承包人应在财务账目中单独列项备查，不得挪作他用，否则造价工程师有权责令其限期改正；逾期未改正的，可以责令其暂停施工，由此造成的损失和延误的工期由承包人承担。</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8688"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80"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a:effectLst/>
                      </wps:spPr>
                      <wps:txbx>
                        <w:txbxContent>
                          <w:p>
                            <w:pPr>
                              <w:pStyle w:val="18"/>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23.5pt;height:48pt;width:72pt;z-index:252018688;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hjIe0gAAAAcBAAAPAAAAAAAA&#10;AAEAIAAAACIAAABkcnMvZG93bnJldi54bWxQSwECFAAUAAAACACHTuJAn//XVxgCAAAkBAAADgAA&#10;AAAAAAABACAAAAAhAQAAZHJzL2Uyb0RvYy54bWxQSwUGAAAAAAYABgBZAQAAqwUAAAAA&#10;">
                <v:fill on="f" focussize="0,0"/>
                <v:stroke on="f"/>
                <v:imagedata o:title=""/>
                <o:lock v:ext="edit" aspectratio="f"/>
                <v:textbox>
                  <w:txbxContent>
                    <w:p>
                      <w:pPr>
                        <w:pStyle w:val="18"/>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hint="eastAsia" w:ascii="宋体" w:hAnsi="宋体" w:cs="宋体"/>
          <w:b/>
          <w:bCs/>
          <w:color w:val="auto"/>
          <w:sz w:val="24"/>
          <w:szCs w:val="24"/>
          <w:highlight w:val="none"/>
        </w:rPr>
        <w:t xml:space="preserve">80.6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除专用条款另有约定外，</w:t>
      </w:r>
      <w:r>
        <w:rPr>
          <w:rFonts w:hint="eastAsia" w:ascii="宋体" w:hAnsi="宋体" w:cs="宋体"/>
          <w:caps/>
          <w:color w:val="auto"/>
          <w:sz w:val="24"/>
          <w:szCs w:val="24"/>
          <w:highlight w:val="none"/>
        </w:rPr>
        <w:t>获得省、市级或其它级别文明工地的文明工地增加费</w:t>
      </w:r>
      <w:r>
        <w:rPr>
          <w:rFonts w:hint="eastAsia" w:ascii="宋体" w:hAnsi="宋体" w:cs="宋体"/>
          <w:color w:val="auto"/>
          <w:sz w:val="24"/>
          <w:szCs w:val="24"/>
          <w:highlight w:val="none"/>
        </w:rPr>
        <w:t>，招标工程的根据中标通知书日期，非招标工程的根据合同签订日期的同时期执行的广东省建设工程计价依据</w:t>
      </w:r>
      <w:r>
        <w:rPr>
          <w:rFonts w:hint="eastAsia" w:ascii="宋体" w:hAnsi="宋体" w:cs="宋体"/>
          <w:caps/>
          <w:color w:val="auto"/>
          <w:sz w:val="24"/>
          <w:szCs w:val="24"/>
          <w:highlight w:val="none"/>
        </w:rPr>
        <w:t>文明工地增加费</w:t>
      </w:r>
      <w:r>
        <w:rPr>
          <w:rFonts w:hint="eastAsia" w:ascii="宋体" w:hAnsi="宋体" w:cs="宋体"/>
          <w:color w:val="auto"/>
          <w:sz w:val="24"/>
          <w:szCs w:val="24"/>
          <w:highlight w:val="none"/>
        </w:rPr>
        <w:t>、广州市住房和城乡建设局发布的</w:t>
      </w:r>
      <w:r>
        <w:rPr>
          <w:rFonts w:hint="eastAsia" w:ascii="宋体" w:hAnsi="宋体" w:cs="宋体"/>
          <w:caps/>
          <w:color w:val="auto"/>
          <w:sz w:val="24"/>
          <w:szCs w:val="24"/>
          <w:highlight w:val="none"/>
        </w:rPr>
        <w:t>文明工地增加费</w:t>
      </w:r>
      <w:r>
        <w:rPr>
          <w:rFonts w:hint="eastAsia" w:ascii="宋体" w:hAnsi="宋体" w:cs="宋体"/>
          <w:color w:val="auto"/>
          <w:sz w:val="24"/>
          <w:szCs w:val="24"/>
          <w:highlight w:val="none"/>
        </w:rPr>
        <w:t>、广州市建设工程造价管理站发布的</w:t>
      </w:r>
      <w:r>
        <w:rPr>
          <w:rFonts w:hint="eastAsia" w:ascii="宋体" w:hAnsi="宋体" w:cs="宋体"/>
          <w:caps/>
          <w:color w:val="auto"/>
          <w:sz w:val="24"/>
          <w:szCs w:val="24"/>
          <w:highlight w:val="none"/>
        </w:rPr>
        <w:t>文明工地增加费</w:t>
      </w:r>
      <w:r>
        <w:rPr>
          <w:rFonts w:hint="eastAsia" w:ascii="宋体" w:hAnsi="宋体" w:cs="宋体"/>
          <w:color w:val="auto"/>
          <w:sz w:val="24"/>
          <w:szCs w:val="24"/>
          <w:highlight w:val="none"/>
        </w:rPr>
        <w:t>计算。当合同工程同时获得上述多个奖项的，</w:t>
      </w:r>
      <w:r>
        <w:rPr>
          <w:rFonts w:hint="eastAsia" w:ascii="宋体" w:hAnsi="宋体" w:cs="宋体"/>
          <w:caps/>
          <w:color w:val="auto"/>
          <w:sz w:val="24"/>
          <w:szCs w:val="24"/>
          <w:highlight w:val="none"/>
        </w:rPr>
        <w:t>文明工地增加费</w:t>
      </w:r>
      <w:r>
        <w:rPr>
          <w:rFonts w:hint="eastAsia" w:ascii="宋体" w:hAnsi="宋体" w:cs="宋体"/>
          <w:color w:val="auto"/>
          <w:sz w:val="24"/>
          <w:szCs w:val="24"/>
          <w:highlight w:val="none"/>
        </w:rPr>
        <w:t>只按最高奖项的额度计算。</w:t>
      </w:r>
      <w:r>
        <w:rPr>
          <w:rFonts w:hint="eastAsia" w:ascii="宋体" w:hAnsi="宋体" w:cs="宋体"/>
          <w:caps/>
          <w:color w:val="auto"/>
          <w:sz w:val="24"/>
          <w:szCs w:val="24"/>
          <w:highlight w:val="none"/>
        </w:rPr>
        <w:t>文明工地增加费</w:t>
      </w:r>
      <w:r>
        <w:rPr>
          <w:rFonts w:hint="eastAsia" w:ascii="宋体" w:hAnsi="宋体" w:cs="宋体"/>
          <w:color w:val="auto"/>
          <w:sz w:val="24"/>
          <w:szCs w:val="24"/>
          <w:highlight w:val="none"/>
        </w:rPr>
        <w:t>列入竣工结算文件中，与竣工结算款一并支付。在竣工结算后获得奖项的，发包人应在获得奖项后的28天内支付。</w:t>
      </w:r>
    </w:p>
    <w:p>
      <w:pPr>
        <w:tabs>
          <w:tab w:val="left" w:pos="1620"/>
        </w:tabs>
        <w:adjustRightInd w:val="0"/>
        <w:snapToGrid w:val="0"/>
        <w:spacing w:line="360" w:lineRule="auto"/>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220" w:name="_Toc11405"/>
      <w:bookmarkStart w:id="1221" w:name="_Toc469384065"/>
      <w:bookmarkStart w:id="1222" w:name="_Toc22508"/>
      <w:bookmarkStart w:id="1223" w:name="_Toc453437474"/>
      <w:bookmarkStart w:id="1224" w:name="_Toc29725"/>
      <w:bookmarkStart w:id="1225" w:name="_Toc10018"/>
      <w:bookmarkStart w:id="1226" w:name="_Toc26813"/>
      <w:bookmarkStart w:id="1227" w:name="_Toc1109375559"/>
      <w:bookmarkStart w:id="1228" w:name="_Toc10928"/>
      <w:r>
        <w:rPr>
          <w:rFonts w:hint="eastAsia" w:ascii="宋体" w:hAnsi="宋体" w:cs="宋体"/>
          <w:b/>
          <w:bCs/>
          <w:color w:val="auto"/>
          <w:sz w:val="24"/>
          <w:szCs w:val="24"/>
          <w:highlight w:val="none"/>
        </w:rPr>
        <w:t>81  进度款</w:t>
      </w:r>
      <w:bookmarkEnd w:id="1220"/>
      <w:bookmarkEnd w:id="1221"/>
      <w:bookmarkEnd w:id="1222"/>
      <w:bookmarkEnd w:id="1223"/>
      <w:bookmarkEnd w:id="1224"/>
      <w:bookmarkEnd w:id="1225"/>
      <w:bookmarkEnd w:id="1226"/>
      <w:bookmarkEnd w:id="1227"/>
      <w:bookmarkEnd w:id="1228"/>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81.1</w:t>
      </w:r>
    </w:p>
    <w:p>
      <w:p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79" name="文本框 79"/>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54.05pt;width:72pt;z-index:252019712;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lby79UAAAAJAQAA&#10;DwAAAAAAAAABACAAAAAiAAAAZHJzL2Rvd25yZXYueG1sUEsBAhQAFAAAAAgAh07iQO2yL0gcAgAA&#10;JAQAAA4AAAAAAAAAAQAgAAAAJAEAAGRycy9lMm9Eb2MueG1sUEsFBgAAAAAGAAYAWQEAALIFAAAA&#10;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ascii="宋体" w:hAnsi="宋体" w:cs="宋体"/>
          <w:color w:val="auto"/>
          <w:sz w:val="24"/>
          <w:szCs w:val="24"/>
          <w:highlight w:val="none"/>
        </w:rPr>
        <w:t>合同双方当事人应在专用条款中明确进度款支付期的时限及比例。专用条款没有约定期限的，支付期以月为单位。涉及政府投资资金的工程，支付期、支付方法等需调整的，应在专用条款中约定。</w:t>
      </w:r>
    </w:p>
    <w:p>
      <w:p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承包人应在每个支付期结束后的7天内向造价工程师提交由承包人代表签署的支付申请和已完工程款额报告一式四份，详细说明此支付期间自己认为有权得到的款项，包括分包人已完工程款，同时抄送发包人。该支付申请的内容包括：</w:t>
      </w:r>
    </w:p>
    <w:p>
      <w:pPr>
        <w:numPr>
          <w:ilvl w:val="0"/>
          <w:numId w:val="26"/>
        </w:num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已完工程款；</w:t>
      </w:r>
    </w:p>
    <w:p>
      <w:pPr>
        <w:numPr>
          <w:ilvl w:val="0"/>
          <w:numId w:val="26"/>
        </w:num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已实际支付的工程款；</w:t>
      </w:r>
    </w:p>
    <w:p>
      <w:pPr>
        <w:numPr>
          <w:ilvl w:val="0"/>
          <w:numId w:val="26"/>
        </w:num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本期间完成的工程款；</w:t>
      </w:r>
    </w:p>
    <w:p>
      <w:pPr>
        <w:numPr>
          <w:ilvl w:val="0"/>
          <w:numId w:val="26"/>
        </w:num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本期间完成的计日工费用；</w:t>
      </w:r>
    </w:p>
    <w:p>
      <w:pPr>
        <w:numPr>
          <w:ilvl w:val="0"/>
          <w:numId w:val="26"/>
        </w:num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本期间应支付的暂列金额价款；</w:t>
      </w:r>
    </w:p>
    <w:p>
      <w:pPr>
        <w:numPr>
          <w:ilvl w:val="0"/>
          <w:numId w:val="26"/>
        </w:num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根据第66条规定本期间应扣除的误期赔偿费；</w:t>
      </w:r>
    </w:p>
    <w:p>
      <w:pPr>
        <w:numPr>
          <w:ilvl w:val="0"/>
          <w:numId w:val="26"/>
        </w:num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根据第68条至第76条规定本期间应支付的调整工程款；</w:t>
      </w:r>
    </w:p>
    <w:p>
      <w:pPr>
        <w:numPr>
          <w:ilvl w:val="0"/>
          <w:numId w:val="26"/>
        </w:num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根据第79条本期间应扣回的预付款；</w:t>
      </w:r>
    </w:p>
    <w:p>
      <w:pPr>
        <w:numPr>
          <w:ilvl w:val="0"/>
          <w:numId w:val="26"/>
        </w:num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根据第80条规定本期间应支付或扣回的绿色施工安全防护费；</w:t>
      </w:r>
    </w:p>
    <w:p>
      <w:pPr>
        <w:numPr>
          <w:ilvl w:val="0"/>
          <w:numId w:val="26"/>
        </w:num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根据第84条本期间应扣留的质量保证金；</w:t>
      </w:r>
    </w:p>
    <w:p>
      <w:pPr>
        <w:numPr>
          <w:ilvl w:val="0"/>
          <w:numId w:val="26"/>
        </w:num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根据合同约定，本期间应支付或扣留（回）的其他款项；</w:t>
      </w:r>
    </w:p>
    <w:p>
      <w:pPr>
        <w:numPr>
          <w:ilvl w:val="0"/>
          <w:numId w:val="26"/>
        </w:numPr>
        <w:adjustRightInd w:val="0"/>
        <w:snapToGrid w:val="0"/>
        <w:spacing w:line="360" w:lineRule="auto"/>
        <w:ind w:left="1674" w:leftChars="797" w:firstLine="5"/>
        <w:rPr>
          <w:rFonts w:ascii="宋体" w:hAnsi="宋体" w:cs="宋体"/>
          <w:color w:val="auto"/>
          <w:sz w:val="24"/>
          <w:szCs w:val="24"/>
          <w:highlight w:val="none"/>
        </w:rPr>
      </w:pPr>
      <w:r>
        <w:rPr>
          <w:rFonts w:hint="eastAsia" w:ascii="宋体" w:hAnsi="宋体" w:cs="宋体"/>
          <w:color w:val="auto"/>
          <w:sz w:val="24"/>
          <w:szCs w:val="24"/>
          <w:highlight w:val="none"/>
        </w:rPr>
        <w:t>本期间应支付的工程款。</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81.2 </w:t>
      </w:r>
    </w:p>
    <w:p>
      <w:pPr>
        <w:adjustRightInd w:val="0"/>
        <w:snapToGrid w:val="0"/>
        <w:spacing w:line="360" w:lineRule="auto"/>
        <w:ind w:left="1619" w:leftChars="771"/>
        <w:rPr>
          <w:rFonts w:hint="eastAsia" w:ascii="宋体" w:hAnsi="宋体" w:eastAsia="宋体" w:cs="宋体"/>
          <w:color w:val="auto"/>
          <w:sz w:val="24"/>
          <w:szCs w:val="24"/>
          <w:highlight w:val="none"/>
          <w:lang w:eastAsia="zh-CN"/>
        </w:rPr>
      </w:pPr>
      <w:r>
        <w:rPr>
          <w:rFonts w:hint="eastAsia" w:ascii="宋体" w:hAnsi="宋体" w:cs="宋体"/>
          <w:color w:val="auto"/>
          <w:szCs w:val="20"/>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77"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2.8pt;width:72pt;z-index:252020736;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2FLCdQAAAAIAQAADwAA&#10;AAAAAAABACAAAAAiAAAAZHJzL2Rvd25yZXYueG1sUEsBAhQAFAAAAAgAh07iQAOT5hoaAgAAJAQA&#10;AA4AAAAAAAAAAQAgAAAAIwEAAGRycy9lMm9Eb2MueG1sUEsFBgAAAAAGAAYAWQEAAK8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宋体" w:hAnsi="宋体" w:cs="宋体"/>
          <w:color w:val="auto"/>
          <w:sz w:val="24"/>
          <w:szCs w:val="24"/>
          <w:highlight w:val="none"/>
        </w:rPr>
        <w:t>造价工程师在收到上述资料后，应按照第62条的规定进行计量，并根据计量结果和合同约定对资料内容予以核实。在收到上述资料后的28天内报发包人确认后向发包人签发期中支付证书，同时抄送承包人。</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造价工程师签发期中支付证书，不应视为发包人已同意、批准或接受了承包人完成该部分工作。</w:t>
      </w:r>
    </w:p>
    <w:p>
      <w:pPr>
        <w:pStyle w:val="21"/>
        <w:rPr>
          <w:rFonts w:hAnsi="宋体" w:cs="宋体"/>
          <w:color w:val="auto"/>
          <w:sz w:val="24"/>
          <w:szCs w:val="24"/>
          <w:highlight w:val="none"/>
        </w:rPr>
      </w:pP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81.3  </w:t>
      </w:r>
    </w:p>
    <w:p>
      <w:pPr>
        <w:adjustRightInd w:val="0"/>
        <w:snapToGrid w:val="0"/>
        <w:spacing w:line="360" w:lineRule="auto"/>
        <w:ind w:left="1619" w:leftChars="771"/>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76" name="文本框 76"/>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21.1pt;width:81pt;z-index:252021760;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GrMutQAAAAIAQAA&#10;DwAAAAAAAAABACAAAAAiAAAAZHJzL2Rvd25yZXYueG1sUEsBAhQAFAAAAAgAh07iQEDWungdAgAA&#10;JQQAAA4AAAAAAAAAAQAgAAAAIwEAAGRycy9lMm9Eb2MueG1sUEsFBgAAAAAGAAYAWQEAALIFAAAA&#10;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宋体" w:hAnsi="宋体" w:cs="宋体"/>
          <w:color w:val="auto"/>
          <w:sz w:val="24"/>
          <w:szCs w:val="24"/>
          <w:highlight w:val="none"/>
        </w:rPr>
        <w:t>发包人应在造价工程师签发期中支付证书后的14天内，按照期中支付证书列明的金额向承包人支付进度款，并通知造价工程师。</w:t>
      </w:r>
    </w:p>
    <w:p>
      <w:pPr>
        <w:tabs>
          <w:tab w:val="left" w:pos="1320"/>
        </w:tabs>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81.4</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75" name="文本框 75"/>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a:effectLst/>
                      </wps:spPr>
                      <wps:txb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51pt;width:72pt;z-index:252022784;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33Z8tUAAAAJAQAADwAA&#10;AAAAAAABACAAAAAiAAAAZHJzL2Rvd25yZXYueG1sUEsBAhQAFAAAAAgAh07iQKOs6HYZAgAAJAQA&#10;AA4AAAAAAAAAAQAgAAAAJAEAAGRycy9lMm9Eb2MueG1sUEsFBgAAAAAGAAYAWQEAAK8FA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ascii="宋体" w:hAnsi="宋体" w:cs="宋体"/>
          <w:color w:val="auto"/>
          <w:sz w:val="24"/>
          <w:szCs w:val="24"/>
          <w:highlight w:val="none"/>
        </w:rPr>
        <w:t>如果造价工程师未在第81.2款规定的期限内签发期中支付证书的，则视为承包人提交的支付申请已被认可，承包人应及时向发包人发出要求支付的通知。发包人应在收到通知后的14天内，按照承包人支付申请列明的金额向承包人支付进度款。</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81.5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74" name="文本框 74"/>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a:effectLst/>
                      </wps:spPr>
                      <wps:txb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5pt;height:50.95pt;width:72pt;z-index:252023808;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pjGV7VAAAACQEAAA8A&#10;AAAAAAAAAQAgAAAAIgAAAGRycy9kb3ducmV2LnhtbFBLAQIUABQAAAAIAIdO4kDUu4FFGgIAACQE&#10;AAAOAAAAAAAAAAEAIAAAACQBAABkcnMvZTJvRG9jLnhtbFBLBQYAAAAABgAGAFkBAACwBQ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宋体" w:hAnsi="宋体" w:cs="宋体"/>
          <w:color w:val="auto"/>
          <w:sz w:val="24"/>
          <w:szCs w:val="24"/>
          <w:highlight w:val="none"/>
        </w:rPr>
        <w:t>发包人未按照第81.3款和第81.4款规定支付进度款的，承包人应及时向发包人发出要求支付的通知；发包人收到通知后仍不按要求支付的，可与承包人协商签订延期支付协议，经承包人同意后可延期支付，承包人有权按照第78.2款规定获得延期支付的利息。</w:t>
      </w:r>
    </w:p>
    <w:p>
      <w:pPr>
        <w:adjustRightInd w:val="0"/>
        <w:snapToGrid w:val="0"/>
        <w:spacing w:line="360" w:lineRule="auto"/>
        <w:ind w:left="1640" w:leftChars="781"/>
        <w:rPr>
          <w:rFonts w:ascii="宋体" w:hAnsi="宋体" w:cs="宋体"/>
          <w:color w:val="auto"/>
          <w:sz w:val="24"/>
          <w:szCs w:val="24"/>
          <w:highlight w:val="none"/>
        </w:rPr>
      </w:pPr>
      <w:r>
        <w:rPr>
          <w:rFonts w:hint="eastAsia" w:ascii="宋体" w:hAnsi="宋体" w:cs="宋体"/>
          <w:color w:val="auto"/>
          <w:sz w:val="24"/>
          <w:szCs w:val="24"/>
          <w:highlight w:val="none"/>
        </w:rPr>
        <w:t>发包人未按照按照合同约定支付进度款，合同双方当事人又未达成延期支付协议，导致无法施工的，承包人可停止施工。发包人应承担由此增加的费用和（或）延误的工期，并向承包人支付合理利润。</w:t>
      </w:r>
    </w:p>
    <w:p>
      <w:pPr>
        <w:tabs>
          <w:tab w:val="left" w:pos="1320"/>
        </w:tabs>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81.6</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73"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20.95pt;width:81pt;z-index:252024832;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50FTHVAAAACAEA&#10;AA8AAAAAAAAAAQAgAAAAIgAAAGRycy9kb3ducmV2LnhtbFBLAQIUABQAAAAIAIdO4kAvKnznHQIA&#10;ACUEAAAOAAAAAAAAAAEAIAAAACQBAABkcnMvZTJvRG9jLnhtbFBLBQYAAAAABgAGAFkBAACzBQAA&#10;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宋体" w:hAnsi="宋体" w:cs="宋体"/>
          <w:color w:val="auto"/>
          <w:sz w:val="24"/>
          <w:szCs w:val="24"/>
          <w:highlight w:val="none"/>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pPr>
        <w:adjustRightInd w:val="0"/>
        <w:snapToGrid w:val="0"/>
        <w:spacing w:line="240" w:lineRule="exact"/>
        <w:ind w:right="-238"/>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229" w:name="_Toc821996859"/>
      <w:bookmarkStart w:id="1230" w:name="_Toc27042"/>
      <w:bookmarkStart w:id="1231" w:name="_Toc11006"/>
      <w:bookmarkStart w:id="1232" w:name="_Toc28655"/>
      <w:bookmarkStart w:id="1233" w:name="_Toc7101"/>
      <w:bookmarkStart w:id="1234" w:name="_Toc23381"/>
      <w:bookmarkStart w:id="1235" w:name="_Toc1651645962"/>
      <w:bookmarkStart w:id="1236" w:name="_Toc4596"/>
      <w:bookmarkStart w:id="1237" w:name="_Toc469384066"/>
      <w:r>
        <w:rPr>
          <w:rFonts w:hint="eastAsia" w:ascii="宋体" w:hAnsi="宋体" w:cs="宋体"/>
          <w:b/>
          <w:bCs/>
          <w:color w:val="auto"/>
          <w:sz w:val="24"/>
          <w:szCs w:val="24"/>
          <w:highlight w:val="none"/>
        </w:rPr>
        <w:t>82  竣工结算</w:t>
      </w:r>
      <w:bookmarkEnd w:id="1229"/>
      <w:bookmarkEnd w:id="1230"/>
      <w:bookmarkEnd w:id="1231"/>
      <w:bookmarkEnd w:id="1232"/>
      <w:bookmarkEnd w:id="1233"/>
      <w:bookmarkEnd w:id="1234"/>
      <w:bookmarkEnd w:id="1235"/>
      <w:bookmarkEnd w:id="1236"/>
      <w:bookmarkEnd w:id="1237"/>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82.1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05pt;height:31.2pt;width:72pt;z-index:252025856;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vsDBXUAAAACAEAAA8A&#10;AAAAAAAAAQAgAAAAIgAAAGRycy9kb3ducmV2LnhtbFBLAQIUABQAAAAIAIdO4kD2k0jeGwIAACQ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宋体" w:hAnsi="宋体" w:cs="宋体"/>
          <w:color w:val="auto"/>
          <w:sz w:val="24"/>
          <w:szCs w:val="24"/>
          <w:highlight w:val="none"/>
        </w:rPr>
        <w:t>合同双方当事人应按照国家标准《建设工程工程量清单计价规范》（GB50500</w:t>
      </w:r>
      <w:r>
        <w:rPr>
          <w:rFonts w:hint="eastAsia" w:ascii="宋体" w:hAnsi="宋体" w:cs="宋体"/>
          <w:color w:val="auto"/>
          <w:sz w:val="24"/>
          <w:szCs w:val="24"/>
          <w:highlight w:val="none"/>
          <w:lang w:val="en-US" w:eastAsia="zh-CN"/>
        </w:rPr>
        <w:t>-2013</w:t>
      </w:r>
      <w:r>
        <w:rPr>
          <w:rFonts w:hint="eastAsia" w:ascii="宋体" w:hAnsi="宋体" w:cs="宋体"/>
          <w:color w:val="auto"/>
          <w:sz w:val="24"/>
          <w:szCs w:val="24"/>
          <w:highlight w:val="none"/>
        </w:rPr>
        <w:t>）规定在专用条款中明确办理竣工结算的程序和时限。专用条款没有约定的，竣工结算按照第82.2款至第82.5款规定办理。</w:t>
      </w:r>
    </w:p>
    <w:p>
      <w:pPr>
        <w:tabs>
          <w:tab w:val="left" w:pos="1680"/>
        </w:tabs>
        <w:spacing w:line="360" w:lineRule="auto"/>
        <w:ind w:left="1692" w:leftChars="800" w:hanging="12" w:hangingChars="5"/>
        <w:rPr>
          <w:rFonts w:ascii="宋体" w:hAnsi="宋体" w:cs="宋体"/>
          <w:color w:val="auto"/>
          <w:sz w:val="24"/>
          <w:szCs w:val="24"/>
          <w:highlight w:val="none"/>
        </w:rPr>
      </w:pPr>
      <w:r>
        <w:rPr>
          <w:rFonts w:hint="eastAsia" w:ascii="宋体" w:hAnsi="宋体" w:cs="宋体"/>
          <w:color w:val="auto"/>
          <w:sz w:val="24"/>
          <w:szCs w:val="24"/>
          <w:highlight w:val="none"/>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在办理竣工结算期间，发包人按照第78条规定应向承包人支付的工程款及其他款项不停止。</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82.2  </w:t>
      </w:r>
    </w:p>
    <w:p>
      <w:pPr>
        <w:tabs>
          <w:tab w:val="left" w:pos="2641"/>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71" name="文本框 71"/>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5pt;height:36.15pt;width:72pt;z-index:252026880;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Qfx4rVAAAACAEAAA8A&#10;AAAAAAAAAQAgAAAAIgAAAGRycy9kb3ducmV2LnhtbFBLAQIUABQAAAAIAIdO4kA0zRbg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宋体" w:hAnsi="宋体" w:cs="宋体"/>
          <w:color w:val="auto"/>
          <w:sz w:val="24"/>
          <w:szCs w:val="24"/>
          <w:highlight w:val="none"/>
        </w:rPr>
        <w:t>承包人应在提交竣工验收申请报告前编制完成竣工结算文件，并在提交竣工验收申请报告的同时向造价工程师递交竣工结算文件。竣工结算文件清单由双方在专用条款中约定。</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pPr>
        <w:adjustRightInd w:val="0"/>
        <w:snapToGrid w:val="0"/>
        <w:spacing w:line="360" w:lineRule="auto"/>
        <w:rPr>
          <w:rFonts w:ascii="宋体" w:hAnsi="宋体" w:cs="宋体"/>
          <w:b/>
          <w:bCs/>
          <w:color w:val="auto"/>
          <w:sz w:val="24"/>
          <w:szCs w:val="24"/>
          <w:highlight w:val="none"/>
          <w:u w:val="single"/>
        </w:rPr>
      </w:pPr>
      <w:r>
        <w:rPr>
          <w:rFonts w:hint="eastAsia" w:ascii="宋体" w:hAnsi="宋体" w:cs="宋体"/>
          <w:b/>
          <w:bCs/>
          <w:color w:val="auto"/>
          <w:sz w:val="24"/>
          <w:szCs w:val="24"/>
          <w:highlight w:val="none"/>
        </w:rPr>
        <w:t xml:space="preserve">82.3  </w:t>
      </w:r>
    </w:p>
    <w:p>
      <w:pPr>
        <w:adjustRightInd w:val="0"/>
        <w:snapToGrid w:val="0"/>
        <w:spacing w:line="360" w:lineRule="auto"/>
        <w:ind w:left="1619" w:leftChars="771"/>
        <w:rPr>
          <w:rFonts w:hint="eastAsia" w:ascii="宋体" w:hAnsi="宋体" w:eastAsia="宋体" w:cs="宋体"/>
          <w:color w:val="auto"/>
          <w:sz w:val="24"/>
          <w:szCs w:val="24"/>
          <w:highlight w:val="none"/>
          <w:lang w:eastAsia="zh-CN"/>
        </w:rPr>
      </w:pPr>
      <w:r>
        <w:rPr>
          <w:rFonts w:hint="eastAsia" w:ascii="宋体" w:hAnsi="宋体" w:cs="宋体"/>
          <w:color w:val="auto"/>
          <w:szCs w:val="20"/>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70" name="文本框 70"/>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05pt;height:32.95pt;width:72pt;z-index:252027904;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FCSePVAAAACAEAAA8A&#10;AAAAAAAAAQAgAAAAIgAAAGRycy9kb3ducmV2LnhtbFBLAQIUABQAAAAIAIdO4kCdpJ7E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宋体" w:hAnsi="宋体" w:cs="宋体"/>
          <w:color w:val="auto"/>
          <w:sz w:val="24"/>
          <w:szCs w:val="24"/>
          <w:highlight w:val="none"/>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造价工程师在收到竣工结算文件后的28天内，不核实竣工结算或未提出核实意见的，视为承包人递交的竣工结算已被认可。</w:t>
      </w:r>
    </w:p>
    <w:p>
      <w:pPr>
        <w:adjustRightInd w:val="0"/>
        <w:snapToGrid w:val="0"/>
        <w:spacing w:line="360" w:lineRule="auto"/>
        <w:ind w:left="1619" w:leftChars="771"/>
        <w:rPr>
          <w:rFonts w:ascii="宋体" w:hAnsi="宋体" w:cs="宋体"/>
          <w:color w:val="auto"/>
          <w:sz w:val="24"/>
          <w:szCs w:val="24"/>
          <w:highlight w:val="none"/>
          <w:u w:val="single"/>
        </w:rPr>
      </w:pPr>
      <w:r>
        <w:rPr>
          <w:rFonts w:hint="eastAsia" w:ascii="宋体" w:hAnsi="宋体" w:cs="宋体"/>
          <w:color w:val="auto"/>
          <w:sz w:val="24"/>
          <w:szCs w:val="24"/>
          <w:highlight w:val="none"/>
        </w:rPr>
        <w:t>承包人在收到造价工程师提出的核实意见后的28天内，不确认也未提出异议的，视为造价工程师提出的核实意见已被认可，竣工结算办理完毕。</w:t>
      </w:r>
    </w:p>
    <w:p>
      <w:pPr>
        <w:adjustRightInd w:val="0"/>
        <w:snapToGrid w:val="0"/>
        <w:spacing w:line="360" w:lineRule="auto"/>
        <w:rPr>
          <w:rFonts w:ascii="宋体" w:hAnsi="宋体" w:cs="宋体"/>
          <w:b/>
          <w:bCs/>
          <w:color w:val="auto"/>
          <w:sz w:val="24"/>
          <w:szCs w:val="24"/>
          <w:highlight w:val="none"/>
          <w:u w:val="single"/>
        </w:rPr>
      </w:pPr>
      <w:r>
        <w:rPr>
          <w:rFonts w:hint="eastAsia" w:ascii="宋体" w:hAnsi="宋体" w:cs="宋体"/>
          <w:b/>
          <w:bCs/>
          <w:color w:val="auto"/>
          <w:sz w:val="24"/>
          <w:szCs w:val="24"/>
          <w:highlight w:val="none"/>
        </w:rPr>
        <w:t xml:space="preserve">82.4  </w:t>
      </w:r>
    </w:p>
    <w:p>
      <w:pPr>
        <w:adjustRightInd w:val="0"/>
        <w:snapToGrid w:val="0"/>
        <w:spacing w:line="360" w:lineRule="auto"/>
        <w:ind w:left="1619" w:leftChars="771"/>
        <w:rPr>
          <w:rFonts w:ascii="宋体" w:hAnsi="宋体" w:cs="宋体"/>
          <w:color w:val="auto"/>
          <w:sz w:val="24"/>
          <w:szCs w:val="24"/>
          <w:highlight w:val="none"/>
          <w:u w:val="single"/>
        </w:rPr>
      </w:pPr>
      <w:r>
        <w:rPr>
          <w:rFonts w:hint="eastAsia" w:ascii="宋体" w:hAnsi="宋体" w:cs="宋体"/>
          <w:color w:val="auto"/>
          <w:szCs w:val="20"/>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69" name="文本框 69"/>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6.55pt;width:72pt;z-index:252028928;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ZCALtYAAAAJAQAA&#10;DwAAAAAAAAABACAAAAAiAAAAZHJzL2Rvd25yZXYueG1sUEsBAhQAFAAAAAgAh07iQGh2yWQbAgAA&#10;JA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宋体" w:hAnsi="宋体" w:cs="宋体"/>
          <w:color w:val="auto"/>
          <w:sz w:val="24"/>
          <w:szCs w:val="24"/>
          <w:highlight w:val="none"/>
        </w:rPr>
        <w:t>造价工程师应在收到承包人按照第82.3款规定再次递交的竣工结算文件后的28天内予以复核，并将复核结果通知承包人、抄报发包人。</w:t>
      </w:r>
    </w:p>
    <w:p>
      <w:pPr>
        <w:adjustRightInd w:val="0"/>
        <w:snapToGrid w:val="0"/>
        <w:spacing w:line="360" w:lineRule="auto"/>
        <w:ind w:left="1615"/>
        <w:rPr>
          <w:rFonts w:ascii="宋体" w:hAnsi="宋体" w:cs="宋体"/>
          <w:color w:val="auto"/>
          <w:sz w:val="24"/>
          <w:szCs w:val="24"/>
          <w:highlight w:val="none"/>
        </w:rPr>
      </w:pPr>
      <w:r>
        <w:rPr>
          <w:rFonts w:hint="eastAsia" w:ascii="宋体" w:hAnsi="宋体" w:cs="宋体"/>
          <w:color w:val="auto"/>
          <w:sz w:val="24"/>
          <w:szCs w:val="24"/>
          <w:highlight w:val="none"/>
        </w:rPr>
        <w:t>（1）经复核无误的，除属于第86条规定的争议外，发包人应在7天内在竣工结算文件上签字确认，竣工结算办理完毕。</w:t>
      </w:r>
    </w:p>
    <w:p>
      <w:pPr>
        <w:adjustRightInd w:val="0"/>
        <w:snapToGrid w:val="0"/>
        <w:spacing w:line="360" w:lineRule="auto"/>
        <w:ind w:left="1615"/>
        <w:rPr>
          <w:rFonts w:ascii="宋体" w:hAnsi="宋体" w:cs="宋体"/>
          <w:color w:val="auto"/>
          <w:sz w:val="24"/>
          <w:szCs w:val="24"/>
          <w:highlight w:val="none"/>
          <w:u w:val="single"/>
        </w:rPr>
      </w:pPr>
      <w:r>
        <w:rPr>
          <w:rFonts w:hint="eastAsia" w:ascii="宋体" w:hAnsi="宋体" w:cs="宋体"/>
          <w:color w:val="auto"/>
          <w:sz w:val="24"/>
          <w:szCs w:val="24"/>
          <w:highlight w:val="none"/>
        </w:rPr>
        <w:t>（2）经复核认为有误的：无误部分按照本款第(1)点规定办理不完全竣工结算；有误部分由造价工程师与合同双方当事人协商解决，或按照第86条规定处理。</w:t>
      </w:r>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82.5</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68"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2pt;z-index:252029952;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QKal1QAAAAcBAAAP&#10;AAAAAAAAAAEAIAAAACIAAABkcnMvZG93bnJldi54bWxQSwECFAAUAAAACACHTuJAFSEp3h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宋体" w:hAnsi="宋体" w:cs="宋体"/>
          <w:color w:val="auto"/>
          <w:sz w:val="24"/>
          <w:szCs w:val="24"/>
          <w:highlight w:val="none"/>
        </w:rPr>
        <w:t>发包人应在已核实无误的竣工结算文件上签名确认，拒不签认的，承包人可不交付竣工工程。</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承包人未及时递交竣工结算文件的，发包人要求交付竣工工程，承包人应当交付；发包人不要求交付竣工工程，承包人承担照管永久工程责任。</w:t>
      </w:r>
    </w:p>
    <w:p>
      <w:pPr>
        <w:adjustRightInd w:val="0"/>
        <w:snapToGrid w:val="0"/>
        <w:spacing w:line="24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238" w:name="_Toc8679"/>
      <w:bookmarkStart w:id="1239" w:name="_Toc2426"/>
      <w:bookmarkStart w:id="1240" w:name="_Toc840062212"/>
      <w:bookmarkStart w:id="1241" w:name="_Toc538908062"/>
      <w:bookmarkStart w:id="1242" w:name="_Toc8475"/>
      <w:bookmarkStart w:id="1243" w:name="_Toc2228"/>
      <w:bookmarkStart w:id="1244" w:name="_Toc13910"/>
      <w:bookmarkStart w:id="1245" w:name="_Toc469384067"/>
      <w:bookmarkStart w:id="1246" w:name="_Toc13209"/>
      <w:r>
        <w:rPr>
          <w:rFonts w:hint="eastAsia" w:ascii="宋体" w:hAnsi="宋体" w:cs="宋体"/>
          <w:b/>
          <w:bCs/>
          <w:color w:val="auto"/>
          <w:sz w:val="24"/>
          <w:szCs w:val="24"/>
          <w:highlight w:val="none"/>
        </w:rPr>
        <w:t>83  结算款</w:t>
      </w:r>
      <w:bookmarkEnd w:id="1238"/>
      <w:bookmarkEnd w:id="1239"/>
      <w:bookmarkEnd w:id="1240"/>
      <w:bookmarkEnd w:id="1241"/>
      <w:bookmarkEnd w:id="1242"/>
      <w:bookmarkEnd w:id="1243"/>
      <w:bookmarkEnd w:id="1244"/>
      <w:bookmarkEnd w:id="1245"/>
      <w:bookmarkEnd w:id="1246"/>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83.1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67"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85pt;height:36.15pt;width:72pt;z-index:252030976;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Kv0n1QAAAAgBAAAP&#10;AAAAAAAAAAEAIAAAACIAAABkcnMvZG93bnJldi54bWxQSwECFAAUAAAACACHTuJAQBjSgx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宋体" w:hAnsi="宋体" w:cs="宋体"/>
          <w:color w:val="auto"/>
          <w:sz w:val="24"/>
          <w:szCs w:val="24"/>
          <w:highlight w:val="none"/>
        </w:rPr>
        <w:t>合同双方当事人应在专用条款中明确结算款的支付时限。专用条款没有约定的，结算款支付按照第83.2款至第83.5款规定办理。涉及政府投资资金的工程,支付期、支付方法等需调整的，应在专用条款中约定。</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承包人应按照第82.2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pPr>
        <w:tabs>
          <w:tab w:val="left" w:pos="2641"/>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（1）根据合同完成全部或所有工程的总造价；</w:t>
      </w:r>
    </w:p>
    <w:p>
      <w:pPr>
        <w:tabs>
          <w:tab w:val="left" w:pos="2641"/>
        </w:tabs>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（2）根据合同约定发包人应付的所有款项。</w:t>
      </w:r>
    </w:p>
    <w:p>
      <w:pPr>
        <w:tabs>
          <w:tab w:val="left" w:pos="2641"/>
        </w:tabs>
        <w:adjustRightInd w:val="0"/>
        <w:snapToGrid w:val="0"/>
        <w:spacing w:line="360" w:lineRule="auto"/>
        <w:rPr>
          <w:rFonts w:ascii="宋体" w:hAnsi="宋体" w:cs="宋体"/>
          <w:b/>
          <w:bCs/>
          <w:color w:val="auto"/>
          <w:sz w:val="24"/>
          <w:szCs w:val="24"/>
          <w:highlight w:val="none"/>
          <w:u w:val="single"/>
        </w:rPr>
      </w:pPr>
      <w:r>
        <w:rPr>
          <w:rFonts w:hint="eastAsia" w:ascii="宋体" w:hAnsi="宋体" w:cs="宋体"/>
          <w:b/>
          <w:bCs/>
          <w:color w:val="auto"/>
          <w:sz w:val="24"/>
          <w:szCs w:val="24"/>
          <w:highlight w:val="none"/>
        </w:rPr>
        <w:t xml:space="preserve">83.2  </w:t>
      </w:r>
    </w:p>
    <w:p>
      <w:pPr>
        <w:adjustRightInd w:val="0"/>
        <w:snapToGrid w:val="0"/>
        <w:spacing w:line="360" w:lineRule="auto"/>
        <w:ind w:left="1619" w:leftChars="771"/>
        <w:rPr>
          <w:rFonts w:ascii="宋体" w:hAnsi="宋体" w:cs="宋体"/>
          <w:color w:val="auto"/>
          <w:sz w:val="24"/>
          <w:szCs w:val="24"/>
          <w:highlight w:val="none"/>
          <w:u w:val="single"/>
        </w:rPr>
      </w:pPr>
      <w:r>
        <w:rPr>
          <w:rFonts w:hint="eastAsia" w:ascii="宋体" w:hAnsi="宋体" w:cs="宋体"/>
          <w:color w:val="auto"/>
          <w:szCs w:val="20"/>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66" name="文本框 66"/>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6.55pt;width:72pt;z-index:252032000;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ZCALtYAAAAJAQAA&#10;DwAAAAAAAAABACAAAAAiAAAAZHJzL2Rvd25yZXYueG1sUEsBAhQAFAAAAAgAh07iQKqK4YQbAgAA&#10;JA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宋体" w:hAnsi="宋体" w:cs="宋体"/>
          <w:color w:val="auto"/>
          <w:sz w:val="24"/>
          <w:szCs w:val="24"/>
          <w:highlight w:val="none"/>
        </w:rPr>
        <w:t>造价工程师在收到上述资料后，应按照第82.3款、第82.4款规定核实竣工结算文件，并在发包人签字确认竣工结算文件后的7天内，向发包人签发竣工结算支付证书，同时抄送承包人。</w:t>
      </w:r>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83.3</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65"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2pt;z-index:252033024;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QKal1QAAAAcBAAAP&#10;AAAAAAAAAAEAIAAAACIAAABkcnMvZG93bnJldi54bWxQSwECFAAUAAAACACHTuJAsc8Iwx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宋体" w:hAnsi="宋体" w:cs="宋体"/>
          <w:color w:val="auto"/>
          <w:sz w:val="24"/>
          <w:szCs w:val="24"/>
          <w:highlight w:val="none"/>
        </w:rPr>
        <w:t>发包人应在造价工程师签发竣工结算支付证书后的28天内，按照竣工结算支付证书列明的金额向承包人支付结算款，并通知造价工程师。</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83.4  </w:t>
      </w:r>
    </w:p>
    <w:p>
      <w:pPr>
        <w:adjustRightInd w:val="0"/>
        <w:snapToGrid w:val="0"/>
        <w:spacing w:line="360" w:lineRule="auto"/>
        <w:ind w:left="1678" w:leftChars="799" w:firstLine="2"/>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34048"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64"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95pt;height:65.3pt;width:82.5pt;z-index:252034048;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TQap3VAAAACQEA&#10;AA8AAAAAAAAAAQAgAAAAIgAAAGRycy9kb3ducmV2LnhtbFBLAQIUABQAAAAIAIdO4kBUS37ZHQIA&#10;ACU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ascii="宋体" w:hAnsi="宋体" w:cs="宋体"/>
          <w:color w:val="auto"/>
          <w:sz w:val="24"/>
          <w:szCs w:val="24"/>
          <w:highlight w:val="none"/>
        </w:rPr>
        <w:t>如果造价工程师未在第83.2款规定的期限内签发竣工结算支付证书的，则视为承包人提交的竣工支付申请已被认可，承包人应及时向发包人发出要求支付竣工结算款的通知。发包人应在收到通知后的28天内，按照承包人支付申请列明的金额向承包人支付竣工结算款。</w:t>
      </w:r>
    </w:p>
    <w:p>
      <w:pPr>
        <w:adjustRightInd w:val="0"/>
        <w:snapToGrid w:val="0"/>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83.5  </w:t>
      </w: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6pt;height:32.1pt;width:72pt;z-index:252035072;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yzLj1gAAAAgBAAAP&#10;AAAAAAAAAAEAIAAAACIAAABkcnMvZG93bnJldi54bWxQSwECFAAUAAAACACHTuJA4JdVtBoCAAAk&#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宋体" w:hAnsi="宋体" w:cs="宋体"/>
          <w:color w:val="auto"/>
          <w:sz w:val="24"/>
          <w:szCs w:val="24"/>
          <w:highlight w:val="none"/>
        </w:rPr>
        <w:t>发包人未按照第83.3款和第83.4款规定支付竣工结算款的，承包人可催告发包人支付竣工结算款，如双方达成延期支付协议，承包人有权按照第78.2款规定获得延期支付的利息。</w:t>
      </w: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发包人在收到竣工结算支付证书后的56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pPr>
        <w:adjustRightInd w:val="0"/>
        <w:snapToGrid w:val="0"/>
        <w:spacing w:line="360" w:lineRule="auto"/>
        <w:rPr>
          <w:rFonts w:ascii="宋体" w:hAnsi="宋体" w:cs="宋体"/>
          <w:b/>
          <w:bCs/>
          <w:color w:val="auto"/>
          <w:sz w:val="24"/>
          <w:szCs w:val="24"/>
          <w:highlight w:val="none"/>
          <w:u w:val="single"/>
        </w:rPr>
      </w:pPr>
    </w:p>
    <w:p>
      <w:pPr>
        <w:tabs>
          <w:tab w:val="left" w:pos="1620"/>
        </w:tabs>
        <w:spacing w:before="100" w:line="360" w:lineRule="auto"/>
        <w:rPr>
          <w:rFonts w:ascii="宋体" w:hAnsi="宋体" w:cs="宋体"/>
          <w:b/>
          <w:bCs/>
          <w:color w:val="auto"/>
          <w:sz w:val="24"/>
          <w:szCs w:val="24"/>
          <w:highlight w:val="non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247" w:name="_Toc12286"/>
      <w:bookmarkStart w:id="1248" w:name="_Toc11359"/>
      <w:bookmarkStart w:id="1249" w:name="_Toc469384068"/>
      <w:bookmarkStart w:id="1250" w:name="_Toc12961"/>
      <w:bookmarkStart w:id="1251" w:name="_Toc1368101706"/>
      <w:bookmarkStart w:id="1252" w:name="_Toc1489258635"/>
      <w:bookmarkStart w:id="1253" w:name="_Toc11614"/>
      <w:bookmarkStart w:id="1254" w:name="_Toc7453"/>
      <w:bookmarkStart w:id="1255" w:name="_Toc166"/>
      <w:r>
        <w:rPr>
          <w:rFonts w:hint="eastAsia" w:ascii="宋体" w:hAnsi="宋体" w:cs="宋体"/>
          <w:b/>
          <w:bCs/>
          <w:color w:val="auto"/>
          <w:sz w:val="24"/>
          <w:szCs w:val="24"/>
          <w:highlight w:val="none"/>
        </w:rPr>
        <w:t>84  质量保证金</w:t>
      </w:r>
      <w:bookmarkEnd w:id="1247"/>
      <w:bookmarkEnd w:id="1248"/>
      <w:bookmarkEnd w:id="1249"/>
      <w:bookmarkEnd w:id="1250"/>
      <w:bookmarkEnd w:id="1251"/>
      <w:bookmarkEnd w:id="1252"/>
      <w:bookmarkEnd w:id="1253"/>
      <w:bookmarkEnd w:id="1254"/>
      <w:bookmarkEnd w:id="1255"/>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84.1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1.2pt;width:72pt;z-index:252036096;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Wt2iW1QAAAAgBAAAP&#10;AAAAAAAAAAEAIAAAACIAAABkcnMvZG93bnJldi54bWxQSwECFAAUAAAACACHTuJAaXbmYR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ascii="宋体" w:hAnsi="宋体" w:cs="宋体"/>
          <w:color w:val="auto"/>
          <w:sz w:val="24"/>
          <w:szCs w:val="24"/>
          <w:highlight w:val="none"/>
        </w:rPr>
        <w:t>质量保证金用于承包人对合同工程质量的担保。承包人未按照法律有关规定和合同约定履行质量保修义务的，发包人有权从质量保证金中扣留用于质量保修的各项支出。</w:t>
      </w:r>
    </w:p>
    <w:p>
      <w:pPr>
        <w:tabs>
          <w:tab w:val="left" w:pos="90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84.2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合同双方当事人应在专用条款中约定质量保证金金额</w:t>
      </w:r>
      <w:r>
        <w:rPr>
          <w:rFonts w:hint="eastAsia" w:ascii="宋体" w:hAnsi="宋体" w:cs="宋体"/>
          <w:color w:val="auto"/>
          <w:szCs w:val="20"/>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61"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40.9pt;width:72pt;z-index:252037120;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UVvE1QAAAAgBAAAP&#10;AAAAAAAAAAEAIAAAACIAAABkcnMvZG93bnJldi54bWxQSwECFAAUAAAACACHTuJAXO1iEB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ascii="宋体" w:hAnsi="宋体" w:cs="宋体"/>
          <w:color w:val="auto"/>
          <w:sz w:val="24"/>
          <w:szCs w:val="24"/>
          <w:highlight w:val="none"/>
        </w:rPr>
        <w:t>。除专用条款另有约定外，质量保证金为合同价款的3％（采取银行保函）。发包人应按照该比例从每支付期应支付给承包人的进度款或结算款中扣留，直到扣留的质量保证金总额达到专用条款约定的金额为止。</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84.3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45pt;width:72pt;z-index:25203814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pXYFbVAAAACAEAAA8A&#10;AAAAAAAAAQAgAAAAIgAAAGRycy9kb3ducmV2LnhtbFBLAQIUABQAAAAIAIdO4kDWx7MX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宋体" w:hAnsi="宋体" w:cs="宋体"/>
          <w:color w:val="auto"/>
          <w:sz w:val="24"/>
          <w:szCs w:val="24"/>
          <w:highlight w:val="none"/>
        </w:rPr>
        <w:t>缺陷责任期（包括第59.2款延长的期限）满时，承包人应向发包人申请到期应返还的剩余质量保证金金额。发包人如无异议，应在缺陷责任期满后的14天内将剩余的质量保证金返还给承包人。剩余质量保证金的返还，并不能免除承包人按照合同约定应承担的质量保修责任和应履行的质量保修义务。</w:t>
      </w:r>
      <w:r>
        <w:rPr>
          <w:rFonts w:hint="eastAsia" w:ascii="宋体" w:hAnsi="宋体" w:cs="宋体"/>
          <w:color w:val="auto"/>
          <w:kern w:val="0"/>
          <w:sz w:val="24"/>
          <w:szCs w:val="24"/>
          <w:highlight w:val="none"/>
        </w:rPr>
        <w:t>发包人在退还质量保证金的同时按照中国人民银行授权全国银行间同业拆借中心公布的贷款市场报价利率（LPR）支付利息。</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84.4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59" name="文本框 59"/>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45pt;width:72pt;z-index:25203916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pXYFbVAAAACAEAAA8A&#10;AAAAAAAAAQAgAAAAIgAAAGRycy9kb3ducmV2LnhtbFBLAQIUABQAAAAIAIdO4kAfI3Mw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宋体" w:hAnsi="宋体" w:cs="宋体"/>
          <w:color w:val="auto"/>
          <w:sz w:val="24"/>
          <w:szCs w:val="24"/>
          <w:highlight w:val="none"/>
        </w:rPr>
        <w:t>缺陷责任期（包括第59.2款延长的期限）满时，承包人没有完成缺陷责任的，发包人有权扣留承包人未完成缺陷责任剩余工作所需的部分质量保证金余额，并有权根据第59.2款约定要求延长缺陷责任期，直到完成剩余工作为止。</w:t>
      </w:r>
    </w:p>
    <w:p>
      <w:pPr>
        <w:adjustRightInd w:val="0"/>
        <w:snapToGrid w:val="0"/>
        <w:spacing w:line="240" w:lineRule="exact"/>
        <w:ind w:right="-238"/>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256" w:name="_Toc11553"/>
      <w:bookmarkStart w:id="1257" w:name="_Toc577964313"/>
      <w:bookmarkStart w:id="1258" w:name="_Toc16951"/>
      <w:bookmarkStart w:id="1259" w:name="_Toc26963"/>
      <w:bookmarkStart w:id="1260" w:name="_Toc32335"/>
      <w:bookmarkStart w:id="1261" w:name="_Toc6610"/>
      <w:bookmarkStart w:id="1262" w:name="_Toc1047972660"/>
      <w:bookmarkStart w:id="1263" w:name="_Toc13076"/>
      <w:r>
        <w:rPr>
          <w:rFonts w:hint="eastAsia" w:ascii="宋体" w:hAnsi="宋体" w:cs="宋体"/>
          <w:b/>
          <w:bCs/>
          <w:color w:val="auto"/>
          <w:sz w:val="24"/>
          <w:szCs w:val="24"/>
          <w:highlight w:val="none"/>
        </w:rPr>
        <w:t>85  最终清算款</w:t>
      </w:r>
      <w:bookmarkEnd w:id="1256"/>
      <w:bookmarkEnd w:id="1257"/>
      <w:bookmarkEnd w:id="1258"/>
      <w:bookmarkEnd w:id="1259"/>
      <w:bookmarkEnd w:id="1260"/>
      <w:bookmarkEnd w:id="1261"/>
      <w:bookmarkEnd w:id="1262"/>
      <w:bookmarkEnd w:id="1263"/>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85.1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58" name="文本框 5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85pt;height:31.2pt;width:72pt;z-index:252040192;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8iBW1gAAAAkBAAAP&#10;AAAAAAAAAAEAIAAAACIAAABkcnMvZG93bnJldi54bWxQSwECFAAUAAAACACHTuJA9QmrxRoCAAAk&#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宋体" w:hAnsi="宋体" w:cs="宋体"/>
          <w:color w:val="auto"/>
          <w:sz w:val="24"/>
          <w:szCs w:val="24"/>
          <w:highlight w:val="none"/>
        </w:rPr>
        <w:t>合同双方当事人应在专用条款中明确最终清算款的支付时限。专用条款没有约定的,最终清算款按照第85.2款至第85.5款规定办理。涉及政府投资资金的工程，支付期、支付方法等需调整的，应在专用条款中约定。</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pPr>
        <w:tabs>
          <w:tab w:val="left" w:pos="900"/>
        </w:tabs>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85.2</w:t>
      </w:r>
    </w:p>
    <w:p>
      <w:pPr>
        <w:adjustRightInd w:val="0"/>
        <w:snapToGrid w:val="0"/>
        <w:spacing w:line="360" w:lineRule="auto"/>
        <w:ind w:left="1619" w:leftChars="771"/>
        <w:rPr>
          <w:rFonts w:ascii="宋体" w:hAnsi="宋体" w:cs="宋体"/>
          <w:color w:val="auto"/>
          <w:sz w:val="24"/>
          <w:szCs w:val="24"/>
          <w:highlight w:val="none"/>
          <w:u w:val="single"/>
        </w:rPr>
      </w:pPr>
      <w:r>
        <w:rPr>
          <w:rFonts w:hint="eastAsia" w:ascii="宋体" w:hAnsi="宋体" w:cs="宋体"/>
          <w:color w:val="auto"/>
          <w:szCs w:val="20"/>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57"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10287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7pt;height:36.45pt;width:81pt;z-index:252041216;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OWJM/VAAAACAEA&#10;AA8AAAAAAAAAAQAgAAAAIgAAAGRycy9kb3ducmV2LnhtbFBLAQIUABQAAAAIAIdO4kCIuWRyHQIA&#10;ACU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ascii="宋体" w:hAnsi="宋体" w:cs="宋体"/>
          <w:color w:val="auto"/>
          <w:sz w:val="24"/>
          <w:szCs w:val="24"/>
          <w:highlight w:val="none"/>
        </w:rPr>
        <w:t>造价工程师应在收到最终清算支付申请后的14天内予以计量、核实，并将核实结果通知承包人、抄报发包人。发包人应在收到核实结果后的7天内在最终清算文件上签字确认。造价工程师应在发包人签字确认最终清算文件后的7天内，向发包人签发最终清算支付证书，同时抄送承包人。</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56"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15pt;height:36.45pt;width:72pt;z-index:252042240;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ljz5nYAAAACgEA&#10;AA8AAAAAAAAAAQAgAAAAIgAAAGRycy9kb3ducmV2LnhtbFBLAQIUABQAAAAIAIdO4kDd31vQGgIA&#10;ACQEAAAOAAAAAAAAAAEAIAAAACcBAABkcnMvZTJvRG9jLnhtbFBLBQYAAAAABgAGAFkBAACzBQAA&#10;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v:textbox>
              </v:shape>
            </w:pict>
          </mc:Fallback>
        </mc:AlternateContent>
      </w:r>
      <w:r>
        <w:rPr>
          <w:rFonts w:hint="eastAsia" w:ascii="宋体" w:hAnsi="宋体" w:cs="宋体"/>
          <w:b/>
          <w:bCs/>
          <w:color w:val="auto"/>
          <w:sz w:val="24"/>
          <w:szCs w:val="24"/>
          <w:highlight w:val="none"/>
        </w:rPr>
        <w:t>85.3</w:t>
      </w:r>
    </w:p>
    <w:p>
      <w:pPr>
        <w:adjustRightInd w:val="0"/>
        <w:snapToGrid w:val="0"/>
        <w:spacing w:line="360" w:lineRule="auto"/>
        <w:ind w:left="1619" w:leftChars="771" w:firstLine="1"/>
        <w:rPr>
          <w:rFonts w:ascii="宋体" w:hAnsi="宋体" w:cs="宋体"/>
          <w:color w:val="auto"/>
          <w:sz w:val="24"/>
          <w:szCs w:val="24"/>
          <w:highlight w:val="none"/>
        </w:rPr>
      </w:pPr>
      <w:r>
        <w:rPr>
          <w:rFonts w:hint="eastAsia" w:ascii="宋体" w:hAnsi="宋体" w:cs="宋体"/>
          <w:color w:val="auto"/>
          <w:sz w:val="24"/>
          <w:szCs w:val="24"/>
          <w:highlight w:val="none"/>
        </w:rPr>
        <w:t>发包人应在造价工程师签发最终清算支付证书后的14 天内，按照最终清算支付证书列明的金额向承包人支付最终清算款，并通知造价工程师。</w:t>
      </w:r>
    </w:p>
    <w:p>
      <w:pPr>
        <w:adjustRightInd w:val="0"/>
        <w:snapToGrid w:val="0"/>
        <w:spacing w:line="480" w:lineRule="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55" name="文本框 55"/>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45pt;height:36.45pt;width:72pt;z-index:252043264;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e3i2AAAAAoB&#10;AAAPAAAAAAAAAAEAIAAAACIAAABkcnMvZG93bnJldi54bWxQSwECFAAUAAAACACHTuJAiETWUxsC&#10;AAAkBAAADgAAAAAAAAABACAAAAAnAQAAZHJzL2Uyb0RvYy54bWxQSwUGAAAAAAYABgBZAQAAtAUA&#10;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int="eastAsia" w:ascii="宋体" w:hAnsi="宋体" w:cs="宋体"/>
          <w:b/>
          <w:bCs/>
          <w:color w:val="auto"/>
          <w:sz w:val="24"/>
          <w:szCs w:val="24"/>
          <w:highlight w:val="none"/>
        </w:rPr>
        <w:t xml:space="preserve">85.4 </w:t>
      </w:r>
    </w:p>
    <w:p>
      <w:pPr>
        <w:adjustRightInd w:val="0"/>
        <w:snapToGrid w:val="0"/>
        <w:spacing w:line="360" w:lineRule="auto"/>
        <w:ind w:left="1576" w:leftChars="750" w:hanging="1"/>
        <w:rPr>
          <w:rFonts w:ascii="宋体" w:hAnsi="宋体" w:cs="宋体"/>
          <w:color w:val="auto"/>
          <w:sz w:val="24"/>
          <w:szCs w:val="24"/>
          <w:highlight w:val="none"/>
        </w:rPr>
      </w:pPr>
      <w:r>
        <w:rPr>
          <w:rFonts w:hint="eastAsia" w:ascii="宋体" w:hAnsi="宋体" w:cs="宋体"/>
          <w:color w:val="auto"/>
          <w:sz w:val="24"/>
          <w:szCs w:val="24"/>
          <w:highlight w:val="none"/>
        </w:rPr>
        <w:t>如果造价工程师未在第85.2款规定的期限内签发最终清算支付证书的，则视为承包人提交的最终清算支付申请已被认可，承包人应及时向发包人发出要求支付最终清算款的通知。发包人应在收到通知后的14天内，按照承包人提交最终清算支付申请列明的金额向承包人支付最终清算款。</w:t>
      </w:r>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85.5 </w:t>
      </w:r>
    </w:p>
    <w:p>
      <w:pPr>
        <w:spacing w:line="360" w:lineRule="auto"/>
        <w:ind w:left="1576" w:leftChars="750" w:hanging="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54" name="文本框 54"/>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2.1pt;width:81pt;z-index:252044288;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G9fTVAAAACAEA&#10;AA8AAAAAAAAAAQAgAAAAIgAAAGRycy9kb3ducmV2LnhtbFBLAQIUABQAAAAIAIdO4kALWo1JHQIA&#10;ACU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宋体" w:hAnsi="宋体" w:cs="宋体"/>
          <w:color w:val="auto"/>
          <w:sz w:val="24"/>
          <w:szCs w:val="24"/>
          <w:highlight w:val="none"/>
        </w:rPr>
        <w:t>发包人未按照第85.3款和第85.4款规定支付最终清算款的，承包人可催告发包人支付最终清算款，如双方达成延期支付协议，承包人有权按照第78.2款规定获得延期支付的利息。若该永久工程按照第83.5款规定进行折价或依法拍卖的，承包人就该工程折价或拍卖的价款优先受偿。</w:t>
      </w:r>
    </w:p>
    <w:p>
      <w:pPr>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85.6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53" name="文本框 53"/>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45pt;width:72pt;z-index:25204531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V2BW1QAAAAgBAAAP&#10;AAAAAAAAAAEAIAAAACIAAABkcnMvZG93bnJldi54bWxQSwECFAAUAAAACACHTuJAY3S8jx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宋体" w:hAnsi="宋体" w:cs="宋体"/>
          <w:color w:val="auto"/>
          <w:sz w:val="24"/>
          <w:szCs w:val="24"/>
          <w:highlight w:val="none"/>
        </w:rPr>
        <w:t>承包人对发包人支付的最终清算款有异议的，按照第86条约定的争议处理。</w:t>
      </w:r>
    </w:p>
    <w:p>
      <w:pPr>
        <w:adjustRightInd w:val="0"/>
        <w:snapToGrid w:val="0"/>
        <w:spacing w:line="360" w:lineRule="auto"/>
        <w:rPr>
          <w:rFonts w:ascii="宋体" w:hAnsi="宋体" w:cs="宋体"/>
          <w:b/>
          <w:bCs/>
          <w:color w:val="auto"/>
          <w:sz w:val="24"/>
          <w:szCs w:val="24"/>
          <w:highlight w:val="none"/>
        </w:rPr>
      </w:pPr>
    </w:p>
    <w:p>
      <w:pPr>
        <w:adjustRightInd w:val="0"/>
        <w:snapToGrid w:val="0"/>
        <w:spacing w:line="360" w:lineRule="auto"/>
        <w:outlineLvl w:val="1"/>
        <w:rPr>
          <w:rFonts w:ascii="宋体" w:hAnsi="宋体" w:cs="宋体"/>
          <w:b/>
          <w:bCs/>
          <w:color w:val="auto"/>
          <w:sz w:val="24"/>
          <w:szCs w:val="24"/>
          <w:highlight w:val="none"/>
        </w:rPr>
      </w:pPr>
      <w:bookmarkStart w:id="1264" w:name="_Toc17752"/>
      <w:bookmarkStart w:id="1265" w:name="_Toc16585"/>
      <w:bookmarkStart w:id="1266" w:name="_Toc1763107573"/>
      <w:bookmarkStart w:id="1267" w:name="_Toc28308"/>
      <w:bookmarkStart w:id="1268" w:name="_Toc2059"/>
      <w:bookmarkStart w:id="1269" w:name="_Toc777673210"/>
      <w:bookmarkStart w:id="1270" w:name="_Toc414"/>
      <w:bookmarkStart w:id="1271" w:name="_Toc469384069"/>
      <w:bookmarkStart w:id="1272" w:name="_Toc11443"/>
      <w:r>
        <w:rPr>
          <w:rFonts w:hint="eastAsia" w:ascii="宋体" w:hAnsi="宋体" w:cs="宋体"/>
          <w:b/>
          <w:bCs/>
          <w:color w:val="auto"/>
          <w:sz w:val="24"/>
          <w:szCs w:val="24"/>
          <w:highlight w:val="none"/>
        </w:rPr>
        <w:t>七、合同争议、解除与终止</w:t>
      </w:r>
      <w:bookmarkEnd w:id="1264"/>
      <w:bookmarkEnd w:id="1265"/>
      <w:bookmarkEnd w:id="1266"/>
      <w:bookmarkEnd w:id="1267"/>
      <w:bookmarkEnd w:id="1268"/>
      <w:bookmarkEnd w:id="1269"/>
      <w:bookmarkEnd w:id="1270"/>
      <w:bookmarkEnd w:id="1271"/>
      <w:bookmarkEnd w:id="1272"/>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273" w:name="_Toc5148"/>
      <w:bookmarkStart w:id="1274" w:name="_Toc17103"/>
      <w:bookmarkStart w:id="1275" w:name="_Toc469384070"/>
      <w:bookmarkStart w:id="1276" w:name="_Toc15487"/>
      <w:bookmarkStart w:id="1277" w:name="_Toc1569618105"/>
      <w:bookmarkStart w:id="1278" w:name="_Toc9219"/>
      <w:bookmarkStart w:id="1279" w:name="_Toc30831"/>
      <w:bookmarkStart w:id="1280" w:name="_Toc11049"/>
      <w:bookmarkStart w:id="1281" w:name="_Toc768164828"/>
      <w:r>
        <w:rPr>
          <w:rFonts w:hint="eastAsia" w:ascii="宋体" w:hAnsi="宋体" w:cs="宋体"/>
          <w:b/>
          <w:bCs/>
          <w:color w:val="auto"/>
          <w:sz w:val="24"/>
          <w:szCs w:val="24"/>
          <w:highlight w:val="none"/>
        </w:rPr>
        <w:t>86  合同争议</w:t>
      </w:r>
      <w:bookmarkEnd w:id="1273"/>
      <w:bookmarkEnd w:id="1274"/>
      <w:bookmarkEnd w:id="1275"/>
      <w:bookmarkEnd w:id="1276"/>
      <w:bookmarkEnd w:id="1277"/>
      <w:bookmarkEnd w:id="1278"/>
      <w:bookmarkEnd w:id="1279"/>
      <w:bookmarkEnd w:id="1280"/>
      <w:bookmarkEnd w:id="1281"/>
    </w:p>
    <w:p>
      <w:pPr>
        <w:adjustRightInd w:val="0"/>
        <w:snapToGrid w:val="0"/>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52" name="文本框 52"/>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4pt;height:37pt;width:72pt;z-index:252046336;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Amw5q1wAAAAoBAAAP&#10;AAAAAAAAAAEAIAAAACIAAABkcnMvZG93bnJldi54bWxQSwECFAAUAAAACACHTuJAkdZPxRkCAAAk&#10;BAAADgAAAAAAAAABACAAAAAm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int="eastAsia" w:ascii="宋体" w:hAnsi="宋体" w:cs="宋体"/>
          <w:b/>
          <w:bCs/>
          <w:color w:val="auto"/>
          <w:sz w:val="24"/>
          <w:szCs w:val="24"/>
          <w:highlight w:val="none"/>
        </w:rPr>
        <w:t xml:space="preserve">86.1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合同双方当事人在收到监理工程师或造价工程师的暂定结果之日起，超过14天，未对暂定结果予以确认也未提出意见的，视为合同双方当事人已认可暂定结果。</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86.2  </w:t>
      </w:r>
    </w:p>
    <w:p>
      <w:pPr>
        <w:tabs>
          <w:tab w:val="left" w:pos="1320"/>
        </w:tabs>
        <w:adjustRightInd w:val="0"/>
        <w:snapToGrid w:val="0"/>
        <w:spacing w:line="360" w:lineRule="auto"/>
        <w:ind w:left="1680" w:leftChars="800"/>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51" name="文本框 51"/>
                <wp:cNvGraphicFramePr/>
                <a:graphic xmlns:a="http://schemas.openxmlformats.org/drawingml/2006/main">
                  <a:graphicData uri="http://schemas.microsoft.com/office/word/2010/wordprocessingShape">
                    <wps:wsp>
                      <wps:cNvSpPr txBox="1">
                        <a:spLocks noChangeArrowheads="1"/>
                      </wps:cNvSpPr>
                      <wps:spPr bwMode="auto">
                        <a:xfrm>
                          <a:off x="0" y="0"/>
                          <a:ext cx="800100" cy="3733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pt;height:29.4pt;width:63pt;z-index:252047360;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b9mWnUAAAACAEAAA8A&#10;AAAAAAAAAQAgAAAAIgAAAGRycy9kb3ducmV2LnhtbFBLAQIUABQAAAAIAIdO4kCwELtxGwIAACQ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宋体" w:hAnsi="宋体" w:cs="宋体"/>
          <w:color w:val="auto"/>
          <w:sz w:val="24"/>
          <w:szCs w:val="24"/>
          <w:highlight w:val="none"/>
        </w:rPr>
        <w:t>争议发生后的14天内，合同双方当事人可进一步进行协商。协商达成一致的，合同双方当事人应签订书面协议，并将结果抄送监理工程师或造价工程师；协商仍不能达成一致的，按照第86.3款至第86.6款规定进行调解或认定、仲裁或诉讼。</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86.3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50" name="文本框 50"/>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pt;height:25.6pt;width:81pt;z-index:252048384;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NXgIh1AAAAAgBAAAP&#10;AAAAAAAAAAEAIAAAACIAAABkcnMvZG93bnJldi54bWxQSwECFAAUAAAACACHTuJAP/cVGBwCAAAl&#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宋体" w:hAnsi="宋体" w:cs="宋体"/>
          <w:color w:val="auto"/>
          <w:sz w:val="24"/>
          <w:szCs w:val="24"/>
          <w:highlight w:val="none"/>
        </w:rPr>
        <w:t>合同双方当事人没有按照第86.2款规定进一步协商的，或虽然协商但未在规定期限内达成一致的，合同双方或一方当事人可在争议发生后的28天内，将争议提交争议调解或认定机构处理，或直接按照专用条款第86.6款规定提请仲裁或诉讼。</w:t>
      </w:r>
    </w:p>
    <w:p>
      <w:pPr>
        <w:tabs>
          <w:tab w:val="left" w:pos="1320"/>
        </w:tabs>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86.4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49"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7pt;height:29.8pt;width:81pt;z-index:252049408;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4X5nVAAAACAEA&#10;AA8AAAAAAAAAAQAgAAAAIgAAAGRycy9kb3ducmV2LnhtbFBLAQIUABQAAAAIAIdO4kBfr9zYHQIA&#10;ACU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宋体" w:hAnsi="宋体" w:cs="宋体"/>
          <w:color w:val="auto"/>
          <w:sz w:val="24"/>
          <w:szCs w:val="24"/>
          <w:highlight w:val="none"/>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(1) 建设工程安全监督机构，负责有关工程安全方面争议的调解或认定；</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(2) 建设工程质量监督机构，负责有关工程质量方面争议的调解或认定；</w:t>
      </w:r>
    </w:p>
    <w:p>
      <w:pPr>
        <w:adjustRightInd w:val="0"/>
        <w:snapToGrid w:val="0"/>
        <w:spacing w:line="360" w:lineRule="auto"/>
        <w:ind w:left="1620"/>
        <w:rPr>
          <w:rFonts w:ascii="宋体" w:hAnsi="宋体" w:cs="宋体"/>
          <w:b/>
          <w:bCs/>
          <w:color w:val="auto"/>
          <w:sz w:val="24"/>
          <w:szCs w:val="24"/>
          <w:highlight w:val="none"/>
        </w:rPr>
      </w:pPr>
      <w:r>
        <w:rPr>
          <w:rFonts w:hint="eastAsia" w:ascii="宋体" w:hAnsi="宋体" w:cs="宋体"/>
          <w:color w:val="auto"/>
          <w:sz w:val="24"/>
          <w:szCs w:val="24"/>
          <w:highlight w:val="none"/>
        </w:rPr>
        <w:t>(3) 建设工程造价管理机构，负责有关工程造价方面争议的调解或认定。</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86.5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48"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5pt;height:36.6pt;width:72pt;z-index:252050432;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ba03VAAAACAEAAA8A&#10;AAAAAAAAAQAgAAAAIgAAAGRycy9kb3ducmV2LnhtbFBLAQIUABQAAAAIAIdO4kDpvDbf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宋体" w:hAnsi="宋体" w:cs="宋体"/>
          <w:color w:val="auto"/>
          <w:sz w:val="24"/>
          <w:szCs w:val="24"/>
          <w:highlight w:val="none"/>
        </w:rPr>
        <w:t>合同双方当事人应在收到争议调解或认定机构书面结果后的28天内，对调解或认定结果以书面形式予以确认。</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86.6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47"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5pt;height:26.35pt;width:81pt;z-index:252051456;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gn6sjVAAAACAEA&#10;AA8AAAAAAAAAAQAgAAAAIgAAAGRycy9kb3ducmV2LnhtbFBLAQIUABQAAAAIAIdO4kC8Pu3WHQIA&#10;ACU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宋体" w:hAnsi="宋体" w:cs="宋体"/>
          <w:color w:val="auto"/>
          <w:sz w:val="24"/>
          <w:szCs w:val="24"/>
          <w:highlight w:val="none"/>
        </w:rPr>
        <w:t>若合同双方或一方当事人在收到争议调解或认定机构的书面结果后明确表示不同意，或在28天内没有书面确认，任何一方均可按照专用条款约定的下列任一种方式解决争议：</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(1) 向约定的仲裁委员会申请仲裁；</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(2) 向有管辖权的人民法院提起诉讼。</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86.7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46"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6.25pt;width:72pt;z-index:252052480;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6g5U1QAAAAgBAAAP&#10;AAAAAAAAAAEAIAAAACIAAABkcnMvZG93bnJldi54bWxQSwECFAAUAAAACACHTuJAx5jw1h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宋体" w:hAnsi="宋体" w:cs="宋体"/>
          <w:color w:val="auto"/>
          <w:sz w:val="24"/>
          <w:szCs w:val="24"/>
          <w:highlight w:val="none"/>
        </w:rPr>
        <w:t>争议期间，除下列情况停止施工外，合同双方当事人都应继续履行合同，保持工程连续施工，保护好已完工程：</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(1) 合同双方当事人协商同意；</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(2) 合同一方当事人违约导致合同无法履行；</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(3) 工程造价管理机构调解需要，且合同双方当事人同意；</w:t>
      </w:r>
    </w:p>
    <w:p>
      <w:pPr>
        <w:adjustRightInd w:val="0"/>
        <w:snapToGrid w:val="0"/>
        <w:spacing w:line="360" w:lineRule="auto"/>
        <w:ind w:left="1620"/>
        <w:rPr>
          <w:rFonts w:ascii="宋体" w:hAnsi="宋体" w:cs="宋体"/>
          <w:color w:val="auto"/>
          <w:sz w:val="24"/>
          <w:szCs w:val="24"/>
          <w:highlight w:val="none"/>
        </w:rPr>
      </w:pPr>
      <w:r>
        <w:rPr>
          <w:rFonts w:hint="eastAsia" w:ascii="宋体" w:hAnsi="宋体" w:cs="宋体"/>
          <w:color w:val="auto"/>
          <w:sz w:val="24"/>
          <w:szCs w:val="24"/>
          <w:highlight w:val="none"/>
        </w:rPr>
        <w:t>(4) 仲裁委员会仲裁需要，且合同双方当事人同意：</w:t>
      </w:r>
    </w:p>
    <w:p>
      <w:pPr>
        <w:adjustRightInd w:val="0"/>
        <w:snapToGrid w:val="0"/>
        <w:spacing w:line="360" w:lineRule="auto"/>
        <w:ind w:firstLine="1560" w:firstLineChars="650"/>
        <w:rPr>
          <w:rFonts w:ascii="宋体" w:hAnsi="宋体" w:cs="宋体"/>
          <w:color w:val="auto"/>
          <w:sz w:val="24"/>
          <w:szCs w:val="24"/>
          <w:highlight w:val="none"/>
        </w:rPr>
      </w:pPr>
      <w:r>
        <w:rPr>
          <w:rFonts w:hint="eastAsia" w:ascii="宋体" w:hAnsi="宋体" w:cs="宋体"/>
          <w:color w:val="auto"/>
          <w:sz w:val="24"/>
          <w:szCs w:val="24"/>
          <w:highlight w:val="none"/>
        </w:rPr>
        <w:t>(5) 人民法院诉讼需要。</w:t>
      </w:r>
    </w:p>
    <w:p>
      <w:pPr>
        <w:tabs>
          <w:tab w:val="left" w:pos="1620"/>
        </w:tabs>
        <w:adjustRightInd w:val="0"/>
        <w:snapToGrid w:val="0"/>
        <w:spacing w:line="240" w:lineRule="exact"/>
        <w:ind w:right="-240"/>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282" w:name="_Toc18351"/>
      <w:bookmarkStart w:id="1283" w:name="_Toc469384071"/>
      <w:bookmarkStart w:id="1284" w:name="_Toc10749"/>
      <w:bookmarkStart w:id="1285" w:name="_Toc2022062079"/>
      <w:bookmarkStart w:id="1286" w:name="_Toc882370987"/>
      <w:bookmarkStart w:id="1287" w:name="_Toc13059"/>
      <w:bookmarkStart w:id="1288" w:name="_Toc11502"/>
      <w:bookmarkStart w:id="1289" w:name="_Toc2014"/>
      <w:bookmarkStart w:id="1290" w:name="_Toc20351"/>
      <w:r>
        <w:rPr>
          <w:rFonts w:hint="eastAsia" w:ascii="宋体" w:hAnsi="宋体" w:cs="宋体"/>
          <w:b/>
          <w:bCs/>
          <w:color w:val="auto"/>
          <w:sz w:val="24"/>
          <w:szCs w:val="24"/>
          <w:highlight w:val="none"/>
        </w:rPr>
        <w:t>87  合同解除</w:t>
      </w:r>
      <w:bookmarkEnd w:id="1282"/>
      <w:bookmarkEnd w:id="1283"/>
      <w:bookmarkEnd w:id="1284"/>
      <w:bookmarkEnd w:id="1285"/>
      <w:bookmarkEnd w:id="1286"/>
      <w:bookmarkEnd w:id="1287"/>
      <w:bookmarkEnd w:id="1288"/>
      <w:bookmarkEnd w:id="1289"/>
      <w:bookmarkEnd w:id="1290"/>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87.1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45" name="文本框 45"/>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20.75pt;width:81pt;z-index:252053504;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uybptQAAAAIAQAA&#10;DwAAAAAAAAABACAAAAAiAAAAZHJzL2Rvd25yZXYueG1sUEsBAhQAFAAAAAgAh07iQGNLVUQdAgAA&#10;JQQAAA4AAAAAAAAAAQAgAAAAIw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宋体" w:hAnsi="宋体" w:cs="宋体"/>
          <w:color w:val="auto"/>
          <w:sz w:val="24"/>
          <w:szCs w:val="24"/>
          <w:highlight w:val="none"/>
        </w:rPr>
        <w:t>合同双方当事人协商一致，可以解除合同。</w:t>
      </w:r>
    </w:p>
    <w:p>
      <w:pPr>
        <w:rPr>
          <w:rFonts w:ascii="宋体" w:hAnsi="宋体" w:cs="宋体"/>
          <w:color w:val="auto"/>
          <w:highlight w:val="none"/>
        </w:rPr>
      </w:pPr>
    </w:p>
    <w:p>
      <w:pPr>
        <w:tabs>
          <w:tab w:val="left" w:pos="1320"/>
        </w:tabs>
        <w:adjustRightInd w:val="0"/>
        <w:snapToGrid w:val="0"/>
        <w:spacing w:line="360" w:lineRule="auto"/>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44" name="文本框 44"/>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95pt;height:39pt;width:72pt;z-index:252054528;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Pj51wAAAAoBAAAP&#10;AAAAAAAAAAEAIAAAACIAAABkcnMvZG93bnJldi54bWxQSwECFAAUAAAACACHTuJAWzBwAxkCAAAk&#10;BAAADgAAAAAAAAABACAAAAAm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宋体" w:hAnsi="宋体" w:cs="宋体"/>
          <w:b/>
          <w:bCs/>
          <w:color w:val="auto"/>
          <w:sz w:val="24"/>
          <w:szCs w:val="24"/>
          <w:highlight w:val="none"/>
        </w:rPr>
        <w:t xml:space="preserve">87.2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因不可抗力事件致使合同无法继续履行的，合同双方当事人可以解除合同。</w:t>
      </w:r>
    </w:p>
    <w:p>
      <w:pPr>
        <w:rPr>
          <w:rFonts w:ascii="宋体" w:hAnsi="宋体" w:cs="宋体"/>
          <w:color w:val="auto"/>
          <w:highlight w:val="none"/>
        </w:rPr>
      </w:pPr>
    </w:p>
    <w:p>
      <w:pPr>
        <w:tabs>
          <w:tab w:val="left" w:pos="1320"/>
        </w:tabs>
        <w:adjustRightInd w:val="0"/>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87.3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43"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95pt;height:31.85pt;width:72pt;z-index:252055552;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rf/PnVAAAACAEAAA8A&#10;AAAAAAAAAQAgAAAAIgAAAGRycy9kb3ducmV2LnhtbFBLAQIUABQAAAAIAIdO4kDjGaNd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宋体" w:hAnsi="宋体" w:cs="宋体"/>
          <w:color w:val="auto"/>
          <w:sz w:val="24"/>
          <w:szCs w:val="24"/>
          <w:highlight w:val="none"/>
        </w:rPr>
        <w:t>承包人有下列情形之一者，发包人可以解除合同：</w:t>
      </w:r>
    </w:p>
    <w:p>
      <w:pPr>
        <w:numPr>
          <w:ilvl w:val="0"/>
          <w:numId w:val="27"/>
        </w:numPr>
        <w:adjustRightInd w:val="0"/>
        <w:snapToGrid w:val="0"/>
        <w:spacing w:line="360" w:lineRule="auto"/>
        <w:ind w:left="1618" w:leftChars="770" w:hanging="1"/>
        <w:rPr>
          <w:rFonts w:ascii="宋体" w:hAnsi="宋体" w:cs="宋体"/>
          <w:color w:val="auto"/>
          <w:sz w:val="24"/>
          <w:szCs w:val="24"/>
          <w:highlight w:val="none"/>
        </w:rPr>
      </w:pPr>
      <w:r>
        <w:rPr>
          <w:rFonts w:hint="eastAsia" w:ascii="宋体" w:hAnsi="宋体" w:cs="宋体"/>
          <w:color w:val="auto"/>
          <w:sz w:val="24"/>
          <w:szCs w:val="24"/>
          <w:highlight w:val="none"/>
        </w:rPr>
        <w:t>承包人未能按照第34.2款规定的开工期限内开工，经监理工程师催告后的28天内仍未开工的；</w:t>
      </w:r>
    </w:p>
    <w:p>
      <w:pPr>
        <w:numPr>
          <w:ilvl w:val="0"/>
          <w:numId w:val="27"/>
        </w:numPr>
        <w:adjustRightInd w:val="0"/>
        <w:snapToGrid w:val="0"/>
        <w:spacing w:line="360" w:lineRule="auto"/>
        <w:ind w:left="1621" w:leftChars="771" w:hanging="2"/>
        <w:rPr>
          <w:rFonts w:ascii="宋体" w:hAnsi="宋体" w:cs="宋体"/>
          <w:color w:val="auto"/>
          <w:sz w:val="24"/>
          <w:szCs w:val="24"/>
          <w:highlight w:val="none"/>
        </w:rPr>
      </w:pPr>
      <w:r>
        <w:rPr>
          <w:rFonts w:hint="eastAsia" w:ascii="宋体" w:hAnsi="宋体" w:cs="宋体"/>
          <w:color w:val="auto"/>
          <w:sz w:val="24"/>
          <w:szCs w:val="24"/>
          <w:highlight w:val="none"/>
        </w:rPr>
        <w:t>按照第33条规定的进度计划未表明有停工且监理工程师也未按照第35.1款规定发出暂停施工令，但承包人停止施工时间持续达56天或累计停止施工时间达70天的；</w:t>
      </w:r>
    </w:p>
    <w:p>
      <w:pPr>
        <w:numPr>
          <w:ilvl w:val="0"/>
          <w:numId w:val="27"/>
        </w:numPr>
        <w:tabs>
          <w:tab w:val="left" w:pos="1680"/>
        </w:tabs>
        <w:adjustRightInd w:val="0"/>
        <w:snapToGrid w:val="0"/>
        <w:spacing w:line="360" w:lineRule="auto"/>
        <w:ind w:left="1659" w:leftChars="770" w:hanging="42"/>
        <w:rPr>
          <w:rFonts w:ascii="宋体" w:hAnsi="宋体" w:cs="宋体"/>
          <w:color w:val="auto"/>
          <w:sz w:val="24"/>
          <w:szCs w:val="24"/>
          <w:highlight w:val="none"/>
        </w:rPr>
      </w:pPr>
      <w:r>
        <w:rPr>
          <w:rFonts w:hint="eastAsia" w:ascii="宋体" w:hAnsi="宋体" w:cs="宋体"/>
          <w:color w:val="auto"/>
          <w:sz w:val="24"/>
          <w:szCs w:val="24"/>
          <w:highlight w:val="none"/>
        </w:rPr>
        <w:t>承包人违反第18.1款或第51.4款规定未经监理工程师批准，私自将已按照合同约定进入施工现场的施工设备、临时设施或材料运出施工现场的；</w:t>
      </w:r>
    </w:p>
    <w:p>
      <w:pPr>
        <w:numPr>
          <w:ilvl w:val="0"/>
          <w:numId w:val="27"/>
        </w:numPr>
        <w:adjustRightInd w:val="0"/>
        <w:snapToGrid w:val="0"/>
        <w:spacing w:line="360" w:lineRule="auto"/>
        <w:ind w:left="1678" w:leftChars="799" w:firstLine="2"/>
        <w:rPr>
          <w:rFonts w:ascii="宋体" w:hAnsi="宋体" w:cs="宋体"/>
          <w:color w:val="auto"/>
          <w:sz w:val="24"/>
          <w:szCs w:val="24"/>
          <w:highlight w:val="none"/>
        </w:rPr>
      </w:pPr>
      <w:r>
        <w:rPr>
          <w:rFonts w:hint="eastAsia" w:ascii="宋体" w:hAnsi="宋体" w:cs="宋体"/>
          <w:color w:val="auto"/>
          <w:sz w:val="24"/>
          <w:szCs w:val="24"/>
          <w:highlight w:val="none"/>
        </w:rPr>
        <w:t>承包人拖延完工且能偿付的误期赔偿费已达到专用条款约定最高限额的；</w:t>
      </w:r>
    </w:p>
    <w:p>
      <w:pPr>
        <w:numPr>
          <w:ilvl w:val="0"/>
          <w:numId w:val="27"/>
        </w:numPr>
        <w:adjustRightInd w:val="0"/>
        <w:snapToGrid w:val="0"/>
        <w:spacing w:line="360" w:lineRule="auto"/>
        <w:ind w:left="2096" w:leftChars="771" w:hanging="477" w:hangingChars="199"/>
        <w:rPr>
          <w:rFonts w:ascii="宋体" w:hAnsi="宋体" w:cs="宋体"/>
          <w:color w:val="auto"/>
          <w:sz w:val="24"/>
          <w:szCs w:val="24"/>
          <w:highlight w:val="none"/>
        </w:rPr>
      </w:pPr>
      <w:r>
        <w:rPr>
          <w:rFonts w:hint="eastAsia" w:ascii="宋体" w:hAnsi="宋体" w:cs="宋体"/>
          <w:color w:val="auto"/>
          <w:sz w:val="24"/>
          <w:szCs w:val="24"/>
          <w:highlight w:val="none"/>
        </w:rPr>
        <w:t>承包人转包工程、违法分包或未经许可擅自分包工程的；</w:t>
      </w:r>
    </w:p>
    <w:p>
      <w:pPr>
        <w:numPr>
          <w:ilvl w:val="0"/>
          <w:numId w:val="27"/>
        </w:numPr>
        <w:adjustRightInd w:val="0"/>
        <w:snapToGrid w:val="0"/>
        <w:spacing w:line="360" w:lineRule="auto"/>
        <w:ind w:left="1617" w:leftChars="770" w:firstLine="2"/>
        <w:rPr>
          <w:rFonts w:ascii="宋体" w:hAnsi="宋体" w:cs="宋体"/>
          <w:color w:val="auto"/>
          <w:sz w:val="24"/>
          <w:szCs w:val="24"/>
          <w:highlight w:val="none"/>
        </w:rPr>
      </w:pPr>
      <w:r>
        <w:rPr>
          <w:rFonts w:hint="eastAsia" w:ascii="宋体" w:hAnsi="宋体" w:cs="宋体"/>
          <w:color w:val="auto"/>
          <w:sz w:val="24"/>
          <w:szCs w:val="24"/>
          <w:highlight w:val="none"/>
        </w:rPr>
        <w:t>承包人未按照合同约定或监理工程师的指令，经监理工程师书面指出后仍未按要求改正的；</w:t>
      </w:r>
    </w:p>
    <w:p>
      <w:pPr>
        <w:numPr>
          <w:ilvl w:val="0"/>
          <w:numId w:val="27"/>
        </w:numPr>
        <w:adjustRightInd w:val="0"/>
        <w:snapToGrid w:val="0"/>
        <w:spacing w:line="360" w:lineRule="auto"/>
        <w:ind w:left="2096" w:leftChars="771" w:hanging="477" w:hangingChars="199"/>
        <w:rPr>
          <w:rFonts w:ascii="宋体" w:hAnsi="宋体" w:cs="宋体"/>
          <w:color w:val="auto"/>
          <w:sz w:val="24"/>
          <w:szCs w:val="24"/>
          <w:highlight w:val="none"/>
        </w:rPr>
      </w:pPr>
      <w:r>
        <w:rPr>
          <w:rFonts w:hint="eastAsia" w:ascii="宋体" w:hAnsi="宋体" w:cs="宋体"/>
          <w:color w:val="auto"/>
          <w:sz w:val="24"/>
          <w:szCs w:val="24"/>
          <w:highlight w:val="none"/>
        </w:rPr>
        <w:t>承包人履行合同期间有欺诈行为的；</w:t>
      </w:r>
    </w:p>
    <w:p>
      <w:pPr>
        <w:numPr>
          <w:ilvl w:val="0"/>
          <w:numId w:val="27"/>
        </w:numPr>
        <w:adjustRightInd w:val="0"/>
        <w:snapToGrid w:val="0"/>
        <w:spacing w:line="360" w:lineRule="auto"/>
        <w:ind w:left="1618" w:leftChars="770" w:hanging="1"/>
        <w:rPr>
          <w:rFonts w:ascii="宋体" w:hAnsi="宋体" w:cs="宋体"/>
          <w:color w:val="auto"/>
          <w:sz w:val="24"/>
          <w:szCs w:val="24"/>
          <w:highlight w:val="none"/>
        </w:rPr>
      </w:pPr>
      <w:r>
        <w:rPr>
          <w:rFonts w:hint="eastAsia" w:ascii="宋体" w:hAnsi="宋体" w:cs="宋体"/>
          <w:color w:val="auto"/>
          <w:sz w:val="24"/>
          <w:szCs w:val="24"/>
          <w:highlight w:val="none"/>
        </w:rPr>
        <w:t>承包人向任何人付给或企图付给任何贿赂、礼品、赏金、回扣或其他贵重物品，以引诱或报偿他人，但付给承包人相关人员的奖励则属例外；</w:t>
      </w:r>
    </w:p>
    <w:p>
      <w:pPr>
        <w:adjustRightInd w:val="0"/>
        <w:snapToGrid w:val="0"/>
        <w:spacing w:line="360" w:lineRule="auto"/>
        <w:ind w:left="1617"/>
        <w:rPr>
          <w:rFonts w:ascii="宋体" w:hAnsi="宋体" w:cs="宋体"/>
          <w:color w:val="auto"/>
          <w:sz w:val="24"/>
          <w:szCs w:val="24"/>
          <w:highlight w:val="none"/>
        </w:rPr>
      </w:pPr>
      <w:r>
        <w:rPr>
          <w:rFonts w:hint="eastAsia" w:ascii="宋体" w:hAnsi="宋体" w:cs="宋体"/>
          <w:color w:val="auto"/>
          <w:sz w:val="24"/>
          <w:szCs w:val="24"/>
          <w:highlight w:val="none"/>
        </w:rPr>
        <w:t>(9)承包人在缺陷责任期内未能对发生的缺陷进行修复，且又拒绝按照监理工程师指令再进行修补的；</w:t>
      </w:r>
    </w:p>
    <w:p>
      <w:pPr>
        <w:adjustRightInd w:val="0"/>
        <w:snapToGrid w:val="0"/>
        <w:spacing w:line="360" w:lineRule="auto"/>
        <w:ind w:left="1680" w:leftChars="800"/>
        <w:rPr>
          <w:rFonts w:ascii="宋体" w:hAnsi="宋体" w:cs="宋体"/>
          <w:color w:val="auto"/>
          <w:sz w:val="24"/>
          <w:szCs w:val="24"/>
          <w:highlight w:val="none"/>
        </w:rPr>
      </w:pPr>
      <w:r>
        <w:rPr>
          <w:rFonts w:hint="eastAsia" w:ascii="宋体" w:hAnsi="宋体" w:cs="宋体"/>
          <w:color w:val="auto"/>
          <w:sz w:val="24"/>
          <w:szCs w:val="24"/>
          <w:highlight w:val="none"/>
        </w:rPr>
        <w:t>(10)承包人无法继续履行、明确表示或以行为表明不履行合同约定主要义务的；</w:t>
      </w:r>
    </w:p>
    <w:p>
      <w:pPr>
        <w:adjustRightInd w:val="0"/>
        <w:snapToGrid w:val="0"/>
        <w:spacing w:line="360" w:lineRule="auto"/>
        <w:ind w:left="1680"/>
        <w:rPr>
          <w:rFonts w:ascii="宋体" w:hAnsi="宋体" w:cs="宋体"/>
          <w:color w:val="auto"/>
          <w:sz w:val="24"/>
          <w:szCs w:val="24"/>
          <w:highlight w:val="none"/>
        </w:rPr>
      </w:pPr>
      <w:r>
        <w:rPr>
          <w:rFonts w:hint="eastAsia" w:ascii="宋体" w:hAnsi="宋体" w:cs="宋体"/>
          <w:color w:val="auto"/>
          <w:sz w:val="24"/>
          <w:szCs w:val="24"/>
          <w:highlight w:val="none"/>
        </w:rPr>
        <w:t>(11)承包人延迟履行合同约定主要义务，经催告后在合理期限内仍未履行的；</w:t>
      </w:r>
    </w:p>
    <w:p>
      <w:pPr>
        <w:adjustRightInd w:val="0"/>
        <w:snapToGrid w:val="0"/>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(12)承包人破产或清偿的，但以机构重组或联合为目的的除外；</w:t>
      </w:r>
    </w:p>
    <w:p>
      <w:pPr>
        <w:adjustRightInd w:val="0"/>
        <w:snapToGrid w:val="0"/>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(13)承包人被认为是严重违反合同的其他违约行为。</w:t>
      </w:r>
    </w:p>
    <w:p>
      <w:pPr>
        <w:adjustRightInd w:val="0"/>
        <w:snapToGrid w:val="0"/>
        <w:spacing w:line="360" w:lineRule="auto"/>
        <w:ind w:left="1619" w:leftChars="771"/>
        <w:rPr>
          <w:rFonts w:ascii="宋体" w:hAnsi="宋体" w:cs="宋体"/>
          <w:b/>
          <w:bCs/>
          <w:color w:val="auto"/>
          <w:sz w:val="24"/>
          <w:szCs w:val="24"/>
          <w:highlight w:val="none"/>
        </w:rPr>
      </w:pPr>
      <w:r>
        <w:rPr>
          <w:rFonts w:hint="eastAsia" w:ascii="宋体" w:hAnsi="宋体" w:cs="宋体"/>
          <w:color w:val="auto"/>
          <w:sz w:val="24"/>
          <w:szCs w:val="24"/>
          <w:highlight w:val="none"/>
        </w:rPr>
        <w:t>在这种情况下，发包人可自行或委托第三方实施、完成合同工程或其任何部分，并可使用根据第18.2款留下的承包人临时工程，直至永久工程完工为止。</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87.4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42"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35pt;height:39.65pt;width:72pt;z-index:252056576;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mPLjjVAAAACAEAAA8A&#10;AAAAAAAAAQAgAAAAIgAAAGRycy9kb3ducmV2LnhtbFBLAQIUABQAAAAIAIdO4kDcHBZt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宋体" w:hAnsi="宋体" w:cs="宋体"/>
          <w:color w:val="auto"/>
          <w:sz w:val="24"/>
          <w:szCs w:val="24"/>
          <w:highlight w:val="none"/>
        </w:rPr>
        <w:t>发包人有下列情形之一者，承包人可以解除合同：</w:t>
      </w:r>
    </w:p>
    <w:p>
      <w:pPr>
        <w:numPr>
          <w:ilvl w:val="0"/>
          <w:numId w:val="28"/>
        </w:numPr>
        <w:tabs>
          <w:tab w:val="left" w:pos="2160"/>
        </w:tabs>
        <w:adjustRightInd w:val="0"/>
        <w:snapToGrid w:val="0"/>
        <w:spacing w:line="360" w:lineRule="auto"/>
        <w:ind w:left="1619" w:leftChars="771" w:firstLine="1"/>
        <w:rPr>
          <w:rFonts w:ascii="宋体" w:hAnsi="宋体" w:cs="宋体"/>
          <w:color w:val="auto"/>
          <w:sz w:val="24"/>
          <w:szCs w:val="24"/>
          <w:highlight w:val="none"/>
        </w:rPr>
      </w:pPr>
      <w:r>
        <w:rPr>
          <w:rFonts w:hint="eastAsia" w:ascii="宋体" w:hAnsi="宋体" w:cs="宋体"/>
          <w:color w:val="auto"/>
          <w:sz w:val="24"/>
          <w:szCs w:val="24"/>
          <w:highlight w:val="none"/>
        </w:rPr>
        <w:t>非承包人原因未按照第34.2款规定期限内发出开工令，经承包人催告后28天内仍未发出开工令的；</w:t>
      </w:r>
    </w:p>
    <w:p>
      <w:pPr>
        <w:numPr>
          <w:ilvl w:val="0"/>
          <w:numId w:val="28"/>
        </w:numPr>
        <w:tabs>
          <w:tab w:val="left" w:pos="2160"/>
        </w:tabs>
        <w:adjustRightInd w:val="0"/>
        <w:snapToGrid w:val="0"/>
        <w:spacing w:line="360" w:lineRule="auto"/>
        <w:ind w:left="1620" w:leftChars="771" w:hanging="1"/>
        <w:rPr>
          <w:rFonts w:ascii="宋体" w:hAnsi="宋体" w:cs="宋体"/>
          <w:color w:val="auto"/>
          <w:sz w:val="24"/>
          <w:szCs w:val="24"/>
          <w:highlight w:val="none"/>
        </w:rPr>
      </w:pPr>
      <w:r>
        <w:rPr>
          <w:rFonts w:hint="eastAsia" w:ascii="宋体" w:hAnsi="宋体" w:cs="宋体"/>
          <w:color w:val="auto"/>
          <w:sz w:val="24"/>
          <w:szCs w:val="24"/>
          <w:highlight w:val="none"/>
        </w:rPr>
        <w:t>按照第35.3款规定非承包人原因造成暂停施工持续56天以上或累计停工时间超过了70天的；</w:t>
      </w:r>
    </w:p>
    <w:p>
      <w:pPr>
        <w:numPr>
          <w:ilvl w:val="0"/>
          <w:numId w:val="28"/>
        </w:numPr>
        <w:tabs>
          <w:tab w:val="left" w:pos="1800"/>
        </w:tabs>
        <w:adjustRightInd w:val="0"/>
        <w:snapToGrid w:val="0"/>
        <w:spacing w:line="360" w:lineRule="auto"/>
        <w:ind w:left="1620" w:leftChars="771" w:hanging="1"/>
        <w:rPr>
          <w:rFonts w:ascii="宋体" w:hAnsi="宋体" w:cs="宋体"/>
          <w:color w:val="auto"/>
          <w:sz w:val="24"/>
          <w:szCs w:val="24"/>
          <w:highlight w:val="none"/>
        </w:rPr>
      </w:pPr>
      <w:r>
        <w:rPr>
          <w:rFonts w:hint="eastAsia" w:ascii="宋体" w:hAnsi="宋体" w:cs="宋体"/>
          <w:color w:val="auto"/>
          <w:sz w:val="24"/>
          <w:szCs w:val="24"/>
          <w:highlight w:val="none"/>
        </w:rPr>
        <w:t>发包人按照第5条规定提供的施工设计图纸存在缺陷或按照第48条规定供应的材料和工程设备不符合强制性标准，致使承包人无法施工，经承包人催告后28天内仍未修正或更换的；</w:t>
      </w:r>
    </w:p>
    <w:p>
      <w:pPr>
        <w:numPr>
          <w:ilvl w:val="0"/>
          <w:numId w:val="28"/>
        </w:numPr>
        <w:tabs>
          <w:tab w:val="left" w:pos="2160"/>
        </w:tabs>
        <w:adjustRightInd w:val="0"/>
        <w:snapToGrid w:val="0"/>
        <w:spacing w:line="360" w:lineRule="auto"/>
        <w:ind w:left="1620" w:leftChars="771" w:hanging="1"/>
        <w:rPr>
          <w:rFonts w:ascii="宋体" w:hAnsi="宋体" w:cs="宋体"/>
          <w:color w:val="auto"/>
          <w:sz w:val="24"/>
          <w:szCs w:val="24"/>
          <w:highlight w:val="none"/>
        </w:rPr>
      </w:pPr>
      <w:r>
        <w:rPr>
          <w:rFonts w:hint="eastAsia" w:ascii="宋体" w:hAnsi="宋体" w:cs="宋体"/>
          <w:color w:val="auto"/>
          <w:sz w:val="24"/>
          <w:szCs w:val="24"/>
          <w:highlight w:val="none"/>
        </w:rPr>
        <w:t>监理工程师未按照合同约定及时发出工作指令，导致承包人无法继续施工的；</w:t>
      </w:r>
    </w:p>
    <w:p>
      <w:pPr>
        <w:numPr>
          <w:ilvl w:val="0"/>
          <w:numId w:val="28"/>
        </w:numPr>
        <w:tabs>
          <w:tab w:val="left" w:pos="2160"/>
        </w:tabs>
        <w:adjustRightInd w:val="0"/>
        <w:snapToGrid w:val="0"/>
        <w:spacing w:line="360" w:lineRule="auto"/>
        <w:ind w:left="1620" w:leftChars="771" w:hanging="1"/>
        <w:rPr>
          <w:rFonts w:ascii="宋体" w:hAnsi="宋体" w:cs="宋体"/>
          <w:color w:val="auto"/>
          <w:sz w:val="24"/>
          <w:szCs w:val="24"/>
          <w:highlight w:val="none"/>
        </w:rPr>
      </w:pPr>
      <w:r>
        <w:rPr>
          <w:rFonts w:hint="eastAsia" w:ascii="宋体" w:hAnsi="宋体" w:cs="宋体"/>
          <w:color w:val="auto"/>
          <w:sz w:val="24"/>
          <w:szCs w:val="24"/>
          <w:highlight w:val="none"/>
        </w:rPr>
        <w:t>发包人未按照第78.1款规定向承包人支付工程款，经承包人催告后28天内仍未支付的；</w:t>
      </w:r>
    </w:p>
    <w:p>
      <w:pPr>
        <w:numPr>
          <w:ilvl w:val="0"/>
          <w:numId w:val="28"/>
        </w:numPr>
        <w:tabs>
          <w:tab w:val="left" w:pos="2160"/>
        </w:tabs>
        <w:adjustRightInd w:val="0"/>
        <w:snapToGrid w:val="0"/>
        <w:spacing w:line="360" w:lineRule="auto"/>
        <w:ind w:left="1620" w:leftChars="771" w:hanging="1"/>
        <w:rPr>
          <w:rFonts w:ascii="宋体" w:hAnsi="宋体" w:cs="宋体"/>
          <w:color w:val="auto"/>
          <w:sz w:val="24"/>
          <w:szCs w:val="24"/>
          <w:highlight w:val="none"/>
        </w:rPr>
      </w:pPr>
      <w:r>
        <w:rPr>
          <w:rFonts w:hint="eastAsia" w:ascii="宋体" w:hAnsi="宋体" w:cs="宋体"/>
          <w:color w:val="auto"/>
          <w:sz w:val="24"/>
          <w:szCs w:val="24"/>
          <w:highlight w:val="none"/>
        </w:rPr>
        <w:t>发包人无法继续履行、明确表示或以行为表明不履行合同约定主要义务的；</w:t>
      </w:r>
    </w:p>
    <w:p>
      <w:pPr>
        <w:tabs>
          <w:tab w:val="left" w:pos="2160"/>
        </w:tabs>
        <w:adjustRightInd w:val="0"/>
        <w:snapToGrid w:val="0"/>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(7)发包人延迟履行合同约定主要义务，经催告后在合理期限内仍未履行的；</w:t>
      </w:r>
    </w:p>
    <w:p>
      <w:pPr>
        <w:tabs>
          <w:tab w:val="left" w:pos="2160"/>
        </w:tabs>
        <w:adjustRightInd w:val="0"/>
        <w:snapToGrid w:val="0"/>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(8)发包人破产或清偿的，但以机构重组或联合为目的的除外；</w:t>
      </w:r>
    </w:p>
    <w:p>
      <w:pPr>
        <w:tabs>
          <w:tab w:val="left" w:pos="2160"/>
        </w:tabs>
        <w:adjustRightInd w:val="0"/>
        <w:snapToGrid w:val="0"/>
        <w:spacing w:line="360" w:lineRule="auto"/>
        <w:ind w:left="1619"/>
        <w:rPr>
          <w:rFonts w:ascii="宋体" w:hAnsi="宋体" w:cs="宋体"/>
          <w:color w:val="auto"/>
          <w:sz w:val="24"/>
          <w:szCs w:val="24"/>
          <w:highlight w:val="none"/>
        </w:rPr>
      </w:pPr>
      <w:r>
        <w:rPr>
          <w:rFonts w:hint="eastAsia" w:ascii="宋体" w:hAnsi="宋体" w:cs="宋体"/>
          <w:color w:val="auto"/>
          <w:sz w:val="24"/>
          <w:szCs w:val="24"/>
          <w:highlight w:val="none"/>
        </w:rPr>
        <w:t>(9)发包人被认为是严重违反合同的其他违约行为。</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41"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95pt;height:31.2pt;width:72pt;z-index:252057600;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kNbiNcAAAAJAQAA&#10;DwAAAAAAAAABACAAAAAiAAAAZHJzL2Rvd25yZXYueG1sUEsBAhQAFAAAAAgAh07iQEMgR0YaAgAA&#10;JAQAAA4AAAAAAAAAAQAgAAAAJg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宋体" w:hAnsi="宋体" w:cs="宋体"/>
          <w:b/>
          <w:bCs/>
          <w:color w:val="auto"/>
          <w:sz w:val="24"/>
          <w:szCs w:val="24"/>
          <w:highlight w:val="none"/>
        </w:rPr>
        <w:t xml:space="preserve">87.5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根据第87.2款至第87.4款规定要求解除合同的，解除方应以书面形式向另一方当事人发出解除合同的通知，另一方当事人收到通知时合同即告解除。对解除合同有争议的，应按照第86条规定处理。</w:t>
      </w:r>
    </w:p>
    <w:p>
      <w:pPr>
        <w:tabs>
          <w:tab w:val="left" w:pos="1320"/>
        </w:tabs>
        <w:adjustRightInd w:val="0"/>
        <w:snapToGrid w:val="0"/>
        <w:spacing w:line="48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87.6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4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5pt;height:46.8pt;width:72pt;z-index:252058624;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DGpytQAAAAIAQAADwAA&#10;AAAAAAABACAAAAAiAAAAZHJzL2Rvd25yZXYueG1sUEsBAhQAFAAAAAgAh07iQI6DQr0aAgAAJAQA&#10;AA4AAAAAAAAAAQAgAAAAIw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ascii="宋体" w:hAnsi="宋体" w:cs="宋体"/>
          <w:color w:val="auto"/>
          <w:sz w:val="24"/>
          <w:szCs w:val="24"/>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pPr>
        <w:adjustRightInd w:val="0"/>
        <w:snapToGrid w:val="0"/>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291" w:name="_Toc469384072"/>
      <w:bookmarkStart w:id="1292" w:name="_Toc22655"/>
      <w:bookmarkStart w:id="1293" w:name="_Toc32322"/>
      <w:bookmarkStart w:id="1294" w:name="_Toc1634595974"/>
      <w:bookmarkStart w:id="1295" w:name="_Toc868647978"/>
      <w:bookmarkStart w:id="1296" w:name="_Toc14398"/>
      <w:bookmarkStart w:id="1297" w:name="_Toc27505"/>
      <w:bookmarkStart w:id="1298" w:name="_Toc4718"/>
      <w:bookmarkStart w:id="1299" w:name="_Toc17385"/>
      <w:r>
        <w:rPr>
          <w:rFonts w:hint="eastAsia" w:ascii="宋体" w:hAnsi="宋体" w:cs="宋体"/>
          <w:b/>
          <w:bCs/>
          <w:color w:val="auto"/>
          <w:sz w:val="24"/>
          <w:szCs w:val="24"/>
          <w:highlight w:val="none"/>
        </w:rPr>
        <w:t>88  合同解除的支付</w:t>
      </w:r>
      <w:bookmarkEnd w:id="1291"/>
      <w:bookmarkEnd w:id="1292"/>
      <w:bookmarkEnd w:id="1293"/>
      <w:bookmarkEnd w:id="1294"/>
      <w:bookmarkEnd w:id="1295"/>
      <w:bookmarkEnd w:id="1296"/>
      <w:bookmarkEnd w:id="1297"/>
      <w:bookmarkEnd w:id="1298"/>
      <w:bookmarkEnd w:id="1299"/>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59648"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3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4.85pt;height:31.2pt;width:72pt;z-index:252059648;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ZEZdYAAAAJAQAA&#10;DwAAAAAAAAABACAAAAAiAAAAZHJzL2Rvd25yZXYueG1sUEsBAhQAFAAAAAgAh07iQAbRK4wbAgAA&#10;JA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宋体" w:hAnsi="宋体" w:cs="宋体"/>
          <w:b/>
          <w:bCs/>
          <w:color w:val="auto"/>
          <w:sz w:val="24"/>
          <w:szCs w:val="24"/>
          <w:highlight w:val="none"/>
        </w:rPr>
        <w:t xml:space="preserve">88.1     </w:t>
      </w:r>
    </w:p>
    <w:p>
      <w:pPr>
        <w:adjustRightInd w:val="0"/>
        <w:snapToGrid w:val="0"/>
        <w:spacing w:line="360" w:lineRule="auto"/>
        <w:ind w:firstLine="1680" w:firstLineChars="700"/>
        <w:rPr>
          <w:rFonts w:ascii="宋体" w:hAnsi="宋体" w:cs="宋体"/>
          <w:color w:val="auto"/>
          <w:sz w:val="24"/>
          <w:szCs w:val="24"/>
          <w:highlight w:val="none"/>
        </w:rPr>
      </w:pPr>
      <w:r>
        <w:rPr>
          <w:rFonts w:hint="eastAsia" w:ascii="宋体" w:hAnsi="宋体" w:cs="宋体"/>
          <w:color w:val="auto"/>
          <w:sz w:val="24"/>
          <w:szCs w:val="24"/>
          <w:highlight w:val="none"/>
        </w:rPr>
        <w:t>根据第87.1款规定解除合同的，按照达成的协议办理结算和支付工程款。</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88.2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8"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4.6pt;width:72pt;z-index:252060672;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4+31gAAAAkBAAAP&#10;AAAAAAAAAAEAIAAAACIAAABkcnMvZG93bnJldi54bWxQSwECFAAUAAAACACHTuJAf3zOFhoCAAAk&#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宋体" w:hAnsi="宋体" w:cs="宋体"/>
          <w:color w:val="auto"/>
          <w:sz w:val="24"/>
          <w:szCs w:val="24"/>
          <w:highlight w:val="none"/>
        </w:rPr>
        <w:t>根据第87.2款规定解除合同的，发包人应向承包人支付合同解除之日前已完成工程但尚未支付的工程款。此外，发包人还应支付下列款项：</w:t>
      </w:r>
    </w:p>
    <w:p>
      <w:pPr>
        <w:numPr>
          <w:ilvl w:val="0"/>
          <w:numId w:val="29"/>
        </w:numPr>
        <w:adjustRightInd w:val="0"/>
        <w:snapToGrid w:val="0"/>
        <w:spacing w:line="360" w:lineRule="auto"/>
        <w:ind w:left="2096" w:leftChars="771" w:hanging="477" w:hangingChars="199"/>
        <w:rPr>
          <w:rFonts w:ascii="宋体" w:hAnsi="宋体" w:cs="宋体"/>
          <w:color w:val="auto"/>
          <w:sz w:val="24"/>
          <w:szCs w:val="24"/>
          <w:highlight w:val="none"/>
        </w:rPr>
      </w:pPr>
      <w:r>
        <w:rPr>
          <w:rFonts w:hint="eastAsia" w:ascii="宋体" w:hAnsi="宋体" w:cs="宋体"/>
          <w:color w:val="auto"/>
          <w:sz w:val="24"/>
          <w:szCs w:val="24"/>
          <w:highlight w:val="none"/>
        </w:rPr>
        <w:t>已实施或部分实施的措施项目应付款项；</w:t>
      </w:r>
    </w:p>
    <w:p>
      <w:pPr>
        <w:numPr>
          <w:ilvl w:val="0"/>
          <w:numId w:val="29"/>
        </w:numPr>
        <w:adjustRightInd w:val="0"/>
        <w:snapToGrid w:val="0"/>
        <w:spacing w:line="360" w:lineRule="auto"/>
        <w:ind w:left="1618" w:leftChars="770" w:hanging="1"/>
        <w:rPr>
          <w:rFonts w:ascii="宋体" w:hAnsi="宋体" w:cs="宋体"/>
          <w:color w:val="auto"/>
          <w:sz w:val="24"/>
          <w:szCs w:val="24"/>
          <w:highlight w:val="none"/>
        </w:rPr>
      </w:pPr>
      <w:r>
        <w:rPr>
          <w:rFonts w:hint="eastAsia" w:ascii="宋体" w:hAnsi="宋体" w:cs="宋体"/>
          <w:color w:val="auto"/>
          <w:sz w:val="24"/>
          <w:szCs w:val="24"/>
          <w:highlight w:val="none"/>
        </w:rPr>
        <w:t>承包人为合同工程合理订购且已交付的材料和工程设备货款。发包人一经支付此项货款，该材料和工程设备即成为发包人的财产；</w:t>
      </w:r>
    </w:p>
    <w:p>
      <w:pPr>
        <w:numPr>
          <w:ilvl w:val="0"/>
          <w:numId w:val="29"/>
        </w:numPr>
        <w:adjustRightInd w:val="0"/>
        <w:snapToGrid w:val="0"/>
        <w:spacing w:line="360" w:lineRule="auto"/>
        <w:ind w:left="1618" w:leftChars="770" w:hanging="1"/>
        <w:rPr>
          <w:rFonts w:ascii="宋体" w:hAnsi="宋体" w:cs="宋体"/>
          <w:color w:val="auto"/>
          <w:sz w:val="24"/>
          <w:szCs w:val="24"/>
          <w:highlight w:val="none"/>
        </w:rPr>
      </w:pPr>
      <w:r>
        <w:rPr>
          <w:rFonts w:hint="eastAsia" w:ascii="宋体" w:hAnsi="宋体" w:cs="宋体"/>
          <w:color w:val="auto"/>
          <w:sz w:val="24"/>
          <w:szCs w:val="24"/>
          <w:highlight w:val="none"/>
        </w:rPr>
        <w:t>承包人为完成合同工程而预期开支的任何合理款项，且该项款项未包括在本款其他各项支付之内；</w:t>
      </w:r>
    </w:p>
    <w:p>
      <w:pPr>
        <w:numPr>
          <w:ilvl w:val="0"/>
          <w:numId w:val="29"/>
        </w:numPr>
        <w:adjustRightInd w:val="0"/>
        <w:snapToGrid w:val="0"/>
        <w:spacing w:line="360" w:lineRule="auto"/>
        <w:ind w:left="2096" w:leftChars="771" w:hanging="477" w:hangingChars="199"/>
        <w:rPr>
          <w:rFonts w:ascii="宋体" w:hAnsi="宋体" w:cs="宋体"/>
          <w:color w:val="auto"/>
          <w:sz w:val="24"/>
          <w:szCs w:val="24"/>
          <w:highlight w:val="none"/>
        </w:rPr>
      </w:pPr>
      <w:r>
        <w:rPr>
          <w:rFonts w:hint="eastAsia" w:ascii="宋体" w:hAnsi="宋体" w:cs="宋体"/>
          <w:color w:val="auto"/>
          <w:sz w:val="24"/>
          <w:szCs w:val="24"/>
          <w:highlight w:val="none"/>
        </w:rPr>
        <w:t>根据第31.3款规定的任何工作应支付的款项；</w:t>
      </w:r>
    </w:p>
    <w:p>
      <w:pPr>
        <w:numPr>
          <w:ilvl w:val="0"/>
          <w:numId w:val="29"/>
        </w:numPr>
        <w:tabs>
          <w:tab w:val="left" w:pos="1980"/>
        </w:tabs>
        <w:adjustRightInd w:val="0"/>
        <w:snapToGrid w:val="0"/>
        <w:spacing w:line="360" w:lineRule="auto"/>
        <w:ind w:left="1618" w:leftChars="770" w:hanging="1"/>
        <w:rPr>
          <w:rFonts w:ascii="宋体" w:hAnsi="宋体" w:cs="宋体"/>
          <w:color w:val="auto"/>
          <w:sz w:val="24"/>
          <w:szCs w:val="24"/>
          <w:highlight w:val="none"/>
        </w:rPr>
      </w:pPr>
      <w:r>
        <w:rPr>
          <w:rFonts w:hint="eastAsia" w:ascii="宋体" w:hAnsi="宋体" w:cs="宋体"/>
          <w:color w:val="auto"/>
          <w:sz w:val="24"/>
          <w:szCs w:val="24"/>
          <w:highlight w:val="none"/>
        </w:rPr>
        <w:t>根据第87.6款规定承包人撤离现场所需的合理款项，包括雇员遣送费和临时工程拆除、施工设备运离现场的款项。</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88.3  </w:t>
      </w:r>
    </w:p>
    <w:p>
      <w:pPr>
        <w:adjustRightInd w:val="0"/>
        <w:snapToGrid w:val="0"/>
        <w:spacing w:line="360" w:lineRule="auto"/>
        <w:ind w:left="1619" w:leftChars="771"/>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37"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9pt;height:54.6pt;width:72pt;z-index:252061696;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QGvndYAAAAJAQAA&#10;DwAAAAAAAAABACAAAAAiAAAAZHJzL2Rvd25yZXYueG1sUEsBAhQAFAAAAAgAh07iQL2A5vYbAgAA&#10;JA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宋体" w:hAnsi="宋体" w:cs="宋体"/>
          <w:color w:val="auto"/>
          <w:sz w:val="24"/>
          <w:szCs w:val="24"/>
          <w:highlight w:val="none"/>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88.4  </w:t>
      </w:r>
    </w:p>
    <w:p>
      <w:pPr>
        <w:adjustRightInd w:val="0"/>
        <w:snapToGrid w:val="0"/>
        <w:spacing w:line="360" w:lineRule="auto"/>
        <w:ind w:left="1619" w:leftChars="771"/>
        <w:jc w:val="left"/>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914400" cy="46355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5pt;width:72pt;z-index:252062720;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9E29dUAAAAIAQAADwAA&#10;AAAAAAABACAAAAAiAAAAZHJzL2Rvd25yZXYueG1sUEsBAhQAFAAAAAgAh07iQOyRFosZAgAAIg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ascii="宋体" w:hAnsi="宋体" w:cs="宋体"/>
          <w:color w:val="auto"/>
          <w:sz w:val="24"/>
          <w:szCs w:val="24"/>
          <w:highlight w:val="none"/>
        </w:rPr>
        <w:t>根据第87.4款规定解除合同的，发包人除应按照第88.2款规定向承包人支付各项款项外，还应支付给承包人由于解除合同而引起的损失或损害的款项。该笔款项由承包人提出，造价工程师核实后与合同双方当事人协商确定，并在确定后的7天内由造价工程师向发包人签发支付证书，抄送承包人。协商不能达成一致的，按照第86条规定处理。</w:t>
      </w:r>
    </w:p>
    <w:p>
      <w:pPr>
        <w:adjustRightInd w:val="0"/>
        <w:snapToGrid w:val="0"/>
        <w:spacing w:line="360" w:lineRule="auto"/>
        <w:jc w:val="left"/>
        <w:rPr>
          <w:rFonts w:ascii="宋体" w:hAnsi="宋体" w:cs="宋体"/>
          <w:b/>
          <w:bCs/>
          <w:color w:val="auto"/>
          <w:sz w:val="24"/>
          <w:szCs w:val="24"/>
          <w:highlight w:val="none"/>
          <w:u w:val="single"/>
        </w:rPr>
      </w:pPr>
    </w:p>
    <w:p>
      <w:pPr>
        <w:adjustRightInd w:val="0"/>
        <w:snapToGrid w:val="0"/>
        <w:spacing w:line="360" w:lineRule="auto"/>
        <w:jc w:val="left"/>
        <w:outlineLvl w:val="2"/>
        <w:rPr>
          <w:rFonts w:ascii="宋体" w:hAnsi="宋体" w:cs="宋体"/>
          <w:b/>
          <w:bCs/>
          <w:color w:val="auto"/>
          <w:sz w:val="24"/>
          <w:szCs w:val="24"/>
          <w:highlight w:val="none"/>
        </w:rPr>
      </w:pPr>
      <w:bookmarkStart w:id="1300" w:name="_Toc2043722594"/>
      <w:bookmarkStart w:id="1301" w:name="_Toc24447"/>
      <w:bookmarkStart w:id="1302" w:name="_Toc16375"/>
      <w:bookmarkStart w:id="1303" w:name="_Toc7344"/>
      <w:bookmarkStart w:id="1304" w:name="_Toc469384073"/>
      <w:bookmarkStart w:id="1305" w:name="_Toc19106"/>
      <w:bookmarkStart w:id="1306" w:name="_Toc1864"/>
      <w:bookmarkStart w:id="1307" w:name="_Toc5347"/>
      <w:bookmarkStart w:id="1308" w:name="_Toc772733940"/>
      <w:r>
        <w:rPr>
          <w:rFonts w:hint="eastAsia" w:ascii="宋体" w:hAnsi="宋体" w:cs="宋体"/>
          <w:b/>
          <w:bCs/>
          <w:color w:val="auto"/>
          <w:sz w:val="24"/>
          <w:szCs w:val="24"/>
          <w:highlight w:val="none"/>
        </w:rPr>
        <w:t>89  合同终止</w:t>
      </w:r>
      <w:bookmarkEnd w:id="1300"/>
      <w:bookmarkEnd w:id="1301"/>
      <w:bookmarkEnd w:id="1302"/>
      <w:bookmarkEnd w:id="1303"/>
      <w:bookmarkEnd w:id="1304"/>
      <w:bookmarkEnd w:id="1305"/>
      <w:bookmarkEnd w:id="1306"/>
      <w:bookmarkEnd w:id="1307"/>
      <w:bookmarkEnd w:id="1308"/>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89.1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6374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8/wcNUAAAAIAQAADwAA&#10;AAAAAAABACAAAAAiAAAAZHJzL2Rvd25yZXYueG1sUEsBAhQAFAAAAAgAh07iQKDlY4UZAgAAIg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宋体" w:hAnsi="宋体" w:cs="宋体"/>
          <w:color w:val="auto"/>
          <w:sz w:val="24"/>
          <w:szCs w:val="24"/>
          <w:highlight w:val="none"/>
        </w:rPr>
        <w:t>合同解除后，除合同双方当事人享有第86条至第88条规定的权利外，本合同即告终止，但不因一方当事人在此以前的任何违约而损害另一方当事人应享有的权利，也不影响合同双方当事人履行本合同结算和清算条款的效力。</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89.2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67.05pt;width:72pt;z-index:252064768;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8KqftUAAAAIAQAADwAA&#10;AAAAAAABACAAAAAiAAAAZHJzL2Rvd25yZXYueG1sUEsBAhQAFAAAAAgAh07iQEFldNEZAgAAIg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ascii="宋体" w:hAnsi="宋体" w:cs="宋体"/>
          <w:color w:val="auto"/>
          <w:sz w:val="24"/>
          <w:szCs w:val="24"/>
          <w:highlight w:val="none"/>
        </w:rPr>
        <w:t>除第59条和第84条规定的质量保修条款外，合同双方当事人履行完本合同全部义务，发包人向承包人支付完竣工结算款，承包人向发包人交付竣工工程后，本合同即告终止。</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89.3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75pt;width:72pt;z-index:252065792;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TJak1QAAAAgBAAAPAAAA&#10;AAAAAAEAIAAAACIAAABkcnMvZG93bnJldi54bWxQSwECFAAUAAAACACHTuJAJBqU7RgCAAAi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宋体" w:hAnsi="宋体" w:cs="宋体"/>
          <w:color w:val="auto"/>
          <w:sz w:val="24"/>
          <w:szCs w:val="24"/>
          <w:highlight w:val="none"/>
        </w:rPr>
        <w:t>本合同的权利义务终止后，合同双方当事人仍应遵循诚实信用原则，继续履行合同约定的通知、协助、保密等义务。</w:t>
      </w:r>
    </w:p>
    <w:p>
      <w:pPr>
        <w:adjustRightInd w:val="0"/>
        <w:snapToGrid w:val="0"/>
        <w:spacing w:line="480" w:lineRule="auto"/>
        <w:ind w:right="-238"/>
        <w:rPr>
          <w:rFonts w:ascii="宋体" w:hAnsi="宋体" w:cs="宋体"/>
          <w:color w:val="auto"/>
          <w:sz w:val="24"/>
          <w:szCs w:val="24"/>
          <w:highlight w:val="none"/>
          <w:u w:val="single"/>
        </w:rPr>
      </w:pPr>
    </w:p>
    <w:p>
      <w:pPr>
        <w:ind w:firstLine="2951" w:firstLineChars="1225"/>
        <w:rPr>
          <w:rFonts w:ascii="宋体" w:hAnsi="宋体" w:cs="宋体"/>
          <w:b/>
          <w:bCs/>
          <w:color w:val="auto"/>
          <w:sz w:val="24"/>
          <w:szCs w:val="24"/>
          <w:highlight w:val="none"/>
        </w:rPr>
      </w:pPr>
      <w:r>
        <w:rPr>
          <w:rFonts w:hint="eastAsia" w:ascii="宋体" w:hAnsi="宋体" w:cs="宋体"/>
          <w:b/>
          <w:bCs/>
          <w:color w:val="auto"/>
          <w:sz w:val="24"/>
          <w:szCs w:val="24"/>
          <w:highlight w:val="none"/>
        </w:rPr>
        <w:t>八、违约责任</w:t>
      </w:r>
    </w:p>
    <w:p>
      <w:pPr>
        <w:jc w:val="left"/>
        <w:rPr>
          <w:rFonts w:ascii="宋体" w:hAnsi="宋体" w:cs="宋体"/>
          <w:color w:val="auto"/>
          <w:highlight w:val="none"/>
        </w:rPr>
      </w:pPr>
    </w:p>
    <w:p>
      <w:pPr>
        <w:adjustRightInd w:val="0"/>
        <w:snapToGrid w:val="0"/>
        <w:spacing w:line="360" w:lineRule="auto"/>
        <w:jc w:val="left"/>
        <w:outlineLvl w:val="2"/>
        <w:rPr>
          <w:rFonts w:ascii="宋体" w:hAnsi="宋体" w:cs="宋体"/>
          <w:b/>
          <w:bCs/>
          <w:color w:val="auto"/>
          <w:sz w:val="24"/>
          <w:szCs w:val="24"/>
          <w:highlight w:val="none"/>
        </w:rPr>
      </w:pPr>
      <w:bookmarkStart w:id="1309" w:name="_Toc6218"/>
      <w:bookmarkStart w:id="1310" w:name="_Toc11613"/>
      <w:bookmarkStart w:id="1311" w:name="_Toc1505716171"/>
      <w:bookmarkStart w:id="1312" w:name="_Toc1992187240"/>
      <w:bookmarkStart w:id="1313" w:name="_Toc140"/>
      <w:bookmarkStart w:id="1314" w:name="_Toc29047"/>
      <w:bookmarkStart w:id="1315" w:name="_Toc28325"/>
      <w:bookmarkStart w:id="1316" w:name="_Toc25553"/>
      <w:r>
        <w:rPr>
          <w:rFonts w:hint="eastAsia" w:ascii="宋体" w:hAnsi="宋体" w:cs="宋体"/>
          <w:b/>
          <w:bCs/>
          <w:color w:val="auto"/>
          <w:sz w:val="24"/>
          <w:szCs w:val="24"/>
          <w:highlight w:val="none"/>
        </w:rPr>
        <w:t>90  承包人的违约责任</w:t>
      </w:r>
      <w:bookmarkEnd w:id="1309"/>
      <w:bookmarkEnd w:id="1310"/>
      <w:bookmarkEnd w:id="1311"/>
      <w:bookmarkEnd w:id="1312"/>
      <w:bookmarkEnd w:id="1313"/>
      <w:bookmarkEnd w:id="1314"/>
      <w:bookmarkEnd w:id="1315"/>
      <w:bookmarkEnd w:id="1316"/>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90.1</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mc:AlternateContent>
          <mc:Choice Requires="wps">
            <w:drawing>
              <wp:anchor distT="0" distB="0" distL="114300" distR="114300" simplePos="0" relativeHeight="25208320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55" name="文本框 25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8320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8/wcNUAAAAIAQAA&#10;DwAAAAAAAAABACAAAAAiAAAAZHJzL2Rvd25yZXYueG1sUEsBAhQAFAAAAAgAh07iQF+SwJw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hint="eastAsia" w:ascii="宋体" w:hAnsi="宋体" w:cs="宋体"/>
          <w:color w:val="auto"/>
          <w:sz w:val="24"/>
          <w:szCs w:val="24"/>
          <w:highlight w:val="none"/>
        </w:rPr>
        <w:t>因承包人违反本合同约定给发包人造成损失的，承包人应当赔偿发包人损失。</w:t>
      </w:r>
    </w:p>
    <w:p>
      <w:pPr>
        <w:adjustRightInd w:val="0"/>
        <w:snapToGrid w:val="0"/>
        <w:spacing w:line="360" w:lineRule="auto"/>
        <w:rPr>
          <w:rFonts w:ascii="宋体" w:hAnsi="宋体" w:cs="宋体"/>
          <w:b/>
          <w:bCs/>
          <w:color w:val="auto"/>
          <w:sz w:val="24"/>
          <w:szCs w:val="24"/>
          <w:highlight w:val="none"/>
        </w:rPr>
      </w:pPr>
    </w:p>
    <w:p>
      <w:pPr>
        <w:spacing w:line="360" w:lineRule="auto"/>
        <w:ind w:left="2300" w:leftChars="27" w:hanging="2243" w:hangingChars="931"/>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90.2  </w:t>
      </w:r>
    </w:p>
    <w:p>
      <w:pPr>
        <w:spacing w:line="360" w:lineRule="auto"/>
        <w:ind w:left="1676" w:leftChars="798"/>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28" name="文本框 428"/>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75pt;width:72pt;z-index:252084224;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TJak1QAAAAgBAAAP&#10;AAAAAAAAAAEAIAAAACIAAABkcnMvZG93bnJldi54bWxQSwECFAAUAAAACACHTuJAQe4MgR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v:textbox>
              </v:shape>
            </w:pict>
          </mc:Fallback>
        </mc:AlternateContent>
      </w:r>
      <w:r>
        <w:rPr>
          <w:rFonts w:hint="eastAsia" w:ascii="宋体" w:hAnsi="宋体" w:cs="宋体"/>
          <w:color w:val="auto"/>
          <w:sz w:val="24"/>
          <w:szCs w:val="24"/>
          <w:highlight w:val="none"/>
        </w:rPr>
        <w:t>承包人向发包人的索赔不成立时，承包人应赔偿发包人由此发生的费用。</w:t>
      </w:r>
    </w:p>
    <w:p>
      <w:pPr>
        <w:spacing w:line="360" w:lineRule="auto"/>
        <w:ind w:left="2291" w:leftChars="27" w:hanging="2234" w:hangingChars="931"/>
        <w:rPr>
          <w:rFonts w:ascii="宋体" w:hAnsi="宋体" w:cs="宋体"/>
          <w:color w:val="auto"/>
          <w:sz w:val="24"/>
          <w:szCs w:val="24"/>
          <w:highlight w:val="none"/>
        </w:rPr>
      </w:pPr>
    </w:p>
    <w:p>
      <w:pPr>
        <w:adjustRightInd w:val="0"/>
        <w:snapToGrid w:val="0"/>
        <w:spacing w:line="360" w:lineRule="auto"/>
        <w:ind w:firstLine="120" w:firstLineChars="50"/>
        <w:jc w:val="left"/>
        <w:outlineLvl w:val="2"/>
        <w:rPr>
          <w:rFonts w:ascii="宋体" w:hAnsi="宋体" w:cs="宋体"/>
          <w:b/>
          <w:bCs/>
          <w:color w:val="auto"/>
          <w:sz w:val="24"/>
          <w:szCs w:val="24"/>
          <w:highlight w:val="none"/>
        </w:rPr>
      </w:pPr>
      <w:bookmarkStart w:id="1317" w:name="_Toc420"/>
      <w:bookmarkStart w:id="1318" w:name="_Toc17105"/>
      <w:bookmarkStart w:id="1319" w:name="_Toc1273402303"/>
      <w:bookmarkStart w:id="1320" w:name="_Toc5999"/>
      <w:bookmarkStart w:id="1321" w:name="_Toc489260630"/>
      <w:bookmarkStart w:id="1322" w:name="_Toc20654"/>
      <w:bookmarkStart w:id="1323" w:name="_Toc5015"/>
      <w:bookmarkStart w:id="1324" w:name="_Toc12804"/>
      <w:bookmarkStart w:id="1325" w:name="_Toc624389749"/>
      <w:r>
        <w:rPr>
          <w:rFonts w:hint="eastAsia" w:ascii="宋体" w:hAnsi="宋体" w:cs="宋体"/>
          <w:b/>
          <w:bCs/>
          <w:color w:val="auto"/>
          <w:sz w:val="24"/>
          <w:szCs w:val="24"/>
          <w:highlight w:val="none"/>
        </w:rPr>
        <w:t>91 发包人的违约责任</w:t>
      </w:r>
      <w:bookmarkEnd w:id="1317"/>
      <w:bookmarkEnd w:id="1318"/>
      <w:bookmarkEnd w:id="1319"/>
      <w:bookmarkEnd w:id="1320"/>
      <w:bookmarkEnd w:id="1321"/>
      <w:bookmarkEnd w:id="1322"/>
      <w:bookmarkEnd w:id="1323"/>
      <w:bookmarkEnd w:id="1324"/>
      <w:bookmarkEnd w:id="1325"/>
    </w:p>
    <w:p>
      <w:pPr>
        <w:adjustRightInd w:val="0"/>
        <w:snapToGrid w:val="0"/>
        <w:spacing w:line="360" w:lineRule="auto"/>
        <w:ind w:firstLine="118" w:firstLineChars="49"/>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91.1 </w:t>
      </w:r>
    </w:p>
    <w:p>
      <w:pPr>
        <w:adjustRightInd w:val="0"/>
        <w:snapToGrid w:val="0"/>
        <w:spacing w:line="360" w:lineRule="auto"/>
        <w:ind w:left="1669" w:leftChars="795" w:firstLine="9"/>
        <w:rPr>
          <w:rFonts w:ascii="宋体" w:hAnsi="宋体" w:cs="宋体"/>
          <w:b/>
          <w:bCs/>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29" name="文本框 42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8524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8/wcNUAAAAIAQAA&#10;DwAAAAAAAAABACAAAAAiAAAAZHJzL2Rvd25yZXYueG1sUEsBAhQAFAAAAAgAh07iQNG5fzw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hint="eastAsia" w:ascii="宋体" w:hAnsi="宋体" w:cs="宋体"/>
          <w:color w:val="auto"/>
          <w:sz w:val="24"/>
          <w:szCs w:val="24"/>
          <w:highlight w:val="none"/>
        </w:rPr>
        <w:t>因发包人违反本合同约定造成承包人损失的，发包人应予以赔偿。</w:t>
      </w:r>
    </w:p>
    <w:p>
      <w:pPr>
        <w:adjustRightInd w:val="0"/>
        <w:snapToGrid w:val="0"/>
        <w:spacing w:line="360" w:lineRule="auto"/>
        <w:ind w:left="1035" w:leftChars="493" w:firstLine="361" w:firstLineChars="150"/>
        <w:rPr>
          <w:rFonts w:ascii="宋体" w:hAnsi="宋体" w:cs="宋体"/>
          <w:b/>
          <w:bCs/>
          <w:color w:val="auto"/>
          <w:sz w:val="24"/>
          <w:szCs w:val="24"/>
          <w:highlight w:val="none"/>
        </w:rPr>
      </w:pPr>
    </w:p>
    <w:p>
      <w:pPr>
        <w:spacing w:line="360" w:lineRule="auto"/>
        <w:ind w:left="2300" w:leftChars="27" w:hanging="2243" w:hangingChars="931"/>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91.2  </w:t>
      </w:r>
    </w:p>
    <w:p>
      <w:pPr>
        <w:adjustRightInd w:val="0"/>
        <w:snapToGrid w:val="0"/>
        <w:spacing w:line="360" w:lineRule="auto"/>
        <w:ind w:left="1665" w:leftChars="793" w:firstLine="1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86272"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30" name="文本框 430"/>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发包人责任承担费用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75pt;width:72pt;z-index:252086272;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TJak1QAAAAgBAAAP&#10;AAAAAAAAAAEAIAAAACIAAABkcnMvZG93bnJldi54bWxQSwECFAAUAAAACACHTuJAh+JjTh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hint="eastAsia" w:ascii="宋体" w:hAnsi="宋体" w:cs="宋体"/>
          <w:color w:val="auto"/>
          <w:sz w:val="24"/>
          <w:szCs w:val="24"/>
          <w:highlight w:val="none"/>
        </w:rPr>
        <w:t>发包人向承包人的索赔不成立时，发包人应赔偿承包人由此发生的费用。</w:t>
      </w:r>
    </w:p>
    <w:p>
      <w:pPr>
        <w:adjustRightInd w:val="0"/>
        <w:snapToGrid w:val="0"/>
        <w:spacing w:line="360" w:lineRule="auto"/>
        <w:rPr>
          <w:rFonts w:ascii="宋体" w:hAnsi="宋体" w:cs="宋体"/>
          <w:b/>
          <w:bCs/>
          <w:color w:val="auto"/>
          <w:sz w:val="24"/>
          <w:szCs w:val="24"/>
          <w:highlight w:val="none"/>
          <w:u w:val="dotted"/>
        </w:rPr>
      </w:pPr>
    </w:p>
    <w:p>
      <w:pPr>
        <w:spacing w:line="360" w:lineRule="auto"/>
        <w:ind w:left="210" w:leftChars="100"/>
        <w:outlineLvl w:val="2"/>
        <w:rPr>
          <w:rFonts w:ascii="宋体" w:hAnsi="宋体" w:cs="宋体"/>
          <w:b/>
          <w:bCs/>
          <w:color w:val="auto"/>
          <w:sz w:val="24"/>
          <w:szCs w:val="24"/>
          <w:highlight w:val="none"/>
        </w:rPr>
      </w:pPr>
      <w:bookmarkStart w:id="1326" w:name="_Toc250480519"/>
      <w:bookmarkStart w:id="1327" w:name="_Toc1513412201"/>
      <w:bookmarkStart w:id="1328" w:name="_Toc21689"/>
      <w:bookmarkStart w:id="1329" w:name="_Toc31202"/>
      <w:bookmarkStart w:id="1330" w:name="_Toc16100"/>
      <w:bookmarkStart w:id="1331" w:name="_Toc8787"/>
      <w:bookmarkStart w:id="1332" w:name="_Toc22978"/>
      <w:bookmarkStart w:id="1333" w:name="_Toc18744"/>
      <w:bookmarkStart w:id="1334" w:name="_Toc489260631"/>
      <w:r>
        <w:rPr>
          <w:rFonts w:hint="eastAsia" w:ascii="宋体" w:hAnsi="宋体" w:cs="宋体"/>
          <w:b/>
          <w:bCs/>
          <w:color w:val="auto"/>
          <w:sz w:val="24"/>
          <w:szCs w:val="24"/>
          <w:highlight w:val="none"/>
        </w:rPr>
        <w:t>92  除外责任</w:t>
      </w:r>
      <w:bookmarkEnd w:id="1326"/>
      <w:bookmarkEnd w:id="1327"/>
      <w:bookmarkEnd w:id="1328"/>
      <w:bookmarkEnd w:id="1329"/>
      <w:bookmarkEnd w:id="1330"/>
      <w:bookmarkEnd w:id="1331"/>
      <w:bookmarkEnd w:id="1332"/>
      <w:bookmarkEnd w:id="1333"/>
      <w:bookmarkEnd w:id="1334"/>
    </w:p>
    <w:p>
      <w:pPr>
        <w:adjustRightInd w:val="0"/>
        <w:snapToGrid w:val="0"/>
        <w:spacing w:line="360" w:lineRule="auto"/>
        <w:ind w:left="1672" w:leftChars="796" w:firstLine="5"/>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31" name="文本框 43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8729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8/wcNUAAAAIAQAA&#10;DwAAAAAAAAABACAAAAAiAAAAZHJzL2Rvd25yZXYueG1sUEsBAhQAFAAAAAgAh07iQBe1EPM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宋体" w:hAnsi="宋体" w:cs="宋体"/>
          <w:color w:val="auto"/>
          <w:sz w:val="24"/>
          <w:szCs w:val="24"/>
          <w:highlight w:val="none"/>
        </w:rPr>
        <w:t>非承包人的原因，且承包人无过错，而产生的各类损失，承包人不承担赔偿责任。因不可抗力导致本合同全部或部分不能履行时，双方各自承担其因此而造成的损失、损害。</w:t>
      </w:r>
    </w:p>
    <w:p>
      <w:pPr>
        <w:rPr>
          <w:rFonts w:ascii="宋体" w:hAnsi="宋体" w:cs="宋体"/>
          <w:color w:val="auto"/>
          <w:highlight w:val="none"/>
        </w:rPr>
      </w:pPr>
    </w:p>
    <w:p>
      <w:pPr>
        <w:adjustRightInd w:val="0"/>
        <w:snapToGrid w:val="0"/>
        <w:spacing w:line="480" w:lineRule="auto"/>
        <w:ind w:right="-238"/>
        <w:rPr>
          <w:rFonts w:ascii="宋体" w:hAnsi="宋体" w:cs="宋体"/>
          <w:color w:val="auto"/>
          <w:sz w:val="24"/>
          <w:szCs w:val="24"/>
          <w:highlight w:val="none"/>
          <w:u w:val="single"/>
        </w:rPr>
      </w:pPr>
    </w:p>
    <w:p>
      <w:pPr>
        <w:adjustRightInd w:val="0"/>
        <w:snapToGrid w:val="0"/>
        <w:spacing w:line="360" w:lineRule="auto"/>
        <w:ind w:firstLine="3004" w:firstLineChars="1247"/>
        <w:outlineLvl w:val="1"/>
        <w:rPr>
          <w:rFonts w:ascii="宋体" w:hAnsi="宋体" w:cs="宋体"/>
          <w:b/>
          <w:bCs/>
          <w:color w:val="auto"/>
          <w:sz w:val="24"/>
          <w:szCs w:val="24"/>
          <w:highlight w:val="none"/>
        </w:rPr>
      </w:pPr>
      <w:bookmarkStart w:id="1335" w:name="_Toc469384074"/>
      <w:bookmarkStart w:id="1336" w:name="_Toc28808"/>
      <w:bookmarkStart w:id="1337" w:name="_Toc26313"/>
      <w:bookmarkStart w:id="1338" w:name="_Toc758134713"/>
      <w:bookmarkStart w:id="1339" w:name="_Toc1122547139"/>
      <w:bookmarkStart w:id="1340" w:name="_Toc32316"/>
      <w:bookmarkStart w:id="1341" w:name="_Toc7314"/>
      <w:bookmarkStart w:id="1342" w:name="_Toc30586"/>
      <w:bookmarkStart w:id="1343" w:name="_Toc24632"/>
      <w:r>
        <w:rPr>
          <w:rFonts w:hint="eastAsia" w:ascii="宋体" w:hAnsi="宋体" w:cs="宋体"/>
          <w:b/>
          <w:bCs/>
          <w:color w:val="auto"/>
          <w:sz w:val="24"/>
          <w:szCs w:val="24"/>
          <w:highlight w:val="none"/>
        </w:rPr>
        <w:t>九、其他</w:t>
      </w:r>
      <w:bookmarkEnd w:id="1335"/>
      <w:bookmarkEnd w:id="1336"/>
      <w:bookmarkEnd w:id="1337"/>
      <w:bookmarkEnd w:id="1338"/>
      <w:bookmarkEnd w:id="1339"/>
      <w:bookmarkEnd w:id="1340"/>
      <w:bookmarkEnd w:id="1341"/>
      <w:bookmarkEnd w:id="1342"/>
      <w:bookmarkEnd w:id="1343"/>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344" w:name="_Toc22212"/>
      <w:bookmarkStart w:id="1345" w:name="_Toc949643740"/>
      <w:bookmarkStart w:id="1346" w:name="_Toc26227"/>
      <w:bookmarkStart w:id="1347" w:name="_Toc12108"/>
      <w:bookmarkStart w:id="1348" w:name="_Toc1005926278"/>
      <w:bookmarkStart w:id="1349" w:name="_Toc25986"/>
      <w:bookmarkStart w:id="1350" w:name="_Toc25405"/>
      <w:bookmarkStart w:id="1351" w:name="_Toc28164"/>
      <w:bookmarkStart w:id="1352" w:name="_Toc469384075"/>
      <w:r>
        <w:rPr>
          <w:rFonts w:hint="eastAsia" w:ascii="宋体" w:hAnsi="宋体" w:cs="宋体"/>
          <w:b/>
          <w:bCs/>
          <w:color w:val="auto"/>
          <w:sz w:val="24"/>
          <w:szCs w:val="24"/>
          <w:highlight w:val="none"/>
        </w:rPr>
        <w:t>93  缴纳税费</w:t>
      </w:r>
      <w:bookmarkEnd w:id="1344"/>
      <w:bookmarkEnd w:id="1345"/>
      <w:bookmarkEnd w:id="1346"/>
      <w:bookmarkEnd w:id="1347"/>
      <w:bookmarkEnd w:id="1348"/>
      <w:bookmarkEnd w:id="1349"/>
      <w:bookmarkEnd w:id="1350"/>
      <w:bookmarkEnd w:id="1351"/>
      <w:bookmarkEnd w:id="1352"/>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93.1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 w:val="24"/>
          <w:szCs w:val="24"/>
          <w:highlight w:val="none"/>
        </w:rPr>
        <w:t>合同双方当事人</w:t>
      </w:r>
      <w:r>
        <w:rPr>
          <w:rFonts w:hint="eastAsia" w:ascii="宋体" w:hAnsi="宋体" w:cs="宋体"/>
          <w:color w:val="auto"/>
          <w:szCs w:val="20"/>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38.15pt;width:72pt;z-index:252066816;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KWgr1AAAAAcBAAAPAAAA&#10;AAAAAAEAIAAAACIAAABkcnMvZG93bnJldi54bWxQSwECFAAUAAAACACHTuJAusmnwhkCAAAiBAAA&#10;DgAAAAAAAAABACAAAAAj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宋体" w:hAnsi="宋体" w:cs="宋体"/>
          <w:color w:val="auto"/>
          <w:sz w:val="24"/>
          <w:szCs w:val="24"/>
          <w:highlight w:val="none"/>
        </w:rPr>
        <w:t>应按照国家现行税法和有关部门现行规定缴纳合同工程需缴的一切税费。</w:t>
      </w:r>
    </w:p>
    <w:p>
      <w:pPr>
        <w:tabs>
          <w:tab w:val="left" w:pos="1320"/>
        </w:tabs>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93.2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442" name="文本框 442"/>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5pt;height:31.2pt;width:72pt;z-index:252067840;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o/Iz1QAAAAgBAAAP&#10;AAAAAAAAAAEAIAAAACIAAABkcnMvZG93bnJldi54bWxQSwECFAAUAAAACACHTuJA6g1uBx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宋体" w:hAnsi="宋体" w:cs="宋体"/>
          <w:color w:val="auto"/>
          <w:sz w:val="24"/>
          <w:szCs w:val="24"/>
          <w:highlight w:val="none"/>
        </w:rPr>
        <w:t>合同任何一方当事人没交或少交合同工程需缴税费的，违法方应足额补交，并承担相应的法律责任；给另一方当事人造成损失的，违法方应赔偿损失。</w:t>
      </w:r>
    </w:p>
    <w:p>
      <w:pPr>
        <w:adjustRightInd w:val="0"/>
        <w:snapToGrid w:val="0"/>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rPr>
          <w:rFonts w:ascii="宋体" w:hAnsi="宋体" w:cs="宋体"/>
          <w:b/>
          <w:bCs/>
          <w:color w:val="auto"/>
          <w:sz w:val="24"/>
          <w:szCs w:val="24"/>
          <w:highlight w:val="non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353" w:name="_Toc25727"/>
      <w:bookmarkStart w:id="1354" w:name="_Toc30057"/>
      <w:bookmarkStart w:id="1355" w:name="_Toc1805"/>
      <w:bookmarkStart w:id="1356" w:name="_Toc1611685162"/>
      <w:bookmarkStart w:id="1357" w:name="_Toc1563"/>
      <w:bookmarkStart w:id="1358" w:name="_Toc2493"/>
      <w:bookmarkStart w:id="1359" w:name="_Toc6410"/>
      <w:bookmarkStart w:id="1360" w:name="_Toc469384076"/>
      <w:bookmarkStart w:id="1361" w:name="_Toc563873676"/>
      <w:r>
        <w:rPr>
          <w:rFonts w:hint="eastAsia" w:ascii="宋体" w:hAnsi="宋体" w:cs="宋体"/>
          <w:b/>
          <w:bCs/>
          <w:color w:val="auto"/>
          <w:sz w:val="24"/>
          <w:szCs w:val="24"/>
          <w:highlight w:val="none"/>
        </w:rPr>
        <w:t>94  保密要求</w:t>
      </w:r>
      <w:bookmarkEnd w:id="1353"/>
      <w:bookmarkEnd w:id="1354"/>
      <w:bookmarkEnd w:id="1355"/>
      <w:bookmarkEnd w:id="1356"/>
      <w:bookmarkEnd w:id="1357"/>
      <w:bookmarkEnd w:id="1358"/>
      <w:bookmarkEnd w:id="1359"/>
      <w:bookmarkEnd w:id="1360"/>
      <w:bookmarkEnd w:id="1361"/>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94.1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46.8pt;width:72pt;z-index:252068864;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2a19dUAAAAIAQAADwAA&#10;AAAAAAABACAAAAAiAAAAZHJzL2Rvd25yZXYueG1sUEsBAhQAFAAAAAgAh07iQBfHTo8ZAgAAIg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ascii="宋体" w:hAnsi="宋体" w:cs="宋体"/>
          <w:color w:val="auto"/>
          <w:sz w:val="24"/>
          <w:szCs w:val="24"/>
          <w:highlight w:val="none"/>
        </w:rPr>
        <w:t>合同双方当事人应在专用条款约定期限内提供保密信息。自收到对方当事人提供的保密信息之日起，合同双方当事人应履行保密义务。合同双方当事人履行保密义务，并不因本合同终止而结束。</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94.2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4pt;height:39pt;width:72pt;z-index:252069888;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BYoLvVAAAACQEAAA8AAAAA&#10;AAAAAQAgAAAAIgAAAGRycy9kb3ducmV2LnhtbFBLAQIUABQAAAAIAIdO4kD3wJc3FwIAACIEAAAO&#10;AAAAAAAAAAEAIAAAACQBAABkcnMvZTJvRG9jLnhtbFBLBQYAAAAABgAGAFkBAACt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宋体" w:hAnsi="宋体" w:cs="宋体"/>
          <w:color w:val="auto"/>
          <w:sz w:val="24"/>
          <w:szCs w:val="24"/>
          <w:highlight w:val="none"/>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94.3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25pt;height:23.7pt;width:81pt;z-index:252070912;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5yYKjUAAAABwEAAA8A&#10;AAAAAAAAAQAgAAAAIgAAAGRycy9kb3ducmV2LnhtbFBLAQIUABQAAAAIAIdO4kAUvWWHGwIAACU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宋体" w:hAnsi="宋体" w:cs="宋体"/>
          <w:color w:val="auto"/>
          <w:sz w:val="24"/>
          <w:szCs w:val="24"/>
          <w:highlight w:val="none"/>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94.4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15pt;height:57.3pt;width:72pt;z-index:252071936;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nob2fWAAAACgEAAA8A&#10;AAAAAAAAAQAgAAAAIgAAAGRycy9kb3ducmV2LnhtbFBLAQIUABQAAAAIAIdO4kCizInuGQIAACQE&#10;AAAOAAAAAAAAAAEAIAAAACU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宋体" w:hAnsi="宋体" w:cs="宋体"/>
          <w:color w:val="auto"/>
          <w:sz w:val="24"/>
          <w:szCs w:val="24"/>
          <w:highlight w:val="none"/>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94.5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5pt;height:39pt;width:72pt;z-index:252072960;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FIzo1QAAAAgBAAAPAAAA&#10;AAAAAAEAIAAAACIAAABkcnMvZG93bnJldi54bWxQSwECFAAUAAAACACHTuJAkHmc8xgCAAAk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宋体" w:hAnsi="宋体" w:cs="宋体"/>
          <w:color w:val="auto"/>
          <w:sz w:val="24"/>
          <w:szCs w:val="24"/>
          <w:highlight w:val="none"/>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pPr>
        <w:numPr>
          <w:ilvl w:val="0"/>
          <w:numId w:val="30"/>
        </w:numPr>
        <w:tabs>
          <w:tab w:val="left" w:pos="1620"/>
          <w:tab w:val="left" w:pos="2340"/>
          <w:tab w:val="left" w:pos="2700"/>
        </w:tabs>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提供前已由合同双方当事人所持有的；</w:t>
      </w:r>
    </w:p>
    <w:p>
      <w:pPr>
        <w:numPr>
          <w:ilvl w:val="0"/>
          <w:numId w:val="30"/>
        </w:numPr>
        <w:tabs>
          <w:tab w:val="left" w:pos="1620"/>
          <w:tab w:val="left" w:pos="2340"/>
          <w:tab w:val="left" w:pos="2700"/>
        </w:tabs>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已公开发表或非对方当事人原因向公众公开的；</w:t>
      </w:r>
    </w:p>
    <w:p>
      <w:pPr>
        <w:numPr>
          <w:ilvl w:val="0"/>
          <w:numId w:val="30"/>
        </w:numPr>
        <w:tabs>
          <w:tab w:val="left" w:pos="1620"/>
          <w:tab w:val="left" w:pos="2340"/>
          <w:tab w:val="left" w:pos="2700"/>
        </w:tabs>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已由各相关方书面同意其公开的；</w:t>
      </w:r>
    </w:p>
    <w:p>
      <w:pPr>
        <w:numPr>
          <w:ilvl w:val="0"/>
          <w:numId w:val="30"/>
        </w:numPr>
        <w:tabs>
          <w:tab w:val="left" w:pos="1620"/>
          <w:tab w:val="left" w:pos="2340"/>
          <w:tab w:val="left" w:pos="2700"/>
        </w:tabs>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在未获取保密信息前由对方当事人独立开发的；</w:t>
      </w:r>
    </w:p>
    <w:p>
      <w:pPr>
        <w:numPr>
          <w:ilvl w:val="0"/>
          <w:numId w:val="30"/>
        </w:numPr>
        <w:tabs>
          <w:tab w:val="left" w:pos="1620"/>
          <w:tab w:val="left" w:pos="2340"/>
          <w:tab w:val="left" w:pos="2700"/>
        </w:tabs>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对方当事人从对保密信息不承担保密义务的第三方处合法获得的。</w:t>
      </w:r>
    </w:p>
    <w:p>
      <w:pPr>
        <w:tabs>
          <w:tab w:val="left" w:pos="1620"/>
        </w:tabs>
        <w:adjustRightInd w:val="0"/>
        <w:snapToGrid w:val="0"/>
        <w:spacing w:line="24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362" w:name="_Toc1381278123"/>
      <w:bookmarkStart w:id="1363" w:name="_Toc3540"/>
      <w:bookmarkStart w:id="1364" w:name="_Toc16505"/>
      <w:bookmarkStart w:id="1365" w:name="_Toc32757"/>
      <w:bookmarkStart w:id="1366" w:name="_Toc179538321"/>
      <w:bookmarkStart w:id="1367" w:name="_Toc3643"/>
      <w:bookmarkStart w:id="1368" w:name="_Toc469384077"/>
      <w:bookmarkStart w:id="1369" w:name="_Toc4448"/>
      <w:bookmarkStart w:id="1370" w:name="_Toc19931"/>
      <w:r>
        <w:rPr>
          <w:rFonts w:hint="eastAsia" w:ascii="宋体" w:hAnsi="宋体" w:cs="宋体"/>
          <w:b/>
          <w:bCs/>
          <w:color w:val="auto"/>
          <w:sz w:val="24"/>
          <w:szCs w:val="24"/>
          <w:highlight w:val="none"/>
        </w:rPr>
        <w:t>95 廉政建设</w:t>
      </w:r>
      <w:bookmarkEnd w:id="1362"/>
      <w:bookmarkEnd w:id="1363"/>
      <w:bookmarkEnd w:id="1364"/>
      <w:bookmarkEnd w:id="1365"/>
      <w:bookmarkEnd w:id="1366"/>
      <w:bookmarkEnd w:id="1367"/>
      <w:bookmarkEnd w:id="1368"/>
      <w:bookmarkEnd w:id="1369"/>
      <w:bookmarkEnd w:id="1370"/>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95.1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23.4pt;width:63pt;z-index:252073984;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h2yR1QAAAAgBAAAP&#10;AAAAAAAAAAEAIAAAACIAAABkcnMvZG93bnJldi54bWxQSwECFAAUAAAACACHTuJAC8sgCB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宋体" w:hAnsi="宋体" w:cs="宋体"/>
          <w:color w:val="auto"/>
          <w:sz w:val="24"/>
          <w:szCs w:val="24"/>
          <w:highlight w:val="none"/>
        </w:rPr>
        <w:t>合同双方当事人在签订本合同时，应同时签订廉政合同，作为本合同的附件。合同双方当事人在合同履行期间应遵守国家和政府有关廉政方面的规定和要求，禁止任何腐败行为。</w:t>
      </w:r>
    </w:p>
    <w:p>
      <w:pPr>
        <w:adjustRightInd w:val="0"/>
        <w:snapToGrid w:val="0"/>
        <w:spacing w:line="36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95.2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25pt;height:24.95pt;width:63pt;z-index:252075008;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cx2CfUAAAACAEAAA8A&#10;AAAAAAAAAQAgAAAAIgAAAGRycy9kb3ducmV2LnhtbFBLAQIUABQAAAAIAIdO4kCoZ0ZiGwIAACQ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宋体" w:hAnsi="宋体" w:cs="宋体"/>
          <w:color w:val="auto"/>
          <w:sz w:val="24"/>
          <w:szCs w:val="24"/>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pPr>
        <w:adjustRightInd w:val="0"/>
        <w:snapToGrid w:val="0"/>
        <w:spacing w:line="240" w:lineRule="exact"/>
        <w:rPr>
          <w:rFonts w:ascii="宋体" w:hAnsi="宋体" w:cs="宋体"/>
          <w:b/>
          <w:bCs/>
          <w:color w:val="auto"/>
          <w:sz w:val="24"/>
          <w:szCs w:val="24"/>
          <w:highlight w:val="none"/>
          <w:u w:val="singl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371" w:name="_Toc286037012"/>
      <w:bookmarkStart w:id="1372" w:name="_Toc2173"/>
      <w:bookmarkStart w:id="1373" w:name="_Toc3446"/>
      <w:bookmarkStart w:id="1374" w:name="_Toc8762"/>
      <w:bookmarkStart w:id="1375" w:name="_Toc469384078"/>
      <w:bookmarkStart w:id="1376" w:name="_Toc23533"/>
      <w:bookmarkStart w:id="1377" w:name="_Toc843189191"/>
      <w:bookmarkStart w:id="1378" w:name="_Toc1865"/>
      <w:bookmarkStart w:id="1379" w:name="_Toc20794"/>
      <w:r>
        <w:rPr>
          <w:rFonts w:hint="eastAsia" w:ascii="宋体" w:hAnsi="宋体" w:cs="宋体"/>
          <w:b/>
          <w:bCs/>
          <w:color w:val="auto"/>
          <w:sz w:val="24"/>
          <w:szCs w:val="24"/>
          <w:highlight w:val="none"/>
        </w:rPr>
        <w:t>96  禁止转让</w:t>
      </w:r>
      <w:bookmarkEnd w:id="1371"/>
      <w:bookmarkEnd w:id="1372"/>
      <w:bookmarkEnd w:id="1373"/>
      <w:bookmarkEnd w:id="1374"/>
      <w:bookmarkEnd w:id="1375"/>
      <w:bookmarkEnd w:id="1376"/>
      <w:bookmarkEnd w:id="1377"/>
      <w:bookmarkEnd w:id="1378"/>
      <w:bookmarkEnd w:id="1379"/>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96.1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23.4pt;width:63pt;z-index:252076032;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h2yR1QAAAAgBAAAP&#10;AAAAAAAAAAEAIAAAACIAAABkcnMvZG93bnJldi54bWxQSwECFAAUAAAACACHTuJARBVryRsCAAAk&#10;BAAADgAAAAAAAAABACAAAAAkAQAAZHJzL2Uyb0RvYy54bWxQSwUGAAAAAAYABgBZAQAAsQU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宋体" w:hAnsi="宋体" w:cs="宋体"/>
          <w:color w:val="auto"/>
          <w:sz w:val="24"/>
          <w:szCs w:val="24"/>
          <w:highlight w:val="none"/>
        </w:rPr>
        <w:t>本合同一经签署，合同双方当事人均应按照本合同规定行使各自的权利、履行各自的义务。</w:t>
      </w:r>
    </w:p>
    <w:p>
      <w:pPr>
        <w:adjustRightInd w:val="0"/>
        <w:snapToGrid w:val="0"/>
        <w:spacing w:line="480" w:lineRule="auto"/>
        <w:rPr>
          <w:rFonts w:ascii="宋体" w:hAnsi="宋体" w:cs="宋体"/>
          <w:b/>
          <w:bCs/>
          <w:color w:val="auto"/>
          <w:sz w:val="24"/>
          <w:szCs w:val="24"/>
          <w:highlight w:val="none"/>
          <w:u w:val="dotted"/>
        </w:rPr>
      </w:pPr>
      <w:r>
        <w:rPr>
          <w:rFonts w:hint="eastAsia" w:ascii="宋体" w:hAnsi="宋体" w:cs="宋体"/>
          <w:b/>
          <w:bCs/>
          <w:color w:val="auto"/>
          <w:sz w:val="24"/>
          <w:szCs w:val="24"/>
          <w:highlight w:val="none"/>
        </w:rPr>
        <w:t xml:space="preserve">96.2  </w:t>
      </w:r>
    </w:p>
    <w:p>
      <w:pPr>
        <w:spacing w:line="360" w:lineRule="auto"/>
        <w:ind w:left="1619" w:leftChars="771"/>
        <w:rPr>
          <w:rFonts w:ascii="宋体" w:hAnsi="宋体" w:cs="宋体"/>
          <w:color w:val="auto"/>
          <w:sz w:val="24"/>
          <w:szCs w:val="24"/>
          <w:highlight w:val="none"/>
        </w:rPr>
      </w:pPr>
      <w:r>
        <w:rPr>
          <w:rFonts w:hint="eastAsia" w:ascii="宋体" w:hAnsi="宋体" w:cs="宋体"/>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7.75pt;height:23.4pt;width:63pt;z-index:252077056;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AR7Jo1gAAAAkBAAAP&#10;AAAAAAAAAAEAIAAAACIAAABkcnMvZG93bnJldi54bWxQSwECFAAUAAAACACHTuJAhulDKRoCAAAk&#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宋体" w:hAnsi="宋体" w:cs="宋体"/>
          <w:color w:val="auto"/>
          <w:sz w:val="24"/>
          <w:szCs w:val="24"/>
          <w:highlight w:val="none"/>
        </w:rPr>
        <w:t>除合同另有约定外，未经另一方当事人同意，合同一方当事人不得将本合同的全部或部分权利、义务转让给第三方。</w:t>
      </w:r>
    </w:p>
    <w:p>
      <w:pPr>
        <w:adjustRightInd w:val="0"/>
        <w:snapToGrid w:val="0"/>
        <w:spacing w:line="480" w:lineRule="auto"/>
        <w:rPr>
          <w:rFonts w:ascii="宋体" w:hAnsi="宋体" w:cs="宋体"/>
          <w:b/>
          <w:bCs/>
          <w:color w:val="auto"/>
          <w:sz w:val="24"/>
          <w:szCs w:val="24"/>
          <w:highlight w:val="none"/>
        </w:rPr>
      </w:pPr>
    </w:p>
    <w:p>
      <w:pPr>
        <w:tabs>
          <w:tab w:val="left" w:pos="540"/>
        </w:tabs>
        <w:adjustRightInd w:val="0"/>
        <w:snapToGrid w:val="0"/>
        <w:spacing w:before="312" w:beforeLines="100" w:line="360" w:lineRule="auto"/>
        <w:outlineLvl w:val="2"/>
        <w:rPr>
          <w:rFonts w:ascii="宋体" w:hAnsi="宋体" w:cs="宋体"/>
          <w:b/>
          <w:bCs/>
          <w:color w:val="auto"/>
          <w:sz w:val="24"/>
          <w:szCs w:val="24"/>
          <w:highlight w:val="none"/>
        </w:rPr>
      </w:pPr>
      <w:bookmarkStart w:id="1380" w:name="_Toc11013"/>
      <w:bookmarkStart w:id="1381" w:name="_Toc236146584"/>
      <w:bookmarkStart w:id="1382" w:name="_Toc2064"/>
      <w:bookmarkStart w:id="1383" w:name="_Toc10265"/>
      <w:bookmarkStart w:id="1384" w:name="_Toc469384079"/>
      <w:bookmarkStart w:id="1385" w:name="_Toc13809"/>
      <w:bookmarkStart w:id="1386" w:name="_Toc9496"/>
      <w:bookmarkStart w:id="1387" w:name="_Toc1355658698"/>
      <w:bookmarkStart w:id="1388" w:name="_Toc19116"/>
      <w:r>
        <w:rPr>
          <w:rFonts w:hint="eastAsia" w:ascii="宋体" w:hAnsi="宋体" w:cs="宋体"/>
          <w:b/>
          <w:bCs/>
          <w:color w:val="auto"/>
          <w:sz w:val="24"/>
          <w:szCs w:val="24"/>
          <w:highlight w:val="none"/>
        </w:rPr>
        <w:t>97  合同份数</w:t>
      </w:r>
      <w:bookmarkEnd w:id="1380"/>
      <w:bookmarkEnd w:id="1381"/>
      <w:bookmarkEnd w:id="1382"/>
      <w:bookmarkEnd w:id="1383"/>
      <w:bookmarkEnd w:id="1384"/>
      <w:bookmarkEnd w:id="1385"/>
      <w:bookmarkEnd w:id="1386"/>
      <w:bookmarkEnd w:id="1387"/>
      <w:bookmarkEnd w:id="1388"/>
    </w:p>
    <w:p>
      <w:pPr>
        <w:adjustRightInd w:val="0"/>
        <w:snapToGrid w:val="0"/>
        <w:spacing w:line="360" w:lineRule="auto"/>
        <w:ind w:left="1581" w:hanging="1581" w:hangingChars="656"/>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97.1        </w:t>
      </w:r>
    </w:p>
    <w:p>
      <w:pPr>
        <w:adjustRightInd w:val="0"/>
        <w:snapToGrid w:val="0"/>
        <w:spacing w:line="360" w:lineRule="auto"/>
        <w:ind w:left="1682" w:leftChars="800" w:hanging="2"/>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78080"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8pt;height:31.2pt;width:72pt;z-index:252078080;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liH8dQAAAAIAQAADwAA&#10;AAAAAAABACAAAAAiAAAAZHJzL2Rvd25yZXYueG1sUEsBAhQAFAAAAAgAh07iQLvgL8gaAgAAJAQA&#10;AA4AAAAAAAAAAQAgAAAAIw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宋体" w:hAnsi="宋体" w:cs="宋体"/>
          <w:color w:val="auto"/>
          <w:sz w:val="24"/>
          <w:szCs w:val="24"/>
          <w:highlight w:val="none"/>
        </w:rPr>
        <w:t>除专用条款另有约定外，发包人应按照第</w:t>
      </w:r>
      <w:r>
        <w:rPr>
          <w:rFonts w:hint="eastAsia" w:ascii="宋体" w:hAnsi="宋体" w:cs="宋体"/>
          <w:color w:val="auto"/>
          <w:sz w:val="24"/>
          <w:szCs w:val="24"/>
          <w:highlight w:val="none"/>
          <w:lang w:val="en-US" w:eastAsia="zh-CN"/>
        </w:rPr>
        <w:t>97.2</w:t>
      </w:r>
      <w:r>
        <w:rPr>
          <w:rFonts w:hint="eastAsia" w:ascii="宋体" w:hAnsi="宋体" w:cs="宋体"/>
          <w:color w:val="auto"/>
          <w:sz w:val="24"/>
          <w:szCs w:val="24"/>
          <w:highlight w:val="none"/>
        </w:rPr>
        <w:t>款规定的份数免费为承包人提供合同文本。</w:t>
      </w:r>
    </w:p>
    <w:p>
      <w:pPr>
        <w:adjustRightInd w:val="0"/>
        <w:snapToGrid w:val="0"/>
        <w:spacing w:line="480" w:lineRule="auto"/>
        <w:rPr>
          <w:rFonts w:ascii="宋体" w:hAnsi="宋体" w:cs="宋体"/>
          <w:color w:val="auto"/>
          <w:sz w:val="24"/>
          <w:szCs w:val="24"/>
          <w:highlight w:val="none"/>
        </w:rPr>
      </w:pPr>
      <w:r>
        <w:rPr>
          <w:rFonts w:hint="eastAsia" w:ascii="宋体" w:hAnsi="宋体" w:cs="宋体"/>
          <w:b/>
          <w:bCs/>
          <w:color w:val="auto"/>
          <w:sz w:val="24"/>
          <w:szCs w:val="24"/>
          <w:highlight w:val="none"/>
        </w:rPr>
        <w:t xml:space="preserve">97.2  </w:t>
      </w:r>
    </w:p>
    <w:p>
      <w:pPr>
        <w:adjustRightInd w:val="0"/>
        <w:snapToGrid w:val="0"/>
        <w:spacing w:line="360" w:lineRule="auto"/>
        <w:ind w:left="1619" w:leftChars="771"/>
        <w:rPr>
          <w:rFonts w:ascii="宋体" w:hAnsi="宋体" w:cs="宋体"/>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23.6pt;width:63pt;z-index:252079104;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H92+tQAAAAIAQAADwAA&#10;AAAAAAABACAAAAAiAAAAZHJzL2Rvd25yZXYueG1sUEsBAhQAFAAAAAgAh07iQLBKzIYaAgAAJAQA&#10;AA4AAAAAAAAAAQAgAAAAIw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宋体" w:hAnsi="宋体" w:cs="宋体"/>
          <w:color w:val="auto"/>
          <w:sz w:val="24"/>
          <w:szCs w:val="24"/>
          <w:highlight w:val="none"/>
        </w:rPr>
        <w:t>本合同正、副本份数，由合同双方当事人根据需要在专用条款中约定。正本与副本具有同等效力，当正本与副本不一致时，以正本为准。</w:t>
      </w:r>
    </w:p>
    <w:p>
      <w:pPr>
        <w:adjustRightInd w:val="0"/>
        <w:snapToGrid w:val="0"/>
        <w:spacing w:line="480" w:lineRule="auto"/>
        <w:rPr>
          <w:rFonts w:ascii="宋体" w:hAnsi="宋体" w:cs="宋体"/>
          <w:b/>
          <w:bCs/>
          <w:color w:val="auto"/>
          <w:sz w:val="24"/>
          <w:szCs w:val="24"/>
          <w:highlight w:val="none"/>
          <w:u w:val="single"/>
        </w:rPr>
      </w:pPr>
    </w:p>
    <w:p>
      <w:pPr>
        <w:adjustRightInd w:val="0"/>
        <w:snapToGrid w:val="0"/>
        <w:spacing w:line="360" w:lineRule="auto"/>
        <w:outlineLvl w:val="2"/>
        <w:rPr>
          <w:rFonts w:ascii="宋体" w:hAnsi="宋体" w:cs="宋体"/>
          <w:b/>
          <w:bCs/>
          <w:color w:val="auto"/>
          <w:sz w:val="24"/>
          <w:szCs w:val="24"/>
          <w:highlight w:val="none"/>
        </w:rPr>
      </w:pPr>
      <w:bookmarkStart w:id="1389" w:name="_Toc469384080"/>
      <w:bookmarkStart w:id="1390" w:name="_Toc25325"/>
      <w:bookmarkStart w:id="1391" w:name="_Toc1728"/>
      <w:bookmarkStart w:id="1392" w:name="_Toc11506"/>
      <w:bookmarkStart w:id="1393" w:name="_Toc1901726263"/>
      <w:bookmarkStart w:id="1394" w:name="_Toc2922"/>
      <w:bookmarkStart w:id="1395" w:name="_Toc365857632"/>
      <w:bookmarkStart w:id="1396" w:name="_Toc55"/>
      <w:bookmarkStart w:id="1397" w:name="_Toc31369"/>
      <w:r>
        <w:rPr>
          <w:rFonts w:hint="eastAsia" w:ascii="宋体" w:hAnsi="宋体" w:cs="宋体"/>
          <w:b/>
          <w:bCs/>
          <w:color w:val="auto"/>
          <w:sz w:val="24"/>
          <w:szCs w:val="24"/>
          <w:highlight w:val="none"/>
        </w:rPr>
        <w:t>98  合同</w:t>
      </w:r>
      <w:bookmarkEnd w:id="1389"/>
      <w:r>
        <w:rPr>
          <w:rFonts w:hint="eastAsia" w:ascii="宋体" w:hAnsi="宋体" w:cs="宋体"/>
          <w:b/>
          <w:bCs/>
          <w:color w:val="auto"/>
          <w:sz w:val="24"/>
          <w:szCs w:val="24"/>
          <w:highlight w:val="none"/>
        </w:rPr>
        <w:t>管理</w:t>
      </w:r>
      <w:bookmarkEnd w:id="1390"/>
      <w:bookmarkEnd w:id="1391"/>
      <w:bookmarkEnd w:id="1392"/>
      <w:bookmarkEnd w:id="1393"/>
      <w:bookmarkEnd w:id="1394"/>
      <w:bookmarkEnd w:id="1395"/>
      <w:bookmarkEnd w:id="1396"/>
      <w:bookmarkEnd w:id="1397"/>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szCs w:val="20"/>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78"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1039495" cy="52959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45pt;height:41.7pt;width:81.85pt;z-index:252080128;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u6rNjYAAAA&#10;CgEAAA8AAAAAAAAAAQAgAAAAIgAAAGRycy9kb3ducmV2LnhtbFBLAQIUABQAAAAIAIdO4kAv4wjN&#10;HQIAACU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v:textbox>
              </v:shape>
            </w:pict>
          </mc:Fallback>
        </mc:AlternateContent>
      </w:r>
      <w:r>
        <w:rPr>
          <w:rFonts w:hint="eastAsia" w:ascii="宋体" w:hAnsi="宋体" w:cs="宋体"/>
          <w:b/>
          <w:bCs/>
          <w:color w:val="auto"/>
          <w:sz w:val="24"/>
          <w:szCs w:val="24"/>
          <w:highlight w:val="none"/>
        </w:rPr>
        <w:t xml:space="preserve">98.1  </w:t>
      </w:r>
    </w:p>
    <w:p>
      <w:pPr>
        <w:spacing w:line="360" w:lineRule="auto"/>
        <w:ind w:left="1688" w:leftChars="798" w:hanging="12" w:hangingChars="5"/>
        <w:rPr>
          <w:rFonts w:ascii="宋体" w:hAnsi="宋体" w:cs="宋体"/>
          <w:color w:val="auto"/>
          <w:highlight w:val="none"/>
        </w:rPr>
      </w:pPr>
      <w:r>
        <w:rPr>
          <w:rFonts w:hint="eastAsia" w:ascii="宋体" w:hAnsi="宋体" w:cs="宋体"/>
          <w:color w:val="auto"/>
          <w:sz w:val="24"/>
          <w:szCs w:val="24"/>
          <w:highlight w:val="none"/>
        </w:rPr>
        <w:t>合同双方当事人应按照第22条至第25条的职责划分，督促各自人员认真履行合同管理职责，加强合同管理。涉及国有资金投资的工程，建设行政主管部门、工程造价管理机构应依据建设行政主管部门存档合同实施合同监督管理；合同双方当事人应随时接受执法人员对本合同的监督管理，并为监督管理活动提供配合和协助。</w:t>
      </w:r>
    </w:p>
    <w:p>
      <w:pPr>
        <w:tabs>
          <w:tab w:val="left" w:pos="420"/>
        </w:tabs>
        <w:adjustRightInd w:val="0"/>
        <w:snapToGrid w:val="0"/>
        <w:spacing w:line="480" w:lineRule="auto"/>
        <w:jc w:val="center"/>
        <w:rPr>
          <w:rFonts w:ascii="宋体" w:hAnsi="宋体" w:cs="宋体"/>
          <w:bCs/>
          <w:color w:val="auto"/>
          <w:kern w:val="44"/>
          <w:sz w:val="36"/>
          <w:szCs w:val="36"/>
          <w:highlight w:val="none"/>
        </w:rPr>
      </w:pPr>
      <w:r>
        <w:rPr>
          <w:rFonts w:hint="eastAsia" w:ascii="宋体" w:hAnsi="宋体" w:cs="宋体"/>
          <w:b/>
          <w:bCs/>
          <w:color w:val="auto"/>
          <w:sz w:val="24"/>
          <w:szCs w:val="24"/>
          <w:highlight w:val="none"/>
          <w:u w:val="single"/>
        </w:rPr>
        <w:br w:type="page"/>
      </w:r>
      <w:bookmarkStart w:id="1398" w:name="_Toc469384081"/>
      <w:bookmarkStart w:id="1399" w:name="_Toc18545"/>
      <w:bookmarkStart w:id="1400" w:name="_Toc999"/>
      <w:r>
        <w:rPr>
          <w:rFonts w:hint="eastAsia" w:ascii="宋体" w:hAnsi="宋体" w:cs="宋体"/>
          <w:bCs/>
          <w:color w:val="auto"/>
          <w:kern w:val="44"/>
          <w:sz w:val="36"/>
          <w:szCs w:val="36"/>
          <w:highlight w:val="none"/>
        </w:rPr>
        <w:t>第三部分专用条款</w:t>
      </w:r>
      <w:bookmarkEnd w:id="1398"/>
      <w:bookmarkEnd w:id="1399"/>
      <w:bookmarkEnd w:id="1400"/>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401" w:name="_Toc469384082"/>
      <w:bookmarkStart w:id="1402" w:name="_Toc17941"/>
      <w:bookmarkStart w:id="1403" w:name="_Toc1314183940"/>
      <w:bookmarkStart w:id="1404" w:name="_Toc17239"/>
      <w:bookmarkStart w:id="1405" w:name="_Toc7369"/>
      <w:bookmarkStart w:id="1406" w:name="_Toc25615"/>
      <w:bookmarkStart w:id="1407" w:name="_Toc723539663"/>
      <w:bookmarkStart w:id="1408" w:name="_Toc23213"/>
      <w:bookmarkStart w:id="1409" w:name="_Toc19492"/>
      <w:r>
        <w:rPr>
          <w:rFonts w:hint="eastAsia" w:ascii="宋体" w:hAnsi="宋体" w:cs="宋体"/>
          <w:bCs/>
          <w:color w:val="auto"/>
          <w:sz w:val="24"/>
          <w:szCs w:val="24"/>
          <w:highlight w:val="none"/>
        </w:rPr>
        <w:t>1．定义</w:t>
      </w:r>
      <w:bookmarkEnd w:id="1401"/>
      <w:bookmarkEnd w:id="1402"/>
      <w:bookmarkEnd w:id="1403"/>
      <w:bookmarkEnd w:id="1404"/>
      <w:bookmarkEnd w:id="1405"/>
      <w:bookmarkEnd w:id="1406"/>
      <w:bookmarkEnd w:id="1407"/>
      <w:bookmarkEnd w:id="1408"/>
      <w:bookmarkEnd w:id="1409"/>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1.43 单位工程</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名称：</w:t>
      </w:r>
      <w:r>
        <w:rPr>
          <w:rFonts w:hint="eastAsia" w:ascii="宋体" w:hAnsi="宋体" w:cs="宋体"/>
          <w:color w:val="auto"/>
          <w:sz w:val="24"/>
          <w:szCs w:val="24"/>
          <w:highlight w:val="none"/>
          <w:u w:val="single"/>
          <w:lang w:eastAsia="zh-CN"/>
        </w:rPr>
        <w:t>白云恒运天然气发电项目燃气管线工程施工总承包</w:t>
      </w:r>
    </w:p>
    <w:p>
      <w:pPr>
        <w:autoSpaceDE/>
        <w:autoSpaceDN/>
        <w:adjustRightInd/>
        <w:spacing w:line="360" w:lineRule="auto"/>
        <w:ind w:firstLine="480" w:firstLineChars="200"/>
        <w:jc w:val="left"/>
        <w:rPr>
          <w:rFonts w:hint="eastAsia" w:ascii="宋体" w:hAnsi="宋体" w:cs="宋体"/>
          <w:color w:val="auto"/>
          <w:kern w:val="0"/>
          <w:sz w:val="24"/>
          <w:szCs w:val="24"/>
          <w:highlight w:val="none"/>
          <w:u w:val="none"/>
        </w:rPr>
      </w:pPr>
      <w:r>
        <w:rPr>
          <w:rFonts w:hint="eastAsia" w:ascii="宋体" w:hAnsi="宋体" w:cs="宋体"/>
          <w:color w:val="auto"/>
          <w:kern w:val="0"/>
          <w:sz w:val="24"/>
          <w:szCs w:val="24"/>
          <w:highlight w:val="none"/>
          <w:u w:val="none"/>
        </w:rPr>
        <w:t>内容：</w:t>
      </w:r>
      <w:r>
        <w:rPr>
          <w:rFonts w:hint="eastAsia" w:ascii="宋体" w:hAnsi="宋体" w:cs="宋体"/>
          <w:color w:val="auto"/>
          <w:kern w:val="0"/>
          <w:sz w:val="24"/>
          <w:szCs w:val="24"/>
          <w:highlight w:val="none"/>
          <w:u w:val="none"/>
          <w:lang w:eastAsia="zh-CN"/>
        </w:rPr>
        <w:t>白云恒运天然气发电项目燃气管线工程</w:t>
      </w:r>
      <w:r>
        <w:rPr>
          <w:rFonts w:hint="eastAsia" w:ascii="宋体" w:hAnsi="宋体" w:cs="宋体"/>
          <w:color w:val="auto"/>
          <w:sz w:val="24"/>
          <w:highlight w:val="none"/>
          <w:u w:val="none"/>
        </w:rPr>
        <w:t>管线</w:t>
      </w:r>
      <w:r>
        <w:rPr>
          <w:rFonts w:hint="eastAsia" w:ascii="宋体" w:hAnsi="宋体" w:cs="宋体"/>
          <w:color w:val="auto"/>
          <w:sz w:val="24"/>
          <w:highlight w:val="none"/>
          <w:u w:val="none"/>
          <w:lang w:val="en-US" w:eastAsia="zh-CN"/>
        </w:rPr>
        <w:t>路由起点从</w:t>
      </w:r>
      <w:r>
        <w:rPr>
          <w:rFonts w:hint="eastAsia" w:ascii="宋体" w:hAnsi="宋体" w:cs="宋体"/>
          <w:color w:val="auto"/>
          <w:sz w:val="24"/>
          <w:highlight w:val="none"/>
          <w:u w:val="none"/>
        </w:rPr>
        <w:t>唐阁路现</w:t>
      </w:r>
      <w:r>
        <w:rPr>
          <w:rFonts w:hint="eastAsia" w:ascii="宋体" w:hAnsi="宋体" w:cs="宋体"/>
          <w:color w:val="auto"/>
          <w:sz w:val="24"/>
          <w:highlight w:val="none"/>
          <w:u w:val="none"/>
          <w:lang w:val="en-US" w:eastAsia="zh-CN"/>
        </w:rPr>
        <w:t>役</w:t>
      </w:r>
      <w:r>
        <w:rPr>
          <w:rFonts w:hint="eastAsia" w:ascii="宋体" w:hAnsi="宋体" w:cs="宋体"/>
          <w:color w:val="auto"/>
          <w:sz w:val="24"/>
          <w:highlight w:val="none"/>
          <w:u w:val="none"/>
        </w:rPr>
        <w:t>高压管线开口，沿拟建铁路东线-大朗东路中央绿化带铺设，</w:t>
      </w:r>
      <w:r>
        <w:rPr>
          <w:rFonts w:hint="eastAsia" w:ascii="宋体" w:hAnsi="宋体" w:cs="宋体"/>
          <w:color w:val="auto"/>
          <w:sz w:val="24"/>
          <w:highlight w:val="none"/>
          <w:u w:val="none"/>
          <w:lang w:val="en-US" w:eastAsia="zh-CN"/>
        </w:rPr>
        <w:t>后延电厂西侧规划路敷设，从</w:t>
      </w:r>
      <w:r>
        <w:rPr>
          <w:rFonts w:hint="eastAsia" w:ascii="宋体" w:hAnsi="宋体" w:cs="宋体"/>
          <w:color w:val="auto"/>
          <w:sz w:val="24"/>
          <w:highlight w:val="none"/>
          <w:u w:val="none"/>
        </w:rPr>
        <w:t>恒运电厂西南部</w:t>
      </w:r>
      <w:r>
        <w:rPr>
          <w:rFonts w:hint="eastAsia" w:ascii="宋体" w:hAnsi="宋体" w:cs="宋体"/>
          <w:color w:val="auto"/>
          <w:sz w:val="24"/>
          <w:highlight w:val="none"/>
          <w:u w:val="none"/>
          <w:lang w:val="en-US" w:eastAsia="zh-CN"/>
        </w:rPr>
        <w:t>进入厂区，最后延厂内道路及桁架敷设至计量站</w:t>
      </w:r>
      <w:r>
        <w:rPr>
          <w:rFonts w:hint="eastAsia" w:ascii="宋体" w:hAnsi="宋体" w:cs="宋体"/>
          <w:color w:val="auto"/>
          <w:sz w:val="24"/>
          <w:highlight w:val="none"/>
          <w:u w:val="none"/>
        </w:rPr>
        <w:t>。</w:t>
      </w:r>
      <w:r>
        <w:rPr>
          <w:rFonts w:hint="eastAsia" w:ascii="宋体" w:hAnsi="宋体" w:cs="宋体"/>
          <w:color w:val="auto"/>
          <w:kern w:val="0"/>
          <w:sz w:val="24"/>
          <w:szCs w:val="24"/>
          <w:highlight w:val="none"/>
          <w:u w:val="none"/>
        </w:rPr>
        <w:t>设计管径为 D508×</w:t>
      </w:r>
      <w:r>
        <w:rPr>
          <w:rFonts w:hint="eastAsia" w:ascii="宋体" w:hAnsi="宋体" w:cs="宋体"/>
          <w:color w:val="auto"/>
          <w:kern w:val="0"/>
          <w:sz w:val="24"/>
          <w:szCs w:val="24"/>
          <w:highlight w:val="none"/>
          <w:u w:val="none"/>
          <w:lang w:val="en-US" w:eastAsia="zh-CN"/>
        </w:rPr>
        <w:t>14.2</w:t>
      </w:r>
      <w:r>
        <w:rPr>
          <w:rFonts w:hint="eastAsia" w:ascii="宋体" w:hAnsi="宋体" w:cs="宋体"/>
          <w:color w:val="auto"/>
          <w:kern w:val="0"/>
          <w:sz w:val="24"/>
          <w:szCs w:val="24"/>
          <w:highlight w:val="none"/>
          <w:u w:val="none"/>
        </w:rPr>
        <w:t>，管材为直缝双面埋弧焊钢管，设计压力为</w:t>
      </w:r>
      <w:r>
        <w:rPr>
          <w:rFonts w:hint="eastAsia" w:ascii="宋体" w:hAnsi="宋体" w:cs="宋体"/>
          <w:color w:val="auto"/>
          <w:kern w:val="0"/>
          <w:sz w:val="24"/>
          <w:szCs w:val="24"/>
          <w:highlight w:val="none"/>
          <w:u w:val="none"/>
          <w:lang w:val="en-US" w:eastAsia="zh-CN"/>
        </w:rPr>
        <w:t>5.0</w:t>
      </w:r>
      <w:r>
        <w:rPr>
          <w:rFonts w:hint="eastAsia" w:ascii="宋体" w:hAnsi="宋体" w:cs="宋体"/>
          <w:color w:val="auto"/>
          <w:kern w:val="0"/>
          <w:sz w:val="24"/>
          <w:szCs w:val="24"/>
          <w:highlight w:val="none"/>
          <w:u w:val="none"/>
        </w:rPr>
        <w:t>MPa，管线总长度约</w:t>
      </w:r>
      <w:r>
        <w:rPr>
          <w:rFonts w:hint="eastAsia" w:ascii="宋体" w:hAnsi="宋体" w:cs="宋体"/>
          <w:color w:val="auto"/>
          <w:kern w:val="0"/>
          <w:sz w:val="24"/>
          <w:szCs w:val="24"/>
          <w:highlight w:val="none"/>
          <w:u w:val="none"/>
          <w:lang w:val="en-US" w:eastAsia="zh-CN"/>
        </w:rPr>
        <w:t>2.03公里</w:t>
      </w:r>
      <w:r>
        <w:rPr>
          <w:rFonts w:hint="eastAsia" w:ascii="宋体" w:hAnsi="宋体" w:cs="宋体"/>
          <w:color w:val="auto"/>
          <w:kern w:val="0"/>
          <w:sz w:val="24"/>
          <w:szCs w:val="24"/>
          <w:highlight w:val="none"/>
          <w:u w:val="none"/>
        </w:rPr>
        <w:t>（其中站内管道长约</w:t>
      </w:r>
      <w:r>
        <w:rPr>
          <w:rFonts w:hint="eastAsia" w:ascii="宋体" w:hAnsi="宋体" w:cs="宋体"/>
          <w:color w:val="auto"/>
          <w:kern w:val="0"/>
          <w:sz w:val="24"/>
          <w:szCs w:val="24"/>
          <w:highlight w:val="none"/>
          <w:u w:val="none"/>
          <w:lang w:val="en-US" w:eastAsia="zh-CN"/>
        </w:rPr>
        <w:t>520</w:t>
      </w:r>
      <w:r>
        <w:rPr>
          <w:rFonts w:hint="eastAsia" w:ascii="宋体" w:hAnsi="宋体" w:cs="宋体"/>
          <w:color w:val="auto"/>
          <w:kern w:val="0"/>
          <w:sz w:val="24"/>
          <w:szCs w:val="24"/>
          <w:highlight w:val="none"/>
          <w:u w:val="none"/>
        </w:rPr>
        <w:t>米，站外线路管道长约</w:t>
      </w:r>
      <w:r>
        <w:rPr>
          <w:rFonts w:hint="eastAsia" w:ascii="宋体" w:hAnsi="宋体" w:cs="宋体"/>
          <w:color w:val="auto"/>
          <w:kern w:val="0"/>
          <w:sz w:val="24"/>
          <w:szCs w:val="24"/>
          <w:highlight w:val="none"/>
          <w:u w:val="none"/>
          <w:lang w:val="en-US" w:eastAsia="zh-CN"/>
        </w:rPr>
        <w:t>1511</w:t>
      </w:r>
      <w:r>
        <w:rPr>
          <w:rFonts w:hint="eastAsia" w:ascii="宋体" w:hAnsi="宋体" w:cs="宋体"/>
          <w:color w:val="auto"/>
          <w:kern w:val="0"/>
          <w:sz w:val="24"/>
          <w:szCs w:val="24"/>
          <w:highlight w:val="none"/>
          <w:u w:val="none"/>
        </w:rPr>
        <w:t>米）。管道采用三层PE结构防腐层，外加电流阴极保护，管道焊接应严格按照焊接工艺评定试验结果进行；</w:t>
      </w:r>
      <w:r>
        <w:rPr>
          <w:rFonts w:hint="eastAsia" w:ascii="宋体" w:hAnsi="宋体" w:cs="宋体"/>
          <w:color w:val="auto"/>
          <w:kern w:val="0"/>
          <w:sz w:val="24"/>
          <w:szCs w:val="24"/>
          <w:highlight w:val="none"/>
          <w:u w:val="none"/>
          <w:lang w:val="en-US" w:eastAsia="zh-CN"/>
        </w:rPr>
        <w:t>白云恒运</w:t>
      </w:r>
      <w:r>
        <w:rPr>
          <w:rFonts w:hint="eastAsia" w:ascii="宋体" w:hAnsi="宋体" w:cs="宋体"/>
          <w:color w:val="auto"/>
          <w:kern w:val="0"/>
          <w:sz w:val="24"/>
          <w:szCs w:val="24"/>
          <w:highlight w:val="none"/>
          <w:u w:val="none"/>
        </w:rPr>
        <w:t>电厂内新建计量装置、色谱分析仪及小屋各1套</w:t>
      </w:r>
      <w:r>
        <w:rPr>
          <w:rFonts w:hint="eastAsia" w:ascii="宋体" w:hAnsi="宋体" w:cs="宋体"/>
          <w:color w:val="auto"/>
          <w:sz w:val="24"/>
          <w:highlight w:val="none"/>
          <w:lang w:eastAsia="zh-CN"/>
        </w:rPr>
        <w:t>，</w:t>
      </w:r>
      <w:r>
        <w:rPr>
          <w:rFonts w:hint="eastAsia" w:ascii="宋体" w:hAnsi="宋体" w:cs="宋体"/>
          <w:color w:val="auto"/>
          <w:sz w:val="24"/>
          <w:highlight w:val="none"/>
          <w:u w:val="single"/>
          <w:lang w:val="en-US" w:eastAsia="zh-CN"/>
        </w:rPr>
        <w:t>电厂西侧规划路约120米污水管道迁改等工作</w:t>
      </w:r>
      <w:r>
        <w:rPr>
          <w:rFonts w:hint="eastAsia" w:ascii="宋体" w:hAnsi="宋体" w:cs="宋体"/>
          <w:color w:val="auto"/>
          <w:sz w:val="24"/>
          <w:szCs w:val="24"/>
          <w:highlight w:val="none"/>
        </w:rPr>
        <w:t>。</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范围：</w:t>
      </w:r>
      <w:r>
        <w:rPr>
          <w:rFonts w:hint="eastAsia" w:ascii="宋体" w:hAnsi="宋体" w:cs="宋体"/>
          <w:color w:val="auto"/>
          <w:kern w:val="0"/>
          <w:sz w:val="24"/>
          <w:szCs w:val="24"/>
          <w:highlight w:val="none"/>
          <w:u w:val="single"/>
        </w:rPr>
        <w:t>包工、包料（甲供材料除外）、包工期、包质量、包绿色施工安全防护措施、</w:t>
      </w:r>
      <w:r>
        <w:rPr>
          <w:rFonts w:hint="eastAsia" w:ascii="宋体" w:hAnsi="宋体" w:cs="宋体"/>
          <w:color w:val="auto"/>
          <w:kern w:val="0"/>
          <w:sz w:val="24"/>
          <w:szCs w:val="24"/>
          <w:highlight w:val="none"/>
          <w:u w:val="single"/>
          <w:lang w:eastAsia="zh-CN"/>
        </w:rPr>
        <w:t>包施工协调、</w:t>
      </w:r>
      <w:r>
        <w:rPr>
          <w:rFonts w:hint="eastAsia" w:ascii="宋体" w:hAnsi="宋体" w:cs="宋体"/>
          <w:color w:val="auto"/>
          <w:kern w:val="0"/>
          <w:sz w:val="24"/>
          <w:szCs w:val="24"/>
          <w:highlight w:val="none"/>
          <w:u w:val="single"/>
        </w:rPr>
        <w:t>包总承包范围内验收，包联合测试的总体组织与协调。</w:t>
      </w:r>
    </w:p>
    <w:p>
      <w:pPr>
        <w:autoSpaceDE w:val="0"/>
        <w:autoSpaceDN w:val="0"/>
        <w:adjustRightInd w:val="0"/>
        <w:spacing w:line="360" w:lineRule="auto"/>
        <w:ind w:firstLine="240" w:firstLineChars="1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1.53  所采用的书面形式包括：</w:t>
      </w:r>
    </w:p>
    <w:p>
      <w:pPr>
        <w:autoSpaceDE w:val="0"/>
        <w:autoSpaceDN w:val="0"/>
        <w:adjustRightInd w:val="0"/>
        <w:spacing w:line="360" w:lineRule="auto"/>
        <w:ind w:firstLine="360" w:firstLineChars="1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文书；</w:t>
      </w:r>
    </w:p>
    <w:p>
      <w:pPr>
        <w:autoSpaceDE w:val="0"/>
        <w:autoSpaceDN w:val="0"/>
        <w:adjustRightInd w:val="0"/>
        <w:spacing w:line="360" w:lineRule="auto"/>
        <w:ind w:firstLine="360" w:firstLineChars="1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信件；</w:t>
      </w:r>
    </w:p>
    <w:p>
      <w:pPr>
        <w:autoSpaceDE w:val="0"/>
        <w:autoSpaceDN w:val="0"/>
        <w:adjustRightInd w:val="0"/>
        <w:spacing w:line="360" w:lineRule="auto"/>
        <w:ind w:firstLine="360" w:firstLineChars="1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□电报；</w:t>
      </w:r>
    </w:p>
    <w:p>
      <w:pPr>
        <w:autoSpaceDE w:val="0"/>
        <w:autoSpaceDN w:val="0"/>
        <w:adjustRightInd w:val="0"/>
        <w:spacing w:line="360" w:lineRule="auto"/>
        <w:ind w:firstLine="360" w:firstLineChars="1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传真；</w:t>
      </w:r>
    </w:p>
    <w:p>
      <w:pPr>
        <w:autoSpaceDE w:val="0"/>
        <w:autoSpaceDN w:val="0"/>
        <w:adjustRightInd w:val="0"/>
        <w:spacing w:line="360" w:lineRule="auto"/>
        <w:ind w:firstLine="360" w:firstLineChars="1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电子邮件；</w:t>
      </w:r>
    </w:p>
    <w:p>
      <w:pPr>
        <w:autoSpaceDE w:val="0"/>
        <w:autoSpaceDN w:val="0"/>
        <w:adjustRightInd w:val="0"/>
        <w:spacing w:line="360" w:lineRule="auto"/>
        <w:ind w:firstLine="360" w:firstLineChars="15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□其他：</w:t>
      </w:r>
    </w:p>
    <w:p>
      <w:pPr>
        <w:spacing w:line="360" w:lineRule="auto"/>
        <w:rPr>
          <w:rFonts w:ascii="宋体" w:hAnsi="宋体" w:cs="宋体"/>
          <w:b/>
          <w:bCs/>
          <w:color w:val="auto"/>
          <w:sz w:val="24"/>
          <w:szCs w:val="24"/>
          <w:highlight w:val="none"/>
        </w:rPr>
      </w:pPr>
    </w:p>
    <w:p>
      <w:pPr>
        <w:keepNext/>
        <w:keepLines/>
        <w:tabs>
          <w:tab w:val="left" w:pos="420"/>
        </w:tabs>
        <w:spacing w:after="120" w:line="360" w:lineRule="auto"/>
        <w:jc w:val="center"/>
        <w:outlineLvl w:val="1"/>
        <w:rPr>
          <w:rFonts w:ascii="宋体" w:hAnsi="宋体" w:cs="宋体"/>
          <w:bCs/>
          <w:color w:val="auto"/>
          <w:sz w:val="24"/>
          <w:szCs w:val="24"/>
          <w:highlight w:val="none"/>
        </w:rPr>
      </w:pPr>
      <w:bookmarkStart w:id="1410" w:name="_Toc20314"/>
      <w:bookmarkStart w:id="1411" w:name="_Toc6212"/>
      <w:bookmarkStart w:id="1412" w:name="_Toc1478706727"/>
      <w:bookmarkStart w:id="1413" w:name="_Toc26764"/>
      <w:bookmarkStart w:id="1414" w:name="_Toc14334"/>
      <w:bookmarkStart w:id="1415" w:name="_Toc19777"/>
      <w:bookmarkStart w:id="1416" w:name="_Toc469384083"/>
      <w:bookmarkStart w:id="1417" w:name="_Toc620170185"/>
      <w:bookmarkStart w:id="1418" w:name="_Toc25057"/>
      <w:r>
        <w:rPr>
          <w:rFonts w:hint="eastAsia" w:ascii="宋体" w:hAnsi="宋体" w:cs="宋体"/>
          <w:bCs/>
          <w:color w:val="auto"/>
          <w:sz w:val="24"/>
          <w:szCs w:val="24"/>
          <w:highlight w:val="none"/>
        </w:rPr>
        <w:t>2．合同文件及解释</w:t>
      </w:r>
      <w:bookmarkEnd w:id="1410"/>
      <w:bookmarkEnd w:id="1411"/>
      <w:bookmarkEnd w:id="1412"/>
      <w:bookmarkEnd w:id="1413"/>
      <w:bookmarkEnd w:id="1414"/>
      <w:bookmarkEnd w:id="1415"/>
      <w:bookmarkEnd w:id="1416"/>
      <w:bookmarkEnd w:id="1417"/>
      <w:bookmarkEnd w:id="1418"/>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2.2（10）组成合同的其他文件：</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下列文件应被认为是组成本协议书的一部分，并互为补充和解释的,如上述各部分存在不一致之处,以排列在先的其效力优先：</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1）本合同协议书、工程量质量保修书；</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2）本合同专用条款；</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3）本合同附件；</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4）本合同通用条款；</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5）中标通知书；</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6）招标答疑会议纪要；</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7）招标文件（含补充、修改、澄清文件、工程量清单及编制说明等）及其附件；</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8）投标文件及其附件；</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9）标准、规范及有关技术文件；</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10）图纸及会审记录；</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11）经双方确认的工程量清单项目费汇总表。</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u w:val="single"/>
        </w:rPr>
        <w:t>双方有关工程的协商、变更的书面协议或文件（包括阶段性进度计划）应被视为本合同的组成部分，且其效力优先于上述文件。</w:t>
      </w:r>
    </w:p>
    <w:p>
      <w:pPr>
        <w:spacing w:line="360" w:lineRule="auto"/>
        <w:rPr>
          <w:rFonts w:ascii="宋体" w:hAnsi="宋体" w:cs="宋体"/>
          <w:color w:val="auto"/>
          <w:kern w:val="0"/>
          <w:sz w:val="24"/>
          <w:szCs w:val="24"/>
          <w:highlight w:val="none"/>
        </w:rPr>
      </w:pPr>
    </w:p>
    <w:p>
      <w:pPr>
        <w:keepNext/>
        <w:keepLines/>
        <w:tabs>
          <w:tab w:val="left" w:pos="420"/>
        </w:tabs>
        <w:spacing w:after="120" w:line="360" w:lineRule="auto"/>
        <w:jc w:val="center"/>
        <w:outlineLvl w:val="1"/>
        <w:rPr>
          <w:rFonts w:ascii="宋体" w:hAnsi="宋体" w:cs="宋体"/>
          <w:bCs/>
          <w:color w:val="auto"/>
          <w:sz w:val="24"/>
          <w:szCs w:val="24"/>
          <w:highlight w:val="none"/>
        </w:rPr>
      </w:pPr>
      <w:bookmarkStart w:id="1419" w:name="_Toc27171"/>
      <w:bookmarkStart w:id="1420" w:name="_Toc12540"/>
      <w:bookmarkStart w:id="1421" w:name="_Toc1462160404"/>
      <w:bookmarkStart w:id="1422" w:name="_Toc469384084"/>
      <w:bookmarkStart w:id="1423" w:name="_Toc14690"/>
      <w:bookmarkStart w:id="1424" w:name="_Toc30164"/>
      <w:bookmarkStart w:id="1425" w:name="_Toc1943197605"/>
      <w:bookmarkStart w:id="1426" w:name="_Toc31943"/>
      <w:bookmarkStart w:id="1427" w:name="_Toc9564"/>
      <w:r>
        <w:rPr>
          <w:rFonts w:hint="eastAsia" w:ascii="宋体" w:hAnsi="宋体" w:cs="宋体"/>
          <w:bCs/>
          <w:color w:val="auto"/>
          <w:sz w:val="24"/>
          <w:szCs w:val="24"/>
          <w:highlight w:val="none"/>
        </w:rPr>
        <w:t>4．语言及适用的法律、标准与规范</w:t>
      </w:r>
      <w:bookmarkEnd w:id="1419"/>
      <w:bookmarkEnd w:id="1420"/>
      <w:bookmarkEnd w:id="1421"/>
      <w:bookmarkEnd w:id="1422"/>
      <w:bookmarkEnd w:id="1423"/>
      <w:bookmarkEnd w:id="1424"/>
      <w:bookmarkEnd w:id="1425"/>
      <w:bookmarkEnd w:id="1426"/>
      <w:bookmarkEnd w:id="1427"/>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4.3 约定适用的标准、规范的名称：</w:t>
      </w:r>
    </w:p>
    <w:p>
      <w:pPr>
        <w:spacing w:line="360" w:lineRule="auto"/>
        <w:ind w:firstLine="240" w:firstLineChars="100"/>
        <w:rPr>
          <w:color w:val="auto"/>
          <w:highlight w:val="none"/>
        </w:rPr>
      </w:pPr>
      <w:r>
        <w:rPr>
          <w:rFonts w:hint="eastAsia" w:ascii="宋体" w:hAnsi="宋体" w:cs="宋体"/>
          <w:color w:val="auto"/>
          <w:kern w:val="0"/>
          <w:sz w:val="24"/>
          <w:szCs w:val="24"/>
          <w:highlight w:val="none"/>
        </w:rPr>
        <w:t>（1）《输气管道工程设计规范》(GB50251-2015)</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（2）《油气输送管道穿越工程设计规范》（GB50423-2013）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（3）《火灾自动报警系统设计规范》（GB 50116-2013）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（4）《建筑物防雷设计规范》（GB50057-201</w:t>
      </w:r>
      <w:r>
        <w:rPr>
          <w:rFonts w:hint="eastAsia" w:ascii="宋体" w:hAnsi="宋体" w:cs="宋体"/>
          <w:color w:val="auto"/>
          <w:kern w:val="0"/>
          <w:sz w:val="24"/>
          <w:szCs w:val="24"/>
          <w:highlight w:val="none"/>
          <w:lang w:val="en-US" w:eastAsia="zh-CN"/>
        </w:rPr>
        <w:t>9</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（5）《建筑防火通用规范》（GB 55037-2022）</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（6）《构筑物抗震设计规范》（GB50191-2012）</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（7）《建筑抗震设计规范（2016年版）》（GB50011-20</w:t>
      </w: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（8）《爆炸危险环境电力装置设计规范》（GB50058-20</w:t>
      </w:r>
      <w:r>
        <w:rPr>
          <w:rFonts w:hint="eastAsia" w:ascii="宋体" w:hAnsi="宋体" w:cs="宋体"/>
          <w:color w:val="auto"/>
          <w:kern w:val="0"/>
          <w:sz w:val="24"/>
          <w:szCs w:val="24"/>
          <w:highlight w:val="none"/>
          <w:lang w:val="en-US" w:eastAsia="zh-CN"/>
        </w:rPr>
        <w:t>23</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（9）《油气田及管道工程仪表控制系统设计规范》（GB/T 50892-2023）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（10）《油气田及管道工程计算机控制系统设计规范》（SY/T 7628-2021）</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（11）《供配电系统设计规范》（GB50052-20</w:t>
      </w:r>
      <w:r>
        <w:rPr>
          <w:rFonts w:hint="eastAsia" w:ascii="宋体" w:hAnsi="宋体" w:cs="宋体"/>
          <w:color w:val="auto"/>
          <w:kern w:val="0"/>
          <w:sz w:val="24"/>
          <w:szCs w:val="24"/>
          <w:highlight w:val="none"/>
          <w:lang w:val="en-US" w:eastAsia="zh-CN"/>
        </w:rPr>
        <w:t>24</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（12）《20kV及以下变电所设计规范》（GB50053-20</w:t>
      </w: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（13）《低压配电设计规范》（GB50054-20</w:t>
      </w:r>
      <w:r>
        <w:rPr>
          <w:rFonts w:hint="eastAsia" w:ascii="宋体" w:hAnsi="宋体" w:cs="宋体"/>
          <w:color w:val="auto"/>
          <w:kern w:val="0"/>
          <w:sz w:val="24"/>
          <w:szCs w:val="24"/>
          <w:highlight w:val="none"/>
          <w:lang w:val="en-US" w:eastAsia="zh-CN"/>
        </w:rPr>
        <w:t>24</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（14）《通用用电设备配电设计规范》（GB50055-20</w:t>
      </w:r>
      <w:r>
        <w:rPr>
          <w:rFonts w:hint="eastAsia" w:ascii="宋体" w:hAnsi="宋体" w:cs="宋体"/>
          <w:color w:val="auto"/>
          <w:kern w:val="0"/>
          <w:sz w:val="24"/>
          <w:szCs w:val="24"/>
          <w:highlight w:val="none"/>
          <w:lang w:val="en-US" w:eastAsia="zh-CN"/>
        </w:rPr>
        <w:t>23</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（15）《电力装置的继电保护和自动装置设计规范》（GB50062-2008）</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（16）《交流电气装置的接地设计规范》        (GB/T 50065-20</w:t>
      </w: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1)</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（17）《工业电视系统工程设计标准》（GB 50115-2019）</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（18）《入侵报警系统工程设计规范》（GB 50394-20</w:t>
      </w:r>
      <w:r>
        <w:rPr>
          <w:rFonts w:hint="eastAsia" w:ascii="宋体" w:hAnsi="宋体" w:cs="宋体"/>
          <w:color w:val="auto"/>
          <w:kern w:val="0"/>
          <w:sz w:val="24"/>
          <w:szCs w:val="24"/>
          <w:highlight w:val="none"/>
          <w:lang w:val="en-US" w:eastAsia="zh-CN"/>
        </w:rPr>
        <w:t>23</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（19）《公共建筑节能设计标准》（GB50189-20</w:t>
      </w:r>
      <w:r>
        <w:rPr>
          <w:rFonts w:hint="eastAsia" w:ascii="宋体" w:hAnsi="宋体" w:cs="宋体"/>
          <w:color w:val="auto"/>
          <w:kern w:val="0"/>
          <w:sz w:val="24"/>
          <w:szCs w:val="24"/>
          <w:highlight w:val="none"/>
          <w:lang w:val="en-US" w:eastAsia="zh-CN"/>
        </w:rPr>
        <w:t>24</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（20）《建筑结构可靠度设计统一标准》（GB 50068-2018）</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（21）《混凝土结构设计规范（2015年版）》（GB 50010-2010）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（22）《建筑地基基础设计规范》（GB 50007-2011）</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（23）《工业建筑防腐蚀设计标准》（GB50046-2018）</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（24）《室外排水设计标准》（GB50014-2021）</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（25）《采暖通风与空气调节设计规范》（GB50019-2015）</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（26）《油气长输管道工程施工及验收规范》（GB50424-2020）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（27）《工业金属管道工程施工规范》（GB50235-2010）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（28）《工业金属管道工程施工质量验收规范》（GB50184-2011）</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（29）《油气输送管道穿越工程施工规范》（GB 50424-2015）</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（30）《现场设备、工业管道焊接工程施工规范》（GB50236-2011）</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（31）《现场设备、工业管道焊接工程施工质量验收规范》（GB50683-2011）</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（32）《石油天然气站内工艺管道工程施工规范（2012年版）》（GB 50540-2009）</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（33）《钢质管道焊接及验收》（GB/T 31032-2014）</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（34）《焊缝无损检测 超声检测技术、检测等级和评定》（GB11345-2013）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（35）《石油天然气钢制管道无损检测》（SY/T4109-2020）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（36）《焊缝无损检测 射线检测 第1部分：X和伽玛射线的胶片技术》（GB3323.1-2019）</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（37）《焊缝无损检测 射线检测 第2部分：使用数字化探测器的X和伽玛射线技术》（GB3323.2-2019）</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（38）《油气输送管道线路工程抗震技术规范》（GB/T 50470-2017）</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（39）《埋地钢质管道阴极保护技术规范》（GB/T21448-2017）</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（40）《钢质管道熔结环氧粉末涂层技术规范》（SY/T 0315-2013）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（41）《天然气计量系统技术要求》（GB/T 18603-2014）</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（42）《流量测量仪表基本参数》（JB/T 10564-2006）</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（43）《管线钢管规范》（API SPEC 5L第 46版）</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（44）《石油天然气工业 管线输送系统用钢管》(GB/T 9711-20</w:t>
      </w:r>
      <w:r>
        <w:rPr>
          <w:rFonts w:hint="eastAsia" w:ascii="宋体" w:hAnsi="宋体" w:cs="宋体"/>
          <w:color w:val="auto"/>
          <w:kern w:val="0"/>
          <w:sz w:val="24"/>
          <w:szCs w:val="24"/>
          <w:highlight w:val="none"/>
          <w:lang w:val="en-US" w:eastAsia="zh-CN"/>
        </w:rPr>
        <w:t>23</w:t>
      </w:r>
      <w:r>
        <w:rPr>
          <w:rFonts w:hint="eastAsia" w:ascii="宋体" w:hAnsi="宋体" w:cs="宋体"/>
          <w:color w:val="auto"/>
          <w:kern w:val="0"/>
          <w:sz w:val="24"/>
          <w:szCs w:val="24"/>
          <w:highlight w:val="none"/>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（45）《油气输送用钢制感应加热弯管 》(SY/T5257-2012)</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（46）《高压化肥设备用无缝钢管》（GB6479-2013）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（47）《埋地钢质管道聚乙烯防腐层 》(GB/T23257-2017)</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（48）《涂覆涂料前钢材表面处理　表面清洁度的目视评定》（GB/T8923）</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（49）《石油化工钢制压力容器》（SH/T 3074-2018）</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（50）《工业企业厂界环境噪声排放标准》（GB12348-2008）</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（51）《大气污染物综合排放标准》（GB16297-1996）</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（52）《污水综合排放标准》（GB8979-1996）</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（53）《石油天然气工程管道和设备涂色规范》（SY/T 0043-2020）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（54）《外壳防护等级（IP代码）》（GB 4208-2017）</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（55）《建筑制图标准》（GB/T 50104-2010）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（56）《总图制图标准》（GB/T 50103-2010）</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（57）《公路路基设计规范》（JTG D30-2015）</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（58）《公路工程技术标准》（JTG B01-2014）</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（59）《建设工程项目管理规范》（GB/T50326-2017）</w:t>
      </w:r>
    </w:p>
    <w:p>
      <w:pPr>
        <w:spacing w:line="360" w:lineRule="auto"/>
        <w:ind w:firstLine="240" w:firstLineChars="100"/>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（60）《燃气工程项目规范》（GB55009-2021</w:t>
      </w:r>
      <w:r>
        <w:rPr>
          <w:rFonts w:hint="eastAsia" w:ascii="宋体" w:hAnsi="宋体" w:cs="宋体"/>
          <w:color w:val="auto"/>
          <w:kern w:val="0"/>
          <w:sz w:val="24"/>
          <w:szCs w:val="24"/>
          <w:highlight w:val="none"/>
          <w:lang w:eastAsia="zh-CN"/>
        </w:rPr>
        <w:t>）</w:t>
      </w:r>
    </w:p>
    <w:p>
      <w:pPr>
        <w:spacing w:line="360" w:lineRule="auto"/>
        <w:ind w:firstLine="240" w:firstLineChars="100"/>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（6</w:t>
      </w: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w:t>
      </w:r>
      <w:r>
        <w:rPr>
          <w:rFonts w:hint="eastAsia" w:ascii="宋体" w:hAnsi="宋体" w:eastAsia="宋体" w:cs="宋体"/>
          <w:i w:val="0"/>
          <w:iCs w:val="0"/>
          <w:caps w:val="0"/>
          <w:color w:val="auto"/>
          <w:spacing w:val="0"/>
          <w:kern w:val="0"/>
          <w:sz w:val="24"/>
          <w:szCs w:val="24"/>
          <w:highlight w:val="none"/>
          <w:shd w:val="clear" w:color="auto" w:fill="auto"/>
        </w:rPr>
        <w:t>城镇燃气</w:t>
      </w:r>
      <w:r>
        <w:rPr>
          <w:rFonts w:hint="eastAsia" w:ascii="宋体" w:hAnsi="宋体" w:cs="宋体"/>
          <w:i w:val="0"/>
          <w:iCs w:val="0"/>
          <w:caps w:val="0"/>
          <w:color w:val="auto"/>
          <w:spacing w:val="0"/>
          <w:kern w:val="0"/>
          <w:sz w:val="24"/>
          <w:szCs w:val="24"/>
          <w:highlight w:val="none"/>
          <w:shd w:val="clear" w:color="auto" w:fill="auto"/>
          <w:lang w:eastAsia="zh-CN"/>
        </w:rPr>
        <w:t>输配</w:t>
      </w:r>
      <w:r>
        <w:rPr>
          <w:rFonts w:hint="eastAsia" w:ascii="宋体" w:hAnsi="宋体" w:eastAsia="宋体" w:cs="宋体"/>
          <w:i w:val="0"/>
          <w:iCs w:val="0"/>
          <w:caps w:val="0"/>
          <w:color w:val="auto"/>
          <w:spacing w:val="0"/>
          <w:kern w:val="0"/>
          <w:sz w:val="24"/>
          <w:szCs w:val="24"/>
          <w:highlight w:val="none"/>
          <w:shd w:val="clear" w:color="auto" w:fill="auto"/>
        </w:rPr>
        <w:t>工程施工及验收规范》</w:t>
      </w:r>
      <w:r>
        <w:rPr>
          <w:rFonts w:hint="eastAsia" w:ascii="宋体" w:hAnsi="宋体" w:cs="宋体"/>
          <w:color w:val="auto"/>
          <w:kern w:val="0"/>
          <w:sz w:val="24"/>
          <w:szCs w:val="24"/>
          <w:highlight w:val="none"/>
        </w:rPr>
        <w:t>（GB/T 51455-2023</w:t>
      </w:r>
      <w:r>
        <w:rPr>
          <w:rFonts w:hint="eastAsia" w:ascii="宋体" w:hAnsi="宋体" w:eastAsia="宋体" w:cs="宋体"/>
          <w:i w:val="0"/>
          <w:iCs w:val="0"/>
          <w:caps w:val="0"/>
          <w:color w:val="auto"/>
          <w:spacing w:val="0"/>
          <w:kern w:val="0"/>
          <w:sz w:val="24"/>
          <w:szCs w:val="24"/>
          <w:highlight w:val="none"/>
          <w:shd w:val="clear" w:color="auto" w:fill="auto"/>
          <w:lang w:eastAsia="zh-CN"/>
        </w:rPr>
        <w:t>）</w:t>
      </w:r>
    </w:p>
    <w:p>
      <w:pPr>
        <w:spacing w:line="360" w:lineRule="auto"/>
        <w:ind w:firstLine="240" w:firstLineChars="100"/>
        <w:rPr>
          <w:rFonts w:hint="eastAsia" w:ascii="宋体" w:hAnsi="宋体" w:cs="宋体"/>
          <w:color w:val="auto"/>
          <w:kern w:val="0"/>
          <w:sz w:val="24"/>
          <w:szCs w:val="24"/>
          <w:highlight w:val="none"/>
        </w:rPr>
      </w:pPr>
    </w:p>
    <w:p>
      <w:pPr>
        <w:spacing w:line="360" w:lineRule="auto"/>
        <w:ind w:firstLine="0" w:firstLineChars="0"/>
        <w:rPr>
          <w:rFonts w:hint="eastAsia" w:ascii="宋体" w:hAnsi="宋体" w:eastAsia="宋体" w:cs="宋体"/>
          <w:color w:val="auto"/>
          <w:kern w:val="0"/>
          <w:sz w:val="24"/>
          <w:szCs w:val="24"/>
          <w:highlight w:val="none"/>
          <w:lang w:eastAsia="zh-CN"/>
        </w:rPr>
      </w:pPr>
    </w:p>
    <w:p>
      <w:pPr>
        <w:spacing w:line="360" w:lineRule="auto"/>
        <w:ind w:firstLine="240" w:firstLineChars="100"/>
        <w:rPr>
          <w:rFonts w:ascii="宋体" w:hAnsi="宋体" w:cs="宋体"/>
          <w:color w:val="auto"/>
          <w:kern w:val="0"/>
          <w:sz w:val="24"/>
          <w:szCs w:val="24"/>
          <w:highlight w:val="none"/>
        </w:rPr>
      </w:pPr>
    </w:p>
    <w:p>
      <w:pPr>
        <w:keepNext/>
        <w:keepLines/>
        <w:tabs>
          <w:tab w:val="left" w:pos="420"/>
        </w:tabs>
        <w:spacing w:before="120" w:after="120" w:line="360" w:lineRule="auto"/>
        <w:jc w:val="center"/>
        <w:outlineLvl w:val="1"/>
        <w:rPr>
          <w:rFonts w:ascii="宋体" w:hAnsi="宋体" w:cs="宋体"/>
          <w:bCs/>
          <w:color w:val="auto"/>
          <w:sz w:val="24"/>
          <w:szCs w:val="24"/>
          <w:highlight w:val="none"/>
        </w:rPr>
      </w:pPr>
      <w:bookmarkStart w:id="1428" w:name="_Toc30641"/>
      <w:bookmarkStart w:id="1429" w:name="_Toc469384085"/>
      <w:bookmarkStart w:id="1430" w:name="_Toc29392"/>
      <w:bookmarkStart w:id="1431" w:name="_Toc2674"/>
      <w:bookmarkStart w:id="1432" w:name="_Toc8439"/>
      <w:bookmarkStart w:id="1433" w:name="_Toc390843659"/>
      <w:bookmarkStart w:id="1434" w:name="_Toc874537407"/>
      <w:bookmarkStart w:id="1435" w:name="_Toc28633"/>
      <w:bookmarkStart w:id="1436" w:name="_Toc3545"/>
      <w:r>
        <w:rPr>
          <w:rFonts w:hint="eastAsia" w:ascii="宋体" w:hAnsi="宋体" w:cs="宋体"/>
          <w:bCs/>
          <w:color w:val="auto"/>
          <w:sz w:val="24"/>
          <w:szCs w:val="24"/>
          <w:highlight w:val="none"/>
        </w:rPr>
        <w:t>5. 施工设计图纸</w:t>
      </w:r>
      <w:bookmarkEnd w:id="1428"/>
      <w:bookmarkEnd w:id="1429"/>
      <w:bookmarkEnd w:id="1430"/>
      <w:bookmarkEnd w:id="1431"/>
      <w:bookmarkEnd w:id="1432"/>
      <w:bookmarkEnd w:id="1433"/>
      <w:bookmarkEnd w:id="1434"/>
      <w:bookmarkEnd w:id="1435"/>
      <w:bookmarkEnd w:id="1436"/>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5.1 发包人提供施工设计图纸</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（1）提供的时间：</w:t>
      </w:r>
      <w:r>
        <w:rPr>
          <w:rFonts w:hint="eastAsia" w:ascii="宋体" w:hAnsi="宋体" w:cs="宋体"/>
          <w:color w:val="auto"/>
          <w:sz w:val="24"/>
          <w:szCs w:val="24"/>
          <w:highlight w:val="none"/>
          <w:u w:val="single"/>
        </w:rPr>
        <w:t>签订合同后30天内</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（2）提供的数量：</w:t>
      </w:r>
      <w:r>
        <w:rPr>
          <w:rFonts w:hint="eastAsia" w:ascii="宋体" w:hAnsi="宋体" w:cs="宋体"/>
          <w:color w:val="auto"/>
          <w:sz w:val="24"/>
          <w:szCs w:val="24"/>
          <w:highlight w:val="none"/>
          <w:u w:val="single"/>
        </w:rPr>
        <w:t>4套</w:t>
      </w:r>
    </w:p>
    <w:p>
      <w:pPr>
        <w:spacing w:line="360" w:lineRule="auto"/>
        <w:rPr>
          <w:rFonts w:ascii="宋体" w:hAnsi="宋体" w:cs="宋体"/>
          <w:strike/>
          <w:color w:val="auto"/>
          <w:sz w:val="24"/>
          <w:szCs w:val="24"/>
          <w:highlight w:val="none"/>
        </w:rPr>
      </w:pPr>
      <w:r>
        <w:rPr>
          <w:rFonts w:hint="eastAsia" w:ascii="宋体" w:hAnsi="宋体" w:cs="宋体"/>
          <w:strike/>
          <w:color w:val="auto"/>
          <w:sz w:val="24"/>
          <w:szCs w:val="24"/>
          <w:highlight w:val="none"/>
        </w:rPr>
        <w:t xml:space="preserve">  5.2 承包人提供施工设计图纸</w:t>
      </w:r>
    </w:p>
    <w:p>
      <w:pPr>
        <w:spacing w:line="360" w:lineRule="auto"/>
        <w:ind w:firstLine="240" w:firstLineChars="100"/>
        <w:rPr>
          <w:rFonts w:ascii="宋体" w:hAnsi="宋体" w:cs="宋体"/>
          <w:strike/>
          <w:color w:val="auto"/>
          <w:sz w:val="24"/>
          <w:szCs w:val="24"/>
          <w:highlight w:val="none"/>
        </w:rPr>
      </w:pPr>
      <w:r>
        <w:rPr>
          <w:rFonts w:hint="eastAsia" w:ascii="宋体" w:hAnsi="宋体" w:cs="宋体"/>
          <w:strike/>
          <w:color w:val="auto"/>
          <w:sz w:val="24"/>
          <w:szCs w:val="24"/>
          <w:highlight w:val="none"/>
        </w:rPr>
        <w:t>（1）提供的时间：</w:t>
      </w:r>
    </w:p>
    <w:p>
      <w:pPr>
        <w:spacing w:line="360" w:lineRule="auto"/>
        <w:rPr>
          <w:rFonts w:ascii="宋体" w:hAnsi="宋体" w:cs="宋体"/>
          <w:strike/>
          <w:color w:val="auto"/>
          <w:sz w:val="24"/>
          <w:szCs w:val="24"/>
          <w:highlight w:val="none"/>
          <w:u w:val="single"/>
        </w:rPr>
      </w:pPr>
      <w:r>
        <w:rPr>
          <w:rFonts w:hint="eastAsia" w:ascii="宋体" w:hAnsi="宋体" w:cs="宋体"/>
          <w:strike/>
          <w:color w:val="auto"/>
          <w:sz w:val="24"/>
          <w:szCs w:val="24"/>
          <w:highlight w:val="none"/>
        </w:rPr>
        <w:t>（2）提供的数量：</w:t>
      </w:r>
    </w:p>
    <w:p>
      <w:pPr>
        <w:spacing w:line="360" w:lineRule="auto"/>
        <w:ind w:firstLine="240" w:firstLineChars="100"/>
        <w:rPr>
          <w:rFonts w:ascii="宋体" w:hAnsi="宋体" w:cs="宋体"/>
          <w:strike/>
          <w:color w:val="auto"/>
          <w:sz w:val="24"/>
          <w:szCs w:val="24"/>
          <w:highlight w:val="none"/>
        </w:rPr>
      </w:pPr>
      <w:r>
        <w:rPr>
          <w:rFonts w:hint="eastAsia" w:ascii="宋体" w:hAnsi="宋体" w:cs="宋体"/>
          <w:strike/>
          <w:color w:val="auto"/>
          <w:sz w:val="24"/>
          <w:szCs w:val="24"/>
          <w:highlight w:val="none"/>
        </w:rPr>
        <w:t>（3）监理工程师答复的时间：</w:t>
      </w:r>
    </w:p>
    <w:p>
      <w:pPr>
        <w:spacing w:line="360" w:lineRule="auto"/>
        <w:rPr>
          <w:rFonts w:ascii="宋体" w:hAnsi="宋体" w:cs="宋体"/>
          <w:color w:val="auto"/>
          <w:sz w:val="24"/>
          <w:szCs w:val="24"/>
          <w:highlight w:val="none"/>
        </w:rPr>
      </w:pPr>
    </w:p>
    <w:p>
      <w:pPr>
        <w:keepNext/>
        <w:keepLines/>
        <w:tabs>
          <w:tab w:val="left" w:pos="420"/>
        </w:tabs>
        <w:spacing w:before="120" w:after="120" w:line="360" w:lineRule="auto"/>
        <w:jc w:val="center"/>
        <w:outlineLvl w:val="1"/>
        <w:rPr>
          <w:rFonts w:ascii="宋体" w:hAnsi="宋体" w:cs="宋体"/>
          <w:bCs/>
          <w:color w:val="auto"/>
          <w:sz w:val="24"/>
          <w:szCs w:val="24"/>
          <w:highlight w:val="none"/>
        </w:rPr>
      </w:pPr>
      <w:bookmarkStart w:id="1437" w:name="_Toc972119381"/>
      <w:bookmarkStart w:id="1438" w:name="_Toc10374"/>
      <w:bookmarkStart w:id="1439" w:name="_Toc2441"/>
      <w:bookmarkStart w:id="1440" w:name="_Toc6351"/>
      <w:bookmarkStart w:id="1441" w:name="_Toc28727"/>
      <w:bookmarkStart w:id="1442" w:name="_Toc469384086"/>
      <w:bookmarkStart w:id="1443" w:name="_Toc1904384287"/>
      <w:bookmarkStart w:id="1444" w:name="_Toc2798"/>
      <w:bookmarkStart w:id="1445" w:name="_Toc10695"/>
      <w:r>
        <w:rPr>
          <w:rFonts w:hint="eastAsia" w:ascii="宋体" w:hAnsi="宋体" w:cs="宋体"/>
          <w:bCs/>
          <w:color w:val="auto"/>
          <w:sz w:val="24"/>
          <w:szCs w:val="24"/>
          <w:highlight w:val="none"/>
        </w:rPr>
        <w:t>6. 通信联络</w:t>
      </w:r>
      <w:bookmarkEnd w:id="1437"/>
      <w:bookmarkEnd w:id="1438"/>
      <w:bookmarkEnd w:id="1439"/>
      <w:bookmarkEnd w:id="1440"/>
      <w:bookmarkEnd w:id="1441"/>
      <w:bookmarkEnd w:id="1442"/>
      <w:bookmarkEnd w:id="1443"/>
      <w:bookmarkEnd w:id="1444"/>
      <w:bookmarkEnd w:id="1445"/>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6.2各方通讯地址、收件人及其他送达方式</w:t>
      </w:r>
    </w:p>
    <w:p>
      <w:pPr>
        <w:numPr>
          <w:ilvl w:val="0"/>
          <w:numId w:val="31"/>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各方通讯地址和收件人：</w:t>
      </w:r>
    </w:p>
    <w:p>
      <w:pPr>
        <w:spacing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发包人：</w:t>
      </w:r>
      <w:r>
        <w:rPr>
          <w:rFonts w:hint="eastAsia" w:ascii="宋体" w:hAnsi="宋体" w:cs="宋体"/>
          <w:color w:val="auto"/>
          <w:sz w:val="24"/>
          <w:szCs w:val="24"/>
          <w:highlight w:val="none"/>
          <w:u w:val="single"/>
        </w:rPr>
        <w:t>广州燃气集团有限公司</w:t>
      </w:r>
    </w:p>
    <w:p>
      <w:pPr>
        <w:spacing w:line="360" w:lineRule="auto"/>
        <w:ind w:firstLine="240" w:firstLineChars="1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通讯地址：                收件人：          邮政编码： </w:t>
      </w:r>
    </w:p>
    <w:p>
      <w:pPr>
        <w:spacing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电子邮箱：</w:t>
      </w:r>
      <w:r>
        <w:rPr>
          <w:rFonts w:hint="eastAsia" w:ascii="宋体" w:hAnsi="宋体" w:cs="宋体"/>
          <w:color w:val="auto"/>
          <w:sz w:val="24"/>
          <w:szCs w:val="24"/>
          <w:highlight w:val="none"/>
        </w:rPr>
        <w:t xml:space="preserve">     </w:t>
      </w:r>
    </w:p>
    <w:p>
      <w:pPr>
        <w:spacing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承包人：</w:t>
      </w:r>
    </w:p>
    <w:p>
      <w:pPr>
        <w:spacing w:line="360" w:lineRule="auto"/>
        <w:ind w:firstLine="240" w:firstLineChars="1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通讯地址：                收件人：          邮政编码： </w:t>
      </w:r>
    </w:p>
    <w:p>
      <w:pPr>
        <w:spacing w:line="360" w:lineRule="auto"/>
        <w:ind w:firstLine="240" w:firstLineChars="100"/>
        <w:rPr>
          <w:rFonts w:ascii="宋体" w:hAnsi="宋体" w:cs="宋体"/>
          <w:color w:val="auto"/>
          <w:sz w:val="24"/>
          <w:szCs w:val="24"/>
          <w:highlight w:val="none"/>
          <w:u w:val="single"/>
        </w:rPr>
      </w:pPr>
      <w:r>
        <w:rPr>
          <w:rFonts w:hint="eastAsia" w:ascii="宋体" w:hAnsi="宋体" w:cs="宋体"/>
          <w:color w:val="auto"/>
          <w:sz w:val="24"/>
          <w:szCs w:val="24"/>
          <w:highlight w:val="none"/>
          <w:lang w:val="en-US" w:eastAsia="zh-CN"/>
        </w:rPr>
        <w:t>电子邮箱：</w:t>
      </w:r>
      <w:r>
        <w:rPr>
          <w:rFonts w:hint="eastAsia" w:ascii="宋体" w:hAnsi="宋体" w:cs="宋体"/>
          <w:color w:val="auto"/>
          <w:sz w:val="24"/>
          <w:szCs w:val="24"/>
          <w:highlight w:val="none"/>
        </w:rPr>
        <w:t xml:space="preserve">      </w:t>
      </w:r>
    </w:p>
    <w:p>
      <w:pPr>
        <w:spacing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监理人：</w:t>
      </w:r>
    </w:p>
    <w:p>
      <w:pPr>
        <w:spacing w:line="360" w:lineRule="auto"/>
        <w:ind w:firstLine="240" w:firstLineChars="1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通讯地址：                收件人：          邮政编码：   </w:t>
      </w:r>
    </w:p>
    <w:p>
      <w:pPr>
        <w:spacing w:line="360" w:lineRule="auto"/>
        <w:ind w:firstLine="240" w:firstLineChars="100"/>
        <w:rPr>
          <w:rFonts w:ascii="宋体" w:hAnsi="宋体" w:cs="宋体"/>
          <w:color w:val="auto"/>
          <w:sz w:val="24"/>
          <w:szCs w:val="24"/>
          <w:highlight w:val="none"/>
          <w:u w:val="single"/>
        </w:rPr>
      </w:pPr>
      <w:r>
        <w:rPr>
          <w:rFonts w:hint="eastAsia" w:ascii="宋体" w:hAnsi="宋体" w:cs="宋体"/>
          <w:color w:val="auto"/>
          <w:sz w:val="24"/>
          <w:szCs w:val="24"/>
          <w:highlight w:val="none"/>
          <w:lang w:val="en-US" w:eastAsia="zh-CN"/>
        </w:rPr>
        <w:t>电子邮箱：</w:t>
      </w:r>
      <w:r>
        <w:rPr>
          <w:rFonts w:hint="eastAsia" w:ascii="宋体" w:hAnsi="宋体" w:cs="宋体"/>
          <w:color w:val="auto"/>
          <w:sz w:val="24"/>
          <w:szCs w:val="24"/>
          <w:highlight w:val="none"/>
        </w:rPr>
        <w:t xml:space="preserve">    </w:t>
      </w:r>
    </w:p>
    <w:p>
      <w:pPr>
        <w:spacing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工程造价咨询人（如有）：</w:t>
      </w:r>
    </w:p>
    <w:p>
      <w:pPr>
        <w:spacing w:line="360" w:lineRule="auto"/>
        <w:ind w:firstLine="240" w:firstLineChars="1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通讯地址：                收件人：          邮政编码： </w:t>
      </w:r>
    </w:p>
    <w:p>
      <w:pPr>
        <w:spacing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电子邮箱：</w:t>
      </w:r>
      <w:r>
        <w:rPr>
          <w:rFonts w:hint="eastAsia" w:ascii="宋体" w:hAnsi="宋体" w:cs="宋体"/>
          <w:color w:val="auto"/>
          <w:sz w:val="24"/>
          <w:szCs w:val="24"/>
          <w:highlight w:val="none"/>
        </w:rPr>
        <w:t xml:space="preserve">            </w:t>
      </w:r>
    </w:p>
    <w:p>
      <w:pPr>
        <w:numPr>
          <w:ilvl w:val="0"/>
          <w:numId w:val="31"/>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视为送达的其他方式：现场送达</w:t>
      </w:r>
      <w:r>
        <w:rPr>
          <w:rFonts w:hint="eastAsia" w:ascii="宋体" w:hAnsi="宋体" w:cs="宋体"/>
          <w:color w:val="auto"/>
          <w:sz w:val="24"/>
          <w:szCs w:val="24"/>
          <w:highlight w:val="none"/>
          <w:lang w:val="en-US" w:eastAsia="zh-CN"/>
        </w:rPr>
        <w:t>或电子邮件送达</w:t>
      </w:r>
      <w:r>
        <w:rPr>
          <w:rFonts w:hint="eastAsia" w:ascii="宋体" w:hAnsi="宋体" w:cs="宋体"/>
          <w:color w:val="auto"/>
          <w:sz w:val="24"/>
          <w:szCs w:val="24"/>
          <w:highlight w:val="none"/>
        </w:rPr>
        <w:t>。</w:t>
      </w:r>
    </w:p>
    <w:p>
      <w:pPr>
        <w:ind w:left="120"/>
        <w:rPr>
          <w:rFonts w:ascii="宋体" w:hAnsi="宋体" w:cs="宋体"/>
          <w:color w:val="auto"/>
          <w:sz w:val="24"/>
          <w:szCs w:val="24"/>
          <w:highlight w:val="none"/>
        </w:rPr>
      </w:pPr>
    </w:p>
    <w:p>
      <w:pPr>
        <w:keepNext/>
        <w:keepLines/>
        <w:tabs>
          <w:tab w:val="left" w:pos="420"/>
        </w:tabs>
        <w:spacing w:after="120" w:line="360" w:lineRule="auto"/>
        <w:jc w:val="center"/>
        <w:outlineLvl w:val="1"/>
        <w:rPr>
          <w:rFonts w:ascii="宋体" w:hAnsi="宋体" w:cs="宋体"/>
          <w:bCs/>
          <w:color w:val="auto"/>
          <w:sz w:val="24"/>
          <w:szCs w:val="24"/>
          <w:highlight w:val="none"/>
        </w:rPr>
      </w:pPr>
      <w:bookmarkStart w:id="1446" w:name="_Toc469384087"/>
      <w:bookmarkStart w:id="1447" w:name="_Toc10511"/>
      <w:bookmarkStart w:id="1448" w:name="_Toc32597"/>
      <w:bookmarkStart w:id="1449" w:name="_Toc890436721"/>
      <w:bookmarkStart w:id="1450" w:name="_Toc1292"/>
      <w:bookmarkStart w:id="1451" w:name="_Toc354850091"/>
      <w:bookmarkStart w:id="1452" w:name="_Toc25351"/>
      <w:bookmarkStart w:id="1453" w:name="_Toc32001"/>
      <w:bookmarkStart w:id="1454" w:name="_Toc26654"/>
      <w:r>
        <w:rPr>
          <w:rFonts w:hint="eastAsia" w:ascii="宋体" w:hAnsi="宋体" w:cs="宋体"/>
          <w:bCs/>
          <w:color w:val="auto"/>
          <w:sz w:val="24"/>
          <w:szCs w:val="24"/>
          <w:highlight w:val="none"/>
        </w:rPr>
        <w:t>7. 工程分包</w:t>
      </w:r>
      <w:bookmarkEnd w:id="1446"/>
      <w:bookmarkEnd w:id="1447"/>
      <w:bookmarkEnd w:id="1448"/>
      <w:bookmarkEnd w:id="1449"/>
      <w:bookmarkEnd w:id="1450"/>
      <w:bookmarkEnd w:id="1451"/>
      <w:bookmarkEnd w:id="1452"/>
      <w:bookmarkEnd w:id="1453"/>
      <w:bookmarkEnd w:id="1454"/>
    </w:p>
    <w:p>
      <w:pPr>
        <w:spacing w:line="360" w:lineRule="auto"/>
        <w:ind w:left="120"/>
        <w:rPr>
          <w:rFonts w:ascii="宋体" w:hAnsi="宋体" w:cs="宋体"/>
          <w:color w:val="auto"/>
          <w:sz w:val="24"/>
          <w:szCs w:val="24"/>
          <w:highlight w:val="none"/>
        </w:rPr>
      </w:pPr>
    </w:p>
    <w:p>
      <w:pPr>
        <w:spacing w:line="360" w:lineRule="auto"/>
        <w:ind w:left="120"/>
        <w:rPr>
          <w:rFonts w:ascii="宋体" w:hAnsi="宋体" w:cs="宋体"/>
          <w:color w:val="auto"/>
          <w:sz w:val="24"/>
          <w:szCs w:val="24"/>
          <w:highlight w:val="none"/>
        </w:rPr>
      </w:pPr>
      <w:r>
        <w:rPr>
          <w:rFonts w:hint="eastAsia" w:ascii="宋体" w:hAnsi="宋体" w:cs="宋体"/>
          <w:color w:val="auto"/>
          <w:sz w:val="24"/>
          <w:szCs w:val="24"/>
          <w:highlight w:val="none"/>
          <w:u w:val="single"/>
        </w:rPr>
        <w:t>7.1 分包工程的要求：承包人拟进行分包的工程及分包人，须经发包人批准，并执行专用、通用条款中约定。承包人将其承包范围的部分项目分包，不解除或减免合同约定的承包人任何责任和义务。</w:t>
      </w:r>
    </w:p>
    <w:p>
      <w:pPr>
        <w:spacing w:line="360" w:lineRule="auto"/>
        <w:ind w:left="120"/>
        <w:rPr>
          <w:rFonts w:ascii="宋体" w:hAnsi="宋体" w:cs="宋体"/>
          <w:color w:val="auto"/>
          <w:sz w:val="24"/>
          <w:szCs w:val="24"/>
          <w:highlight w:val="none"/>
        </w:rPr>
      </w:pPr>
    </w:p>
    <w:p>
      <w:pPr>
        <w:spacing w:line="360" w:lineRule="auto"/>
        <w:ind w:left="120"/>
        <w:rPr>
          <w:rFonts w:ascii="宋体" w:hAnsi="宋体" w:cs="宋体"/>
          <w:color w:val="auto"/>
          <w:sz w:val="24"/>
          <w:szCs w:val="24"/>
          <w:highlight w:val="none"/>
          <w:u w:val="single"/>
        </w:rPr>
      </w:pPr>
      <w:r>
        <w:rPr>
          <w:rFonts w:hint="eastAsia" w:ascii="宋体" w:hAnsi="宋体" w:cs="宋体"/>
          <w:color w:val="auto"/>
          <w:sz w:val="24"/>
          <w:szCs w:val="24"/>
          <w:highlight w:val="none"/>
        </w:rPr>
        <w:t>7.2 指定分包工程名称：/</w:t>
      </w:r>
      <w:r>
        <w:rPr>
          <w:rFonts w:hint="eastAsia" w:ascii="宋体" w:hAnsi="宋体" w:cs="宋体"/>
          <w:color w:val="auto"/>
          <w:sz w:val="24"/>
          <w:szCs w:val="24"/>
          <w:highlight w:val="none"/>
          <w:u w:val="single"/>
        </w:rPr>
        <w:t>。</w:t>
      </w:r>
    </w:p>
    <w:p>
      <w:pPr>
        <w:ind w:left="120"/>
        <w:rPr>
          <w:rFonts w:ascii="宋体" w:hAnsi="宋体" w:cs="宋体"/>
          <w:color w:val="auto"/>
          <w:sz w:val="24"/>
          <w:szCs w:val="24"/>
          <w:highlight w:val="none"/>
          <w:u w:val="single"/>
        </w:rPr>
      </w:pPr>
    </w:p>
    <w:p>
      <w:pPr>
        <w:ind w:left="120"/>
        <w:rPr>
          <w:rFonts w:ascii="宋体" w:hAnsi="宋体" w:cs="宋体"/>
          <w:color w:val="auto"/>
          <w:sz w:val="24"/>
          <w:szCs w:val="24"/>
          <w:highlight w:val="none"/>
        </w:rPr>
      </w:pPr>
      <w:r>
        <w:rPr>
          <w:rFonts w:hint="eastAsia" w:ascii="宋体" w:hAnsi="宋体" w:cs="宋体"/>
          <w:color w:val="auto"/>
          <w:sz w:val="24"/>
          <w:szCs w:val="24"/>
          <w:highlight w:val="none"/>
        </w:rPr>
        <w:t>7.4 分包工程款的支付方式：/</w:t>
      </w:r>
      <w:r>
        <w:rPr>
          <w:rFonts w:hint="eastAsia" w:ascii="宋体" w:hAnsi="宋体" w:cs="宋体"/>
          <w:color w:val="auto"/>
          <w:sz w:val="24"/>
          <w:szCs w:val="24"/>
          <w:highlight w:val="none"/>
          <w:u w:val="single"/>
        </w:rPr>
        <w:t>。</w:t>
      </w:r>
    </w:p>
    <w:p>
      <w:pPr>
        <w:ind w:left="120"/>
        <w:rPr>
          <w:rFonts w:ascii="宋体" w:hAnsi="宋体" w:cs="宋体"/>
          <w:color w:val="auto"/>
          <w:sz w:val="24"/>
          <w:szCs w:val="24"/>
          <w:highlight w:val="none"/>
        </w:rPr>
      </w:pPr>
    </w:p>
    <w:p>
      <w:pPr>
        <w:keepNext/>
        <w:keepLines/>
        <w:tabs>
          <w:tab w:val="left" w:pos="420"/>
        </w:tabs>
        <w:spacing w:after="120" w:line="360" w:lineRule="auto"/>
        <w:jc w:val="center"/>
        <w:outlineLvl w:val="1"/>
        <w:rPr>
          <w:rFonts w:ascii="宋体" w:hAnsi="宋体" w:cs="宋体"/>
          <w:b/>
          <w:color w:val="auto"/>
          <w:sz w:val="24"/>
          <w:szCs w:val="24"/>
          <w:highlight w:val="none"/>
        </w:rPr>
      </w:pPr>
      <w:bookmarkStart w:id="1455" w:name="_Toc27027"/>
      <w:bookmarkStart w:id="1456" w:name="_Toc30113"/>
      <w:bookmarkStart w:id="1457" w:name="_Toc28477"/>
      <w:bookmarkStart w:id="1458" w:name="_Toc1903917551"/>
      <w:bookmarkStart w:id="1459" w:name="_Toc13551"/>
      <w:bookmarkStart w:id="1460" w:name="_Toc469384088"/>
      <w:bookmarkStart w:id="1461" w:name="_Toc14650"/>
      <w:bookmarkStart w:id="1462" w:name="_Toc11071"/>
      <w:bookmarkStart w:id="1463" w:name="_Toc403391718"/>
      <w:r>
        <w:rPr>
          <w:rFonts w:hint="eastAsia" w:ascii="宋体" w:hAnsi="宋体" w:cs="宋体"/>
          <w:bCs/>
          <w:color w:val="auto"/>
          <w:sz w:val="24"/>
          <w:szCs w:val="24"/>
          <w:highlight w:val="none"/>
        </w:rPr>
        <w:t>13. 交通运输</w:t>
      </w:r>
      <w:bookmarkEnd w:id="1455"/>
      <w:bookmarkEnd w:id="1456"/>
      <w:bookmarkEnd w:id="1457"/>
      <w:bookmarkEnd w:id="1458"/>
      <w:bookmarkEnd w:id="1459"/>
      <w:bookmarkEnd w:id="1460"/>
      <w:bookmarkEnd w:id="1461"/>
      <w:bookmarkEnd w:id="1462"/>
      <w:bookmarkEnd w:id="1463"/>
    </w:p>
    <w:p>
      <w:pPr>
        <w:spacing w:line="360" w:lineRule="auto"/>
        <w:ind w:left="120"/>
        <w:rPr>
          <w:rFonts w:ascii="宋体" w:hAnsi="宋体" w:cs="宋体"/>
          <w:color w:val="auto"/>
          <w:sz w:val="24"/>
          <w:szCs w:val="24"/>
          <w:highlight w:val="none"/>
          <w:u w:val="single"/>
        </w:rPr>
      </w:pPr>
      <w:r>
        <w:rPr>
          <w:rFonts w:hint="eastAsia" w:ascii="宋体" w:hAnsi="宋体" w:cs="宋体"/>
          <w:color w:val="auto"/>
          <w:sz w:val="24"/>
          <w:szCs w:val="24"/>
          <w:highlight w:val="none"/>
        </w:rPr>
        <w:t>13.1 办理道路通行权和修建场外设施的费用：</w:t>
      </w:r>
      <w:r>
        <w:rPr>
          <w:rFonts w:hint="eastAsia" w:ascii="宋体" w:hAnsi="宋体" w:cs="宋体"/>
          <w:color w:val="auto"/>
          <w:sz w:val="24"/>
          <w:szCs w:val="24"/>
          <w:highlight w:val="none"/>
          <w:u w:val="single"/>
        </w:rPr>
        <w:t>承包人承担。</w:t>
      </w:r>
    </w:p>
    <w:p>
      <w:pPr>
        <w:spacing w:line="360" w:lineRule="auto"/>
        <w:ind w:left="120"/>
        <w:rPr>
          <w:rFonts w:ascii="宋体" w:hAnsi="宋体" w:cs="宋体"/>
          <w:color w:val="auto"/>
          <w:sz w:val="24"/>
          <w:szCs w:val="24"/>
          <w:highlight w:val="none"/>
          <w:u w:val="single"/>
        </w:rPr>
      </w:pPr>
    </w:p>
    <w:p>
      <w:pPr>
        <w:ind w:left="120"/>
        <w:rPr>
          <w:rFonts w:ascii="宋体" w:hAnsi="宋体" w:cs="宋体"/>
          <w:color w:val="auto"/>
          <w:sz w:val="24"/>
          <w:szCs w:val="24"/>
          <w:highlight w:val="none"/>
          <w:u w:val="single"/>
        </w:rPr>
      </w:pPr>
      <w:r>
        <w:rPr>
          <w:rFonts w:hint="eastAsia" w:ascii="宋体" w:hAnsi="宋体" w:cs="宋体"/>
          <w:color w:val="auto"/>
          <w:sz w:val="24"/>
          <w:szCs w:val="24"/>
          <w:highlight w:val="none"/>
        </w:rPr>
        <w:t>13.2 修建场内临时道路和交通设施的费用：</w:t>
      </w:r>
      <w:r>
        <w:rPr>
          <w:rFonts w:hint="eastAsia" w:ascii="宋体" w:hAnsi="宋体" w:cs="宋体"/>
          <w:color w:val="auto"/>
          <w:sz w:val="24"/>
          <w:szCs w:val="24"/>
          <w:highlight w:val="none"/>
          <w:u w:val="single"/>
        </w:rPr>
        <w:t>承包人承担。</w:t>
      </w:r>
    </w:p>
    <w:p>
      <w:pPr>
        <w:ind w:left="120"/>
        <w:rPr>
          <w:rFonts w:ascii="宋体" w:hAnsi="宋体" w:cs="宋体"/>
          <w:color w:val="auto"/>
          <w:sz w:val="24"/>
          <w:szCs w:val="24"/>
          <w:highlight w:val="none"/>
          <w:u w:val="single"/>
        </w:rPr>
      </w:pPr>
    </w:p>
    <w:p>
      <w:pPr>
        <w:ind w:left="120"/>
        <w:rPr>
          <w:rFonts w:ascii="宋体" w:hAnsi="宋体" w:cs="宋体"/>
          <w:color w:val="auto"/>
          <w:sz w:val="24"/>
          <w:szCs w:val="24"/>
          <w:highlight w:val="none"/>
          <w:u w:val="single"/>
        </w:rPr>
      </w:pPr>
      <w:r>
        <w:rPr>
          <w:rFonts w:hint="eastAsia" w:ascii="宋体" w:hAnsi="宋体" w:cs="宋体"/>
          <w:color w:val="auto"/>
          <w:sz w:val="24"/>
          <w:szCs w:val="24"/>
          <w:highlight w:val="none"/>
        </w:rPr>
        <w:t>13.4 运输超大件和超重件的费用：</w:t>
      </w:r>
      <w:r>
        <w:rPr>
          <w:rFonts w:hint="eastAsia" w:ascii="宋体" w:hAnsi="宋体" w:cs="宋体"/>
          <w:color w:val="auto"/>
          <w:sz w:val="24"/>
          <w:szCs w:val="24"/>
          <w:highlight w:val="none"/>
          <w:u w:val="single"/>
        </w:rPr>
        <w:t>承包人承担。</w:t>
      </w:r>
      <w:bookmarkStart w:id="1464" w:name="_Toc469384089"/>
      <w:bookmarkStart w:id="1465" w:name="_Toc5948"/>
      <w:bookmarkStart w:id="1466" w:name="_Toc3380"/>
      <w:bookmarkStart w:id="1467" w:name="_Toc22950"/>
    </w:p>
    <w:p>
      <w:pPr>
        <w:ind w:left="120"/>
        <w:rPr>
          <w:rFonts w:ascii="宋体" w:hAnsi="宋体" w:cs="宋体"/>
          <w:color w:val="auto"/>
          <w:sz w:val="24"/>
          <w:szCs w:val="24"/>
          <w:highlight w:val="none"/>
          <w:u w:val="single"/>
        </w:rPr>
      </w:pPr>
    </w:p>
    <w:p>
      <w:pPr>
        <w:ind w:left="120"/>
        <w:rPr>
          <w:rFonts w:ascii="宋体" w:hAnsi="宋体" w:cs="宋体"/>
          <w:bCs/>
          <w:color w:val="auto"/>
          <w:sz w:val="24"/>
          <w:szCs w:val="24"/>
          <w:highlight w:val="none"/>
        </w:rPr>
      </w:pPr>
      <w:r>
        <w:rPr>
          <w:rFonts w:hint="eastAsia" w:ascii="宋体" w:hAnsi="宋体" w:cs="宋体"/>
          <w:bCs/>
          <w:color w:val="auto"/>
          <w:sz w:val="24"/>
          <w:szCs w:val="24"/>
          <w:highlight w:val="none"/>
        </w:rPr>
        <w:t>14. 专项批准事件的签认</w:t>
      </w:r>
      <w:bookmarkEnd w:id="1464"/>
      <w:bookmarkEnd w:id="1465"/>
      <w:bookmarkEnd w:id="1466"/>
      <w:bookmarkEnd w:id="1467"/>
    </w:p>
    <w:p>
      <w:pPr>
        <w:ind w:left="120"/>
        <w:rPr>
          <w:rFonts w:ascii="宋体" w:hAnsi="宋体" w:cs="宋体"/>
          <w:color w:val="auto"/>
          <w:sz w:val="24"/>
          <w:szCs w:val="24"/>
          <w:highlight w:val="none"/>
        </w:rPr>
      </w:pPr>
    </w:p>
    <w:p>
      <w:pPr>
        <w:ind w:left="120"/>
        <w:rPr>
          <w:rFonts w:ascii="宋体" w:hAnsi="宋体" w:cs="宋体"/>
          <w:color w:val="auto"/>
          <w:sz w:val="24"/>
          <w:szCs w:val="24"/>
          <w:highlight w:val="none"/>
        </w:rPr>
      </w:pPr>
      <w:r>
        <w:rPr>
          <w:rFonts w:hint="eastAsia" w:ascii="宋体" w:hAnsi="宋体" w:cs="宋体"/>
          <w:color w:val="auto"/>
          <w:sz w:val="24"/>
          <w:szCs w:val="24"/>
          <w:highlight w:val="none"/>
        </w:rPr>
        <w:t>14.2 专项批准事件的签认人选</w:t>
      </w:r>
    </w:p>
    <w:p>
      <w:pPr>
        <w:ind w:left="120"/>
        <w:rPr>
          <w:rFonts w:ascii="宋体" w:hAnsi="宋体" w:cs="宋体"/>
          <w:color w:val="auto"/>
          <w:sz w:val="24"/>
          <w:szCs w:val="24"/>
          <w:highlight w:val="none"/>
        </w:rPr>
      </w:pPr>
    </w:p>
    <w:p>
      <w:pPr>
        <w:numPr>
          <w:ilvl w:val="0"/>
          <w:numId w:val="32"/>
        </w:numPr>
        <w:rPr>
          <w:rFonts w:ascii="宋体" w:hAnsi="宋体" w:cs="宋体"/>
          <w:color w:val="auto"/>
          <w:sz w:val="24"/>
          <w:szCs w:val="24"/>
          <w:highlight w:val="none"/>
        </w:rPr>
      </w:pPr>
      <w:r>
        <w:rPr>
          <w:rFonts w:hint="eastAsia" w:ascii="宋体" w:hAnsi="宋体" w:cs="宋体"/>
          <w:color w:val="auto"/>
          <w:sz w:val="24"/>
          <w:szCs w:val="24"/>
          <w:highlight w:val="none"/>
        </w:rPr>
        <w:t>发包人派驻的工程师（发包人代表）：</w:t>
      </w:r>
    </w:p>
    <w:p>
      <w:pPr>
        <w:ind w:left="240"/>
        <w:rPr>
          <w:rFonts w:ascii="宋体" w:hAnsi="宋体" w:cs="宋体"/>
          <w:color w:val="auto"/>
          <w:sz w:val="24"/>
          <w:szCs w:val="24"/>
          <w:highlight w:val="none"/>
        </w:rPr>
      </w:pPr>
    </w:p>
    <w:p>
      <w:pPr>
        <w:ind w:firstLine="240" w:firstLineChars="100"/>
        <w:rPr>
          <w:rFonts w:ascii="宋体" w:hAnsi="宋体" w:cs="宋体"/>
          <w:color w:val="auto"/>
          <w:sz w:val="24"/>
          <w:szCs w:val="24"/>
          <w:highlight w:val="none"/>
          <w:u w:val="single"/>
        </w:rPr>
      </w:pPr>
      <w:r>
        <w:rPr>
          <w:rFonts w:hint="eastAsia" w:ascii="宋体" w:hAnsi="宋体" w:cs="宋体"/>
          <w:color w:val="auto"/>
          <w:sz w:val="24"/>
          <w:szCs w:val="24"/>
          <w:highlight w:val="none"/>
        </w:rPr>
        <w:t>姓名：               印章样式：                签字样式：</w:t>
      </w:r>
    </w:p>
    <w:p>
      <w:pPr>
        <w:ind w:firstLine="480" w:firstLineChars="200"/>
        <w:rPr>
          <w:rFonts w:ascii="宋体" w:hAnsi="宋体" w:cs="宋体"/>
          <w:color w:val="auto"/>
          <w:sz w:val="24"/>
          <w:szCs w:val="24"/>
          <w:highlight w:val="none"/>
        </w:rPr>
      </w:pPr>
    </w:p>
    <w:p>
      <w:pPr>
        <w:numPr>
          <w:ilvl w:val="0"/>
          <w:numId w:val="32"/>
        </w:numPr>
        <w:rPr>
          <w:rFonts w:ascii="宋体" w:hAnsi="宋体" w:cs="宋体"/>
          <w:color w:val="auto"/>
          <w:sz w:val="24"/>
          <w:szCs w:val="24"/>
          <w:highlight w:val="none"/>
        </w:rPr>
      </w:pPr>
      <w:r>
        <w:rPr>
          <w:rFonts w:hint="eastAsia" w:ascii="宋体" w:hAnsi="宋体" w:cs="宋体"/>
          <w:color w:val="auto"/>
          <w:sz w:val="24"/>
          <w:szCs w:val="24"/>
          <w:highlight w:val="none"/>
        </w:rPr>
        <w:t>监理工程师：</w:t>
      </w:r>
    </w:p>
    <w:p>
      <w:pPr>
        <w:ind w:left="240"/>
        <w:rPr>
          <w:rFonts w:ascii="宋体" w:hAnsi="宋体" w:cs="宋体"/>
          <w:color w:val="auto"/>
          <w:sz w:val="24"/>
          <w:szCs w:val="24"/>
          <w:highlight w:val="none"/>
        </w:rPr>
      </w:pPr>
    </w:p>
    <w:p>
      <w:pPr>
        <w:ind w:left="240"/>
        <w:rPr>
          <w:rFonts w:ascii="宋体" w:hAnsi="宋体" w:cs="宋体"/>
          <w:color w:val="auto"/>
          <w:sz w:val="24"/>
          <w:szCs w:val="24"/>
          <w:highlight w:val="none"/>
          <w:u w:val="single"/>
        </w:rPr>
      </w:pPr>
      <w:r>
        <w:rPr>
          <w:rFonts w:hint="eastAsia" w:ascii="宋体" w:hAnsi="宋体" w:cs="宋体"/>
          <w:color w:val="auto"/>
          <w:sz w:val="24"/>
          <w:szCs w:val="24"/>
          <w:highlight w:val="none"/>
        </w:rPr>
        <w:t>姓名：               印章样式：                签字样式：</w:t>
      </w:r>
    </w:p>
    <w:p>
      <w:pPr>
        <w:ind w:left="240"/>
        <w:rPr>
          <w:rFonts w:ascii="宋体" w:hAnsi="宋体" w:cs="宋体"/>
          <w:color w:val="auto"/>
          <w:sz w:val="24"/>
          <w:szCs w:val="24"/>
          <w:highlight w:val="none"/>
        </w:rPr>
      </w:pPr>
    </w:p>
    <w:p>
      <w:pPr>
        <w:numPr>
          <w:ilvl w:val="0"/>
          <w:numId w:val="32"/>
        </w:numPr>
        <w:rPr>
          <w:rFonts w:ascii="宋体" w:hAnsi="宋体" w:cs="宋体"/>
          <w:color w:val="auto"/>
          <w:sz w:val="24"/>
          <w:szCs w:val="24"/>
          <w:highlight w:val="none"/>
        </w:rPr>
      </w:pPr>
      <w:r>
        <w:rPr>
          <w:rFonts w:hint="eastAsia" w:ascii="宋体" w:hAnsi="宋体" w:cs="宋体"/>
          <w:color w:val="auto"/>
          <w:sz w:val="24"/>
          <w:szCs w:val="24"/>
          <w:highlight w:val="none"/>
        </w:rPr>
        <w:t>造价工程师/造价管理员：</w:t>
      </w:r>
    </w:p>
    <w:p>
      <w:pPr>
        <w:ind w:left="240"/>
        <w:rPr>
          <w:rFonts w:ascii="宋体" w:hAnsi="宋体" w:cs="宋体"/>
          <w:color w:val="auto"/>
          <w:sz w:val="24"/>
          <w:szCs w:val="24"/>
          <w:highlight w:val="none"/>
        </w:rPr>
      </w:pPr>
    </w:p>
    <w:p>
      <w:pPr>
        <w:ind w:left="239" w:leftChars="114" w:firstLine="120" w:firstLineChars="50"/>
        <w:rPr>
          <w:rFonts w:ascii="宋体" w:hAnsi="宋体" w:cs="宋体"/>
          <w:color w:val="auto"/>
          <w:sz w:val="24"/>
          <w:szCs w:val="24"/>
          <w:highlight w:val="none"/>
          <w:u w:val="single"/>
        </w:rPr>
      </w:pPr>
      <w:r>
        <w:rPr>
          <w:rFonts w:hint="eastAsia" w:ascii="宋体" w:hAnsi="宋体" w:cs="宋体"/>
          <w:color w:val="auto"/>
          <w:sz w:val="24"/>
          <w:szCs w:val="24"/>
          <w:highlight w:val="none"/>
        </w:rPr>
        <w:t>姓名：             印章样式：                 签字样式：</w:t>
      </w:r>
    </w:p>
    <w:p>
      <w:pPr>
        <w:ind w:left="239" w:leftChars="114" w:firstLine="120" w:firstLineChars="50"/>
        <w:rPr>
          <w:rFonts w:ascii="宋体" w:hAnsi="宋体" w:cs="宋体"/>
          <w:color w:val="auto"/>
          <w:sz w:val="24"/>
          <w:szCs w:val="24"/>
          <w:highlight w:val="none"/>
        </w:rPr>
      </w:pPr>
    </w:p>
    <w:p>
      <w:pPr>
        <w:numPr>
          <w:ilvl w:val="0"/>
          <w:numId w:val="32"/>
        </w:numPr>
        <w:rPr>
          <w:rFonts w:ascii="宋体" w:hAnsi="宋体" w:cs="宋体"/>
          <w:color w:val="auto"/>
          <w:sz w:val="24"/>
          <w:szCs w:val="24"/>
          <w:highlight w:val="none"/>
        </w:rPr>
      </w:pPr>
      <w:r>
        <w:rPr>
          <w:rFonts w:hint="eastAsia" w:ascii="宋体" w:hAnsi="宋体" w:cs="宋体"/>
          <w:color w:val="auto"/>
          <w:sz w:val="24"/>
          <w:szCs w:val="24"/>
          <w:highlight w:val="none"/>
        </w:rPr>
        <w:t>建造师：</w:t>
      </w:r>
    </w:p>
    <w:p>
      <w:pPr>
        <w:ind w:left="240"/>
        <w:rPr>
          <w:rFonts w:ascii="宋体" w:hAnsi="宋体" w:cs="宋体"/>
          <w:color w:val="auto"/>
          <w:sz w:val="24"/>
          <w:szCs w:val="24"/>
          <w:highlight w:val="none"/>
        </w:rPr>
      </w:pPr>
    </w:p>
    <w:p>
      <w:pPr>
        <w:ind w:left="239" w:leftChars="114"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姓名：             印章样式：                 签字样式：</w:t>
      </w:r>
    </w:p>
    <w:p>
      <w:pPr>
        <w:ind w:left="239" w:leftChars="114" w:firstLine="120" w:firstLineChars="50"/>
        <w:rPr>
          <w:rFonts w:ascii="宋体" w:hAnsi="宋体" w:cs="宋体"/>
          <w:color w:val="auto"/>
          <w:sz w:val="24"/>
          <w:szCs w:val="24"/>
          <w:highlight w:val="none"/>
        </w:rPr>
      </w:pPr>
    </w:p>
    <w:p>
      <w:pPr>
        <w:ind w:left="239" w:leftChars="114" w:firstLine="120" w:firstLineChars="50"/>
        <w:rPr>
          <w:rFonts w:ascii="宋体" w:hAnsi="宋体" w:cs="宋体"/>
          <w:color w:val="auto"/>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468" w:name="_Toc1635939357"/>
      <w:bookmarkStart w:id="1469" w:name="_Toc198730847"/>
      <w:bookmarkStart w:id="1470" w:name="_Toc18418"/>
      <w:bookmarkStart w:id="1471" w:name="_Toc469384090"/>
      <w:bookmarkStart w:id="1472" w:name="_Toc8718"/>
      <w:bookmarkStart w:id="1473" w:name="_Toc20935"/>
      <w:bookmarkStart w:id="1474" w:name="_Toc14229"/>
      <w:bookmarkStart w:id="1475" w:name="_Toc3090"/>
      <w:bookmarkStart w:id="1476" w:name="_Toc15399"/>
      <w:r>
        <w:rPr>
          <w:rFonts w:hint="eastAsia" w:ascii="宋体" w:hAnsi="宋体" w:cs="宋体"/>
          <w:bCs/>
          <w:color w:val="auto"/>
          <w:sz w:val="24"/>
          <w:szCs w:val="24"/>
          <w:highlight w:val="none"/>
        </w:rPr>
        <w:t>19. 发包人</w:t>
      </w:r>
      <w:bookmarkEnd w:id="1468"/>
      <w:bookmarkEnd w:id="1469"/>
      <w:bookmarkEnd w:id="1470"/>
      <w:bookmarkEnd w:id="1471"/>
      <w:bookmarkEnd w:id="1472"/>
      <w:bookmarkEnd w:id="1473"/>
      <w:bookmarkEnd w:id="1474"/>
      <w:bookmarkEnd w:id="1475"/>
      <w:bookmarkEnd w:id="1476"/>
    </w:p>
    <w:p>
      <w:pPr>
        <w:rPr>
          <w:rFonts w:ascii="宋体" w:hAnsi="宋体" w:cs="宋体"/>
          <w:color w:val="auto"/>
          <w:sz w:val="24"/>
          <w:szCs w:val="24"/>
          <w:highlight w:val="none"/>
        </w:rPr>
      </w:pPr>
    </w:p>
    <w:p>
      <w:pPr>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19.2 发包人完成下列工作的约定</w:t>
      </w:r>
    </w:p>
    <w:p>
      <w:pPr>
        <w:ind w:firstLine="120" w:firstLineChars="50"/>
        <w:rPr>
          <w:rFonts w:ascii="宋体" w:hAnsi="宋体" w:cs="宋体"/>
          <w:color w:val="auto"/>
          <w:sz w:val="24"/>
          <w:szCs w:val="24"/>
          <w:highlight w:val="none"/>
        </w:rPr>
      </w:pPr>
    </w:p>
    <w:p>
      <w:pPr>
        <w:numPr>
          <w:ilvl w:val="0"/>
          <w:numId w:val="33"/>
        </w:numPr>
        <w:rPr>
          <w:rFonts w:ascii="宋体" w:hAnsi="宋体" w:cs="宋体"/>
          <w:color w:val="auto"/>
          <w:sz w:val="24"/>
          <w:szCs w:val="24"/>
          <w:highlight w:val="none"/>
          <w:u w:val="single"/>
        </w:rPr>
      </w:pPr>
      <w:r>
        <w:rPr>
          <w:rFonts w:hint="eastAsia" w:ascii="宋体" w:hAnsi="宋体" w:cs="宋体"/>
          <w:color w:val="auto"/>
          <w:sz w:val="24"/>
          <w:szCs w:val="24"/>
          <w:highlight w:val="none"/>
        </w:rPr>
        <w:t>办理土地征用、拆迁、平整施工场地等工作的时间：</w:t>
      </w:r>
      <w:r>
        <w:rPr>
          <w:rFonts w:hint="eastAsia" w:ascii="宋体" w:hAnsi="宋体" w:cs="宋体"/>
          <w:color w:val="auto"/>
          <w:sz w:val="24"/>
          <w:szCs w:val="24"/>
          <w:highlight w:val="none"/>
          <w:u w:val="single"/>
        </w:rPr>
        <w:t>/</w:t>
      </w:r>
    </w:p>
    <w:p>
      <w:pPr>
        <w:rPr>
          <w:rFonts w:ascii="宋体" w:hAnsi="宋体" w:cs="宋体"/>
          <w:color w:val="auto"/>
          <w:sz w:val="24"/>
          <w:szCs w:val="24"/>
          <w:highlight w:val="none"/>
        </w:rPr>
      </w:pPr>
    </w:p>
    <w:p>
      <w:pPr>
        <w:numPr>
          <w:ilvl w:val="0"/>
          <w:numId w:val="33"/>
        </w:numPr>
        <w:rPr>
          <w:rFonts w:ascii="宋体" w:hAnsi="宋体" w:cs="宋体"/>
          <w:color w:val="auto"/>
          <w:sz w:val="24"/>
          <w:szCs w:val="24"/>
          <w:highlight w:val="none"/>
          <w:u w:val="single"/>
        </w:rPr>
      </w:pPr>
      <w:r>
        <w:rPr>
          <w:rFonts w:hint="eastAsia" w:ascii="宋体" w:hAnsi="宋体" w:cs="宋体"/>
          <w:color w:val="auto"/>
          <w:sz w:val="24"/>
          <w:szCs w:val="24"/>
          <w:highlight w:val="none"/>
        </w:rPr>
        <w:t>完成施工所需水、电、通讯线路接驳的时间及地点：</w:t>
      </w:r>
      <w:r>
        <w:rPr>
          <w:rFonts w:hint="eastAsia" w:ascii="宋体" w:hAnsi="宋体" w:cs="宋体"/>
          <w:color w:val="auto"/>
          <w:sz w:val="24"/>
          <w:szCs w:val="24"/>
          <w:highlight w:val="none"/>
          <w:u w:val="single"/>
        </w:rPr>
        <w:t>/</w:t>
      </w:r>
    </w:p>
    <w:p>
      <w:pPr>
        <w:rPr>
          <w:rFonts w:ascii="宋体" w:hAnsi="宋体" w:cs="宋体"/>
          <w:color w:val="auto"/>
          <w:sz w:val="24"/>
          <w:szCs w:val="24"/>
          <w:highlight w:val="none"/>
          <w:u w:val="single"/>
        </w:rPr>
      </w:pPr>
    </w:p>
    <w:p>
      <w:pPr>
        <w:numPr>
          <w:ilvl w:val="0"/>
          <w:numId w:val="33"/>
        </w:numPr>
        <w:rPr>
          <w:rFonts w:ascii="宋体" w:hAnsi="宋体" w:cs="宋体"/>
          <w:color w:val="auto"/>
          <w:sz w:val="24"/>
          <w:szCs w:val="24"/>
          <w:highlight w:val="none"/>
        </w:rPr>
      </w:pPr>
      <w:r>
        <w:rPr>
          <w:rFonts w:hint="eastAsia" w:ascii="宋体" w:hAnsi="宋体" w:cs="宋体"/>
          <w:color w:val="auto"/>
          <w:sz w:val="24"/>
          <w:szCs w:val="24"/>
          <w:highlight w:val="none"/>
        </w:rPr>
        <w:t>开通施工现场与城乡公共道路间的通道的时间：</w:t>
      </w:r>
      <w:r>
        <w:rPr>
          <w:rFonts w:hint="eastAsia" w:ascii="宋体" w:hAnsi="宋体" w:cs="宋体"/>
          <w:color w:val="auto"/>
          <w:sz w:val="24"/>
          <w:szCs w:val="24"/>
          <w:highlight w:val="none"/>
          <w:u w:val="single"/>
        </w:rPr>
        <w:t>/</w:t>
      </w:r>
    </w:p>
    <w:p>
      <w:pPr>
        <w:rPr>
          <w:rFonts w:ascii="宋体" w:hAnsi="宋体" w:cs="宋体"/>
          <w:color w:val="auto"/>
          <w:sz w:val="24"/>
          <w:szCs w:val="24"/>
          <w:highlight w:val="none"/>
        </w:rPr>
      </w:pPr>
    </w:p>
    <w:p>
      <w:pPr>
        <w:numPr>
          <w:ilvl w:val="0"/>
          <w:numId w:val="33"/>
        </w:numPr>
        <w:rPr>
          <w:rFonts w:ascii="宋体" w:hAnsi="宋体" w:cs="宋体"/>
          <w:color w:val="auto"/>
          <w:sz w:val="24"/>
          <w:szCs w:val="24"/>
          <w:highlight w:val="none"/>
        </w:rPr>
      </w:pPr>
      <w:r>
        <w:rPr>
          <w:rFonts w:hint="eastAsia" w:ascii="宋体" w:hAnsi="宋体" w:cs="宋体"/>
          <w:color w:val="auto"/>
          <w:sz w:val="24"/>
          <w:szCs w:val="24"/>
          <w:highlight w:val="none"/>
        </w:rPr>
        <w:t>提供施工所需的有关资料的时间：</w:t>
      </w:r>
      <w:r>
        <w:rPr>
          <w:rFonts w:hint="eastAsia" w:ascii="宋体" w:hAnsi="宋体" w:cs="宋体"/>
          <w:color w:val="auto"/>
          <w:sz w:val="24"/>
          <w:szCs w:val="24"/>
          <w:highlight w:val="none"/>
          <w:u w:val="single"/>
        </w:rPr>
        <w:t>由发包人发出书面通知为准。</w:t>
      </w:r>
    </w:p>
    <w:p>
      <w:pPr>
        <w:rPr>
          <w:rFonts w:ascii="宋体" w:hAnsi="宋体" w:cs="宋体"/>
          <w:color w:val="auto"/>
          <w:sz w:val="24"/>
          <w:szCs w:val="24"/>
          <w:highlight w:val="none"/>
        </w:rPr>
      </w:pPr>
    </w:p>
    <w:p>
      <w:pPr>
        <w:numPr>
          <w:ilvl w:val="0"/>
          <w:numId w:val="33"/>
        </w:numPr>
        <w:rPr>
          <w:rFonts w:ascii="宋体" w:hAnsi="宋体" w:cs="宋体"/>
          <w:color w:val="auto"/>
          <w:sz w:val="24"/>
          <w:szCs w:val="24"/>
          <w:highlight w:val="none"/>
          <w:u w:val="single"/>
        </w:rPr>
      </w:pPr>
      <w:r>
        <w:rPr>
          <w:rFonts w:hint="eastAsia" w:ascii="宋体" w:hAnsi="宋体" w:cs="宋体"/>
          <w:color w:val="auto"/>
          <w:sz w:val="24"/>
          <w:szCs w:val="24"/>
          <w:highlight w:val="none"/>
        </w:rPr>
        <w:t>办理施工所需的有关证件和批准手续的时间：</w:t>
      </w:r>
      <w:r>
        <w:rPr>
          <w:rFonts w:hint="eastAsia" w:ascii="宋体" w:hAnsi="宋体" w:cs="宋体"/>
          <w:color w:val="auto"/>
          <w:sz w:val="24"/>
          <w:szCs w:val="24"/>
          <w:highlight w:val="none"/>
          <w:u w:val="single"/>
        </w:rPr>
        <w:t>由发包人发出书面通知为准。</w:t>
      </w:r>
    </w:p>
    <w:p>
      <w:pPr>
        <w:rPr>
          <w:rFonts w:ascii="宋体" w:hAnsi="宋体" w:cs="宋体"/>
          <w:color w:val="auto"/>
          <w:sz w:val="24"/>
          <w:szCs w:val="24"/>
          <w:highlight w:val="none"/>
          <w:u w:val="single"/>
        </w:rPr>
      </w:pPr>
    </w:p>
    <w:p>
      <w:pPr>
        <w:numPr>
          <w:ilvl w:val="0"/>
          <w:numId w:val="33"/>
        </w:numPr>
        <w:rPr>
          <w:rFonts w:ascii="宋体" w:hAnsi="宋体" w:cs="宋体"/>
          <w:color w:val="auto"/>
          <w:sz w:val="24"/>
          <w:szCs w:val="24"/>
          <w:highlight w:val="none"/>
          <w:u w:val="single"/>
        </w:rPr>
      </w:pPr>
      <w:r>
        <w:rPr>
          <w:rFonts w:hint="eastAsia" w:ascii="宋体" w:hAnsi="宋体" w:cs="宋体"/>
          <w:color w:val="auto"/>
          <w:sz w:val="24"/>
          <w:szCs w:val="24"/>
          <w:highlight w:val="none"/>
        </w:rPr>
        <w:t>现场交验的时间：</w:t>
      </w:r>
      <w:r>
        <w:rPr>
          <w:rFonts w:hint="eastAsia" w:ascii="宋体" w:hAnsi="宋体" w:cs="宋体"/>
          <w:color w:val="auto"/>
          <w:sz w:val="24"/>
          <w:szCs w:val="24"/>
          <w:highlight w:val="none"/>
          <w:u w:val="single"/>
        </w:rPr>
        <w:t>由发包人发出书面通知为准。</w:t>
      </w:r>
    </w:p>
    <w:p>
      <w:pPr>
        <w:rPr>
          <w:rFonts w:ascii="宋体" w:hAnsi="宋体" w:cs="宋体"/>
          <w:color w:val="auto"/>
          <w:sz w:val="24"/>
          <w:szCs w:val="24"/>
          <w:highlight w:val="none"/>
        </w:rPr>
      </w:pPr>
    </w:p>
    <w:p>
      <w:pPr>
        <w:numPr>
          <w:ilvl w:val="0"/>
          <w:numId w:val="33"/>
        </w:numPr>
        <w:rPr>
          <w:rFonts w:ascii="宋体" w:hAnsi="宋体" w:cs="宋体"/>
          <w:color w:val="auto"/>
          <w:sz w:val="24"/>
          <w:szCs w:val="24"/>
          <w:highlight w:val="none"/>
        </w:rPr>
      </w:pPr>
      <w:r>
        <w:rPr>
          <w:rFonts w:hint="eastAsia" w:ascii="宋体" w:hAnsi="宋体" w:cs="宋体"/>
          <w:color w:val="auto"/>
          <w:sz w:val="24"/>
          <w:szCs w:val="24"/>
          <w:highlight w:val="none"/>
        </w:rPr>
        <w:t>提供标准与规范的时间：发包人于</w:t>
      </w:r>
      <w:r>
        <w:rPr>
          <w:rFonts w:hint="eastAsia" w:ascii="宋体" w:hAnsi="宋体" w:cs="宋体"/>
          <w:color w:val="auto"/>
          <w:sz w:val="24"/>
          <w:szCs w:val="24"/>
          <w:highlight w:val="none"/>
          <w:u w:val="single"/>
        </w:rPr>
        <w:t>开工前提供设计图纸、设计文件，标准与规范由承包人自行收集。</w:t>
      </w:r>
    </w:p>
    <w:p>
      <w:pPr>
        <w:rPr>
          <w:rFonts w:ascii="宋体" w:hAnsi="宋体" w:cs="宋体"/>
          <w:color w:val="auto"/>
          <w:sz w:val="24"/>
          <w:szCs w:val="24"/>
          <w:highlight w:val="none"/>
        </w:rPr>
      </w:pPr>
    </w:p>
    <w:p>
      <w:pPr>
        <w:numPr>
          <w:ilvl w:val="0"/>
          <w:numId w:val="33"/>
        </w:numPr>
        <w:rPr>
          <w:rFonts w:ascii="宋体" w:hAnsi="宋体" w:cs="宋体"/>
          <w:color w:val="auto"/>
          <w:sz w:val="24"/>
          <w:szCs w:val="24"/>
          <w:highlight w:val="none"/>
        </w:rPr>
      </w:pPr>
      <w:r>
        <w:rPr>
          <w:rFonts w:hint="eastAsia" w:ascii="宋体" w:hAnsi="宋体" w:cs="宋体"/>
          <w:color w:val="auto"/>
          <w:sz w:val="24"/>
          <w:szCs w:val="24"/>
          <w:highlight w:val="none"/>
        </w:rPr>
        <w:t>组织图纸会审和设计交底的时间：</w:t>
      </w:r>
      <w:r>
        <w:rPr>
          <w:rFonts w:hint="eastAsia" w:ascii="宋体" w:hAnsi="宋体" w:cs="宋体"/>
          <w:color w:val="auto"/>
          <w:sz w:val="24"/>
          <w:szCs w:val="24"/>
          <w:highlight w:val="none"/>
          <w:u w:val="single"/>
        </w:rPr>
        <w:t>开工前七天组织承包人、设计、监理等单位进行图纸会审、设计交底，承包人应做好会审、交底纪要。</w:t>
      </w:r>
    </w:p>
    <w:p>
      <w:pPr>
        <w:rPr>
          <w:rFonts w:ascii="宋体" w:hAnsi="宋体" w:cs="宋体"/>
          <w:color w:val="auto"/>
          <w:sz w:val="24"/>
          <w:szCs w:val="24"/>
          <w:highlight w:val="none"/>
          <w:u w:val="single"/>
        </w:rPr>
      </w:pPr>
    </w:p>
    <w:p>
      <w:pPr>
        <w:rPr>
          <w:rFonts w:ascii="宋体" w:hAnsi="宋体" w:cs="宋体"/>
          <w:color w:val="auto"/>
          <w:sz w:val="24"/>
          <w:szCs w:val="24"/>
          <w:highlight w:val="none"/>
          <w:u w:val="single"/>
        </w:rPr>
      </w:pPr>
      <w:r>
        <w:rPr>
          <w:rFonts w:hint="eastAsia" w:ascii="宋体" w:hAnsi="宋体" w:cs="宋体"/>
          <w:color w:val="auto"/>
          <w:sz w:val="24"/>
          <w:szCs w:val="24"/>
          <w:highlight w:val="none"/>
        </w:rPr>
        <w:t>（9）协调处理施工周围场地问题和邻近建筑物等保护工作的约定：</w:t>
      </w:r>
      <w:r>
        <w:rPr>
          <w:rFonts w:hint="eastAsia" w:ascii="宋体" w:hAnsi="宋体" w:cs="宋体"/>
          <w:color w:val="auto"/>
          <w:sz w:val="24"/>
          <w:szCs w:val="24"/>
          <w:highlight w:val="none"/>
          <w:u w:val="single"/>
        </w:rPr>
        <w:t>发包人提供协助。</w:t>
      </w:r>
    </w:p>
    <w:p>
      <w:pPr>
        <w:ind w:left="120"/>
        <w:rPr>
          <w:rFonts w:ascii="宋体" w:hAnsi="宋体" w:cs="宋体"/>
          <w:color w:val="auto"/>
          <w:sz w:val="24"/>
          <w:szCs w:val="24"/>
          <w:highlight w:val="none"/>
        </w:rPr>
      </w:pPr>
    </w:p>
    <w:p>
      <w:pPr>
        <w:ind w:left="120"/>
        <w:rPr>
          <w:rFonts w:ascii="宋体" w:hAnsi="宋体" w:cs="宋体"/>
          <w:color w:val="auto"/>
          <w:sz w:val="24"/>
          <w:szCs w:val="24"/>
          <w:highlight w:val="none"/>
        </w:rPr>
      </w:pPr>
    </w:p>
    <w:p>
      <w:pPr>
        <w:ind w:left="120"/>
        <w:rPr>
          <w:rFonts w:ascii="宋体" w:hAnsi="宋体" w:cs="宋体"/>
          <w:color w:val="auto"/>
          <w:sz w:val="24"/>
          <w:szCs w:val="24"/>
          <w:highlight w:val="none"/>
          <w:u w:val="single"/>
        </w:rPr>
      </w:pPr>
      <w:r>
        <w:rPr>
          <w:rFonts w:hint="eastAsia" w:ascii="宋体" w:hAnsi="宋体" w:cs="宋体"/>
          <w:color w:val="auto"/>
          <w:sz w:val="24"/>
          <w:szCs w:val="24"/>
          <w:highlight w:val="none"/>
        </w:rPr>
        <w:t>19.3 提供施工场地的时间：</w:t>
      </w:r>
      <w:r>
        <w:rPr>
          <w:rFonts w:hint="eastAsia" w:ascii="宋体" w:hAnsi="宋体" w:cs="宋体"/>
          <w:color w:val="auto"/>
          <w:sz w:val="24"/>
          <w:szCs w:val="24"/>
          <w:highlight w:val="none"/>
          <w:u w:val="single"/>
        </w:rPr>
        <w:t>由发包人发出书面通知为准。</w:t>
      </w:r>
    </w:p>
    <w:p>
      <w:pPr>
        <w:ind w:left="120"/>
        <w:rPr>
          <w:rFonts w:ascii="宋体" w:hAnsi="宋体" w:cs="宋体"/>
          <w:color w:val="auto"/>
          <w:sz w:val="24"/>
          <w:szCs w:val="24"/>
          <w:highlight w:val="none"/>
          <w:u w:val="single"/>
        </w:rPr>
      </w:pPr>
    </w:p>
    <w:p>
      <w:pPr>
        <w:ind w:left="120"/>
        <w:rPr>
          <w:rFonts w:ascii="宋体" w:hAnsi="宋体" w:cs="宋体"/>
          <w:color w:val="auto"/>
          <w:sz w:val="24"/>
          <w:szCs w:val="24"/>
          <w:highlight w:val="none"/>
        </w:rPr>
      </w:pPr>
    </w:p>
    <w:p>
      <w:pPr>
        <w:ind w:left="120"/>
        <w:rPr>
          <w:rFonts w:ascii="宋体" w:hAnsi="宋体" w:cs="宋体"/>
          <w:color w:val="auto"/>
          <w:sz w:val="24"/>
          <w:szCs w:val="24"/>
          <w:highlight w:val="none"/>
        </w:rPr>
      </w:pPr>
      <w:r>
        <w:rPr>
          <w:rFonts w:hint="eastAsia" w:ascii="宋体" w:hAnsi="宋体" w:cs="宋体"/>
          <w:color w:val="auto"/>
          <w:sz w:val="24"/>
          <w:szCs w:val="24"/>
          <w:highlight w:val="none"/>
        </w:rPr>
        <w:t>19.4 支付款项</w:t>
      </w:r>
    </w:p>
    <w:p>
      <w:pPr>
        <w:ind w:left="120"/>
        <w:rPr>
          <w:rFonts w:ascii="宋体" w:hAnsi="宋体" w:cs="宋体"/>
          <w:color w:val="auto"/>
          <w:sz w:val="24"/>
          <w:szCs w:val="24"/>
          <w:highlight w:val="none"/>
        </w:rPr>
      </w:pP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□按通用条款第80.3款、第81.3款、第83.3款等规定期限支付。</w:t>
      </w:r>
    </w:p>
    <w:p>
      <w:pPr>
        <w:spacing w:line="360" w:lineRule="auto"/>
        <w:ind w:firstLine="180" w:firstLineChars="100"/>
        <w:rPr>
          <w:rFonts w:ascii="宋体" w:hAnsi="宋体" w:cs="宋体"/>
          <w:color w:val="auto"/>
          <w:kern w:val="0"/>
          <w:sz w:val="24"/>
          <w:szCs w:val="24"/>
          <w:highlight w:val="none"/>
          <w:u w:val="single"/>
        </w:rPr>
      </w:pPr>
      <w:r>
        <w:rPr>
          <w:rFonts w:ascii="宋体" w:hAnsi="宋体" w:cs="宋体"/>
          <w:color w:val="auto"/>
          <w:kern w:val="0"/>
          <w:sz w:val="18"/>
          <w:szCs w:val="18"/>
          <w:highlight w:val="none"/>
        </w:rPr>
        <w:t>☑</w:t>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另作约定：</w:t>
      </w:r>
    </w:p>
    <w:p>
      <w:pPr>
        <w:ind w:firstLine="360" w:firstLineChars="1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按专用条款第80.3、第81.1、第83.1款支付，承包人提交工程进度完成情况和支付申请，发包人核实进度和审批价款后、并收到承包人开具发票15个工作日内，发包人向承包人支付资金。</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（2）工程款支付方式</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18"/>
          <w:szCs w:val="18"/>
          <w:highlight w:val="none"/>
        </w:rPr>
        <w:sym w:font="Times New Roman" w:char="0000"/>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sym w:font="Times New Roman" w:char="0000"/>
      </w:r>
      <w:r>
        <w:rPr>
          <w:rFonts w:hint="eastAsia" w:ascii="宋体" w:hAnsi="宋体" w:cs="宋体"/>
          <w:color w:val="auto"/>
          <w:kern w:val="0"/>
          <w:sz w:val="24"/>
          <w:szCs w:val="24"/>
          <w:highlight w:val="none"/>
        </w:rPr>
        <w:t>按协议书所注明的银行账户转账。</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□支票支付。</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□其他方式：</w:t>
      </w:r>
    </w:p>
    <w:p>
      <w:pPr>
        <w:rPr>
          <w:rFonts w:ascii="宋体" w:hAnsi="宋体" w:cs="宋体"/>
          <w:color w:val="auto"/>
          <w:kern w:val="0"/>
          <w:sz w:val="24"/>
          <w:szCs w:val="24"/>
          <w:highlight w:val="none"/>
        </w:rPr>
      </w:pPr>
    </w:p>
    <w:p>
      <w:pPr>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477" w:name="_Toc999640558"/>
      <w:bookmarkStart w:id="1478" w:name="_Toc27169"/>
      <w:bookmarkStart w:id="1479" w:name="_Toc23611"/>
      <w:bookmarkStart w:id="1480" w:name="_Toc6335"/>
      <w:bookmarkStart w:id="1481" w:name="_Toc469384091"/>
      <w:bookmarkStart w:id="1482" w:name="_Toc28488"/>
      <w:bookmarkStart w:id="1483" w:name="_Toc29766"/>
      <w:bookmarkStart w:id="1484" w:name="_Toc732274444"/>
      <w:bookmarkStart w:id="1485" w:name="_Toc31763"/>
      <w:r>
        <w:rPr>
          <w:rFonts w:hint="eastAsia" w:ascii="宋体" w:hAnsi="宋体" w:cs="宋体"/>
          <w:bCs/>
          <w:color w:val="auto"/>
          <w:sz w:val="24"/>
          <w:szCs w:val="24"/>
          <w:highlight w:val="none"/>
        </w:rPr>
        <w:t>20. 承包人</w:t>
      </w:r>
      <w:bookmarkEnd w:id="1477"/>
      <w:bookmarkEnd w:id="1478"/>
      <w:bookmarkEnd w:id="1479"/>
      <w:bookmarkEnd w:id="1480"/>
      <w:bookmarkEnd w:id="1481"/>
      <w:bookmarkEnd w:id="1482"/>
      <w:bookmarkEnd w:id="1483"/>
      <w:bookmarkEnd w:id="1484"/>
      <w:bookmarkEnd w:id="1485"/>
    </w:p>
    <w:p>
      <w:pPr>
        <w:rPr>
          <w:rFonts w:ascii="宋体" w:hAnsi="宋体" w:cs="宋体"/>
          <w:b/>
          <w:bCs/>
          <w:color w:val="auto"/>
          <w:kern w:val="0"/>
          <w:sz w:val="24"/>
          <w:szCs w:val="24"/>
          <w:highlight w:val="none"/>
        </w:rPr>
      </w:pPr>
    </w:p>
    <w:p>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20.1 遵守法律</w:t>
      </w:r>
    </w:p>
    <w:p>
      <w:pPr>
        <w:rPr>
          <w:rFonts w:ascii="宋体" w:hAnsi="宋体" w:cs="宋体"/>
          <w:b/>
          <w:bCs/>
          <w:color w:val="auto"/>
          <w:kern w:val="0"/>
          <w:sz w:val="24"/>
          <w:szCs w:val="24"/>
          <w:highlight w:val="none"/>
        </w:rPr>
      </w:pP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承包人在本项目发包人的工程项目中存在通用条款20.1所列行为的，将被拒绝参与发包人后续工程投标。拒绝投标时限：</w:t>
      </w:r>
      <w:r>
        <w:rPr>
          <w:rFonts w:hint="eastAsia" w:ascii="宋体" w:hAnsi="宋体" w:cs="宋体"/>
          <w:color w:val="auto"/>
          <w:kern w:val="0"/>
          <w:sz w:val="24"/>
          <w:szCs w:val="24"/>
          <w:highlight w:val="none"/>
          <w:u w:val="single"/>
        </w:rPr>
        <w:t>2年</w:t>
      </w:r>
      <w:r>
        <w:rPr>
          <w:rFonts w:hint="eastAsia" w:ascii="宋体" w:hAnsi="宋体" w:cs="宋体"/>
          <w:color w:val="auto"/>
          <w:kern w:val="0"/>
          <w:sz w:val="24"/>
          <w:szCs w:val="24"/>
          <w:highlight w:val="none"/>
        </w:rPr>
        <w:t>。</w:t>
      </w:r>
    </w:p>
    <w:p>
      <w:pPr>
        <w:rPr>
          <w:rFonts w:ascii="宋体" w:hAnsi="宋体" w:cs="宋体"/>
          <w:b/>
          <w:bCs/>
          <w:color w:val="auto"/>
          <w:kern w:val="0"/>
          <w:sz w:val="24"/>
          <w:szCs w:val="24"/>
          <w:highlight w:val="none"/>
        </w:rPr>
      </w:pPr>
    </w:p>
    <w:p>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20.2 承包人完成下列工作的约定</w:t>
      </w:r>
    </w:p>
    <w:p>
      <w:pPr>
        <w:rPr>
          <w:rFonts w:ascii="宋体" w:hAnsi="宋体" w:cs="宋体"/>
          <w:color w:val="auto"/>
          <w:kern w:val="0"/>
          <w:sz w:val="24"/>
          <w:szCs w:val="24"/>
          <w:highlight w:val="none"/>
        </w:rPr>
      </w:pPr>
    </w:p>
    <w:p>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（1）按照合同约定和监理工程师的指令实施、完成并保修合同工程：</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□按通用条款第80.2款、第81.1款、第83.1款等规定期限提交。</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sym w:font="Times New Roman" w:char="0000"/>
      </w:r>
      <w:r>
        <w:rPr>
          <w:rFonts w:hint="eastAsia" w:ascii="宋体" w:hAnsi="宋体" w:cs="宋体"/>
          <w:color w:val="auto"/>
          <w:kern w:val="0"/>
          <w:sz w:val="24"/>
          <w:szCs w:val="24"/>
          <w:highlight w:val="none"/>
        </w:rPr>
        <w:t>另作约定：</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1、承包人协助向公路、交警等部门办理开挖许可证相关手续</w:t>
      </w:r>
      <w:r>
        <w:rPr>
          <w:rFonts w:hint="eastAsia" w:ascii="宋体" w:hAnsi="宋体" w:cs="宋体"/>
          <w:color w:val="auto"/>
          <w:kern w:val="0"/>
          <w:sz w:val="24"/>
          <w:szCs w:val="24"/>
          <w:highlight w:val="none"/>
          <w:u w:val="single"/>
          <w:lang w:eastAsia="zh-CN"/>
        </w:rPr>
        <w:t>。</w:t>
      </w:r>
      <w:r>
        <w:rPr>
          <w:rFonts w:hint="eastAsia" w:ascii="宋体" w:hAnsi="宋体" w:cs="宋体"/>
          <w:color w:val="auto"/>
          <w:kern w:val="0"/>
          <w:sz w:val="24"/>
          <w:szCs w:val="24"/>
          <w:highlight w:val="none"/>
          <w:u w:val="single"/>
        </w:rPr>
        <w:t>承包人</w:t>
      </w:r>
      <w:r>
        <w:rPr>
          <w:rFonts w:hint="eastAsia" w:ascii="宋体" w:hAnsi="宋体" w:cs="宋体"/>
          <w:color w:val="auto"/>
          <w:kern w:val="0"/>
          <w:sz w:val="24"/>
          <w:szCs w:val="24"/>
          <w:highlight w:val="none"/>
          <w:u w:val="single"/>
          <w:lang w:val="en-US" w:eastAsia="zh-CN"/>
        </w:rPr>
        <w:t>负责</w:t>
      </w:r>
      <w:r>
        <w:rPr>
          <w:rFonts w:hint="eastAsia" w:ascii="宋体" w:hAnsi="宋体" w:cs="宋体"/>
          <w:color w:val="auto"/>
          <w:kern w:val="0"/>
          <w:sz w:val="24"/>
          <w:szCs w:val="24"/>
          <w:highlight w:val="none"/>
          <w:u w:val="single"/>
        </w:rPr>
        <w:t>平整施工场地，协调处理周围场地施工问题和邻近建筑物等保护工作，使施工场地具备施工条件，并负责一切协调费用。</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应提供计划、报表的名称及完成时间：要求开工前提供项目总体控制计划；每月18日前提交下月计划安排及本月计划完成情况；提前15天提供施工所需的甲供材料规格、数量，提前5天提供具体的交货时间、地点；</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3、承担施工安全保卫工作及非夜间施工照明的责任和要求： 承包人应负责现场全部作业的安全；在合同工程施工、完工及修补缺陷的整个工程期限内，全面负责所有留在现场上的人员的安全，保护其管辖范围的现场（包括尚未完工的和发包人尚未接管的工程）处于有条不紊和良好的状态。根据工程师或当地政府要求，在需要的时间和地点，提供和维持所有的照明灯光、护板、围墙、栅栏、警告信号标志和值班人员，对工程进行保护和为公众提供安全和方便，施工围蔽按穗建质〔2020〕1号、穗建质[2016]1008号文、穗建质〔2016〕1085号文、穗建质〔2018〕1953号文及穗建质【2008】937号文要求执行，若政府部门提出新要求标准则遵照执行，工程完工后按要求及时拆除围栏和管沟回填，否则视情节严重程度给予警告，仍不按要求落实的，发包人有权从工程款中扣除5000元至10000元违约金。遵守和执行防火、安全文明施工和夜间施工规定。承包人应保证施工期间行人、车辆等的通行，不能进行全封闭施工。同时承包人有责任协助公安、交通等部门维护所在现场地段的交通与人流，既保证施工安全，也保护车辆和行人的畅通和安全。如承包人未履行或未充分履行上述义务造成财产和人身伤害等，由承包人承担责任及由此所发生的费用。承包人应在投标报价中考虑有关费用，并保证发包人免于受到或承担应由承包人负责的上述事项所引起的或与之有关的索赔、诉讼、以及其它开支。</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4、需承包人协助办理的有关施工场地交通、环卫和施工噪音管理等手续：承包人应当承担其出入现场所需要的专用或临时道路（含水路）通行权，养路费等费用和税费，办理相关手续，包括进场须要提供的各类保证金、押金等。承包人还应自费提供其所需要的工地以外的供工程使用的任何附加设施。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并避免由于其操作方法所造成的污染、噪声或其它问题而对附近的人员或公私财产造成的干扰、损失或损害。承包人应在投标报价中考虑有关费用，并保证发包人免于受到或承担应由承包人负责的上述事项所引起的或与之有关的索赔、诉讼、以及其它开支。</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5、已完工程成品和半成品保护的特殊要求及费用承担：未竣工验收合格之前，由承包人承担。已竣工未交付发包人之前，承包人按协议条款约定负责已完工程的成品保护工作；保护期间所发生的损坏，由承包人予以自费修复；发包人提前使用后发生损坏的修复费用，如属发包人原因损坏的,由发包人承担,如属质量原因引起的损坏,由承包人负责自费修复。</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6、施工场地周围地下管线和邻近建筑物、构筑物（含文物保护建筑）、古树名木的保护要求及费用承担：施工期间发现文物，应按国家文物和省、市有关文物管理规定保护现场，并通知有关部门。施工期间执行《关于进一步规范建设工程施工现场围蔽的通知》（穗建质[2008]1008号）》、《关于完善广州市建设工程施工围蔽管理提升实施技术要求和标准图集的通知》（穗建质〔2016〕1085号文）、《广州市住房和城乡建设局等9部门关于印发广州市建设工程绿色施工围蔽指导图集（V2.0版）的通知》（穗建质〔2020〕1号）等的规定，否则，因此造成的损失或被有关部门处罚，均由承包人负责。除文物保护外，其它保护工作费用以及相关权属人或行政主管部门要求的第三方检测费已包含在承包人的投标报价中，不另行计量支付。</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7、施工场地文明施工的要求：本合同工程现场文明施工必须严格按以下文件执行，若政府相关要求文件更新则遵照执行，并挂牌施工接受监督：</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a.广州市人民政府制定的《广州市建设工程文明施工管理规定》（广州市人民政府令第158号）、广州市建设委员会制定的《广州市建设工程现场文明施工管理办法》（穗建质〔2008〕937号）、《关于进一步规范建设工程施工现场围蔽的通知》（穗建质〔2008〕1008号）、《广州市住房和城乡建设局等9部门关于印发广州市建设工程绿色施工围蔽指导图集（V2.0版）的通知》（穗建质〔2020〕1号）；</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b.广州市市政园林局制定的《关于加强市政园林和管线建设工程文明施工管理的通知》（市政园林〔2001〕1273号）； 承包人应保持现场整洁，保证卫生要求，合理地安排临时设施，存放和处置好设备及材料，及时清运垃圾和余泥，处理好污水、余泥排放。工程完工后，承包人应立即从施工现场搬走或清除承包人的设备、材料、垃圾以及各种临时设施，并保持施工现场和工程清洁整齐，但承包人应保留他为在缺陷责任期内履行其义务而需要的材料、设备和临时设施，其费用已包含在承包人的投标报价中，不另行计量支付。</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8、双方约定承包人应做的其他工作：</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1）施工场地具备施工条件的要求及完成的时间：提供现场的日期与开工日期相同，由承包人根据投标前现场踏勘的情况自行考虑场地清理、平整的工作，费用已包含在投标报价中，发包人不另外支付。</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2）将施工所需的水、电、电讯线路接至施工场地的时间、地点和供应要求：施工临时用水、用电、通讯设施由承包人自行负责，费用已包含在投标报价中，发包人不另行计量支付。</w:t>
      </w:r>
    </w:p>
    <w:p>
      <w:pPr>
        <w:spacing w:line="360" w:lineRule="auto"/>
        <w:rPr>
          <w:rFonts w:ascii="宋体" w:hAnsi="宋体" w:cs="宋体"/>
          <w:color w:val="auto"/>
          <w:kern w:val="0"/>
          <w:sz w:val="24"/>
          <w:szCs w:val="24"/>
          <w:highlight w:val="none"/>
          <w:u w:val="single"/>
        </w:rPr>
      </w:pPr>
      <w:r>
        <w:rPr>
          <w:rFonts w:hint="eastAsia" w:ascii="宋体" w:hAnsi="宋体" w:cs="宋体"/>
          <w:strike w:val="0"/>
          <w:color w:val="auto"/>
          <w:kern w:val="0"/>
          <w:sz w:val="24"/>
          <w:szCs w:val="24"/>
          <w:highlight w:val="none"/>
          <w:u w:val="none"/>
          <w:lang w:val="en-US" w:eastAsia="zh-CN"/>
        </w:rPr>
        <w:t>3</w:t>
      </w:r>
      <w:r>
        <w:rPr>
          <w:rFonts w:hint="eastAsia" w:ascii="宋体" w:hAnsi="宋体" w:cs="宋体"/>
          <w:color w:val="auto"/>
          <w:kern w:val="0"/>
          <w:sz w:val="24"/>
          <w:szCs w:val="24"/>
          <w:highlight w:val="none"/>
          <w:u w:val="single"/>
        </w:rPr>
        <w:t xml:space="preserve">）工程地质和地下管线资料的提供时间： 工程地质资料由发包人提供；地下管线资料由承包人自行调查核实，并承担由此引起的责任和损失，费用已包含在投标报价中，发包人不另行计量支付，发包人可提供可能的协助和方便。 </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lang w:val="en-US" w:eastAsia="zh-CN"/>
        </w:rPr>
        <w:t>4</w:t>
      </w:r>
      <w:r>
        <w:rPr>
          <w:rFonts w:hint="eastAsia" w:ascii="宋体" w:hAnsi="宋体" w:cs="宋体"/>
          <w:color w:val="auto"/>
          <w:kern w:val="0"/>
          <w:sz w:val="24"/>
          <w:szCs w:val="24"/>
          <w:highlight w:val="none"/>
          <w:u w:val="single"/>
        </w:rPr>
        <w:t>）由发包人办理的施工所需证件、文件的名称和完成时间： 有关施工所需证件、文件由承包人办理，发包人可提供必要的协助，费用已包含投标报价中。</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lang w:val="en-US" w:eastAsia="zh-CN"/>
        </w:rPr>
        <w:t>5</w:t>
      </w:r>
      <w:r>
        <w:rPr>
          <w:rFonts w:hint="eastAsia" w:ascii="宋体" w:hAnsi="宋体" w:cs="宋体"/>
          <w:color w:val="auto"/>
          <w:kern w:val="0"/>
          <w:sz w:val="24"/>
          <w:szCs w:val="24"/>
          <w:highlight w:val="none"/>
          <w:u w:val="single"/>
        </w:rPr>
        <w:t xml:space="preserve">）协调处理施工场地周围地下管线和邻近建筑物、构筑物（含文物保护建筑）、古树名木的保护工作：发包人协助承包人做好上述保护工作的协调处理，除文物保护外，其它保护工作费用已包含在承包人的投标报价中。  </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lang w:val="en-US" w:eastAsia="zh-CN"/>
        </w:rPr>
        <w:t>6</w:t>
      </w:r>
      <w:r>
        <w:rPr>
          <w:rFonts w:hint="eastAsia" w:ascii="宋体" w:hAnsi="宋体" w:cs="宋体"/>
          <w:color w:val="auto"/>
          <w:kern w:val="0"/>
          <w:sz w:val="24"/>
          <w:szCs w:val="24"/>
          <w:highlight w:val="none"/>
          <w:u w:val="single"/>
        </w:rPr>
        <w:t>）工程承包方式为：</w:t>
      </w:r>
      <w:r>
        <w:rPr>
          <w:rFonts w:hint="eastAsia" w:ascii="宋体" w:hAnsi="宋体" w:cs="宋体"/>
          <w:color w:val="auto"/>
          <w:sz w:val="24"/>
          <w:szCs w:val="24"/>
          <w:highlight w:val="none"/>
          <w:u w:val="single"/>
        </w:rPr>
        <w:t>包工、包料（除发包人提供的材料外）、包工期、包质量、包绿色施工安全防护措施费、综合单价包干、可计量清单综合单价包干的措施费，按费率包干的其他措施费及其它项目费。包总承包范围内验收、包联合调试的总体组织和协调。</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lang w:val="en-US" w:eastAsia="zh-CN"/>
        </w:rPr>
        <w:t>7</w:t>
      </w:r>
      <w:r>
        <w:rPr>
          <w:rFonts w:hint="eastAsia" w:ascii="宋体" w:hAnsi="宋体" w:cs="宋体"/>
          <w:color w:val="auto"/>
          <w:kern w:val="0"/>
          <w:sz w:val="24"/>
          <w:szCs w:val="24"/>
          <w:highlight w:val="none"/>
          <w:u w:val="single"/>
        </w:rPr>
        <w:t>）承包人必须及时办理施工许可证、报质监、安监、技监等工程建设手续，以及协调与本工程相关的业务关系（包括电力、供水、排水、通讯、绿化、道路等），根据需要及时提供相关方案，资质证明文件及人员设备支持。若在发包人发出办理通知10天内未办理完成相关手续，则发生一宗视情况按1-5万元支付违约金。</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lang w:val="en-US" w:eastAsia="zh-CN"/>
        </w:rPr>
        <w:t>8</w:t>
      </w:r>
      <w:r>
        <w:rPr>
          <w:rFonts w:hint="eastAsia" w:ascii="宋体" w:hAnsi="宋体" w:cs="宋体"/>
          <w:color w:val="auto"/>
          <w:kern w:val="0"/>
          <w:sz w:val="24"/>
          <w:szCs w:val="24"/>
          <w:highlight w:val="none"/>
          <w:u w:val="single"/>
        </w:rPr>
        <w:t>）其他要求</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a．承包人不按文明施工要求和规定进行施工，在发包人发出通知1-2天内，承包人应按要求进行整改，如承包人不整改或整改后仍达不到要求的，工程师有权委托第三人进行整改，所发生的费用由承包人承担，发包人可在应付的进度款或履约担保内直接抵扣，并按本合同通用条款第45.5执行。承包人协助办理占道开挖证、余泥排放许可证和质量安全监督登记等有关手续。对施工图、技术资料做认真地复核和检查，有预见性的发现和指正设计缺陷和错误，应提出能实质性地节约资金和缩短工期的建议和措施，并书面通知发包人。</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b．干扰与协调</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b1.承包人应当清楚地预计到施工期间对外界可能产生的不可避免的干扰，并为此保证主动努力减少这些干扰对外界的影响，且应当积极主动与外界进行协调。协调费用由承包人负责。</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b2.承包人应负责协调施工期间外界的各种干扰，协调不果，方可书面要求发包人出面协调。</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b3.发包人将在承包人的配合下，充分运用自己对各方面的影响力，尽可能地将外界对工程的干扰减少到最低程度。这种协调并不解除承包人的各项责任与义务。</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b4.包协调：包括以下内容。</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sym w:font="Times New Roman" w:char="0000"/>
      </w:r>
      <w:r>
        <w:rPr>
          <w:rFonts w:hint="eastAsia" w:ascii="宋体" w:hAnsi="宋体" w:cs="宋体"/>
          <w:color w:val="auto"/>
          <w:kern w:val="0"/>
          <w:sz w:val="24"/>
          <w:szCs w:val="24"/>
          <w:highlight w:val="none"/>
          <w:u w:val="single"/>
        </w:rPr>
        <w:tab/>
      </w:r>
      <w:r>
        <w:rPr>
          <w:rFonts w:hint="eastAsia" w:ascii="宋体" w:hAnsi="宋体" w:cs="宋体"/>
          <w:color w:val="auto"/>
          <w:kern w:val="0"/>
          <w:sz w:val="24"/>
          <w:szCs w:val="24"/>
          <w:highlight w:val="none"/>
          <w:u w:val="single"/>
        </w:rPr>
        <w:t>承包人协助发包人办理施工许可证。</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sym w:font="Times New Roman" w:char="0000"/>
      </w:r>
      <w:r>
        <w:rPr>
          <w:rFonts w:hint="eastAsia" w:ascii="宋体" w:hAnsi="宋体" w:cs="宋体"/>
          <w:color w:val="auto"/>
          <w:kern w:val="0"/>
          <w:sz w:val="24"/>
          <w:szCs w:val="24"/>
          <w:highlight w:val="none"/>
          <w:u w:val="single"/>
        </w:rPr>
        <w:tab/>
      </w:r>
      <w:r>
        <w:rPr>
          <w:rFonts w:hint="eastAsia" w:ascii="宋体" w:hAnsi="宋体" w:cs="宋体"/>
          <w:color w:val="auto"/>
          <w:kern w:val="0"/>
          <w:sz w:val="24"/>
          <w:szCs w:val="24"/>
          <w:highlight w:val="none"/>
          <w:u w:val="single"/>
        </w:rPr>
        <w:t>办理所有本工程所需的各种批准和许可手续（包括但不限于施工、调试、竣工、测量、水利、航运、验收、备案等所需的各类批准和许可）。政府明确应由发包人缴纳的各项行政规费由发包人负责缴纳（征借地已包含的费用应扣除）。</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sym w:font="Times New Roman" w:char="0000"/>
      </w:r>
      <w:r>
        <w:rPr>
          <w:rFonts w:hint="eastAsia" w:ascii="宋体" w:hAnsi="宋体" w:cs="宋体"/>
          <w:color w:val="auto"/>
          <w:kern w:val="0"/>
          <w:sz w:val="24"/>
          <w:szCs w:val="24"/>
          <w:highlight w:val="none"/>
          <w:u w:val="single"/>
        </w:rPr>
        <w:tab/>
      </w:r>
      <w:r>
        <w:rPr>
          <w:rFonts w:hint="eastAsia" w:ascii="宋体" w:hAnsi="宋体" w:cs="宋体"/>
          <w:color w:val="auto"/>
          <w:kern w:val="0"/>
          <w:sz w:val="24"/>
          <w:szCs w:val="24"/>
          <w:highlight w:val="none"/>
          <w:u w:val="single"/>
        </w:rPr>
        <w:t>负责消除不利于工程质量、进度的因素（发包人因素和不可抗力因素除外）。</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sym w:font="Times New Roman" w:char="0000"/>
      </w:r>
      <w:r>
        <w:rPr>
          <w:rFonts w:hint="eastAsia" w:ascii="宋体" w:hAnsi="宋体" w:cs="宋体"/>
          <w:color w:val="auto"/>
          <w:kern w:val="0"/>
          <w:sz w:val="24"/>
          <w:szCs w:val="24"/>
          <w:highlight w:val="none"/>
          <w:u w:val="single"/>
        </w:rPr>
        <w:tab/>
      </w:r>
      <w:r>
        <w:rPr>
          <w:rFonts w:hint="eastAsia" w:ascii="宋体" w:hAnsi="宋体" w:cs="宋体"/>
          <w:color w:val="auto"/>
          <w:kern w:val="0"/>
          <w:sz w:val="24"/>
          <w:szCs w:val="24"/>
          <w:highlight w:val="none"/>
          <w:u w:val="single"/>
        </w:rPr>
        <w:t>根据发包人要求，协助发包人准备有关技术资料（包括但不限于竣工图及相关文件、政府批准文件等所需的各类文件、资料）。</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sym w:font="Times New Roman" w:char="0000"/>
      </w:r>
      <w:r>
        <w:rPr>
          <w:rFonts w:hint="eastAsia" w:ascii="宋体" w:hAnsi="宋体" w:cs="宋体"/>
          <w:color w:val="auto"/>
          <w:kern w:val="0"/>
          <w:sz w:val="24"/>
          <w:szCs w:val="24"/>
          <w:highlight w:val="none"/>
          <w:u w:val="single"/>
        </w:rPr>
        <w:tab/>
      </w:r>
      <w:r>
        <w:rPr>
          <w:rFonts w:hint="eastAsia" w:ascii="宋体" w:hAnsi="宋体" w:cs="宋体"/>
          <w:color w:val="auto"/>
          <w:kern w:val="0"/>
          <w:sz w:val="24"/>
          <w:szCs w:val="24"/>
          <w:highlight w:val="none"/>
          <w:u w:val="single"/>
        </w:rPr>
        <w:t>根据发包人要求，进行与本项目工作有关的谈判、澄清、审查等工作。</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sym w:font="Times New Roman" w:char="0000"/>
      </w:r>
      <w:r>
        <w:rPr>
          <w:rFonts w:hint="eastAsia" w:ascii="宋体" w:hAnsi="宋体" w:cs="宋体"/>
          <w:color w:val="auto"/>
          <w:kern w:val="0"/>
          <w:sz w:val="24"/>
          <w:szCs w:val="24"/>
          <w:highlight w:val="none"/>
          <w:u w:val="single"/>
        </w:rPr>
        <w:tab/>
      </w:r>
      <w:r>
        <w:rPr>
          <w:rFonts w:hint="eastAsia" w:ascii="宋体" w:hAnsi="宋体" w:cs="宋体"/>
          <w:color w:val="auto"/>
          <w:kern w:val="0"/>
          <w:sz w:val="24"/>
          <w:szCs w:val="24"/>
          <w:highlight w:val="none"/>
          <w:u w:val="single"/>
        </w:rPr>
        <w:t>根据发包人的要求，配合本工程涉及外部的部门或单位的工作。</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sym w:font="Times New Roman" w:char="0000"/>
      </w:r>
      <w:r>
        <w:rPr>
          <w:rFonts w:hint="eastAsia" w:ascii="宋体" w:hAnsi="宋体" w:cs="宋体"/>
          <w:color w:val="auto"/>
          <w:kern w:val="0"/>
          <w:sz w:val="24"/>
          <w:szCs w:val="24"/>
          <w:highlight w:val="none"/>
          <w:u w:val="single"/>
        </w:rPr>
        <w:tab/>
      </w:r>
      <w:r>
        <w:rPr>
          <w:rFonts w:hint="eastAsia" w:ascii="宋体" w:hAnsi="宋体" w:cs="宋体"/>
          <w:color w:val="auto"/>
          <w:kern w:val="0"/>
          <w:sz w:val="24"/>
          <w:szCs w:val="24"/>
          <w:highlight w:val="none"/>
          <w:u w:val="single"/>
        </w:rPr>
        <w:t>其他相关的工作及费用。</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9、承包人应无条件配合有关部门的检查工作，由于不配合检查造成通报批评和不良影响，承担相应违约责任。</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10、承包人应对道路建设或整体项目进展情况进行跟踪掌握，及时跟进施工，承担由于跟进不及时而增加的所有费用。</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11、施工过程需发包人或监理人确认的工作（包括隐蔽工程、中间交接、现场签证等），承包人必须在现场验收前自检合格，资料齐全，一律现场签认，否则造成后果由承包人负责。</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 xml:space="preserve">12、压力管道施工告知及监检手续，由承包人办理。监检费由发包人承担。 </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13、负责甲供材料的运输及到施工现场后的卸车、保管及转运等相应工作。费用由承包人负责。</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14、承包人在施工过程中应注意对公路路产的保护，因承包人责任损坏公路路产的，由承包人承担赔偿责任。</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15、承包人接收发包人分段提供的永久借地后，须在接到进场指令后1周内进场，且须于2个月内完成该段管道敷设施工及地貌</w:t>
      </w:r>
      <w:r>
        <w:rPr>
          <w:rFonts w:hint="eastAsia" w:ascii="宋体" w:hAnsi="宋体" w:cs="宋体"/>
          <w:color w:val="auto"/>
          <w:sz w:val="24"/>
          <w:szCs w:val="24"/>
          <w:highlight w:val="none"/>
          <w:u w:val="single"/>
          <w:lang w:val="en-US" w:eastAsia="zh-CN"/>
        </w:rPr>
        <w:t>及道路</w:t>
      </w:r>
      <w:r>
        <w:rPr>
          <w:rFonts w:hint="eastAsia" w:ascii="宋体" w:hAnsi="宋体" w:cs="宋体"/>
          <w:color w:val="auto"/>
          <w:kern w:val="0"/>
          <w:sz w:val="24"/>
          <w:szCs w:val="24"/>
          <w:highlight w:val="none"/>
          <w:u w:val="single"/>
        </w:rPr>
        <w:t>恢复。</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16、由于发包人的工期调整需求，承包人应积极响应，应具有以下施工能力：D508管道焊接30道焊口/天、D508管道100米内的顶管穿越/60天、D508管道900米内定向钻穿越/60天。相应费用由承包人承担。</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17、由于工程手续办理等需要，在接到发包人指令后的3天内，承包人必须提供相应方案、资质等资料（包含专项施工方案、施工计划等）。</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18、承包人自行解决并承担施工人员驻地及施工设备材料堆放场地相应费用。</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19、承包人须按发包人要求认真填报工程项目WHS质量控制关键点设置审批表、停工待检点（H）质量控制记录表、见证点（w）质量控制记录表、旁站点（s）质量控制记录表。</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20、承包人须按发包人要求认真填报管道完整性施工期项目信息表，包括但不限于项目信息、管道本体信息、防腐层破坏点信息、穿跨越信息、管道保护信息、套管信息、管沟回填信息、焊缝信息、大小头信息、开孔信息、三通信息、阀门信息、绝缘接口信息、收发球桶信息、封堵物信息、标志桩信息、测试桩信息、电子标签信息、水工保护信息、地下障碍物信息、恒电位仪信息、阳极底床信息等。</w:t>
      </w:r>
    </w:p>
    <w:p>
      <w:pPr>
        <w:ind w:firstLine="360" w:firstLineChars="150"/>
        <w:rPr>
          <w:rFonts w:ascii="宋体" w:hAnsi="宋体" w:cs="宋体"/>
          <w:color w:val="auto"/>
          <w:kern w:val="0"/>
          <w:sz w:val="24"/>
          <w:szCs w:val="24"/>
          <w:highlight w:val="none"/>
          <w:u w:val="single"/>
        </w:rPr>
      </w:pPr>
    </w:p>
    <w:p>
      <w:pPr>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rPr>
        <w:t>）向发包人提供施工场地办公和生活的房屋及设施的数量和时间等要求：</w:t>
      </w:r>
      <w:r>
        <w:rPr>
          <w:rFonts w:hint="eastAsia" w:ascii="宋体" w:hAnsi="宋体" w:cs="宋体"/>
          <w:color w:val="auto"/>
          <w:kern w:val="0"/>
          <w:sz w:val="24"/>
          <w:szCs w:val="24"/>
          <w:highlight w:val="none"/>
          <w:u w:val="single"/>
        </w:rPr>
        <w:t>无。</w:t>
      </w:r>
    </w:p>
    <w:p>
      <w:pPr>
        <w:rPr>
          <w:rFonts w:ascii="宋体" w:hAnsi="宋体" w:cs="宋体"/>
          <w:color w:val="auto"/>
          <w:kern w:val="0"/>
          <w:sz w:val="24"/>
          <w:szCs w:val="24"/>
          <w:highlight w:val="none"/>
          <w:u w:val="single"/>
        </w:rPr>
      </w:pPr>
    </w:p>
    <w:p>
      <w:pPr>
        <w:rPr>
          <w:rFonts w:ascii="宋体" w:hAnsi="宋体" w:cs="宋体"/>
          <w:color w:val="auto"/>
          <w:kern w:val="0"/>
          <w:sz w:val="24"/>
          <w:szCs w:val="24"/>
          <w:highlight w:val="none"/>
        </w:rPr>
      </w:pPr>
    </w:p>
    <w:p>
      <w:pPr>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en-US" w:eastAsia="zh-CN"/>
        </w:rPr>
        <w:t>6</w:t>
      </w:r>
      <w:r>
        <w:rPr>
          <w:rFonts w:hint="eastAsia" w:ascii="宋体" w:hAnsi="宋体" w:cs="宋体"/>
          <w:color w:val="auto"/>
          <w:kern w:val="0"/>
          <w:sz w:val="24"/>
          <w:szCs w:val="24"/>
          <w:highlight w:val="none"/>
        </w:rPr>
        <w:t>）办完施工场地交通、环境保护、施工噪声、</w:t>
      </w:r>
      <w:r>
        <w:rPr>
          <w:rFonts w:hint="eastAsia" w:ascii="宋体" w:hAnsi="宋体" w:cs="宋体"/>
          <w:color w:val="auto"/>
          <w:sz w:val="24"/>
          <w:szCs w:val="24"/>
          <w:highlight w:val="none"/>
        </w:rPr>
        <w:t>绿色施工安全防护</w:t>
      </w:r>
      <w:r>
        <w:rPr>
          <w:rFonts w:hint="eastAsia" w:ascii="宋体" w:hAnsi="宋体" w:cs="宋体"/>
          <w:color w:val="auto"/>
          <w:kern w:val="0"/>
          <w:sz w:val="24"/>
          <w:szCs w:val="24"/>
          <w:highlight w:val="none"/>
        </w:rPr>
        <w:t>等手续的时间：</w:t>
      </w:r>
      <w:r>
        <w:rPr>
          <w:rFonts w:hint="eastAsia" w:ascii="宋体" w:hAnsi="宋体" w:cs="宋体"/>
          <w:color w:val="auto"/>
          <w:kern w:val="0"/>
          <w:sz w:val="24"/>
          <w:szCs w:val="24"/>
          <w:highlight w:val="none"/>
          <w:u w:val="single"/>
        </w:rPr>
        <w:t>承包人承担。</w:t>
      </w:r>
    </w:p>
    <w:p>
      <w:pPr>
        <w:rPr>
          <w:rFonts w:ascii="宋体" w:hAnsi="宋体" w:cs="宋体"/>
          <w:color w:val="auto"/>
          <w:kern w:val="0"/>
          <w:sz w:val="24"/>
          <w:szCs w:val="24"/>
          <w:highlight w:val="none"/>
          <w:u w:val="single"/>
        </w:rPr>
      </w:pPr>
    </w:p>
    <w:p>
      <w:pPr>
        <w:ind w:left="420"/>
        <w:rPr>
          <w:rFonts w:ascii="宋体" w:hAnsi="宋体" w:cs="宋体"/>
          <w:color w:val="auto"/>
          <w:kern w:val="0"/>
          <w:sz w:val="24"/>
          <w:szCs w:val="24"/>
          <w:highlight w:val="none"/>
        </w:rPr>
      </w:pPr>
    </w:p>
    <w:p>
      <w:pPr>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en-US" w:eastAsia="zh-CN"/>
        </w:rPr>
        <w:t>8</w:t>
      </w:r>
      <w:r>
        <w:rPr>
          <w:rFonts w:hint="eastAsia" w:ascii="宋体" w:hAnsi="宋体" w:cs="宋体"/>
          <w:color w:val="auto"/>
          <w:kern w:val="0"/>
          <w:sz w:val="24"/>
          <w:szCs w:val="24"/>
          <w:highlight w:val="none"/>
        </w:rPr>
        <w:t>）做好施工场地地下管线和邻近建筑物、构筑物（包括文物保护建筑）、古树名木保护工作的约定：</w:t>
      </w:r>
      <w:r>
        <w:rPr>
          <w:rFonts w:hint="eastAsia" w:ascii="宋体" w:hAnsi="宋体" w:cs="宋体"/>
          <w:color w:val="auto"/>
          <w:kern w:val="0"/>
          <w:sz w:val="24"/>
          <w:szCs w:val="24"/>
          <w:highlight w:val="none"/>
          <w:u w:val="single"/>
        </w:rPr>
        <w:t>承包人承担。</w:t>
      </w:r>
    </w:p>
    <w:p>
      <w:pPr>
        <w:rPr>
          <w:rFonts w:ascii="宋体" w:hAnsi="宋体" w:cs="宋体"/>
          <w:color w:val="auto"/>
          <w:kern w:val="0"/>
          <w:sz w:val="24"/>
          <w:szCs w:val="24"/>
          <w:highlight w:val="none"/>
        </w:rPr>
      </w:pPr>
    </w:p>
    <w:p>
      <w:pPr>
        <w:rPr>
          <w:rFonts w:ascii="宋体" w:hAnsi="宋体" w:cs="宋体"/>
          <w:color w:val="auto"/>
          <w:kern w:val="0"/>
          <w:sz w:val="24"/>
          <w:szCs w:val="24"/>
          <w:highlight w:val="none"/>
        </w:rPr>
      </w:pPr>
    </w:p>
    <w:p>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en-US" w:eastAsia="zh-CN"/>
        </w:rPr>
        <w:t>9</w:t>
      </w:r>
      <w:r>
        <w:rPr>
          <w:rFonts w:hint="eastAsia" w:ascii="宋体" w:hAnsi="宋体" w:cs="宋体"/>
          <w:color w:val="auto"/>
          <w:kern w:val="0"/>
          <w:sz w:val="24"/>
          <w:szCs w:val="24"/>
          <w:highlight w:val="none"/>
        </w:rPr>
        <w:t>）保证施工场地的清洁和做好交工前施工现场清理工作的约定：</w:t>
      </w:r>
      <w:r>
        <w:rPr>
          <w:rFonts w:hint="eastAsia" w:ascii="宋体" w:hAnsi="宋体" w:cs="宋体"/>
          <w:color w:val="auto"/>
          <w:kern w:val="0"/>
          <w:sz w:val="24"/>
          <w:szCs w:val="24"/>
          <w:highlight w:val="none"/>
          <w:u w:val="single"/>
        </w:rPr>
        <w:t>遵守政府部门相关规定，费用由承包人承担。</w:t>
      </w:r>
    </w:p>
    <w:p>
      <w:pPr>
        <w:rPr>
          <w:rFonts w:ascii="宋体" w:hAnsi="宋体" w:cs="宋体"/>
          <w:color w:val="auto"/>
          <w:kern w:val="0"/>
          <w:sz w:val="24"/>
          <w:szCs w:val="24"/>
          <w:highlight w:val="none"/>
        </w:rPr>
      </w:pPr>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en-US" w:eastAsia="zh-CN"/>
        </w:rPr>
        <w:t>10</w:t>
      </w:r>
      <w:r>
        <w:rPr>
          <w:rFonts w:hint="eastAsia" w:ascii="宋体" w:hAnsi="宋体" w:cs="宋体"/>
          <w:color w:val="auto"/>
          <w:kern w:val="0"/>
          <w:sz w:val="24"/>
          <w:szCs w:val="24"/>
          <w:highlight w:val="none"/>
        </w:rPr>
        <w:t>）提交竣工验收申请报告和竣工结算文件</w:t>
      </w:r>
    </w:p>
    <w:p>
      <w:pPr>
        <w:spacing w:line="360" w:lineRule="auto"/>
        <w:ind w:left="84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□按通用条款第82.2款规定提交。</w:t>
      </w:r>
    </w:p>
    <w:p>
      <w:pPr>
        <w:spacing w:line="360" w:lineRule="auto"/>
        <w:ind w:left="840"/>
        <w:rPr>
          <w:rFonts w:ascii="宋体" w:hAnsi="宋体" w:cs="宋体"/>
          <w:color w:val="auto"/>
          <w:kern w:val="0"/>
          <w:sz w:val="24"/>
          <w:szCs w:val="24"/>
          <w:highlight w:val="none"/>
        </w:rPr>
      </w:pPr>
      <w:r>
        <w:rPr>
          <w:rFonts w:ascii="宋体" w:hAnsi="宋体" w:cs="宋体"/>
          <w:color w:val="auto"/>
          <w:kern w:val="0"/>
          <w:sz w:val="20"/>
          <w:szCs w:val="20"/>
          <w:highlight w:val="none"/>
        </w:rPr>
        <w:t>☑</w:t>
      </w: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kern w:val="0"/>
          <w:sz w:val="24"/>
          <w:szCs w:val="24"/>
          <w:highlight w:val="none"/>
          <w:u w:val="single"/>
        </w:rPr>
        <w:t>工程项目竣工（实体）验收合格后，承包人在28天内向发包人代表提交结算文件，发包人组织发包人代表和造价工程师（造价管理员）审核结算价款。</w:t>
      </w:r>
    </w:p>
    <w:p>
      <w:pPr>
        <w:spacing w:line="360" w:lineRule="auto"/>
        <w:ind w:left="120"/>
        <w:rPr>
          <w:rFonts w:ascii="宋体" w:hAnsi="宋体" w:cs="宋体"/>
          <w:color w:val="auto"/>
          <w:kern w:val="0"/>
          <w:sz w:val="24"/>
          <w:szCs w:val="24"/>
          <w:highlight w:val="none"/>
        </w:rPr>
      </w:pPr>
    </w:p>
    <w:p>
      <w:pPr>
        <w:ind w:left="12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20.4 承包人提供施工所需劳务、材料、国产设备、施工设备和其他物品的约定：</w:t>
      </w:r>
      <w:r>
        <w:rPr>
          <w:rFonts w:hint="eastAsia" w:ascii="宋体" w:hAnsi="宋体" w:cs="宋体"/>
          <w:color w:val="auto"/>
          <w:kern w:val="0"/>
          <w:sz w:val="24"/>
          <w:szCs w:val="24"/>
          <w:highlight w:val="none"/>
          <w:u w:val="single"/>
        </w:rPr>
        <w:t>除发包人提供材料，全部由承包人承担。</w:t>
      </w:r>
    </w:p>
    <w:p>
      <w:pPr>
        <w:ind w:left="120"/>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486" w:name="_Toc107799351"/>
      <w:bookmarkStart w:id="1487" w:name="_Toc7992"/>
      <w:bookmarkStart w:id="1488" w:name="_Toc15839"/>
      <w:bookmarkStart w:id="1489" w:name="_Toc469384092"/>
      <w:bookmarkStart w:id="1490" w:name="_Toc17205"/>
      <w:bookmarkStart w:id="1491" w:name="_Toc6180"/>
      <w:bookmarkStart w:id="1492" w:name="_Toc31935"/>
      <w:bookmarkStart w:id="1493" w:name="_Toc1194287825"/>
      <w:bookmarkStart w:id="1494" w:name="_Toc29717"/>
      <w:r>
        <w:rPr>
          <w:rFonts w:hint="eastAsia" w:ascii="宋体" w:hAnsi="宋体" w:cs="宋体"/>
          <w:bCs/>
          <w:color w:val="auto"/>
          <w:sz w:val="24"/>
          <w:szCs w:val="24"/>
          <w:highlight w:val="none"/>
        </w:rPr>
        <w:t>21. 现场管理人员任命和更换</w:t>
      </w:r>
      <w:bookmarkEnd w:id="1486"/>
      <w:bookmarkEnd w:id="1487"/>
      <w:bookmarkEnd w:id="1488"/>
      <w:bookmarkEnd w:id="1489"/>
      <w:bookmarkEnd w:id="1490"/>
      <w:bookmarkEnd w:id="1491"/>
      <w:bookmarkEnd w:id="1492"/>
      <w:bookmarkEnd w:id="1493"/>
      <w:bookmarkEnd w:id="1494"/>
    </w:p>
    <w:p>
      <w:pPr>
        <w:ind w:left="120"/>
        <w:rPr>
          <w:rFonts w:ascii="宋体" w:hAnsi="宋体" w:cs="宋体"/>
          <w:color w:val="auto"/>
          <w:kern w:val="0"/>
          <w:sz w:val="24"/>
          <w:szCs w:val="24"/>
          <w:highlight w:val="none"/>
        </w:rPr>
      </w:pPr>
    </w:p>
    <w:p>
      <w:pPr>
        <w:ind w:left="12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21.1 发包人现场管理人员任命和更换：</w:t>
      </w:r>
      <w:r>
        <w:rPr>
          <w:rFonts w:hint="eastAsia" w:ascii="宋体" w:hAnsi="宋体" w:cs="宋体"/>
          <w:color w:val="auto"/>
          <w:kern w:val="0"/>
          <w:sz w:val="24"/>
          <w:szCs w:val="24"/>
          <w:highlight w:val="none"/>
          <w:u w:val="single"/>
        </w:rPr>
        <w:t>由发包人发出书面通知为准。</w:t>
      </w:r>
    </w:p>
    <w:p>
      <w:pPr>
        <w:ind w:left="120"/>
        <w:rPr>
          <w:rFonts w:ascii="宋体" w:hAnsi="宋体" w:cs="宋体"/>
          <w:color w:val="auto"/>
          <w:kern w:val="0"/>
          <w:sz w:val="24"/>
          <w:szCs w:val="24"/>
          <w:highlight w:val="none"/>
        </w:rPr>
      </w:pPr>
    </w:p>
    <w:p>
      <w:pPr>
        <w:ind w:left="12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21.2 </w:t>
      </w:r>
      <w:r>
        <w:rPr>
          <w:rFonts w:hint="eastAsia" w:ascii="宋体" w:hAnsi="宋体" w:cs="宋体"/>
          <w:color w:val="auto"/>
          <w:kern w:val="0"/>
          <w:sz w:val="24"/>
          <w:szCs w:val="24"/>
          <w:highlight w:val="none"/>
          <w:u w:val="single"/>
        </w:rPr>
        <w:t>承包人代表任命和更换：</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21.2.1承包人所投入的工程管理人员和工程技术人员应与投标文件保持一致，发包人不要求更换时不得更换。因特殊情况需要更换的，承包人应以书面形式向监理单位提出申请（附前任和后任人员的详细履历资料），经总监理工程师签署意见后向发包人提出申请，并征得发包人同意。承包人必须保证后任人员的资质、资历、业绩、实际工作能力不低于前任人员的能力素质。前任人员更换后，后任继续形式合同文件约定的职权，履行相关义务。</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项目经理必须常驻现场，承包人擅自更换项目经理及现场管理机构主要部门负责人的，按专用条款90条承担违约责任。</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21.2.2现场管理机构主要人员的实际工作能力和工作表现达不到招标文件明确要求或投标文件的承诺，或工作态度存在严重不足，不适应现场工作需要，发包人有权向承包人提出撤换。承包人可以提出整改承诺，如发包人不予接受，或认为整改效果不明显的，则承包人必须在7天内无条件撤换，并按专用条款90条承担违约责任。所调换人员的资质、资历、学历、职称、业绩、实际工作能力不低于投标文件中承诺人员的素质。</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21.2.3现场管理机构主要人员必须全职在现场办公，不得兼职或者擅自离岗。因特殊情况需短暂离岗的，应当事先报监理单位批准，必须妥善安排工地现场的工作交接，并按以下规定执行：</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离场1天内，须将工作交接情况知会现场监理工程师；</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离场2到3天，须将工作交接情况知会现场监理工程师，经总监理工程师批准，并向发包人报告；</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离场3天以上，须将工作交接情况知会总监理工程师，并经发包人批准；</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一个月内累计离场时间不得超过7天（工作日）。</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若违反上述规定，总监理工程师可发出停工令，待人员回到岗位后才批准开工。承包人必须就此作出书面解释和保证，自行承担由此产生的工期延误等损失，并按照本合同的约定承担违约责任。</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本合同所称“现场办公”，指在工程实施过程中，施工总承包管理部及属下专业项目部的主要负责人员必须在施工场地全职上班，履行各自的职责。</w:t>
      </w:r>
    </w:p>
    <w:p>
      <w:pPr>
        <w:ind w:left="120"/>
        <w:rPr>
          <w:rFonts w:ascii="宋体" w:hAnsi="宋体" w:cs="宋体"/>
          <w:color w:val="auto"/>
          <w:kern w:val="0"/>
          <w:sz w:val="24"/>
          <w:szCs w:val="24"/>
          <w:highlight w:val="none"/>
        </w:rPr>
      </w:pPr>
    </w:p>
    <w:p>
      <w:pPr>
        <w:ind w:left="12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21.3 监理工程师代表任命和撤回：</w:t>
      </w:r>
      <w:r>
        <w:rPr>
          <w:rFonts w:hint="eastAsia" w:ascii="宋体" w:hAnsi="宋体" w:cs="宋体"/>
          <w:color w:val="auto"/>
          <w:kern w:val="0"/>
          <w:sz w:val="24"/>
          <w:szCs w:val="24"/>
          <w:highlight w:val="none"/>
          <w:u w:val="single"/>
        </w:rPr>
        <w:t>由发包人发出书面通知为准。</w:t>
      </w:r>
    </w:p>
    <w:p>
      <w:pPr>
        <w:ind w:left="120"/>
        <w:rPr>
          <w:rFonts w:ascii="宋体" w:hAnsi="宋体" w:cs="宋体"/>
          <w:color w:val="auto"/>
          <w:kern w:val="0"/>
          <w:sz w:val="24"/>
          <w:szCs w:val="24"/>
          <w:highlight w:val="none"/>
        </w:rPr>
      </w:pPr>
    </w:p>
    <w:p>
      <w:pPr>
        <w:ind w:left="120"/>
        <w:rPr>
          <w:rFonts w:ascii="宋体" w:hAnsi="宋体" w:cs="宋体"/>
          <w:color w:val="auto"/>
          <w:kern w:val="0"/>
          <w:sz w:val="24"/>
          <w:szCs w:val="24"/>
          <w:highlight w:val="none"/>
        </w:rPr>
      </w:pPr>
      <w:r>
        <w:rPr>
          <w:rFonts w:hint="eastAsia" w:ascii="宋体" w:hAnsi="宋体" w:cs="宋体"/>
          <w:color w:val="auto"/>
          <w:kern w:val="0"/>
          <w:sz w:val="24"/>
          <w:szCs w:val="24"/>
          <w:highlight w:val="none"/>
        </w:rPr>
        <w:t>造价工程师代表任命和撤回：</w:t>
      </w:r>
      <w:r>
        <w:rPr>
          <w:rFonts w:hint="eastAsia" w:ascii="宋体" w:hAnsi="宋体" w:cs="宋体"/>
          <w:color w:val="auto"/>
          <w:kern w:val="0"/>
          <w:sz w:val="24"/>
          <w:szCs w:val="24"/>
          <w:highlight w:val="none"/>
          <w:u w:val="single"/>
        </w:rPr>
        <w:t>由发包人发出书面通知为准。</w:t>
      </w:r>
    </w:p>
    <w:p>
      <w:pPr>
        <w:ind w:left="120"/>
        <w:rPr>
          <w:rFonts w:ascii="宋体" w:hAnsi="宋体" w:cs="宋体"/>
          <w:color w:val="auto"/>
          <w:kern w:val="0"/>
          <w:sz w:val="24"/>
          <w:szCs w:val="24"/>
          <w:highlight w:val="none"/>
        </w:rPr>
      </w:pPr>
    </w:p>
    <w:p>
      <w:pPr>
        <w:ind w:left="12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21.4 承包人代表授权人选任命和撤回：</w:t>
      </w:r>
      <w:r>
        <w:rPr>
          <w:rFonts w:hint="eastAsia" w:ascii="宋体" w:hAnsi="宋体" w:cs="宋体"/>
          <w:color w:val="auto"/>
          <w:kern w:val="0"/>
          <w:sz w:val="24"/>
          <w:szCs w:val="24"/>
          <w:highlight w:val="none"/>
          <w:u w:val="single"/>
        </w:rPr>
        <w:t>由发包人发出书面通知为准。</w:t>
      </w:r>
    </w:p>
    <w:p>
      <w:pPr>
        <w:ind w:left="120"/>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495" w:name="_Toc24455"/>
      <w:bookmarkStart w:id="1496" w:name="_Toc30219"/>
      <w:bookmarkStart w:id="1497" w:name="_Toc1454977836"/>
      <w:bookmarkStart w:id="1498" w:name="_Toc17521"/>
      <w:bookmarkStart w:id="1499" w:name="_Toc28411"/>
      <w:bookmarkStart w:id="1500" w:name="_Toc19816"/>
      <w:bookmarkStart w:id="1501" w:name="_Toc2013309913"/>
      <w:bookmarkStart w:id="1502" w:name="_Toc30130"/>
      <w:bookmarkStart w:id="1503" w:name="_Toc469384093"/>
      <w:r>
        <w:rPr>
          <w:rFonts w:hint="eastAsia" w:ascii="宋体" w:hAnsi="宋体" w:cs="宋体"/>
          <w:bCs/>
          <w:color w:val="auto"/>
          <w:sz w:val="24"/>
          <w:szCs w:val="24"/>
          <w:highlight w:val="none"/>
        </w:rPr>
        <w:t>22. 发包人代表</w:t>
      </w:r>
      <w:bookmarkEnd w:id="1495"/>
      <w:bookmarkEnd w:id="1496"/>
      <w:bookmarkEnd w:id="1497"/>
      <w:bookmarkEnd w:id="1498"/>
      <w:bookmarkEnd w:id="1499"/>
      <w:bookmarkEnd w:id="1500"/>
      <w:bookmarkEnd w:id="1501"/>
      <w:bookmarkEnd w:id="1502"/>
      <w:bookmarkEnd w:id="1503"/>
    </w:p>
    <w:p>
      <w:pPr>
        <w:ind w:left="120"/>
        <w:rPr>
          <w:rFonts w:ascii="宋体" w:hAnsi="宋体" w:cs="宋体"/>
          <w:color w:val="auto"/>
          <w:kern w:val="0"/>
          <w:sz w:val="24"/>
          <w:szCs w:val="24"/>
          <w:highlight w:val="none"/>
        </w:rPr>
      </w:pPr>
    </w:p>
    <w:p>
      <w:pPr>
        <w:ind w:left="12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22.1 发包人代表及其权力的限制</w:t>
      </w:r>
    </w:p>
    <w:p>
      <w:pPr>
        <w:ind w:left="120"/>
        <w:rPr>
          <w:rFonts w:ascii="宋体" w:hAnsi="宋体" w:cs="宋体"/>
          <w:color w:val="auto"/>
          <w:kern w:val="0"/>
          <w:sz w:val="24"/>
          <w:szCs w:val="24"/>
          <w:highlight w:val="none"/>
        </w:rPr>
      </w:pPr>
    </w:p>
    <w:p>
      <w:pPr>
        <w:spacing w:line="360" w:lineRule="auto"/>
        <w:ind w:left="120"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（1）发包人任命（）为发包人代表，其通讯方式为</w:t>
      </w:r>
    </w:p>
    <w:p>
      <w:pPr>
        <w:spacing w:line="360" w:lineRule="auto"/>
        <w:ind w:left="12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通讯地址：                邮政编码：</w:t>
      </w:r>
    </w:p>
    <w:p>
      <w:pPr>
        <w:spacing w:line="360" w:lineRule="auto"/>
        <w:ind w:firstLine="240" w:firstLineChars="100"/>
        <w:rPr>
          <w:rFonts w:ascii="宋体" w:hAnsi="宋体" w:cs="宋体"/>
          <w:color w:val="auto"/>
          <w:sz w:val="24"/>
          <w:szCs w:val="24"/>
          <w:highlight w:val="none"/>
          <w:u w:val="single"/>
        </w:rPr>
      </w:pPr>
      <w:r>
        <w:rPr>
          <w:rFonts w:hint="eastAsia" w:ascii="宋体" w:hAnsi="宋体" w:cs="宋体"/>
          <w:color w:val="auto"/>
          <w:sz w:val="24"/>
          <w:szCs w:val="24"/>
          <w:highlight w:val="none"/>
        </w:rPr>
        <w:t>联系电话：               传真号码：</w:t>
      </w:r>
    </w:p>
    <w:p>
      <w:pPr>
        <w:ind w:firstLine="240" w:firstLineChars="100"/>
        <w:rPr>
          <w:rFonts w:ascii="宋体" w:hAnsi="宋体" w:cs="宋体"/>
          <w:color w:val="auto"/>
          <w:sz w:val="24"/>
          <w:szCs w:val="24"/>
          <w:highlight w:val="none"/>
        </w:rPr>
      </w:pP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发包人对发包人代表权力做如下限制：在权限范围内全面负责工程质量、进度、投资和安全、信息等管理工作；发包人代表接收和签发工程技术资料，按发包人管理制度审核完成的工程量和进度款、发出变更和验收指令等。</w:t>
      </w:r>
    </w:p>
    <w:p>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除必须发包人代表出面的情况外，承包人应负责协调施工期间外界的各种干扰；发包人代表将在承包人的配合下，充分运用自己对各方面的影响力，尽可能地将外界对工程的干扰减少到最少程度。这种协调并不解除承包人的各项责任与义务。</w:t>
      </w:r>
    </w:p>
    <w:p>
      <w:pPr>
        <w:rPr>
          <w:rFonts w:ascii="宋体" w:hAnsi="宋体" w:cs="宋体"/>
          <w:color w:val="auto"/>
          <w:sz w:val="24"/>
          <w:szCs w:val="24"/>
          <w:highlight w:val="none"/>
          <w:u w:val="singl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504" w:name="_Toc12005"/>
      <w:bookmarkStart w:id="1505" w:name="_Toc14816"/>
      <w:bookmarkStart w:id="1506" w:name="_Toc506"/>
      <w:bookmarkStart w:id="1507" w:name="_Toc1947365659"/>
      <w:bookmarkStart w:id="1508" w:name="_Toc469384094"/>
      <w:bookmarkStart w:id="1509" w:name="_Toc23248"/>
      <w:bookmarkStart w:id="1510" w:name="_Toc15102"/>
      <w:bookmarkStart w:id="1511" w:name="_Toc416201263"/>
      <w:bookmarkStart w:id="1512" w:name="_Toc169"/>
      <w:r>
        <w:rPr>
          <w:rFonts w:hint="eastAsia" w:ascii="宋体" w:hAnsi="宋体" w:cs="宋体"/>
          <w:bCs/>
          <w:color w:val="auto"/>
          <w:sz w:val="24"/>
          <w:szCs w:val="24"/>
          <w:highlight w:val="none"/>
        </w:rPr>
        <w:t>23. 监理工程师</w:t>
      </w:r>
      <w:bookmarkEnd w:id="1504"/>
      <w:bookmarkEnd w:id="1505"/>
      <w:bookmarkEnd w:id="1506"/>
      <w:bookmarkEnd w:id="1507"/>
      <w:bookmarkEnd w:id="1508"/>
      <w:bookmarkEnd w:id="1509"/>
      <w:bookmarkEnd w:id="1510"/>
      <w:bookmarkEnd w:id="1511"/>
      <w:bookmarkEnd w:id="1512"/>
    </w:p>
    <w:p>
      <w:pPr>
        <w:ind w:firstLine="120" w:firstLineChars="50"/>
        <w:rPr>
          <w:rFonts w:ascii="宋体" w:hAnsi="宋体" w:cs="宋体"/>
          <w:color w:val="auto"/>
          <w:sz w:val="24"/>
          <w:szCs w:val="24"/>
          <w:highlight w:val="none"/>
        </w:rPr>
      </w:pPr>
    </w:p>
    <w:p>
      <w:pPr>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23.1 负责合同工程的监理人及任命的监理工程师</w:t>
      </w:r>
    </w:p>
    <w:p>
      <w:pPr>
        <w:ind w:firstLine="120" w:firstLineChars="50"/>
        <w:rPr>
          <w:rFonts w:ascii="宋体" w:hAnsi="宋体" w:cs="宋体"/>
          <w:color w:val="auto"/>
          <w:sz w:val="24"/>
          <w:szCs w:val="24"/>
          <w:highlight w:val="none"/>
        </w:rPr>
      </w:pPr>
    </w:p>
    <w:p>
      <w:pPr>
        <w:ind w:firstLine="120" w:firstLineChars="50"/>
        <w:rPr>
          <w:rFonts w:ascii="宋体" w:hAnsi="宋体" w:cs="宋体"/>
          <w:color w:val="auto"/>
          <w:sz w:val="24"/>
          <w:szCs w:val="24"/>
          <w:highlight w:val="none"/>
          <w:u w:val="single"/>
        </w:rPr>
      </w:pPr>
      <w:r>
        <w:rPr>
          <w:rFonts w:hint="eastAsia" w:ascii="宋体" w:hAnsi="宋体" w:cs="宋体"/>
          <w:color w:val="auto"/>
          <w:sz w:val="24"/>
          <w:szCs w:val="24"/>
          <w:highlight w:val="none"/>
        </w:rPr>
        <w:t>（1）监理人：                  法定代表人：</w:t>
      </w:r>
    </w:p>
    <w:p>
      <w:pPr>
        <w:ind w:firstLine="120" w:firstLineChars="50"/>
        <w:rPr>
          <w:rFonts w:ascii="宋体" w:hAnsi="宋体" w:cs="宋体"/>
          <w:color w:val="auto"/>
          <w:sz w:val="24"/>
          <w:szCs w:val="24"/>
          <w:highlight w:val="none"/>
        </w:rPr>
      </w:pPr>
    </w:p>
    <w:p>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（2）任命（）为监理工程师，其通讯方式为</w:t>
      </w:r>
    </w:p>
    <w:p>
      <w:pPr>
        <w:spacing w:line="360" w:lineRule="auto"/>
        <w:ind w:left="12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通讯地址：              邮政编码：</w:t>
      </w:r>
    </w:p>
    <w:p>
      <w:pPr>
        <w:spacing w:line="360" w:lineRule="auto"/>
        <w:ind w:firstLine="240" w:firstLineChars="100"/>
        <w:rPr>
          <w:rFonts w:ascii="宋体" w:hAnsi="宋体" w:cs="宋体"/>
          <w:color w:val="auto"/>
          <w:sz w:val="24"/>
          <w:szCs w:val="24"/>
          <w:highlight w:val="none"/>
          <w:u w:val="single"/>
        </w:rPr>
      </w:pPr>
      <w:r>
        <w:rPr>
          <w:rFonts w:hint="eastAsia" w:ascii="宋体" w:hAnsi="宋体" w:cs="宋体"/>
          <w:color w:val="auto"/>
          <w:sz w:val="24"/>
          <w:szCs w:val="24"/>
          <w:highlight w:val="none"/>
        </w:rPr>
        <w:t>联系电话：             传真号码：</w:t>
      </w:r>
    </w:p>
    <w:p>
      <w:pPr>
        <w:spacing w:line="360" w:lineRule="auto"/>
        <w:ind w:firstLine="120" w:firstLineChars="50"/>
        <w:rPr>
          <w:rFonts w:ascii="宋体" w:hAnsi="宋体" w:cs="宋体"/>
          <w:color w:val="auto"/>
          <w:sz w:val="24"/>
          <w:szCs w:val="24"/>
          <w:highlight w:val="none"/>
        </w:rPr>
      </w:pP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23.3 (12)需要发包人批准的其他事项：监理工程师发出的工期索赔审批须经发包人批准后方可生效，同时应将批准的工期索赔审批表抄送发包人代表。</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23.4通用条款中对应的（1）-（11）项应在取得发包人的专项批准后方可生效，同时监理工程师应将指令、审批表、批准的变更抄送发包人代表。</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23.5发包人、监理单位、承包人的工作往来顺序：除发包人另有明确之外，原则上发包人、承包人双方的工作往来均先经过监理单位，由监理单位签署意见后报发包人或者送承包人。</w:t>
      </w:r>
    </w:p>
    <w:p>
      <w:pPr>
        <w:ind w:firstLine="120" w:firstLineChars="50"/>
        <w:rPr>
          <w:rFonts w:ascii="宋体" w:hAnsi="宋体" w:cs="宋体"/>
          <w:color w:val="auto"/>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513" w:name="_Toc22625"/>
      <w:bookmarkStart w:id="1514" w:name="_Toc6237"/>
      <w:bookmarkStart w:id="1515" w:name="_Toc4830"/>
      <w:bookmarkStart w:id="1516" w:name="_Toc24178"/>
      <w:bookmarkStart w:id="1517" w:name="_Toc4534"/>
      <w:bookmarkStart w:id="1518" w:name="_Toc1723850533"/>
      <w:bookmarkStart w:id="1519" w:name="_Toc740388962"/>
      <w:bookmarkStart w:id="1520" w:name="_Toc18083"/>
      <w:bookmarkStart w:id="1521" w:name="_Toc469384095"/>
      <w:r>
        <w:rPr>
          <w:rFonts w:hint="eastAsia" w:ascii="宋体" w:hAnsi="宋体" w:cs="宋体"/>
          <w:bCs/>
          <w:color w:val="auto"/>
          <w:sz w:val="24"/>
          <w:szCs w:val="24"/>
          <w:highlight w:val="none"/>
        </w:rPr>
        <w:t>24. 造价工程师</w:t>
      </w:r>
      <w:bookmarkEnd w:id="1513"/>
      <w:bookmarkEnd w:id="1514"/>
      <w:bookmarkEnd w:id="1515"/>
      <w:bookmarkEnd w:id="1516"/>
      <w:bookmarkEnd w:id="1517"/>
      <w:bookmarkEnd w:id="1518"/>
      <w:bookmarkEnd w:id="1519"/>
      <w:bookmarkEnd w:id="1520"/>
      <w:bookmarkEnd w:id="1521"/>
    </w:p>
    <w:p>
      <w:pPr>
        <w:ind w:firstLine="120" w:firstLineChars="50"/>
        <w:rPr>
          <w:rFonts w:ascii="宋体" w:hAnsi="宋体" w:cs="宋体"/>
          <w:color w:val="auto"/>
          <w:sz w:val="24"/>
          <w:szCs w:val="24"/>
          <w:highlight w:val="none"/>
        </w:rPr>
      </w:pP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24.1 负责合同工程的发包人任命的造价工程师或造价管理员</w:t>
      </w:r>
    </w:p>
    <w:p>
      <w:pPr>
        <w:spacing w:line="360" w:lineRule="auto"/>
        <w:ind w:firstLine="360" w:firstLineChars="150"/>
        <w:rPr>
          <w:rFonts w:ascii="宋体" w:hAnsi="宋体" w:cs="宋体"/>
          <w:color w:val="auto"/>
          <w:sz w:val="24"/>
          <w:szCs w:val="24"/>
          <w:highlight w:val="none"/>
          <w:u w:val="single"/>
        </w:rPr>
      </w:pPr>
      <w:r>
        <w:rPr>
          <w:rFonts w:hint="eastAsia" w:ascii="宋体" w:hAnsi="宋体" w:cs="宋体"/>
          <w:color w:val="auto"/>
          <w:sz w:val="24"/>
          <w:szCs w:val="24"/>
          <w:highlight w:val="none"/>
        </w:rPr>
        <w:t>（1）工程造价咨询人（如有）：</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法定代表人：</w:t>
      </w:r>
      <w:r>
        <w:rPr>
          <w:rFonts w:hint="eastAsia" w:ascii="宋体" w:hAnsi="宋体" w:cs="宋体"/>
          <w:color w:val="auto"/>
          <w:sz w:val="24"/>
          <w:szCs w:val="24"/>
          <w:highlight w:val="none"/>
          <w:u w:val="single"/>
        </w:rPr>
        <w:t>/</w:t>
      </w:r>
    </w:p>
    <w:p>
      <w:pPr>
        <w:spacing w:line="360" w:lineRule="auto"/>
        <w:ind w:firstLine="120" w:firstLineChars="50"/>
        <w:rPr>
          <w:rFonts w:ascii="宋体" w:hAnsi="宋体" w:cs="宋体"/>
          <w:color w:val="auto"/>
          <w:sz w:val="24"/>
          <w:szCs w:val="24"/>
          <w:highlight w:val="none"/>
        </w:rPr>
      </w:pPr>
    </w:p>
    <w:p>
      <w:pPr>
        <w:spacing w:line="360"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（2）发包人任命（）为造价工程师/造价管理员，其通讯方式为</w:t>
      </w:r>
    </w:p>
    <w:p>
      <w:pPr>
        <w:spacing w:line="360" w:lineRule="auto"/>
        <w:ind w:left="12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通讯地址：                 邮政编码：</w:t>
      </w:r>
    </w:p>
    <w:p>
      <w:pPr>
        <w:spacing w:line="360" w:lineRule="auto"/>
        <w:ind w:firstLine="120" w:firstLineChars="50"/>
        <w:rPr>
          <w:rFonts w:ascii="宋体" w:hAnsi="宋体" w:cs="宋体"/>
          <w:color w:val="auto"/>
          <w:sz w:val="24"/>
          <w:szCs w:val="24"/>
          <w:highlight w:val="none"/>
          <w:u w:val="single"/>
        </w:rPr>
      </w:pPr>
      <w:r>
        <w:rPr>
          <w:rFonts w:hint="eastAsia" w:ascii="宋体" w:hAnsi="宋体" w:cs="宋体"/>
          <w:color w:val="auto"/>
          <w:sz w:val="24"/>
          <w:szCs w:val="24"/>
          <w:highlight w:val="none"/>
        </w:rPr>
        <w:t>联系电话：                 传真号码：</w:t>
      </w:r>
    </w:p>
    <w:p>
      <w:pPr>
        <w:ind w:firstLine="120" w:firstLineChars="50"/>
        <w:rPr>
          <w:rFonts w:ascii="宋体" w:hAnsi="宋体" w:cs="宋体"/>
          <w:color w:val="auto"/>
          <w:sz w:val="24"/>
          <w:szCs w:val="24"/>
          <w:highlight w:val="none"/>
          <w:u w:val="single"/>
        </w:rPr>
      </w:pPr>
    </w:p>
    <w:p>
      <w:pPr>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24.3 （7）需要发包人批准的其他事项：发包人任命的</w:t>
      </w:r>
      <w:r>
        <w:rPr>
          <w:rFonts w:hint="eastAsia" w:ascii="宋体" w:hAnsi="宋体" w:cs="宋体"/>
          <w:color w:val="auto"/>
          <w:sz w:val="24"/>
          <w:szCs w:val="24"/>
          <w:highlight w:val="none"/>
          <w:u w:val="single"/>
        </w:rPr>
        <w:t>造价工程师或造价管理员审核的变更价款、结算价款、费用索赔、工程款支付须经发包人批准后方可生效。通用条款对应的（1）-（6）项应取得发包人的专项批准后方可生效。</w:t>
      </w:r>
    </w:p>
    <w:p>
      <w:pPr>
        <w:ind w:firstLine="120" w:firstLineChars="50"/>
        <w:rPr>
          <w:rFonts w:ascii="宋体" w:hAnsi="宋体" w:cs="宋体"/>
          <w:color w:val="auto"/>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522" w:name="_Toc6601"/>
      <w:bookmarkStart w:id="1523" w:name="_Toc28461"/>
      <w:bookmarkStart w:id="1524" w:name="_Toc18042"/>
      <w:bookmarkStart w:id="1525" w:name="_Toc469384096"/>
      <w:bookmarkStart w:id="1526" w:name="_Toc22958"/>
      <w:bookmarkStart w:id="1527" w:name="_Toc1417"/>
      <w:bookmarkStart w:id="1528" w:name="_Toc1197033616"/>
      <w:bookmarkStart w:id="1529" w:name="_Toc1054026454"/>
      <w:bookmarkStart w:id="1530" w:name="_Toc10819"/>
      <w:r>
        <w:rPr>
          <w:rFonts w:hint="eastAsia" w:ascii="宋体" w:hAnsi="宋体" w:cs="宋体"/>
          <w:bCs/>
          <w:color w:val="auto"/>
          <w:sz w:val="24"/>
          <w:szCs w:val="24"/>
          <w:highlight w:val="none"/>
        </w:rPr>
        <w:t>25. 承包人代表</w:t>
      </w:r>
      <w:bookmarkEnd w:id="1522"/>
      <w:bookmarkEnd w:id="1523"/>
      <w:bookmarkEnd w:id="1524"/>
      <w:bookmarkEnd w:id="1525"/>
      <w:bookmarkEnd w:id="1526"/>
      <w:bookmarkEnd w:id="1527"/>
      <w:bookmarkEnd w:id="1528"/>
      <w:bookmarkEnd w:id="1529"/>
      <w:bookmarkEnd w:id="1530"/>
    </w:p>
    <w:p>
      <w:pPr>
        <w:ind w:firstLine="120" w:firstLineChars="50"/>
        <w:rPr>
          <w:rFonts w:ascii="宋体" w:hAnsi="宋体" w:cs="宋体"/>
          <w:color w:val="auto"/>
          <w:sz w:val="24"/>
          <w:szCs w:val="24"/>
          <w:highlight w:val="none"/>
        </w:rPr>
      </w:pPr>
    </w:p>
    <w:p>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25.1 承包人任命（）为承包人代表，其通讯方式为</w:t>
      </w:r>
    </w:p>
    <w:p>
      <w:pPr>
        <w:spacing w:line="360" w:lineRule="auto"/>
        <w:ind w:left="12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通讯地址：              邮政编码：</w:t>
      </w:r>
    </w:p>
    <w:p>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联系电话：              传真号码：</w:t>
      </w:r>
    </w:p>
    <w:p>
      <w:pPr>
        <w:spacing w:line="360" w:lineRule="auto"/>
        <w:ind w:firstLine="120" w:firstLineChars="50"/>
        <w:rPr>
          <w:rFonts w:ascii="宋体" w:hAnsi="宋体" w:cs="宋体"/>
          <w:color w:val="auto"/>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531" w:name="_Toc23384"/>
      <w:bookmarkStart w:id="1532" w:name="_Toc430008275"/>
      <w:bookmarkStart w:id="1533" w:name="_Toc27566"/>
      <w:bookmarkStart w:id="1534" w:name="_Toc22090"/>
      <w:bookmarkStart w:id="1535" w:name="_Toc31166"/>
      <w:bookmarkStart w:id="1536" w:name="_Toc469384097"/>
      <w:bookmarkStart w:id="1537" w:name="_Toc12169"/>
      <w:bookmarkStart w:id="1538" w:name="_Toc18453"/>
      <w:bookmarkStart w:id="1539" w:name="_Toc917179016"/>
      <w:r>
        <w:rPr>
          <w:rFonts w:hint="eastAsia" w:ascii="宋体" w:hAnsi="宋体" w:cs="宋体"/>
          <w:bCs/>
          <w:color w:val="auto"/>
          <w:sz w:val="24"/>
          <w:szCs w:val="24"/>
          <w:highlight w:val="none"/>
        </w:rPr>
        <w:t>26. 指定分包人</w:t>
      </w:r>
      <w:bookmarkEnd w:id="1531"/>
      <w:bookmarkEnd w:id="1532"/>
      <w:bookmarkEnd w:id="1533"/>
      <w:bookmarkEnd w:id="1534"/>
      <w:bookmarkEnd w:id="1535"/>
      <w:bookmarkEnd w:id="1536"/>
      <w:bookmarkEnd w:id="1537"/>
      <w:bookmarkEnd w:id="1538"/>
      <w:bookmarkEnd w:id="1539"/>
    </w:p>
    <w:p>
      <w:pPr>
        <w:ind w:firstLine="120" w:firstLineChars="50"/>
        <w:rPr>
          <w:rFonts w:ascii="宋体" w:hAnsi="宋体" w:cs="宋体"/>
          <w:color w:val="auto"/>
          <w:sz w:val="24"/>
          <w:szCs w:val="24"/>
          <w:highlight w:val="none"/>
        </w:rPr>
      </w:pPr>
    </w:p>
    <w:p>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26.1 依法指定的分包人</w:t>
      </w:r>
    </w:p>
    <w:p>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（1）实施、完成部分永久工程的分包人：</w:t>
      </w:r>
      <w:r>
        <w:rPr>
          <w:rFonts w:hint="eastAsia" w:ascii="宋体" w:hAnsi="宋体" w:cs="宋体"/>
          <w:color w:val="auto"/>
          <w:sz w:val="24"/>
          <w:szCs w:val="24"/>
          <w:highlight w:val="none"/>
          <w:u w:val="single"/>
        </w:rPr>
        <w:t>无。</w:t>
      </w:r>
    </w:p>
    <w:p>
      <w:pPr>
        <w:ind w:firstLine="120" w:firstLineChars="50"/>
        <w:rPr>
          <w:rFonts w:ascii="宋体" w:hAnsi="宋体" w:cs="宋体"/>
          <w:color w:val="auto"/>
          <w:sz w:val="24"/>
          <w:szCs w:val="24"/>
          <w:highlight w:val="none"/>
        </w:rPr>
      </w:pPr>
    </w:p>
    <w:p>
      <w:pPr>
        <w:ind w:firstLine="120" w:firstLineChars="50"/>
        <w:rPr>
          <w:rFonts w:ascii="宋体" w:hAnsi="宋体" w:cs="宋体"/>
          <w:color w:val="auto"/>
          <w:sz w:val="24"/>
          <w:szCs w:val="24"/>
          <w:highlight w:val="none"/>
        </w:rPr>
      </w:pPr>
    </w:p>
    <w:p>
      <w:pPr>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（2）提供材料和工程设备、服务的分包人：</w:t>
      </w:r>
      <w:r>
        <w:rPr>
          <w:rFonts w:hint="eastAsia" w:ascii="宋体" w:hAnsi="宋体" w:cs="宋体"/>
          <w:color w:val="auto"/>
          <w:sz w:val="24"/>
          <w:szCs w:val="24"/>
          <w:highlight w:val="none"/>
          <w:u w:val="single"/>
        </w:rPr>
        <w:t>无。</w:t>
      </w:r>
    </w:p>
    <w:p>
      <w:pPr>
        <w:ind w:firstLine="120" w:firstLineChars="50"/>
        <w:rPr>
          <w:rFonts w:ascii="宋体" w:hAnsi="宋体" w:cs="宋体"/>
          <w:color w:val="auto"/>
          <w:sz w:val="24"/>
          <w:szCs w:val="24"/>
          <w:highlight w:val="none"/>
        </w:rPr>
      </w:pPr>
    </w:p>
    <w:p>
      <w:pPr>
        <w:ind w:firstLine="120" w:firstLineChars="50"/>
        <w:rPr>
          <w:rFonts w:ascii="宋体" w:hAnsi="宋体" w:cs="宋体"/>
          <w:color w:val="auto"/>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540" w:name="_Toc26434"/>
      <w:bookmarkStart w:id="1541" w:name="_Toc866605770"/>
      <w:bookmarkStart w:id="1542" w:name="_Toc469384098"/>
      <w:bookmarkStart w:id="1543" w:name="_Toc29153"/>
      <w:bookmarkStart w:id="1544" w:name="_Toc390103746"/>
      <w:bookmarkStart w:id="1545" w:name="_Toc26618"/>
      <w:bookmarkStart w:id="1546" w:name="_Toc4857"/>
      <w:bookmarkStart w:id="1547" w:name="_Toc18852"/>
      <w:bookmarkStart w:id="1548" w:name="_Toc2890"/>
      <w:r>
        <w:rPr>
          <w:rFonts w:hint="eastAsia" w:ascii="宋体" w:hAnsi="宋体" w:cs="宋体"/>
          <w:bCs/>
          <w:color w:val="auto"/>
          <w:sz w:val="24"/>
          <w:szCs w:val="24"/>
          <w:highlight w:val="none"/>
        </w:rPr>
        <w:t>28. 工程担保</w:t>
      </w:r>
      <w:bookmarkEnd w:id="1540"/>
      <w:bookmarkEnd w:id="1541"/>
      <w:bookmarkEnd w:id="1542"/>
      <w:bookmarkEnd w:id="1543"/>
      <w:bookmarkEnd w:id="1544"/>
      <w:bookmarkEnd w:id="1545"/>
      <w:bookmarkEnd w:id="1546"/>
      <w:bookmarkEnd w:id="1547"/>
      <w:bookmarkEnd w:id="1548"/>
    </w:p>
    <w:p>
      <w:pPr>
        <w:ind w:firstLine="120" w:firstLineChars="50"/>
        <w:rPr>
          <w:rFonts w:ascii="宋体" w:hAnsi="宋体" w:cs="宋体"/>
          <w:color w:val="auto"/>
          <w:sz w:val="24"/>
          <w:szCs w:val="24"/>
          <w:highlight w:val="none"/>
        </w:rPr>
      </w:pPr>
    </w:p>
    <w:p>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28.1 承包人提供履约担保的约定</w:t>
      </w:r>
    </w:p>
    <w:p>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（1）履约担保的金额：合同价的10%（大写）（小写）</w:t>
      </w:r>
    </w:p>
    <w:p>
      <w:pPr>
        <w:spacing w:line="360" w:lineRule="auto"/>
        <w:ind w:firstLine="120" w:firstLineChars="50"/>
        <w:rPr>
          <w:rFonts w:ascii="宋体" w:hAnsi="宋体" w:cs="宋体"/>
          <w:color w:val="auto"/>
          <w:sz w:val="24"/>
          <w:szCs w:val="24"/>
          <w:highlight w:val="none"/>
          <w:u w:val="single"/>
        </w:rPr>
      </w:pPr>
      <w:r>
        <w:rPr>
          <w:rFonts w:hint="eastAsia" w:ascii="宋体" w:hAnsi="宋体" w:cs="宋体"/>
          <w:color w:val="auto"/>
          <w:sz w:val="24"/>
          <w:szCs w:val="24"/>
          <w:highlight w:val="none"/>
        </w:rPr>
        <w:t>（2）提供履约担保的时间：</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签订本合同时；</w:t>
      </w:r>
    </w:p>
    <w:p>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sz w:val="24"/>
          <w:szCs w:val="24"/>
          <w:highlight w:val="none"/>
        </w:rPr>
        <w:t>承包人</w:t>
      </w:r>
      <w:r>
        <w:rPr>
          <w:rFonts w:hint="eastAsia" w:ascii="宋体" w:hAnsi="宋体" w:cs="宋体"/>
          <w:color w:val="auto"/>
          <w:kern w:val="0"/>
          <w:sz w:val="24"/>
          <w:szCs w:val="24"/>
          <w:highlight w:val="none"/>
          <w:u w:val="single"/>
        </w:rPr>
        <w:t>在</w:t>
      </w:r>
      <w:bookmarkStart w:id="1549" w:name="OLE_LINK8"/>
      <w:r>
        <w:rPr>
          <w:rFonts w:hint="eastAsia" w:ascii="宋体" w:hAnsi="宋体" w:cs="宋体"/>
          <w:color w:val="auto"/>
          <w:kern w:val="0"/>
          <w:sz w:val="24"/>
          <w:szCs w:val="24"/>
          <w:highlight w:val="none"/>
          <w:u w:val="single"/>
        </w:rPr>
        <w:t>合同签订之日起5天内</w:t>
      </w:r>
      <w:bookmarkEnd w:id="1549"/>
      <w:r>
        <w:rPr>
          <w:rFonts w:hint="eastAsia" w:ascii="宋体" w:hAnsi="宋体" w:cs="宋体"/>
          <w:color w:val="auto"/>
          <w:kern w:val="0"/>
          <w:sz w:val="24"/>
          <w:szCs w:val="24"/>
          <w:highlight w:val="none"/>
          <w:u w:val="single"/>
        </w:rPr>
        <w:t>按要求提供履约担保。</w:t>
      </w:r>
    </w:p>
    <w:p>
      <w:pPr>
        <w:spacing w:line="360" w:lineRule="auto"/>
        <w:ind w:firstLine="120" w:firstLineChars="50"/>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（3）□出具履约保函的担保人：</w:t>
      </w:r>
    </w:p>
    <w:p>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□出具</w:t>
      </w:r>
      <w:r>
        <w:rPr>
          <w:rFonts w:hint="eastAsia" w:ascii="宋体" w:hAnsi="宋体" w:cs="宋体"/>
          <w:color w:val="auto"/>
          <w:sz w:val="24"/>
          <w:szCs w:val="24"/>
          <w:highlight w:val="none"/>
          <w:shd w:val="clear" w:color="auto" w:fill="FFFFFF"/>
        </w:rPr>
        <w:t>履约担保</w:t>
      </w:r>
      <w:r>
        <w:rPr>
          <w:rFonts w:hint="eastAsia" w:ascii="宋体" w:hAnsi="宋体" w:cs="宋体"/>
          <w:color w:val="auto"/>
          <w:kern w:val="0"/>
          <w:sz w:val="24"/>
          <w:szCs w:val="24"/>
          <w:highlight w:val="none"/>
        </w:rPr>
        <w:t>的担保人：</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□出具</w:t>
      </w:r>
      <w:r>
        <w:rPr>
          <w:rFonts w:hint="eastAsia" w:ascii="宋体" w:hAnsi="宋体" w:cs="宋体"/>
          <w:color w:val="auto"/>
          <w:sz w:val="24"/>
          <w:szCs w:val="24"/>
          <w:highlight w:val="none"/>
          <w:shd w:val="clear" w:color="auto" w:fill="FFFFFF"/>
        </w:rPr>
        <w:t>履约保证保险</w:t>
      </w:r>
      <w:r>
        <w:rPr>
          <w:rFonts w:hint="eastAsia" w:ascii="宋体" w:hAnsi="宋体" w:cs="宋体"/>
          <w:color w:val="auto"/>
          <w:kern w:val="0"/>
          <w:sz w:val="24"/>
          <w:szCs w:val="24"/>
          <w:highlight w:val="none"/>
        </w:rPr>
        <w:t>的担保人：</w:t>
      </w:r>
    </w:p>
    <w:p>
      <w:pPr>
        <w:spacing w:line="360" w:lineRule="auto"/>
        <w:ind w:firstLine="1080" w:firstLineChars="450"/>
        <w:rPr>
          <w:rFonts w:ascii="宋体" w:hAnsi="宋体" w:cs="宋体"/>
          <w:color w:val="auto"/>
          <w:sz w:val="24"/>
          <w:szCs w:val="24"/>
          <w:highlight w:val="none"/>
        </w:rPr>
      </w:pPr>
      <w:r>
        <w:rPr>
          <w:rFonts w:hint="eastAsia" w:ascii="宋体" w:hAnsi="宋体" w:cs="宋体"/>
          <w:color w:val="auto"/>
          <w:kern w:val="0"/>
          <w:sz w:val="24"/>
          <w:szCs w:val="24"/>
          <w:highlight w:val="none"/>
        </w:rPr>
        <w:t>□其它：</w:t>
      </w:r>
    </w:p>
    <w:p>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28.4 发包人提供支付担保的约定</w:t>
      </w:r>
    </w:p>
    <w:p>
      <w:pPr>
        <w:spacing w:line="360" w:lineRule="auto"/>
        <w:ind w:firstLine="810" w:firstLineChars="450"/>
        <w:rPr>
          <w:rFonts w:ascii="宋体" w:hAnsi="宋体" w:cs="宋体"/>
          <w:color w:val="auto"/>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sz w:val="24"/>
          <w:szCs w:val="24"/>
          <w:highlight w:val="none"/>
        </w:rPr>
        <w:t>此通用条款不执行。</w:t>
      </w:r>
    </w:p>
    <w:p>
      <w:pPr>
        <w:spacing w:line="360" w:lineRule="auto"/>
        <w:ind w:firstLine="120" w:firstLineChars="50"/>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28.8 担保内容、方式和责任等事项的约定：</w:t>
      </w:r>
      <w:r>
        <w:rPr>
          <w:rFonts w:hint="eastAsia" w:ascii="宋体" w:hAnsi="宋体" w:cs="宋体"/>
          <w:color w:val="auto"/>
          <w:sz w:val="24"/>
          <w:szCs w:val="24"/>
          <w:highlight w:val="none"/>
        </w:rPr>
        <w:t>本项目履约担保的金额为合同价款的10%，如承包人有任何违约情形，发包人可直接兑付承包人的履约保函或直接从履约保证金中扣除相应款项作为承包人应支付的违约金。承包人的履约担保有效期至工程最终验收通过并完成竣工结算之日为止。当工期延期，承包人须无条件延长履约担保的有效期。发包人在实体验收后，履约担保的金额变更为合同价款的</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%，承包人应重新向发包人开具合同价款</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%的履约保函或提供合同价款</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的履约保证金，发包人收到该履约担保后退回承包人此前开具的合同价款10%的履约担保。工程竣工验收合格、竣工结算、竣工资料移交后且承包人不存在（或已承担）违约责任或双方的纠纷已完全解决，发包人应在30天内将履约担保退还承包人。如履约担保有效期即将届满但不满足本合同约定的退还条件或双方存在本合同下的纠纷的，则履约担保应由乙方免费延续至条件满足且上述纠纷最终解决、双方所有债权债务结清后；如履约担保有效期期满前15天，乙方仍未按上述约定办理履约担保续期的，甲方有权直接兑付保函或扣除履约保证金。承包人未按发包人规定期限内提交竣工验收资料，发包人有权没收履约担保及质保金并报相关建设主管部门。</w:t>
      </w:r>
    </w:p>
    <w:p>
      <w:pPr>
        <w:spacing w:line="360" w:lineRule="auto"/>
        <w:ind w:firstLine="120" w:firstLineChars="50"/>
        <w:rPr>
          <w:rFonts w:ascii="宋体" w:hAnsi="宋体" w:cs="宋体"/>
          <w:color w:val="auto"/>
          <w:kern w:val="0"/>
          <w:sz w:val="24"/>
          <w:szCs w:val="24"/>
          <w:highlight w:val="none"/>
        </w:rPr>
      </w:pPr>
    </w:p>
    <w:p>
      <w:pPr>
        <w:keepNext/>
        <w:keepLines/>
        <w:tabs>
          <w:tab w:val="left" w:pos="420"/>
        </w:tabs>
        <w:spacing w:before="120" w:after="120" w:line="360" w:lineRule="auto"/>
        <w:jc w:val="center"/>
        <w:outlineLvl w:val="1"/>
        <w:rPr>
          <w:rFonts w:ascii="宋体" w:hAnsi="宋体" w:cs="宋体"/>
          <w:bCs/>
          <w:color w:val="auto"/>
          <w:sz w:val="24"/>
          <w:szCs w:val="24"/>
          <w:highlight w:val="none"/>
        </w:rPr>
      </w:pPr>
      <w:bookmarkStart w:id="1550" w:name="_Toc19584"/>
      <w:bookmarkStart w:id="1551" w:name="_Toc206084731"/>
      <w:bookmarkStart w:id="1552" w:name="_Toc28543"/>
      <w:bookmarkStart w:id="1553" w:name="_Toc30247"/>
      <w:bookmarkStart w:id="1554" w:name="_Toc27673"/>
      <w:bookmarkStart w:id="1555" w:name="_Toc10927"/>
      <w:bookmarkStart w:id="1556" w:name="_Toc469384099"/>
      <w:bookmarkStart w:id="1557" w:name="_Toc16081"/>
      <w:bookmarkStart w:id="1558" w:name="_Toc809082436"/>
      <w:r>
        <w:rPr>
          <w:rFonts w:hint="eastAsia" w:ascii="宋体" w:hAnsi="宋体" w:cs="宋体"/>
          <w:bCs/>
          <w:color w:val="auto"/>
          <w:sz w:val="24"/>
          <w:szCs w:val="24"/>
          <w:highlight w:val="none"/>
        </w:rPr>
        <w:t>32. 保险</w:t>
      </w:r>
      <w:bookmarkEnd w:id="1550"/>
      <w:bookmarkEnd w:id="1551"/>
      <w:bookmarkEnd w:id="1552"/>
      <w:bookmarkEnd w:id="1553"/>
      <w:bookmarkEnd w:id="1554"/>
      <w:bookmarkEnd w:id="1555"/>
      <w:bookmarkEnd w:id="1556"/>
      <w:bookmarkEnd w:id="1557"/>
      <w:bookmarkEnd w:id="1558"/>
    </w:p>
    <w:p>
      <w:pPr>
        <w:spacing w:line="360" w:lineRule="auto"/>
        <w:ind w:firstLine="120" w:firstLineChars="50"/>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32.1 委托承包人办理保险的事项有：</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☑通用条款第32.1款的第（2）项；</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☑通用条款第32.1款的第（3）项；</w:t>
      </w:r>
    </w:p>
    <w:p>
      <w:pPr>
        <w:spacing w:line="360" w:lineRule="auto"/>
        <w:ind w:firstLine="120" w:firstLineChars="5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☑通用条款第32.1款的第（4）项。</w:t>
      </w:r>
    </w:p>
    <w:p>
      <w:pPr>
        <w:spacing w:line="360" w:lineRule="auto"/>
        <w:ind w:firstLine="120" w:firstLineChars="50"/>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☑通用条款第32.1款的第（5）项</w:t>
      </w:r>
      <w:r>
        <w:rPr>
          <w:rFonts w:hint="eastAsia" w:ascii="宋体" w:hAnsi="宋体" w:cs="宋体"/>
          <w:color w:val="auto"/>
          <w:kern w:val="0"/>
          <w:sz w:val="24"/>
          <w:szCs w:val="24"/>
          <w:highlight w:val="none"/>
          <w:lang w:eastAsia="zh-CN"/>
        </w:rPr>
        <w:t>。</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工程开工前，按《广东省住房和城乡建设厅 国家金融监督管理总局广东监管局 国家金融监督管理总局深圳监管局关于深化房屋市政工程安全生产责任保险工作的通知》（粤建规范〔2023〕3号）等政府有关规定，为全体从业人员购买安全生产责任保险。保险期从开工之日起至工程竣工验收合格之日止。</w:t>
      </w:r>
    </w:p>
    <w:p>
      <w:pPr>
        <w:spacing w:line="360" w:lineRule="auto"/>
        <w:ind w:firstLine="120" w:firstLineChars="50"/>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32.8 投保内容、保险金、保险期限和责任等事项的约定：</w:t>
      </w:r>
      <w:r>
        <w:rPr>
          <w:rFonts w:hint="eastAsia" w:ascii="宋体" w:hAnsi="宋体" w:cs="宋体"/>
          <w:color w:val="auto"/>
          <w:kern w:val="0"/>
          <w:sz w:val="24"/>
          <w:szCs w:val="24"/>
          <w:highlight w:val="none"/>
          <w:u w:val="single"/>
        </w:rPr>
        <w:t>承包人投保的保险费包含在合同价内，不另外增加费用。</w:t>
      </w:r>
      <w:r>
        <w:rPr>
          <w:rFonts w:hint="eastAsia" w:ascii="宋体" w:hAnsi="宋体" w:cs="宋体"/>
          <w:color w:val="auto"/>
          <w:kern w:val="0"/>
          <w:sz w:val="24"/>
          <w:szCs w:val="24"/>
          <w:highlight w:val="none"/>
          <w:u w:val="single"/>
          <w:lang w:val="en-US" w:eastAsia="zh-CN"/>
        </w:rPr>
        <w:t>如承包人施工受损</w:t>
      </w:r>
      <w:r>
        <w:rPr>
          <w:rFonts w:ascii="宋体" w:hAnsi="宋体" w:eastAsia="宋体" w:cs="宋体"/>
          <w:color w:val="auto"/>
          <w:sz w:val="24"/>
          <w:szCs w:val="24"/>
          <w:highlight w:val="none"/>
        </w:rPr>
        <w:t>等原因</w:t>
      </w:r>
      <w:r>
        <w:rPr>
          <w:rFonts w:hint="eastAsia" w:ascii="宋体" w:hAnsi="宋体" w:cs="宋体"/>
          <w:color w:val="auto"/>
          <w:kern w:val="0"/>
          <w:sz w:val="24"/>
          <w:szCs w:val="24"/>
          <w:highlight w:val="none"/>
          <w:u w:val="single"/>
          <w:lang w:val="en-US" w:eastAsia="zh-CN"/>
        </w:rPr>
        <w:t>向保险公司索赔，则承包人需承担施工合同金额对应的保险费用。</w:t>
      </w:r>
      <w:r>
        <w:rPr>
          <w:rFonts w:hint="eastAsia" w:ascii="宋体" w:hAnsi="宋体" w:cs="宋体"/>
          <w:color w:val="auto"/>
          <w:kern w:val="0"/>
          <w:sz w:val="24"/>
          <w:szCs w:val="24"/>
          <w:highlight w:val="none"/>
          <w:u w:val="single"/>
        </w:rPr>
        <w:t>保险期限从</w:t>
      </w:r>
      <w:r>
        <w:rPr>
          <w:rFonts w:hint="eastAsia" w:ascii="宋体" w:hAnsi="宋体" w:cs="宋体"/>
          <w:color w:val="auto"/>
          <w:sz w:val="24"/>
          <w:szCs w:val="24"/>
          <w:highlight w:val="none"/>
          <w:u w:val="single"/>
        </w:rPr>
        <w:t>开工之日或用于保险工程的材料、设备运抵工地之时起始，至工程竣工验收合格之日终止。</w:t>
      </w:r>
    </w:p>
    <w:p>
      <w:pPr>
        <w:spacing w:line="360" w:lineRule="auto"/>
        <w:ind w:firstLine="120" w:firstLineChars="50"/>
        <w:rPr>
          <w:rFonts w:ascii="宋体" w:hAnsi="宋体" w:cs="宋体"/>
          <w:color w:val="auto"/>
          <w:kern w:val="0"/>
          <w:sz w:val="24"/>
          <w:szCs w:val="24"/>
          <w:highlight w:val="none"/>
        </w:rPr>
      </w:pPr>
    </w:p>
    <w:p>
      <w:pPr>
        <w:keepNext/>
        <w:keepLines/>
        <w:tabs>
          <w:tab w:val="left" w:pos="420"/>
        </w:tabs>
        <w:spacing w:before="120" w:after="120" w:line="360" w:lineRule="auto"/>
        <w:jc w:val="center"/>
        <w:outlineLvl w:val="1"/>
        <w:rPr>
          <w:rFonts w:ascii="宋体" w:hAnsi="宋体" w:cs="宋体"/>
          <w:bCs/>
          <w:color w:val="auto"/>
          <w:sz w:val="24"/>
          <w:szCs w:val="24"/>
          <w:highlight w:val="none"/>
        </w:rPr>
      </w:pPr>
      <w:bookmarkStart w:id="1559" w:name="_Toc382049048"/>
      <w:bookmarkStart w:id="1560" w:name="_Toc4430"/>
      <w:bookmarkStart w:id="1561" w:name="_Toc26542"/>
      <w:bookmarkStart w:id="1562" w:name="_Toc28578"/>
      <w:bookmarkStart w:id="1563" w:name="_Toc469384100"/>
      <w:bookmarkStart w:id="1564" w:name="_Toc1922434953"/>
      <w:bookmarkStart w:id="1565" w:name="_Toc16703"/>
      <w:bookmarkStart w:id="1566" w:name="_Toc20171"/>
      <w:bookmarkStart w:id="1567" w:name="_Toc18370"/>
      <w:r>
        <w:rPr>
          <w:rFonts w:hint="eastAsia" w:ascii="宋体" w:hAnsi="宋体" w:cs="宋体"/>
          <w:bCs/>
          <w:color w:val="auto"/>
          <w:sz w:val="24"/>
          <w:szCs w:val="24"/>
          <w:highlight w:val="none"/>
        </w:rPr>
        <w:t>33. 进度计划和报告</w:t>
      </w:r>
      <w:bookmarkEnd w:id="1559"/>
      <w:bookmarkEnd w:id="1560"/>
      <w:bookmarkEnd w:id="1561"/>
      <w:bookmarkEnd w:id="1562"/>
      <w:bookmarkEnd w:id="1563"/>
      <w:bookmarkEnd w:id="1564"/>
      <w:bookmarkEnd w:id="1565"/>
      <w:bookmarkEnd w:id="1566"/>
      <w:bookmarkEnd w:id="1567"/>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33.1提交工程进度计划</w:t>
      </w:r>
    </w:p>
    <w:p>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承包人提供施工组织设计（施工方案）和进度计划的时间：承包人在接到中标通知书之日起21天内，应向监理工程师和发包人提供一份施工组织设计（施工方案）及施工进度计划，报监理公司和发包人批准。图纸会审后2天内提交调整后的施工组织设计（施工方案）及施工进度计划，报监理公司和发包人批准。根据工程实际情况和发包人要求，调整施工进度计划，报监理公司和发包人批准。承包人每月18日前报送下月“工程进度计划表”及本月的“工程进度月报表”。</w:t>
      </w:r>
    </w:p>
    <w:p>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工程师确认的时间：收到方案后5天，每月20日前批复“工程进度计划表”，每月20日前确认“工程进度月报表”。 收到调整施工进度计划，2天内批复。</w:t>
      </w:r>
    </w:p>
    <w:p>
      <w:pPr>
        <w:spacing w:line="360" w:lineRule="auto"/>
        <w:ind w:firstLine="480" w:firstLineChars="200"/>
        <w:rPr>
          <w:rFonts w:ascii="宋体" w:hAnsi="宋体" w:cs="宋体"/>
          <w:color w:val="auto"/>
          <w:kern w:val="0"/>
          <w:sz w:val="24"/>
          <w:szCs w:val="24"/>
          <w:highlight w:val="none"/>
          <w:u w:val="singl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33.2工程进度的监督和检查：</w:t>
      </w:r>
    </w:p>
    <w:p>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承包人应当加强计划管理，严格按照工程师确认的工程进度计划组织施工，并接受工程师对工程进度的检查、监督。</w:t>
      </w:r>
    </w:p>
    <w:p>
      <w:pPr>
        <w:spacing w:line="360" w:lineRule="auto"/>
        <w:ind w:firstLine="120" w:firstLineChars="50"/>
        <w:rPr>
          <w:rFonts w:ascii="宋体" w:hAnsi="宋体" w:cs="宋体"/>
          <w:color w:val="auto"/>
          <w:kern w:val="0"/>
          <w:sz w:val="24"/>
          <w:szCs w:val="24"/>
          <w:highlight w:val="none"/>
          <w:u w:val="singl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33.3 承包人编制月施工进度报告和修订进度计划的约定：</w:t>
      </w:r>
    </w:p>
    <w:p>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为便于工程师掌握和控制工期，承包人应于每月18日前向工程师填报工程（含各分部、分项工程）的当月进度计划完成情况，并在此基础上更新工程进度计划、资金计划和其它工作计划。工程师在接到报告后应当予以确认或提出书面意见，承包人必须按照工程师的确认或者书面意见执行。</w:t>
      </w:r>
    </w:p>
    <w:p>
      <w:pPr>
        <w:spacing w:line="360" w:lineRule="auto"/>
        <w:ind w:firstLine="120" w:firstLineChars="50"/>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33.4实际进度与进度计划不符时的处理：</w:t>
      </w:r>
    </w:p>
    <w:p>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因承包人原因造成的工程实际进度与经工程师确认的进度计划或者更新进度计划不符时，工程师认为本工程或其中任何部分工程进度滞后而不能按预定工期完工，则应将此情况通知承包人，承包人应据此编制修改工程进度计划，采取工程师同意的必要措施加快工程进度，且承包人无权要求发包人支付任何附加费用。如承包人未能在工程师发布指令后10天内采取有效措施，工程进度仍然无明显改进，或己明显造成对主工期的不利影响，发包人有权解除部分或全部合同，将未完工程另行发包或者划拨给其他有能力的第三方，承包人必须无条件服从，由此所造成的损失全部由承包人承担，并不免除承包人的违约赔偿责任。</w:t>
      </w: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568" w:name="_Toc9782"/>
      <w:bookmarkStart w:id="1569" w:name="_Toc25962"/>
      <w:bookmarkStart w:id="1570" w:name="_Toc469384101"/>
      <w:bookmarkStart w:id="1571" w:name="_Toc19945"/>
      <w:bookmarkStart w:id="1572" w:name="_Toc1472785956"/>
      <w:bookmarkStart w:id="1573" w:name="_Toc273"/>
      <w:bookmarkStart w:id="1574" w:name="_Toc122245206"/>
      <w:bookmarkStart w:id="1575" w:name="_Toc615"/>
      <w:bookmarkStart w:id="1576" w:name="_Toc8306"/>
      <w:r>
        <w:rPr>
          <w:rFonts w:hint="eastAsia" w:ascii="宋体" w:hAnsi="宋体" w:cs="宋体"/>
          <w:bCs/>
          <w:color w:val="auto"/>
          <w:sz w:val="24"/>
          <w:szCs w:val="24"/>
          <w:highlight w:val="none"/>
        </w:rPr>
        <w:t>34. 开工</w:t>
      </w:r>
      <w:bookmarkEnd w:id="1568"/>
      <w:bookmarkEnd w:id="1569"/>
      <w:bookmarkEnd w:id="1570"/>
      <w:bookmarkEnd w:id="1571"/>
      <w:bookmarkEnd w:id="1572"/>
      <w:bookmarkEnd w:id="1573"/>
      <w:bookmarkEnd w:id="1574"/>
      <w:bookmarkEnd w:id="1575"/>
      <w:bookmarkEnd w:id="1576"/>
    </w:p>
    <w:p>
      <w:pPr>
        <w:ind w:firstLine="120" w:firstLineChars="50"/>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34.2 监理工程师在本合同签订后的（/）天内签发开工令。</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□按通用条款规定的时间。</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18"/>
          <w:szCs w:val="18"/>
          <w:highlight w:val="none"/>
        </w:rPr>
        <w:sym w:font="Times New Roman" w:char="0000"/>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kern w:val="0"/>
          <w:sz w:val="24"/>
          <w:szCs w:val="24"/>
          <w:highlight w:val="none"/>
          <w:u w:val="single"/>
        </w:rPr>
        <w:t>以监理工程师签发的开工令通知时间为准。</w:t>
      </w:r>
    </w:p>
    <w:p>
      <w:pPr>
        <w:spacing w:line="360" w:lineRule="auto"/>
        <w:ind w:firstLine="120" w:firstLineChars="50"/>
        <w:rPr>
          <w:rFonts w:ascii="宋体" w:hAnsi="宋体" w:cs="宋体"/>
          <w:color w:val="auto"/>
          <w:kern w:val="0"/>
          <w:sz w:val="24"/>
          <w:szCs w:val="24"/>
          <w:highlight w:val="none"/>
        </w:rPr>
      </w:pPr>
    </w:p>
    <w:p>
      <w:pPr>
        <w:spacing w:line="360" w:lineRule="auto"/>
        <w:ind w:firstLine="360" w:firstLineChars="1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34.4发包人推迟开工的处理程序和责任</w:t>
      </w:r>
    </w:p>
    <w:p>
      <w:pPr>
        <w:spacing w:line="360" w:lineRule="auto"/>
        <w:ind w:firstLine="90" w:firstLineChars="50"/>
        <w:rPr>
          <w:rFonts w:ascii="宋体" w:hAnsi="宋体" w:cs="宋体"/>
          <w:color w:val="auto"/>
          <w:sz w:val="24"/>
          <w:szCs w:val="24"/>
          <w:highlight w:val="none"/>
          <w:u w:val="singl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u w:val="single"/>
        </w:rPr>
        <w:t>此通用条款不执行。</w:t>
      </w:r>
    </w:p>
    <w:p>
      <w:pPr>
        <w:spacing w:line="360" w:lineRule="auto"/>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577" w:name="_Toc15861"/>
      <w:bookmarkStart w:id="1578" w:name="_Toc12921"/>
      <w:bookmarkStart w:id="1579" w:name="_Toc14163"/>
      <w:bookmarkStart w:id="1580" w:name="_Toc1217047170"/>
      <w:bookmarkStart w:id="1581" w:name="_Toc1276"/>
      <w:bookmarkStart w:id="1582" w:name="_Toc1580810710"/>
      <w:bookmarkStart w:id="1583" w:name="_Toc6931"/>
      <w:bookmarkStart w:id="1584" w:name="_Toc6282"/>
      <w:bookmarkStart w:id="1585" w:name="_Toc469384102"/>
      <w:r>
        <w:rPr>
          <w:rFonts w:hint="eastAsia" w:ascii="宋体" w:hAnsi="宋体" w:cs="宋体"/>
          <w:bCs/>
          <w:color w:val="auto"/>
          <w:sz w:val="24"/>
          <w:szCs w:val="24"/>
          <w:highlight w:val="none"/>
        </w:rPr>
        <w:t>35.暂停施工和复工</w:t>
      </w:r>
      <w:bookmarkEnd w:id="1577"/>
      <w:bookmarkEnd w:id="1578"/>
      <w:bookmarkEnd w:id="1579"/>
      <w:bookmarkEnd w:id="1580"/>
      <w:bookmarkEnd w:id="1581"/>
      <w:bookmarkEnd w:id="1582"/>
      <w:bookmarkEnd w:id="1583"/>
      <w:bookmarkEnd w:id="1584"/>
      <w:bookmarkEnd w:id="1585"/>
    </w:p>
    <w:p>
      <w:pPr>
        <w:ind w:firstLine="120" w:firstLineChars="50"/>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35.4 承包人原因造成暂停施工的其他原因：</w:t>
      </w:r>
    </w:p>
    <w:p>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工程师认为确有必要暂停施工时，应当以书面形式要求承包人暂停施工，并在提出要求后48小时内提出书面处理意见。承包人应当按工程师要求停止施工，并妥善保护已完工程。承包人实施工程师的处理意见后，可以书面形式提出复工要求，工程师应当在48小时内给予答复。工程师未能在规定时间内提出处理意见，或收到承包人复工要求后48小时内未予答复，承包人可自行复工。因为承包人原因造成停工的，由承包人承担发生的费用，必须征得发包人书面同意后，工期方能相应顺延，否则，工期不予顺延。</w:t>
      </w:r>
    </w:p>
    <w:p>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由于发包人无法交地施工或政府行为及其他客观原因等致使工程需暂停或暂缓的，合同总工期相应顺延，但发包人不因该工期顺延给承包人作任何费用补偿，承包人在投标报价中已充分考虑该风险。</w:t>
      </w: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586" w:name="_Toc16476"/>
      <w:bookmarkStart w:id="1587" w:name="_Toc25757"/>
      <w:bookmarkStart w:id="1588" w:name="_Toc469384103"/>
      <w:bookmarkStart w:id="1589" w:name="_Toc130048515"/>
      <w:bookmarkStart w:id="1590" w:name="_Toc17922286"/>
      <w:bookmarkStart w:id="1591" w:name="_Toc19830"/>
      <w:bookmarkStart w:id="1592" w:name="_Toc28604"/>
      <w:bookmarkStart w:id="1593" w:name="_Toc14105"/>
      <w:bookmarkStart w:id="1594" w:name="_Toc22447"/>
      <w:r>
        <w:rPr>
          <w:rFonts w:hint="eastAsia" w:ascii="宋体" w:hAnsi="宋体" w:cs="宋体"/>
          <w:bCs/>
          <w:color w:val="auto"/>
          <w:sz w:val="24"/>
          <w:szCs w:val="24"/>
          <w:highlight w:val="none"/>
        </w:rPr>
        <w:t>36. 工期及工期延误</w:t>
      </w:r>
      <w:bookmarkEnd w:id="1586"/>
      <w:bookmarkEnd w:id="1587"/>
      <w:bookmarkEnd w:id="1588"/>
      <w:bookmarkEnd w:id="1589"/>
      <w:bookmarkEnd w:id="1590"/>
      <w:bookmarkEnd w:id="1591"/>
      <w:bookmarkEnd w:id="1592"/>
      <w:bookmarkEnd w:id="1593"/>
      <w:bookmarkEnd w:id="1594"/>
    </w:p>
    <w:p>
      <w:pPr>
        <w:ind w:firstLine="120" w:firstLineChars="50"/>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36.1 合同工程的工期约定为（）天。</w:t>
      </w:r>
    </w:p>
    <w:p>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u w:val="single"/>
          <w:lang w:eastAsia="zh-CN"/>
        </w:rPr>
        <w:t>白云恒运天然气发电项目燃气管线工程施工总承包</w:t>
      </w:r>
      <w:r>
        <w:rPr>
          <w:rFonts w:hint="eastAsia" w:ascii="宋体" w:hAnsi="宋体" w:cs="宋体"/>
          <w:color w:val="auto"/>
          <w:sz w:val="24"/>
          <w:szCs w:val="24"/>
          <w:highlight w:val="none"/>
        </w:rPr>
        <w:t>（工程名称）单位工程的工期约定为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天。</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36.3工期顺延</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 xml:space="preserve">因以下原因造成工期延误，经发包人确认，工期相应顺延： </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 xml:space="preserve">（1）发包人未能按专用条款的约定提供图纸及开工条件，并经工程师确认的； </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 xml:space="preserve">（2）发包人不按合同约定支付工程款而影响工期进度，并经工程师确认的； </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 xml:space="preserve">（3）工程师未按合同约定提供所需指令、批准等，致使施工不能正常进行； </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 xml:space="preserve">（4）设计变更和工程量增加，并经发包人批准及确认的； </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（5）不可抗力；</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（6）专用条款中约定或工程师同意工期顺延的其他情况：如因发包人原因致使承包人暂时无法进行正常施工时，所延误的工期，承包人应想方设法弥补，对影响部分经发包人核准并视影响程度再另定顺延期限。</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无论任何原因停水、停电造成停工，由承包人自行解决，工期不予顺延。</w:t>
      </w:r>
    </w:p>
    <w:p>
      <w:pPr>
        <w:spacing w:line="360" w:lineRule="auto"/>
        <w:ind w:firstLine="120" w:firstLineChars="50"/>
        <w:rPr>
          <w:rFonts w:ascii="宋体" w:hAnsi="宋体" w:cs="宋体"/>
          <w:color w:val="auto"/>
          <w:sz w:val="24"/>
          <w:szCs w:val="24"/>
          <w:highlight w:val="none"/>
        </w:rPr>
      </w:pPr>
    </w:p>
    <w:p>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36.7工期顺延的核实与确定</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发生需进行工期顺延签证的情况，承包人必须在7天内上报申请书和相关证据资料，监理单位应在接到上报申请资料后7天内进行签证，最后由发包人在接到监理单位的签证报告后7天内确认工期顺延与否。</w:t>
      </w:r>
    </w:p>
    <w:p>
      <w:pPr>
        <w:ind w:firstLine="120" w:firstLineChars="50"/>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36.9 赶工措施费</w:t>
      </w:r>
    </w:p>
    <w:p>
      <w:pPr>
        <w:spacing w:line="360" w:lineRule="auto"/>
        <w:ind w:firstLine="600" w:firstLineChars="250"/>
        <w:rPr>
          <w:rFonts w:ascii="宋体" w:hAnsi="宋体" w:cs="宋体"/>
          <w:color w:val="auto"/>
          <w:sz w:val="24"/>
          <w:szCs w:val="24"/>
          <w:highlight w:val="none"/>
          <w:u w:val="single"/>
        </w:rPr>
      </w:pPr>
      <w:r>
        <w:rPr>
          <w:rFonts w:hint="eastAsia" w:ascii="宋体" w:hAnsi="宋体" w:cs="宋体"/>
          <w:color w:val="auto"/>
          <w:sz w:val="24"/>
          <w:szCs w:val="24"/>
          <w:highlight w:val="none"/>
        </w:rPr>
        <w:t>因甲方原因导致项目赶工的，甲方有权另行约定此费用。</w:t>
      </w: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595" w:name="_Toc1734522606"/>
      <w:bookmarkStart w:id="1596" w:name="_Toc10240"/>
      <w:bookmarkStart w:id="1597" w:name="_Toc469384104"/>
      <w:bookmarkStart w:id="1598" w:name="_Toc572150222"/>
      <w:bookmarkStart w:id="1599" w:name="_Toc24534"/>
      <w:bookmarkStart w:id="1600" w:name="_Toc14478"/>
      <w:bookmarkStart w:id="1601" w:name="_Toc24312"/>
      <w:bookmarkStart w:id="1602" w:name="_Toc28278"/>
      <w:bookmarkStart w:id="1603" w:name="_Toc24059"/>
      <w:r>
        <w:rPr>
          <w:rFonts w:hint="eastAsia" w:ascii="宋体" w:hAnsi="宋体" w:cs="宋体"/>
          <w:bCs/>
          <w:color w:val="auto"/>
          <w:sz w:val="24"/>
          <w:szCs w:val="24"/>
          <w:highlight w:val="none"/>
        </w:rPr>
        <w:t>38. 竣工日期</w:t>
      </w:r>
      <w:bookmarkEnd w:id="1595"/>
      <w:bookmarkEnd w:id="1596"/>
      <w:bookmarkEnd w:id="1597"/>
      <w:bookmarkEnd w:id="1598"/>
      <w:bookmarkEnd w:id="1599"/>
      <w:bookmarkEnd w:id="1600"/>
      <w:bookmarkEnd w:id="1601"/>
      <w:bookmarkEnd w:id="1602"/>
      <w:bookmarkEnd w:id="1603"/>
    </w:p>
    <w:p>
      <w:pPr>
        <w:ind w:firstLine="120" w:firstLineChars="50"/>
        <w:rPr>
          <w:rFonts w:ascii="宋体" w:hAnsi="宋体" w:cs="宋体"/>
          <w:color w:val="auto"/>
          <w:sz w:val="24"/>
          <w:szCs w:val="24"/>
          <w:highlight w:val="none"/>
        </w:rPr>
      </w:pPr>
    </w:p>
    <w:p>
      <w:pPr>
        <w:ind w:firstLine="120" w:firstLineChars="50"/>
        <w:rPr>
          <w:rFonts w:ascii="宋体" w:hAnsi="宋体" w:cs="宋体"/>
          <w:color w:val="auto"/>
          <w:sz w:val="24"/>
          <w:szCs w:val="24"/>
          <w:highlight w:val="none"/>
          <w:u w:val="single"/>
        </w:rPr>
      </w:pPr>
      <w:r>
        <w:rPr>
          <w:rFonts w:hint="eastAsia" w:ascii="宋体" w:hAnsi="宋体" w:cs="宋体"/>
          <w:color w:val="auto"/>
          <w:sz w:val="24"/>
          <w:szCs w:val="24"/>
          <w:highlight w:val="none"/>
        </w:rPr>
        <w:t xml:space="preserve">  38.1 计划竣工日期：</w:t>
      </w:r>
    </w:p>
    <w:p>
      <w:pPr>
        <w:ind w:firstLine="120" w:firstLineChars="50"/>
        <w:rPr>
          <w:rFonts w:ascii="宋体" w:hAnsi="宋体" w:cs="宋体"/>
          <w:color w:val="auto"/>
          <w:sz w:val="24"/>
          <w:szCs w:val="24"/>
          <w:highlight w:val="none"/>
        </w:rPr>
      </w:pPr>
    </w:p>
    <w:p>
      <w:pPr>
        <w:spacing w:line="360" w:lineRule="auto"/>
        <w:ind w:firstLine="360" w:firstLineChars="15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38.3延迟竣工的责任：因承包人的原因导致实际竣工日期迟于计划竣工日期的，承包人应按照通用条款第40条规定赔偿发包人由此造成的损失，并向发包人支付误期赔偿费。</w:t>
      </w: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604" w:name="_Toc10688"/>
      <w:bookmarkStart w:id="1605" w:name="_Toc9965"/>
      <w:bookmarkStart w:id="1606" w:name="_Toc30931017"/>
      <w:bookmarkStart w:id="1607" w:name="_Toc10600"/>
      <w:bookmarkStart w:id="1608" w:name="_Toc1675"/>
      <w:bookmarkStart w:id="1609" w:name="_Toc469384105"/>
      <w:bookmarkStart w:id="1610" w:name="_Toc11197"/>
      <w:bookmarkStart w:id="1611" w:name="_Toc1844493535"/>
      <w:bookmarkStart w:id="1612" w:name="_Toc10545"/>
      <w:r>
        <w:rPr>
          <w:rFonts w:hint="eastAsia" w:ascii="宋体" w:hAnsi="宋体" w:cs="宋体"/>
          <w:bCs/>
          <w:color w:val="auto"/>
          <w:sz w:val="24"/>
          <w:szCs w:val="24"/>
          <w:highlight w:val="none"/>
        </w:rPr>
        <w:t>42. 质量标准、目标</w:t>
      </w:r>
      <w:bookmarkEnd w:id="1604"/>
      <w:bookmarkEnd w:id="1605"/>
      <w:bookmarkEnd w:id="1606"/>
      <w:bookmarkEnd w:id="1607"/>
      <w:bookmarkEnd w:id="1608"/>
      <w:bookmarkEnd w:id="1609"/>
      <w:bookmarkEnd w:id="1610"/>
      <w:bookmarkEnd w:id="1611"/>
      <w:bookmarkEnd w:id="1612"/>
    </w:p>
    <w:p>
      <w:pPr>
        <w:ind w:firstLine="120" w:firstLineChars="50"/>
        <w:rPr>
          <w:rFonts w:ascii="宋体" w:hAnsi="宋体" w:cs="宋体"/>
          <w:color w:val="auto"/>
          <w:sz w:val="24"/>
          <w:szCs w:val="24"/>
          <w:highlight w:val="none"/>
        </w:rPr>
      </w:pPr>
    </w:p>
    <w:p>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42.1 约定的工程质量标准</w:t>
      </w:r>
    </w:p>
    <w:p>
      <w:pPr>
        <w:spacing w:line="360" w:lineRule="auto"/>
        <w:ind w:firstLine="120" w:firstLineChars="50"/>
        <w:rPr>
          <w:rFonts w:ascii="宋体" w:hAnsi="宋体" w:cs="宋体"/>
          <w:color w:val="auto"/>
          <w:sz w:val="24"/>
          <w:szCs w:val="24"/>
          <w:highlight w:val="none"/>
          <w:u w:val="single"/>
        </w:rPr>
      </w:pPr>
      <w:r>
        <w:rPr>
          <w:rFonts w:hint="eastAsia" w:ascii="宋体" w:hAnsi="宋体" w:cs="宋体"/>
          <w:color w:val="auto"/>
          <w:sz w:val="24"/>
          <w:szCs w:val="24"/>
          <w:highlight w:val="none"/>
        </w:rPr>
        <w:t>（1）合同工程质量标准：</w:t>
      </w:r>
      <w:r>
        <w:rPr>
          <w:rFonts w:hint="eastAsia" w:ascii="宋体" w:hAnsi="宋体" w:cs="宋体"/>
          <w:color w:val="auto"/>
          <w:sz w:val="24"/>
          <w:szCs w:val="24"/>
          <w:highlight w:val="none"/>
          <w:u w:val="single"/>
        </w:rPr>
        <w:t>合格。</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创优目标：</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市级工程优质奖</w:t>
      </w:r>
      <w:r>
        <w:rPr>
          <w:rFonts w:hint="eastAsia" w:ascii="宋体" w:hAnsi="宋体" w:cs="宋体"/>
          <w:color w:val="auto"/>
          <w:kern w:val="0"/>
          <w:sz w:val="24"/>
          <w:szCs w:val="24"/>
          <w:highlight w:val="none"/>
        </w:rPr>
        <w:t>；</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省级工程优质奖</w:t>
      </w:r>
      <w:r>
        <w:rPr>
          <w:rFonts w:hint="eastAsia" w:ascii="宋体" w:hAnsi="宋体" w:cs="宋体"/>
          <w:color w:val="auto"/>
          <w:kern w:val="0"/>
          <w:sz w:val="24"/>
          <w:szCs w:val="24"/>
          <w:highlight w:val="none"/>
        </w:rPr>
        <w:t>；</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国家级工程优质奖</w:t>
      </w:r>
      <w:r>
        <w:rPr>
          <w:rFonts w:hint="eastAsia" w:ascii="宋体" w:hAnsi="宋体" w:cs="宋体"/>
          <w:color w:val="auto"/>
          <w:kern w:val="0"/>
          <w:sz w:val="24"/>
          <w:szCs w:val="24"/>
          <w:highlight w:val="none"/>
        </w:rPr>
        <w:t>；</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□其它</w:t>
      </w:r>
    </w:p>
    <w:p>
      <w:pPr>
        <w:ind w:firstLine="480" w:firstLineChars="200"/>
        <w:rPr>
          <w:rFonts w:ascii="宋体" w:hAnsi="宋体" w:cs="宋体"/>
          <w:color w:val="auto"/>
          <w:kern w:val="0"/>
          <w:sz w:val="24"/>
          <w:szCs w:val="24"/>
          <w:highlight w:val="none"/>
        </w:rPr>
      </w:pPr>
    </w:p>
    <w:p>
      <w:pPr>
        <w:spacing w:line="360" w:lineRule="auto"/>
        <w:ind w:firstLine="240" w:firstLineChars="100"/>
        <w:rPr>
          <w:rFonts w:ascii="宋体" w:hAnsi="宋体" w:cs="宋体"/>
          <w:color w:val="auto"/>
          <w:sz w:val="24"/>
          <w:szCs w:val="24"/>
          <w:highlight w:val="none"/>
          <w:u w:val="single"/>
        </w:rPr>
      </w:pPr>
      <w:r>
        <w:rPr>
          <w:rFonts w:hint="eastAsia" w:ascii="宋体" w:hAnsi="宋体" w:cs="宋体"/>
          <w:color w:val="auto"/>
          <w:kern w:val="0"/>
          <w:sz w:val="24"/>
          <w:szCs w:val="24"/>
          <w:highlight w:val="none"/>
        </w:rPr>
        <w:t>（2）</w:t>
      </w:r>
      <w:r>
        <w:rPr>
          <w:rFonts w:hint="eastAsia" w:ascii="宋体" w:hAnsi="宋体" w:cs="宋体"/>
          <w:color w:val="auto"/>
          <w:sz w:val="24"/>
          <w:szCs w:val="24"/>
          <w:highlight w:val="none"/>
        </w:rPr>
        <w:t>特殊质量标准和要求：</w:t>
      </w:r>
      <w:r>
        <w:rPr>
          <w:rFonts w:hint="eastAsia" w:ascii="宋体" w:hAnsi="宋体" w:cs="宋体"/>
          <w:color w:val="auto"/>
          <w:sz w:val="24"/>
          <w:szCs w:val="24"/>
          <w:highlight w:val="none"/>
          <w:u w:val="single"/>
        </w:rPr>
        <w:t>防腐质量合格率100%、焊缝质量:合格率为100%。</w:t>
      </w:r>
    </w:p>
    <w:p>
      <w:pPr>
        <w:spacing w:line="360" w:lineRule="auto"/>
        <w:ind w:firstLine="360" w:firstLineChars="150"/>
        <w:rPr>
          <w:rFonts w:ascii="宋体" w:hAnsi="宋体" w:cs="宋体"/>
          <w:color w:val="auto"/>
          <w:sz w:val="24"/>
          <w:szCs w:val="24"/>
          <w:highlight w:val="none"/>
          <w:u w:val="single"/>
        </w:rPr>
      </w:pPr>
    </w:p>
    <w:p>
      <w:pPr>
        <w:spacing w:line="360" w:lineRule="auto"/>
        <w:ind w:firstLine="240" w:firstLineChars="100"/>
        <w:rPr>
          <w:rFonts w:ascii="宋体" w:hAnsi="宋体" w:cs="宋体"/>
          <w:color w:val="auto"/>
          <w:sz w:val="24"/>
          <w:szCs w:val="24"/>
          <w:highlight w:val="none"/>
          <w:u w:val="single"/>
        </w:rPr>
      </w:pPr>
      <w:r>
        <w:rPr>
          <w:rFonts w:hint="eastAsia" w:ascii="宋体" w:hAnsi="宋体" w:cs="宋体"/>
          <w:color w:val="auto"/>
          <w:sz w:val="24"/>
          <w:szCs w:val="24"/>
          <w:highlight w:val="none"/>
        </w:rPr>
        <w:t>（3）工程质量验收标准：《燃气工程项目规范》（GB55009-2021）</w:t>
      </w:r>
      <w:r>
        <w:rPr>
          <w:rFonts w:hint="eastAsia" w:ascii="宋体" w:hAnsi="宋体" w:cs="宋体"/>
          <w:strike w:val="0"/>
          <w:color w:val="auto"/>
          <w:sz w:val="24"/>
          <w:szCs w:val="24"/>
          <w:highlight w:val="none"/>
          <w:u w:val="none"/>
        </w:rPr>
        <w:t>《</w:t>
      </w:r>
      <w:r>
        <w:rPr>
          <w:rFonts w:hint="eastAsia" w:ascii="宋体" w:hAnsi="宋体" w:cs="宋体"/>
          <w:strike w:val="0"/>
          <w:color w:val="auto"/>
          <w:sz w:val="24"/>
          <w:szCs w:val="24"/>
          <w:highlight w:val="none"/>
        </w:rPr>
        <w:t>城镇燃气输配工程施工及验收标准》（编号为GB/T51455-2023）</w:t>
      </w:r>
      <w:r>
        <w:rPr>
          <w:rFonts w:hint="eastAsia" w:ascii="宋体" w:hAnsi="宋体" w:cs="宋体"/>
          <w:color w:val="auto"/>
          <w:sz w:val="24"/>
          <w:szCs w:val="24"/>
          <w:highlight w:val="none"/>
          <w:u w:val="single"/>
        </w:rPr>
        <w:t>、《油气长输管道工程施工及验收规范》（GB50424-2020）、《油气输送管道穿越工程施工规范》（GB50424-2015）、《承压设备无损检测》（NB/T47013.1～47013.6-2015）、《石油天然气钢质管道无损检测》（SY/T4109-20</w:t>
      </w:r>
      <w:r>
        <w:rPr>
          <w:rFonts w:hint="eastAsia" w:ascii="宋体" w:hAnsi="宋体" w:cs="宋体"/>
          <w:color w:val="auto"/>
          <w:sz w:val="24"/>
          <w:szCs w:val="24"/>
          <w:highlight w:val="none"/>
          <w:u w:val="single"/>
          <w:lang w:val="en-US" w:eastAsia="zh-CN"/>
        </w:rPr>
        <w:t>2</w:t>
      </w:r>
      <w:r>
        <w:rPr>
          <w:rFonts w:hint="eastAsia" w:ascii="宋体" w:hAnsi="宋体" w:cs="宋体"/>
          <w:color w:val="auto"/>
          <w:sz w:val="24"/>
          <w:szCs w:val="24"/>
          <w:highlight w:val="none"/>
          <w:u w:val="single"/>
        </w:rPr>
        <w:t>3）、设计文件要求等。</w:t>
      </w:r>
    </w:p>
    <w:p>
      <w:pPr>
        <w:rPr>
          <w:rFonts w:ascii="宋体" w:hAnsi="宋体" w:cs="宋体"/>
          <w:color w:val="auto"/>
          <w:sz w:val="24"/>
          <w:szCs w:val="24"/>
          <w:highlight w:val="none"/>
          <w:u w:val="single"/>
        </w:rPr>
      </w:pPr>
    </w:p>
    <w:p>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42.3 质量保证体系</w:t>
      </w:r>
    </w:p>
    <w:p>
      <w:pPr>
        <w:spacing w:line="360" w:lineRule="auto"/>
        <w:ind w:firstLine="424" w:firstLineChars="177"/>
        <w:rPr>
          <w:rFonts w:ascii="宋体" w:hAnsi="宋体" w:cs="宋体"/>
          <w:color w:val="auto"/>
          <w:sz w:val="24"/>
          <w:szCs w:val="24"/>
          <w:highlight w:val="none"/>
        </w:rPr>
      </w:pPr>
      <w:r>
        <w:rPr>
          <w:rFonts w:hint="eastAsia" w:ascii="宋体" w:hAnsi="宋体" w:cs="宋体"/>
          <w:color w:val="auto"/>
          <w:sz w:val="24"/>
          <w:szCs w:val="24"/>
          <w:highlight w:val="none"/>
        </w:rPr>
        <w:t>承包人应当完善质量管理制度，建立质量控制流程，建立并保持一个有效的工程质量管理体系。</w:t>
      </w:r>
    </w:p>
    <w:p>
      <w:pPr>
        <w:spacing w:line="360" w:lineRule="auto"/>
        <w:ind w:firstLine="424" w:firstLineChars="177"/>
        <w:rPr>
          <w:rFonts w:ascii="宋体" w:hAnsi="宋体" w:cs="宋体"/>
          <w:color w:val="auto"/>
          <w:sz w:val="24"/>
          <w:szCs w:val="24"/>
          <w:highlight w:val="none"/>
        </w:rPr>
      </w:pPr>
      <w:r>
        <w:rPr>
          <w:rFonts w:hint="eastAsia" w:ascii="宋体" w:hAnsi="宋体" w:cs="宋体"/>
          <w:color w:val="auto"/>
          <w:sz w:val="24"/>
          <w:szCs w:val="24"/>
          <w:highlight w:val="none"/>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pPr>
        <w:spacing w:line="360" w:lineRule="auto"/>
        <w:ind w:firstLine="424" w:firstLineChars="177"/>
        <w:rPr>
          <w:rFonts w:ascii="宋体" w:hAnsi="宋体" w:cs="宋体"/>
          <w:color w:val="auto"/>
          <w:sz w:val="24"/>
          <w:szCs w:val="24"/>
          <w:highlight w:val="none"/>
          <w:u w:val="single"/>
        </w:rPr>
      </w:pPr>
      <w:r>
        <w:rPr>
          <w:rFonts w:hint="eastAsia" w:ascii="宋体" w:hAnsi="宋体" w:cs="宋体"/>
          <w:color w:val="auto"/>
          <w:sz w:val="24"/>
          <w:szCs w:val="24"/>
          <w:highlight w:val="none"/>
        </w:rPr>
        <w:t>（2）承包人提交总监理工程师批准的施工组织设计或者施工方案必须附有完备的工程质量保证措施，包括：</w:t>
      </w:r>
      <w:r>
        <w:rPr>
          <w:rFonts w:hint="eastAsia" w:ascii="宋体" w:hAnsi="宋体" w:cs="宋体"/>
          <w:color w:val="auto"/>
          <w:sz w:val="24"/>
          <w:szCs w:val="24"/>
          <w:highlight w:val="none"/>
          <w:u w:val="single"/>
        </w:rPr>
        <w:t>/</w:t>
      </w:r>
    </w:p>
    <w:p>
      <w:pPr>
        <w:spacing w:line="360" w:lineRule="auto"/>
        <w:ind w:firstLine="424" w:firstLineChars="177"/>
        <w:rPr>
          <w:rFonts w:ascii="宋体" w:hAnsi="宋体" w:cs="宋体"/>
          <w:color w:val="auto"/>
          <w:sz w:val="24"/>
          <w:szCs w:val="24"/>
          <w:highlight w:val="none"/>
        </w:rPr>
      </w:pPr>
      <w:r>
        <w:rPr>
          <w:rFonts w:hint="eastAsia" w:ascii="宋体" w:hAnsi="宋体" w:cs="宋体"/>
          <w:color w:val="auto"/>
          <w:sz w:val="24"/>
          <w:szCs w:val="24"/>
          <w:highlight w:val="none"/>
        </w:rPr>
        <w:t>（3）单项工程开工前，承包人必须按要求对职工分级进行技术交底，组织学习有关规程、标准、规范和工艺要求，在施工中必须按规程及工艺进行操作。</w:t>
      </w:r>
    </w:p>
    <w:p>
      <w:pPr>
        <w:spacing w:line="360" w:lineRule="auto"/>
        <w:ind w:firstLine="424" w:firstLineChars="177"/>
        <w:rPr>
          <w:rFonts w:ascii="宋体" w:hAnsi="宋体" w:cs="宋体"/>
          <w:color w:val="auto"/>
          <w:sz w:val="24"/>
          <w:szCs w:val="24"/>
          <w:highlight w:val="none"/>
        </w:rPr>
      </w:pPr>
      <w:r>
        <w:rPr>
          <w:rFonts w:hint="eastAsia" w:ascii="宋体" w:hAnsi="宋体" w:cs="宋体"/>
          <w:color w:val="auto"/>
          <w:sz w:val="24"/>
          <w:szCs w:val="24"/>
          <w:highlight w:val="none"/>
        </w:rPr>
        <w:t>（4）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pPr>
        <w:spacing w:line="360" w:lineRule="auto"/>
        <w:rPr>
          <w:rFonts w:ascii="宋体" w:hAnsi="宋体" w:cs="宋体"/>
          <w:color w:val="auto"/>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613" w:name="_Toc469384106"/>
      <w:bookmarkStart w:id="1614" w:name="_Toc11657"/>
      <w:bookmarkStart w:id="1615" w:name="_Toc2224"/>
      <w:bookmarkStart w:id="1616" w:name="_Toc166560145"/>
      <w:bookmarkStart w:id="1617" w:name="_Toc2112"/>
      <w:bookmarkStart w:id="1618" w:name="_Toc24031"/>
      <w:bookmarkStart w:id="1619" w:name="_Toc1476398300"/>
      <w:bookmarkStart w:id="1620" w:name="_Toc6909"/>
      <w:bookmarkStart w:id="1621" w:name="_Toc9312"/>
      <w:r>
        <w:rPr>
          <w:rFonts w:hint="eastAsia" w:ascii="宋体" w:hAnsi="宋体" w:cs="宋体"/>
          <w:bCs/>
          <w:color w:val="auto"/>
          <w:sz w:val="24"/>
          <w:szCs w:val="24"/>
          <w:highlight w:val="none"/>
        </w:rPr>
        <w:t xml:space="preserve">45. </w:t>
      </w:r>
      <w:bookmarkEnd w:id="1613"/>
      <w:r>
        <w:rPr>
          <w:rFonts w:hint="eastAsia" w:ascii="宋体" w:hAnsi="宋体" w:cs="宋体"/>
          <w:bCs/>
          <w:color w:val="auto"/>
          <w:sz w:val="24"/>
          <w:szCs w:val="24"/>
          <w:highlight w:val="none"/>
        </w:rPr>
        <w:t>绿色施工安全防护</w:t>
      </w:r>
      <w:bookmarkEnd w:id="1614"/>
      <w:bookmarkEnd w:id="1615"/>
      <w:bookmarkEnd w:id="1616"/>
      <w:bookmarkEnd w:id="1617"/>
      <w:bookmarkEnd w:id="1618"/>
      <w:bookmarkEnd w:id="1619"/>
      <w:bookmarkEnd w:id="1620"/>
      <w:bookmarkEnd w:id="1621"/>
    </w:p>
    <w:p>
      <w:pPr>
        <w:ind w:firstLine="120" w:firstLineChars="50"/>
        <w:rPr>
          <w:rFonts w:ascii="宋体" w:hAnsi="宋体" w:cs="宋体"/>
          <w:color w:val="auto"/>
          <w:sz w:val="24"/>
          <w:szCs w:val="24"/>
          <w:highlight w:val="none"/>
        </w:rPr>
      </w:pPr>
    </w:p>
    <w:p>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45.1绿色施工安全防护的要求：</w:t>
      </w:r>
    </w:p>
    <w:p>
      <w:pPr>
        <w:spacing w:line="360" w:lineRule="auto"/>
        <w:ind w:firstLine="360" w:firstLineChars="20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按通用条款的规定。</w:t>
      </w:r>
    </w:p>
    <w:p>
      <w:pPr>
        <w:spacing w:line="360" w:lineRule="auto"/>
        <w:ind w:firstLine="360" w:firstLineChars="150"/>
        <w:rPr>
          <w:rFonts w:ascii="宋体" w:hAnsi="宋体" w:cs="宋体"/>
          <w:color w:val="auto"/>
          <w:sz w:val="24"/>
          <w:szCs w:val="24"/>
          <w:highlight w:val="none"/>
        </w:rPr>
      </w:pPr>
      <w:r>
        <w:rPr>
          <w:rFonts w:hint="eastAsia" w:ascii="宋体" w:hAnsi="宋体" w:cs="宋体"/>
          <w:color w:val="auto"/>
          <w:kern w:val="0"/>
          <w:sz w:val="24"/>
          <w:szCs w:val="24"/>
          <w:highlight w:val="none"/>
        </w:rPr>
        <w:t>□另作约定：</w:t>
      </w:r>
    </w:p>
    <w:p>
      <w:pPr>
        <w:spacing w:line="360" w:lineRule="auto"/>
        <w:ind w:firstLine="1440" w:firstLineChars="600"/>
        <w:rPr>
          <w:rFonts w:ascii="宋体" w:hAnsi="宋体" w:cs="宋体"/>
          <w:color w:val="auto"/>
          <w:kern w:val="0"/>
          <w:sz w:val="24"/>
          <w:szCs w:val="24"/>
          <w:highlight w:val="none"/>
          <w:u w:val="single"/>
        </w:rPr>
      </w:pPr>
    </w:p>
    <w:p>
      <w:pPr>
        <w:spacing w:line="360" w:lineRule="auto"/>
        <w:ind w:firstLine="1440" w:firstLineChars="600"/>
        <w:rPr>
          <w:rFonts w:ascii="宋体" w:hAnsi="宋体" w:cs="宋体"/>
          <w:color w:val="auto"/>
          <w:kern w:val="0"/>
          <w:sz w:val="24"/>
          <w:szCs w:val="24"/>
          <w:highlight w:val="none"/>
          <w:u w:val="single"/>
        </w:rPr>
      </w:pPr>
    </w:p>
    <w:p>
      <w:pPr>
        <w:ind w:firstLine="360" w:firstLineChars="150"/>
        <w:rPr>
          <w:rFonts w:ascii="宋体" w:hAnsi="宋体" w:cs="宋体"/>
          <w:color w:val="auto"/>
          <w:kern w:val="0"/>
          <w:sz w:val="24"/>
          <w:szCs w:val="24"/>
          <w:highlight w:val="none"/>
        </w:rPr>
      </w:pPr>
      <w:r>
        <w:rPr>
          <w:rFonts w:hint="eastAsia" w:ascii="宋体" w:hAnsi="宋体" w:cs="宋体"/>
          <w:color w:val="auto"/>
          <w:sz w:val="24"/>
          <w:szCs w:val="24"/>
          <w:highlight w:val="none"/>
        </w:rPr>
        <w:t>45.2</w:t>
      </w:r>
      <w:r>
        <w:rPr>
          <w:rFonts w:hint="eastAsia" w:ascii="宋体" w:hAnsi="宋体" w:cs="宋体"/>
          <w:color w:val="auto"/>
          <w:kern w:val="0"/>
          <w:sz w:val="24"/>
          <w:szCs w:val="24"/>
          <w:highlight w:val="none"/>
        </w:rPr>
        <w:t>用工实名制、工人工资支付分账管理</w:t>
      </w:r>
    </w:p>
    <w:p>
      <w:pPr>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仿宋"/>
          <w:color w:val="auto"/>
          <w:kern w:val="0"/>
          <w:sz w:val="24"/>
          <w:szCs w:val="24"/>
          <w:highlight w:val="none"/>
        </w:rPr>
        <w:t>☑</w:t>
      </w:r>
      <w:r>
        <w:rPr>
          <w:rFonts w:hint="eastAsia" w:ascii="宋体" w:hAnsi="宋体" w:cs="宋体"/>
          <w:color w:val="auto"/>
          <w:kern w:val="0"/>
          <w:sz w:val="24"/>
          <w:szCs w:val="24"/>
          <w:highlight w:val="none"/>
        </w:rPr>
        <w:t>按通用条款的规定以及以下文件规定：</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广东省住房和城乡建设厅关于印发房屋建筑和市政基础设施工程用工实名管理暂行办法的通知》（粤建规范〔2018〕1号）、&lt;广州市住房和城乡建设委员会关于转发《广东省住房和城乡建设厅关于房屋建筑和市政基础设施工程用工实名管理暂行办法》的通知&gt;（穗建筑〔2018〕981号）、&lt;广州市住房和城乡建设委员会关于实施《广州市建设领域工人工资支付分账管理实施细则》的通知》（穗建筑〔 2017 〕1344 号）、 《广州市建设领域工人工资支付分账管理实施细则》（穗建规字〔2020〕37号）</w:t>
      </w:r>
    </w:p>
    <w:p>
      <w:pPr>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rPr>
        <w:sym w:font="Times New Roman" w:char="0000"/>
      </w:r>
      <w:r>
        <w:rPr>
          <w:rFonts w:hint="eastAsia" w:ascii="宋体" w:hAnsi="宋体" w:cs="宋体"/>
          <w:color w:val="auto"/>
          <w:kern w:val="0"/>
          <w:sz w:val="24"/>
          <w:szCs w:val="24"/>
          <w:highlight w:val="none"/>
        </w:rPr>
        <w:t>其他文件：</w:t>
      </w:r>
      <w:r>
        <w:rPr>
          <w:rFonts w:hint="eastAsia" w:ascii="宋体" w:hAnsi="宋体" w:cs="宋体"/>
          <w:color w:val="auto"/>
          <w:kern w:val="0"/>
          <w:sz w:val="24"/>
          <w:szCs w:val="24"/>
          <w:highlight w:val="none"/>
          <w:u w:val="single"/>
        </w:rPr>
        <w:t>根据国家法律法规及省、市相关规定执行</w:t>
      </w:r>
    </w:p>
    <w:p>
      <w:pPr>
        <w:pStyle w:val="82"/>
        <w:spacing w:line="640" w:lineRule="atLeast"/>
        <w:textAlignment w:val="baseline"/>
        <w:rPr>
          <w:rFonts w:hint="default" w:cs="宋体"/>
          <w:color w:val="auto"/>
          <w:highlight w:val="none"/>
          <w:u w:val="single"/>
        </w:rPr>
      </w:pPr>
      <w:r>
        <w:rPr>
          <w:rFonts w:cs="宋体"/>
          <w:color w:val="auto"/>
          <w:highlight w:val="none"/>
        </w:rPr>
        <w:t>☑另作约定：</w:t>
      </w:r>
      <w:r>
        <w:rPr>
          <w:rFonts w:cs="宋体"/>
          <w:color w:val="auto"/>
          <w:highlight w:val="none"/>
          <w:u w:val="single"/>
        </w:rPr>
        <w:t>项目开工前，承包人执行政府相关文件（广州市人力资源和社会保障局</w:t>
      </w:r>
      <w:r>
        <w:rPr>
          <w:rFonts w:hint="eastAsia" w:cs="宋体"/>
          <w:color w:val="auto"/>
          <w:highlight w:val="none"/>
          <w:u w:val="single"/>
        </w:rPr>
        <w:t>等7个部门2023</w:t>
      </w:r>
      <w:r>
        <w:rPr>
          <w:rFonts w:cs="宋体"/>
          <w:color w:val="auto"/>
          <w:highlight w:val="none"/>
          <w:u w:val="single"/>
        </w:rPr>
        <w:t>年</w:t>
      </w:r>
      <w:r>
        <w:rPr>
          <w:rFonts w:hint="eastAsia" w:cs="宋体"/>
          <w:color w:val="auto"/>
          <w:highlight w:val="none"/>
          <w:u w:val="single"/>
          <w:lang w:val="en-US" w:eastAsia="zh-CN"/>
        </w:rPr>
        <w:t>2</w:t>
      </w:r>
      <w:r>
        <w:rPr>
          <w:rFonts w:cs="宋体"/>
          <w:color w:val="auto"/>
          <w:highlight w:val="none"/>
          <w:u w:val="single"/>
        </w:rPr>
        <w:t>月颁布的《广州市</w:t>
      </w:r>
      <w:r>
        <w:rPr>
          <w:rFonts w:hint="eastAsia" w:cs="宋体"/>
          <w:color w:val="auto"/>
          <w:highlight w:val="none"/>
          <w:u w:val="single"/>
        </w:rPr>
        <w:t>建设领域</w:t>
      </w:r>
      <w:r>
        <w:rPr>
          <w:rFonts w:cs="宋体"/>
          <w:color w:val="auto"/>
          <w:highlight w:val="none"/>
          <w:u w:val="single"/>
        </w:rPr>
        <w:t>施工企业工人工资支付保证金管理办法》（穗人社规字〔</w:t>
      </w:r>
      <w:r>
        <w:rPr>
          <w:rFonts w:hint="eastAsia" w:cs="宋体"/>
          <w:color w:val="auto"/>
          <w:highlight w:val="none"/>
          <w:u w:val="single"/>
          <w:lang w:val="en-US" w:eastAsia="zh-CN"/>
        </w:rPr>
        <w:t>2023</w:t>
      </w:r>
      <w:r>
        <w:rPr>
          <w:rFonts w:cs="宋体"/>
          <w:color w:val="auto"/>
          <w:highlight w:val="none"/>
          <w:u w:val="single"/>
        </w:rPr>
        <w:t>〕</w:t>
      </w:r>
      <w:r>
        <w:rPr>
          <w:rFonts w:hint="eastAsia" w:cs="宋体"/>
          <w:color w:val="auto"/>
          <w:highlight w:val="none"/>
          <w:u w:val="single"/>
          <w:lang w:val="en-US" w:eastAsia="zh-CN"/>
        </w:rPr>
        <w:t>1</w:t>
      </w:r>
      <w:r>
        <w:rPr>
          <w:rFonts w:cs="宋体"/>
          <w:color w:val="auto"/>
          <w:highlight w:val="none"/>
          <w:u w:val="single"/>
        </w:rPr>
        <w:t>号）、广州市住房和城乡建设委员会2020年4月颁布的《广州市建设领域工人工资支付分账管理实施细则》（穗建规字〔2020〕37号）），承包人在项目所在地开立银行专用存款账户（工人工资支付保证金专款帐户），按规定的比例存入资金作为工人工资支付保证金（简称工资保证金），纳入该企业工资保证金专户统一管理。该笔保证金由承包人自行缴存。如发生承包人欠薪，按管理办法规定从该笔工资保证金提取支付，承包人于提取后按管理办法规定时限补充相应资金，未等额补足的，发包人有权拒绝付款。工人工资保证金已包含在合同价中。发包人支付预付款前，承包人应已办理工人工资保证金专款帐户，并向发包人提交相关证明材料。</w:t>
      </w:r>
    </w:p>
    <w:p>
      <w:pPr>
        <w:ind w:firstLine="360" w:firstLineChars="150"/>
        <w:rPr>
          <w:rFonts w:ascii="宋体" w:hAnsi="宋体" w:cs="宋体"/>
          <w:color w:val="auto"/>
          <w:kern w:val="0"/>
          <w:sz w:val="24"/>
          <w:szCs w:val="24"/>
          <w:highlight w:val="none"/>
          <w:u w:val="single"/>
        </w:rPr>
      </w:pPr>
    </w:p>
    <w:p>
      <w:pPr>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 xml:space="preserve"> 45.6 治安管理：</w:t>
      </w:r>
    </w:p>
    <w:p>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按通用条款的规定。</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另作约定：</w:t>
      </w:r>
    </w:p>
    <w:p>
      <w:pPr>
        <w:ind w:firstLine="120" w:firstLineChars="50"/>
        <w:rPr>
          <w:rFonts w:ascii="宋体" w:hAnsi="宋体" w:cs="宋体"/>
          <w:color w:val="auto"/>
          <w:kern w:val="0"/>
          <w:sz w:val="24"/>
          <w:szCs w:val="24"/>
          <w:highlight w:val="none"/>
        </w:rPr>
      </w:pP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45.8</w:t>
      </w:r>
      <w:r>
        <w:rPr>
          <w:rFonts w:hint="eastAsia" w:ascii="宋体" w:hAnsi="宋体" w:cs="宋体"/>
          <w:color w:val="auto"/>
          <w:kern w:val="0"/>
          <w:sz w:val="24"/>
          <w:szCs w:val="24"/>
          <w:highlight w:val="none"/>
        </w:rPr>
        <w:t>创文明工地目标：</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市级安全文明绿色施工样板工地</w:t>
      </w:r>
      <w:r>
        <w:rPr>
          <w:rFonts w:hint="eastAsia" w:ascii="宋体" w:hAnsi="宋体" w:cs="宋体"/>
          <w:color w:val="auto"/>
          <w:kern w:val="0"/>
          <w:sz w:val="24"/>
          <w:szCs w:val="24"/>
          <w:highlight w:val="none"/>
        </w:rPr>
        <w:t>；</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□省级安全文明示范工地；</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国家级安全文明工地</w:t>
      </w:r>
      <w:r>
        <w:rPr>
          <w:rFonts w:hint="eastAsia" w:ascii="宋体" w:hAnsi="宋体" w:cs="宋体"/>
          <w:color w:val="auto"/>
          <w:kern w:val="0"/>
          <w:sz w:val="24"/>
          <w:szCs w:val="24"/>
          <w:highlight w:val="none"/>
        </w:rPr>
        <w:t>；</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□广州市建筑业绿色施工示范工程；</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□广东省建筑业绿色施工示范工程；</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□全国建筑业绿色施工示范工程；</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其它：无</w:t>
      </w:r>
    </w:p>
    <w:p>
      <w:pPr>
        <w:rPr>
          <w:rFonts w:ascii="宋体" w:hAnsi="宋体" w:cs="宋体"/>
          <w:color w:val="auto"/>
          <w:kern w:val="0"/>
          <w:sz w:val="24"/>
          <w:szCs w:val="24"/>
          <w:highlight w:val="none"/>
        </w:rPr>
      </w:pPr>
    </w:p>
    <w:p>
      <w:pPr>
        <w:spacing w:line="360" w:lineRule="auto"/>
        <w:ind w:firstLine="482"/>
        <w:rPr>
          <w:rFonts w:ascii="宋体" w:hAnsi="宋体" w:cs="宋体"/>
          <w:color w:val="auto"/>
          <w:kern w:val="0"/>
          <w:sz w:val="24"/>
          <w:szCs w:val="24"/>
          <w:highlight w:val="none"/>
        </w:rPr>
      </w:pPr>
      <w:r>
        <w:rPr>
          <w:rFonts w:hint="eastAsia" w:ascii="宋体" w:hAnsi="宋体" w:cs="宋体"/>
          <w:color w:val="auto"/>
          <w:sz w:val="24"/>
          <w:szCs w:val="24"/>
          <w:highlight w:val="none"/>
        </w:rPr>
        <w:t>45.9</w:t>
      </w:r>
      <w:r>
        <w:rPr>
          <w:rFonts w:hint="eastAsia" w:ascii="宋体" w:hAnsi="宋体" w:cs="宋体"/>
          <w:color w:val="auto"/>
          <w:kern w:val="0"/>
          <w:sz w:val="24"/>
          <w:szCs w:val="24"/>
          <w:highlight w:val="none"/>
        </w:rPr>
        <w:t>特别安全生产事项</w:t>
      </w:r>
    </w:p>
    <w:p>
      <w:pPr>
        <w:spacing w:line="360" w:lineRule="auto"/>
        <w:ind w:firstLine="482"/>
        <w:rPr>
          <w:rFonts w:ascii="宋体" w:hAnsi="宋体" w:cs="宋体"/>
          <w:color w:val="auto"/>
          <w:sz w:val="24"/>
          <w:szCs w:val="24"/>
          <w:highlight w:val="none"/>
        </w:rPr>
      </w:pPr>
      <w:r>
        <w:rPr>
          <w:rFonts w:hint="eastAsia" w:ascii="宋体" w:hAnsi="宋体" w:cs="宋体"/>
          <w:color w:val="auto"/>
          <w:sz w:val="24"/>
          <w:szCs w:val="24"/>
          <w:highlight w:val="none"/>
        </w:rPr>
        <w:t>危险性较大分部分项专项工程施工技术措施标准、要求：1、符合国家有关规范及法规的有关规定；2、符合通用条款规定；3、符合发包人安健环管理规定；</w:t>
      </w:r>
    </w:p>
    <w:p>
      <w:pPr>
        <w:spacing w:line="360" w:lineRule="auto"/>
        <w:ind w:firstLine="482"/>
        <w:rPr>
          <w:rFonts w:ascii="宋体" w:hAnsi="宋体" w:cs="宋体"/>
          <w:color w:val="auto"/>
          <w:kern w:val="0"/>
          <w:sz w:val="24"/>
          <w:szCs w:val="24"/>
          <w:highlight w:val="none"/>
          <w:u w:val="single"/>
        </w:rPr>
      </w:pPr>
      <w:r>
        <w:rPr>
          <w:rFonts w:hint="eastAsia" w:ascii="宋体" w:hAnsi="宋体" w:cs="宋体"/>
          <w:color w:val="auto"/>
          <w:sz w:val="24"/>
          <w:szCs w:val="24"/>
          <w:highlight w:val="none"/>
        </w:rPr>
        <w:t>危险性较大分部分项专项工程施工技术措施费：元。</w:t>
      </w: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622" w:name="_Toc2757"/>
      <w:bookmarkStart w:id="1623" w:name="_Toc1800170662"/>
      <w:bookmarkStart w:id="1624" w:name="_Toc1205164974"/>
      <w:bookmarkStart w:id="1625" w:name="_Toc2596"/>
      <w:bookmarkStart w:id="1626" w:name="_Toc21173"/>
      <w:bookmarkStart w:id="1627" w:name="_Toc14165"/>
      <w:bookmarkStart w:id="1628" w:name="_Toc7812"/>
      <w:bookmarkStart w:id="1629" w:name="_Toc19043"/>
      <w:bookmarkStart w:id="1630" w:name="_Toc469384107"/>
      <w:r>
        <w:rPr>
          <w:rFonts w:hint="eastAsia" w:ascii="宋体" w:hAnsi="宋体" w:cs="宋体"/>
          <w:bCs/>
          <w:color w:val="auto"/>
          <w:sz w:val="24"/>
          <w:szCs w:val="24"/>
          <w:highlight w:val="none"/>
        </w:rPr>
        <w:t>46. 测量放线</w:t>
      </w:r>
      <w:bookmarkEnd w:id="1622"/>
      <w:bookmarkEnd w:id="1623"/>
      <w:bookmarkEnd w:id="1624"/>
      <w:bookmarkEnd w:id="1625"/>
      <w:bookmarkEnd w:id="1626"/>
      <w:bookmarkEnd w:id="1627"/>
      <w:bookmarkEnd w:id="1628"/>
      <w:bookmarkEnd w:id="1629"/>
      <w:bookmarkEnd w:id="1630"/>
    </w:p>
    <w:p>
      <w:pPr>
        <w:ind w:firstLine="120" w:firstLineChars="50"/>
        <w:rPr>
          <w:rFonts w:ascii="宋体" w:hAnsi="宋体" w:cs="宋体"/>
          <w:color w:val="auto"/>
          <w:kern w:val="0"/>
          <w:sz w:val="24"/>
          <w:szCs w:val="24"/>
          <w:highlight w:val="none"/>
        </w:rPr>
      </w:pPr>
    </w:p>
    <w:p>
      <w:pPr>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46.1 承包人提交施工控制网资料的时间：</w:t>
      </w:r>
      <w:r>
        <w:rPr>
          <w:rFonts w:hint="eastAsia" w:ascii="宋体" w:hAnsi="宋体" w:cs="宋体"/>
          <w:color w:val="auto"/>
          <w:sz w:val="24"/>
          <w:szCs w:val="24"/>
          <w:highlight w:val="none"/>
          <w:u w:val="single"/>
        </w:rPr>
        <w:t>由发包人发出书面通知为准。</w:t>
      </w:r>
    </w:p>
    <w:p>
      <w:pPr>
        <w:ind w:firstLine="120" w:firstLineChars="50"/>
        <w:rPr>
          <w:rFonts w:ascii="宋体" w:hAnsi="宋体" w:cs="宋体"/>
          <w:color w:val="auto"/>
          <w:kern w:val="0"/>
          <w:sz w:val="24"/>
          <w:szCs w:val="24"/>
          <w:highlight w:val="none"/>
        </w:rPr>
      </w:pPr>
    </w:p>
    <w:p>
      <w:pPr>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46.4 测量放线误差的约定：</w:t>
      </w:r>
      <w:r>
        <w:rPr>
          <w:rFonts w:hint="eastAsia" w:ascii="宋体" w:hAnsi="宋体" w:cs="宋体"/>
          <w:color w:val="auto"/>
          <w:kern w:val="0"/>
          <w:sz w:val="24"/>
          <w:szCs w:val="24"/>
          <w:highlight w:val="none"/>
          <w:u w:val="single"/>
        </w:rPr>
        <w:t>按现行有关设计及施工验收规范规定。</w:t>
      </w:r>
    </w:p>
    <w:p>
      <w:pPr>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631" w:name="_Toc141959514"/>
      <w:bookmarkStart w:id="1632" w:name="_Toc1718697298"/>
      <w:bookmarkStart w:id="1633" w:name="_Toc469384108"/>
      <w:bookmarkStart w:id="1634" w:name="_Toc28626"/>
      <w:bookmarkStart w:id="1635" w:name="_Toc14121"/>
      <w:bookmarkStart w:id="1636" w:name="_Toc20816"/>
      <w:bookmarkStart w:id="1637" w:name="_Toc8118"/>
      <w:bookmarkStart w:id="1638" w:name="_Toc7690"/>
      <w:bookmarkStart w:id="1639" w:name="_Toc30455"/>
      <w:r>
        <w:rPr>
          <w:rFonts w:hint="eastAsia" w:ascii="宋体" w:hAnsi="宋体" w:cs="宋体"/>
          <w:bCs/>
          <w:color w:val="auto"/>
          <w:sz w:val="24"/>
          <w:szCs w:val="24"/>
          <w:highlight w:val="none"/>
        </w:rPr>
        <w:t>48.发包人供应材料和工程设备</w:t>
      </w:r>
      <w:bookmarkEnd w:id="1631"/>
      <w:bookmarkEnd w:id="1632"/>
      <w:bookmarkEnd w:id="1633"/>
      <w:bookmarkEnd w:id="1634"/>
      <w:bookmarkEnd w:id="1635"/>
      <w:bookmarkEnd w:id="1636"/>
      <w:bookmarkEnd w:id="1637"/>
      <w:bookmarkEnd w:id="1638"/>
      <w:bookmarkEnd w:id="1639"/>
    </w:p>
    <w:p>
      <w:pPr>
        <w:ind w:firstLine="120" w:firstLineChars="50"/>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48.1 约定供应的材料和工程设备</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□发包人不供应材料和工程设备，本条不适用。</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18"/>
          <w:szCs w:val="18"/>
          <w:highlight w:val="none"/>
        </w:rPr>
        <w:sym w:font="Times New Roman" w:char="0000"/>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发包人供应材料和工程设备的，应与承包人约定“发包人供应材料和工程设备一览表”，作为本合同的附件。</w:t>
      </w:r>
    </w:p>
    <w:p>
      <w:pPr>
        <w:ind w:firstLine="120" w:firstLineChars="50"/>
        <w:rPr>
          <w:rFonts w:ascii="宋体" w:hAnsi="宋体" w:cs="宋体"/>
          <w:color w:val="auto"/>
          <w:kern w:val="0"/>
          <w:sz w:val="24"/>
          <w:szCs w:val="24"/>
          <w:highlight w:val="none"/>
        </w:rPr>
      </w:pPr>
    </w:p>
    <w:p>
      <w:pPr>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48.8 发包人供应材料和工程设备的结算方式：</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48.8.1 发包人所供材料按实际用于工程的数量进行结算，具体为：</w:t>
      </w:r>
    </w:p>
    <w:p>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① 管材用量=竣工图示管道中心线长度×1.01，竣工图示管道中心线长度扣除成品管件（热煨弯头、成品三通、阀门等）所占长度，其中热煨弯头所占长度为展开长度、包含直管段和弯管段；</w:t>
      </w:r>
    </w:p>
    <w:p>
      <w:pPr>
        <w:spacing w:before="62" w:beforeLines="20" w:line="400" w:lineRule="exact"/>
        <w:ind w:firstLine="42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② 其余甲供材料按竣工图示数量。</w:t>
      </w:r>
    </w:p>
    <w:p>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48.8.2 由发包人提供的材料领料、换料、退料运输费、装卸费、保管费等，由承包人计入合同价的对应安装项目中。</w:t>
      </w:r>
    </w:p>
    <w:p>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48.8.3 工程完毕多出的材料 ，承包人应自报告完工之日起15天内退回发包人，否则发包人将根据工程验收情况扣除相应材料费。退回的管材须符合下列条件：</w:t>
      </w:r>
    </w:p>
    <w:p>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①管材尽量保持全条的完整性；</w:t>
      </w:r>
    </w:p>
    <w:p>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②管材外观完好；</w:t>
      </w:r>
    </w:p>
    <w:p>
      <w:pPr>
        <w:spacing w:before="62" w:beforeLines="20" w:line="400" w:lineRule="exact"/>
        <w:ind w:firstLine="480" w:firstLineChars="200"/>
        <w:rPr>
          <w:rFonts w:hint="eastAsia" w:ascii="宋体" w:hAnsi="宋体" w:cs="宋体"/>
          <w:color w:val="auto"/>
          <w:sz w:val="24"/>
          <w:szCs w:val="24"/>
          <w:highlight w:val="none"/>
          <w:u w:val="single"/>
          <w:lang w:eastAsia="zh-CN"/>
        </w:rPr>
      </w:pPr>
      <w:r>
        <w:rPr>
          <w:rFonts w:hint="eastAsia" w:ascii="宋体" w:hAnsi="宋体" w:cs="宋体"/>
          <w:color w:val="auto"/>
          <w:sz w:val="24"/>
          <w:szCs w:val="24"/>
          <w:highlight w:val="none"/>
          <w:u w:val="single"/>
        </w:rPr>
        <w:t>③防腐层完好</w:t>
      </w:r>
      <w:r>
        <w:rPr>
          <w:rFonts w:hint="eastAsia" w:ascii="宋体" w:hAnsi="宋体" w:cs="宋体"/>
          <w:color w:val="auto"/>
          <w:sz w:val="24"/>
          <w:szCs w:val="24"/>
          <w:highlight w:val="none"/>
          <w:u w:val="single"/>
          <w:lang w:eastAsia="zh-CN"/>
        </w:rPr>
        <w:t>；</w:t>
      </w:r>
    </w:p>
    <w:p>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eastAsia="宋体" w:cs="宋体"/>
          <w:color w:val="auto"/>
          <w:sz w:val="24"/>
          <w:szCs w:val="24"/>
          <w:highlight w:val="none"/>
          <w:u w:val="single"/>
          <w:lang w:val="en-US" w:eastAsia="zh-CN"/>
        </w:rPr>
        <w:t>④</w:t>
      </w:r>
      <w:r>
        <w:rPr>
          <w:rFonts w:hint="eastAsia" w:ascii="宋体" w:hAnsi="宋体" w:cs="宋体"/>
          <w:color w:val="auto"/>
          <w:sz w:val="24"/>
          <w:szCs w:val="24"/>
          <w:highlight w:val="none"/>
          <w:u w:val="single"/>
          <w:lang w:val="en-US" w:eastAsia="zh-CN"/>
        </w:rPr>
        <w:t>未经冷弯等二次处理</w:t>
      </w:r>
      <w:r>
        <w:rPr>
          <w:rFonts w:hint="eastAsia" w:ascii="宋体" w:hAnsi="宋体" w:cs="宋体"/>
          <w:color w:val="auto"/>
          <w:sz w:val="24"/>
          <w:szCs w:val="24"/>
          <w:highlight w:val="none"/>
          <w:u w:val="single"/>
        </w:rPr>
        <w:t>。</w:t>
      </w:r>
    </w:p>
    <w:p>
      <w:pPr>
        <w:ind w:firstLine="120" w:firstLineChars="50"/>
        <w:rPr>
          <w:rFonts w:ascii="宋体" w:hAnsi="宋体" w:cs="宋体"/>
          <w:color w:val="auto"/>
          <w:kern w:val="0"/>
          <w:sz w:val="24"/>
          <w:szCs w:val="24"/>
          <w:highlight w:val="none"/>
          <w:u w:val="single"/>
        </w:rPr>
      </w:pPr>
      <w:r>
        <w:rPr>
          <w:rFonts w:hint="eastAsia" w:ascii="宋体" w:hAnsi="宋体" w:cs="宋体"/>
          <w:color w:val="auto"/>
          <w:sz w:val="24"/>
          <w:szCs w:val="24"/>
          <w:highlight w:val="none"/>
          <w:u w:val="single"/>
        </w:rPr>
        <w:t>磨损或浪费的材料经发包人、监理公司确认后折价或全价在施工费中扣除。</w:t>
      </w:r>
    </w:p>
    <w:p>
      <w:pPr>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640" w:name="_Toc22696"/>
      <w:bookmarkStart w:id="1641" w:name="_Toc18261"/>
      <w:bookmarkStart w:id="1642" w:name="_Toc26280"/>
      <w:bookmarkStart w:id="1643" w:name="_Toc15219"/>
      <w:bookmarkStart w:id="1644" w:name="_Toc6641"/>
      <w:bookmarkStart w:id="1645" w:name="_Toc59219981"/>
      <w:bookmarkStart w:id="1646" w:name="_Toc13480"/>
      <w:bookmarkStart w:id="1647" w:name="_Toc469384109"/>
      <w:bookmarkStart w:id="1648" w:name="_Toc342951689"/>
      <w:r>
        <w:rPr>
          <w:rFonts w:hint="eastAsia" w:ascii="宋体" w:hAnsi="宋体" w:cs="宋体"/>
          <w:bCs/>
          <w:color w:val="auto"/>
          <w:sz w:val="24"/>
          <w:szCs w:val="24"/>
          <w:highlight w:val="none"/>
        </w:rPr>
        <w:t>49. 承包人采购材料和工程设备</w:t>
      </w:r>
      <w:bookmarkEnd w:id="1640"/>
      <w:bookmarkEnd w:id="1641"/>
      <w:bookmarkEnd w:id="1642"/>
      <w:bookmarkEnd w:id="1643"/>
      <w:bookmarkEnd w:id="1644"/>
      <w:bookmarkEnd w:id="1645"/>
      <w:bookmarkEnd w:id="1646"/>
      <w:bookmarkEnd w:id="1647"/>
      <w:bookmarkEnd w:id="1648"/>
    </w:p>
    <w:p>
      <w:pPr>
        <w:ind w:firstLine="120" w:firstLineChars="50"/>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49.1 承包人采购材料和工程设备</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按通用条款规定，由承包人负责运输和保管。</w:t>
      </w:r>
    </w:p>
    <w:p>
      <w:pPr>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□另作约定：</w:t>
      </w:r>
    </w:p>
    <w:p>
      <w:pPr>
        <w:ind w:firstLine="120" w:firstLineChars="50"/>
        <w:rPr>
          <w:rFonts w:ascii="宋体" w:hAnsi="宋体" w:cs="宋体"/>
          <w:color w:val="auto"/>
          <w:kern w:val="0"/>
          <w:sz w:val="24"/>
          <w:szCs w:val="24"/>
          <w:highlight w:val="none"/>
        </w:rPr>
      </w:pPr>
    </w:p>
    <w:p>
      <w:pPr>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49.2 承包人供货要求：</w:t>
      </w:r>
      <w:r>
        <w:rPr>
          <w:rFonts w:hint="eastAsia" w:ascii="宋体" w:hAnsi="宋体" w:cs="宋体"/>
          <w:color w:val="auto"/>
          <w:kern w:val="0"/>
          <w:sz w:val="24"/>
          <w:szCs w:val="24"/>
          <w:highlight w:val="none"/>
          <w:u w:val="single"/>
        </w:rPr>
        <w:t>依照通用条款执行，如需使用代用材料设备，代工的材料设备标准、档次不得低于招标文件要求或投标文件承诺。</w:t>
      </w:r>
    </w:p>
    <w:p>
      <w:pPr>
        <w:ind w:firstLine="120" w:firstLineChars="50"/>
        <w:rPr>
          <w:rFonts w:ascii="宋体" w:hAnsi="宋体" w:cs="宋体"/>
          <w:color w:val="auto"/>
          <w:kern w:val="0"/>
          <w:sz w:val="24"/>
          <w:szCs w:val="24"/>
          <w:highlight w:val="none"/>
          <w:u w:val="single"/>
        </w:rPr>
      </w:pPr>
    </w:p>
    <w:p>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49.8 发包人依法指定的生产厂家和供应商：</w:t>
      </w:r>
      <w:r>
        <w:rPr>
          <w:rFonts w:hint="eastAsia" w:ascii="宋体" w:hAnsi="宋体" w:cs="宋体"/>
          <w:color w:val="auto"/>
          <w:kern w:val="0"/>
          <w:sz w:val="24"/>
          <w:szCs w:val="24"/>
          <w:highlight w:val="none"/>
          <w:u w:val="single"/>
        </w:rPr>
        <w:t>无。</w:t>
      </w:r>
    </w:p>
    <w:p>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发包人要求的材料和工程设备建设标准、质量等级：</w:t>
      </w:r>
      <w:r>
        <w:rPr>
          <w:rFonts w:hint="eastAsia" w:ascii="宋体" w:hAnsi="宋体" w:cs="宋体"/>
          <w:color w:val="auto"/>
          <w:kern w:val="0"/>
          <w:sz w:val="24"/>
          <w:szCs w:val="24"/>
          <w:highlight w:val="none"/>
          <w:u w:val="single"/>
        </w:rPr>
        <w:t>合格。</w:t>
      </w: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649" w:name="_Toc10235"/>
      <w:bookmarkStart w:id="1650" w:name="_Toc6033"/>
      <w:bookmarkStart w:id="1651" w:name="_Toc142928475"/>
      <w:bookmarkStart w:id="1652" w:name="_Toc1025292106"/>
      <w:bookmarkStart w:id="1653" w:name="_Toc3442"/>
      <w:bookmarkStart w:id="1654" w:name="_Toc4"/>
      <w:bookmarkStart w:id="1655" w:name="_Toc28214"/>
      <w:bookmarkStart w:id="1656" w:name="_Toc16717"/>
      <w:bookmarkStart w:id="1657" w:name="_Toc469384110"/>
      <w:r>
        <w:rPr>
          <w:rFonts w:hint="eastAsia" w:ascii="宋体" w:hAnsi="宋体" w:cs="宋体"/>
          <w:bCs/>
          <w:color w:val="auto"/>
          <w:sz w:val="24"/>
          <w:szCs w:val="24"/>
          <w:highlight w:val="none"/>
        </w:rPr>
        <w:t>50. 材料和工程设备的检验试验</w:t>
      </w:r>
      <w:bookmarkEnd w:id="1649"/>
      <w:bookmarkEnd w:id="1650"/>
      <w:bookmarkEnd w:id="1651"/>
      <w:bookmarkEnd w:id="1652"/>
      <w:bookmarkEnd w:id="1653"/>
      <w:bookmarkEnd w:id="1654"/>
      <w:bookmarkEnd w:id="1655"/>
      <w:bookmarkEnd w:id="1656"/>
      <w:bookmarkEnd w:id="1657"/>
    </w:p>
    <w:p>
      <w:pPr>
        <w:ind w:firstLine="120" w:firstLineChars="50"/>
        <w:rPr>
          <w:rFonts w:ascii="宋体" w:hAnsi="宋体" w:cs="宋体"/>
          <w:b/>
          <w:bCs/>
          <w:color w:val="auto"/>
          <w:kern w:val="0"/>
          <w:sz w:val="24"/>
          <w:szCs w:val="24"/>
          <w:highlight w:val="none"/>
        </w:rPr>
      </w:pPr>
    </w:p>
    <w:p>
      <w:pPr>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50.2 见证取样检验试验的材料和工程设备</w:t>
      </w:r>
    </w:p>
    <w:p>
      <w:pPr>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（1）种类：</w:t>
      </w:r>
      <w:r>
        <w:rPr>
          <w:rFonts w:hint="eastAsia" w:ascii="宋体" w:hAnsi="宋体" w:cs="宋体"/>
          <w:color w:val="auto"/>
          <w:kern w:val="0"/>
          <w:sz w:val="24"/>
          <w:szCs w:val="24"/>
          <w:highlight w:val="none"/>
          <w:u w:val="single"/>
        </w:rPr>
        <w:t>根据国家法律法规及省、市相关规定执行。</w:t>
      </w:r>
    </w:p>
    <w:p>
      <w:pPr>
        <w:ind w:firstLine="120" w:firstLineChars="50"/>
        <w:rPr>
          <w:rFonts w:ascii="宋体" w:hAnsi="宋体" w:cs="宋体"/>
          <w:color w:val="auto"/>
          <w:kern w:val="0"/>
          <w:sz w:val="24"/>
          <w:szCs w:val="24"/>
          <w:highlight w:val="none"/>
        </w:rPr>
      </w:pPr>
    </w:p>
    <w:p>
      <w:pPr>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（2）检测机构：</w:t>
      </w:r>
      <w:r>
        <w:rPr>
          <w:rFonts w:hint="eastAsia" w:ascii="宋体" w:hAnsi="宋体" w:cs="宋体"/>
          <w:color w:val="auto"/>
          <w:kern w:val="0"/>
          <w:sz w:val="24"/>
          <w:szCs w:val="24"/>
          <w:highlight w:val="none"/>
          <w:u w:val="single"/>
        </w:rPr>
        <w:t>根据国家法律法规及省、市相关规定执行，相关费用由发包人承担。</w:t>
      </w:r>
    </w:p>
    <w:p>
      <w:pPr>
        <w:ind w:firstLine="120" w:firstLineChars="50"/>
        <w:rPr>
          <w:rFonts w:ascii="宋体" w:hAnsi="宋体" w:cs="宋体"/>
          <w:color w:val="auto"/>
          <w:sz w:val="24"/>
          <w:szCs w:val="24"/>
          <w:highlight w:val="none"/>
          <w:u w:val="singl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658" w:name="_Toc30250"/>
      <w:bookmarkStart w:id="1659" w:name="_Toc27015"/>
      <w:bookmarkStart w:id="1660" w:name="_Toc675642014"/>
      <w:bookmarkStart w:id="1661" w:name="_Toc16979"/>
      <w:bookmarkStart w:id="1662" w:name="_Toc1312161979"/>
      <w:bookmarkStart w:id="1663" w:name="_Toc15202"/>
      <w:bookmarkStart w:id="1664" w:name="_Toc16662"/>
      <w:bookmarkStart w:id="1665" w:name="_Toc9407"/>
      <w:bookmarkStart w:id="1666" w:name="_Toc469384111"/>
      <w:r>
        <w:rPr>
          <w:rFonts w:hint="eastAsia" w:ascii="宋体" w:hAnsi="宋体" w:cs="宋体"/>
          <w:bCs/>
          <w:color w:val="auto"/>
          <w:sz w:val="24"/>
          <w:szCs w:val="24"/>
          <w:highlight w:val="none"/>
        </w:rPr>
        <w:t>51. 施工设备和临时设施</w:t>
      </w:r>
      <w:bookmarkEnd w:id="1658"/>
      <w:bookmarkEnd w:id="1659"/>
      <w:bookmarkEnd w:id="1660"/>
      <w:bookmarkEnd w:id="1661"/>
      <w:bookmarkEnd w:id="1662"/>
      <w:bookmarkEnd w:id="1663"/>
      <w:bookmarkEnd w:id="1664"/>
      <w:bookmarkEnd w:id="1665"/>
      <w:bookmarkEnd w:id="1666"/>
    </w:p>
    <w:p>
      <w:pPr>
        <w:ind w:firstLine="120" w:firstLineChars="50"/>
        <w:rPr>
          <w:rFonts w:ascii="宋体" w:hAnsi="宋体" w:cs="宋体"/>
          <w:color w:val="auto"/>
          <w:sz w:val="24"/>
          <w:szCs w:val="24"/>
          <w:highlight w:val="none"/>
        </w:rPr>
      </w:pPr>
    </w:p>
    <w:p>
      <w:pPr>
        <w:spacing w:line="360" w:lineRule="auto"/>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 xml:space="preserve">  51.1 承包人配置施工设备和临时设施</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sz w:val="24"/>
          <w:szCs w:val="24"/>
          <w:highlight w:val="none"/>
        </w:rPr>
        <w:t>□</w:t>
      </w:r>
      <w:r>
        <w:rPr>
          <w:rFonts w:hint="eastAsia" w:ascii="宋体" w:hAnsi="宋体" w:cs="宋体"/>
          <w:color w:val="auto"/>
          <w:kern w:val="0"/>
          <w:sz w:val="24"/>
          <w:szCs w:val="24"/>
          <w:highlight w:val="none"/>
        </w:rPr>
        <w:t>按通用条款规定，承包人承担修建临时设施的费用。</w:t>
      </w:r>
    </w:p>
    <w:p>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kern w:val="0"/>
          <w:sz w:val="24"/>
          <w:szCs w:val="24"/>
          <w:highlight w:val="none"/>
          <w:u w:val="single"/>
        </w:rPr>
        <w:t>临时设施的修建需临时占地的，由承包人自行办理其申请手续，并承担相关费用。</w:t>
      </w:r>
    </w:p>
    <w:p>
      <w:pPr>
        <w:spacing w:line="360" w:lineRule="auto"/>
        <w:ind w:firstLine="120" w:firstLineChars="50"/>
        <w:rPr>
          <w:rFonts w:ascii="宋体" w:hAnsi="宋体" w:cs="宋体"/>
          <w:color w:val="auto"/>
          <w:kern w:val="0"/>
          <w:sz w:val="24"/>
          <w:szCs w:val="24"/>
          <w:highlight w:val="none"/>
        </w:rPr>
      </w:pPr>
    </w:p>
    <w:p>
      <w:pPr>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51.2 发包人提供的施工设备和临时设施：</w:t>
      </w:r>
      <w:r>
        <w:rPr>
          <w:rFonts w:hint="eastAsia" w:ascii="宋体" w:hAnsi="宋体" w:cs="宋体"/>
          <w:color w:val="auto"/>
          <w:kern w:val="0"/>
          <w:sz w:val="24"/>
          <w:szCs w:val="24"/>
          <w:highlight w:val="none"/>
          <w:u w:val="single"/>
        </w:rPr>
        <w:t>无。</w:t>
      </w:r>
    </w:p>
    <w:p>
      <w:pPr>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667" w:name="_Toc22123"/>
      <w:bookmarkStart w:id="1668" w:name="_Toc1769287609"/>
      <w:bookmarkStart w:id="1669" w:name="_Toc996810010"/>
      <w:bookmarkStart w:id="1670" w:name="_Toc6665"/>
      <w:bookmarkStart w:id="1671" w:name="_Toc469384112"/>
      <w:bookmarkStart w:id="1672" w:name="_Toc2148"/>
      <w:bookmarkStart w:id="1673" w:name="_Toc19227"/>
      <w:bookmarkStart w:id="1674" w:name="_Toc1892"/>
      <w:bookmarkStart w:id="1675" w:name="_Toc6297"/>
      <w:r>
        <w:rPr>
          <w:rFonts w:hint="eastAsia" w:ascii="宋体" w:hAnsi="宋体" w:cs="宋体"/>
          <w:bCs/>
          <w:color w:val="auto"/>
          <w:sz w:val="24"/>
          <w:szCs w:val="24"/>
          <w:highlight w:val="none"/>
        </w:rPr>
        <w:t>53. 隐蔽工程和中间验收</w:t>
      </w:r>
      <w:bookmarkEnd w:id="1667"/>
      <w:bookmarkEnd w:id="1668"/>
      <w:bookmarkEnd w:id="1669"/>
      <w:bookmarkEnd w:id="1670"/>
      <w:bookmarkEnd w:id="1671"/>
      <w:bookmarkEnd w:id="1672"/>
      <w:bookmarkEnd w:id="1673"/>
      <w:bookmarkEnd w:id="1674"/>
      <w:bookmarkEnd w:id="1675"/>
    </w:p>
    <w:p>
      <w:pPr>
        <w:ind w:firstLine="120" w:firstLineChars="50"/>
        <w:rPr>
          <w:rFonts w:ascii="宋体" w:hAnsi="宋体" w:cs="宋体"/>
          <w:color w:val="auto"/>
          <w:kern w:val="0"/>
          <w:sz w:val="24"/>
          <w:szCs w:val="24"/>
          <w:highlight w:val="none"/>
        </w:rPr>
      </w:pPr>
    </w:p>
    <w:p>
      <w:pPr>
        <w:spacing w:line="360" w:lineRule="auto"/>
        <w:ind w:left="120" w:leftChars="57"/>
        <w:rPr>
          <w:rFonts w:ascii="宋体" w:hAnsi="宋体" w:cs="宋体"/>
          <w:color w:val="auto"/>
          <w:kern w:val="0"/>
          <w:sz w:val="24"/>
          <w:szCs w:val="24"/>
          <w:highlight w:val="none"/>
        </w:rPr>
      </w:pPr>
      <w:r>
        <w:rPr>
          <w:rFonts w:hint="eastAsia" w:ascii="宋体" w:hAnsi="宋体" w:cs="宋体"/>
          <w:color w:val="auto"/>
          <w:kern w:val="0"/>
          <w:sz w:val="24"/>
          <w:szCs w:val="24"/>
          <w:highlight w:val="none"/>
        </w:rPr>
        <w:t>隐蔽工程或中间验收部位未经专业监理工程师验收合格，不得隐蔽或继续施工，否则该部分工程被视为不合格，由此所产生的返工费用由承包人承担。</w:t>
      </w:r>
    </w:p>
    <w:p>
      <w:pPr>
        <w:ind w:firstLine="120" w:firstLineChars="50"/>
        <w:rPr>
          <w:rFonts w:ascii="宋体" w:hAnsi="宋体" w:cs="宋体"/>
          <w:color w:val="auto"/>
          <w:kern w:val="0"/>
          <w:sz w:val="24"/>
          <w:szCs w:val="24"/>
          <w:highlight w:val="none"/>
        </w:rPr>
      </w:pPr>
    </w:p>
    <w:p>
      <w:pPr>
        <w:spacing w:before="62" w:beforeLines="20" w:line="400" w:lineRule="exact"/>
        <w:ind w:firstLine="480" w:firstLineChars="200"/>
        <w:rPr>
          <w:rFonts w:ascii="宋体" w:hAnsi="宋体" w:cs="宋体"/>
          <w:color w:val="auto"/>
          <w:sz w:val="24"/>
          <w:szCs w:val="24"/>
          <w:highlight w:val="none"/>
          <w:u w:val="single"/>
        </w:rPr>
      </w:pPr>
      <w:bookmarkStart w:id="1676" w:name="_Toc1263"/>
      <w:r>
        <w:rPr>
          <w:rFonts w:hint="eastAsia" w:ascii="宋体" w:hAnsi="宋体" w:cs="宋体"/>
          <w:color w:val="auto"/>
          <w:sz w:val="24"/>
          <w:szCs w:val="24"/>
          <w:highlight w:val="none"/>
        </w:rPr>
        <w:t>53.1 中间验收的部位有：</w:t>
      </w:r>
      <w:r>
        <w:rPr>
          <w:rFonts w:hint="eastAsia" w:ascii="宋体" w:hAnsi="宋体" w:cs="宋体"/>
          <w:color w:val="auto"/>
          <w:kern w:val="0"/>
          <w:sz w:val="24"/>
          <w:szCs w:val="24"/>
          <w:highlight w:val="none"/>
        </w:rPr>
        <w:t>按相关法律法规执行，包括但不限于：</w:t>
      </w:r>
      <w:r>
        <w:rPr>
          <w:rFonts w:ascii="宋体" w:hAnsi="宋体" w:cs="宋体"/>
          <w:color w:val="auto"/>
          <w:kern w:val="0"/>
          <w:sz w:val="24"/>
          <w:szCs w:val="24"/>
          <w:highlight w:val="none"/>
        </w:rPr>
        <w:t>1</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所有材料进场检验；2</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管道下沟前的沟槽检查；3</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所有隐蔽工序；4</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交叉工序；5</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管道覆土前、后的检查； 6</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管道的强度试验；7</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管道的严密性试验； 8</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管道的吹扫试验；9</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阀门气密性试验； 10</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钢管焊缝质量检查；11</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管道、焊口防腐质量检查；12</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管道、设备的保温隔热；13</w:t>
      </w:r>
      <w:r>
        <w:rPr>
          <w:rFonts w:hint="eastAsia" w:ascii="宋体" w:hAnsi="宋体" w:cs="宋体"/>
          <w:color w:val="auto"/>
          <w:kern w:val="0"/>
          <w:sz w:val="24"/>
          <w:szCs w:val="24"/>
          <w:highlight w:val="none"/>
          <w:lang w:val="en-US" w:eastAsia="zh-CN"/>
        </w:rPr>
        <w:t>.</w:t>
      </w:r>
      <w:r>
        <w:rPr>
          <w:rFonts w:ascii="宋体" w:hAnsi="宋体" w:cs="宋体"/>
          <w:color w:val="auto"/>
          <w:kern w:val="0"/>
          <w:sz w:val="24"/>
          <w:szCs w:val="24"/>
          <w:highlight w:val="none"/>
        </w:rPr>
        <w:t xml:space="preserve">《广州市住房和城乡建设局关于加强房屋建筑重要分部（子分部）工程质量验收工作的通知》（穗建规字〔2019〕9 </w:t>
      </w:r>
      <w:r>
        <w:rPr>
          <w:rFonts w:hint="eastAsia" w:ascii="宋体" w:hAnsi="宋体" w:cs="宋体"/>
          <w:color w:val="auto"/>
          <w:kern w:val="0"/>
          <w:sz w:val="24"/>
          <w:szCs w:val="24"/>
          <w:highlight w:val="none"/>
        </w:rPr>
        <w:t>号）所涉及的有关重要分部工程。</w:t>
      </w:r>
      <w:bookmarkEnd w:id="1676"/>
    </w:p>
    <w:p>
      <w:pPr>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677" w:name="_Toc469384113"/>
      <w:bookmarkStart w:id="1678" w:name="_Toc15644"/>
      <w:bookmarkStart w:id="1679" w:name="_Toc5123"/>
      <w:bookmarkStart w:id="1680" w:name="_Toc865907823"/>
      <w:bookmarkStart w:id="1681" w:name="_Toc3543"/>
      <w:bookmarkStart w:id="1682" w:name="_Toc210784454"/>
      <w:bookmarkStart w:id="1683" w:name="_Toc15485"/>
      <w:bookmarkStart w:id="1684" w:name="_Toc26091"/>
      <w:bookmarkStart w:id="1685" w:name="_Toc8027"/>
      <w:r>
        <w:rPr>
          <w:rFonts w:hint="eastAsia" w:ascii="宋体" w:hAnsi="宋体" w:cs="宋体"/>
          <w:bCs/>
          <w:color w:val="auto"/>
          <w:sz w:val="24"/>
          <w:szCs w:val="24"/>
          <w:highlight w:val="none"/>
        </w:rPr>
        <w:t>55. 工程试车</w:t>
      </w:r>
      <w:bookmarkEnd w:id="1677"/>
      <w:bookmarkEnd w:id="1678"/>
      <w:bookmarkEnd w:id="1679"/>
      <w:bookmarkEnd w:id="1680"/>
      <w:bookmarkEnd w:id="1681"/>
      <w:bookmarkEnd w:id="1682"/>
      <w:bookmarkEnd w:id="1683"/>
      <w:bookmarkEnd w:id="1684"/>
      <w:bookmarkEnd w:id="1685"/>
    </w:p>
    <w:p>
      <w:pPr>
        <w:ind w:firstLine="120" w:firstLineChars="50"/>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55.1 试车内容</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□不需要试车的，本条不适用。</w:t>
      </w:r>
    </w:p>
    <w:p>
      <w:pPr>
        <w:spacing w:line="360" w:lineRule="auto"/>
        <w:ind w:firstLine="90" w:firstLineChars="50"/>
        <w:rPr>
          <w:rFonts w:ascii="宋体" w:hAnsi="宋体" w:cs="宋体"/>
          <w:color w:val="auto"/>
          <w:kern w:val="0"/>
          <w:sz w:val="24"/>
          <w:szCs w:val="24"/>
          <w:highlight w:val="none"/>
          <w:u w:val="singl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需要试车的，试车的内容和要求：</w:t>
      </w:r>
      <w:r>
        <w:rPr>
          <w:rFonts w:hint="eastAsia" w:ascii="宋体" w:hAnsi="宋体" w:cs="宋体"/>
          <w:color w:val="auto"/>
          <w:kern w:val="0"/>
          <w:sz w:val="24"/>
          <w:szCs w:val="24"/>
          <w:highlight w:val="none"/>
          <w:u w:val="single"/>
        </w:rPr>
        <w:t>试车费用已包含在合同价内，发包人不另行计量支付。</w:t>
      </w:r>
    </w:p>
    <w:p>
      <w:pPr>
        <w:spacing w:line="360" w:lineRule="auto"/>
        <w:ind w:firstLine="120" w:firstLineChars="50"/>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686" w:name="_Toc4832"/>
      <w:bookmarkStart w:id="1687" w:name="_Toc17151"/>
      <w:bookmarkStart w:id="1688" w:name="_Toc1453784475"/>
      <w:bookmarkStart w:id="1689" w:name="_Toc16509"/>
      <w:bookmarkStart w:id="1690" w:name="_Toc9023"/>
      <w:bookmarkStart w:id="1691" w:name="_Toc1963589089"/>
      <w:bookmarkStart w:id="1692" w:name="_Toc23479"/>
      <w:bookmarkStart w:id="1693" w:name="_Toc25463"/>
      <w:bookmarkStart w:id="1694" w:name="_Toc469384114"/>
      <w:r>
        <w:rPr>
          <w:rFonts w:hint="eastAsia" w:ascii="宋体" w:hAnsi="宋体" w:cs="宋体"/>
          <w:bCs/>
          <w:color w:val="auto"/>
          <w:sz w:val="24"/>
          <w:szCs w:val="24"/>
          <w:highlight w:val="none"/>
        </w:rPr>
        <w:t>56．工程变更</w:t>
      </w:r>
      <w:bookmarkEnd w:id="1686"/>
      <w:bookmarkEnd w:id="1687"/>
      <w:bookmarkEnd w:id="1688"/>
      <w:bookmarkEnd w:id="1689"/>
      <w:bookmarkEnd w:id="1690"/>
      <w:bookmarkEnd w:id="1691"/>
      <w:bookmarkEnd w:id="1692"/>
      <w:bookmarkEnd w:id="1693"/>
      <w:bookmarkEnd w:id="1694"/>
    </w:p>
    <w:p>
      <w:pPr>
        <w:ind w:firstLine="120" w:firstLineChars="50"/>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56.4 承包人提出工程变更建议</w:t>
      </w:r>
    </w:p>
    <w:p>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发包人采纳承包人建议带来利益的计奖方法：</w:t>
      </w:r>
      <w:r>
        <w:rPr>
          <w:rFonts w:hint="eastAsia" w:ascii="宋体" w:hAnsi="宋体" w:cs="宋体"/>
          <w:color w:val="auto"/>
          <w:kern w:val="0"/>
          <w:sz w:val="24"/>
          <w:szCs w:val="24"/>
          <w:highlight w:val="none"/>
          <w:u w:val="single"/>
        </w:rPr>
        <w:t>该通用条款不执行。</w:t>
      </w:r>
    </w:p>
    <w:p>
      <w:pPr>
        <w:spacing w:line="360" w:lineRule="auto"/>
        <w:ind w:firstLine="120" w:firstLineChars="50"/>
        <w:rPr>
          <w:rFonts w:ascii="宋体" w:hAnsi="宋体" w:cs="宋体"/>
          <w:color w:val="auto"/>
          <w:kern w:val="0"/>
          <w:sz w:val="24"/>
          <w:szCs w:val="24"/>
          <w:highlight w:val="none"/>
          <w:u w:val="singl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695" w:name="_Toc469384115"/>
      <w:bookmarkStart w:id="1696" w:name="_Toc1834219406"/>
      <w:bookmarkStart w:id="1697" w:name="_Toc1660615374"/>
      <w:bookmarkStart w:id="1698" w:name="_Toc798"/>
      <w:bookmarkStart w:id="1699" w:name="_Toc4843"/>
      <w:bookmarkStart w:id="1700" w:name="_Toc201"/>
      <w:bookmarkStart w:id="1701" w:name="_Toc11943"/>
      <w:bookmarkStart w:id="1702" w:name="_Toc11821"/>
      <w:bookmarkStart w:id="1703" w:name="_Toc19817"/>
      <w:r>
        <w:rPr>
          <w:rFonts w:hint="eastAsia" w:ascii="宋体" w:hAnsi="宋体" w:cs="宋体"/>
          <w:bCs/>
          <w:color w:val="auto"/>
          <w:sz w:val="24"/>
          <w:szCs w:val="24"/>
          <w:highlight w:val="none"/>
        </w:rPr>
        <w:t>58. 竣工验收</w:t>
      </w:r>
      <w:bookmarkEnd w:id="1695"/>
      <w:bookmarkEnd w:id="1696"/>
      <w:bookmarkEnd w:id="1697"/>
      <w:bookmarkEnd w:id="1698"/>
      <w:bookmarkEnd w:id="1699"/>
      <w:bookmarkEnd w:id="1700"/>
      <w:bookmarkEnd w:id="1701"/>
      <w:bookmarkEnd w:id="1702"/>
      <w:bookmarkEnd w:id="1703"/>
    </w:p>
    <w:p>
      <w:pPr>
        <w:ind w:firstLine="120" w:firstLineChars="50"/>
        <w:rPr>
          <w:rFonts w:ascii="宋体" w:hAnsi="宋体" w:cs="宋体"/>
          <w:color w:val="auto"/>
          <w:kern w:val="0"/>
          <w:sz w:val="24"/>
          <w:szCs w:val="24"/>
          <w:highlight w:val="none"/>
        </w:rPr>
      </w:pPr>
    </w:p>
    <w:p>
      <w:pPr>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58.1 竣工验收标准</w:t>
      </w:r>
    </w:p>
    <w:p>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合同工程竣工验收标准：</w:t>
      </w:r>
      <w:r>
        <w:rPr>
          <w:rFonts w:hint="eastAsia" w:ascii="宋体" w:hAnsi="宋体" w:cs="宋体"/>
          <w:color w:val="auto"/>
          <w:kern w:val="0"/>
          <w:sz w:val="24"/>
          <w:szCs w:val="24"/>
          <w:highlight w:val="none"/>
          <w:u w:val="single"/>
        </w:rPr>
        <w:t>竣工验收评定质量等级为合格。</w:t>
      </w:r>
      <w:r>
        <w:rPr>
          <w:rFonts w:hint="eastAsia" w:ascii="宋体" w:hAnsi="宋体" w:cs="宋体"/>
          <w:color w:val="auto"/>
          <w:sz w:val="24"/>
          <w:szCs w:val="24"/>
          <w:highlight w:val="none"/>
          <w:u w:val="single"/>
        </w:rPr>
        <w:t>《燃气工程项目规范》（GB55009-2021）、</w:t>
      </w:r>
      <w:r>
        <w:rPr>
          <w:rFonts w:hint="eastAsia" w:ascii="宋体" w:hAnsi="宋体" w:cs="宋体"/>
          <w:strike w:val="0"/>
          <w:color w:val="auto"/>
          <w:sz w:val="24"/>
          <w:szCs w:val="24"/>
          <w:highlight w:val="none"/>
          <w:u w:val="single"/>
        </w:rPr>
        <w:t>《城镇燃气输配工程施工及验收标准》（编号为GB/T51455-2023）</w:t>
      </w:r>
      <w:r>
        <w:rPr>
          <w:rFonts w:hint="eastAsia" w:ascii="宋体" w:hAnsi="宋体" w:cs="宋体"/>
          <w:color w:val="auto"/>
          <w:sz w:val="24"/>
          <w:szCs w:val="24"/>
          <w:highlight w:val="none"/>
          <w:u w:val="single"/>
        </w:rPr>
        <w:t>、《油气长输管道工程施工及验收规范》（GB50424-2020）、《油气输送管道穿越工程施工规范》（GB50424-2015）、《承压设备无损检测》（NB/T47013.1～47013.6-2015） 、《石油天然气钢质管道无损检测》（SY/T4109-20</w:t>
      </w:r>
      <w:r>
        <w:rPr>
          <w:rFonts w:hint="eastAsia" w:ascii="宋体" w:hAnsi="宋体" w:cs="宋体"/>
          <w:color w:val="auto"/>
          <w:sz w:val="24"/>
          <w:szCs w:val="24"/>
          <w:highlight w:val="none"/>
          <w:u w:val="single"/>
          <w:lang w:val="en-US" w:eastAsia="zh-CN"/>
        </w:rPr>
        <w:t>2</w:t>
      </w:r>
      <w:r>
        <w:rPr>
          <w:rFonts w:hint="eastAsia" w:ascii="宋体" w:hAnsi="宋体" w:cs="宋体"/>
          <w:color w:val="auto"/>
          <w:sz w:val="24"/>
          <w:szCs w:val="24"/>
          <w:highlight w:val="none"/>
          <w:u w:val="single"/>
        </w:rPr>
        <w:t>3）、设计文件要求等。</w:t>
      </w:r>
    </w:p>
    <w:p>
      <w:pPr>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58.8 单位工程和工程部位验收</w:t>
      </w:r>
    </w:p>
    <w:p>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sym w:font="Times New Roman" w:char="0000"/>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合同工程无单位工程、无工程部位提前验收的，本款不适用。</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□合同工程单位工程或工程部位需提前验收的，各单位工程或工程部位的名称、竣工验收时间和范围如下：</w:t>
      </w:r>
    </w:p>
    <w:p>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（1）（名称）工程或部位，竣工验收时间为，其范围包括：</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（2）（名称）工程或部位，竣工验收时间为，其范围包括：</w:t>
      </w:r>
    </w:p>
    <w:p>
      <w:pPr>
        <w:rPr>
          <w:rFonts w:ascii="宋体" w:hAnsi="宋体" w:cs="宋体"/>
          <w:color w:val="auto"/>
          <w:kern w:val="0"/>
          <w:sz w:val="24"/>
          <w:szCs w:val="24"/>
          <w:highlight w:val="none"/>
        </w:rPr>
      </w:pPr>
    </w:p>
    <w:p>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58.9 施工期运行</w:t>
      </w:r>
    </w:p>
    <w:p>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sym w:font="Times New Roman" w:char="0000"/>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合同工程无单位工程、无工程部位在施工期运行的，本款不适用。</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□合同工程单位工程或工程部位需在施工期运行的，各单位工程或工程部位的名称、运行时间如下：</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（1）（名称）工程或部位，运行时间为；</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（2）（名称）工程或部位，运行时间为。</w:t>
      </w:r>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58.10 竣工清场 </w:t>
      </w:r>
    </w:p>
    <w:p>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按通用条款规定。</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□另作约定：</w:t>
      </w:r>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58.11施工队伍的撤离</w:t>
      </w:r>
    </w:p>
    <w:p>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按通用条款规定，承包人的人员和施工设备全部撤离施工现场。</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□另作约定：</w:t>
      </w:r>
    </w:p>
    <w:p>
      <w:pPr>
        <w:spacing w:line="360" w:lineRule="auto"/>
        <w:rPr>
          <w:rFonts w:ascii="宋体" w:hAnsi="宋体" w:cs="宋体"/>
          <w:color w:val="auto"/>
          <w:kern w:val="0"/>
          <w:sz w:val="24"/>
          <w:szCs w:val="24"/>
          <w:highlight w:val="none"/>
          <w:u w:val="singl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704" w:name="_Toc469384116"/>
      <w:bookmarkStart w:id="1705" w:name="_Toc30159"/>
      <w:bookmarkStart w:id="1706" w:name="_Toc1265114406"/>
      <w:bookmarkStart w:id="1707" w:name="_Toc597803957"/>
      <w:bookmarkStart w:id="1708" w:name="_Toc6830"/>
      <w:bookmarkStart w:id="1709" w:name="_Toc23804"/>
      <w:bookmarkStart w:id="1710" w:name="_Toc16514"/>
      <w:bookmarkStart w:id="1711" w:name="_Toc3868"/>
      <w:bookmarkStart w:id="1712" w:name="_Toc11884"/>
      <w:r>
        <w:rPr>
          <w:rFonts w:hint="eastAsia" w:ascii="宋体" w:hAnsi="宋体" w:cs="宋体"/>
          <w:bCs/>
          <w:color w:val="auto"/>
          <w:sz w:val="24"/>
          <w:szCs w:val="24"/>
          <w:highlight w:val="none"/>
        </w:rPr>
        <w:t>59. 缺陷责任与质量保修</w:t>
      </w:r>
      <w:bookmarkEnd w:id="1704"/>
      <w:bookmarkEnd w:id="1705"/>
      <w:bookmarkEnd w:id="1706"/>
      <w:bookmarkEnd w:id="1707"/>
      <w:bookmarkEnd w:id="1708"/>
      <w:bookmarkEnd w:id="1709"/>
      <w:bookmarkEnd w:id="1710"/>
      <w:bookmarkEnd w:id="1711"/>
      <w:bookmarkEnd w:id="1712"/>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59.1 缺陷责任期计算</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缺陷责任期：</w:t>
      </w:r>
      <w:r>
        <w:rPr>
          <w:rFonts w:hint="eastAsia" w:ascii="宋体" w:hAnsi="宋体" w:cs="宋体"/>
          <w:color w:val="auto"/>
          <w:kern w:val="0"/>
          <w:sz w:val="24"/>
          <w:szCs w:val="24"/>
          <w:highlight w:val="none"/>
          <w:u w:val="single"/>
        </w:rPr>
        <w:t>2年。</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59.3缺陷责任：工程竣工验收时或保修期内发现质量不合格，承包人必须在规定限期内返工；返工后经检验仍不合格的，继续返工至合格，承包人必须承担由于自身原因引起的全部返工费用，不能明确返工原因的，仍需由承包单位承担全部费用。承包人还必须承担因此造成的第三方损失和承担因此引起的法律责任。</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59.8 质量保修期计算</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质量保修期：</w:t>
      </w:r>
      <w:r>
        <w:rPr>
          <w:rFonts w:hint="eastAsia" w:ascii="宋体" w:hAnsi="宋体" w:cs="宋体"/>
          <w:color w:val="auto"/>
          <w:kern w:val="0"/>
          <w:sz w:val="24"/>
          <w:szCs w:val="24"/>
          <w:highlight w:val="none"/>
          <w:u w:val="single"/>
        </w:rPr>
        <w:t>参照法规及附件《工程质量保修书》要求。</w:t>
      </w:r>
    </w:p>
    <w:p>
      <w:pPr>
        <w:spacing w:line="360" w:lineRule="auto"/>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713" w:name="_Toc19781"/>
      <w:bookmarkStart w:id="1714" w:name="_Toc3837"/>
      <w:bookmarkStart w:id="1715" w:name="_Toc15457"/>
      <w:bookmarkStart w:id="1716" w:name="_Toc2973"/>
      <w:bookmarkStart w:id="1717" w:name="_Toc29970"/>
      <w:bookmarkStart w:id="1718" w:name="_Toc1362604633"/>
      <w:bookmarkStart w:id="1719" w:name="_Toc542232695"/>
      <w:bookmarkStart w:id="1720" w:name="_Toc27436"/>
      <w:bookmarkStart w:id="1721" w:name="_Toc469384117"/>
      <w:r>
        <w:rPr>
          <w:rFonts w:hint="eastAsia" w:ascii="宋体" w:hAnsi="宋体" w:cs="宋体"/>
          <w:bCs/>
          <w:color w:val="auto"/>
          <w:sz w:val="24"/>
          <w:szCs w:val="24"/>
          <w:highlight w:val="none"/>
        </w:rPr>
        <w:t>60. 资金计划和安排</w:t>
      </w:r>
      <w:bookmarkEnd w:id="1713"/>
      <w:bookmarkEnd w:id="1714"/>
      <w:bookmarkEnd w:id="1715"/>
      <w:bookmarkEnd w:id="1716"/>
      <w:bookmarkEnd w:id="1717"/>
      <w:bookmarkEnd w:id="1718"/>
      <w:bookmarkEnd w:id="1719"/>
      <w:bookmarkEnd w:id="1720"/>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60.2发包人提供资金安排证据：此通用条款不执行。</w:t>
      </w: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722" w:name="_Toc21043"/>
      <w:bookmarkStart w:id="1723" w:name="_Toc25639"/>
      <w:bookmarkStart w:id="1724" w:name="_Toc530455223"/>
      <w:bookmarkStart w:id="1725" w:name="_Toc1312"/>
      <w:bookmarkStart w:id="1726" w:name="_Toc15492"/>
      <w:bookmarkStart w:id="1727" w:name="_Toc24450"/>
      <w:bookmarkStart w:id="1728" w:name="_Toc12956"/>
      <w:bookmarkStart w:id="1729" w:name="_Toc1531790644"/>
      <w:r>
        <w:rPr>
          <w:rFonts w:hint="eastAsia" w:ascii="宋体" w:hAnsi="宋体" w:cs="宋体"/>
          <w:bCs/>
          <w:color w:val="auto"/>
          <w:sz w:val="24"/>
          <w:szCs w:val="24"/>
          <w:highlight w:val="none"/>
        </w:rPr>
        <w:t>61. 工程量</w:t>
      </w:r>
      <w:bookmarkEnd w:id="1721"/>
      <w:bookmarkEnd w:id="1722"/>
      <w:bookmarkEnd w:id="1723"/>
      <w:bookmarkEnd w:id="1724"/>
      <w:bookmarkEnd w:id="1725"/>
      <w:bookmarkEnd w:id="1726"/>
      <w:bookmarkEnd w:id="1727"/>
      <w:bookmarkEnd w:id="1728"/>
      <w:bookmarkEnd w:id="1729"/>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61.1 清单工程量包括的工作内容</w:t>
      </w:r>
    </w:p>
    <w:p>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按通用条款规定。</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□另作约定： </w:t>
      </w:r>
    </w:p>
    <w:p>
      <w:pPr>
        <w:spacing w:line="360" w:lineRule="auto"/>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730" w:name="_Toc18262"/>
      <w:bookmarkStart w:id="1731" w:name="_Toc23582"/>
      <w:bookmarkStart w:id="1732" w:name="_Toc25398"/>
      <w:bookmarkStart w:id="1733" w:name="_Toc32545"/>
      <w:bookmarkStart w:id="1734" w:name="_Toc192"/>
      <w:bookmarkStart w:id="1735" w:name="_Toc13352"/>
      <w:bookmarkStart w:id="1736" w:name="_Toc771393472"/>
      <w:bookmarkStart w:id="1737" w:name="_Toc1156314264"/>
      <w:r>
        <w:rPr>
          <w:rFonts w:hint="eastAsia" w:ascii="宋体" w:hAnsi="宋体" w:cs="宋体"/>
          <w:bCs/>
          <w:color w:val="auto"/>
          <w:sz w:val="24"/>
          <w:szCs w:val="24"/>
          <w:highlight w:val="none"/>
        </w:rPr>
        <w:t>62. 工程计量和计价</w:t>
      </w:r>
      <w:bookmarkEnd w:id="1730"/>
      <w:bookmarkEnd w:id="1731"/>
      <w:bookmarkEnd w:id="1732"/>
      <w:bookmarkEnd w:id="1733"/>
      <w:bookmarkEnd w:id="1734"/>
      <w:bookmarkEnd w:id="1735"/>
      <w:bookmarkEnd w:id="1736"/>
      <w:bookmarkEnd w:id="1737"/>
    </w:p>
    <w:p>
      <w:pPr>
        <w:keepNext/>
        <w:keepLines/>
        <w:tabs>
          <w:tab w:val="left" w:pos="420"/>
        </w:tabs>
        <w:spacing w:before="120" w:after="120" w:line="416" w:lineRule="auto"/>
        <w:jc w:val="center"/>
        <w:rPr>
          <w:rFonts w:ascii="宋体" w:hAnsi="宋体" w:cs="宋体"/>
          <w:bCs/>
          <w:color w:val="auto"/>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62.5收到已完工程款额报告的限制</w:t>
      </w:r>
    </w:p>
    <w:p>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□按通用条款规定。</w:t>
      </w:r>
    </w:p>
    <w:p>
      <w:pPr>
        <w:spacing w:line="360" w:lineRule="auto"/>
        <w:ind w:firstLine="360" w:firstLineChars="20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 xml:space="preserve">另作约定： </w:t>
      </w:r>
      <w:r>
        <w:rPr>
          <w:rFonts w:hint="eastAsia" w:ascii="宋体" w:hAnsi="宋体" w:cs="宋体"/>
          <w:color w:val="auto"/>
          <w:kern w:val="0"/>
          <w:sz w:val="24"/>
          <w:szCs w:val="24"/>
          <w:highlight w:val="none"/>
          <w:u w:val="single"/>
        </w:rPr>
        <w:t>监理工程师收到承包人按照第专用条款第81.1款规定提交的已完工程款额报告后进行核实，提交发包人代表，经发包人审核确认报告中开列的工程量，作为工程计价和工程款支付的依据。</w:t>
      </w:r>
    </w:p>
    <w:p>
      <w:pPr>
        <w:spacing w:line="360" w:lineRule="auto"/>
        <w:ind w:firstLine="480" w:firstLineChars="200"/>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738" w:name="_Toc1098"/>
      <w:bookmarkStart w:id="1739" w:name="_Toc30004"/>
      <w:bookmarkStart w:id="1740" w:name="_Toc469384118"/>
      <w:bookmarkStart w:id="1741" w:name="_Toc12991"/>
      <w:bookmarkStart w:id="1742" w:name="_Toc451306965"/>
      <w:bookmarkStart w:id="1743" w:name="_Toc31599"/>
      <w:bookmarkStart w:id="1744" w:name="_Toc1594313345"/>
      <w:bookmarkStart w:id="1745" w:name="_Toc16645"/>
      <w:bookmarkStart w:id="1746" w:name="_Toc25244"/>
      <w:r>
        <w:rPr>
          <w:rFonts w:hint="eastAsia" w:ascii="宋体" w:hAnsi="宋体" w:cs="宋体"/>
          <w:bCs/>
          <w:color w:val="auto"/>
          <w:sz w:val="24"/>
          <w:szCs w:val="24"/>
          <w:highlight w:val="none"/>
        </w:rPr>
        <w:t>63. 暂列金额</w:t>
      </w:r>
      <w:bookmarkEnd w:id="1738"/>
      <w:bookmarkEnd w:id="1739"/>
      <w:bookmarkEnd w:id="1740"/>
      <w:bookmarkEnd w:id="1741"/>
      <w:bookmarkEnd w:id="1742"/>
      <w:bookmarkEnd w:id="1743"/>
      <w:bookmarkEnd w:id="1744"/>
      <w:bookmarkEnd w:id="1745"/>
      <w:bookmarkEnd w:id="1746"/>
    </w:p>
    <w:p>
      <w:pPr>
        <w:rPr>
          <w:rFonts w:ascii="宋体" w:hAnsi="宋体" w:cs="宋体"/>
          <w:color w:val="auto"/>
          <w:kern w:val="0"/>
          <w:sz w:val="24"/>
          <w:szCs w:val="24"/>
          <w:highlight w:val="none"/>
        </w:rPr>
      </w:pPr>
    </w:p>
    <w:p>
      <w:pPr>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63.1 </w:t>
      </w:r>
      <w:r>
        <w:rPr>
          <w:rFonts w:hint="eastAsia" w:ascii="宋体" w:hAnsi="宋体"/>
          <w:color w:val="auto"/>
          <w:kern w:val="0"/>
          <w:sz w:val="24"/>
          <w:szCs w:val="24"/>
          <w:highlight w:val="none"/>
        </w:rPr>
        <w:t>本项目设</w:t>
      </w:r>
      <w:r>
        <w:rPr>
          <w:rFonts w:hint="eastAsia" w:ascii="宋体" w:hAnsi="宋体" w:cs="仿宋"/>
          <w:color w:val="auto"/>
          <w:kern w:val="0"/>
          <w:sz w:val="24"/>
          <w:szCs w:val="24"/>
          <w:highlight w:val="none"/>
        </w:rPr>
        <w:t>暂列金额，暂列带气接驳费，</w:t>
      </w:r>
      <w:r>
        <w:rPr>
          <w:rFonts w:hint="eastAsia" w:ascii="宋体" w:hAnsi="宋体" w:cs="宋体"/>
          <w:bCs/>
          <w:color w:val="auto"/>
          <w:sz w:val="24"/>
          <w:szCs w:val="24"/>
          <w:highlight w:val="none"/>
        </w:rPr>
        <w:t>暂列金额</w:t>
      </w:r>
      <w:r>
        <w:rPr>
          <w:rFonts w:hint="eastAsia" w:ascii="宋体" w:hAnsi="宋体" w:cs="仿宋"/>
          <w:color w:val="auto"/>
          <w:kern w:val="0"/>
          <w:sz w:val="24"/>
          <w:szCs w:val="24"/>
          <w:highlight w:val="none"/>
        </w:rPr>
        <w:t>为</w:t>
      </w:r>
      <w:r>
        <w:rPr>
          <w:rFonts w:hint="eastAsia" w:ascii="宋体" w:hAnsi="宋体" w:cs="仿宋"/>
          <w:color w:val="auto"/>
          <w:kern w:val="0"/>
          <w:sz w:val="24"/>
          <w:szCs w:val="24"/>
          <w:highlight w:val="none"/>
          <w:u w:val="single"/>
        </w:rPr>
        <w:t xml:space="preserve">    元</w:t>
      </w:r>
    </w:p>
    <w:p>
      <w:pPr>
        <w:rPr>
          <w:rFonts w:ascii="宋体" w:hAnsi="宋体" w:cs="宋体"/>
          <w:strike/>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747" w:name="_Toc19545"/>
      <w:bookmarkStart w:id="1748" w:name="_Toc24197"/>
      <w:bookmarkStart w:id="1749" w:name="_Toc469384119"/>
      <w:bookmarkStart w:id="1750" w:name="_Toc17655"/>
      <w:bookmarkStart w:id="1751" w:name="_Toc23849"/>
      <w:bookmarkStart w:id="1752" w:name="_Toc9410"/>
      <w:bookmarkStart w:id="1753" w:name="_Toc3249"/>
      <w:bookmarkStart w:id="1754" w:name="_Toc1470925796"/>
      <w:bookmarkStart w:id="1755" w:name="_Toc203919551"/>
      <w:r>
        <w:rPr>
          <w:rFonts w:hint="eastAsia" w:ascii="宋体" w:hAnsi="宋体" w:cs="宋体"/>
          <w:bCs/>
          <w:color w:val="auto"/>
          <w:sz w:val="24"/>
          <w:szCs w:val="24"/>
          <w:highlight w:val="none"/>
        </w:rPr>
        <w:t>65. 暂估价</w:t>
      </w:r>
      <w:bookmarkEnd w:id="1747"/>
      <w:bookmarkEnd w:id="1748"/>
      <w:bookmarkEnd w:id="1749"/>
      <w:bookmarkEnd w:id="1750"/>
      <w:bookmarkEnd w:id="1751"/>
      <w:bookmarkEnd w:id="1752"/>
      <w:bookmarkEnd w:id="1753"/>
      <w:bookmarkEnd w:id="1754"/>
      <w:bookmarkEnd w:id="1755"/>
    </w:p>
    <w:p>
      <w:pPr>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本项目不设暂估价。</w:t>
      </w:r>
    </w:p>
    <w:p>
      <w:pPr>
        <w:spacing w:line="360" w:lineRule="auto"/>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756" w:name="_Toc13523"/>
      <w:bookmarkStart w:id="1757" w:name="_Toc12860"/>
      <w:bookmarkStart w:id="1758" w:name="_Toc21108"/>
      <w:bookmarkStart w:id="1759" w:name="_Toc469384120"/>
      <w:bookmarkStart w:id="1760" w:name="_Toc27883"/>
      <w:bookmarkStart w:id="1761" w:name="_Toc17045"/>
      <w:bookmarkStart w:id="1762" w:name="_Toc26823"/>
      <w:bookmarkStart w:id="1763" w:name="_Toc2039476692"/>
      <w:bookmarkStart w:id="1764" w:name="_Toc18109108"/>
      <w:r>
        <w:rPr>
          <w:rFonts w:hint="eastAsia" w:ascii="宋体" w:hAnsi="宋体" w:cs="宋体"/>
          <w:bCs/>
          <w:color w:val="auto"/>
          <w:sz w:val="24"/>
          <w:szCs w:val="24"/>
          <w:highlight w:val="none"/>
        </w:rPr>
        <w:t>66. 提前竣工奖与误期赔偿费</w:t>
      </w:r>
      <w:bookmarkEnd w:id="1756"/>
      <w:bookmarkEnd w:id="1757"/>
      <w:bookmarkEnd w:id="1758"/>
      <w:bookmarkEnd w:id="1759"/>
      <w:bookmarkEnd w:id="1760"/>
      <w:bookmarkEnd w:id="1761"/>
      <w:bookmarkEnd w:id="1762"/>
      <w:bookmarkEnd w:id="1763"/>
      <w:bookmarkEnd w:id="1764"/>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66.1 提前竣工奖</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（1）提前竣工奖额度</w:t>
      </w:r>
    </w:p>
    <w:p>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没约定提前竣工奖的，本款不适用。</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□约定提前竣工奖的，每日历天应奖额度为</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元。</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□约定提前竣工奖的，为</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元。</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（2）提前竣工奖的最高限额</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□按通用条款规定为合同价款的5%，即</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元。</w:t>
      </w:r>
    </w:p>
    <w:p>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□另作约定：</w:t>
      </w:r>
    </w:p>
    <w:p>
      <w:pPr>
        <w:spacing w:line="360" w:lineRule="auto"/>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66.2 误期赔偿费</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（1）每日历天承包方应赔偿发包方额度为本工程合同价款的 1.5‰，且不低于每天1万元，误期赔偿限额为合同价款的 5%；</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（2）误期赔偿费的最高限额</w:t>
      </w:r>
    </w:p>
    <w:p>
      <w:pPr>
        <w:spacing w:line="360" w:lineRule="auto"/>
        <w:ind w:firstLine="90" w:firstLineChars="50"/>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按通用条款规定为合同价款的5%，即  元。</w:t>
      </w:r>
    </w:p>
    <w:p>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□另作约定：</w:t>
      </w:r>
    </w:p>
    <w:p>
      <w:pPr>
        <w:spacing w:line="360" w:lineRule="auto"/>
        <w:rPr>
          <w:rFonts w:ascii="宋体" w:hAnsi="宋体" w:cs="宋体"/>
          <w:color w:val="auto"/>
          <w:kern w:val="0"/>
          <w:sz w:val="24"/>
          <w:szCs w:val="24"/>
          <w:highlight w:val="none"/>
          <w:u w:val="singl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765" w:name="_Toc10723"/>
      <w:bookmarkStart w:id="1766" w:name="_Toc5918"/>
      <w:bookmarkStart w:id="1767" w:name="_Toc469384121"/>
      <w:bookmarkStart w:id="1768" w:name="_Toc14413"/>
      <w:bookmarkStart w:id="1769" w:name="_Toc1498272677"/>
      <w:bookmarkStart w:id="1770" w:name="_Toc17327"/>
      <w:bookmarkStart w:id="1771" w:name="_Toc1564583929"/>
      <w:bookmarkStart w:id="1772" w:name="_Toc13191"/>
      <w:bookmarkStart w:id="1773" w:name="_Toc19973"/>
      <w:r>
        <w:rPr>
          <w:rFonts w:hint="eastAsia" w:ascii="宋体" w:hAnsi="宋体" w:cs="宋体"/>
          <w:bCs/>
          <w:color w:val="auto"/>
          <w:sz w:val="24"/>
          <w:szCs w:val="24"/>
          <w:highlight w:val="none"/>
        </w:rPr>
        <w:t>67. 工程优质费、工程建设标准费用</w:t>
      </w:r>
      <w:bookmarkEnd w:id="1765"/>
      <w:bookmarkEnd w:id="1766"/>
      <w:bookmarkEnd w:id="1767"/>
      <w:bookmarkEnd w:id="1768"/>
      <w:r>
        <w:rPr>
          <w:rFonts w:hint="eastAsia" w:ascii="宋体" w:hAnsi="宋体" w:cs="宋体"/>
          <w:b/>
          <w:color w:val="auto"/>
          <w:sz w:val="24"/>
          <w:szCs w:val="24"/>
          <w:highlight w:val="none"/>
        </w:rPr>
        <w:t>（本条不适用）</w:t>
      </w:r>
      <w:bookmarkEnd w:id="1769"/>
      <w:bookmarkEnd w:id="1770"/>
      <w:bookmarkEnd w:id="1771"/>
      <w:bookmarkEnd w:id="1772"/>
      <w:bookmarkEnd w:id="1773"/>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67.1 工程优质费的计算方法</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约定工程优质费的，其计算方法：</w:t>
      </w:r>
      <w:r>
        <w:rPr>
          <w:rFonts w:hint="eastAsia" w:ascii="宋体" w:hAnsi="宋体" w:cs="宋体"/>
          <w:color w:val="auto"/>
          <w:kern w:val="0"/>
          <w:sz w:val="24"/>
          <w:szCs w:val="24"/>
          <w:highlight w:val="none"/>
          <w:u w:val="single"/>
        </w:rPr>
        <w:t>无。</w:t>
      </w:r>
    </w:p>
    <w:p>
      <w:pPr>
        <w:spacing w:line="360" w:lineRule="auto"/>
        <w:ind w:firstLine="240" w:firstLine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□按分部分项工程费为基础计算：</w:t>
      </w:r>
    </w:p>
    <w:p>
      <w:pPr>
        <w:spacing w:line="360" w:lineRule="auto"/>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67.2 工程优质费的计算额度：</w:t>
      </w:r>
      <w:r>
        <w:rPr>
          <w:rFonts w:hint="eastAsia" w:ascii="宋体" w:hAnsi="宋体" w:cs="宋体"/>
          <w:color w:val="auto"/>
          <w:kern w:val="0"/>
          <w:sz w:val="24"/>
          <w:szCs w:val="24"/>
          <w:highlight w:val="none"/>
          <w:u w:val="single"/>
        </w:rPr>
        <w:t>无。</w:t>
      </w:r>
    </w:p>
    <w:p>
      <w:pPr>
        <w:spacing w:line="360" w:lineRule="auto"/>
        <w:ind w:firstLine="0" w:firstLineChars="0"/>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按通用条款规定计算。</w:t>
      </w:r>
    </w:p>
    <w:p>
      <w:pPr>
        <w:spacing w:line="360" w:lineRule="auto"/>
        <w:ind w:left="240" w:hanging="240" w:hanging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□另作约定（工程优质费率参考广东省建设工程计价依据工程优质费、广州市住房和城乡建设局发布的工程优质费率；合同工程同时获得下列多个奖项的，只按最高奖项的额度计算。）：</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国家级质量奖，工程优质费 %；</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省级质量奖，工程优质费%；</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市级质量奖，工程优质费 %。</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其它，工程优质费 %。</w:t>
      </w:r>
    </w:p>
    <w:p>
      <w:pPr>
        <w:spacing w:line="360" w:lineRule="auto"/>
        <w:rPr>
          <w:rFonts w:ascii="宋体" w:hAnsi="宋体" w:cs="宋体"/>
          <w:color w:val="auto"/>
          <w:kern w:val="0"/>
          <w:sz w:val="24"/>
          <w:szCs w:val="24"/>
          <w:highlight w:val="none"/>
          <w:u w:val="single"/>
        </w:rPr>
      </w:pPr>
    </w:p>
    <w:p>
      <w:pPr>
        <w:keepNext/>
        <w:keepLines/>
        <w:tabs>
          <w:tab w:val="left" w:pos="420"/>
        </w:tabs>
        <w:spacing w:after="120" w:line="360" w:lineRule="auto"/>
        <w:ind w:left="573" w:leftChars="57" w:hanging="453" w:hangingChars="189"/>
        <w:jc w:val="center"/>
        <w:outlineLvl w:val="1"/>
        <w:rPr>
          <w:rFonts w:ascii="宋体" w:hAnsi="宋体" w:cs="宋体"/>
          <w:b/>
          <w:color w:val="auto"/>
          <w:kern w:val="0"/>
          <w:sz w:val="24"/>
          <w:szCs w:val="24"/>
          <w:highlight w:val="none"/>
        </w:rPr>
      </w:pPr>
      <w:bookmarkStart w:id="1774" w:name="_Toc24445"/>
      <w:bookmarkStart w:id="1775" w:name="_Toc20961"/>
      <w:bookmarkStart w:id="1776" w:name="_Toc25015"/>
      <w:bookmarkStart w:id="1777" w:name="_Toc469384122"/>
      <w:bookmarkStart w:id="1778" w:name="_Toc24378"/>
      <w:bookmarkStart w:id="1779" w:name="_Toc24837188"/>
      <w:bookmarkStart w:id="1780" w:name="_Toc75637617"/>
      <w:bookmarkStart w:id="1781" w:name="_Toc18198"/>
      <w:bookmarkStart w:id="1782" w:name="_Toc821"/>
      <w:r>
        <w:rPr>
          <w:rFonts w:hint="eastAsia" w:ascii="宋体" w:hAnsi="宋体" w:cs="宋体"/>
          <w:bCs/>
          <w:color w:val="auto"/>
          <w:sz w:val="24"/>
          <w:szCs w:val="24"/>
          <w:highlight w:val="none"/>
        </w:rPr>
        <w:t>68. 合同价款的约定与调整</w:t>
      </w:r>
      <w:bookmarkEnd w:id="1774"/>
      <w:bookmarkEnd w:id="1775"/>
      <w:bookmarkEnd w:id="1776"/>
      <w:bookmarkEnd w:id="1777"/>
      <w:bookmarkEnd w:id="1778"/>
      <w:bookmarkEnd w:id="1779"/>
      <w:bookmarkEnd w:id="1780"/>
      <w:bookmarkEnd w:id="1781"/>
      <w:bookmarkEnd w:id="1782"/>
    </w:p>
    <w:p>
      <w:pPr>
        <w:spacing w:line="360" w:lineRule="auto"/>
        <w:ind w:firstLine="360" w:firstLineChars="1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☑单价合同</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68.2本合同价款通过公开招标方式确定，并采用工程量清单综合单价包干的分部分项工程费＋单价包干措施项目费（按管道长度折算单价）+合价包干其他项目费＋税金的方式确定合同价。</w:t>
      </w:r>
    </w:p>
    <w:p>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（1）本合同项目的综合单价是由承包人以招标文件的图纸和工程量清单、以及招标文件的规定等为依据，采用工程量清单计价法，根据中华人民共和国国家标准《建设工程工程量清单计价规范》（GB50500—</w:t>
      </w:r>
      <w:r>
        <w:rPr>
          <w:rFonts w:hint="eastAsia" w:ascii="宋体" w:hAnsi="宋体" w:cs="宋体"/>
          <w:color w:val="auto"/>
          <w:sz w:val="24"/>
          <w:szCs w:val="24"/>
          <w:highlight w:val="none"/>
          <w:u w:val="single"/>
          <w:lang w:val="en-US" w:eastAsia="zh-CN"/>
        </w:rPr>
        <w:t>2013</w:t>
      </w:r>
      <w:r>
        <w:rPr>
          <w:rFonts w:hint="eastAsia" w:ascii="宋体" w:hAnsi="宋体" w:cs="宋体"/>
          <w:color w:val="auto"/>
          <w:sz w:val="24"/>
          <w:szCs w:val="24"/>
          <w:highlight w:val="none"/>
        </w:rPr>
        <w:t>），及招标文件中工程量清单所开列的工作内容和项目特征进行填报，</w:t>
      </w:r>
      <w:r>
        <w:rPr>
          <w:rFonts w:hint="eastAsia" w:ascii="宋体" w:hAnsi="宋体" w:cs="宋体"/>
          <w:color w:val="auto"/>
          <w:sz w:val="24"/>
          <w:szCs w:val="24"/>
          <w:highlight w:val="none"/>
          <w:u w:val="single"/>
        </w:rPr>
        <w:t>综合单价包括的风险范围：</w:t>
      </w:r>
      <w:r>
        <w:rPr>
          <w:rFonts w:hint="eastAsia" w:ascii="宋体" w:hAnsi="宋体" w:cs="宋体"/>
          <w:color w:val="auto"/>
          <w:sz w:val="24"/>
          <w:szCs w:val="24"/>
          <w:highlight w:val="none"/>
        </w:rPr>
        <w:t>施工过程中发生人工、材料、机械市场价格变化，及施工图与现场情况差异等风险</w:t>
      </w:r>
      <w:r>
        <w:rPr>
          <w:rFonts w:hint="eastAsia" w:ascii="宋体" w:hAnsi="宋体" w:cs="宋体"/>
          <w:color w:val="auto"/>
          <w:sz w:val="24"/>
          <w:szCs w:val="24"/>
          <w:highlight w:val="none"/>
          <w:u w:val="single"/>
        </w:rPr>
        <w:t>。风险费用的计算方法：已计入综合单价中。</w:t>
      </w:r>
    </w:p>
    <w:p>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结算时发包人依据本合同条款、中华人民共和国国家标准《建设工程工程量清单计价规范》（GB50500—</w:t>
      </w:r>
      <w:r>
        <w:rPr>
          <w:rFonts w:hint="eastAsia" w:ascii="宋体" w:hAnsi="宋体" w:cs="宋体"/>
          <w:color w:val="auto"/>
          <w:sz w:val="24"/>
          <w:szCs w:val="24"/>
          <w:highlight w:val="none"/>
          <w:u w:val="single"/>
          <w:lang w:val="en-US" w:eastAsia="zh-CN"/>
        </w:rPr>
        <w:t>2013</w:t>
      </w:r>
      <w:r>
        <w:rPr>
          <w:rFonts w:hint="eastAsia" w:ascii="宋体" w:hAnsi="宋体" w:cs="宋体"/>
          <w:color w:val="auto"/>
          <w:sz w:val="24"/>
          <w:szCs w:val="24"/>
          <w:highlight w:val="none"/>
        </w:rPr>
        <w:t>）、广东省住房和城乡建设厅印发的工程计价依据、工程量计算规则、图纸等规定计量确认的竣工量乘以合同综合单价计算</w:t>
      </w:r>
      <w:r>
        <w:rPr>
          <w:rFonts w:hint="eastAsia" w:ascii="宋体" w:hAnsi="宋体" w:cs="宋体"/>
          <w:color w:val="auto"/>
          <w:sz w:val="24"/>
          <w:szCs w:val="24"/>
          <w:highlight w:val="none"/>
          <w:u w:val="single"/>
        </w:rPr>
        <w:t>分部分项工程费，并加上单价包干措施项目费、合价包干其他项目费和税金计算工程结算价</w:t>
      </w:r>
      <w:r>
        <w:rPr>
          <w:rFonts w:hint="eastAsia" w:ascii="宋体" w:hAnsi="宋体" w:cs="宋体"/>
          <w:color w:val="auto"/>
          <w:sz w:val="24"/>
          <w:szCs w:val="24"/>
          <w:highlight w:val="none"/>
        </w:rPr>
        <w:t>。</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中标的投标报价相对于招标文件工程量清单有漏项或未填综合单价项目，此项目的费用视为已包括在中标的投标报价的其他单价和合价中，该漏项或未填综合单价项目费用结算时，经工程师计量的实际已完工工程量，与招标文件工程量清单工程量对比：</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两者相等时，该项目费用不得补计；</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a.前者比后者增加时，增加部分的费用采用上述定额计价办法进行计价，综合单价结合本专用条款第72.2款进行计算；</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b.前者比后者减少时，减少部分的费用采用本专用条款第72.2款进行扣减；</w:t>
      </w:r>
    </w:p>
    <w:p>
      <w:pPr>
        <w:spacing w:line="360" w:lineRule="auto"/>
        <w:ind w:firstLine="360" w:firstLineChars="150"/>
        <w:jc w:val="left"/>
        <w:rPr>
          <w:rFonts w:ascii="宋体" w:hAnsi="宋体" w:cs="宋体"/>
          <w:color w:val="auto"/>
          <w:sz w:val="24"/>
          <w:szCs w:val="24"/>
          <w:highlight w:val="none"/>
        </w:rPr>
      </w:pPr>
      <w:r>
        <w:rPr>
          <w:rFonts w:hint="eastAsia" w:ascii="宋体" w:hAnsi="宋体" w:cs="宋体"/>
          <w:color w:val="auto"/>
          <w:sz w:val="24"/>
          <w:szCs w:val="24"/>
          <w:highlight w:val="none"/>
        </w:rPr>
        <w:t>无论两者相等还是增、减，投标报价漏项或未填综合单价项目的原招标文件工程量清单工程量不得补计；</w:t>
      </w:r>
    </w:p>
    <w:p>
      <w:pPr>
        <w:spacing w:line="360" w:lineRule="auto"/>
        <w:ind w:left="239" w:leftChars="114" w:firstLine="360" w:firstLineChars="15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招标文件工程量清单中的项目在实际施工中没有做的项目，此项目的费用</w:t>
      </w:r>
      <w:r>
        <w:rPr>
          <w:rFonts w:hint="eastAsia" w:ascii="宋体" w:hAnsi="宋体" w:cs="宋体"/>
          <w:color w:val="auto"/>
          <w:kern w:val="0"/>
          <w:sz w:val="24"/>
          <w:szCs w:val="24"/>
          <w:highlight w:val="none"/>
          <w:u w:val="single"/>
        </w:rPr>
        <w:t>按原价扣除。</w:t>
      </w:r>
    </w:p>
    <w:p>
      <w:pPr>
        <w:spacing w:line="360" w:lineRule="auto"/>
        <w:ind w:left="239" w:leftChars="114" w:firstLine="360" w:firstLineChars="150"/>
        <w:jc w:val="left"/>
        <w:rPr>
          <w:rFonts w:ascii="宋体" w:hAnsi="宋体" w:cs="宋体"/>
          <w:strike/>
          <w:color w:val="auto"/>
          <w:kern w:val="0"/>
          <w:sz w:val="24"/>
          <w:szCs w:val="24"/>
          <w:highlight w:val="none"/>
        </w:rPr>
      </w:pPr>
      <w:r>
        <w:rPr>
          <w:rFonts w:hint="eastAsia" w:ascii="宋体" w:hAnsi="宋体" w:cs="宋体"/>
          <w:color w:val="auto"/>
          <w:kern w:val="0"/>
          <w:sz w:val="24"/>
          <w:szCs w:val="24"/>
          <w:highlight w:val="none"/>
        </w:rPr>
        <w:t>措施项目费、其他项目费的调整：措施项目费按管道长度折算单价包干，其他项目费合价包干不作调整。</w:t>
      </w:r>
    </w:p>
    <w:p>
      <w:pPr>
        <w:spacing w:line="360" w:lineRule="auto"/>
        <w:ind w:firstLine="600" w:firstLineChars="25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68.3 合同价款的调整事件</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□按通用条款规定的调整事件。</w:t>
      </w:r>
    </w:p>
    <w:p>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另作约定：</w:t>
      </w:r>
    </w:p>
    <w:p>
      <w:pPr>
        <w:spacing w:before="62" w:beforeLines="20"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作为本合同项目约定使用的定额：</w:t>
      </w:r>
    </w:p>
    <w:p>
      <w:pPr>
        <w:spacing w:line="360" w:lineRule="auto"/>
        <w:rPr>
          <w:rFonts w:ascii="宋体" w:hAnsi="宋体" w:cs="宋体"/>
          <w:color w:val="auto"/>
          <w:kern w:val="0"/>
          <w:sz w:val="24"/>
          <w:szCs w:val="24"/>
          <w:highlight w:val="none"/>
          <w:u w:val="single"/>
        </w:rPr>
      </w:pPr>
      <w:r>
        <w:rPr>
          <w:rFonts w:hint="eastAsia" w:ascii="宋体" w:hAnsi="宋体" w:cs="宋体"/>
          <w:bCs/>
          <w:color w:val="auto"/>
          <w:sz w:val="24"/>
          <w:szCs w:val="24"/>
          <w:highlight w:val="none"/>
        </w:rPr>
        <w:t>广东省住房和城乡建设厅2018年颁布的《广东省建设工程计价依据》、《广东省市政工程综合定额》》（2018）、《广东省安装工程综合定额》（2018）、《广东省建筑与装饰工程综合定额》（2018）、《广东省园林绿化工程综合定额》（2018），及其他相关定额。</w:t>
      </w:r>
    </w:p>
    <w:p>
      <w:pPr>
        <w:spacing w:line="360" w:lineRule="auto"/>
        <w:rPr>
          <w:rFonts w:ascii="宋体" w:hAnsi="宋体" w:cs="宋体"/>
          <w:color w:val="auto"/>
          <w:kern w:val="0"/>
          <w:sz w:val="24"/>
          <w:szCs w:val="24"/>
          <w:highlight w:val="none"/>
        </w:rPr>
      </w:pPr>
    </w:p>
    <w:p>
      <w:pPr>
        <w:adjustRightInd w:val="0"/>
        <w:snapToGrid w:val="0"/>
        <w:spacing w:line="360" w:lineRule="auto"/>
        <w:outlineLvl w:val="1"/>
        <w:rPr>
          <w:rFonts w:ascii="宋体" w:hAnsi="宋体" w:cs="宋体"/>
          <w:color w:val="auto"/>
          <w:sz w:val="24"/>
          <w:szCs w:val="24"/>
          <w:highlight w:val="none"/>
        </w:rPr>
      </w:pPr>
      <w:bookmarkStart w:id="1783" w:name="_Toc18685"/>
      <w:bookmarkStart w:id="1784" w:name="_Toc2766"/>
      <w:bookmarkStart w:id="1785" w:name="_Toc30170"/>
      <w:bookmarkStart w:id="1786" w:name="_Toc19530"/>
      <w:bookmarkStart w:id="1787" w:name="_Toc8338"/>
      <w:bookmarkStart w:id="1788" w:name="_Toc2078593542"/>
      <w:bookmarkStart w:id="1789" w:name="_Toc826791198"/>
      <w:bookmarkStart w:id="1790" w:name="_Toc21787"/>
      <w:r>
        <w:rPr>
          <w:rFonts w:hint="eastAsia" w:ascii="宋体" w:hAnsi="宋体" w:cs="宋体"/>
          <w:b/>
          <w:bCs/>
          <w:color w:val="auto"/>
          <w:sz w:val="24"/>
          <w:szCs w:val="24"/>
          <w:highlight w:val="none"/>
        </w:rPr>
        <w:t>71  分部分项工程量清单缺项漏项事件</w:t>
      </w:r>
      <w:bookmarkEnd w:id="1783"/>
      <w:bookmarkEnd w:id="1784"/>
      <w:bookmarkEnd w:id="1785"/>
      <w:bookmarkEnd w:id="1786"/>
      <w:bookmarkEnd w:id="1787"/>
      <w:bookmarkEnd w:id="1788"/>
      <w:bookmarkEnd w:id="1789"/>
      <w:bookmarkEnd w:id="1790"/>
    </w:p>
    <w:p>
      <w:pPr>
        <w:adjustRightInd w:val="0"/>
        <w:snapToGrid w:val="0"/>
        <w:spacing w:line="360" w:lineRule="auto"/>
        <w:rPr>
          <w:rFonts w:ascii="宋体" w:hAnsi="宋体" w:cs="宋体"/>
          <w:b/>
          <w:bCs/>
          <w:color w:val="auto"/>
          <w:sz w:val="24"/>
          <w:szCs w:val="24"/>
          <w:highlight w:val="none"/>
        </w:rPr>
      </w:pPr>
      <w:r>
        <w:rPr>
          <w:rFonts w:hint="eastAsia" w:ascii="宋体" w:hAnsi="宋体" w:cs="宋体"/>
          <w:color w:val="auto"/>
          <w:kern w:val="0"/>
          <w:sz w:val="24"/>
          <w:szCs w:val="24"/>
          <w:highlight w:val="none"/>
          <w:u w:val="single"/>
        </w:rPr>
        <w:t xml:space="preserve">71.2 </w:t>
      </w:r>
      <w:r>
        <w:rPr>
          <w:rFonts w:hint="eastAsia" w:ascii="宋体" w:hAnsi="宋体" w:cs="宋体"/>
          <w:color w:val="auto"/>
          <w:szCs w:val="20"/>
          <w:highlight w:val="none"/>
        </w:rPr>
        <mc:AlternateContent>
          <mc:Choice Requires="wps">
            <w:drawing>
              <wp:anchor distT="0" distB="0" distL="114300" distR="114300" simplePos="0" relativeHeight="25208934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433" name="文本框 433"/>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pStyle w:val="18"/>
                              <w:spacing w:line="200" w:lineRule="exact"/>
                              <w:rPr>
                                <w:rFonts w:ascii="楷体_GB2312" w:hAnsi="宋体" w:eastAsia="楷体_GB2312"/>
                                <w:b/>
                                <w:bCs/>
                                <w:color w:val="000000"/>
                                <w:sz w:val="18"/>
                                <w:szCs w:val="18"/>
                              </w:rPr>
                            </w:pPr>
                          </w:p>
                          <w:p>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7pt;height:54.5pt;width:72pt;z-index:252089344;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iKMt1AAAAAkBAAAP&#10;AAAAAAAAAAEAIAAAACIAAABkcnMvZG93bnJldi54bWxQSwECFAAUAAAACACHTuJAeQ0hmBwCAAAm&#10;BAAADgAAAAAAAAABACAAAAAjAQAAZHJzL2Uyb0RvYy54bWxQSwUGAAAAAAYABgBZAQAAsQUAAAAA&#10;">
                <v:fill on="f" focussize="0,0"/>
                <v:stroke on="f"/>
                <v:imagedata o:title=""/>
                <o:lock v:ext="edit" aspectratio="f"/>
                <v:textbox>
                  <w:txbxContent>
                    <w:p>
                      <w:pPr>
                        <w:pStyle w:val="18"/>
                        <w:spacing w:line="200" w:lineRule="exact"/>
                        <w:rPr>
                          <w:rFonts w:ascii="楷体_GB2312" w:hAnsi="宋体" w:eastAsia="楷体_GB2312"/>
                          <w:b/>
                          <w:bCs/>
                          <w:color w:val="000000"/>
                          <w:sz w:val="18"/>
                          <w:szCs w:val="18"/>
                        </w:rPr>
                      </w:pPr>
                    </w:p>
                    <w:p>
                      <w:pPr>
                        <w:spacing w:line="240" w:lineRule="exact"/>
                        <w:rPr>
                          <w:sz w:val="18"/>
                          <w:szCs w:val="18"/>
                        </w:rPr>
                      </w:pPr>
                    </w:p>
                  </w:txbxContent>
                </v:textbox>
              </v:shape>
            </w:pict>
          </mc:Fallback>
        </mc:AlternateContent>
      </w:r>
      <w:r>
        <w:rPr>
          <w:rFonts w:hint="eastAsia" w:ascii="宋体" w:hAnsi="宋体" w:cs="宋体"/>
          <w:color w:val="auto"/>
          <w:sz w:val="24"/>
          <w:szCs w:val="24"/>
          <w:highlight w:val="none"/>
        </w:rPr>
        <w:t>工程量清单中分部分项工程出现缺项漏项，造成新增工程量清单项目的，应按照专用条款第72.2点规定计算调整的分部分项工程费。</w:t>
      </w:r>
    </w:p>
    <w:p>
      <w:pPr>
        <w:spacing w:line="360" w:lineRule="auto"/>
        <w:rPr>
          <w:rFonts w:ascii="宋体" w:hAnsi="宋体" w:cs="宋体"/>
          <w:color w:val="auto"/>
          <w:kern w:val="0"/>
          <w:sz w:val="24"/>
          <w:szCs w:val="24"/>
          <w:highlight w:val="none"/>
          <w:u w:val="single"/>
        </w:rPr>
      </w:pP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71.3调整措施项目费的方法：此通用条款不执行。</w:t>
      </w:r>
    </w:p>
    <w:p>
      <w:pPr>
        <w:spacing w:line="360" w:lineRule="auto"/>
        <w:rPr>
          <w:rFonts w:ascii="宋体" w:hAnsi="宋体" w:cs="宋体"/>
          <w:color w:val="auto"/>
          <w:kern w:val="0"/>
          <w:sz w:val="24"/>
          <w:szCs w:val="24"/>
          <w:highlight w:val="none"/>
          <w:u w:val="single"/>
        </w:rPr>
      </w:pPr>
      <w:r>
        <w:rPr>
          <w:rFonts w:ascii="宋体" w:hAnsi="宋体" w:cs="宋体"/>
          <w:color w:val="auto"/>
          <w:kern w:val="0"/>
          <w:szCs w:val="21"/>
          <w:highlight w:val="none"/>
        </w:rPr>
        <w:t xml:space="preserve">☑ </w:t>
      </w:r>
      <w:r>
        <w:rPr>
          <w:rFonts w:hint="eastAsia" w:ascii="宋体" w:hAnsi="宋体" w:cs="宋体"/>
          <w:color w:val="auto"/>
          <w:kern w:val="0"/>
          <w:sz w:val="24"/>
          <w:szCs w:val="24"/>
          <w:highlight w:val="none"/>
          <w:u w:val="single"/>
        </w:rPr>
        <w:t>另行约定：</w:t>
      </w:r>
      <w:r>
        <w:rPr>
          <w:rFonts w:hint="eastAsia" w:ascii="宋体" w:hAnsi="宋体" w:cs="宋体"/>
          <w:color w:val="auto"/>
          <w:kern w:val="0"/>
          <w:sz w:val="24"/>
          <w:szCs w:val="24"/>
          <w:highlight w:val="none"/>
        </w:rPr>
        <w:t>措施项目费按管道长度折算单价包干。</w:t>
      </w:r>
    </w:p>
    <w:p>
      <w:pPr>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791" w:name="_Toc1660468696"/>
      <w:bookmarkStart w:id="1792" w:name="_Toc469384123"/>
      <w:bookmarkStart w:id="1793" w:name="_Toc1922"/>
      <w:bookmarkStart w:id="1794" w:name="_Toc5995"/>
      <w:bookmarkStart w:id="1795" w:name="_Toc15254"/>
      <w:bookmarkStart w:id="1796" w:name="_Toc29340"/>
      <w:bookmarkStart w:id="1797" w:name="_Toc658"/>
      <w:bookmarkStart w:id="1798" w:name="_Toc1805174645"/>
      <w:bookmarkStart w:id="1799" w:name="_Toc12527"/>
      <w:r>
        <w:rPr>
          <w:rFonts w:hint="eastAsia" w:ascii="宋体" w:hAnsi="宋体" w:cs="宋体"/>
          <w:bCs/>
          <w:color w:val="auto"/>
          <w:sz w:val="24"/>
          <w:szCs w:val="24"/>
          <w:highlight w:val="none"/>
        </w:rPr>
        <w:t>72. 工程变更事件</w:t>
      </w:r>
      <w:bookmarkEnd w:id="1791"/>
      <w:bookmarkEnd w:id="1792"/>
      <w:bookmarkEnd w:id="1793"/>
      <w:bookmarkEnd w:id="1794"/>
      <w:bookmarkEnd w:id="1795"/>
      <w:bookmarkEnd w:id="1796"/>
      <w:bookmarkEnd w:id="1797"/>
      <w:bookmarkEnd w:id="1798"/>
      <w:bookmarkEnd w:id="1799"/>
    </w:p>
    <w:p>
      <w:pPr>
        <w:rPr>
          <w:rFonts w:ascii="宋体" w:hAnsi="宋体" w:cs="宋体"/>
          <w:b/>
          <w:bCs/>
          <w:color w:val="auto"/>
          <w:kern w:val="0"/>
          <w:sz w:val="24"/>
          <w:szCs w:val="24"/>
          <w:highlight w:val="none"/>
        </w:rPr>
      </w:pPr>
    </w:p>
    <w:p>
      <w:pPr>
        <w:spacing w:line="360" w:lineRule="auto"/>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72.2调整分部分项工程费的方法</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在项目实施期间，招标文件工程量清单中缺项漏项,或不属承包人包干范围而由监理单位和发包人现场签证确认的工程内容，或原设计没有而由发包人批准设计变更产生的工程内容，经发包人审批确认后视为变更项目给予计量支付，按以下顺序确定价格：</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a.中标的工程量清单中已有相同项目，当工程量没有发生变化，单价执行原合同综合单价，不随施工过程中发生人工、材料、机械市场价格变化、施工图与现场情况差异等风险而调整综合单价。</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当清单工程量发生变更，按照以下方式结算变更工程量的工程费用：①清单项目分部分项工程竣工量超过合同量的，超过部分的工程量结算单价取合同单价与定额计价下浮10%后的孰低值为增加工程量的结算单价，结算超过部分工程量的工程费用。②清单项目分部分项工程竣工量低于合同量的，减少部分的工程量结算单价取合同单价计算，扣减该部分工程费用。</w:t>
      </w:r>
    </w:p>
    <w:p>
      <w:pPr>
        <w:spacing w:before="62" w:beforeLines="20" w:line="400" w:lineRule="exact"/>
        <w:ind w:right="-281" w:rightChars="-134"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b.中标的工程量清单中已有类似项目的，则按类似项目的综合单价对相应子目、消耗量、单价等进行调整换算，材料单价按以下c点计算，原人工工日工资管理费、利润水平不变，换算后价格与定额计价下浮10%对比，取两者的价低值为结算单价，结算增加工程量的工程费用。</w:t>
      </w:r>
    </w:p>
    <w:p>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sz w:val="24"/>
          <w:szCs w:val="24"/>
          <w:highlight w:val="none"/>
        </w:rPr>
        <w:t>c.中标的工程量清单中没有适用或类似的，采用定额计价办法进行计价并折算为综合单价，其综合单价依据约定使用定额【定额使用的依次顺序为：① 本合同项目主体工程所属专业的定额、附属工程所属专业的定额</w:t>
      </w:r>
      <w:r>
        <w:rPr>
          <w:rFonts w:hint="eastAsia" w:ascii="宋体" w:hAnsi="宋体" w:cs="宋体"/>
          <w:bCs/>
          <w:color w:val="auto"/>
          <w:sz w:val="24"/>
          <w:szCs w:val="24"/>
          <w:highlight w:val="none"/>
        </w:rPr>
        <w:t>；</w:t>
      </w:r>
      <w:r>
        <w:rPr>
          <w:rFonts w:hint="eastAsia" w:ascii="宋体" w:hAnsi="宋体" w:cs="宋体"/>
          <w:color w:val="auto"/>
          <w:sz w:val="24"/>
          <w:szCs w:val="24"/>
          <w:highlight w:val="none"/>
        </w:rPr>
        <w:t>② 第①点所述定额中若个别分项项目没有定额可套用，则采用与该分项项目性质、功能、工艺相似或相近的其它定额换算】及对应的工程计价办法计算确定（该综合单价不含措施项目费、其他项目费、税金）。项目的人工、机械单价按实际施工期间广州市建设工程造价管理站发布的人工费和机械台班价格执行，材料单价定价顺序：造价管理站发布的施工期常用材料综合价格，按《广州地区建设工程材料（设备）厂商价格信息》下浮</w:t>
      </w:r>
      <w:r>
        <w:rPr>
          <w:rFonts w:hint="eastAsia" w:ascii="宋体" w:hAnsi="宋体" w:cs="宋体"/>
          <w:color w:val="auto"/>
          <w:sz w:val="24"/>
          <w:szCs w:val="24"/>
          <w:highlight w:val="none"/>
          <w:u w:val="single"/>
        </w:rPr>
        <w:t>20</w:t>
      </w:r>
      <w:r>
        <w:rPr>
          <w:rFonts w:hint="eastAsia" w:ascii="宋体" w:hAnsi="宋体" w:cs="宋体"/>
          <w:color w:val="auto"/>
          <w:sz w:val="24"/>
          <w:szCs w:val="24"/>
          <w:highlight w:val="none"/>
        </w:rPr>
        <w:t>％，发包人询价，无法询价及综合价信息价没有的由承包人提供材料报价依据、经发包人结合市场价格审核确认。其造价按定额计价下浮</w:t>
      </w:r>
      <w:r>
        <w:rPr>
          <w:rFonts w:hint="eastAsia" w:ascii="宋体" w:hAnsi="宋体" w:cs="宋体"/>
          <w:color w:val="auto"/>
          <w:sz w:val="24"/>
          <w:szCs w:val="24"/>
          <w:highlight w:val="none"/>
          <w:u w:val="single"/>
        </w:rPr>
        <w:t xml:space="preserve">10 </w:t>
      </w:r>
      <w:r>
        <w:rPr>
          <w:rFonts w:hint="eastAsia" w:ascii="宋体" w:hAnsi="宋体" w:cs="宋体"/>
          <w:color w:val="auto"/>
          <w:sz w:val="24"/>
          <w:szCs w:val="24"/>
          <w:highlight w:val="none"/>
        </w:rPr>
        <w:t>%结算，发包人供应的材料价格原则上不下浮。</w:t>
      </w:r>
    </w:p>
    <w:p>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2）本合同履行过程中发包人增加或减少工程项目：发包人根据建设进度或燃气管网连通或市场开发的需要，有权增加或减少零星的或紧急的工程，承包人必须接受。增加或减少工程的综合单价按本合同相应专用条款执行。</w:t>
      </w:r>
    </w:p>
    <w:p>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（3）工程变更的确定：</w:t>
      </w:r>
    </w:p>
    <w:p>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1）工程变更可由设计单位、承包人、发包人提出。提出单位填写《工程设计变更申报表》，涉及合同价款调整或工期变动时，必须随申报表附变更工程价款或工期计算书，经设计单位、监理单位提出意见后，最终由发包人审批。</w:t>
      </w:r>
    </w:p>
    <w:p>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2）设计变更文件必须盖有设计单位的出图章和发包人派驻工程师签字并盖发包人印章；</w:t>
      </w:r>
    </w:p>
    <w:p>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3）发包人书面通知变更的指令性文件应有发包人派驻工程师签字并盖有发包人印章；</w:t>
      </w:r>
    </w:p>
    <w:p>
      <w:pPr>
        <w:spacing w:before="62" w:beforeLines="20"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4）承包人提出的工程变更文件必须由承包人项目经理签字并加盖项目部印章和监理工程师签字并加盖监理部印章及发包人派驻工程师签字。</w:t>
      </w:r>
    </w:p>
    <w:p>
      <w:pPr>
        <w:spacing w:line="360" w:lineRule="auto"/>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72.3调整措施项目费的方法：按专用条款第71.3款执行</w:t>
      </w:r>
    </w:p>
    <w:p>
      <w:pPr>
        <w:spacing w:line="360" w:lineRule="auto"/>
        <w:rPr>
          <w:rFonts w:ascii="宋体" w:hAnsi="宋体" w:cs="宋体"/>
          <w:color w:val="auto"/>
          <w:kern w:val="0"/>
          <w:sz w:val="24"/>
          <w:szCs w:val="24"/>
          <w:highlight w:val="none"/>
          <w:u w:val="singl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72.4 调整承包人报价偏差的方法</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按通用条款的规定调整。</w:t>
      </w:r>
    </w:p>
    <w:p>
      <w:pPr>
        <w:spacing w:line="360" w:lineRule="auto"/>
        <w:ind w:firstLine="100" w:firstLineChars="50"/>
        <w:rPr>
          <w:rFonts w:ascii="宋体" w:hAnsi="宋体" w:cs="宋体"/>
          <w:color w:val="auto"/>
          <w:kern w:val="0"/>
          <w:sz w:val="24"/>
          <w:szCs w:val="24"/>
          <w:highlight w:val="none"/>
          <w:u w:val="single"/>
        </w:rPr>
      </w:pPr>
      <w:r>
        <w:rPr>
          <w:rFonts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按照下列方法调整：</w:t>
      </w:r>
      <w:r>
        <w:rPr>
          <w:rFonts w:hint="eastAsia" w:ascii="宋体" w:hAnsi="宋体" w:cs="宋体"/>
          <w:color w:val="auto"/>
          <w:kern w:val="0"/>
          <w:sz w:val="24"/>
          <w:szCs w:val="24"/>
          <w:highlight w:val="none"/>
          <w:u w:val="single"/>
        </w:rPr>
        <w:t>工程量发生变化的分部分项工程项目按专用条款72.2第（1）点调整。</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72.5删减工作或工程的补偿：该通用条款不执行。</w:t>
      </w: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800" w:name="_Toc21182"/>
      <w:bookmarkStart w:id="1801" w:name="_Toc9805"/>
      <w:bookmarkStart w:id="1802" w:name="_Toc12462"/>
      <w:bookmarkStart w:id="1803" w:name="_Toc21398"/>
      <w:bookmarkStart w:id="1804" w:name="_Toc947380907"/>
      <w:bookmarkStart w:id="1805" w:name="_Toc19332"/>
      <w:bookmarkStart w:id="1806" w:name="_Toc31178"/>
      <w:bookmarkStart w:id="1807" w:name="_Toc2068777346"/>
      <w:bookmarkStart w:id="1808" w:name="_Toc469384124"/>
      <w:r>
        <w:rPr>
          <w:rFonts w:hint="eastAsia" w:ascii="宋体" w:hAnsi="宋体" w:cs="宋体"/>
          <w:bCs/>
          <w:color w:val="auto"/>
          <w:sz w:val="24"/>
          <w:szCs w:val="24"/>
          <w:highlight w:val="none"/>
        </w:rPr>
        <w:t>73. 工程量偏差事件</w:t>
      </w:r>
      <w:bookmarkEnd w:id="1800"/>
      <w:bookmarkEnd w:id="1801"/>
      <w:bookmarkEnd w:id="1802"/>
      <w:bookmarkEnd w:id="1803"/>
      <w:bookmarkEnd w:id="1804"/>
      <w:bookmarkEnd w:id="1805"/>
      <w:bookmarkEnd w:id="1806"/>
      <w:bookmarkEnd w:id="1807"/>
      <w:bookmarkEnd w:id="1808"/>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73.2 调整分部分项工程费的方法</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调整结算分部分项工程费：</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□按通用条款的规定调整。</w:t>
      </w:r>
    </w:p>
    <w:p>
      <w:pPr>
        <w:spacing w:line="360" w:lineRule="auto"/>
        <w:ind w:firstLine="100" w:firstLineChars="50"/>
        <w:rPr>
          <w:rFonts w:ascii="宋体" w:hAnsi="宋体" w:cs="宋体"/>
          <w:color w:val="auto"/>
          <w:kern w:val="0"/>
          <w:sz w:val="24"/>
          <w:szCs w:val="24"/>
          <w:highlight w:val="none"/>
          <w:u w:val="singl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按照下列方法调整：</w:t>
      </w:r>
      <w:r>
        <w:rPr>
          <w:rFonts w:hint="eastAsia" w:ascii="宋体" w:hAnsi="宋体" w:cs="宋体"/>
          <w:color w:val="auto"/>
          <w:kern w:val="0"/>
          <w:sz w:val="24"/>
          <w:szCs w:val="24"/>
          <w:highlight w:val="none"/>
          <w:u w:val="single"/>
        </w:rPr>
        <w:t>不执行通用条款，执行本合同专用条款第72.2第（1）点。</w:t>
      </w:r>
    </w:p>
    <w:p>
      <w:pPr>
        <w:ind w:firstLine="120" w:firstLineChars="50"/>
        <w:rPr>
          <w:rFonts w:ascii="宋体" w:hAnsi="宋体" w:cs="宋体"/>
          <w:color w:val="auto"/>
          <w:kern w:val="0"/>
          <w:sz w:val="24"/>
          <w:szCs w:val="24"/>
          <w:highlight w:val="none"/>
        </w:rPr>
      </w:pP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73.3 调整措施项目费的方法</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调整结算措施项目费：</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□按通用条款的规定调整。</w:t>
      </w:r>
    </w:p>
    <w:p>
      <w:pPr>
        <w:spacing w:line="360" w:lineRule="auto"/>
        <w:ind w:firstLine="100" w:firstLineChars="50"/>
        <w:rPr>
          <w:rFonts w:ascii="宋体" w:hAnsi="宋体" w:cs="宋体"/>
          <w:color w:val="auto"/>
          <w:kern w:val="0"/>
          <w:sz w:val="24"/>
          <w:szCs w:val="24"/>
          <w:highlight w:val="non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按照下列方法调整：</w:t>
      </w:r>
      <w:r>
        <w:rPr>
          <w:rFonts w:hint="eastAsia" w:ascii="宋体" w:hAnsi="宋体" w:cs="宋体"/>
          <w:color w:val="auto"/>
          <w:kern w:val="0"/>
          <w:sz w:val="24"/>
          <w:szCs w:val="24"/>
          <w:highlight w:val="none"/>
          <w:u w:val="single"/>
        </w:rPr>
        <w:t>按本合同专用条款第71.3款。</w:t>
      </w:r>
    </w:p>
    <w:p>
      <w:pPr>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809" w:name="_Toc32224"/>
      <w:bookmarkStart w:id="1810" w:name="_Toc26156"/>
      <w:bookmarkStart w:id="1811" w:name="_Toc469384125"/>
      <w:bookmarkStart w:id="1812" w:name="_Toc1187145091"/>
      <w:bookmarkStart w:id="1813" w:name="_Toc18859"/>
      <w:bookmarkStart w:id="1814" w:name="_Toc451"/>
      <w:bookmarkStart w:id="1815" w:name="_Toc33125645"/>
      <w:bookmarkStart w:id="1816" w:name="_Toc26450"/>
      <w:bookmarkStart w:id="1817" w:name="_Toc11608"/>
      <w:r>
        <w:rPr>
          <w:rFonts w:hint="eastAsia" w:ascii="宋体" w:hAnsi="宋体" w:cs="宋体"/>
          <w:bCs/>
          <w:color w:val="auto"/>
          <w:sz w:val="24"/>
          <w:szCs w:val="24"/>
          <w:highlight w:val="none"/>
        </w:rPr>
        <w:t>75. 现场签证事件</w:t>
      </w:r>
      <w:bookmarkEnd w:id="1809"/>
      <w:bookmarkEnd w:id="1810"/>
      <w:bookmarkEnd w:id="1811"/>
      <w:bookmarkEnd w:id="1812"/>
      <w:bookmarkEnd w:id="1813"/>
      <w:bookmarkEnd w:id="1814"/>
      <w:bookmarkEnd w:id="1815"/>
      <w:bookmarkEnd w:id="1816"/>
      <w:bookmarkEnd w:id="1817"/>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75.3 现场签证报告的确认</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提交现场签证报告的时间：</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☑按通用条款的规定的时间提交。</w:t>
      </w:r>
    </w:p>
    <w:p>
      <w:pPr>
        <w:spacing w:line="360" w:lineRule="auto"/>
        <w:ind w:firstLine="120" w:firstLine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□另作约定：</w:t>
      </w:r>
    </w:p>
    <w:p>
      <w:pPr>
        <w:spacing w:line="360" w:lineRule="auto"/>
        <w:ind w:firstLine="120" w:firstLineChars="50"/>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818" w:name="_Toc24530"/>
      <w:bookmarkStart w:id="1819" w:name="_Toc32179"/>
      <w:bookmarkStart w:id="1820" w:name="_Toc26985"/>
      <w:bookmarkStart w:id="1821" w:name="_Toc76980160"/>
      <w:bookmarkStart w:id="1822" w:name="_Toc469384126"/>
      <w:bookmarkStart w:id="1823" w:name="_Toc16885"/>
      <w:bookmarkStart w:id="1824" w:name="_Toc12081"/>
      <w:bookmarkStart w:id="1825" w:name="_Toc544450942"/>
      <w:bookmarkStart w:id="1826" w:name="_Toc12563"/>
      <w:r>
        <w:rPr>
          <w:rFonts w:hint="eastAsia" w:ascii="宋体" w:hAnsi="宋体" w:cs="宋体"/>
          <w:bCs/>
          <w:color w:val="auto"/>
          <w:sz w:val="24"/>
          <w:szCs w:val="24"/>
          <w:highlight w:val="none"/>
        </w:rPr>
        <w:t>76. 物价涨落事件</w:t>
      </w:r>
      <w:bookmarkEnd w:id="1818"/>
      <w:bookmarkEnd w:id="1819"/>
      <w:bookmarkEnd w:id="1820"/>
      <w:bookmarkEnd w:id="1821"/>
      <w:bookmarkEnd w:id="1822"/>
      <w:bookmarkEnd w:id="1823"/>
      <w:bookmarkEnd w:id="1824"/>
      <w:bookmarkEnd w:id="1825"/>
      <w:bookmarkEnd w:id="1826"/>
    </w:p>
    <w:p>
      <w:pPr>
        <w:ind w:firstLine="120" w:firstLineChars="50"/>
        <w:rPr>
          <w:rFonts w:ascii="宋体" w:hAnsi="宋体" w:cs="宋体"/>
          <w:color w:val="auto"/>
          <w:kern w:val="0"/>
          <w:sz w:val="24"/>
          <w:szCs w:val="24"/>
          <w:highlight w:val="none"/>
        </w:rPr>
      </w:pPr>
    </w:p>
    <w:p>
      <w:pPr>
        <w:spacing w:line="360" w:lineRule="auto"/>
        <w:ind w:firstLine="480" w:firstLineChars="200"/>
        <w:jc w:val="left"/>
        <w:rPr>
          <w:rFonts w:ascii="宋体" w:hAnsi="宋体" w:cs="宋体"/>
          <w:color w:val="auto"/>
          <w:sz w:val="30"/>
          <w:szCs w:val="30"/>
          <w:highlight w:val="none"/>
        </w:rPr>
      </w:pPr>
      <w:r>
        <w:rPr>
          <w:rFonts w:hint="eastAsia" w:ascii="宋体" w:hAnsi="宋体" w:cs="宋体"/>
          <w:color w:val="auto"/>
          <w:sz w:val="24"/>
          <w:szCs w:val="24"/>
          <w:highlight w:val="none"/>
        </w:rPr>
        <w:t>因发包人原因导致超过合同工期半年以上的，发包人有权另行约定此费用。</w:t>
      </w:r>
    </w:p>
    <w:p>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76.5发包人供应材料设备的价款调整</w:t>
      </w:r>
    </w:p>
    <w:p>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发包人供应材料和工程设备的，由发包人按照实际变化调整，不列入合同工程的工程造价内。</w:t>
      </w:r>
    </w:p>
    <w:p>
      <w:pPr>
        <w:spacing w:line="360" w:lineRule="auto"/>
        <w:jc w:val="left"/>
        <w:rPr>
          <w:rFonts w:ascii="宋体" w:hAnsi="宋体" w:cs="宋体"/>
          <w:strike/>
          <w:color w:val="auto"/>
          <w:sz w:val="30"/>
          <w:szCs w:val="30"/>
          <w:highlight w:val="none"/>
        </w:rPr>
      </w:pPr>
    </w:p>
    <w:p>
      <w:pPr>
        <w:widowControl/>
        <w:tabs>
          <w:tab w:val="left" w:pos="420"/>
        </w:tabs>
        <w:spacing w:before="100" w:beforeAutospacing="1" w:after="100" w:afterAutospacing="1"/>
        <w:jc w:val="left"/>
        <w:outlineLvl w:val="1"/>
        <w:rPr>
          <w:rFonts w:ascii="宋体" w:hAnsi="宋体" w:cs="宋体"/>
          <w:b/>
          <w:bCs/>
          <w:color w:val="auto"/>
          <w:kern w:val="0"/>
          <w:sz w:val="24"/>
          <w:szCs w:val="24"/>
          <w:highlight w:val="none"/>
        </w:rPr>
      </w:pPr>
      <w:bookmarkStart w:id="1827" w:name="_Toc16796"/>
      <w:bookmarkStart w:id="1828" w:name="_Toc12409"/>
      <w:bookmarkStart w:id="1829" w:name="_Toc1020393626"/>
      <w:bookmarkStart w:id="1830" w:name="_Toc8116"/>
      <w:bookmarkStart w:id="1831" w:name="_Toc19881"/>
      <w:bookmarkStart w:id="1832" w:name="_Toc25828"/>
      <w:bookmarkStart w:id="1833" w:name="_Toc159162327"/>
      <w:bookmarkStart w:id="1834" w:name="_Toc24242"/>
      <w:r>
        <w:rPr>
          <w:rFonts w:hint="eastAsia" w:ascii="宋体" w:hAnsi="宋体" w:cs="宋体"/>
          <w:bCs/>
          <w:color w:val="auto"/>
          <w:kern w:val="0"/>
          <w:sz w:val="24"/>
          <w:szCs w:val="24"/>
          <w:highlight w:val="none"/>
        </w:rPr>
        <w:t>77  合同价款调整程序</w:t>
      </w:r>
      <w:bookmarkEnd w:id="1827"/>
      <w:bookmarkEnd w:id="1828"/>
      <w:bookmarkEnd w:id="1829"/>
      <w:bookmarkEnd w:id="1830"/>
      <w:bookmarkEnd w:id="1831"/>
      <w:bookmarkEnd w:id="1832"/>
      <w:bookmarkEnd w:id="1833"/>
      <w:bookmarkEnd w:id="1834"/>
    </w:p>
    <w:p>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77.3调增价款的核实</w:t>
      </w:r>
    </w:p>
    <w:p>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发包人应在收到合同价款调增报告及相关资料后对其核实，并予以确认或提出协商意见。发包人提出协商意见的，合同双方当事人应在承包人收到协商意见后进行协商确定。</w:t>
      </w:r>
    </w:p>
    <w:p>
      <w:pPr>
        <w:spacing w:line="360" w:lineRule="auto"/>
        <w:jc w:val="left"/>
        <w:rPr>
          <w:rFonts w:ascii="宋体" w:hAnsi="宋体" w:cs="宋体"/>
          <w:strike/>
          <w:color w:val="auto"/>
          <w:sz w:val="30"/>
          <w:szCs w:val="30"/>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835" w:name="_Toc469384127"/>
      <w:bookmarkStart w:id="1836" w:name="_Toc20545"/>
      <w:bookmarkStart w:id="1837" w:name="_Toc6136"/>
      <w:bookmarkStart w:id="1838" w:name="_Toc2098750887"/>
      <w:bookmarkStart w:id="1839" w:name="_Toc14263"/>
      <w:bookmarkStart w:id="1840" w:name="_Toc22678"/>
      <w:bookmarkStart w:id="1841" w:name="_Toc31568"/>
      <w:bookmarkStart w:id="1842" w:name="_Toc32700"/>
      <w:bookmarkStart w:id="1843" w:name="_Toc1424089374"/>
      <w:r>
        <w:rPr>
          <w:rFonts w:hint="eastAsia" w:ascii="宋体" w:hAnsi="宋体" w:cs="宋体"/>
          <w:bCs/>
          <w:color w:val="auto"/>
          <w:sz w:val="24"/>
          <w:szCs w:val="24"/>
          <w:highlight w:val="none"/>
        </w:rPr>
        <w:t>78. 支付事项</w:t>
      </w:r>
      <w:bookmarkEnd w:id="1835"/>
      <w:bookmarkEnd w:id="1836"/>
      <w:bookmarkEnd w:id="1837"/>
      <w:bookmarkEnd w:id="1838"/>
      <w:bookmarkEnd w:id="1839"/>
      <w:bookmarkEnd w:id="1840"/>
      <w:bookmarkEnd w:id="1841"/>
      <w:bookmarkEnd w:id="1842"/>
      <w:bookmarkEnd w:id="1843"/>
    </w:p>
    <w:p>
      <w:pPr>
        <w:rPr>
          <w:rFonts w:ascii="宋体" w:hAnsi="宋体" w:cs="宋体"/>
          <w:color w:val="auto"/>
          <w:kern w:val="0"/>
          <w:sz w:val="24"/>
          <w:szCs w:val="24"/>
          <w:highlight w:val="none"/>
        </w:rPr>
      </w:pP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78.2 计算利息的利率</w:t>
      </w: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□按照中国人民银行发布的同期同类贷款利率。</w:t>
      </w:r>
    </w:p>
    <w:p>
      <w:pPr>
        <w:spacing w:line="360" w:lineRule="auto"/>
        <w:ind w:firstLine="200" w:firstLineChars="100"/>
        <w:rPr>
          <w:rFonts w:ascii="宋体" w:hAnsi="宋体" w:cs="宋体"/>
          <w:color w:val="auto"/>
          <w:kern w:val="0"/>
          <w:sz w:val="24"/>
          <w:szCs w:val="24"/>
          <w:highlight w:val="none"/>
          <w:u w:val="singl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kern w:val="0"/>
          <w:sz w:val="24"/>
          <w:szCs w:val="24"/>
          <w:highlight w:val="none"/>
          <w:u w:val="single"/>
        </w:rPr>
        <w:t>不计算利息。</w:t>
      </w:r>
    </w:p>
    <w:p>
      <w:pPr>
        <w:rPr>
          <w:rFonts w:ascii="宋体" w:hAnsi="宋体" w:cs="宋体"/>
          <w:color w:val="auto"/>
          <w:kern w:val="0"/>
          <w:sz w:val="24"/>
          <w:szCs w:val="24"/>
          <w:highlight w:val="none"/>
          <w:u w:val="singl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844" w:name="_Toc1287255834"/>
      <w:bookmarkStart w:id="1845" w:name="_Toc7202"/>
      <w:bookmarkStart w:id="1846" w:name="_Toc23158"/>
      <w:bookmarkStart w:id="1847" w:name="_Toc469384128"/>
      <w:bookmarkStart w:id="1848" w:name="_Toc964863003"/>
      <w:bookmarkStart w:id="1849" w:name="_Toc21256"/>
      <w:bookmarkStart w:id="1850" w:name="_Toc4026"/>
      <w:bookmarkStart w:id="1851" w:name="_Toc6571"/>
      <w:bookmarkStart w:id="1852" w:name="_Toc9060"/>
      <w:r>
        <w:rPr>
          <w:rFonts w:hint="eastAsia" w:ascii="宋体" w:hAnsi="宋体" w:cs="宋体"/>
          <w:bCs/>
          <w:color w:val="auto"/>
          <w:sz w:val="24"/>
          <w:szCs w:val="24"/>
          <w:highlight w:val="none"/>
        </w:rPr>
        <w:t>79. 预付款</w:t>
      </w:r>
      <w:bookmarkEnd w:id="1844"/>
      <w:bookmarkEnd w:id="1845"/>
      <w:bookmarkEnd w:id="1846"/>
      <w:bookmarkEnd w:id="1847"/>
      <w:bookmarkEnd w:id="1848"/>
      <w:bookmarkEnd w:id="1849"/>
      <w:bookmarkEnd w:id="1850"/>
      <w:bookmarkEnd w:id="1851"/>
      <w:bookmarkEnd w:id="1852"/>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79.1 预付款的约定及管理</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（1）预付款的约定</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□没约定预付款的，本条不适用。</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约定预付款的，预付款的金额为   元，其支付办法和抵扣方式，按本条有关专用条款的约定。</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（2）预付款的最高限额</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预付比例为合同价款（扣除绿色施工安全防护措施费）的</w:t>
      </w:r>
      <w:r>
        <w:rPr>
          <w:rFonts w:hint="eastAsia" w:ascii="宋体" w:hAnsi="宋体" w:cs="宋体"/>
          <w:color w:val="auto"/>
          <w:kern w:val="0"/>
          <w:sz w:val="24"/>
          <w:szCs w:val="24"/>
          <w:highlight w:val="none"/>
          <w:u w:val="single"/>
          <w:lang w:val="en-US" w:eastAsia="zh-CN"/>
        </w:rPr>
        <w:t>1</w:t>
      </w:r>
      <w:r>
        <w:rPr>
          <w:rFonts w:hint="eastAsia" w:ascii="宋体" w:hAnsi="宋体" w:cs="宋体"/>
          <w:color w:val="auto"/>
          <w:kern w:val="0"/>
          <w:sz w:val="24"/>
          <w:szCs w:val="24"/>
          <w:highlight w:val="none"/>
          <w:u w:val="single"/>
        </w:rPr>
        <w:t>0</w:t>
      </w:r>
      <w:r>
        <w:rPr>
          <w:rFonts w:hint="eastAsia" w:ascii="宋体" w:hAnsi="宋体" w:cs="宋体"/>
          <w:color w:val="auto"/>
          <w:kern w:val="0"/>
          <w:sz w:val="24"/>
          <w:szCs w:val="24"/>
          <w:highlight w:val="none"/>
        </w:rPr>
        <w:t>%，即   元。</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□另作约定：</w:t>
      </w:r>
    </w:p>
    <w:p>
      <w:pPr>
        <w:spacing w:line="360" w:lineRule="auto"/>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79.2 提交预付款支付申请期限：</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□按承包人在完成本款三项工作后的7天内。</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kern w:val="0"/>
          <w:sz w:val="24"/>
          <w:szCs w:val="24"/>
          <w:highlight w:val="none"/>
          <w:u w:val="single"/>
        </w:rPr>
        <w:t>合同签订后，发包人在书面确认开工后7个工作日内，依据承包人申请支付款项的凭证和增值税专用发票以及经广州市人力资源社会保障行政部门审查确认的《建筑工程申请工资保证金管理审查表》向承包人支付工程预付款。预付款支付前承包人需提交履约担保。</w:t>
      </w:r>
    </w:p>
    <w:p>
      <w:pPr>
        <w:spacing w:line="360" w:lineRule="auto"/>
        <w:rPr>
          <w:rFonts w:ascii="宋体" w:hAnsi="宋体" w:cs="宋体"/>
          <w:color w:val="auto"/>
          <w:kern w:val="0"/>
          <w:sz w:val="24"/>
          <w:szCs w:val="24"/>
          <w:highlight w:val="none"/>
          <w:u w:val="singl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79.4 预付款抵扣方式</w:t>
      </w:r>
    </w:p>
    <w:p>
      <w:pPr>
        <w:spacing w:line="360" w:lineRule="auto"/>
        <w:ind w:left="240" w:hanging="240" w:hanging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预付款按照期中每次已完工程量价款的</w:t>
      </w:r>
      <w:r>
        <w:rPr>
          <w:rFonts w:hint="eastAsia" w:ascii="宋体" w:hAnsi="宋体" w:cs="宋体"/>
          <w:color w:val="auto"/>
          <w:kern w:val="0"/>
          <w:sz w:val="24"/>
          <w:szCs w:val="24"/>
          <w:highlight w:val="none"/>
          <w:u w:val="single"/>
          <w:lang w:val="en-US" w:eastAsia="zh-CN"/>
        </w:rPr>
        <w:t>40</w:t>
      </w:r>
      <w:r>
        <w:rPr>
          <w:rFonts w:hint="eastAsia" w:ascii="宋体" w:hAnsi="宋体" w:cs="宋体"/>
          <w:color w:val="auto"/>
          <w:kern w:val="0"/>
          <w:sz w:val="24"/>
          <w:szCs w:val="24"/>
          <w:highlight w:val="none"/>
        </w:rPr>
        <w:t>%予以抵扣，直到扣完为止。</w:t>
      </w:r>
    </w:p>
    <w:p>
      <w:pPr>
        <w:spacing w:line="360" w:lineRule="auto"/>
        <w:ind w:left="210" w:leftChars="1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□其它方式：</w:t>
      </w:r>
    </w:p>
    <w:p>
      <w:pPr>
        <w:spacing w:line="360" w:lineRule="auto"/>
        <w:ind w:left="210" w:leftChars="100"/>
        <w:rPr>
          <w:rFonts w:ascii="宋体" w:hAnsi="宋体" w:cs="宋体"/>
          <w:color w:val="auto"/>
          <w:kern w:val="0"/>
          <w:sz w:val="24"/>
          <w:szCs w:val="24"/>
          <w:highlight w:val="none"/>
          <w:u w:val="singl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79.5预付款保函的有效与退还</w:t>
      </w:r>
    </w:p>
    <w:p>
      <w:pPr>
        <w:spacing w:line="360" w:lineRule="auto"/>
        <w:ind w:firstLine="240" w:firstLineChars="100"/>
        <w:rPr>
          <w:rFonts w:hint="eastAsia" w:ascii="宋体" w:hAnsi="宋体" w:eastAsia="宋体" w:cs="宋体"/>
          <w:color w:val="auto"/>
          <w:kern w:val="0"/>
          <w:sz w:val="24"/>
          <w:szCs w:val="24"/>
          <w:highlight w:val="none"/>
          <w:u w:val="single"/>
          <w:lang w:eastAsia="zh-CN"/>
        </w:rPr>
      </w:pPr>
      <w:r>
        <w:rPr>
          <w:rFonts w:hint="eastAsia" w:ascii="宋体" w:hAnsi="宋体" w:cs="宋体"/>
          <w:color w:val="auto"/>
          <w:kern w:val="0"/>
          <w:sz w:val="24"/>
          <w:szCs w:val="24"/>
          <w:highlight w:val="none"/>
          <w:u w:val="single"/>
          <w:lang w:eastAsia="zh-CN"/>
        </w:rPr>
        <w:t>（本工程无预付款保函）</w:t>
      </w:r>
    </w:p>
    <w:p>
      <w:pPr>
        <w:spacing w:line="360" w:lineRule="auto"/>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853" w:name="_Toc24261"/>
      <w:bookmarkStart w:id="1854" w:name="_Toc15332"/>
      <w:bookmarkStart w:id="1855" w:name="_Toc27091"/>
      <w:bookmarkStart w:id="1856" w:name="_Toc469384129"/>
      <w:bookmarkStart w:id="1857" w:name="_Toc803472924"/>
      <w:bookmarkStart w:id="1858" w:name="_Toc1158542160"/>
      <w:bookmarkStart w:id="1859" w:name="_Toc25716"/>
      <w:bookmarkStart w:id="1860" w:name="_Toc21895"/>
      <w:bookmarkStart w:id="1861" w:name="_Toc15218"/>
      <w:r>
        <w:rPr>
          <w:rFonts w:hint="eastAsia" w:ascii="宋体" w:hAnsi="宋体" w:cs="宋体"/>
          <w:bCs/>
          <w:color w:val="auto"/>
          <w:sz w:val="24"/>
          <w:szCs w:val="24"/>
          <w:highlight w:val="none"/>
        </w:rPr>
        <w:t>80. 绿色施工安全防护措施费</w:t>
      </w:r>
      <w:bookmarkEnd w:id="1853"/>
      <w:bookmarkEnd w:id="1854"/>
      <w:bookmarkEnd w:id="1855"/>
      <w:bookmarkEnd w:id="1856"/>
      <w:bookmarkEnd w:id="1857"/>
      <w:bookmarkEnd w:id="1858"/>
      <w:bookmarkEnd w:id="1859"/>
      <w:bookmarkEnd w:id="1860"/>
      <w:bookmarkEnd w:id="1861"/>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80.1 </w:t>
      </w:r>
      <w:r>
        <w:rPr>
          <w:rFonts w:hint="eastAsia" w:ascii="宋体" w:hAnsi="宋体" w:cs="宋体"/>
          <w:color w:val="auto"/>
          <w:sz w:val="24"/>
          <w:szCs w:val="24"/>
          <w:highlight w:val="none"/>
        </w:rPr>
        <w:t>绿色施工安全防护措施</w:t>
      </w:r>
      <w:r>
        <w:rPr>
          <w:rFonts w:hint="eastAsia" w:ascii="宋体" w:hAnsi="宋体" w:cs="宋体"/>
          <w:color w:val="auto"/>
          <w:kern w:val="0"/>
          <w:sz w:val="24"/>
          <w:szCs w:val="24"/>
          <w:highlight w:val="none"/>
        </w:rPr>
        <w:t>费的内容、范围和金额</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（1）内容和范围</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24"/>
          <w:szCs w:val="24"/>
          <w:highlight w:val="none"/>
        </w:rPr>
        <w:t>按通用条款的规定，以现行广东省统一工程计价依据规定、</w:t>
      </w:r>
      <w:r>
        <w:rPr>
          <w:rFonts w:hint="eastAsia" w:ascii="宋体" w:hAnsi="宋体" w:cs="宋体"/>
          <w:color w:val="auto"/>
          <w:sz w:val="24"/>
          <w:szCs w:val="24"/>
          <w:highlight w:val="none"/>
        </w:rPr>
        <w:t>省市造价管理部门发布管理文件</w:t>
      </w:r>
      <w:r>
        <w:rPr>
          <w:rFonts w:hint="eastAsia" w:ascii="宋体" w:hAnsi="宋体" w:cs="宋体"/>
          <w:color w:val="auto"/>
          <w:kern w:val="0"/>
          <w:sz w:val="24"/>
          <w:szCs w:val="24"/>
          <w:highlight w:val="none"/>
        </w:rPr>
        <w:t>为准。</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□另作约定：</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sz w:val="24"/>
          <w:szCs w:val="24"/>
          <w:highlight w:val="none"/>
        </w:rPr>
        <w:t>绿色施工安全防护措施</w:t>
      </w:r>
      <w:r>
        <w:rPr>
          <w:rFonts w:hint="eastAsia" w:ascii="宋体" w:hAnsi="宋体" w:cs="宋体"/>
          <w:color w:val="auto"/>
          <w:kern w:val="0"/>
          <w:sz w:val="24"/>
          <w:szCs w:val="24"/>
          <w:highlight w:val="none"/>
        </w:rPr>
        <w:t>费的总金额为</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元。</w:t>
      </w:r>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80.2 支付申请的提交与核实</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sz w:val="24"/>
          <w:szCs w:val="24"/>
          <w:highlight w:val="none"/>
          <w:u w:val="single"/>
        </w:rPr>
        <w:t>承包人应在接到监理工程师按照第34.2款规定发出开工令后的7天内向发包人代表提交绿色施工安全防护措施费支付申请，发包人应对支付申请进行核实。</w:t>
      </w:r>
    </w:p>
    <w:p>
      <w:pPr>
        <w:spacing w:line="360" w:lineRule="auto"/>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80.3 费用支付</w:t>
      </w:r>
    </w:p>
    <w:p>
      <w:pPr>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绿色施工安全防护</w:t>
      </w:r>
      <w:r>
        <w:rPr>
          <w:rFonts w:hint="eastAsia" w:ascii="宋体" w:hAnsi="宋体" w:cs="宋体"/>
          <w:color w:val="auto"/>
          <w:kern w:val="0"/>
          <w:sz w:val="24"/>
          <w:szCs w:val="24"/>
          <w:highlight w:val="none"/>
        </w:rPr>
        <w:t>费的支付办法和抵扣方式：</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☑另作约定： </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承包人在工程开工报告批复后，需编制分阶段绿色施工安全防护措施费用计划，经监理和发包人审核批准后，发包人</w:t>
      </w:r>
      <w:r>
        <w:rPr>
          <w:rFonts w:hint="eastAsia" w:ascii="宋体" w:hAnsi="宋体" w:eastAsia="宋体" w:cs="宋体"/>
          <w:color w:val="auto"/>
          <w:kern w:val="0"/>
          <w:sz w:val="24"/>
          <w:szCs w:val="24"/>
          <w:highlight w:val="none"/>
        </w:rPr>
        <w:t>于工程开工日一个月内</w:t>
      </w:r>
      <w:r>
        <w:rPr>
          <w:rFonts w:hint="eastAsia" w:ascii="宋体" w:hAnsi="宋体" w:cs="宋体"/>
          <w:color w:val="auto"/>
          <w:kern w:val="0"/>
          <w:sz w:val="24"/>
          <w:szCs w:val="24"/>
          <w:highlight w:val="none"/>
        </w:rPr>
        <w:t>预付绿色施工安全防护措施费总额的60%用于安全措施投入，金额：元。其余费用按照工程进展情况以及发包人、承包人、监理三方共同核定的安全措施落实情况分阶段支付，具体支付按合同附件</w:t>
      </w:r>
      <w:r>
        <w:rPr>
          <w:rFonts w:hint="eastAsia" w:ascii="宋体" w:hAnsi="宋体" w:cs="宋体"/>
          <w:color w:val="auto"/>
          <w:kern w:val="0"/>
          <w:sz w:val="24"/>
          <w:szCs w:val="24"/>
          <w:highlight w:val="none"/>
          <w:lang w:val="en-US" w:eastAsia="zh-CN"/>
        </w:rPr>
        <w:t>7</w:t>
      </w:r>
      <w:r>
        <w:rPr>
          <w:rFonts w:hint="eastAsia" w:ascii="宋体" w:hAnsi="宋体" w:cs="宋体"/>
          <w:color w:val="auto"/>
          <w:kern w:val="0"/>
          <w:sz w:val="24"/>
          <w:szCs w:val="24"/>
          <w:highlight w:val="none"/>
        </w:rPr>
        <w:t>安健环管理协议第三条执行。</w:t>
      </w:r>
    </w:p>
    <w:p>
      <w:pPr>
        <w:rPr>
          <w:rFonts w:ascii="宋体" w:hAnsi="宋体" w:cs="宋体"/>
          <w:color w:val="auto"/>
          <w:kern w:val="0"/>
          <w:sz w:val="24"/>
          <w:szCs w:val="24"/>
          <w:highlight w:val="none"/>
        </w:rPr>
      </w:pPr>
    </w:p>
    <w:p>
      <w:pPr>
        <w:spacing w:line="360" w:lineRule="auto"/>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80.6 文明工地增加费</w:t>
      </w:r>
    </w:p>
    <w:p>
      <w:pPr>
        <w:spacing w:line="360" w:lineRule="auto"/>
        <w:ind w:firstLine="240" w:firstLineChars="100"/>
        <w:rPr>
          <w:rFonts w:ascii="宋体" w:hAnsi="宋体" w:cs="宋体"/>
          <w:b/>
          <w:bCs/>
          <w:color w:val="auto"/>
          <w:kern w:val="0"/>
          <w:sz w:val="24"/>
          <w:szCs w:val="24"/>
          <w:highlight w:val="none"/>
          <w:u w:val="single"/>
        </w:rPr>
      </w:pPr>
      <w:r>
        <w:rPr>
          <w:rFonts w:hint="eastAsia" w:ascii="宋体" w:hAnsi="宋体" w:cs="宋体"/>
          <w:color w:val="auto"/>
          <w:kern w:val="0"/>
          <w:sz w:val="24"/>
          <w:szCs w:val="24"/>
          <w:highlight w:val="none"/>
          <w:u w:val="single"/>
        </w:rPr>
        <w:t>此通用条款不执行。</w:t>
      </w:r>
    </w:p>
    <w:p>
      <w:pPr>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862" w:name="_Toc17796"/>
      <w:bookmarkStart w:id="1863" w:name="_Toc383855771"/>
      <w:bookmarkStart w:id="1864" w:name="_Toc592261332"/>
      <w:bookmarkStart w:id="1865" w:name="_Toc469384130"/>
      <w:bookmarkStart w:id="1866" w:name="_Toc19371"/>
      <w:bookmarkStart w:id="1867" w:name="_Toc486"/>
      <w:bookmarkStart w:id="1868" w:name="_Toc27112"/>
      <w:bookmarkStart w:id="1869" w:name="_Toc2756"/>
      <w:bookmarkStart w:id="1870" w:name="_Toc4906"/>
      <w:r>
        <w:rPr>
          <w:rFonts w:hint="eastAsia" w:ascii="宋体" w:hAnsi="宋体" w:cs="宋体"/>
          <w:bCs/>
          <w:color w:val="auto"/>
          <w:sz w:val="24"/>
          <w:szCs w:val="24"/>
          <w:highlight w:val="none"/>
        </w:rPr>
        <w:t>81. 进度款</w:t>
      </w:r>
      <w:bookmarkEnd w:id="1862"/>
      <w:bookmarkEnd w:id="1863"/>
      <w:bookmarkEnd w:id="1864"/>
      <w:bookmarkEnd w:id="1865"/>
      <w:bookmarkEnd w:id="1866"/>
      <w:bookmarkEnd w:id="1867"/>
      <w:bookmarkEnd w:id="1868"/>
      <w:bookmarkEnd w:id="1869"/>
      <w:bookmarkEnd w:id="1870"/>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81.1 约定支付期限和提交支付申请</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（1）支付期限、比例</w:t>
      </w:r>
    </w:p>
    <w:p>
      <w:pPr>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kern w:val="0"/>
          <w:sz w:val="24"/>
          <w:szCs w:val="24"/>
          <w:highlight w:val="none"/>
        </w:rPr>
        <w:t xml:space="preserve">   以月为单位，支付比例：</w:t>
      </w:r>
    </w:p>
    <w:p>
      <w:pPr>
        <w:spacing w:line="360" w:lineRule="auto"/>
        <w:ind w:firstLine="480" w:firstLineChars="20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每月10日前，承包人按上月完成工程量报监理审核、发包人审批。发包人在收到该笔进度付款申请后，根据监理意见进行核实。如承包人付款申请中列明的工作量与发包人核实后的工作量不一致的，以发包人核实后的工作量为准。</w:t>
      </w:r>
    </w:p>
    <w:p>
      <w:pPr>
        <w:spacing w:line="360" w:lineRule="auto"/>
        <w:ind w:firstLine="480" w:firstLineChars="20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发包人按核实的已完工程量价款的</w:t>
      </w:r>
      <w:r>
        <w:rPr>
          <w:rFonts w:hint="eastAsia" w:ascii="宋体" w:hAnsi="宋体" w:cs="宋体"/>
          <w:color w:val="auto"/>
          <w:kern w:val="0"/>
          <w:sz w:val="24"/>
          <w:szCs w:val="24"/>
          <w:highlight w:val="none"/>
          <w:u w:val="single"/>
          <w:lang w:val="en-US" w:eastAsia="zh-CN"/>
        </w:rPr>
        <w:t>8</w:t>
      </w:r>
      <w:r>
        <w:rPr>
          <w:rFonts w:hint="eastAsia" w:ascii="宋体" w:hAnsi="宋体" w:cs="宋体"/>
          <w:color w:val="auto"/>
          <w:kern w:val="0"/>
          <w:sz w:val="24"/>
          <w:szCs w:val="24"/>
          <w:highlight w:val="none"/>
          <w:u w:val="single"/>
        </w:rPr>
        <w:t>0%确定进度款金额。根据条款79.4，每期抵扣已完工程量价款金额</w:t>
      </w:r>
      <w:r>
        <w:rPr>
          <w:rFonts w:hint="eastAsia" w:ascii="宋体" w:hAnsi="宋体" w:cs="宋体"/>
          <w:color w:val="auto"/>
          <w:kern w:val="0"/>
          <w:sz w:val="24"/>
          <w:szCs w:val="24"/>
          <w:highlight w:val="none"/>
          <w:u w:val="single"/>
          <w:lang w:val="en-US" w:eastAsia="zh-CN"/>
        </w:rPr>
        <w:t>40</w:t>
      </w:r>
      <w:r>
        <w:rPr>
          <w:rFonts w:hint="eastAsia" w:ascii="宋体" w:hAnsi="宋体" w:cs="宋体"/>
          <w:color w:val="auto"/>
          <w:kern w:val="0"/>
          <w:sz w:val="24"/>
          <w:szCs w:val="24"/>
          <w:highlight w:val="none"/>
          <w:u w:val="single"/>
        </w:rPr>
        <w:t>%的预付款，即实际每期支付已完工程量价款的</w:t>
      </w:r>
      <w:r>
        <w:rPr>
          <w:rFonts w:hint="eastAsia" w:ascii="宋体" w:hAnsi="宋体" w:cs="宋体"/>
          <w:color w:val="auto"/>
          <w:kern w:val="0"/>
          <w:sz w:val="24"/>
          <w:szCs w:val="24"/>
          <w:highlight w:val="none"/>
          <w:u w:val="single"/>
          <w:lang w:val="en-US" w:eastAsia="zh-CN"/>
        </w:rPr>
        <w:t>40</w:t>
      </w:r>
      <w:r>
        <w:rPr>
          <w:rFonts w:hint="eastAsia" w:ascii="宋体" w:hAnsi="宋体" w:cs="宋体"/>
          <w:color w:val="auto"/>
          <w:kern w:val="0"/>
          <w:sz w:val="24"/>
          <w:szCs w:val="24"/>
          <w:highlight w:val="none"/>
          <w:u w:val="single"/>
        </w:rPr>
        <w:t>%；预付款完全抵扣后，实际每期支付已完工程量价款的</w:t>
      </w:r>
      <w:r>
        <w:rPr>
          <w:rFonts w:hint="eastAsia" w:ascii="宋体" w:hAnsi="宋体" w:cs="宋体"/>
          <w:color w:val="auto"/>
          <w:kern w:val="0"/>
          <w:sz w:val="24"/>
          <w:szCs w:val="24"/>
          <w:highlight w:val="none"/>
          <w:u w:val="single"/>
          <w:lang w:val="en-US" w:eastAsia="zh-CN"/>
        </w:rPr>
        <w:t>8</w:t>
      </w:r>
      <w:r>
        <w:rPr>
          <w:rFonts w:hint="eastAsia" w:ascii="宋体" w:hAnsi="宋体" w:cs="宋体"/>
          <w:color w:val="auto"/>
          <w:kern w:val="0"/>
          <w:sz w:val="24"/>
          <w:szCs w:val="24"/>
          <w:highlight w:val="none"/>
          <w:u w:val="single"/>
        </w:rPr>
        <w:t>0%。工程进度未达100%前累计支付不超过合同价（扣除绿色施工安全防护措施费后）的</w:t>
      </w:r>
      <w:r>
        <w:rPr>
          <w:rFonts w:hint="eastAsia" w:ascii="宋体" w:hAnsi="宋体" w:cs="宋体"/>
          <w:color w:val="auto"/>
          <w:kern w:val="0"/>
          <w:sz w:val="24"/>
          <w:szCs w:val="24"/>
          <w:highlight w:val="none"/>
          <w:u w:val="single"/>
          <w:lang w:val="en-US" w:eastAsia="zh-CN"/>
        </w:rPr>
        <w:t>8</w:t>
      </w:r>
      <w:r>
        <w:rPr>
          <w:rFonts w:hint="eastAsia" w:ascii="宋体" w:hAnsi="宋体" w:cs="宋体"/>
          <w:color w:val="auto"/>
          <w:kern w:val="0"/>
          <w:sz w:val="24"/>
          <w:szCs w:val="24"/>
          <w:highlight w:val="none"/>
          <w:u w:val="single"/>
        </w:rPr>
        <w:t>0%。</w:t>
      </w:r>
    </w:p>
    <w:p>
      <w:pPr>
        <w:spacing w:line="360" w:lineRule="auto"/>
        <w:ind w:firstLine="480" w:firstLineChars="20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当工程</w:t>
      </w:r>
      <w:r>
        <w:rPr>
          <w:rFonts w:hint="eastAsia" w:ascii="宋体" w:hAnsi="宋体" w:cs="宋体"/>
          <w:color w:val="auto"/>
          <w:kern w:val="0"/>
          <w:sz w:val="24"/>
          <w:szCs w:val="24"/>
          <w:highlight w:val="none"/>
          <w:u w:val="single"/>
          <w:lang w:val="en-US" w:eastAsia="zh-CN"/>
        </w:rPr>
        <w:t>交</w:t>
      </w:r>
      <w:r>
        <w:rPr>
          <w:rFonts w:hint="eastAsia" w:ascii="宋体" w:hAnsi="宋体" w:cs="宋体"/>
          <w:color w:val="auto"/>
          <w:kern w:val="0"/>
          <w:sz w:val="24"/>
          <w:szCs w:val="24"/>
          <w:highlight w:val="none"/>
          <w:u w:val="single"/>
        </w:rPr>
        <w:t>工验收合格，承包人按照规定提交</w:t>
      </w:r>
      <w:r>
        <w:rPr>
          <w:rFonts w:hint="eastAsia" w:ascii="宋体" w:hAnsi="宋体" w:cs="宋体"/>
          <w:color w:val="auto"/>
          <w:kern w:val="0"/>
          <w:sz w:val="24"/>
          <w:szCs w:val="24"/>
          <w:highlight w:val="none"/>
          <w:u w:val="single"/>
          <w:lang w:val="en-US" w:eastAsia="zh-CN"/>
        </w:rPr>
        <w:t>交</w:t>
      </w:r>
      <w:r>
        <w:rPr>
          <w:rFonts w:hint="eastAsia" w:ascii="宋体" w:hAnsi="宋体" w:cs="宋体"/>
          <w:color w:val="auto"/>
          <w:kern w:val="0"/>
          <w:sz w:val="24"/>
          <w:szCs w:val="24"/>
          <w:highlight w:val="none"/>
          <w:u w:val="single"/>
        </w:rPr>
        <w:t>工验收</w:t>
      </w:r>
      <w:r>
        <w:rPr>
          <w:rFonts w:hint="eastAsia" w:ascii="宋体" w:hAnsi="宋体" w:cs="宋体"/>
          <w:color w:val="auto"/>
          <w:kern w:val="0"/>
          <w:sz w:val="24"/>
          <w:szCs w:val="24"/>
          <w:highlight w:val="none"/>
          <w:u w:val="single"/>
          <w:lang w:val="en-US" w:eastAsia="zh-CN"/>
        </w:rPr>
        <w:t>报告</w:t>
      </w:r>
      <w:r>
        <w:rPr>
          <w:rFonts w:hint="eastAsia" w:ascii="宋体" w:hAnsi="宋体" w:cs="宋体"/>
          <w:color w:val="auto"/>
          <w:kern w:val="0"/>
          <w:sz w:val="24"/>
          <w:szCs w:val="24"/>
          <w:highlight w:val="none"/>
          <w:u w:val="single"/>
        </w:rPr>
        <w:t>且经发包人确认后，支付至合同价（扣除绿色施工安全防护措施费后）的80%。</w:t>
      </w:r>
    </w:p>
    <w:p>
      <w:pPr>
        <w:spacing w:line="360" w:lineRule="auto"/>
        <w:ind w:firstLine="480" w:firstLineChars="20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承包人应按发包人审核确定的金额向发包人开具有效增值税专用发票作为发包人付款凭证，发包人在收到该发票后14个工作日内向承包人支付该次进度款。</w:t>
      </w:r>
    </w:p>
    <w:p>
      <w:pPr>
        <w:spacing w:line="360" w:lineRule="auto"/>
        <w:jc w:val="left"/>
        <w:rPr>
          <w:rFonts w:ascii="宋体" w:hAnsi="宋体" w:cs="宋体"/>
          <w:color w:val="auto"/>
          <w:kern w:val="0"/>
          <w:sz w:val="24"/>
          <w:szCs w:val="24"/>
          <w:highlight w:val="none"/>
          <w:u w:val="single"/>
        </w:rPr>
      </w:pPr>
    </w:p>
    <w:p>
      <w:pPr>
        <w:spacing w:before="62" w:beforeLines="20" w:line="400" w:lineRule="exact"/>
        <w:ind w:firstLine="240" w:firstLineChars="100"/>
        <w:rPr>
          <w:rFonts w:ascii="宋体" w:hAnsi="宋体" w:cs="宋体"/>
          <w:color w:val="auto"/>
          <w:kern w:val="0"/>
          <w:sz w:val="24"/>
          <w:szCs w:val="24"/>
          <w:highlight w:val="none"/>
          <w:u w:val="single"/>
        </w:rPr>
      </w:pPr>
      <w:r>
        <w:rPr>
          <w:rFonts w:hint="eastAsia" w:ascii="宋体" w:hAnsi="宋体" w:cs="宋体"/>
          <w:bCs/>
          <w:color w:val="auto"/>
          <w:sz w:val="24"/>
          <w:szCs w:val="24"/>
          <w:highlight w:val="none"/>
          <w:u w:val="single"/>
        </w:rPr>
        <w:t>（2）发票的约定</w:t>
      </w:r>
    </w:p>
    <w:p>
      <w:pPr>
        <w:spacing w:before="62" w:beforeLines="20" w:line="400" w:lineRule="exact"/>
        <w:ind w:firstLine="480" w:firstLineChars="200"/>
        <w:rPr>
          <w:rFonts w:ascii="宋体" w:hAnsi="宋体" w:cs="宋体"/>
          <w:bCs/>
          <w:color w:val="auto"/>
          <w:sz w:val="24"/>
          <w:szCs w:val="24"/>
          <w:highlight w:val="none"/>
          <w:u w:val="single"/>
        </w:rPr>
      </w:pPr>
      <w:r>
        <w:rPr>
          <w:rFonts w:hint="eastAsia" w:ascii="宋体" w:hAnsi="宋体" w:cs="宋体"/>
          <w:bCs/>
          <w:color w:val="auto"/>
          <w:sz w:val="24"/>
          <w:szCs w:val="24"/>
          <w:highlight w:val="none"/>
          <w:u w:val="single"/>
        </w:rPr>
        <w:t>在发包人向承包人支付价款前，承包人应向发包人开具税率为9%的增值税专用发票。预付款和进度款的支付承包人提交等额发票、结算款支付提交包含质保金的剩余价款全额发票。否则，发包人有权拒绝付款并顺延付款时间。</w:t>
      </w:r>
    </w:p>
    <w:p>
      <w:pPr>
        <w:autoSpaceDE w:val="0"/>
        <w:autoSpaceDN w:val="0"/>
        <w:adjustRightInd w:val="0"/>
        <w:spacing w:after="156" w:afterLines="50"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增值税率9%，如因国家税收政策调整，按不含税价不变原则，相应调整税率和税额。</w:t>
      </w:r>
    </w:p>
    <w:p>
      <w:pPr>
        <w:autoSpaceDE w:val="0"/>
        <w:autoSpaceDN w:val="0"/>
        <w:adjustRightInd w:val="0"/>
        <w:spacing w:after="156" w:afterLines="50" w:line="360" w:lineRule="auto"/>
        <w:ind w:firstLine="480" w:firstLineChars="200"/>
        <w:rPr>
          <w:rFonts w:ascii="宋体" w:hAnsi="宋体" w:cs="宋体"/>
          <w:bCs/>
          <w:color w:val="auto"/>
          <w:sz w:val="24"/>
          <w:szCs w:val="24"/>
          <w:highlight w:val="none"/>
          <w:u w:val="single"/>
        </w:rPr>
      </w:pPr>
      <w:r>
        <w:rPr>
          <w:rFonts w:hint="eastAsia" w:ascii="宋体" w:hAnsi="宋体" w:cs="宋体"/>
          <w:bCs/>
          <w:color w:val="auto"/>
          <w:sz w:val="24"/>
          <w:szCs w:val="24"/>
          <w:highlight w:val="none"/>
          <w:u w:val="single"/>
        </w:rPr>
        <w:t>因承包人开具的发票不规范、不合法或涉嫌虚开发票引起税务问题的，承包人需依法向发包人重新开具发票，并向发包人承担赔偿责任，包括但不限于税款、滞纳金、罚款及相关损失等。</w:t>
      </w:r>
    </w:p>
    <w:p>
      <w:pPr>
        <w:spacing w:before="62" w:beforeLines="20" w:line="400" w:lineRule="exact"/>
        <w:ind w:firstLine="480" w:firstLineChars="200"/>
        <w:rPr>
          <w:rFonts w:ascii="宋体" w:hAnsi="宋体" w:cs="宋体"/>
          <w:bCs/>
          <w:color w:val="auto"/>
          <w:sz w:val="24"/>
          <w:szCs w:val="24"/>
          <w:highlight w:val="none"/>
          <w:u w:val="single"/>
        </w:rPr>
      </w:pPr>
      <w:r>
        <w:rPr>
          <w:rFonts w:hint="eastAsia" w:ascii="宋体" w:hAnsi="宋体" w:cs="宋体"/>
          <w:bCs/>
          <w:color w:val="auto"/>
          <w:sz w:val="24"/>
          <w:szCs w:val="24"/>
          <w:highlight w:val="none"/>
          <w:u w:val="single"/>
        </w:rPr>
        <w:t>承包人向发包人开具的增值税专用发票，承包人必须确保发票票面信息全部真实合法，相关品目、价款等内容与本合同相一致。因发票票面信息有误导致发票不能抵扣税款或者被认定为虚开的，承包人需向发包人承担赔偿责任，包括但不限于税款、滞纳金、罚款及相关损失等。</w:t>
      </w:r>
    </w:p>
    <w:p>
      <w:pPr>
        <w:spacing w:line="360" w:lineRule="auto"/>
        <w:jc w:val="left"/>
        <w:rPr>
          <w:rFonts w:ascii="宋体" w:hAnsi="宋体" w:cs="宋体"/>
          <w:color w:val="auto"/>
          <w:kern w:val="0"/>
          <w:sz w:val="24"/>
          <w:szCs w:val="24"/>
          <w:highlight w:val="none"/>
          <w:u w:val="single"/>
        </w:rPr>
      </w:pPr>
    </w:p>
    <w:p>
      <w:pPr>
        <w:spacing w:line="360" w:lineRule="auto"/>
        <w:jc w:val="left"/>
        <w:rPr>
          <w:rFonts w:ascii="宋体" w:hAnsi="宋体" w:cs="宋体"/>
          <w:color w:val="auto"/>
          <w:kern w:val="0"/>
          <w:sz w:val="24"/>
          <w:szCs w:val="24"/>
          <w:highlight w:val="none"/>
          <w:u w:val="single"/>
        </w:rPr>
      </w:pPr>
    </w:p>
    <w:p>
      <w:pPr>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871" w:name="_Toc27509"/>
      <w:bookmarkStart w:id="1872" w:name="_Toc12677"/>
      <w:bookmarkStart w:id="1873" w:name="_Toc423067609"/>
      <w:bookmarkStart w:id="1874" w:name="_Toc32714"/>
      <w:bookmarkStart w:id="1875" w:name="_Toc469384131"/>
      <w:bookmarkStart w:id="1876" w:name="_Toc13193"/>
      <w:bookmarkStart w:id="1877" w:name="_Toc22829"/>
      <w:bookmarkStart w:id="1878" w:name="_Toc549503079"/>
      <w:bookmarkStart w:id="1879" w:name="_Toc21034"/>
      <w:r>
        <w:rPr>
          <w:rFonts w:hint="eastAsia" w:ascii="宋体" w:hAnsi="宋体" w:cs="宋体"/>
          <w:bCs/>
          <w:color w:val="auto"/>
          <w:sz w:val="24"/>
          <w:szCs w:val="24"/>
          <w:highlight w:val="none"/>
        </w:rPr>
        <w:t>82. 竣工结算</w:t>
      </w:r>
      <w:bookmarkEnd w:id="1871"/>
      <w:bookmarkEnd w:id="1872"/>
      <w:bookmarkEnd w:id="1873"/>
      <w:bookmarkEnd w:id="1874"/>
      <w:bookmarkEnd w:id="1875"/>
      <w:bookmarkEnd w:id="1876"/>
      <w:bookmarkEnd w:id="1877"/>
      <w:bookmarkEnd w:id="1878"/>
      <w:bookmarkEnd w:id="1879"/>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82.1 </w:t>
      </w:r>
    </w:p>
    <w:p>
      <w:pPr>
        <w:spacing w:line="360" w:lineRule="auto"/>
        <w:ind w:firstLine="141" w:firstLineChars="59"/>
        <w:rPr>
          <w:rFonts w:ascii="宋体" w:hAnsi="宋体" w:cs="宋体"/>
          <w:color w:val="auto"/>
          <w:kern w:val="0"/>
          <w:sz w:val="24"/>
          <w:szCs w:val="24"/>
          <w:highlight w:val="none"/>
        </w:rPr>
      </w:pPr>
      <w:r>
        <w:rPr>
          <w:rFonts w:hint="eastAsia" w:ascii="宋体" w:hAnsi="宋体" w:cs="宋体"/>
          <w:color w:val="auto"/>
          <w:kern w:val="0"/>
          <w:sz w:val="24"/>
          <w:szCs w:val="24"/>
          <w:highlight w:val="none"/>
        </w:rPr>
        <w:t>（1）竣工结算的程序和时限：</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□按通用条款的规定办理。</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另作约定：</w:t>
      </w:r>
      <w:r>
        <w:rPr>
          <w:rFonts w:hint="eastAsia" w:ascii="宋体" w:hAnsi="宋体" w:cs="宋体"/>
          <w:color w:val="auto"/>
          <w:kern w:val="0"/>
          <w:sz w:val="24"/>
          <w:szCs w:val="24"/>
          <w:highlight w:val="none"/>
          <w:u w:val="single"/>
        </w:rPr>
        <w:t>监理</w:t>
      </w:r>
      <w:r>
        <w:rPr>
          <w:rFonts w:hint="eastAsia" w:ascii="宋体" w:hAnsi="宋体" w:cs="宋体"/>
          <w:color w:val="auto"/>
          <w:sz w:val="24"/>
          <w:szCs w:val="24"/>
          <w:highlight w:val="none"/>
          <w:u w:val="single"/>
        </w:rPr>
        <w:t>工程师收到承包人递交的竣工结算报告及符合发包人要求的结算资料后进行核实，提出审核意见后送交发包人。发包人根据完整的结算资料进行结算审核，承包人应配合发包人的结算工作，工程结算经发包人或发包人委托第三方审核后作为合同结算价款。</w:t>
      </w:r>
    </w:p>
    <w:p>
      <w:pPr>
        <w:ind w:firstLine="240" w:firstLineChars="100"/>
        <w:rPr>
          <w:rFonts w:ascii="宋体" w:hAnsi="宋体" w:cs="宋体"/>
          <w:color w:val="auto"/>
          <w:kern w:val="0"/>
          <w:sz w:val="24"/>
          <w:szCs w:val="24"/>
          <w:highlight w:val="none"/>
        </w:rPr>
      </w:pPr>
      <w:r>
        <w:rPr>
          <w:rFonts w:hint="eastAsia" w:ascii="宋体" w:hAnsi="宋体" w:cs="宋体"/>
          <w:color w:val="auto"/>
          <w:kern w:val="0"/>
          <w:sz w:val="24"/>
          <w:szCs w:val="24"/>
          <w:highlight w:val="none"/>
        </w:rPr>
        <w:t>82.2</w:t>
      </w:r>
    </w:p>
    <w:p>
      <w:pPr>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（1）竣工结算文件清单：</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（1）工程结算书</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（2）工程量计算书</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（3）钢筋抽料表（如有）</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（4）工程承包合同</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（5）工程竣工图（含电子版和相关部门要求的专用软件版本）</w:t>
      </w:r>
    </w:p>
    <w:p>
      <w:pPr>
        <w:spacing w:line="360" w:lineRule="auto"/>
        <w:ind w:left="599" w:leftChars="228" w:hanging="120" w:hangingChars="5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（6）工程竣工资料（含电子版及相关部门要求的专用软件版本、单位工程开工申请报告、单位工程工程竣工验收报告）</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（7）图纸会审记录</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（8）设计变更单</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（9）工程洽商记录</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（10）监理工程师通知或发包人施工指令</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（11）会议纪要</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（12）现场签证单</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（13）材料设备单价呈批审核单</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（14）综合单价呈批审核单</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（15）招标文件、答疑纪要</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（16）投标文件（含经济标软件版）、中标通知书</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（17）发包人供应材料收货验收签收单</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（18）其他结算资料</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（19）工期履行审核表</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（20）移交资料签收表</w:t>
      </w:r>
    </w:p>
    <w:p>
      <w:pPr>
        <w:spacing w:line="360" w:lineRule="auto"/>
        <w:ind w:firstLine="480" w:firstLineChars="200"/>
        <w:jc w:val="left"/>
        <w:rPr>
          <w:rFonts w:ascii="宋体" w:hAnsi="宋体" w:cs="宋体"/>
          <w:color w:val="auto"/>
          <w:sz w:val="30"/>
          <w:szCs w:val="30"/>
          <w:highlight w:val="none"/>
          <w:u w:val="singl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（21）焊口地理信息（GPS坐标、高程等）</w:t>
      </w:r>
    </w:p>
    <w:p>
      <w:pPr>
        <w:spacing w:line="360" w:lineRule="auto"/>
        <w:ind w:firstLine="480" w:firstLineChars="200"/>
        <w:jc w:val="left"/>
        <w:rPr>
          <w:rFonts w:ascii="宋体" w:hAnsi="宋体" w:cs="宋体"/>
          <w:color w:val="auto"/>
          <w:sz w:val="30"/>
          <w:szCs w:val="30"/>
          <w:highlight w:val="none"/>
          <w:u w:val="single"/>
        </w:rPr>
      </w:pPr>
      <w:r>
        <w:rPr>
          <w:rFonts w:hint="eastAsia" w:ascii="宋体" w:hAnsi="宋体" w:cs="宋体"/>
          <w:color w:val="auto"/>
          <w:kern w:val="0"/>
          <w:sz w:val="24"/>
          <w:szCs w:val="24"/>
          <w:highlight w:val="none"/>
        </w:rPr>
        <w:sym w:font="Times New Roman" w:char="0000"/>
      </w:r>
      <w:r>
        <w:rPr>
          <w:rFonts w:hint="eastAsia" w:ascii="宋体" w:hAnsi="宋体" w:cs="宋体"/>
          <w:color w:val="auto"/>
          <w:sz w:val="24"/>
          <w:szCs w:val="24"/>
          <w:highlight w:val="none"/>
        </w:rPr>
        <w:t>（22）其它</w:t>
      </w:r>
    </w:p>
    <w:p>
      <w:pPr>
        <w:spacing w:line="360" w:lineRule="auto"/>
        <w:ind w:firstLine="480" w:firstLineChars="200"/>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（2）发包人对送审结算资料的具体要求：</w:t>
      </w:r>
      <w:r>
        <w:rPr>
          <w:rFonts w:hint="eastAsia" w:ascii="宋体" w:hAnsi="宋体" w:cs="宋体"/>
          <w:color w:val="auto"/>
          <w:kern w:val="0"/>
          <w:sz w:val="24"/>
          <w:szCs w:val="24"/>
          <w:highlight w:val="none"/>
          <w:u w:val="single"/>
        </w:rPr>
        <w:t>符合《城市建设档案管理规定》、《广州市城市建设档案管理办法》和发包人有关整理工程档案的要求。</w:t>
      </w: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880" w:name="_Toc7813"/>
      <w:bookmarkStart w:id="1881" w:name="_Toc469384132"/>
      <w:bookmarkStart w:id="1882" w:name="_Toc11682"/>
      <w:bookmarkStart w:id="1883" w:name="_Toc7623"/>
      <w:bookmarkStart w:id="1884" w:name="_Toc23055"/>
      <w:bookmarkStart w:id="1885" w:name="_Toc2952"/>
      <w:bookmarkStart w:id="1886" w:name="_Toc22962"/>
      <w:bookmarkStart w:id="1887" w:name="_Toc1318566653"/>
      <w:bookmarkStart w:id="1888" w:name="_Toc178949246"/>
      <w:r>
        <w:rPr>
          <w:rFonts w:hint="eastAsia" w:ascii="宋体" w:hAnsi="宋体" w:cs="宋体"/>
          <w:bCs/>
          <w:color w:val="auto"/>
          <w:sz w:val="24"/>
          <w:szCs w:val="24"/>
          <w:highlight w:val="none"/>
        </w:rPr>
        <w:t>83. 结算款</w:t>
      </w:r>
      <w:bookmarkEnd w:id="1880"/>
      <w:bookmarkEnd w:id="1881"/>
      <w:bookmarkEnd w:id="1882"/>
      <w:bookmarkEnd w:id="1883"/>
      <w:bookmarkEnd w:id="1884"/>
      <w:bookmarkEnd w:id="1885"/>
      <w:bookmarkEnd w:id="1886"/>
      <w:bookmarkEnd w:id="1887"/>
      <w:bookmarkEnd w:id="1888"/>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83.1 提交竣工支付申请</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（1）竣工支付期限</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□按通用条款的规定，在造价工程师签发竣工结算支付证书后的28天内。</w:t>
      </w:r>
    </w:p>
    <w:p>
      <w:pPr>
        <w:spacing w:line="360" w:lineRule="auto"/>
        <w:jc w:val="left"/>
        <w:rPr>
          <w:rFonts w:ascii="宋体" w:hAnsi="宋体" w:cs="宋体"/>
          <w:color w:val="auto"/>
          <w:kern w:val="0"/>
          <w:sz w:val="24"/>
          <w:szCs w:val="24"/>
          <w:highlight w:val="none"/>
          <w:u w:val="singl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另有约定：</w:t>
      </w:r>
      <w:r>
        <w:rPr>
          <w:rFonts w:hint="eastAsia" w:ascii="宋体" w:hAnsi="宋体" w:cs="宋体"/>
          <w:color w:val="auto"/>
          <w:kern w:val="0"/>
          <w:sz w:val="24"/>
          <w:szCs w:val="24"/>
          <w:highlight w:val="none"/>
          <w:u w:val="single"/>
        </w:rPr>
        <w:t>按通用条款的规定，在发包人签发竣工结算支付证书后的28天内。</w:t>
      </w:r>
    </w:p>
    <w:p>
      <w:pPr>
        <w:spacing w:line="360" w:lineRule="auto"/>
        <w:jc w:val="left"/>
        <w:rPr>
          <w:rFonts w:ascii="宋体" w:hAnsi="宋体" w:cs="宋体"/>
          <w:color w:val="auto"/>
          <w:kern w:val="0"/>
          <w:sz w:val="24"/>
          <w:szCs w:val="24"/>
          <w:highlight w:val="none"/>
        </w:rPr>
      </w:pPr>
    </w:p>
    <w:p>
      <w:pPr>
        <w:spacing w:line="360" w:lineRule="auto"/>
        <w:ind w:firstLine="240" w:firstLineChars="1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（2）政府资金投资工程的支付期、支付办法</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w:t>
      </w:r>
    </w:p>
    <w:p>
      <w:pPr>
        <w:spacing w:line="360" w:lineRule="auto"/>
        <w:ind w:firstLine="0" w:firstLineChars="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sym w:font="Wingdings 2" w:char="0052"/>
      </w:r>
      <w:r>
        <w:rPr>
          <w:rFonts w:hint="eastAsia" w:ascii="宋体" w:hAnsi="宋体" w:cs="宋体"/>
          <w:color w:val="auto"/>
          <w:kern w:val="0"/>
          <w:sz w:val="24"/>
          <w:szCs w:val="24"/>
          <w:highlight w:val="none"/>
        </w:rPr>
        <w:t>另作约定：</w:t>
      </w:r>
      <w:r>
        <w:rPr>
          <w:rFonts w:hint="eastAsia" w:ascii="宋体" w:hAnsi="宋体" w:cs="宋体"/>
          <w:color w:val="auto"/>
          <w:kern w:val="0"/>
          <w:sz w:val="24"/>
          <w:szCs w:val="24"/>
          <w:highlight w:val="none"/>
          <w:u w:val="single"/>
        </w:rPr>
        <w:t>当工程结算经发包人审定且已收齐承包人开具的全额发票后支付工程款至审定结算价的97%。</w:t>
      </w:r>
    </w:p>
    <w:p>
      <w:pPr>
        <w:spacing w:line="360" w:lineRule="auto"/>
        <w:ind w:firstLine="120" w:firstLineChars="5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 xml:space="preserve"> (3) 实施</w:t>
      </w:r>
      <w:r>
        <w:rPr>
          <w:rFonts w:hint="eastAsia" w:ascii="宋体" w:hAnsi="宋体" w:cs="宋体"/>
          <w:color w:val="auto"/>
          <w:sz w:val="24"/>
          <w:szCs w:val="24"/>
          <w:highlight w:val="none"/>
        </w:rPr>
        <w:t>施工过程结算</w:t>
      </w:r>
      <w:r>
        <w:rPr>
          <w:rFonts w:hint="eastAsia" w:ascii="宋体" w:hAnsi="宋体" w:cs="宋体"/>
          <w:color w:val="auto"/>
          <w:kern w:val="0"/>
          <w:sz w:val="24"/>
          <w:szCs w:val="24"/>
          <w:highlight w:val="none"/>
        </w:rPr>
        <w:t>的，其竣工结算支付方法：</w:t>
      </w:r>
      <w:r>
        <w:rPr>
          <w:rFonts w:hint="eastAsia" w:ascii="宋体" w:hAnsi="宋体" w:cs="宋体"/>
          <w:color w:val="auto"/>
          <w:kern w:val="0"/>
          <w:sz w:val="24"/>
          <w:szCs w:val="24"/>
          <w:highlight w:val="none"/>
          <w:u w:val="single"/>
        </w:rPr>
        <w:t>分项验收合格，已完成工程量或投入使用部分工程量经监理工程师和发包人审核、价格经造价工程师或造价管理员审核，支付至80％，其余款项待整体结算后支付。</w:t>
      </w:r>
    </w:p>
    <w:p>
      <w:pPr>
        <w:spacing w:line="360" w:lineRule="auto"/>
        <w:rPr>
          <w:rFonts w:ascii="宋体" w:hAnsi="宋体" w:cs="宋体"/>
          <w:color w:val="auto"/>
          <w:kern w:val="0"/>
          <w:sz w:val="24"/>
          <w:szCs w:val="24"/>
          <w:highlight w:val="none"/>
          <w:u w:val="single"/>
        </w:rPr>
      </w:pPr>
    </w:p>
    <w:p>
      <w:pPr>
        <w:spacing w:line="360" w:lineRule="auto"/>
        <w:ind w:firstLine="120" w:firstLineChars="50"/>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889" w:name="_Toc1265983578"/>
      <w:bookmarkStart w:id="1890" w:name="_Toc469384133"/>
      <w:bookmarkStart w:id="1891" w:name="_Toc1122871722"/>
      <w:bookmarkStart w:id="1892" w:name="_Toc11805"/>
      <w:bookmarkStart w:id="1893" w:name="_Toc21575"/>
      <w:bookmarkStart w:id="1894" w:name="_Toc6822"/>
      <w:bookmarkStart w:id="1895" w:name="_Toc1185"/>
      <w:bookmarkStart w:id="1896" w:name="_Toc28640"/>
      <w:bookmarkStart w:id="1897" w:name="_Toc8432"/>
      <w:r>
        <w:rPr>
          <w:rFonts w:hint="eastAsia" w:ascii="宋体" w:hAnsi="宋体" w:cs="宋体"/>
          <w:bCs/>
          <w:color w:val="auto"/>
          <w:sz w:val="24"/>
          <w:szCs w:val="24"/>
          <w:highlight w:val="none"/>
        </w:rPr>
        <w:t>84. 质量保证金</w:t>
      </w:r>
      <w:bookmarkEnd w:id="1889"/>
      <w:bookmarkEnd w:id="1890"/>
      <w:bookmarkEnd w:id="1891"/>
      <w:bookmarkEnd w:id="1892"/>
      <w:bookmarkEnd w:id="1893"/>
      <w:bookmarkEnd w:id="1894"/>
      <w:bookmarkEnd w:id="1895"/>
      <w:bookmarkEnd w:id="1896"/>
      <w:bookmarkEnd w:id="1897"/>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84.2 质量保证金的约定与扣留</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（1）质量保证金的约定</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按通用条款规定为合同条款的3%(采用银行保函)，即</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元。</w:t>
      </w:r>
    </w:p>
    <w:p>
      <w:pPr>
        <w:spacing w:line="360" w:lineRule="auto"/>
        <w:rPr>
          <w:rFonts w:ascii="宋体" w:hAnsi="宋体" w:cs="宋体"/>
          <w:color w:val="auto"/>
          <w:kern w:val="0"/>
          <w:sz w:val="24"/>
          <w:szCs w:val="24"/>
          <w:highlight w:val="none"/>
          <w:u w:val="singl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另有约定：</w:t>
      </w:r>
      <w:r>
        <w:rPr>
          <w:rFonts w:hint="eastAsia" w:ascii="宋体" w:hAnsi="宋体" w:cs="宋体"/>
          <w:color w:val="auto"/>
          <w:kern w:val="0"/>
          <w:sz w:val="24"/>
          <w:szCs w:val="24"/>
          <w:highlight w:val="none"/>
          <w:u w:val="single"/>
        </w:rPr>
        <w:t>质量保证金为结算价款的3％。</w:t>
      </w:r>
    </w:p>
    <w:p>
      <w:pPr>
        <w:spacing w:line="360" w:lineRule="auto"/>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（2）质量保证金的扣留</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按通用条款的规定，按每支付期应支付给承包人的进度款和结算款的3%扣留。</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0"/>
          <w:szCs w:val="20"/>
          <w:highlight w:val="none"/>
        </w:rPr>
        <w:t xml:space="preserve">☑ </w:t>
      </w:r>
      <w:r>
        <w:rPr>
          <w:rFonts w:hint="eastAsia" w:ascii="宋体" w:hAnsi="宋体" w:cs="宋体"/>
          <w:color w:val="auto"/>
          <w:kern w:val="0"/>
          <w:sz w:val="24"/>
          <w:szCs w:val="24"/>
          <w:highlight w:val="none"/>
        </w:rPr>
        <w:t>另有约定：</w:t>
      </w:r>
      <w:r>
        <w:rPr>
          <w:rFonts w:hint="eastAsia" w:ascii="宋体" w:hAnsi="宋体" w:cs="宋体"/>
          <w:color w:val="auto"/>
          <w:kern w:val="0"/>
          <w:sz w:val="24"/>
          <w:szCs w:val="24"/>
          <w:highlight w:val="none"/>
          <w:u w:val="single"/>
        </w:rPr>
        <w:t>项目结算后发包人按照比例从结算款中扣留。</w:t>
      </w:r>
    </w:p>
    <w:p>
      <w:pPr>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898" w:name="_Toc9416"/>
      <w:bookmarkStart w:id="1899" w:name="_Toc22581"/>
      <w:bookmarkStart w:id="1900" w:name="_Toc8977"/>
      <w:bookmarkStart w:id="1901" w:name="_Toc31359"/>
      <w:bookmarkStart w:id="1902" w:name="_Toc3809"/>
      <w:bookmarkStart w:id="1903" w:name="_Toc118020970"/>
      <w:bookmarkStart w:id="1904" w:name="_Toc11863"/>
      <w:bookmarkStart w:id="1905" w:name="_Toc18741818"/>
      <w:bookmarkStart w:id="1906" w:name="_Toc469384134"/>
      <w:r>
        <w:rPr>
          <w:rFonts w:hint="eastAsia" w:ascii="宋体" w:hAnsi="宋体" w:cs="宋体"/>
          <w:bCs/>
          <w:color w:val="auto"/>
          <w:sz w:val="24"/>
          <w:szCs w:val="24"/>
          <w:highlight w:val="none"/>
        </w:rPr>
        <w:t>85. 最终清算款</w:t>
      </w:r>
      <w:bookmarkEnd w:id="1898"/>
      <w:bookmarkEnd w:id="1899"/>
      <w:bookmarkEnd w:id="1900"/>
      <w:bookmarkEnd w:id="1901"/>
      <w:bookmarkEnd w:id="1902"/>
      <w:bookmarkEnd w:id="1903"/>
      <w:bookmarkEnd w:id="1904"/>
      <w:bookmarkEnd w:id="1905"/>
      <w:bookmarkEnd w:id="1906"/>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85.1 提交最终清算支付申请</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（1）最终清算支付申请</w:t>
      </w:r>
    </w:p>
    <w:p>
      <w:pPr>
        <w:spacing w:line="360" w:lineRule="auto"/>
        <w:ind w:firstLine="480"/>
        <w:rPr>
          <w:rFonts w:ascii="宋体" w:hAnsi="宋体" w:cs="宋体"/>
          <w:color w:val="auto"/>
          <w:kern w:val="0"/>
          <w:sz w:val="24"/>
          <w:szCs w:val="24"/>
          <w:highlight w:val="none"/>
        </w:rPr>
      </w:pPr>
      <w:r>
        <w:rPr>
          <w:rFonts w:hint="eastAsia" w:ascii="宋体" w:hAnsi="宋体" w:cs="宋体"/>
          <w:color w:val="auto"/>
          <w:kern w:val="0"/>
          <w:sz w:val="24"/>
          <w:szCs w:val="24"/>
          <w:highlight w:val="none"/>
        </w:rPr>
        <w:t>提交份数：</w:t>
      </w:r>
      <w:r>
        <w:rPr>
          <w:rFonts w:hint="eastAsia" w:ascii="宋体" w:hAnsi="宋体" w:cs="宋体"/>
          <w:color w:val="auto"/>
          <w:kern w:val="0"/>
          <w:sz w:val="24"/>
          <w:szCs w:val="24"/>
          <w:highlight w:val="none"/>
          <w:u w:val="single"/>
        </w:rPr>
        <w:t>承包人提交支付申请3份给发包人。</w:t>
      </w:r>
    </w:p>
    <w:p>
      <w:pPr>
        <w:spacing w:line="360" w:lineRule="auto"/>
        <w:ind w:firstLine="48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提交期限：</w:t>
      </w:r>
      <w:r>
        <w:rPr>
          <w:rFonts w:hint="eastAsia" w:ascii="宋体" w:hAnsi="宋体" w:cs="宋体"/>
          <w:color w:val="auto"/>
          <w:kern w:val="0"/>
          <w:sz w:val="24"/>
          <w:szCs w:val="24"/>
          <w:highlight w:val="none"/>
          <w:u w:val="single"/>
        </w:rPr>
        <w:t>在质量保修期满后14天内。</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(2)  最终清算支付时限</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□按通用条款的规定，在造价工程师签发最终清算支付证书后的14天内。</w:t>
      </w:r>
    </w:p>
    <w:p>
      <w:pPr>
        <w:spacing w:line="360" w:lineRule="auto"/>
        <w:rPr>
          <w:rFonts w:ascii="宋体" w:hAnsi="宋体" w:cs="宋体"/>
          <w:color w:val="auto"/>
          <w:kern w:val="0"/>
          <w:sz w:val="24"/>
          <w:szCs w:val="24"/>
          <w:highlight w:val="none"/>
        </w:rPr>
      </w:pPr>
      <w:r>
        <w:rPr>
          <w:rFonts w:ascii="宋体" w:hAnsi="宋体" w:cs="宋体"/>
          <w:color w:val="auto"/>
          <w:kern w:val="0"/>
          <w:sz w:val="20"/>
          <w:szCs w:val="20"/>
          <w:highlight w:val="none"/>
        </w:rPr>
        <w:t>☑</w:t>
      </w:r>
      <w:r>
        <w:rPr>
          <w:rFonts w:hint="eastAsia" w:ascii="宋体" w:hAnsi="宋体" w:cs="宋体"/>
          <w:color w:val="auto"/>
          <w:kern w:val="0"/>
          <w:sz w:val="24"/>
          <w:szCs w:val="24"/>
          <w:highlight w:val="none"/>
        </w:rPr>
        <w:t>另有约定：</w:t>
      </w:r>
      <w:r>
        <w:rPr>
          <w:rFonts w:hint="eastAsia" w:ascii="宋体" w:hAnsi="宋体" w:cs="宋体"/>
          <w:color w:val="auto"/>
          <w:kern w:val="0"/>
          <w:sz w:val="24"/>
          <w:szCs w:val="24"/>
          <w:highlight w:val="none"/>
          <w:u w:val="single"/>
        </w:rPr>
        <w:t>发包人收到申请后14天内签发最终清算支付证书，将剩余</w:t>
      </w:r>
      <w:r>
        <w:rPr>
          <w:rFonts w:hint="eastAsia" w:ascii="宋体" w:hAnsi="宋体" w:cs="宋体"/>
          <w:color w:val="auto"/>
          <w:kern w:val="0"/>
          <w:sz w:val="24"/>
          <w:szCs w:val="24"/>
          <w:highlight w:val="none"/>
          <w:u w:val="single"/>
          <w:lang w:eastAsia="zh-CN"/>
        </w:rPr>
        <w:t>质量保证金</w:t>
      </w:r>
      <w:r>
        <w:rPr>
          <w:rFonts w:hint="eastAsia" w:ascii="宋体" w:hAnsi="宋体" w:cs="宋体"/>
          <w:color w:val="auto"/>
          <w:kern w:val="0"/>
          <w:sz w:val="24"/>
          <w:szCs w:val="24"/>
          <w:highlight w:val="none"/>
          <w:u w:val="single"/>
        </w:rPr>
        <w:t>返还承包人（无息）。</w:t>
      </w:r>
    </w:p>
    <w:p>
      <w:pPr>
        <w:spacing w:line="360" w:lineRule="auto"/>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907" w:name="_Toc4046"/>
      <w:bookmarkStart w:id="1908" w:name="_Toc3695"/>
      <w:bookmarkStart w:id="1909" w:name="_Toc10387"/>
      <w:bookmarkStart w:id="1910" w:name="_Toc26495"/>
      <w:bookmarkStart w:id="1911" w:name="_Toc1461122664"/>
      <w:bookmarkStart w:id="1912" w:name="_Toc6386"/>
      <w:bookmarkStart w:id="1913" w:name="_Toc1451036609"/>
      <w:bookmarkStart w:id="1914" w:name="_Toc1569"/>
      <w:bookmarkStart w:id="1915" w:name="_Toc469384135"/>
      <w:r>
        <w:rPr>
          <w:rFonts w:hint="eastAsia" w:ascii="宋体" w:hAnsi="宋体" w:cs="宋体"/>
          <w:bCs/>
          <w:color w:val="auto"/>
          <w:sz w:val="24"/>
          <w:szCs w:val="24"/>
          <w:highlight w:val="none"/>
        </w:rPr>
        <w:t>86. 合同争议</w:t>
      </w:r>
      <w:bookmarkEnd w:id="1907"/>
      <w:bookmarkEnd w:id="1908"/>
      <w:bookmarkEnd w:id="1909"/>
      <w:bookmarkEnd w:id="1910"/>
      <w:bookmarkEnd w:id="1911"/>
      <w:bookmarkEnd w:id="1912"/>
      <w:bookmarkEnd w:id="1913"/>
      <w:bookmarkEnd w:id="1914"/>
      <w:bookmarkEnd w:id="1915"/>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86.4 调解或认定</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争议调解或认定机构：</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sym w:font="Times New Roman" w:char="0000"/>
      </w:r>
      <w:r>
        <w:rPr>
          <w:rFonts w:hint="eastAsia" w:ascii="宋体" w:hAnsi="宋体" w:cs="宋体"/>
          <w:color w:val="auto"/>
          <w:kern w:val="0"/>
          <w:sz w:val="24"/>
          <w:szCs w:val="24"/>
          <w:highlight w:val="none"/>
        </w:rPr>
        <w:t>按通用条款的规定。</w:t>
      </w:r>
    </w:p>
    <w:p>
      <w:pPr>
        <w:spacing w:line="360" w:lineRule="auto"/>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86.6 仲裁或诉讼</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解决争议的最终方式：</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□向中国广州仲裁委员会申请仲裁。</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向发包人所在地有管辖权的人民法院提起诉讼。</w:t>
      </w:r>
    </w:p>
    <w:p>
      <w:pPr>
        <w:spacing w:line="360" w:lineRule="auto"/>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916" w:name="_Toc613110403"/>
      <w:bookmarkStart w:id="1917" w:name="_Toc12533"/>
      <w:bookmarkStart w:id="1918" w:name="_Toc26797"/>
      <w:bookmarkStart w:id="1919" w:name="_Toc442"/>
      <w:bookmarkStart w:id="1920" w:name="_Toc30657"/>
      <w:bookmarkStart w:id="1921" w:name="_Toc2409"/>
      <w:bookmarkStart w:id="1922" w:name="_Toc15347"/>
      <w:bookmarkStart w:id="1923" w:name="_Toc747992131"/>
      <w:r>
        <w:rPr>
          <w:rFonts w:hint="eastAsia" w:ascii="宋体" w:hAnsi="宋体" w:cs="宋体"/>
          <w:bCs/>
          <w:color w:val="auto"/>
          <w:sz w:val="24"/>
          <w:szCs w:val="24"/>
          <w:highlight w:val="none"/>
        </w:rPr>
        <w:t>90  承包人的违约责任</w:t>
      </w:r>
      <w:bookmarkEnd w:id="1916"/>
      <w:bookmarkEnd w:id="1917"/>
      <w:bookmarkEnd w:id="1918"/>
      <w:bookmarkEnd w:id="1919"/>
      <w:bookmarkEnd w:id="1920"/>
      <w:bookmarkEnd w:id="1921"/>
      <w:bookmarkEnd w:id="1922"/>
      <w:bookmarkEnd w:id="1923"/>
    </w:p>
    <w:p>
      <w:pPr>
        <w:adjustRightInd w:val="0"/>
        <w:snapToGrid w:val="0"/>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90.1</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限期改正、一般违约、严重违约。承包人未履行或未按时履行或未按质履行义务时，工程师应发出书面通知，要求承包人必须在工程师限定的时间内履行义务。合同期内，工程师每发出二次限期改正通知或每发生一次因承包人原因给发包人造成不良影响的，即相当于一次一般违约，承包人应承担相应的一般违约责任；每发生三次一般违约或每发生一次因承包人原因给发包人造成经济损失的，即相当于一次严重违约，承包人应承担相应的严重违约责任。合同中另有规定时，承包人违约可直接按一般违约或严重违约处理，不受发出书面通知次数限制。</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（2）一般违约责任。承包人违反本合同的约定须承担一般违约责任时，发包人扣除合同价款人民币</w:t>
      </w:r>
      <w:r>
        <w:rPr>
          <w:rFonts w:hint="eastAsia" w:ascii="宋体" w:hAnsi="宋体" w:cs="宋体"/>
          <w:color w:val="auto"/>
          <w:sz w:val="24"/>
          <w:szCs w:val="24"/>
          <w:highlight w:val="none"/>
          <w:u w:val="single"/>
        </w:rPr>
        <w:t xml:space="preserve"> 1 </w:t>
      </w:r>
      <w:r>
        <w:rPr>
          <w:rFonts w:hint="eastAsia" w:ascii="宋体" w:hAnsi="宋体" w:cs="宋体"/>
          <w:color w:val="auto"/>
          <w:sz w:val="24"/>
          <w:szCs w:val="24"/>
          <w:highlight w:val="none"/>
        </w:rPr>
        <w:t>万元/次作为违约金；若承包人再犯性质相同的违约责任，第2次扣除合同价款人民币</w:t>
      </w:r>
      <w:r>
        <w:rPr>
          <w:rFonts w:hint="eastAsia" w:ascii="宋体" w:hAnsi="宋体" w:cs="宋体"/>
          <w:color w:val="auto"/>
          <w:sz w:val="24"/>
          <w:szCs w:val="24"/>
          <w:highlight w:val="none"/>
          <w:u w:val="single"/>
        </w:rPr>
        <w:t xml:space="preserve"> 1.5  </w:t>
      </w:r>
      <w:r>
        <w:rPr>
          <w:rFonts w:hint="eastAsia" w:ascii="宋体" w:hAnsi="宋体" w:cs="宋体"/>
          <w:color w:val="auto"/>
          <w:sz w:val="24"/>
          <w:szCs w:val="24"/>
          <w:highlight w:val="none"/>
        </w:rPr>
        <w:t>万元，2次以上（不含本数）按</w:t>
      </w:r>
      <w:r>
        <w:rPr>
          <w:rFonts w:hint="eastAsia" w:ascii="宋体" w:hAnsi="宋体" w:cs="宋体"/>
          <w:color w:val="auto"/>
          <w:sz w:val="24"/>
          <w:szCs w:val="24"/>
          <w:highlight w:val="none"/>
          <w:u w:val="single"/>
        </w:rPr>
        <w:t xml:space="preserve"> 2 </w:t>
      </w:r>
      <w:r>
        <w:rPr>
          <w:rFonts w:hint="eastAsia" w:ascii="宋体" w:hAnsi="宋体" w:cs="宋体"/>
          <w:color w:val="auto"/>
          <w:sz w:val="24"/>
          <w:szCs w:val="24"/>
          <w:highlight w:val="none"/>
        </w:rPr>
        <w:t>万元/次扣除合同价款。</w:t>
      </w:r>
    </w:p>
    <w:p>
      <w:pPr>
        <w:spacing w:before="62" w:beforeLines="20" w:line="400" w:lineRule="exact"/>
        <w:ind w:firstLine="480" w:firstLineChars="200"/>
        <w:rPr>
          <w:rFonts w:ascii="宋体" w:hAnsi="宋体" w:cs="宋体"/>
          <w:b/>
          <w:color w:val="auto"/>
          <w:highlight w:val="none"/>
        </w:rPr>
      </w:pPr>
      <w:r>
        <w:rPr>
          <w:rFonts w:hint="eastAsia" w:ascii="宋体" w:hAnsi="宋体" w:cs="宋体"/>
          <w:color w:val="auto"/>
          <w:sz w:val="24"/>
          <w:szCs w:val="24"/>
          <w:highlight w:val="none"/>
        </w:rPr>
        <w:t>本合同中关于承包人未达到一般违约责任的管理条约，违规者将按下列条款处理，在工程款中扣违约金：</w:t>
      </w:r>
    </w:p>
    <w:tbl>
      <w:tblPr>
        <w:tblStyle w:val="38"/>
        <w:tblW w:w="8336" w:type="dxa"/>
        <w:tblInd w:w="0" w:type="dxa"/>
        <w:tblLayout w:type="fixed"/>
        <w:tblCellMar>
          <w:top w:w="0" w:type="dxa"/>
          <w:left w:w="0" w:type="dxa"/>
          <w:bottom w:w="0" w:type="dxa"/>
          <w:right w:w="0" w:type="dxa"/>
        </w:tblCellMar>
      </w:tblPr>
      <w:tblGrid>
        <w:gridCol w:w="417"/>
        <w:gridCol w:w="5658"/>
        <w:gridCol w:w="929"/>
        <w:gridCol w:w="1332"/>
      </w:tblGrid>
      <w:tr>
        <w:tblPrEx>
          <w:tblCellMar>
            <w:top w:w="0" w:type="dxa"/>
            <w:left w:w="0" w:type="dxa"/>
            <w:bottom w:w="0" w:type="dxa"/>
            <w:right w:w="0" w:type="dxa"/>
          </w:tblCellMar>
        </w:tblPrEx>
        <w:trPr>
          <w:trHeight w:val="285" w:hRule="atLeast"/>
        </w:trPr>
        <w:tc>
          <w:tcPr>
            <w:tcW w:w="8336" w:type="dxa"/>
            <w:gridSpan w:val="4"/>
            <w:noWrap w:val="0"/>
            <w:tcMar>
              <w:top w:w="15" w:type="dxa"/>
              <w:left w:w="15" w:type="dxa"/>
              <w:bottom w:w="0" w:type="dxa"/>
              <w:right w:w="15" w:type="dxa"/>
            </w:tcMar>
            <w:vAlign w:val="bottom"/>
          </w:tcPr>
          <w:p>
            <w:pPr>
              <w:spacing w:before="62" w:beforeLines="20" w:line="400" w:lineRule="exact"/>
              <w:ind w:firstLine="420" w:firstLineChars="200"/>
              <w:jc w:val="center"/>
              <w:rPr>
                <w:rFonts w:ascii="宋体" w:hAnsi="宋体" w:cs="宋体"/>
                <w:color w:val="auto"/>
                <w:highlight w:val="none"/>
              </w:rPr>
            </w:pPr>
            <w:r>
              <w:rPr>
                <w:rFonts w:hint="eastAsia" w:ascii="宋体" w:hAnsi="宋体" w:cs="宋体"/>
                <w:color w:val="auto"/>
                <w:highlight w:val="none"/>
              </w:rPr>
              <w:t>第一    安全条约</w:t>
            </w:r>
          </w:p>
        </w:tc>
      </w:tr>
      <w:tr>
        <w:tblPrEx>
          <w:tblCellMar>
            <w:top w:w="0" w:type="dxa"/>
            <w:left w:w="0" w:type="dxa"/>
            <w:bottom w:w="0" w:type="dxa"/>
            <w:right w:w="0" w:type="dxa"/>
          </w:tblCellMar>
        </w:tblPrEx>
        <w:trPr>
          <w:trHeight w:val="285" w:hRule="atLeast"/>
        </w:trPr>
        <w:tc>
          <w:tcPr>
            <w:tcW w:w="41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color w:val="auto"/>
                <w:highlight w:val="none"/>
              </w:rPr>
            </w:pPr>
            <w:r>
              <w:rPr>
                <w:rFonts w:hint="eastAsia" w:ascii="宋体" w:hAnsi="宋体" w:cs="宋体"/>
                <w:color w:val="auto"/>
                <w:highlight w:val="none"/>
              </w:rPr>
              <w:t>序号</w:t>
            </w:r>
          </w:p>
        </w:tc>
        <w:tc>
          <w:tcPr>
            <w:tcW w:w="5658"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pacing w:line="480" w:lineRule="auto"/>
              <w:jc w:val="center"/>
              <w:rPr>
                <w:rFonts w:ascii="宋体" w:hAnsi="宋体" w:cs="宋体"/>
                <w:color w:val="auto"/>
                <w:highlight w:val="none"/>
              </w:rPr>
            </w:pPr>
            <w:r>
              <w:rPr>
                <w:rFonts w:hint="eastAsia" w:ascii="宋体" w:hAnsi="宋体" w:cs="宋体"/>
                <w:color w:val="auto"/>
                <w:highlight w:val="none"/>
              </w:rPr>
              <w:t>违约内容</w:t>
            </w:r>
          </w:p>
        </w:tc>
        <w:tc>
          <w:tcPr>
            <w:tcW w:w="92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color w:val="auto"/>
                <w:highlight w:val="none"/>
              </w:rPr>
            </w:pPr>
            <w:r>
              <w:rPr>
                <w:rFonts w:hint="eastAsia" w:ascii="宋体" w:hAnsi="宋体" w:cs="宋体"/>
                <w:color w:val="auto"/>
                <w:highlight w:val="none"/>
              </w:rPr>
              <w:t>违约金（元）</w:t>
            </w:r>
          </w:p>
        </w:tc>
        <w:tc>
          <w:tcPr>
            <w:tcW w:w="1332"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pacing w:line="480" w:lineRule="auto"/>
              <w:jc w:val="center"/>
              <w:rPr>
                <w:rFonts w:ascii="宋体" w:hAnsi="宋体" w:cs="宋体"/>
                <w:color w:val="auto"/>
                <w:highlight w:val="none"/>
              </w:rPr>
            </w:pPr>
            <w:r>
              <w:rPr>
                <w:rFonts w:hint="eastAsia" w:ascii="宋体" w:hAnsi="宋体" w:cs="宋体"/>
                <w:color w:val="auto"/>
                <w:highlight w:val="none"/>
              </w:rPr>
              <w:t>备注</w:t>
            </w:r>
          </w:p>
        </w:tc>
      </w:tr>
      <w:tr>
        <w:tblPrEx>
          <w:tblCellMar>
            <w:top w:w="0" w:type="dxa"/>
            <w:left w:w="0" w:type="dxa"/>
            <w:bottom w:w="0" w:type="dxa"/>
            <w:right w:w="0" w:type="dxa"/>
          </w:tblCellMar>
        </w:tblPrEx>
        <w:trPr>
          <w:trHeight w:val="65" w:hRule="atLeast"/>
        </w:trPr>
        <w:tc>
          <w:tcPr>
            <w:tcW w:w="417"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w:t>
            </w:r>
          </w:p>
        </w:tc>
        <w:tc>
          <w:tcPr>
            <w:tcW w:w="5658"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工作时没有按要求戴安全帽</w:t>
            </w:r>
          </w:p>
        </w:tc>
        <w:tc>
          <w:tcPr>
            <w:tcW w:w="92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50</w:t>
            </w:r>
          </w:p>
        </w:tc>
        <w:tc>
          <w:tcPr>
            <w:tcW w:w="133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每人/次</w:t>
            </w:r>
          </w:p>
        </w:tc>
      </w:tr>
      <w:tr>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2</w:t>
            </w:r>
          </w:p>
        </w:tc>
        <w:tc>
          <w:tcPr>
            <w:tcW w:w="5658"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没有设置足够的消防器材或消防信道不畅</w:t>
            </w:r>
          </w:p>
        </w:tc>
        <w:tc>
          <w:tcPr>
            <w:tcW w:w="92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100</w:t>
            </w:r>
          </w:p>
        </w:tc>
        <w:tc>
          <w:tcPr>
            <w:tcW w:w="133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每人/次</w:t>
            </w:r>
          </w:p>
        </w:tc>
      </w:tr>
      <w:tr>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3</w:t>
            </w:r>
          </w:p>
        </w:tc>
        <w:tc>
          <w:tcPr>
            <w:tcW w:w="5658"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电线乱搭乱接</w:t>
            </w:r>
          </w:p>
        </w:tc>
        <w:tc>
          <w:tcPr>
            <w:tcW w:w="92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100</w:t>
            </w:r>
          </w:p>
        </w:tc>
        <w:tc>
          <w:tcPr>
            <w:tcW w:w="1332" w:type="dxa"/>
            <w:tcBorders>
              <w:top w:val="nil"/>
              <w:left w:val="nil"/>
              <w:bottom w:val="single" w:color="auto" w:sz="4" w:space="0"/>
              <w:right w:val="single" w:color="auto" w:sz="4" w:space="0"/>
            </w:tcBorders>
            <w:noWrap w:val="0"/>
            <w:tcMar>
              <w:top w:w="15" w:type="dxa"/>
              <w:left w:w="15" w:type="dxa"/>
              <w:bottom w:w="0" w:type="dxa"/>
              <w:right w:w="15" w:type="dxa"/>
            </w:tcMar>
            <w:vAlign w:val="top"/>
          </w:tcPr>
          <w:p>
            <w:pPr>
              <w:jc w:val="center"/>
              <w:rPr>
                <w:rFonts w:ascii="宋体" w:hAnsi="宋体" w:cs="宋体"/>
                <w:color w:val="auto"/>
                <w:highlight w:val="none"/>
              </w:rPr>
            </w:pPr>
            <w:r>
              <w:rPr>
                <w:rFonts w:hint="eastAsia" w:ascii="宋体" w:hAnsi="宋体" w:cs="宋体"/>
                <w:color w:val="auto"/>
                <w:highlight w:val="none"/>
              </w:rPr>
              <w:t>每人/次</w:t>
            </w:r>
          </w:p>
        </w:tc>
      </w:tr>
      <w:tr>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4</w:t>
            </w:r>
          </w:p>
        </w:tc>
        <w:tc>
          <w:tcPr>
            <w:tcW w:w="5658"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用电工具不符合安全要求（存在漏电隐患）</w:t>
            </w:r>
          </w:p>
        </w:tc>
        <w:tc>
          <w:tcPr>
            <w:tcW w:w="92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200</w:t>
            </w:r>
          </w:p>
        </w:tc>
        <w:tc>
          <w:tcPr>
            <w:tcW w:w="1332" w:type="dxa"/>
            <w:tcBorders>
              <w:top w:val="nil"/>
              <w:left w:val="nil"/>
              <w:bottom w:val="single" w:color="auto" w:sz="4" w:space="0"/>
              <w:right w:val="single" w:color="auto" w:sz="4" w:space="0"/>
            </w:tcBorders>
            <w:noWrap w:val="0"/>
            <w:tcMar>
              <w:top w:w="15" w:type="dxa"/>
              <w:left w:w="15" w:type="dxa"/>
              <w:bottom w:w="0" w:type="dxa"/>
              <w:right w:w="15" w:type="dxa"/>
            </w:tcMar>
            <w:vAlign w:val="top"/>
          </w:tcPr>
          <w:p>
            <w:pPr>
              <w:jc w:val="center"/>
              <w:rPr>
                <w:rFonts w:ascii="宋体" w:hAnsi="宋体" w:cs="宋体"/>
                <w:color w:val="auto"/>
                <w:highlight w:val="none"/>
              </w:rPr>
            </w:pPr>
            <w:r>
              <w:rPr>
                <w:rFonts w:hint="eastAsia" w:ascii="宋体" w:hAnsi="宋体" w:cs="宋体"/>
                <w:color w:val="auto"/>
                <w:highlight w:val="none"/>
              </w:rPr>
              <w:t>每人/次</w:t>
            </w:r>
          </w:p>
        </w:tc>
      </w:tr>
      <w:tr>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5</w:t>
            </w:r>
          </w:p>
        </w:tc>
        <w:tc>
          <w:tcPr>
            <w:tcW w:w="5658"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用电设备前无漏电开关保护</w:t>
            </w:r>
          </w:p>
        </w:tc>
        <w:tc>
          <w:tcPr>
            <w:tcW w:w="92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300</w:t>
            </w:r>
          </w:p>
        </w:tc>
        <w:tc>
          <w:tcPr>
            <w:tcW w:w="1332" w:type="dxa"/>
            <w:tcBorders>
              <w:top w:val="nil"/>
              <w:left w:val="nil"/>
              <w:bottom w:val="single" w:color="auto" w:sz="4" w:space="0"/>
              <w:right w:val="single" w:color="auto" w:sz="4" w:space="0"/>
            </w:tcBorders>
            <w:noWrap w:val="0"/>
            <w:tcMar>
              <w:top w:w="15" w:type="dxa"/>
              <w:left w:w="15" w:type="dxa"/>
              <w:bottom w:w="0" w:type="dxa"/>
              <w:right w:w="15" w:type="dxa"/>
            </w:tcMar>
            <w:vAlign w:val="top"/>
          </w:tcPr>
          <w:p>
            <w:pPr>
              <w:jc w:val="center"/>
              <w:rPr>
                <w:rFonts w:ascii="宋体" w:hAnsi="宋体" w:cs="宋体"/>
                <w:color w:val="auto"/>
                <w:highlight w:val="none"/>
              </w:rPr>
            </w:pPr>
            <w:r>
              <w:rPr>
                <w:rFonts w:hint="eastAsia" w:ascii="宋体" w:hAnsi="宋体" w:cs="宋体"/>
                <w:color w:val="auto"/>
                <w:highlight w:val="none"/>
              </w:rPr>
              <w:t>每人/次</w:t>
            </w:r>
          </w:p>
        </w:tc>
      </w:tr>
      <w:tr>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6</w:t>
            </w:r>
          </w:p>
        </w:tc>
        <w:tc>
          <w:tcPr>
            <w:tcW w:w="5658"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挖沟后没有在合理的时间内放管和回填</w:t>
            </w:r>
          </w:p>
        </w:tc>
        <w:tc>
          <w:tcPr>
            <w:tcW w:w="92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100</w:t>
            </w:r>
          </w:p>
        </w:tc>
        <w:tc>
          <w:tcPr>
            <w:tcW w:w="1332" w:type="dxa"/>
            <w:tcBorders>
              <w:top w:val="nil"/>
              <w:left w:val="nil"/>
              <w:bottom w:val="single" w:color="auto" w:sz="4" w:space="0"/>
              <w:right w:val="single" w:color="auto" w:sz="4" w:space="0"/>
            </w:tcBorders>
            <w:noWrap w:val="0"/>
            <w:tcMar>
              <w:top w:w="15" w:type="dxa"/>
              <w:left w:w="15" w:type="dxa"/>
              <w:bottom w:w="0" w:type="dxa"/>
              <w:right w:w="15" w:type="dxa"/>
            </w:tcMar>
            <w:vAlign w:val="top"/>
          </w:tcPr>
          <w:p>
            <w:pPr>
              <w:jc w:val="center"/>
              <w:rPr>
                <w:rFonts w:ascii="宋体" w:hAnsi="宋体" w:cs="宋体"/>
                <w:color w:val="auto"/>
                <w:highlight w:val="none"/>
              </w:rPr>
            </w:pPr>
            <w:r>
              <w:rPr>
                <w:rFonts w:hint="eastAsia" w:ascii="宋体" w:hAnsi="宋体" w:cs="宋体"/>
                <w:color w:val="auto"/>
                <w:highlight w:val="none"/>
              </w:rPr>
              <w:t>每人/次</w:t>
            </w:r>
          </w:p>
        </w:tc>
      </w:tr>
      <w:tr>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7</w:t>
            </w:r>
          </w:p>
        </w:tc>
        <w:tc>
          <w:tcPr>
            <w:tcW w:w="5658"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施工人员违反职称工作范围</w:t>
            </w:r>
          </w:p>
        </w:tc>
        <w:tc>
          <w:tcPr>
            <w:tcW w:w="92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200</w:t>
            </w:r>
          </w:p>
        </w:tc>
        <w:tc>
          <w:tcPr>
            <w:tcW w:w="1332" w:type="dxa"/>
            <w:tcBorders>
              <w:top w:val="nil"/>
              <w:left w:val="nil"/>
              <w:bottom w:val="single" w:color="auto" w:sz="4" w:space="0"/>
              <w:right w:val="single" w:color="auto" w:sz="4" w:space="0"/>
            </w:tcBorders>
            <w:noWrap w:val="0"/>
            <w:tcMar>
              <w:top w:w="15" w:type="dxa"/>
              <w:left w:w="15" w:type="dxa"/>
              <w:bottom w:w="0" w:type="dxa"/>
              <w:right w:w="15" w:type="dxa"/>
            </w:tcMar>
            <w:vAlign w:val="top"/>
          </w:tcPr>
          <w:p>
            <w:pPr>
              <w:jc w:val="center"/>
              <w:rPr>
                <w:rFonts w:ascii="宋体" w:hAnsi="宋体" w:cs="宋体"/>
                <w:color w:val="auto"/>
                <w:highlight w:val="none"/>
              </w:rPr>
            </w:pPr>
            <w:r>
              <w:rPr>
                <w:rFonts w:hint="eastAsia" w:ascii="宋体" w:hAnsi="宋体" w:cs="宋体"/>
                <w:color w:val="auto"/>
                <w:highlight w:val="none"/>
              </w:rPr>
              <w:t>每人/次</w:t>
            </w:r>
          </w:p>
        </w:tc>
      </w:tr>
      <w:tr>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8</w:t>
            </w:r>
          </w:p>
        </w:tc>
        <w:tc>
          <w:tcPr>
            <w:tcW w:w="5658"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无证上岗作业（特种作业无上岗证，新增加人员无向发包方汇报）</w:t>
            </w:r>
          </w:p>
        </w:tc>
        <w:tc>
          <w:tcPr>
            <w:tcW w:w="92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1000</w:t>
            </w:r>
          </w:p>
        </w:tc>
        <w:tc>
          <w:tcPr>
            <w:tcW w:w="1332" w:type="dxa"/>
            <w:tcBorders>
              <w:top w:val="nil"/>
              <w:left w:val="nil"/>
              <w:bottom w:val="single" w:color="auto" w:sz="4" w:space="0"/>
              <w:right w:val="single" w:color="auto" w:sz="4" w:space="0"/>
            </w:tcBorders>
            <w:noWrap w:val="0"/>
            <w:tcMar>
              <w:top w:w="15" w:type="dxa"/>
              <w:left w:w="15" w:type="dxa"/>
              <w:bottom w:w="0" w:type="dxa"/>
              <w:right w:w="15" w:type="dxa"/>
            </w:tcMar>
            <w:vAlign w:val="top"/>
          </w:tcPr>
          <w:p>
            <w:pPr>
              <w:jc w:val="center"/>
              <w:rPr>
                <w:rFonts w:ascii="宋体" w:hAnsi="宋体" w:cs="宋体"/>
                <w:color w:val="auto"/>
                <w:highlight w:val="none"/>
              </w:rPr>
            </w:pPr>
            <w:r>
              <w:rPr>
                <w:rFonts w:hint="eastAsia" w:ascii="宋体" w:hAnsi="宋体" w:cs="宋体"/>
                <w:color w:val="auto"/>
                <w:highlight w:val="none"/>
              </w:rPr>
              <w:t>每人/次</w:t>
            </w:r>
          </w:p>
        </w:tc>
      </w:tr>
      <w:tr>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9</w:t>
            </w:r>
          </w:p>
        </w:tc>
        <w:tc>
          <w:tcPr>
            <w:tcW w:w="5658"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没有设置足够的警示标志（路面施工应按路面施工指引执行）</w:t>
            </w:r>
          </w:p>
        </w:tc>
        <w:tc>
          <w:tcPr>
            <w:tcW w:w="92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300</w:t>
            </w:r>
          </w:p>
        </w:tc>
        <w:tc>
          <w:tcPr>
            <w:tcW w:w="1332" w:type="dxa"/>
            <w:tcBorders>
              <w:top w:val="nil"/>
              <w:left w:val="nil"/>
              <w:bottom w:val="single" w:color="auto" w:sz="4" w:space="0"/>
              <w:right w:val="single" w:color="auto" w:sz="4" w:space="0"/>
            </w:tcBorders>
            <w:noWrap w:val="0"/>
            <w:tcMar>
              <w:top w:w="15" w:type="dxa"/>
              <w:left w:w="15" w:type="dxa"/>
              <w:bottom w:w="0" w:type="dxa"/>
              <w:right w:w="15" w:type="dxa"/>
            </w:tcMar>
            <w:vAlign w:val="top"/>
          </w:tcPr>
          <w:p>
            <w:pPr>
              <w:jc w:val="center"/>
              <w:rPr>
                <w:rFonts w:ascii="宋体" w:hAnsi="宋体" w:cs="宋体"/>
                <w:color w:val="auto"/>
                <w:highlight w:val="none"/>
              </w:rPr>
            </w:pPr>
            <w:r>
              <w:rPr>
                <w:rFonts w:hint="eastAsia" w:ascii="宋体" w:hAnsi="宋体" w:cs="宋体"/>
                <w:color w:val="auto"/>
                <w:highlight w:val="none"/>
              </w:rPr>
              <w:t>每人/次</w:t>
            </w:r>
          </w:p>
        </w:tc>
      </w:tr>
      <w:tr>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10</w:t>
            </w:r>
          </w:p>
        </w:tc>
        <w:tc>
          <w:tcPr>
            <w:tcW w:w="5658"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施工设备不全或破损，有潜在危险</w:t>
            </w:r>
          </w:p>
        </w:tc>
        <w:tc>
          <w:tcPr>
            <w:tcW w:w="92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300</w:t>
            </w:r>
          </w:p>
        </w:tc>
        <w:tc>
          <w:tcPr>
            <w:tcW w:w="1332" w:type="dxa"/>
            <w:tcBorders>
              <w:top w:val="nil"/>
              <w:left w:val="nil"/>
              <w:bottom w:val="single" w:color="auto" w:sz="4" w:space="0"/>
              <w:right w:val="single" w:color="auto" w:sz="4" w:space="0"/>
            </w:tcBorders>
            <w:noWrap w:val="0"/>
            <w:tcMar>
              <w:top w:w="15" w:type="dxa"/>
              <w:left w:w="15" w:type="dxa"/>
              <w:bottom w:w="0" w:type="dxa"/>
              <w:right w:w="15" w:type="dxa"/>
            </w:tcMar>
            <w:vAlign w:val="top"/>
          </w:tcPr>
          <w:p>
            <w:pPr>
              <w:jc w:val="center"/>
              <w:rPr>
                <w:rFonts w:ascii="宋体" w:hAnsi="宋体" w:cs="宋体"/>
                <w:color w:val="auto"/>
                <w:highlight w:val="none"/>
              </w:rPr>
            </w:pPr>
            <w:r>
              <w:rPr>
                <w:rFonts w:hint="eastAsia" w:ascii="宋体" w:hAnsi="宋体" w:cs="宋体"/>
                <w:color w:val="auto"/>
                <w:highlight w:val="none"/>
              </w:rPr>
              <w:t>每人/次</w:t>
            </w:r>
          </w:p>
        </w:tc>
      </w:tr>
      <w:tr>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11</w:t>
            </w:r>
          </w:p>
        </w:tc>
        <w:tc>
          <w:tcPr>
            <w:tcW w:w="5658"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设置破损护栏、护栏不足或搭接不稳</w:t>
            </w:r>
          </w:p>
        </w:tc>
        <w:tc>
          <w:tcPr>
            <w:tcW w:w="92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300</w:t>
            </w:r>
          </w:p>
        </w:tc>
        <w:tc>
          <w:tcPr>
            <w:tcW w:w="1332" w:type="dxa"/>
            <w:tcBorders>
              <w:top w:val="nil"/>
              <w:left w:val="nil"/>
              <w:bottom w:val="single" w:color="auto" w:sz="4" w:space="0"/>
              <w:right w:val="single" w:color="auto" w:sz="4" w:space="0"/>
            </w:tcBorders>
            <w:noWrap w:val="0"/>
            <w:tcMar>
              <w:top w:w="15" w:type="dxa"/>
              <w:left w:w="15" w:type="dxa"/>
              <w:bottom w:w="0" w:type="dxa"/>
              <w:right w:w="15" w:type="dxa"/>
            </w:tcMar>
            <w:vAlign w:val="top"/>
          </w:tcPr>
          <w:p>
            <w:pPr>
              <w:jc w:val="center"/>
              <w:rPr>
                <w:rFonts w:ascii="宋体" w:hAnsi="宋体" w:cs="宋体"/>
                <w:color w:val="auto"/>
                <w:highlight w:val="none"/>
              </w:rPr>
            </w:pPr>
            <w:r>
              <w:rPr>
                <w:rFonts w:hint="eastAsia" w:ascii="宋体" w:hAnsi="宋体" w:cs="宋体"/>
                <w:color w:val="auto"/>
                <w:highlight w:val="none"/>
              </w:rPr>
              <w:t>每人/次</w:t>
            </w:r>
          </w:p>
        </w:tc>
      </w:tr>
      <w:tr>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12</w:t>
            </w:r>
          </w:p>
        </w:tc>
        <w:tc>
          <w:tcPr>
            <w:tcW w:w="5658"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不按各种安全规范或操作规范施工，存在不安全因素</w:t>
            </w:r>
          </w:p>
        </w:tc>
        <w:tc>
          <w:tcPr>
            <w:tcW w:w="92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1000</w:t>
            </w:r>
          </w:p>
        </w:tc>
        <w:tc>
          <w:tcPr>
            <w:tcW w:w="1332" w:type="dxa"/>
            <w:tcBorders>
              <w:top w:val="nil"/>
              <w:left w:val="nil"/>
              <w:bottom w:val="single" w:color="auto" w:sz="4" w:space="0"/>
              <w:right w:val="single" w:color="auto" w:sz="4" w:space="0"/>
            </w:tcBorders>
            <w:noWrap w:val="0"/>
            <w:tcMar>
              <w:top w:w="15" w:type="dxa"/>
              <w:left w:w="15" w:type="dxa"/>
              <w:bottom w:w="0" w:type="dxa"/>
              <w:right w:w="15" w:type="dxa"/>
            </w:tcMar>
            <w:vAlign w:val="top"/>
          </w:tcPr>
          <w:p>
            <w:pPr>
              <w:jc w:val="center"/>
              <w:rPr>
                <w:rFonts w:ascii="宋体" w:hAnsi="宋体" w:cs="宋体"/>
                <w:color w:val="auto"/>
                <w:highlight w:val="none"/>
              </w:rPr>
            </w:pPr>
            <w:r>
              <w:rPr>
                <w:rFonts w:hint="eastAsia" w:ascii="宋体" w:hAnsi="宋体" w:cs="宋体"/>
                <w:color w:val="auto"/>
                <w:highlight w:val="none"/>
              </w:rPr>
              <w:t>每人/次</w:t>
            </w:r>
          </w:p>
        </w:tc>
      </w:tr>
      <w:tr>
        <w:tblPrEx>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13</w:t>
            </w:r>
          </w:p>
        </w:tc>
        <w:tc>
          <w:tcPr>
            <w:tcW w:w="5658"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高空作业时不按有关规定作业</w:t>
            </w:r>
          </w:p>
        </w:tc>
        <w:tc>
          <w:tcPr>
            <w:tcW w:w="92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100</w:t>
            </w:r>
          </w:p>
        </w:tc>
        <w:tc>
          <w:tcPr>
            <w:tcW w:w="1332" w:type="dxa"/>
            <w:tcBorders>
              <w:top w:val="nil"/>
              <w:left w:val="nil"/>
              <w:bottom w:val="single" w:color="auto" w:sz="4" w:space="0"/>
              <w:right w:val="single" w:color="auto" w:sz="4" w:space="0"/>
            </w:tcBorders>
            <w:noWrap w:val="0"/>
            <w:tcMar>
              <w:top w:w="15" w:type="dxa"/>
              <w:left w:w="15" w:type="dxa"/>
              <w:bottom w:w="0" w:type="dxa"/>
              <w:right w:w="15" w:type="dxa"/>
            </w:tcMar>
            <w:vAlign w:val="top"/>
          </w:tcPr>
          <w:p>
            <w:pPr>
              <w:jc w:val="center"/>
              <w:rPr>
                <w:rFonts w:ascii="宋体" w:hAnsi="宋体" w:cs="宋体"/>
                <w:color w:val="auto"/>
                <w:highlight w:val="none"/>
              </w:rPr>
            </w:pPr>
            <w:r>
              <w:rPr>
                <w:rFonts w:hint="eastAsia" w:ascii="宋体" w:hAnsi="宋体" w:cs="宋体"/>
                <w:color w:val="auto"/>
                <w:highlight w:val="none"/>
              </w:rPr>
              <w:t>每人/次</w:t>
            </w:r>
          </w:p>
        </w:tc>
      </w:tr>
      <w:tr>
        <w:tblPrEx>
          <w:tblCellMar>
            <w:top w:w="0" w:type="dxa"/>
            <w:left w:w="0" w:type="dxa"/>
            <w:bottom w:w="0" w:type="dxa"/>
            <w:right w:w="0" w:type="dxa"/>
          </w:tblCellMar>
        </w:tblPrEx>
        <w:trPr>
          <w:trHeight w:val="135" w:hRule="atLeast"/>
        </w:trPr>
        <w:tc>
          <w:tcPr>
            <w:tcW w:w="41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color w:val="auto"/>
                <w:highlight w:val="none"/>
              </w:rPr>
            </w:pPr>
            <w:r>
              <w:rPr>
                <w:rFonts w:hint="eastAsia" w:ascii="宋体" w:hAnsi="宋体" w:cs="宋体"/>
                <w:color w:val="auto"/>
                <w:highlight w:val="none"/>
              </w:rPr>
              <w:t>14</w:t>
            </w:r>
          </w:p>
        </w:tc>
        <w:tc>
          <w:tcPr>
            <w:tcW w:w="5658"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rPr>
                <w:rFonts w:ascii="宋体" w:hAnsi="宋体" w:cs="宋体"/>
                <w:color w:val="auto"/>
                <w:highlight w:val="none"/>
              </w:rPr>
            </w:pPr>
            <w:r>
              <w:rPr>
                <w:rFonts w:hint="eastAsia" w:ascii="宋体" w:hAnsi="宋体" w:cs="宋体"/>
                <w:color w:val="auto"/>
                <w:highlight w:val="none"/>
              </w:rPr>
              <w:t>施工现场施工人员穿拖鞋、赤脚、赤膊的</w:t>
            </w:r>
          </w:p>
        </w:tc>
        <w:tc>
          <w:tcPr>
            <w:tcW w:w="92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color w:val="auto"/>
                <w:highlight w:val="none"/>
              </w:rPr>
            </w:pPr>
            <w:r>
              <w:rPr>
                <w:rFonts w:hint="eastAsia" w:ascii="宋体" w:hAnsi="宋体" w:cs="宋体"/>
                <w:color w:val="auto"/>
                <w:highlight w:val="none"/>
              </w:rPr>
              <w:t>50</w:t>
            </w:r>
          </w:p>
        </w:tc>
        <w:tc>
          <w:tcPr>
            <w:tcW w:w="1332"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color w:val="auto"/>
                <w:highlight w:val="none"/>
              </w:rPr>
            </w:pPr>
            <w:r>
              <w:rPr>
                <w:rFonts w:hint="eastAsia" w:ascii="宋体" w:hAnsi="宋体" w:cs="宋体"/>
                <w:color w:val="auto"/>
                <w:highlight w:val="none"/>
              </w:rPr>
              <w:t>同一人累计两次以上每次100元</w:t>
            </w:r>
          </w:p>
        </w:tc>
      </w:tr>
    </w:tbl>
    <w:p>
      <w:pPr>
        <w:rPr>
          <w:rFonts w:ascii="宋体" w:hAnsi="宋体" w:cs="宋体"/>
          <w:b/>
          <w:color w:val="auto"/>
          <w:highlight w:val="none"/>
        </w:rPr>
      </w:pPr>
    </w:p>
    <w:p>
      <w:pPr>
        <w:jc w:val="center"/>
        <w:rPr>
          <w:rFonts w:ascii="宋体" w:hAnsi="宋体" w:cs="宋体"/>
          <w:color w:val="auto"/>
          <w:highlight w:val="none"/>
        </w:rPr>
      </w:pPr>
      <w:r>
        <w:rPr>
          <w:rFonts w:hint="eastAsia" w:ascii="宋体" w:hAnsi="宋体" w:cs="宋体"/>
          <w:color w:val="auto"/>
          <w:highlight w:val="none"/>
        </w:rPr>
        <w:t>第二   质量条约</w:t>
      </w:r>
    </w:p>
    <w:tbl>
      <w:tblPr>
        <w:tblStyle w:val="38"/>
        <w:tblW w:w="8336" w:type="dxa"/>
        <w:tblInd w:w="0" w:type="dxa"/>
        <w:tblLayout w:type="fixed"/>
        <w:tblCellMar>
          <w:top w:w="0" w:type="dxa"/>
          <w:left w:w="0" w:type="dxa"/>
          <w:bottom w:w="0" w:type="dxa"/>
          <w:right w:w="0" w:type="dxa"/>
        </w:tblCellMar>
      </w:tblPr>
      <w:tblGrid>
        <w:gridCol w:w="389"/>
        <w:gridCol w:w="5650"/>
        <w:gridCol w:w="985"/>
        <w:gridCol w:w="1312"/>
      </w:tblGrid>
      <w:tr>
        <w:tblPrEx>
          <w:tblCellMar>
            <w:top w:w="0" w:type="dxa"/>
            <w:left w:w="0" w:type="dxa"/>
            <w:bottom w:w="0" w:type="dxa"/>
            <w:right w:w="0" w:type="dxa"/>
          </w:tblCellMar>
        </w:tblPrEx>
        <w:trPr>
          <w:trHeight w:val="417" w:hRule="atLeast"/>
          <w:tblHeader/>
        </w:trPr>
        <w:tc>
          <w:tcPr>
            <w:tcW w:w="38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color w:val="auto"/>
                <w:highlight w:val="none"/>
              </w:rPr>
            </w:pPr>
            <w:r>
              <w:rPr>
                <w:rFonts w:hint="eastAsia" w:ascii="宋体" w:hAnsi="宋体" w:cs="宋体"/>
                <w:color w:val="auto"/>
                <w:highlight w:val="none"/>
              </w:rPr>
              <w:t>序号</w:t>
            </w:r>
          </w:p>
        </w:tc>
        <w:tc>
          <w:tcPr>
            <w:tcW w:w="565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pacing w:line="480" w:lineRule="auto"/>
              <w:jc w:val="center"/>
              <w:rPr>
                <w:rFonts w:ascii="宋体" w:hAnsi="宋体" w:cs="宋体"/>
                <w:color w:val="auto"/>
                <w:highlight w:val="none"/>
              </w:rPr>
            </w:pPr>
            <w:r>
              <w:rPr>
                <w:rFonts w:hint="eastAsia" w:ascii="宋体" w:hAnsi="宋体" w:cs="宋体"/>
                <w:color w:val="auto"/>
                <w:highlight w:val="none"/>
              </w:rPr>
              <w:t>违约内容</w:t>
            </w:r>
          </w:p>
        </w:tc>
        <w:tc>
          <w:tcPr>
            <w:tcW w:w="98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color w:val="auto"/>
                <w:highlight w:val="none"/>
              </w:rPr>
            </w:pPr>
            <w:r>
              <w:rPr>
                <w:rFonts w:hint="eastAsia" w:ascii="宋体" w:hAnsi="宋体" w:cs="宋体"/>
                <w:color w:val="auto"/>
                <w:highlight w:val="none"/>
              </w:rPr>
              <w:t>违约金</w:t>
            </w:r>
          </w:p>
          <w:p>
            <w:pPr>
              <w:jc w:val="center"/>
              <w:rPr>
                <w:rFonts w:ascii="宋体" w:hAnsi="宋体" w:cs="宋体"/>
                <w:color w:val="auto"/>
                <w:highlight w:val="none"/>
              </w:rPr>
            </w:pPr>
            <w:r>
              <w:rPr>
                <w:rFonts w:hint="eastAsia" w:ascii="宋体" w:hAnsi="宋体" w:cs="宋体"/>
                <w:color w:val="auto"/>
                <w:highlight w:val="none"/>
              </w:rPr>
              <w:t>（元）</w:t>
            </w:r>
          </w:p>
        </w:tc>
        <w:tc>
          <w:tcPr>
            <w:tcW w:w="1312"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pacing w:line="480" w:lineRule="auto"/>
              <w:jc w:val="center"/>
              <w:rPr>
                <w:rFonts w:ascii="宋体" w:hAnsi="宋体" w:cs="宋体"/>
                <w:color w:val="auto"/>
                <w:highlight w:val="none"/>
              </w:rPr>
            </w:pPr>
            <w:r>
              <w:rPr>
                <w:rFonts w:hint="eastAsia" w:ascii="宋体" w:hAnsi="宋体" w:cs="宋体"/>
                <w:color w:val="auto"/>
                <w:highlight w:val="none"/>
              </w:rPr>
              <w:t>备注</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下管时，管沟的深度达不到设计要求；现场情况与设计不符时未及时报告，采取相应措施</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以每次计</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2</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沟底有石块等硬物，未清沟底就准备下管</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以每次计</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3</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回填时发现回填材料中，距管线50cm范围内中有含有石块等硬物</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200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以每次计　</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4</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管材堆放时，没有防滑、防损措施</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200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以每次计</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5</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管材因未有保护措施造成管材防腐层破损</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200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以每处计</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6</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管材未作除锈处理或除锈处理未达到要求就进行防腐施工</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300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以每处计</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7</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焊接时焊缝表面质量达不到要求的</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200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以每处计</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8</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下管并完成焊接后不及时封堵</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以每处计</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9</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热缩套、补伤片施工后发现翘边</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以每处计</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10</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破坏其他管线不及时上报</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300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以每处计</w:t>
            </w:r>
          </w:p>
        </w:tc>
      </w:tr>
      <w:tr>
        <w:tblPrEx>
          <w:tblCellMar>
            <w:top w:w="0" w:type="dxa"/>
            <w:left w:w="0" w:type="dxa"/>
            <w:bottom w:w="0" w:type="dxa"/>
            <w:right w:w="0" w:type="dxa"/>
          </w:tblCellMar>
        </w:tblPrEx>
        <w:trPr>
          <w:trHeight w:val="34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11</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防腐层损伤，经判断为施工机械刮伤或现场管理不善造成</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300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以每处计</w:t>
            </w:r>
          </w:p>
        </w:tc>
      </w:tr>
      <w:tr>
        <w:tblPrEx>
          <w:tblCellMar>
            <w:top w:w="0" w:type="dxa"/>
            <w:left w:w="0" w:type="dxa"/>
            <w:bottom w:w="0" w:type="dxa"/>
            <w:right w:w="0" w:type="dxa"/>
          </w:tblCellMar>
        </w:tblPrEx>
        <w:trPr>
          <w:trHeight w:val="258" w:hRule="atLeast"/>
        </w:trPr>
        <w:tc>
          <w:tcPr>
            <w:tcW w:w="38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ind w:firstLine="102" w:firstLineChars="49"/>
              <w:rPr>
                <w:rFonts w:ascii="宋体" w:hAnsi="宋体" w:cs="宋体"/>
                <w:color w:val="auto"/>
                <w:highlight w:val="none"/>
              </w:rPr>
            </w:pPr>
            <w:r>
              <w:rPr>
                <w:rFonts w:hint="eastAsia" w:ascii="宋体" w:hAnsi="宋体" w:cs="宋体"/>
                <w:color w:val="auto"/>
                <w:highlight w:val="none"/>
              </w:rPr>
              <w:t>12</w:t>
            </w:r>
          </w:p>
        </w:tc>
        <w:tc>
          <w:tcPr>
            <w:tcW w:w="565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不在规定时间交工程量周报表</w:t>
            </w:r>
          </w:p>
        </w:tc>
        <w:tc>
          <w:tcPr>
            <w:tcW w:w="98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300</w:t>
            </w:r>
          </w:p>
        </w:tc>
        <w:tc>
          <w:tcPr>
            <w:tcW w:w="1312"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以周计</w:t>
            </w:r>
          </w:p>
        </w:tc>
      </w:tr>
      <w:tr>
        <w:tblPrEx>
          <w:tblCellMar>
            <w:top w:w="0" w:type="dxa"/>
            <w:left w:w="0" w:type="dxa"/>
            <w:bottom w:w="0" w:type="dxa"/>
            <w:right w:w="0" w:type="dxa"/>
          </w:tblCellMar>
        </w:tblPrEx>
        <w:trPr>
          <w:trHeight w:val="285" w:hRule="atLeast"/>
        </w:trPr>
        <w:tc>
          <w:tcPr>
            <w:tcW w:w="38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13</w:t>
            </w:r>
          </w:p>
        </w:tc>
        <w:tc>
          <w:tcPr>
            <w:tcW w:w="565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不在规定时间交工程量月报表</w:t>
            </w:r>
          </w:p>
        </w:tc>
        <w:tc>
          <w:tcPr>
            <w:tcW w:w="98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300</w:t>
            </w:r>
          </w:p>
        </w:tc>
        <w:tc>
          <w:tcPr>
            <w:tcW w:w="1312"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以月计</w:t>
            </w:r>
          </w:p>
        </w:tc>
      </w:tr>
    </w:tbl>
    <w:p>
      <w:pPr>
        <w:rPr>
          <w:rFonts w:ascii="宋体" w:hAnsi="宋体" w:cs="宋体"/>
          <w:b/>
          <w:color w:val="auto"/>
          <w:highlight w:val="none"/>
        </w:rPr>
      </w:pPr>
    </w:p>
    <w:p>
      <w:pPr>
        <w:jc w:val="center"/>
        <w:rPr>
          <w:rFonts w:ascii="宋体" w:hAnsi="宋体" w:cs="宋体"/>
          <w:color w:val="auto"/>
          <w:highlight w:val="none"/>
        </w:rPr>
      </w:pPr>
      <w:r>
        <w:rPr>
          <w:rFonts w:hint="eastAsia" w:ascii="宋体" w:hAnsi="宋体" w:cs="宋体"/>
          <w:color w:val="auto"/>
          <w:highlight w:val="none"/>
        </w:rPr>
        <w:t>第三    服务条约</w:t>
      </w:r>
    </w:p>
    <w:tbl>
      <w:tblPr>
        <w:tblStyle w:val="38"/>
        <w:tblW w:w="8336" w:type="dxa"/>
        <w:tblInd w:w="0" w:type="dxa"/>
        <w:tblLayout w:type="fixed"/>
        <w:tblCellMar>
          <w:top w:w="0" w:type="dxa"/>
          <w:left w:w="0" w:type="dxa"/>
          <w:bottom w:w="0" w:type="dxa"/>
          <w:right w:w="0" w:type="dxa"/>
        </w:tblCellMar>
      </w:tblPr>
      <w:tblGrid>
        <w:gridCol w:w="389"/>
        <w:gridCol w:w="5650"/>
        <w:gridCol w:w="985"/>
        <w:gridCol w:w="1312"/>
      </w:tblGrid>
      <w:tr>
        <w:tblPrEx>
          <w:tblCellMar>
            <w:top w:w="0" w:type="dxa"/>
            <w:left w:w="0" w:type="dxa"/>
            <w:bottom w:w="0" w:type="dxa"/>
            <w:right w:w="0" w:type="dxa"/>
          </w:tblCellMar>
        </w:tblPrEx>
        <w:trPr>
          <w:trHeight w:val="285" w:hRule="atLeast"/>
        </w:trPr>
        <w:tc>
          <w:tcPr>
            <w:tcW w:w="38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color w:val="auto"/>
                <w:highlight w:val="none"/>
              </w:rPr>
            </w:pPr>
            <w:r>
              <w:rPr>
                <w:rFonts w:hint="eastAsia" w:ascii="宋体" w:hAnsi="宋体" w:cs="宋体"/>
                <w:color w:val="auto"/>
                <w:highlight w:val="none"/>
              </w:rPr>
              <w:t>序号</w:t>
            </w:r>
          </w:p>
        </w:tc>
        <w:tc>
          <w:tcPr>
            <w:tcW w:w="565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color w:val="auto"/>
                <w:highlight w:val="none"/>
              </w:rPr>
            </w:pPr>
            <w:r>
              <w:rPr>
                <w:rFonts w:hint="eastAsia" w:ascii="宋体" w:hAnsi="宋体" w:cs="宋体"/>
                <w:color w:val="auto"/>
                <w:highlight w:val="none"/>
              </w:rPr>
              <w:t>违约内容</w:t>
            </w:r>
          </w:p>
        </w:tc>
        <w:tc>
          <w:tcPr>
            <w:tcW w:w="98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color w:val="auto"/>
                <w:highlight w:val="none"/>
              </w:rPr>
            </w:pPr>
            <w:r>
              <w:rPr>
                <w:rFonts w:hint="eastAsia" w:ascii="宋体" w:hAnsi="宋体" w:cs="宋体"/>
                <w:color w:val="auto"/>
                <w:highlight w:val="none"/>
              </w:rPr>
              <w:t>违约金</w:t>
            </w:r>
          </w:p>
          <w:p>
            <w:pPr>
              <w:jc w:val="center"/>
              <w:rPr>
                <w:rFonts w:ascii="宋体" w:hAnsi="宋体" w:cs="宋体"/>
                <w:color w:val="auto"/>
                <w:highlight w:val="none"/>
              </w:rPr>
            </w:pPr>
            <w:r>
              <w:rPr>
                <w:rFonts w:hint="eastAsia" w:ascii="宋体" w:hAnsi="宋体" w:cs="宋体"/>
                <w:color w:val="auto"/>
                <w:highlight w:val="none"/>
              </w:rPr>
              <w:t>（元）</w:t>
            </w:r>
          </w:p>
        </w:tc>
        <w:tc>
          <w:tcPr>
            <w:tcW w:w="1312"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color w:val="auto"/>
                <w:highlight w:val="none"/>
              </w:rPr>
            </w:pPr>
            <w:r>
              <w:rPr>
                <w:rFonts w:hint="eastAsia" w:ascii="宋体" w:hAnsi="宋体" w:cs="宋体"/>
                <w:color w:val="auto"/>
                <w:highlight w:val="none"/>
              </w:rPr>
              <w:t>备注</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没有佩带工作证或仪表不整</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50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以每处计</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2</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闲人进入施工现场不及时制止</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　</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3</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材料堆放或施工选点不当，防碍他人</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500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整体工程</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4</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由于服务态度不好等原因，发生有责任投诉</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100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　</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color w:val="auto"/>
                <w:highlight w:val="none"/>
              </w:rPr>
            </w:pPr>
            <w:r>
              <w:rPr>
                <w:rFonts w:hint="eastAsia" w:ascii="宋体" w:hAnsi="宋体" w:cs="宋体"/>
                <w:color w:val="auto"/>
                <w:highlight w:val="none"/>
              </w:rPr>
              <w:t>5</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rPr>
                <w:rFonts w:ascii="宋体" w:hAnsi="宋体" w:cs="宋体"/>
                <w:color w:val="auto"/>
                <w:highlight w:val="none"/>
              </w:rPr>
            </w:pPr>
            <w:r>
              <w:rPr>
                <w:rFonts w:hint="eastAsia" w:ascii="宋体" w:hAnsi="宋体" w:cs="宋体"/>
                <w:color w:val="auto"/>
                <w:highlight w:val="none"/>
              </w:rPr>
              <w:t>违反社会治安管理条例，影响公司声誉和形象</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color w:val="auto"/>
                <w:highlight w:val="none"/>
              </w:rPr>
            </w:pPr>
            <w:r>
              <w:rPr>
                <w:rFonts w:hint="eastAsia" w:ascii="宋体" w:hAnsi="宋体" w:cs="宋体"/>
                <w:color w:val="auto"/>
                <w:highlight w:val="none"/>
              </w:rPr>
              <w:t>1000</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color w:val="auto"/>
                <w:highlight w:val="none"/>
              </w:rPr>
            </w:pPr>
            <w:r>
              <w:rPr>
                <w:rFonts w:hint="eastAsia" w:ascii="宋体" w:hAnsi="宋体" w:cs="宋体"/>
                <w:color w:val="auto"/>
                <w:highlight w:val="none"/>
              </w:rPr>
              <w:t>该员工不得在项目中工作</w:t>
            </w:r>
          </w:p>
        </w:tc>
      </w:tr>
      <w:tr>
        <w:tblPrEx>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6</w:t>
            </w:r>
          </w:p>
        </w:tc>
        <w:tc>
          <w:tcPr>
            <w:tcW w:w="5650"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ascii="宋体" w:hAnsi="宋体" w:cs="宋体"/>
                <w:color w:val="auto"/>
                <w:highlight w:val="none"/>
              </w:rPr>
            </w:pPr>
            <w:r>
              <w:rPr>
                <w:rFonts w:hint="eastAsia" w:ascii="宋体" w:hAnsi="宋体" w:cs="宋体"/>
                <w:color w:val="auto"/>
                <w:highlight w:val="none"/>
              </w:rPr>
              <w:t>竣工资料或结算资料之工程数量与实际工程量不符</w:t>
            </w:r>
          </w:p>
        </w:tc>
        <w:tc>
          <w:tcPr>
            <w:tcW w:w="98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按发生额拾倍扣罚</w:t>
            </w:r>
          </w:p>
        </w:tc>
        <w:tc>
          <w:tcPr>
            <w:tcW w:w="1312"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ascii="宋体" w:hAnsi="宋体" w:cs="宋体"/>
                <w:color w:val="auto"/>
                <w:highlight w:val="none"/>
              </w:rPr>
            </w:pPr>
            <w:r>
              <w:rPr>
                <w:rFonts w:hint="eastAsia" w:ascii="宋体" w:hAnsi="宋体" w:cs="宋体"/>
                <w:color w:val="auto"/>
                <w:highlight w:val="none"/>
              </w:rPr>
              <w:t>　</w:t>
            </w:r>
          </w:p>
        </w:tc>
      </w:tr>
    </w:tbl>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（3）严重违约责任：承包人违反本合同的约定须承担严重违约责任时，每发生一次严重违约，发包人均有权扣除合同价款人民币</w:t>
      </w:r>
      <w:r>
        <w:rPr>
          <w:rFonts w:hint="eastAsia" w:ascii="宋体" w:hAnsi="宋体" w:cs="宋体"/>
          <w:color w:val="auto"/>
          <w:sz w:val="24"/>
          <w:szCs w:val="24"/>
          <w:highlight w:val="none"/>
          <w:u w:val="single"/>
        </w:rPr>
        <w:t xml:space="preserve"> 5 </w:t>
      </w:r>
      <w:r>
        <w:rPr>
          <w:rFonts w:hint="eastAsia" w:ascii="宋体" w:hAnsi="宋体" w:cs="宋体"/>
          <w:color w:val="auto"/>
          <w:sz w:val="24"/>
          <w:szCs w:val="24"/>
          <w:highlight w:val="none"/>
        </w:rPr>
        <w:t>万元/次作为违约金，并通报批评、警告直至暂停其在广州燃气集团有限公司系统内6～12个月的投标及承包资格，除上述违约金外，承包人应赔偿发包人遭受的全部损失。</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解除部分合同。当承包人违反本合同的约定符合解除部分合同的条件时，发包人有权向承包人发出书面解除部分合同的通知，该通知在送达承包人时部分解除合同即生效。部分解除合同的法律后果按照通用条款第87条的相关约定执行。</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解除合同。当承包人违反本合同的约定符合解除全部合同的条件时，发包人有权向承包人发出书面解除全部合同的通知，该通知在送达承包人时解除合同即生效。解除合同的法律后果按照通用条款第87条的相关约定执行。</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6）赔偿损失。承包人违约的，应赔偿发包人遭受的全部损失，包括但不限于直接或间接的经济损失、索赔而产生的诉讼或仲裁费用、律师费用、因承包人违约使发包人另行完成本项目的招标费用及另行发包所支出的额外费用等。 </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（7）承包人在合同期内累计三次严重违约的，发包人有权单方解除部分或全部合同，合同解除不影响承包人承担违约责任及损失赔偿责任。</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 承包人违约须向发包人支付违约金时，发包人有权从应支付给承包人的工程款及履约保证金中直接抵扣，承包人不得有异议。</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（9）其它</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承包人违反第三部分合同专用条款20.2（16）款的规定，发包人有权在工程款中扣违约金5万元/次，每间隔10天可重复就同一情况进行扣罚，每累计三次此类扣罚，即相当于一次一般违约，承包人应额外承担相应的一般违约责任。</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承包人违反第三部分合同专用条款20.2（17）款的规定，发包人有权在工程款中扣违约金10万元/次，每间隔10天可重复就同一情况进行扣罚，每累计三次此类扣罚，即相当于一次一般违约，承包人应额外承担相应的一般违约责任。</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（10）工期延误方面的违约责任：</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1）承包人未按照协议书约定的竣工日期或发包人同意顺延的工期竣工，延误的工期每延误1天，应向发包人支付本工程合同价款的</w:t>
      </w:r>
      <w:r>
        <w:rPr>
          <w:rFonts w:hint="eastAsia" w:ascii="宋体" w:hAnsi="宋体" w:cs="宋体"/>
          <w:color w:val="auto"/>
          <w:sz w:val="24"/>
          <w:szCs w:val="24"/>
          <w:highlight w:val="none"/>
          <w:u w:val="single"/>
        </w:rPr>
        <w:t xml:space="preserve"> 1.5  </w:t>
      </w:r>
      <w:r>
        <w:rPr>
          <w:rFonts w:hint="eastAsia" w:ascii="宋体" w:hAnsi="宋体" w:cs="宋体"/>
          <w:color w:val="auto"/>
          <w:sz w:val="24"/>
          <w:szCs w:val="24"/>
          <w:highlight w:val="none"/>
        </w:rPr>
        <w:t>‰作为违约金，且不低于每天1万元，误期赔偿限额为合同价款的</w:t>
      </w:r>
      <w:r>
        <w:rPr>
          <w:rFonts w:hint="eastAsia" w:ascii="宋体" w:hAnsi="宋体" w:cs="宋体"/>
          <w:color w:val="auto"/>
          <w:sz w:val="24"/>
          <w:szCs w:val="24"/>
          <w:highlight w:val="none"/>
          <w:u w:val="single"/>
        </w:rPr>
        <w:t xml:space="preserve"> 5 </w:t>
      </w:r>
      <w:r>
        <w:rPr>
          <w:rFonts w:hint="eastAsia" w:ascii="宋体" w:hAnsi="宋体" w:cs="宋体"/>
          <w:color w:val="auto"/>
          <w:sz w:val="24"/>
          <w:szCs w:val="24"/>
          <w:highlight w:val="none"/>
        </w:rPr>
        <w:t>%；延误工期超过</w:t>
      </w:r>
      <w:r>
        <w:rPr>
          <w:rFonts w:hint="eastAsia" w:ascii="宋体" w:hAnsi="宋体" w:cs="宋体"/>
          <w:color w:val="auto"/>
          <w:sz w:val="24"/>
          <w:szCs w:val="24"/>
          <w:highlight w:val="none"/>
          <w:u w:val="single"/>
        </w:rPr>
        <w:t xml:space="preserve">  15  </w:t>
      </w:r>
      <w:r>
        <w:rPr>
          <w:rFonts w:hint="eastAsia" w:ascii="宋体" w:hAnsi="宋体" w:cs="宋体"/>
          <w:color w:val="auto"/>
          <w:sz w:val="24"/>
          <w:szCs w:val="24"/>
          <w:highlight w:val="none"/>
        </w:rPr>
        <w:t>天</w:t>
      </w:r>
      <w:r>
        <w:rPr>
          <w:rFonts w:hint="eastAsia" w:ascii="宋体" w:hAnsi="宋体" w:cs="宋体"/>
          <w:bCs/>
          <w:color w:val="auto"/>
          <w:sz w:val="24"/>
          <w:szCs w:val="24"/>
          <w:highlight w:val="none"/>
        </w:rPr>
        <w:t>的，</w:t>
      </w:r>
      <w:r>
        <w:rPr>
          <w:rFonts w:hint="eastAsia" w:ascii="宋体" w:hAnsi="宋体" w:cs="宋体"/>
          <w:color w:val="auto"/>
          <w:sz w:val="24"/>
          <w:szCs w:val="24"/>
          <w:highlight w:val="none"/>
        </w:rPr>
        <w:t>发包人有权解除合同，将本工程另行发包，且不免除承包人的违约赔偿责任。</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承包人未按发包人（或工程师根据其权限）批准的施工进度计划（包括阶段性调整计划）执行，导致关键节点滞后，经发包人（或工程师根据其权限）书面督促赶工，未在规定时间内赶回工期的，工程师有权提议对承包人扣除违约金，每次违约金数额为合同总价的</w:t>
      </w:r>
      <w:r>
        <w:rPr>
          <w:rFonts w:hint="eastAsia" w:ascii="宋体" w:hAnsi="宋体" w:cs="宋体"/>
          <w:color w:val="auto"/>
          <w:sz w:val="24"/>
          <w:szCs w:val="24"/>
          <w:highlight w:val="none"/>
          <w:u w:val="single"/>
        </w:rPr>
        <w:t xml:space="preserve">  1.5  </w:t>
      </w:r>
      <w:r>
        <w:rPr>
          <w:rFonts w:hint="eastAsia" w:ascii="宋体" w:hAnsi="宋体" w:cs="宋体"/>
          <w:color w:val="auto"/>
          <w:sz w:val="24"/>
          <w:szCs w:val="24"/>
          <w:highlight w:val="none"/>
        </w:rPr>
        <w:t>‰，经发包人派驻工程师签字确认后发出违约金扣除通知单，违约金额在当期工程进度款中扣除。</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（11）工程材料设备采购及工程质量方面的违约责任</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1）工程师按照专用条款第</w:t>
      </w:r>
      <w:r>
        <w:rPr>
          <w:rFonts w:hint="eastAsia" w:ascii="宋体" w:hAnsi="宋体" w:cs="宋体"/>
          <w:color w:val="auto"/>
          <w:sz w:val="24"/>
          <w:szCs w:val="24"/>
          <w:highlight w:val="none"/>
          <w:lang w:val="en-US" w:eastAsia="zh-CN"/>
        </w:rPr>
        <w:t>50</w:t>
      </w:r>
      <w:r>
        <w:rPr>
          <w:rFonts w:hint="eastAsia" w:ascii="宋体" w:hAnsi="宋体" w:cs="宋体"/>
          <w:color w:val="auto"/>
          <w:sz w:val="24"/>
          <w:szCs w:val="24"/>
          <w:highlight w:val="none"/>
        </w:rPr>
        <w:t>款的约定抽查承包人的工程材料时，发现所检查的材料与该条款约定的标准的任何一项不符合时，视情节轻重按照如下方式：</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A、单宗或批次材料价值在5万元以上20万元以下（含20万元），承包人承担1次一般违约责任。</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B、单宗或批次材料价值20-50万元（含50万元），承包人承担1次严重违约责任。</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C、单宗或批次材料价值在50万元以上的，发包人有权部分解除合同或全部解除合同，并要求承包人赔偿发包人由此遭受的实际损失。</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D、对于单宗或批次材料价值不高于5万元的（含5万元），但累计抽检不合格达3次，承包人承担1次一般违约责任。</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违约金由发包人直接在进度款中扣除，情节严重的承包人除必须全部退货、返工，并赔偿由此造成的全部损失外，发包人有权解除合同、取消承包人在广州燃气集团有限公司系统的投标及承包资格，并报相关建设主管部门。 </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承包人按专用条款第20.2条第19款的约定，对各工序必须报验核查质量控制点。如承包人申请报验后，经工程师或发包人检查发现存在质量问题，则该工序质量为不合格，承包人必须全部返工，返工后经检查合格才准进入下一工序，工期不予顺延。复检的结果，按每一分项工程计算，总计发现3次或连续发现2次质量控制点不合格的，承包人承担严重违约责任；总计发现3次以上（不含本数）或连续发现2次以上（不含本数）质量控制点不合格的，发包人有权部分解除合同，将该分项工程另行发包，并不免除承包人应承担的违约赔偿责任。</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3）焊接质量要求一次合格率达95%，如同一焊工出现3次不合格，监理工程师有权要求更换焊工（所更换的焊工须通过相关考核），并承担一次一般违约责任。</w:t>
      </w:r>
    </w:p>
    <w:p>
      <w:pPr>
        <w:snapToGrid w:val="0"/>
        <w:spacing w:before="62" w:beforeLines="20" w:line="400" w:lineRule="exact"/>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4）主要技术工人(焊工等)不持证上岗的，每发现一次处罚</w:t>
      </w:r>
      <w:r>
        <w:rPr>
          <w:rFonts w:hint="eastAsia" w:ascii="宋体" w:hAnsi="宋体" w:cs="宋体"/>
          <w:color w:val="auto"/>
          <w:sz w:val="24"/>
          <w:szCs w:val="20"/>
          <w:highlight w:val="none"/>
          <w:u w:val="single"/>
        </w:rPr>
        <w:t xml:space="preserve">  0.5  万</w:t>
      </w:r>
      <w:r>
        <w:rPr>
          <w:rFonts w:hint="eastAsia" w:ascii="宋体" w:hAnsi="宋体" w:cs="宋体"/>
          <w:color w:val="auto"/>
          <w:sz w:val="24"/>
          <w:szCs w:val="20"/>
          <w:highlight w:val="none"/>
        </w:rPr>
        <w:t>元的违约金，并在当期工程进度款中扣除。出现三次不持证上岗的，承包人承担一次一般违约责任。违约超过三次的，发包人重新评估后有权解除合同并取消承包人在广州燃气集团有限公司系统的投标及承包资格。</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5）如工程竣工后，经统计，最终承包人的焊缝一次合格率达不到95%，承包人向发包人交纳审定结算总价</w:t>
      </w:r>
      <w:r>
        <w:rPr>
          <w:rFonts w:hint="eastAsia" w:ascii="宋体" w:hAnsi="宋体" w:cs="宋体"/>
          <w:color w:val="auto"/>
          <w:sz w:val="24"/>
          <w:szCs w:val="24"/>
          <w:highlight w:val="none"/>
          <w:u w:val="single"/>
        </w:rPr>
        <w:t xml:space="preserve">  1 </w:t>
      </w:r>
      <w:r>
        <w:rPr>
          <w:rFonts w:hint="eastAsia" w:ascii="宋体" w:hAnsi="宋体" w:cs="宋体"/>
          <w:color w:val="auto"/>
          <w:sz w:val="24"/>
          <w:szCs w:val="24"/>
          <w:highlight w:val="none"/>
        </w:rPr>
        <w:t>%的违约金；达不到85％时，承包人向发包人交纳审定结算总价</w:t>
      </w:r>
      <w:r>
        <w:rPr>
          <w:rFonts w:hint="eastAsia" w:ascii="宋体" w:hAnsi="宋体" w:cs="宋体"/>
          <w:color w:val="auto"/>
          <w:sz w:val="24"/>
          <w:szCs w:val="24"/>
          <w:highlight w:val="none"/>
          <w:u w:val="single"/>
        </w:rPr>
        <w:t xml:space="preserve"> 2  </w:t>
      </w:r>
      <w:r>
        <w:rPr>
          <w:rFonts w:hint="eastAsia" w:ascii="宋体" w:hAnsi="宋体" w:cs="宋体"/>
          <w:color w:val="auto"/>
          <w:sz w:val="24"/>
          <w:szCs w:val="24"/>
          <w:highlight w:val="none"/>
        </w:rPr>
        <w:t>%的违约金，依此类推。</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6）工程竣工验收达不到合同约定的质量标准的，承包人向发包人交纳审定结算总价2%的违约金。</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7）工程保修期内发现质量不合格，承包人必须在规定的期限返工并达到合同约定的质量等级。</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（12）安全生产方面的违约责任</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承包人在政府行政主管部门组织的质量安全检查中，被发现存在严重的安全隐患，被通报批评，或被新闻媒体曝光造成不良影响的，被通报或被曝光1次，承包人必须承担严重违约责任；造成严重社会影响或累计被通报或被曝光3次以上（含本数）的，发包人有权解除合同，将本工程另行发包，并不免除承包人应承担的违约赔偿责任。</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承包人在工程师进行的日常质量安全检查中，被发现存在安全隐患的，承包人应限期改正。若同样问题被每发现2次的或类似问题被每发现3次，承包人必须承担一般违约责任1次；此类问题的认定，以工程师书面通知、指令、通报和会议纪要为准。</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3）承包人不按安全规范的要求进行施工时，而在发包人或工程师三次通知整改却不执行时，发包人有权解除合同。</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4）承包人因自身原因造成的安全事故（含施工、工程质量、消防等事故）的，按通用条款第45.4条款执行，按国家规定由相关主管部门处罚。发包人视情况严重性，有权解除部分或全部合同。</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（13）文明施工、环境保护方面的违约责任</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1）工程师按照合同条款的约定，对承包人文明施工措施进行对照检查。经检查发现承包人因自身原因未能落实的，承包人必须承担一般违约责任，并限期改正；如限期不改正，承包人须承担严重违约责任。</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 在政府行政主管部门的检查中，承包人的施工场地被评为不合格工地的，或者被通报批评的，或者被新闻媒体曝光的，承包人必须承担严重违约责任，并立即采取切实有效措施予以整改；拒不采取切实有效的措施整改的，或整改效果不明显的，发包人有权解除部分或全部合同，并要求承包人赔偿由此造成的损失。</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 承包人在施工过程中因其自身原因造成周围环境卫生状况较差，被其他施工单位或周围居民投诉的，承包人必须在当天内整改。若故意拖延或同样问题连续被投诉2次，或累计被投诉3次，经查实，承包人必须承担一般违约责任1次。</w:t>
      </w:r>
    </w:p>
    <w:p>
      <w:pPr>
        <w:spacing w:before="62" w:beforeLines="20"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 工程分包、转包方面的违约责任：未经发包人书面同意，承包人擅自分包或者转包工程的，发包人有权单方解除部分合同或解除合同，由此而造成的经济损失由承包人负责赔偿。</w:t>
      </w:r>
    </w:p>
    <w:p>
      <w:pPr>
        <w:tabs>
          <w:tab w:val="left" w:pos="360"/>
        </w:tabs>
        <w:spacing w:before="62" w:beforeLines="20" w:line="400" w:lineRule="exact"/>
        <w:ind w:firstLine="488" w:firstLineChars="200"/>
        <w:rPr>
          <w:rFonts w:ascii="宋体" w:hAnsi="宋体" w:cs="宋体"/>
          <w:color w:val="auto"/>
          <w:spacing w:val="2"/>
          <w:position w:val="2"/>
          <w:sz w:val="24"/>
          <w:szCs w:val="24"/>
          <w:highlight w:val="none"/>
        </w:rPr>
      </w:pPr>
      <w:r>
        <w:rPr>
          <w:rFonts w:hint="eastAsia" w:ascii="宋体" w:hAnsi="宋体" w:cs="宋体"/>
          <w:color w:val="auto"/>
          <w:spacing w:val="2"/>
          <w:position w:val="2"/>
          <w:sz w:val="24"/>
          <w:szCs w:val="24"/>
          <w:highlight w:val="none"/>
        </w:rPr>
        <w:t>（15） 承包人承诺的</w:t>
      </w:r>
      <w:r>
        <w:rPr>
          <w:rFonts w:hint="eastAsia" w:ascii="宋体" w:hAnsi="宋体" w:cs="宋体"/>
          <w:color w:val="auto"/>
          <w:sz w:val="24"/>
          <w:szCs w:val="24"/>
          <w:highlight w:val="none"/>
        </w:rPr>
        <w:t>关键人员、关键设备</w:t>
      </w:r>
      <w:r>
        <w:rPr>
          <w:rFonts w:hint="eastAsia" w:ascii="宋体" w:hAnsi="宋体" w:cs="宋体"/>
          <w:color w:val="auto"/>
          <w:spacing w:val="2"/>
          <w:position w:val="2"/>
          <w:sz w:val="24"/>
          <w:szCs w:val="24"/>
          <w:highlight w:val="none"/>
        </w:rPr>
        <w:t>不到位，或到位后又离开，造成该岗位空缺，发包人及工程师一旦发现，将要求承包人做出书面解释及保证人员、设备限期到位，同时将要求承包人承担一般违约责任1次(除本合同另有条款约定外)；如果承包人拒不配合，未在发包人或工程师提出限期改正的期限内进行整改的，承包人应承担严重违约责任1次(除本合同另有条款约定外)，发包人有权单方提出解除合同，并要求承包人承担由此造成的发包人损失。关键人员一般是指项目经理、项目技术负责人、安全负责人、质量管理员、资料员、持证的特种作业人员；关键设备详见承包人承诺投入设备以及文明施工围蔽及警示等设施。</w:t>
      </w:r>
    </w:p>
    <w:p>
      <w:pPr>
        <w:widowControl/>
        <w:spacing w:before="62" w:beforeLines="20" w:line="400" w:lineRule="exact"/>
        <w:ind w:firstLine="488" w:firstLineChars="200"/>
        <w:rPr>
          <w:rFonts w:ascii="宋体" w:hAnsi="宋体" w:cs="宋体"/>
          <w:color w:val="auto"/>
          <w:kern w:val="0"/>
          <w:sz w:val="24"/>
          <w:szCs w:val="24"/>
          <w:highlight w:val="none"/>
        </w:rPr>
      </w:pPr>
      <w:r>
        <w:rPr>
          <w:rFonts w:hint="eastAsia" w:ascii="宋体" w:hAnsi="宋体" w:cs="宋体"/>
          <w:color w:val="auto"/>
          <w:spacing w:val="2"/>
          <w:kern w:val="0"/>
          <w:position w:val="2"/>
          <w:sz w:val="24"/>
          <w:szCs w:val="24"/>
          <w:highlight w:val="none"/>
        </w:rPr>
        <w:t xml:space="preserve">（16） </w:t>
      </w:r>
      <w:r>
        <w:rPr>
          <w:rFonts w:hint="eastAsia" w:ascii="宋体" w:hAnsi="宋体" w:cs="宋体"/>
          <w:color w:val="auto"/>
          <w:kern w:val="0"/>
          <w:sz w:val="24"/>
          <w:szCs w:val="24"/>
          <w:highlight w:val="none"/>
        </w:rPr>
        <w:t>对承包人不遵守相关质量要求时</w:t>
      </w:r>
      <w:r>
        <w:rPr>
          <w:rFonts w:hint="eastAsia" w:ascii="宋体" w:hAnsi="宋体" w:cs="宋体"/>
          <w:color w:val="auto"/>
          <w:spacing w:val="2"/>
          <w:kern w:val="0"/>
          <w:position w:val="2"/>
          <w:sz w:val="24"/>
          <w:szCs w:val="24"/>
          <w:highlight w:val="none"/>
        </w:rPr>
        <w:t>：</w:t>
      </w:r>
      <w:r>
        <w:rPr>
          <w:rFonts w:hint="eastAsia" w:ascii="宋体" w:hAnsi="宋体" w:cs="宋体"/>
          <w:color w:val="auto"/>
          <w:kern w:val="0"/>
          <w:sz w:val="24"/>
          <w:szCs w:val="24"/>
          <w:highlight w:val="none"/>
        </w:rPr>
        <w:t>对承包人处以一般违约责任的处理。</w:t>
      </w:r>
      <w:r>
        <w:rPr>
          <w:rFonts w:hint="eastAsia" w:ascii="宋体" w:hAnsi="宋体" w:cs="宋体"/>
          <w:color w:val="auto"/>
          <w:spacing w:val="2"/>
          <w:kern w:val="0"/>
          <w:position w:val="2"/>
          <w:sz w:val="24"/>
          <w:szCs w:val="24"/>
          <w:highlight w:val="none"/>
        </w:rPr>
        <w:t>如果承包人拒不配合整改的，</w:t>
      </w:r>
      <w:r>
        <w:rPr>
          <w:rFonts w:hint="eastAsia" w:ascii="宋体" w:hAnsi="宋体" w:cs="宋体"/>
          <w:color w:val="auto"/>
          <w:kern w:val="0"/>
          <w:sz w:val="24"/>
          <w:szCs w:val="24"/>
          <w:highlight w:val="none"/>
        </w:rPr>
        <w:t>对承包人处以严重违约责任的处理</w:t>
      </w:r>
      <w:r>
        <w:rPr>
          <w:rFonts w:hint="eastAsia" w:ascii="宋体" w:hAnsi="宋体" w:cs="宋体"/>
          <w:color w:val="auto"/>
          <w:spacing w:val="2"/>
          <w:kern w:val="0"/>
          <w:position w:val="2"/>
          <w:sz w:val="24"/>
          <w:szCs w:val="24"/>
          <w:highlight w:val="none"/>
        </w:rPr>
        <w:t>。</w:t>
      </w:r>
    </w:p>
    <w:p>
      <w:pPr>
        <w:spacing w:before="62" w:beforeLines="20" w:line="400" w:lineRule="exact"/>
        <w:ind w:firstLine="488" w:firstLineChars="200"/>
        <w:rPr>
          <w:rFonts w:ascii="宋体" w:hAnsi="宋体" w:cs="宋体"/>
          <w:color w:val="auto"/>
          <w:kern w:val="0"/>
          <w:sz w:val="24"/>
          <w:szCs w:val="24"/>
          <w:highlight w:val="none"/>
        </w:rPr>
      </w:pPr>
      <w:r>
        <w:rPr>
          <w:rFonts w:hint="eastAsia" w:ascii="宋体" w:hAnsi="宋体" w:cs="宋体"/>
          <w:color w:val="auto"/>
          <w:spacing w:val="2"/>
          <w:kern w:val="0"/>
          <w:position w:val="2"/>
          <w:sz w:val="24"/>
          <w:szCs w:val="24"/>
          <w:highlight w:val="none"/>
        </w:rPr>
        <w:t xml:space="preserve">（17） </w:t>
      </w:r>
      <w:r>
        <w:rPr>
          <w:rFonts w:hint="eastAsia" w:ascii="宋体" w:hAnsi="宋体" w:cs="宋体"/>
          <w:color w:val="auto"/>
          <w:kern w:val="0"/>
          <w:sz w:val="24"/>
          <w:szCs w:val="24"/>
          <w:highlight w:val="none"/>
        </w:rPr>
        <w:t>有关政府部门根据政府规章制度对承包人进行相关的检查（如安全、环保、劳保等），承包人有义务配合。若出现被政府部门处罚的现象，将视为损害发包人的行为，发包人有权对承包人按严重违约追究责任。</w:t>
      </w:r>
    </w:p>
    <w:p>
      <w:pPr>
        <w:spacing w:before="62" w:beforeLines="20" w:line="400" w:lineRule="exact"/>
        <w:ind w:firstLine="488" w:firstLineChars="200"/>
        <w:rPr>
          <w:rFonts w:ascii="宋体" w:hAnsi="宋体" w:cs="宋体"/>
          <w:color w:val="auto"/>
          <w:spacing w:val="2"/>
          <w:kern w:val="0"/>
          <w:position w:val="2"/>
          <w:sz w:val="24"/>
          <w:szCs w:val="24"/>
          <w:highlight w:val="none"/>
        </w:rPr>
      </w:pPr>
      <w:r>
        <w:rPr>
          <w:rFonts w:hint="eastAsia" w:ascii="宋体" w:hAnsi="宋体" w:cs="宋体"/>
          <w:color w:val="auto"/>
          <w:spacing w:val="2"/>
          <w:kern w:val="0"/>
          <w:position w:val="2"/>
          <w:sz w:val="24"/>
          <w:szCs w:val="24"/>
          <w:highlight w:val="none"/>
        </w:rPr>
        <w:t xml:space="preserve">（18） </w:t>
      </w:r>
      <w:r>
        <w:rPr>
          <w:rFonts w:hint="eastAsia" w:ascii="宋体" w:hAnsi="宋体" w:cs="宋体"/>
          <w:color w:val="auto"/>
          <w:kern w:val="0"/>
          <w:sz w:val="24"/>
          <w:szCs w:val="24"/>
          <w:highlight w:val="none"/>
        </w:rPr>
        <w:t>对于承包人不遵守投标文件的承诺的行为发包人及工程师有权向承包人提出限期改正要求，承包人须在限期内执行。</w:t>
      </w:r>
    </w:p>
    <w:p>
      <w:pPr>
        <w:spacing w:before="62" w:beforeLines="20" w:line="400" w:lineRule="exact"/>
        <w:ind w:firstLine="488" w:firstLineChars="200"/>
        <w:rPr>
          <w:rFonts w:ascii="宋体" w:hAnsi="宋体" w:cs="宋体"/>
          <w:color w:val="auto"/>
          <w:sz w:val="24"/>
          <w:szCs w:val="24"/>
          <w:highlight w:val="none"/>
        </w:rPr>
      </w:pPr>
      <w:r>
        <w:rPr>
          <w:rFonts w:hint="eastAsia" w:ascii="宋体" w:hAnsi="宋体" w:cs="宋体"/>
          <w:color w:val="auto"/>
          <w:spacing w:val="2"/>
          <w:position w:val="2"/>
          <w:sz w:val="24"/>
          <w:szCs w:val="24"/>
          <w:highlight w:val="none"/>
        </w:rPr>
        <w:t>（1</w:t>
      </w:r>
      <w:r>
        <w:rPr>
          <w:rFonts w:hint="eastAsia" w:ascii="宋体" w:hAnsi="宋体" w:cs="宋体"/>
          <w:color w:val="auto"/>
          <w:spacing w:val="2"/>
          <w:position w:val="2"/>
          <w:highlight w:val="none"/>
        </w:rPr>
        <w:t>9</w:t>
      </w:r>
      <w:r>
        <w:rPr>
          <w:rFonts w:hint="eastAsia" w:ascii="宋体" w:hAnsi="宋体" w:cs="宋体"/>
          <w:color w:val="auto"/>
          <w:spacing w:val="2"/>
          <w:position w:val="2"/>
          <w:sz w:val="24"/>
          <w:szCs w:val="24"/>
          <w:highlight w:val="none"/>
        </w:rPr>
        <w:t xml:space="preserve">） </w:t>
      </w:r>
      <w:r>
        <w:rPr>
          <w:rFonts w:hint="eastAsia" w:ascii="宋体" w:hAnsi="宋体" w:cs="宋体"/>
          <w:color w:val="auto"/>
          <w:sz w:val="24"/>
          <w:szCs w:val="24"/>
          <w:highlight w:val="none"/>
        </w:rPr>
        <w:t>其他违约责任：除上述约定之外，承包人有违反其他合同文件或本合同组成文件义务的，均构成违约，应当承担违约责任。根据招标文件，本招标工程项目的履约担保为合同价款的10%，承包人未按合同履行任何义务，发包人有权兑付履约保函或扣除履约保证金作为违约金。保证期至终验通过为止。当工期延期，须延长履约担保的有效期，发包人在工程竣工验收合格、竣工结算、竣工资料移交后 30 天内将扣除违约金和赔偿后剩余的履约保证金无息退还承包人的。承包人未按发包人规定期限内提交竣工验收资料，发包人有权兑付履约保函或没收履约保证金、没收质保金并报相关建设主管部门。</w:t>
      </w:r>
    </w:p>
    <w:p>
      <w:pPr>
        <w:spacing w:before="62" w:beforeLines="20" w:line="400" w:lineRule="exact"/>
        <w:ind w:firstLine="488" w:firstLineChars="200"/>
        <w:rPr>
          <w:rFonts w:ascii="宋体" w:hAnsi="宋体" w:cs="宋体"/>
          <w:color w:val="auto"/>
          <w:sz w:val="24"/>
          <w:szCs w:val="24"/>
          <w:highlight w:val="none"/>
        </w:rPr>
      </w:pPr>
      <w:r>
        <w:rPr>
          <w:rFonts w:hint="eastAsia" w:ascii="宋体" w:hAnsi="宋体" w:cs="宋体"/>
          <w:color w:val="auto"/>
          <w:spacing w:val="2"/>
          <w:position w:val="2"/>
          <w:sz w:val="24"/>
          <w:szCs w:val="24"/>
          <w:highlight w:val="none"/>
        </w:rPr>
        <w:t xml:space="preserve">（20） </w:t>
      </w:r>
      <w:r>
        <w:rPr>
          <w:rFonts w:hint="eastAsia" w:ascii="宋体" w:hAnsi="宋体" w:cs="宋体"/>
          <w:color w:val="auto"/>
          <w:sz w:val="24"/>
          <w:szCs w:val="24"/>
          <w:highlight w:val="none"/>
        </w:rPr>
        <w:t>本合同条款中将部分合同或全部合同解除后，发包人有权按有关规定另行选择承包人。</w:t>
      </w:r>
    </w:p>
    <w:p>
      <w:pPr>
        <w:rPr>
          <w:rFonts w:ascii="宋体" w:hAnsi="宋体" w:cs="宋体"/>
          <w:color w:val="auto"/>
          <w:highlight w:val="none"/>
        </w:rPr>
      </w:pPr>
    </w:p>
    <w:p>
      <w:pPr>
        <w:rPr>
          <w:rFonts w:ascii="宋体" w:hAnsi="宋体" w:cs="宋体"/>
          <w:color w:val="auto"/>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924" w:name="_Toc31040"/>
      <w:bookmarkStart w:id="1925" w:name="_Toc22944"/>
      <w:bookmarkStart w:id="1926" w:name="_Toc9997"/>
      <w:bookmarkStart w:id="1927" w:name="_Toc2325"/>
      <w:bookmarkStart w:id="1928" w:name="_Toc13401"/>
      <w:bookmarkStart w:id="1929" w:name="_Toc920004915"/>
      <w:bookmarkStart w:id="1930" w:name="_Toc16926"/>
      <w:bookmarkStart w:id="1931" w:name="_Toc134476179"/>
      <w:r>
        <w:rPr>
          <w:rFonts w:hint="eastAsia" w:ascii="宋体" w:hAnsi="宋体" w:cs="宋体"/>
          <w:bCs/>
          <w:color w:val="auto"/>
          <w:sz w:val="24"/>
          <w:szCs w:val="24"/>
          <w:highlight w:val="none"/>
        </w:rPr>
        <w:t>91 发包人的违约责任</w:t>
      </w:r>
      <w:bookmarkEnd w:id="1924"/>
      <w:bookmarkEnd w:id="1925"/>
      <w:bookmarkEnd w:id="1926"/>
      <w:bookmarkEnd w:id="1927"/>
      <w:bookmarkEnd w:id="1928"/>
      <w:bookmarkEnd w:id="1929"/>
      <w:bookmarkEnd w:id="1930"/>
      <w:bookmarkEnd w:id="1931"/>
    </w:p>
    <w:p>
      <w:pPr>
        <w:adjustRightInd w:val="0"/>
        <w:snapToGrid w:val="0"/>
        <w:spacing w:line="360" w:lineRule="auto"/>
        <w:ind w:firstLine="117" w:firstLineChars="49"/>
        <w:rPr>
          <w:rFonts w:ascii="宋体" w:hAnsi="宋体" w:cs="宋体"/>
          <w:color w:val="auto"/>
          <w:kern w:val="0"/>
          <w:sz w:val="24"/>
          <w:szCs w:val="24"/>
          <w:highlight w:val="none"/>
        </w:rPr>
      </w:pPr>
      <w:r>
        <w:rPr>
          <w:rFonts w:hint="eastAsia" w:ascii="宋体" w:hAnsi="宋体" w:cs="宋体"/>
          <w:color w:val="auto"/>
          <w:kern w:val="0"/>
          <w:sz w:val="24"/>
          <w:szCs w:val="24"/>
          <w:highlight w:val="none"/>
        </w:rPr>
        <w:t>91.1 发包人不履行合同义务或不按合同约定履行义务时，承担违约责任，造成承包人工期延误的，经发包人同意后顺延延误的工期。</w:t>
      </w:r>
    </w:p>
    <w:p>
      <w:pPr>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932" w:name="_Toc988343809"/>
      <w:bookmarkStart w:id="1933" w:name="_Toc2494"/>
      <w:bookmarkStart w:id="1934" w:name="_Toc640348005"/>
      <w:bookmarkStart w:id="1935" w:name="_Toc14702"/>
      <w:bookmarkStart w:id="1936" w:name="_Toc26821"/>
      <w:bookmarkStart w:id="1937" w:name="_Toc17256"/>
      <w:bookmarkStart w:id="1938" w:name="_Toc10082"/>
      <w:bookmarkStart w:id="1939" w:name="_Toc469384136"/>
      <w:bookmarkStart w:id="1940" w:name="_Toc30587"/>
      <w:r>
        <w:rPr>
          <w:rFonts w:hint="eastAsia" w:ascii="宋体" w:hAnsi="宋体" w:cs="宋体"/>
          <w:bCs/>
          <w:color w:val="auto"/>
          <w:sz w:val="24"/>
          <w:szCs w:val="24"/>
          <w:highlight w:val="none"/>
        </w:rPr>
        <w:t>94. 保密要求</w:t>
      </w:r>
      <w:bookmarkEnd w:id="1932"/>
      <w:bookmarkEnd w:id="1933"/>
      <w:bookmarkEnd w:id="1934"/>
      <w:bookmarkEnd w:id="1935"/>
      <w:bookmarkEnd w:id="1936"/>
      <w:bookmarkEnd w:id="1937"/>
      <w:bookmarkEnd w:id="1938"/>
      <w:bookmarkEnd w:id="1939"/>
      <w:bookmarkEnd w:id="1940"/>
    </w:p>
    <w:p>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94.1 提供保密信息的期限：</w:t>
      </w:r>
      <w:r>
        <w:rPr>
          <w:rFonts w:hint="eastAsia" w:ascii="宋体" w:hAnsi="宋体" w:cs="宋体"/>
          <w:color w:val="auto"/>
          <w:kern w:val="0"/>
          <w:sz w:val="24"/>
          <w:szCs w:val="24"/>
          <w:highlight w:val="none"/>
          <w:u w:val="single"/>
        </w:rPr>
        <w:t>永久。</w:t>
      </w:r>
    </w:p>
    <w:p>
      <w:pPr>
        <w:rPr>
          <w:rFonts w:ascii="宋体" w:hAnsi="宋体" w:cs="宋体"/>
          <w:color w:val="auto"/>
          <w:kern w:val="0"/>
          <w:sz w:val="24"/>
          <w:szCs w:val="24"/>
          <w:highlight w:val="none"/>
        </w:rPr>
      </w:pPr>
    </w:p>
    <w:p>
      <w:pPr>
        <w:keepNext/>
        <w:keepLines/>
        <w:tabs>
          <w:tab w:val="left" w:pos="420"/>
        </w:tabs>
        <w:spacing w:before="120" w:after="120" w:line="415" w:lineRule="auto"/>
        <w:jc w:val="center"/>
        <w:outlineLvl w:val="1"/>
        <w:rPr>
          <w:rFonts w:ascii="宋体" w:hAnsi="宋体" w:cs="宋体"/>
          <w:bCs/>
          <w:color w:val="auto"/>
          <w:sz w:val="24"/>
          <w:szCs w:val="24"/>
          <w:highlight w:val="none"/>
        </w:rPr>
      </w:pPr>
      <w:bookmarkStart w:id="1941" w:name="_Toc15727"/>
      <w:bookmarkStart w:id="1942" w:name="_Toc1288364918"/>
      <w:bookmarkStart w:id="1943" w:name="_Toc308388318"/>
      <w:bookmarkStart w:id="1944" w:name="_Toc30702"/>
      <w:bookmarkStart w:id="1945" w:name="_Toc24813"/>
      <w:bookmarkStart w:id="1946" w:name="_Toc19589"/>
      <w:bookmarkStart w:id="1947" w:name="_Toc27324"/>
      <w:bookmarkStart w:id="1948" w:name="_Toc469384137"/>
      <w:bookmarkStart w:id="1949" w:name="_Toc5701"/>
      <w:r>
        <w:rPr>
          <w:rFonts w:hint="eastAsia" w:ascii="宋体" w:hAnsi="宋体" w:cs="宋体"/>
          <w:bCs/>
          <w:color w:val="auto"/>
          <w:sz w:val="24"/>
          <w:szCs w:val="24"/>
          <w:highlight w:val="none"/>
        </w:rPr>
        <w:t>97. 合同份数</w:t>
      </w:r>
      <w:bookmarkEnd w:id="1941"/>
      <w:bookmarkEnd w:id="1942"/>
      <w:bookmarkEnd w:id="1943"/>
      <w:bookmarkEnd w:id="1944"/>
      <w:bookmarkEnd w:id="1945"/>
      <w:bookmarkEnd w:id="1946"/>
      <w:bookmarkEnd w:id="1947"/>
      <w:bookmarkEnd w:id="1948"/>
      <w:bookmarkEnd w:id="1949"/>
    </w:p>
    <w:p>
      <w:pPr>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94.1 约定提供合同文件</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提供合同文本：</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按通用条款的规定，由发包人向承包人提供。</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□另有约定：</w:t>
      </w:r>
    </w:p>
    <w:p>
      <w:pPr>
        <w:spacing w:line="360" w:lineRule="auto"/>
        <w:rPr>
          <w:rFonts w:ascii="宋体" w:hAnsi="宋体" w:cs="宋体"/>
          <w:color w:val="auto"/>
          <w:kern w:val="0"/>
          <w:sz w:val="24"/>
          <w:szCs w:val="24"/>
          <w:highlight w:val="none"/>
        </w:rPr>
      </w:pP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94.2 正副本效力</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合同的份数：</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正本</w:t>
      </w:r>
      <w:r>
        <w:rPr>
          <w:rFonts w:hint="eastAsia" w:ascii="宋体" w:hAnsi="宋体" w:cs="宋体"/>
          <w:color w:val="auto"/>
          <w:kern w:val="0"/>
          <w:sz w:val="24"/>
          <w:szCs w:val="24"/>
          <w:highlight w:val="none"/>
          <w:u w:val="single"/>
        </w:rPr>
        <w:t>贰</w:t>
      </w:r>
      <w:r>
        <w:rPr>
          <w:rFonts w:hint="eastAsia" w:ascii="宋体" w:hAnsi="宋体" w:cs="宋体"/>
          <w:color w:val="auto"/>
          <w:kern w:val="0"/>
          <w:sz w:val="24"/>
          <w:szCs w:val="24"/>
          <w:highlight w:val="none"/>
        </w:rPr>
        <w:t>份，副本</w:t>
      </w:r>
      <w:r>
        <w:rPr>
          <w:rFonts w:hint="eastAsia" w:ascii="宋体" w:hAnsi="宋体" w:cs="宋体"/>
          <w:color w:val="auto"/>
          <w:kern w:val="0"/>
          <w:sz w:val="24"/>
          <w:szCs w:val="24"/>
          <w:highlight w:val="none"/>
          <w:u w:val="single"/>
        </w:rPr>
        <w:t>拾</w:t>
      </w:r>
      <w:r>
        <w:rPr>
          <w:rFonts w:hint="eastAsia" w:ascii="宋体" w:hAnsi="宋体" w:cs="宋体"/>
          <w:color w:val="auto"/>
          <w:kern w:val="0"/>
          <w:sz w:val="24"/>
          <w:szCs w:val="24"/>
          <w:highlight w:val="none"/>
        </w:rPr>
        <w:t>份。</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其中：发包人正本</w:t>
      </w:r>
      <w:r>
        <w:rPr>
          <w:rFonts w:hint="eastAsia" w:ascii="宋体" w:hAnsi="宋体" w:cs="宋体"/>
          <w:color w:val="auto"/>
          <w:kern w:val="0"/>
          <w:sz w:val="24"/>
          <w:szCs w:val="24"/>
          <w:highlight w:val="none"/>
          <w:u w:val="single"/>
        </w:rPr>
        <w:t>壹</w:t>
      </w:r>
      <w:r>
        <w:rPr>
          <w:rFonts w:hint="eastAsia" w:ascii="宋体" w:hAnsi="宋体" w:cs="宋体"/>
          <w:color w:val="auto"/>
          <w:kern w:val="0"/>
          <w:sz w:val="24"/>
          <w:szCs w:val="24"/>
          <w:highlight w:val="none"/>
        </w:rPr>
        <w:t>份，副本</w:t>
      </w:r>
      <w:r>
        <w:rPr>
          <w:rFonts w:hint="eastAsia" w:ascii="宋体" w:hAnsi="宋体" w:cs="宋体"/>
          <w:color w:val="auto"/>
          <w:kern w:val="0"/>
          <w:sz w:val="24"/>
          <w:szCs w:val="24"/>
          <w:highlight w:val="none"/>
          <w:u w:val="single"/>
        </w:rPr>
        <w:t>捌</w:t>
      </w:r>
      <w:r>
        <w:rPr>
          <w:rFonts w:hint="eastAsia" w:ascii="宋体" w:hAnsi="宋体" w:cs="宋体"/>
          <w:color w:val="auto"/>
          <w:kern w:val="0"/>
          <w:sz w:val="24"/>
          <w:szCs w:val="24"/>
          <w:highlight w:val="none"/>
        </w:rPr>
        <w:t>份；</w:t>
      </w:r>
    </w:p>
    <w:p>
      <w:pPr>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承包人正本</w:t>
      </w:r>
      <w:r>
        <w:rPr>
          <w:rFonts w:hint="eastAsia" w:ascii="宋体" w:hAnsi="宋体" w:cs="宋体"/>
          <w:color w:val="auto"/>
          <w:kern w:val="0"/>
          <w:sz w:val="24"/>
          <w:szCs w:val="24"/>
          <w:highlight w:val="none"/>
          <w:u w:val="single"/>
        </w:rPr>
        <w:t xml:space="preserve">壹 </w:t>
      </w:r>
      <w:r>
        <w:rPr>
          <w:rFonts w:hint="eastAsia" w:ascii="宋体" w:hAnsi="宋体" w:cs="宋体"/>
          <w:color w:val="auto"/>
          <w:kern w:val="0"/>
          <w:sz w:val="24"/>
          <w:szCs w:val="24"/>
          <w:highlight w:val="none"/>
        </w:rPr>
        <w:t>份，副本</w:t>
      </w:r>
      <w:r>
        <w:rPr>
          <w:rFonts w:hint="eastAsia" w:ascii="宋体" w:hAnsi="宋体" w:cs="宋体"/>
          <w:color w:val="auto"/>
          <w:kern w:val="0"/>
          <w:sz w:val="24"/>
          <w:szCs w:val="24"/>
          <w:highlight w:val="none"/>
          <w:u w:val="single"/>
        </w:rPr>
        <w:t>贰</w:t>
      </w:r>
      <w:r>
        <w:rPr>
          <w:rFonts w:hint="eastAsia" w:ascii="宋体" w:hAnsi="宋体" w:cs="宋体"/>
          <w:color w:val="auto"/>
          <w:kern w:val="0"/>
          <w:sz w:val="24"/>
          <w:szCs w:val="24"/>
          <w:highlight w:val="none"/>
        </w:rPr>
        <w:t>份。</w:t>
      </w:r>
    </w:p>
    <w:p>
      <w:pPr>
        <w:rPr>
          <w:rFonts w:ascii="宋体" w:hAnsi="宋体" w:cs="宋体"/>
          <w:color w:val="auto"/>
          <w:kern w:val="0"/>
          <w:sz w:val="24"/>
          <w:szCs w:val="24"/>
          <w:highlight w:val="none"/>
        </w:rPr>
      </w:pPr>
    </w:p>
    <w:p>
      <w:pPr>
        <w:rPr>
          <w:rFonts w:ascii="宋体" w:hAnsi="宋体" w:cs="宋体"/>
          <w:color w:val="auto"/>
          <w:kern w:val="0"/>
          <w:sz w:val="24"/>
          <w:szCs w:val="24"/>
          <w:highlight w:val="none"/>
        </w:rPr>
      </w:pPr>
    </w:p>
    <w:p>
      <w:pPr>
        <w:rPr>
          <w:rFonts w:ascii="宋体" w:hAnsi="宋体" w:cs="宋体"/>
          <w:color w:val="auto"/>
          <w:kern w:val="0"/>
          <w:sz w:val="24"/>
          <w:szCs w:val="24"/>
          <w:highlight w:val="none"/>
        </w:rPr>
      </w:pPr>
    </w:p>
    <w:p>
      <w:pPr>
        <w:rPr>
          <w:rFonts w:ascii="宋体" w:hAnsi="宋体" w:cs="宋体"/>
          <w:color w:val="auto"/>
          <w:kern w:val="0"/>
          <w:sz w:val="24"/>
          <w:szCs w:val="24"/>
          <w:highlight w:val="none"/>
        </w:rPr>
      </w:pPr>
    </w:p>
    <w:p>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br w:type="page"/>
      </w:r>
    </w:p>
    <w:p>
      <w:pPr>
        <w:rPr>
          <w:rFonts w:ascii="宋体" w:hAnsi="宋体" w:cs="宋体"/>
          <w:color w:val="auto"/>
          <w:kern w:val="0"/>
          <w:sz w:val="24"/>
          <w:szCs w:val="24"/>
          <w:highlight w:val="none"/>
        </w:rPr>
        <w:sectPr>
          <w:type w:val="continuous"/>
          <w:pgSz w:w="11906" w:h="16838"/>
          <w:pgMar w:top="1440" w:right="1800" w:bottom="1440" w:left="1800" w:header="851" w:footer="850" w:gutter="0"/>
          <w:pgNumType w:fmt="decimal"/>
          <w:cols w:space="720" w:num="1"/>
          <w:docGrid w:type="lines" w:linePitch="312" w:charSpace="0"/>
        </w:sectPr>
      </w:pPr>
    </w:p>
    <w:p>
      <w:pPr>
        <w:rPr>
          <w:rFonts w:ascii="宋体" w:hAnsi="宋体" w:cs="宋体"/>
          <w:color w:val="auto"/>
          <w:highlight w:val="none"/>
        </w:rPr>
      </w:pPr>
    </w:p>
    <w:p>
      <w:pPr>
        <w:keepNext/>
        <w:keepLines/>
        <w:widowControl/>
        <w:tabs>
          <w:tab w:val="left" w:pos="420"/>
        </w:tabs>
        <w:spacing w:before="340" w:after="330"/>
        <w:jc w:val="center"/>
        <w:outlineLvl w:val="0"/>
        <w:rPr>
          <w:rFonts w:ascii="宋体" w:hAnsi="宋体" w:cs="宋体"/>
          <w:b/>
          <w:bCs/>
          <w:color w:val="auto"/>
          <w:kern w:val="0"/>
          <w:sz w:val="36"/>
          <w:szCs w:val="36"/>
          <w:highlight w:val="none"/>
        </w:rPr>
      </w:pPr>
      <w:bookmarkStart w:id="1950" w:name="_Toc11741"/>
      <w:bookmarkStart w:id="1951" w:name="_Toc25146"/>
      <w:bookmarkStart w:id="1952" w:name="_Toc3351"/>
      <w:bookmarkStart w:id="1953" w:name="_Toc469384138"/>
      <w:bookmarkStart w:id="1954" w:name="_Toc11597"/>
      <w:bookmarkStart w:id="1955" w:name="_Toc1204420415"/>
      <w:bookmarkStart w:id="1956" w:name="_Toc266892922"/>
      <w:bookmarkStart w:id="1957" w:name="_Toc471564125"/>
      <w:bookmarkStart w:id="1958" w:name="_Toc7349"/>
      <w:bookmarkStart w:id="1959" w:name="_Toc11511"/>
      <w:r>
        <w:rPr>
          <w:rFonts w:hint="eastAsia" w:ascii="宋体" w:hAnsi="宋体" w:cs="宋体"/>
          <w:b/>
          <w:bCs/>
          <w:color w:val="auto"/>
          <w:kern w:val="0"/>
          <w:sz w:val="36"/>
          <w:szCs w:val="36"/>
          <w:highlight w:val="none"/>
        </w:rPr>
        <w:t>第四部分附件与格式</w:t>
      </w:r>
      <w:bookmarkEnd w:id="1950"/>
      <w:bookmarkEnd w:id="1951"/>
      <w:bookmarkEnd w:id="1952"/>
      <w:bookmarkEnd w:id="1953"/>
      <w:bookmarkEnd w:id="1954"/>
      <w:bookmarkEnd w:id="1955"/>
      <w:bookmarkEnd w:id="1956"/>
      <w:bookmarkEnd w:id="1957"/>
      <w:bookmarkEnd w:id="1958"/>
      <w:bookmarkEnd w:id="1959"/>
    </w:p>
    <w:p>
      <w:pPr>
        <w:spacing w:line="360" w:lineRule="auto"/>
        <w:ind w:firstLine="361" w:firstLineChars="150"/>
        <w:outlineLvl w:val="1"/>
        <w:rPr>
          <w:rFonts w:ascii="宋体" w:hAnsi="宋体" w:cs="宋体"/>
          <w:b/>
          <w:bCs/>
          <w:color w:val="auto"/>
          <w:sz w:val="24"/>
          <w:szCs w:val="24"/>
          <w:highlight w:val="none"/>
        </w:rPr>
        <w:sectPr>
          <w:endnotePr>
            <w:numFmt w:val="decimal"/>
          </w:endnotePr>
          <w:type w:val="continuous"/>
          <w:pgSz w:w="11906" w:h="16838"/>
          <w:pgMar w:top="1440" w:right="1800" w:bottom="1440" w:left="1800" w:header="0" w:footer="0" w:gutter="0"/>
          <w:pgNumType w:fmt="decimal"/>
          <w:cols w:space="720" w:num="1"/>
          <w:docGrid w:linePitch="286" w:charSpace="0"/>
        </w:sectPr>
      </w:pPr>
      <w:bookmarkStart w:id="1960" w:name="_Toc469384140"/>
      <w:bookmarkStart w:id="1961" w:name="_Toc266892924"/>
    </w:p>
    <w:p>
      <w:pPr>
        <w:spacing w:line="360" w:lineRule="auto"/>
        <w:ind w:firstLine="361" w:firstLineChars="150"/>
        <w:outlineLvl w:val="1"/>
        <w:rPr>
          <w:rFonts w:ascii="宋体" w:hAnsi="宋体" w:cs="宋体"/>
          <w:b/>
          <w:bCs/>
          <w:color w:val="auto"/>
          <w:sz w:val="30"/>
          <w:szCs w:val="30"/>
          <w:highlight w:val="none"/>
        </w:rPr>
      </w:pPr>
      <w:bookmarkStart w:id="1962" w:name="_Toc3842"/>
      <w:bookmarkStart w:id="1963" w:name="_Toc4124"/>
      <w:bookmarkStart w:id="1964" w:name="_Toc1363591445"/>
      <w:bookmarkStart w:id="1965" w:name="_Toc29393"/>
      <w:bookmarkStart w:id="1966" w:name="_Toc513058283"/>
      <w:bookmarkStart w:id="1967" w:name="_Toc24257"/>
      <w:bookmarkStart w:id="1968" w:name="_Toc20529"/>
      <w:bookmarkStart w:id="1969" w:name="_Toc26857"/>
      <w:r>
        <w:rPr>
          <w:rFonts w:hint="eastAsia" w:ascii="宋体" w:hAnsi="宋体" w:cs="宋体"/>
          <w:b/>
          <w:bCs/>
          <w:color w:val="auto"/>
          <w:sz w:val="24"/>
          <w:szCs w:val="24"/>
          <w:highlight w:val="none"/>
        </w:rPr>
        <w:t>附件</w:t>
      </w:r>
      <w:bookmarkEnd w:id="1960"/>
      <w:bookmarkEnd w:id="1961"/>
      <w:r>
        <w:rPr>
          <w:rFonts w:hint="eastAsia" w:ascii="宋体" w:hAnsi="宋体" w:cs="宋体"/>
          <w:b/>
          <w:bCs/>
          <w:color w:val="auto"/>
          <w:sz w:val="24"/>
          <w:szCs w:val="24"/>
          <w:highlight w:val="none"/>
        </w:rPr>
        <w:t>1：</w:t>
      </w:r>
      <w:bookmarkEnd w:id="1962"/>
      <w:bookmarkEnd w:id="1963"/>
      <w:bookmarkEnd w:id="1964"/>
      <w:bookmarkEnd w:id="1965"/>
      <w:bookmarkEnd w:id="1966"/>
      <w:bookmarkEnd w:id="1967"/>
      <w:bookmarkEnd w:id="1968"/>
      <w:bookmarkEnd w:id="1969"/>
    </w:p>
    <w:p>
      <w:pPr>
        <w:spacing w:line="360" w:lineRule="auto"/>
        <w:jc w:val="center"/>
        <w:rPr>
          <w:rFonts w:ascii="宋体" w:hAnsi="宋体" w:cs="宋体"/>
          <w:b/>
          <w:bCs/>
          <w:color w:val="auto"/>
          <w:spacing w:val="32"/>
          <w:kern w:val="36"/>
          <w:sz w:val="36"/>
          <w:szCs w:val="36"/>
          <w:highlight w:val="none"/>
        </w:rPr>
      </w:pPr>
      <w:bookmarkStart w:id="1970" w:name="OLE_LINK10"/>
      <w:r>
        <w:rPr>
          <w:rFonts w:hint="eastAsia" w:ascii="宋体" w:hAnsi="宋体" w:cs="宋体"/>
          <w:b/>
          <w:bCs/>
          <w:color w:val="auto"/>
          <w:spacing w:val="32"/>
          <w:kern w:val="36"/>
          <w:sz w:val="36"/>
          <w:szCs w:val="36"/>
          <w:highlight w:val="none"/>
        </w:rPr>
        <w:t>发包人供应材料</w:t>
      </w:r>
      <w:bookmarkEnd w:id="1970"/>
      <w:r>
        <w:rPr>
          <w:rFonts w:hint="eastAsia" w:ascii="宋体" w:hAnsi="宋体" w:cs="宋体"/>
          <w:b/>
          <w:bCs/>
          <w:color w:val="auto"/>
          <w:spacing w:val="32"/>
          <w:kern w:val="36"/>
          <w:sz w:val="36"/>
          <w:szCs w:val="36"/>
          <w:highlight w:val="none"/>
        </w:rPr>
        <w:t>设备一览表</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工程名称：工程编号：</w:t>
      </w:r>
    </w:p>
    <w:tbl>
      <w:tblPr>
        <w:tblStyle w:val="38"/>
        <w:tblW w:w="13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205"/>
        <w:gridCol w:w="2266"/>
        <w:gridCol w:w="1197"/>
        <w:gridCol w:w="1507"/>
        <w:gridCol w:w="753"/>
        <w:gridCol w:w="603"/>
        <w:gridCol w:w="1356"/>
        <w:gridCol w:w="1297"/>
        <w:gridCol w:w="1262"/>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34"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1205" w:type="dxa"/>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编码</w:t>
            </w:r>
          </w:p>
        </w:tc>
        <w:tc>
          <w:tcPr>
            <w:tcW w:w="2266"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材料设备名称</w:t>
            </w:r>
          </w:p>
        </w:tc>
        <w:tc>
          <w:tcPr>
            <w:tcW w:w="1197"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规格</w:t>
            </w:r>
          </w:p>
        </w:tc>
        <w:tc>
          <w:tcPr>
            <w:tcW w:w="1507"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生产厂家</w:t>
            </w:r>
          </w:p>
        </w:tc>
        <w:tc>
          <w:tcPr>
            <w:tcW w:w="753"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单位</w:t>
            </w:r>
          </w:p>
        </w:tc>
        <w:tc>
          <w:tcPr>
            <w:tcW w:w="603"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数量</w:t>
            </w:r>
          </w:p>
        </w:tc>
        <w:tc>
          <w:tcPr>
            <w:tcW w:w="1356"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单价（元）</w:t>
            </w:r>
          </w:p>
        </w:tc>
        <w:tc>
          <w:tcPr>
            <w:tcW w:w="1297"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总价（元）</w:t>
            </w:r>
          </w:p>
        </w:tc>
        <w:tc>
          <w:tcPr>
            <w:tcW w:w="1262"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投产日期</w:t>
            </w:r>
          </w:p>
        </w:tc>
        <w:tc>
          <w:tcPr>
            <w:tcW w:w="1074"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4" w:type="dxa"/>
            <w:noWrap w:val="0"/>
            <w:vAlign w:val="center"/>
          </w:tcPr>
          <w:p>
            <w:pPr>
              <w:spacing w:line="360" w:lineRule="auto"/>
              <w:jc w:val="center"/>
              <w:rPr>
                <w:rFonts w:ascii="宋体" w:hAnsi="宋体" w:cs="宋体"/>
                <w:color w:val="auto"/>
                <w:highlight w:val="none"/>
              </w:rPr>
            </w:pPr>
          </w:p>
        </w:tc>
        <w:tc>
          <w:tcPr>
            <w:tcW w:w="1205" w:type="dxa"/>
            <w:noWrap w:val="0"/>
            <w:vAlign w:val="top"/>
          </w:tcPr>
          <w:p>
            <w:pPr>
              <w:spacing w:line="360" w:lineRule="auto"/>
              <w:jc w:val="center"/>
              <w:rPr>
                <w:rFonts w:ascii="宋体" w:hAnsi="宋体" w:cs="宋体"/>
                <w:color w:val="auto"/>
                <w:highlight w:val="none"/>
              </w:rPr>
            </w:pPr>
          </w:p>
        </w:tc>
        <w:tc>
          <w:tcPr>
            <w:tcW w:w="2266" w:type="dxa"/>
            <w:noWrap w:val="0"/>
            <w:vAlign w:val="center"/>
          </w:tcPr>
          <w:p>
            <w:pPr>
              <w:spacing w:line="360" w:lineRule="auto"/>
              <w:jc w:val="center"/>
              <w:rPr>
                <w:rFonts w:ascii="宋体" w:hAnsi="宋体" w:cs="宋体"/>
                <w:color w:val="auto"/>
                <w:highlight w:val="none"/>
              </w:rPr>
            </w:pPr>
          </w:p>
        </w:tc>
        <w:tc>
          <w:tcPr>
            <w:tcW w:w="1197" w:type="dxa"/>
            <w:noWrap w:val="0"/>
            <w:vAlign w:val="center"/>
          </w:tcPr>
          <w:p>
            <w:pPr>
              <w:spacing w:line="360" w:lineRule="auto"/>
              <w:jc w:val="center"/>
              <w:rPr>
                <w:rFonts w:ascii="宋体" w:hAnsi="宋体" w:cs="宋体"/>
                <w:color w:val="auto"/>
                <w:highlight w:val="none"/>
              </w:rPr>
            </w:pPr>
          </w:p>
        </w:tc>
        <w:tc>
          <w:tcPr>
            <w:tcW w:w="1507" w:type="dxa"/>
            <w:noWrap w:val="0"/>
            <w:vAlign w:val="center"/>
          </w:tcPr>
          <w:p>
            <w:pPr>
              <w:spacing w:line="360" w:lineRule="auto"/>
              <w:jc w:val="center"/>
              <w:rPr>
                <w:rFonts w:ascii="宋体" w:hAnsi="宋体" w:cs="宋体"/>
                <w:color w:val="auto"/>
                <w:highlight w:val="none"/>
              </w:rPr>
            </w:pPr>
          </w:p>
        </w:tc>
        <w:tc>
          <w:tcPr>
            <w:tcW w:w="753" w:type="dxa"/>
            <w:noWrap w:val="0"/>
            <w:vAlign w:val="center"/>
          </w:tcPr>
          <w:p>
            <w:pPr>
              <w:spacing w:line="360" w:lineRule="auto"/>
              <w:jc w:val="center"/>
              <w:rPr>
                <w:rFonts w:ascii="宋体" w:hAnsi="宋体" w:cs="宋体"/>
                <w:color w:val="auto"/>
                <w:highlight w:val="none"/>
              </w:rPr>
            </w:pPr>
          </w:p>
        </w:tc>
        <w:tc>
          <w:tcPr>
            <w:tcW w:w="603" w:type="dxa"/>
            <w:noWrap w:val="0"/>
            <w:vAlign w:val="center"/>
          </w:tcPr>
          <w:p>
            <w:pPr>
              <w:spacing w:line="360" w:lineRule="auto"/>
              <w:jc w:val="center"/>
              <w:rPr>
                <w:rFonts w:ascii="宋体" w:hAnsi="宋体" w:cs="宋体"/>
                <w:color w:val="auto"/>
                <w:highlight w:val="none"/>
              </w:rPr>
            </w:pPr>
          </w:p>
        </w:tc>
        <w:tc>
          <w:tcPr>
            <w:tcW w:w="1356" w:type="dxa"/>
            <w:noWrap w:val="0"/>
            <w:vAlign w:val="center"/>
          </w:tcPr>
          <w:p>
            <w:pPr>
              <w:spacing w:line="360" w:lineRule="auto"/>
              <w:jc w:val="center"/>
              <w:rPr>
                <w:rFonts w:ascii="宋体" w:hAnsi="宋体" w:cs="宋体"/>
                <w:color w:val="auto"/>
                <w:highlight w:val="none"/>
              </w:rPr>
            </w:pPr>
          </w:p>
        </w:tc>
        <w:tc>
          <w:tcPr>
            <w:tcW w:w="1297" w:type="dxa"/>
            <w:noWrap w:val="0"/>
            <w:vAlign w:val="center"/>
          </w:tcPr>
          <w:p>
            <w:pPr>
              <w:spacing w:line="360" w:lineRule="auto"/>
              <w:jc w:val="center"/>
              <w:rPr>
                <w:rFonts w:ascii="宋体" w:hAnsi="宋体" w:cs="宋体"/>
                <w:color w:val="auto"/>
                <w:highlight w:val="none"/>
              </w:rPr>
            </w:pPr>
          </w:p>
        </w:tc>
        <w:tc>
          <w:tcPr>
            <w:tcW w:w="1262" w:type="dxa"/>
            <w:noWrap w:val="0"/>
            <w:vAlign w:val="center"/>
          </w:tcPr>
          <w:p>
            <w:pPr>
              <w:spacing w:line="360" w:lineRule="auto"/>
              <w:jc w:val="center"/>
              <w:rPr>
                <w:rFonts w:ascii="宋体" w:hAnsi="宋体" w:cs="宋体"/>
                <w:color w:val="auto"/>
                <w:highlight w:val="none"/>
              </w:rPr>
            </w:pPr>
          </w:p>
        </w:tc>
        <w:tc>
          <w:tcPr>
            <w:tcW w:w="1074" w:type="dxa"/>
            <w:noWrap w:val="0"/>
            <w:vAlign w:val="center"/>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4" w:type="dxa"/>
            <w:noWrap w:val="0"/>
            <w:vAlign w:val="center"/>
          </w:tcPr>
          <w:p>
            <w:pPr>
              <w:spacing w:line="360" w:lineRule="auto"/>
              <w:jc w:val="center"/>
              <w:rPr>
                <w:rFonts w:ascii="宋体" w:hAnsi="宋体" w:cs="宋体"/>
                <w:color w:val="auto"/>
                <w:highlight w:val="none"/>
              </w:rPr>
            </w:pPr>
          </w:p>
        </w:tc>
        <w:tc>
          <w:tcPr>
            <w:tcW w:w="1205" w:type="dxa"/>
            <w:noWrap w:val="0"/>
            <w:vAlign w:val="top"/>
          </w:tcPr>
          <w:p>
            <w:pPr>
              <w:spacing w:line="360" w:lineRule="auto"/>
              <w:jc w:val="center"/>
              <w:rPr>
                <w:rFonts w:ascii="宋体" w:hAnsi="宋体" w:cs="宋体"/>
                <w:color w:val="auto"/>
                <w:highlight w:val="none"/>
              </w:rPr>
            </w:pPr>
          </w:p>
        </w:tc>
        <w:tc>
          <w:tcPr>
            <w:tcW w:w="2266" w:type="dxa"/>
            <w:noWrap w:val="0"/>
            <w:vAlign w:val="center"/>
          </w:tcPr>
          <w:p>
            <w:pPr>
              <w:spacing w:line="360" w:lineRule="auto"/>
              <w:jc w:val="center"/>
              <w:rPr>
                <w:rFonts w:ascii="宋体" w:hAnsi="宋体" w:cs="宋体"/>
                <w:color w:val="auto"/>
                <w:highlight w:val="none"/>
              </w:rPr>
            </w:pPr>
          </w:p>
        </w:tc>
        <w:tc>
          <w:tcPr>
            <w:tcW w:w="1197" w:type="dxa"/>
            <w:noWrap w:val="0"/>
            <w:vAlign w:val="center"/>
          </w:tcPr>
          <w:p>
            <w:pPr>
              <w:spacing w:line="360" w:lineRule="auto"/>
              <w:jc w:val="center"/>
              <w:rPr>
                <w:rFonts w:ascii="宋体" w:hAnsi="宋体" w:cs="宋体"/>
                <w:color w:val="auto"/>
                <w:highlight w:val="none"/>
              </w:rPr>
            </w:pPr>
          </w:p>
        </w:tc>
        <w:tc>
          <w:tcPr>
            <w:tcW w:w="1507" w:type="dxa"/>
            <w:noWrap w:val="0"/>
            <w:vAlign w:val="center"/>
          </w:tcPr>
          <w:p>
            <w:pPr>
              <w:spacing w:line="360" w:lineRule="auto"/>
              <w:jc w:val="center"/>
              <w:rPr>
                <w:rFonts w:ascii="宋体" w:hAnsi="宋体" w:cs="宋体"/>
                <w:color w:val="auto"/>
                <w:highlight w:val="none"/>
              </w:rPr>
            </w:pPr>
          </w:p>
        </w:tc>
        <w:tc>
          <w:tcPr>
            <w:tcW w:w="753" w:type="dxa"/>
            <w:noWrap w:val="0"/>
            <w:vAlign w:val="center"/>
          </w:tcPr>
          <w:p>
            <w:pPr>
              <w:spacing w:line="360" w:lineRule="auto"/>
              <w:jc w:val="center"/>
              <w:rPr>
                <w:rFonts w:ascii="宋体" w:hAnsi="宋体" w:cs="宋体"/>
                <w:color w:val="auto"/>
                <w:highlight w:val="none"/>
              </w:rPr>
            </w:pPr>
          </w:p>
        </w:tc>
        <w:tc>
          <w:tcPr>
            <w:tcW w:w="603" w:type="dxa"/>
            <w:noWrap w:val="0"/>
            <w:vAlign w:val="center"/>
          </w:tcPr>
          <w:p>
            <w:pPr>
              <w:spacing w:line="360" w:lineRule="auto"/>
              <w:jc w:val="center"/>
              <w:rPr>
                <w:rFonts w:ascii="宋体" w:hAnsi="宋体" w:cs="宋体"/>
                <w:color w:val="auto"/>
                <w:highlight w:val="none"/>
              </w:rPr>
            </w:pPr>
          </w:p>
        </w:tc>
        <w:tc>
          <w:tcPr>
            <w:tcW w:w="1356" w:type="dxa"/>
            <w:noWrap w:val="0"/>
            <w:vAlign w:val="center"/>
          </w:tcPr>
          <w:p>
            <w:pPr>
              <w:spacing w:line="360" w:lineRule="auto"/>
              <w:jc w:val="center"/>
              <w:rPr>
                <w:rFonts w:ascii="宋体" w:hAnsi="宋体" w:cs="宋体"/>
                <w:color w:val="auto"/>
                <w:highlight w:val="none"/>
              </w:rPr>
            </w:pPr>
          </w:p>
        </w:tc>
        <w:tc>
          <w:tcPr>
            <w:tcW w:w="1297" w:type="dxa"/>
            <w:noWrap w:val="0"/>
            <w:vAlign w:val="center"/>
          </w:tcPr>
          <w:p>
            <w:pPr>
              <w:spacing w:line="360" w:lineRule="auto"/>
              <w:jc w:val="center"/>
              <w:rPr>
                <w:rFonts w:ascii="宋体" w:hAnsi="宋体" w:cs="宋体"/>
                <w:color w:val="auto"/>
                <w:highlight w:val="none"/>
              </w:rPr>
            </w:pPr>
          </w:p>
        </w:tc>
        <w:tc>
          <w:tcPr>
            <w:tcW w:w="1262" w:type="dxa"/>
            <w:noWrap w:val="0"/>
            <w:vAlign w:val="center"/>
          </w:tcPr>
          <w:p>
            <w:pPr>
              <w:spacing w:line="360" w:lineRule="auto"/>
              <w:jc w:val="center"/>
              <w:rPr>
                <w:rFonts w:ascii="宋体" w:hAnsi="宋体" w:cs="宋体"/>
                <w:color w:val="auto"/>
                <w:highlight w:val="none"/>
              </w:rPr>
            </w:pPr>
          </w:p>
        </w:tc>
        <w:tc>
          <w:tcPr>
            <w:tcW w:w="1074" w:type="dxa"/>
            <w:noWrap w:val="0"/>
            <w:vAlign w:val="center"/>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4" w:type="dxa"/>
            <w:noWrap w:val="0"/>
            <w:vAlign w:val="center"/>
          </w:tcPr>
          <w:p>
            <w:pPr>
              <w:spacing w:line="360" w:lineRule="auto"/>
              <w:jc w:val="center"/>
              <w:rPr>
                <w:rFonts w:ascii="宋体" w:hAnsi="宋体" w:cs="宋体"/>
                <w:color w:val="auto"/>
                <w:highlight w:val="none"/>
              </w:rPr>
            </w:pPr>
          </w:p>
        </w:tc>
        <w:tc>
          <w:tcPr>
            <w:tcW w:w="1205" w:type="dxa"/>
            <w:noWrap w:val="0"/>
            <w:vAlign w:val="top"/>
          </w:tcPr>
          <w:p>
            <w:pPr>
              <w:spacing w:line="360" w:lineRule="auto"/>
              <w:jc w:val="center"/>
              <w:rPr>
                <w:rFonts w:ascii="宋体" w:hAnsi="宋体" w:cs="宋体"/>
                <w:color w:val="auto"/>
                <w:highlight w:val="none"/>
              </w:rPr>
            </w:pPr>
          </w:p>
        </w:tc>
        <w:tc>
          <w:tcPr>
            <w:tcW w:w="2266" w:type="dxa"/>
            <w:noWrap w:val="0"/>
            <w:vAlign w:val="center"/>
          </w:tcPr>
          <w:p>
            <w:pPr>
              <w:spacing w:line="360" w:lineRule="auto"/>
              <w:jc w:val="center"/>
              <w:rPr>
                <w:rFonts w:ascii="宋体" w:hAnsi="宋体" w:cs="宋体"/>
                <w:color w:val="auto"/>
                <w:highlight w:val="none"/>
              </w:rPr>
            </w:pPr>
          </w:p>
        </w:tc>
        <w:tc>
          <w:tcPr>
            <w:tcW w:w="1197" w:type="dxa"/>
            <w:noWrap w:val="0"/>
            <w:vAlign w:val="center"/>
          </w:tcPr>
          <w:p>
            <w:pPr>
              <w:spacing w:line="360" w:lineRule="auto"/>
              <w:jc w:val="center"/>
              <w:rPr>
                <w:rFonts w:ascii="宋体" w:hAnsi="宋体" w:cs="宋体"/>
                <w:color w:val="auto"/>
                <w:highlight w:val="none"/>
              </w:rPr>
            </w:pPr>
          </w:p>
        </w:tc>
        <w:tc>
          <w:tcPr>
            <w:tcW w:w="1507" w:type="dxa"/>
            <w:noWrap w:val="0"/>
            <w:vAlign w:val="center"/>
          </w:tcPr>
          <w:p>
            <w:pPr>
              <w:spacing w:line="360" w:lineRule="auto"/>
              <w:jc w:val="center"/>
              <w:rPr>
                <w:rFonts w:ascii="宋体" w:hAnsi="宋体" w:cs="宋体"/>
                <w:color w:val="auto"/>
                <w:highlight w:val="none"/>
              </w:rPr>
            </w:pPr>
          </w:p>
        </w:tc>
        <w:tc>
          <w:tcPr>
            <w:tcW w:w="753" w:type="dxa"/>
            <w:noWrap w:val="0"/>
            <w:vAlign w:val="center"/>
          </w:tcPr>
          <w:p>
            <w:pPr>
              <w:spacing w:line="360" w:lineRule="auto"/>
              <w:jc w:val="center"/>
              <w:rPr>
                <w:rFonts w:ascii="宋体" w:hAnsi="宋体" w:cs="宋体"/>
                <w:color w:val="auto"/>
                <w:highlight w:val="none"/>
              </w:rPr>
            </w:pPr>
          </w:p>
        </w:tc>
        <w:tc>
          <w:tcPr>
            <w:tcW w:w="603" w:type="dxa"/>
            <w:noWrap w:val="0"/>
            <w:vAlign w:val="center"/>
          </w:tcPr>
          <w:p>
            <w:pPr>
              <w:spacing w:line="360" w:lineRule="auto"/>
              <w:jc w:val="center"/>
              <w:rPr>
                <w:rFonts w:ascii="宋体" w:hAnsi="宋体" w:cs="宋体"/>
                <w:color w:val="auto"/>
                <w:highlight w:val="none"/>
              </w:rPr>
            </w:pPr>
          </w:p>
        </w:tc>
        <w:tc>
          <w:tcPr>
            <w:tcW w:w="1356" w:type="dxa"/>
            <w:noWrap w:val="0"/>
            <w:vAlign w:val="center"/>
          </w:tcPr>
          <w:p>
            <w:pPr>
              <w:spacing w:line="360" w:lineRule="auto"/>
              <w:jc w:val="center"/>
              <w:rPr>
                <w:rFonts w:ascii="宋体" w:hAnsi="宋体" w:cs="宋体"/>
                <w:color w:val="auto"/>
                <w:highlight w:val="none"/>
              </w:rPr>
            </w:pPr>
          </w:p>
        </w:tc>
        <w:tc>
          <w:tcPr>
            <w:tcW w:w="1297" w:type="dxa"/>
            <w:noWrap w:val="0"/>
            <w:vAlign w:val="center"/>
          </w:tcPr>
          <w:p>
            <w:pPr>
              <w:spacing w:line="360" w:lineRule="auto"/>
              <w:jc w:val="center"/>
              <w:rPr>
                <w:rFonts w:ascii="宋体" w:hAnsi="宋体" w:cs="宋体"/>
                <w:color w:val="auto"/>
                <w:highlight w:val="none"/>
              </w:rPr>
            </w:pPr>
          </w:p>
        </w:tc>
        <w:tc>
          <w:tcPr>
            <w:tcW w:w="1262" w:type="dxa"/>
            <w:noWrap w:val="0"/>
            <w:vAlign w:val="center"/>
          </w:tcPr>
          <w:p>
            <w:pPr>
              <w:spacing w:line="360" w:lineRule="auto"/>
              <w:jc w:val="center"/>
              <w:rPr>
                <w:rFonts w:ascii="宋体" w:hAnsi="宋体" w:cs="宋体"/>
                <w:color w:val="auto"/>
                <w:highlight w:val="none"/>
              </w:rPr>
            </w:pPr>
          </w:p>
        </w:tc>
        <w:tc>
          <w:tcPr>
            <w:tcW w:w="1074" w:type="dxa"/>
            <w:noWrap w:val="0"/>
            <w:vAlign w:val="center"/>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4" w:type="dxa"/>
            <w:noWrap w:val="0"/>
            <w:vAlign w:val="center"/>
          </w:tcPr>
          <w:p>
            <w:pPr>
              <w:spacing w:line="360" w:lineRule="auto"/>
              <w:jc w:val="center"/>
              <w:rPr>
                <w:rFonts w:ascii="宋体" w:hAnsi="宋体" w:cs="宋体"/>
                <w:color w:val="auto"/>
                <w:highlight w:val="none"/>
              </w:rPr>
            </w:pPr>
          </w:p>
        </w:tc>
        <w:tc>
          <w:tcPr>
            <w:tcW w:w="1205" w:type="dxa"/>
            <w:noWrap w:val="0"/>
            <w:vAlign w:val="top"/>
          </w:tcPr>
          <w:p>
            <w:pPr>
              <w:spacing w:line="360" w:lineRule="auto"/>
              <w:jc w:val="center"/>
              <w:rPr>
                <w:rFonts w:ascii="宋体" w:hAnsi="宋体" w:cs="宋体"/>
                <w:color w:val="auto"/>
                <w:highlight w:val="none"/>
              </w:rPr>
            </w:pPr>
          </w:p>
        </w:tc>
        <w:tc>
          <w:tcPr>
            <w:tcW w:w="2266" w:type="dxa"/>
            <w:noWrap w:val="0"/>
            <w:vAlign w:val="center"/>
          </w:tcPr>
          <w:p>
            <w:pPr>
              <w:spacing w:line="360" w:lineRule="auto"/>
              <w:jc w:val="center"/>
              <w:rPr>
                <w:rFonts w:ascii="宋体" w:hAnsi="宋体" w:cs="宋体"/>
                <w:color w:val="auto"/>
                <w:highlight w:val="none"/>
              </w:rPr>
            </w:pPr>
          </w:p>
        </w:tc>
        <w:tc>
          <w:tcPr>
            <w:tcW w:w="1197" w:type="dxa"/>
            <w:noWrap w:val="0"/>
            <w:vAlign w:val="center"/>
          </w:tcPr>
          <w:p>
            <w:pPr>
              <w:spacing w:line="360" w:lineRule="auto"/>
              <w:jc w:val="center"/>
              <w:rPr>
                <w:rFonts w:ascii="宋体" w:hAnsi="宋体" w:cs="宋体"/>
                <w:color w:val="auto"/>
                <w:highlight w:val="none"/>
              </w:rPr>
            </w:pPr>
          </w:p>
        </w:tc>
        <w:tc>
          <w:tcPr>
            <w:tcW w:w="1507" w:type="dxa"/>
            <w:noWrap w:val="0"/>
            <w:vAlign w:val="center"/>
          </w:tcPr>
          <w:p>
            <w:pPr>
              <w:spacing w:line="360" w:lineRule="auto"/>
              <w:jc w:val="center"/>
              <w:rPr>
                <w:rFonts w:ascii="宋体" w:hAnsi="宋体" w:cs="宋体"/>
                <w:color w:val="auto"/>
                <w:highlight w:val="none"/>
              </w:rPr>
            </w:pPr>
          </w:p>
        </w:tc>
        <w:tc>
          <w:tcPr>
            <w:tcW w:w="753" w:type="dxa"/>
            <w:noWrap w:val="0"/>
            <w:vAlign w:val="center"/>
          </w:tcPr>
          <w:p>
            <w:pPr>
              <w:spacing w:line="360" w:lineRule="auto"/>
              <w:jc w:val="center"/>
              <w:rPr>
                <w:rFonts w:ascii="宋体" w:hAnsi="宋体" w:cs="宋体"/>
                <w:color w:val="auto"/>
                <w:highlight w:val="none"/>
              </w:rPr>
            </w:pPr>
          </w:p>
        </w:tc>
        <w:tc>
          <w:tcPr>
            <w:tcW w:w="603" w:type="dxa"/>
            <w:noWrap w:val="0"/>
            <w:vAlign w:val="center"/>
          </w:tcPr>
          <w:p>
            <w:pPr>
              <w:spacing w:line="360" w:lineRule="auto"/>
              <w:jc w:val="center"/>
              <w:rPr>
                <w:rFonts w:ascii="宋体" w:hAnsi="宋体" w:cs="宋体"/>
                <w:color w:val="auto"/>
                <w:highlight w:val="none"/>
              </w:rPr>
            </w:pPr>
          </w:p>
        </w:tc>
        <w:tc>
          <w:tcPr>
            <w:tcW w:w="1356" w:type="dxa"/>
            <w:noWrap w:val="0"/>
            <w:vAlign w:val="center"/>
          </w:tcPr>
          <w:p>
            <w:pPr>
              <w:spacing w:line="360" w:lineRule="auto"/>
              <w:jc w:val="center"/>
              <w:rPr>
                <w:rFonts w:ascii="宋体" w:hAnsi="宋体" w:cs="宋体"/>
                <w:color w:val="auto"/>
                <w:highlight w:val="none"/>
              </w:rPr>
            </w:pPr>
          </w:p>
        </w:tc>
        <w:tc>
          <w:tcPr>
            <w:tcW w:w="1297" w:type="dxa"/>
            <w:noWrap w:val="0"/>
            <w:vAlign w:val="center"/>
          </w:tcPr>
          <w:p>
            <w:pPr>
              <w:spacing w:line="360" w:lineRule="auto"/>
              <w:jc w:val="center"/>
              <w:rPr>
                <w:rFonts w:ascii="宋体" w:hAnsi="宋体" w:cs="宋体"/>
                <w:color w:val="auto"/>
                <w:highlight w:val="none"/>
              </w:rPr>
            </w:pPr>
          </w:p>
        </w:tc>
        <w:tc>
          <w:tcPr>
            <w:tcW w:w="1262" w:type="dxa"/>
            <w:noWrap w:val="0"/>
            <w:vAlign w:val="center"/>
          </w:tcPr>
          <w:p>
            <w:pPr>
              <w:spacing w:line="360" w:lineRule="auto"/>
              <w:jc w:val="center"/>
              <w:rPr>
                <w:rFonts w:ascii="宋体" w:hAnsi="宋体" w:cs="宋体"/>
                <w:color w:val="auto"/>
                <w:highlight w:val="none"/>
              </w:rPr>
            </w:pPr>
          </w:p>
        </w:tc>
        <w:tc>
          <w:tcPr>
            <w:tcW w:w="1074" w:type="dxa"/>
            <w:noWrap w:val="0"/>
            <w:vAlign w:val="center"/>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4" w:type="dxa"/>
            <w:noWrap w:val="0"/>
            <w:vAlign w:val="center"/>
          </w:tcPr>
          <w:p>
            <w:pPr>
              <w:spacing w:line="360" w:lineRule="auto"/>
              <w:jc w:val="center"/>
              <w:rPr>
                <w:rFonts w:ascii="宋体" w:hAnsi="宋体" w:cs="宋体"/>
                <w:color w:val="auto"/>
                <w:highlight w:val="none"/>
              </w:rPr>
            </w:pPr>
          </w:p>
        </w:tc>
        <w:tc>
          <w:tcPr>
            <w:tcW w:w="1205" w:type="dxa"/>
            <w:noWrap w:val="0"/>
            <w:vAlign w:val="top"/>
          </w:tcPr>
          <w:p>
            <w:pPr>
              <w:spacing w:line="360" w:lineRule="auto"/>
              <w:jc w:val="center"/>
              <w:rPr>
                <w:rFonts w:ascii="宋体" w:hAnsi="宋体" w:cs="宋体"/>
                <w:color w:val="auto"/>
                <w:highlight w:val="none"/>
              </w:rPr>
            </w:pPr>
          </w:p>
        </w:tc>
        <w:tc>
          <w:tcPr>
            <w:tcW w:w="2266" w:type="dxa"/>
            <w:noWrap w:val="0"/>
            <w:vAlign w:val="center"/>
          </w:tcPr>
          <w:p>
            <w:pPr>
              <w:spacing w:line="360" w:lineRule="auto"/>
              <w:jc w:val="center"/>
              <w:rPr>
                <w:rFonts w:ascii="宋体" w:hAnsi="宋体" w:cs="宋体"/>
                <w:color w:val="auto"/>
                <w:highlight w:val="none"/>
              </w:rPr>
            </w:pPr>
          </w:p>
        </w:tc>
        <w:tc>
          <w:tcPr>
            <w:tcW w:w="1197" w:type="dxa"/>
            <w:noWrap w:val="0"/>
            <w:vAlign w:val="center"/>
          </w:tcPr>
          <w:p>
            <w:pPr>
              <w:spacing w:line="360" w:lineRule="auto"/>
              <w:jc w:val="center"/>
              <w:rPr>
                <w:rFonts w:ascii="宋体" w:hAnsi="宋体" w:cs="宋体"/>
                <w:color w:val="auto"/>
                <w:highlight w:val="none"/>
              </w:rPr>
            </w:pPr>
          </w:p>
        </w:tc>
        <w:tc>
          <w:tcPr>
            <w:tcW w:w="1507" w:type="dxa"/>
            <w:noWrap w:val="0"/>
            <w:vAlign w:val="center"/>
          </w:tcPr>
          <w:p>
            <w:pPr>
              <w:spacing w:line="360" w:lineRule="auto"/>
              <w:jc w:val="center"/>
              <w:rPr>
                <w:rFonts w:ascii="宋体" w:hAnsi="宋体" w:cs="宋体"/>
                <w:color w:val="auto"/>
                <w:highlight w:val="none"/>
              </w:rPr>
            </w:pPr>
          </w:p>
        </w:tc>
        <w:tc>
          <w:tcPr>
            <w:tcW w:w="753" w:type="dxa"/>
            <w:noWrap w:val="0"/>
            <w:vAlign w:val="center"/>
          </w:tcPr>
          <w:p>
            <w:pPr>
              <w:spacing w:line="360" w:lineRule="auto"/>
              <w:jc w:val="center"/>
              <w:rPr>
                <w:rFonts w:ascii="宋体" w:hAnsi="宋体" w:cs="宋体"/>
                <w:color w:val="auto"/>
                <w:highlight w:val="none"/>
              </w:rPr>
            </w:pPr>
          </w:p>
        </w:tc>
        <w:tc>
          <w:tcPr>
            <w:tcW w:w="603" w:type="dxa"/>
            <w:noWrap w:val="0"/>
            <w:vAlign w:val="center"/>
          </w:tcPr>
          <w:p>
            <w:pPr>
              <w:spacing w:line="360" w:lineRule="auto"/>
              <w:jc w:val="center"/>
              <w:rPr>
                <w:rFonts w:ascii="宋体" w:hAnsi="宋体" w:cs="宋体"/>
                <w:color w:val="auto"/>
                <w:highlight w:val="none"/>
              </w:rPr>
            </w:pPr>
          </w:p>
        </w:tc>
        <w:tc>
          <w:tcPr>
            <w:tcW w:w="1356" w:type="dxa"/>
            <w:noWrap w:val="0"/>
            <w:vAlign w:val="center"/>
          </w:tcPr>
          <w:p>
            <w:pPr>
              <w:spacing w:line="360" w:lineRule="auto"/>
              <w:jc w:val="center"/>
              <w:rPr>
                <w:rFonts w:ascii="宋体" w:hAnsi="宋体" w:cs="宋体"/>
                <w:color w:val="auto"/>
                <w:highlight w:val="none"/>
              </w:rPr>
            </w:pPr>
          </w:p>
        </w:tc>
        <w:tc>
          <w:tcPr>
            <w:tcW w:w="1297" w:type="dxa"/>
            <w:noWrap w:val="0"/>
            <w:vAlign w:val="center"/>
          </w:tcPr>
          <w:p>
            <w:pPr>
              <w:spacing w:line="360" w:lineRule="auto"/>
              <w:jc w:val="center"/>
              <w:rPr>
                <w:rFonts w:ascii="宋体" w:hAnsi="宋体" w:cs="宋体"/>
                <w:color w:val="auto"/>
                <w:highlight w:val="none"/>
              </w:rPr>
            </w:pPr>
          </w:p>
        </w:tc>
        <w:tc>
          <w:tcPr>
            <w:tcW w:w="1262" w:type="dxa"/>
            <w:noWrap w:val="0"/>
            <w:vAlign w:val="center"/>
          </w:tcPr>
          <w:p>
            <w:pPr>
              <w:spacing w:line="360" w:lineRule="auto"/>
              <w:jc w:val="center"/>
              <w:rPr>
                <w:rFonts w:ascii="宋体" w:hAnsi="宋体" w:cs="宋体"/>
                <w:color w:val="auto"/>
                <w:highlight w:val="none"/>
              </w:rPr>
            </w:pPr>
          </w:p>
        </w:tc>
        <w:tc>
          <w:tcPr>
            <w:tcW w:w="1074" w:type="dxa"/>
            <w:noWrap w:val="0"/>
            <w:vAlign w:val="center"/>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4" w:type="dxa"/>
            <w:noWrap w:val="0"/>
            <w:vAlign w:val="center"/>
          </w:tcPr>
          <w:p>
            <w:pPr>
              <w:spacing w:line="360" w:lineRule="auto"/>
              <w:jc w:val="center"/>
              <w:rPr>
                <w:rFonts w:ascii="宋体" w:hAnsi="宋体" w:cs="宋体"/>
                <w:color w:val="auto"/>
                <w:highlight w:val="none"/>
              </w:rPr>
            </w:pPr>
          </w:p>
        </w:tc>
        <w:tc>
          <w:tcPr>
            <w:tcW w:w="1205" w:type="dxa"/>
            <w:noWrap w:val="0"/>
            <w:vAlign w:val="top"/>
          </w:tcPr>
          <w:p>
            <w:pPr>
              <w:spacing w:line="360" w:lineRule="auto"/>
              <w:jc w:val="center"/>
              <w:rPr>
                <w:rFonts w:ascii="宋体" w:hAnsi="宋体" w:cs="宋体"/>
                <w:color w:val="auto"/>
                <w:highlight w:val="none"/>
              </w:rPr>
            </w:pPr>
          </w:p>
        </w:tc>
        <w:tc>
          <w:tcPr>
            <w:tcW w:w="2266" w:type="dxa"/>
            <w:noWrap w:val="0"/>
            <w:vAlign w:val="center"/>
          </w:tcPr>
          <w:p>
            <w:pPr>
              <w:spacing w:line="360" w:lineRule="auto"/>
              <w:jc w:val="center"/>
              <w:rPr>
                <w:rFonts w:ascii="宋体" w:hAnsi="宋体" w:cs="宋体"/>
                <w:color w:val="auto"/>
                <w:highlight w:val="none"/>
              </w:rPr>
            </w:pPr>
          </w:p>
        </w:tc>
        <w:tc>
          <w:tcPr>
            <w:tcW w:w="1197" w:type="dxa"/>
            <w:noWrap w:val="0"/>
            <w:vAlign w:val="center"/>
          </w:tcPr>
          <w:p>
            <w:pPr>
              <w:spacing w:line="360" w:lineRule="auto"/>
              <w:jc w:val="center"/>
              <w:rPr>
                <w:rFonts w:ascii="宋体" w:hAnsi="宋体" w:cs="宋体"/>
                <w:color w:val="auto"/>
                <w:highlight w:val="none"/>
              </w:rPr>
            </w:pPr>
          </w:p>
        </w:tc>
        <w:tc>
          <w:tcPr>
            <w:tcW w:w="1507" w:type="dxa"/>
            <w:noWrap w:val="0"/>
            <w:vAlign w:val="center"/>
          </w:tcPr>
          <w:p>
            <w:pPr>
              <w:spacing w:line="360" w:lineRule="auto"/>
              <w:jc w:val="center"/>
              <w:rPr>
                <w:rFonts w:ascii="宋体" w:hAnsi="宋体" w:cs="宋体"/>
                <w:color w:val="auto"/>
                <w:highlight w:val="none"/>
              </w:rPr>
            </w:pPr>
          </w:p>
        </w:tc>
        <w:tc>
          <w:tcPr>
            <w:tcW w:w="753" w:type="dxa"/>
            <w:noWrap w:val="0"/>
            <w:vAlign w:val="center"/>
          </w:tcPr>
          <w:p>
            <w:pPr>
              <w:spacing w:line="360" w:lineRule="auto"/>
              <w:jc w:val="center"/>
              <w:rPr>
                <w:rFonts w:ascii="宋体" w:hAnsi="宋体" w:cs="宋体"/>
                <w:color w:val="auto"/>
                <w:highlight w:val="none"/>
              </w:rPr>
            </w:pPr>
          </w:p>
        </w:tc>
        <w:tc>
          <w:tcPr>
            <w:tcW w:w="603" w:type="dxa"/>
            <w:noWrap w:val="0"/>
            <w:vAlign w:val="center"/>
          </w:tcPr>
          <w:p>
            <w:pPr>
              <w:spacing w:line="360" w:lineRule="auto"/>
              <w:jc w:val="center"/>
              <w:rPr>
                <w:rFonts w:ascii="宋体" w:hAnsi="宋体" w:cs="宋体"/>
                <w:color w:val="auto"/>
                <w:highlight w:val="none"/>
              </w:rPr>
            </w:pPr>
          </w:p>
        </w:tc>
        <w:tc>
          <w:tcPr>
            <w:tcW w:w="1356" w:type="dxa"/>
            <w:noWrap w:val="0"/>
            <w:vAlign w:val="center"/>
          </w:tcPr>
          <w:p>
            <w:pPr>
              <w:spacing w:line="360" w:lineRule="auto"/>
              <w:jc w:val="center"/>
              <w:rPr>
                <w:rFonts w:ascii="宋体" w:hAnsi="宋体" w:cs="宋体"/>
                <w:color w:val="auto"/>
                <w:highlight w:val="none"/>
              </w:rPr>
            </w:pPr>
          </w:p>
        </w:tc>
        <w:tc>
          <w:tcPr>
            <w:tcW w:w="1297" w:type="dxa"/>
            <w:noWrap w:val="0"/>
            <w:vAlign w:val="center"/>
          </w:tcPr>
          <w:p>
            <w:pPr>
              <w:spacing w:line="360" w:lineRule="auto"/>
              <w:jc w:val="center"/>
              <w:rPr>
                <w:rFonts w:ascii="宋体" w:hAnsi="宋体" w:cs="宋体"/>
                <w:color w:val="auto"/>
                <w:highlight w:val="none"/>
              </w:rPr>
            </w:pPr>
          </w:p>
        </w:tc>
        <w:tc>
          <w:tcPr>
            <w:tcW w:w="1262" w:type="dxa"/>
            <w:noWrap w:val="0"/>
            <w:vAlign w:val="center"/>
          </w:tcPr>
          <w:p>
            <w:pPr>
              <w:spacing w:line="360" w:lineRule="auto"/>
              <w:jc w:val="center"/>
              <w:rPr>
                <w:rFonts w:ascii="宋体" w:hAnsi="宋体" w:cs="宋体"/>
                <w:color w:val="auto"/>
                <w:highlight w:val="none"/>
              </w:rPr>
            </w:pPr>
          </w:p>
        </w:tc>
        <w:tc>
          <w:tcPr>
            <w:tcW w:w="1074" w:type="dxa"/>
            <w:noWrap w:val="0"/>
            <w:vAlign w:val="center"/>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4" w:type="dxa"/>
            <w:noWrap w:val="0"/>
            <w:vAlign w:val="center"/>
          </w:tcPr>
          <w:p>
            <w:pPr>
              <w:spacing w:line="360" w:lineRule="auto"/>
              <w:jc w:val="center"/>
              <w:rPr>
                <w:rFonts w:ascii="宋体" w:hAnsi="宋体" w:cs="宋体"/>
                <w:color w:val="auto"/>
                <w:highlight w:val="none"/>
              </w:rPr>
            </w:pPr>
          </w:p>
        </w:tc>
        <w:tc>
          <w:tcPr>
            <w:tcW w:w="1205" w:type="dxa"/>
            <w:noWrap w:val="0"/>
            <w:vAlign w:val="top"/>
          </w:tcPr>
          <w:p>
            <w:pPr>
              <w:spacing w:line="360" w:lineRule="auto"/>
              <w:jc w:val="center"/>
              <w:rPr>
                <w:rFonts w:ascii="宋体" w:hAnsi="宋体" w:cs="宋体"/>
                <w:color w:val="auto"/>
                <w:highlight w:val="none"/>
              </w:rPr>
            </w:pPr>
          </w:p>
        </w:tc>
        <w:tc>
          <w:tcPr>
            <w:tcW w:w="2266" w:type="dxa"/>
            <w:noWrap w:val="0"/>
            <w:vAlign w:val="center"/>
          </w:tcPr>
          <w:p>
            <w:pPr>
              <w:spacing w:line="360" w:lineRule="auto"/>
              <w:jc w:val="center"/>
              <w:rPr>
                <w:rFonts w:ascii="宋体" w:hAnsi="宋体" w:cs="宋体"/>
                <w:color w:val="auto"/>
                <w:highlight w:val="none"/>
              </w:rPr>
            </w:pPr>
          </w:p>
        </w:tc>
        <w:tc>
          <w:tcPr>
            <w:tcW w:w="1197" w:type="dxa"/>
            <w:noWrap w:val="0"/>
            <w:vAlign w:val="center"/>
          </w:tcPr>
          <w:p>
            <w:pPr>
              <w:spacing w:line="360" w:lineRule="auto"/>
              <w:jc w:val="center"/>
              <w:rPr>
                <w:rFonts w:ascii="宋体" w:hAnsi="宋体" w:cs="宋体"/>
                <w:color w:val="auto"/>
                <w:highlight w:val="none"/>
              </w:rPr>
            </w:pPr>
          </w:p>
        </w:tc>
        <w:tc>
          <w:tcPr>
            <w:tcW w:w="1507" w:type="dxa"/>
            <w:noWrap w:val="0"/>
            <w:vAlign w:val="center"/>
          </w:tcPr>
          <w:p>
            <w:pPr>
              <w:spacing w:line="360" w:lineRule="auto"/>
              <w:jc w:val="center"/>
              <w:rPr>
                <w:rFonts w:ascii="宋体" w:hAnsi="宋体" w:cs="宋体"/>
                <w:color w:val="auto"/>
                <w:highlight w:val="none"/>
              </w:rPr>
            </w:pPr>
          </w:p>
        </w:tc>
        <w:tc>
          <w:tcPr>
            <w:tcW w:w="753" w:type="dxa"/>
            <w:noWrap w:val="0"/>
            <w:vAlign w:val="center"/>
          </w:tcPr>
          <w:p>
            <w:pPr>
              <w:spacing w:line="360" w:lineRule="auto"/>
              <w:jc w:val="center"/>
              <w:rPr>
                <w:rFonts w:ascii="宋体" w:hAnsi="宋体" w:cs="宋体"/>
                <w:color w:val="auto"/>
                <w:highlight w:val="none"/>
              </w:rPr>
            </w:pPr>
          </w:p>
        </w:tc>
        <w:tc>
          <w:tcPr>
            <w:tcW w:w="603" w:type="dxa"/>
            <w:noWrap w:val="0"/>
            <w:vAlign w:val="center"/>
          </w:tcPr>
          <w:p>
            <w:pPr>
              <w:spacing w:line="360" w:lineRule="auto"/>
              <w:jc w:val="center"/>
              <w:rPr>
                <w:rFonts w:ascii="宋体" w:hAnsi="宋体" w:cs="宋体"/>
                <w:color w:val="auto"/>
                <w:highlight w:val="none"/>
              </w:rPr>
            </w:pPr>
          </w:p>
        </w:tc>
        <w:tc>
          <w:tcPr>
            <w:tcW w:w="1356" w:type="dxa"/>
            <w:noWrap w:val="0"/>
            <w:vAlign w:val="center"/>
          </w:tcPr>
          <w:p>
            <w:pPr>
              <w:spacing w:line="360" w:lineRule="auto"/>
              <w:jc w:val="center"/>
              <w:rPr>
                <w:rFonts w:ascii="宋体" w:hAnsi="宋体" w:cs="宋体"/>
                <w:color w:val="auto"/>
                <w:highlight w:val="none"/>
              </w:rPr>
            </w:pPr>
          </w:p>
        </w:tc>
        <w:tc>
          <w:tcPr>
            <w:tcW w:w="1297" w:type="dxa"/>
            <w:noWrap w:val="0"/>
            <w:vAlign w:val="center"/>
          </w:tcPr>
          <w:p>
            <w:pPr>
              <w:spacing w:line="360" w:lineRule="auto"/>
              <w:jc w:val="center"/>
              <w:rPr>
                <w:rFonts w:ascii="宋体" w:hAnsi="宋体" w:cs="宋体"/>
                <w:color w:val="auto"/>
                <w:highlight w:val="none"/>
              </w:rPr>
            </w:pPr>
          </w:p>
        </w:tc>
        <w:tc>
          <w:tcPr>
            <w:tcW w:w="1262" w:type="dxa"/>
            <w:noWrap w:val="0"/>
            <w:vAlign w:val="center"/>
          </w:tcPr>
          <w:p>
            <w:pPr>
              <w:spacing w:line="360" w:lineRule="auto"/>
              <w:jc w:val="center"/>
              <w:rPr>
                <w:rFonts w:ascii="宋体" w:hAnsi="宋体" w:cs="宋体"/>
                <w:color w:val="auto"/>
                <w:highlight w:val="none"/>
              </w:rPr>
            </w:pPr>
          </w:p>
        </w:tc>
        <w:tc>
          <w:tcPr>
            <w:tcW w:w="1074" w:type="dxa"/>
            <w:noWrap w:val="0"/>
            <w:vAlign w:val="center"/>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4" w:type="dxa"/>
            <w:noWrap w:val="0"/>
            <w:vAlign w:val="center"/>
          </w:tcPr>
          <w:p>
            <w:pPr>
              <w:spacing w:line="360" w:lineRule="auto"/>
              <w:jc w:val="center"/>
              <w:rPr>
                <w:rFonts w:ascii="宋体" w:hAnsi="宋体" w:cs="宋体"/>
                <w:color w:val="auto"/>
                <w:highlight w:val="none"/>
              </w:rPr>
            </w:pPr>
          </w:p>
        </w:tc>
        <w:tc>
          <w:tcPr>
            <w:tcW w:w="1205" w:type="dxa"/>
            <w:noWrap w:val="0"/>
            <w:vAlign w:val="top"/>
          </w:tcPr>
          <w:p>
            <w:pPr>
              <w:spacing w:line="360" w:lineRule="auto"/>
              <w:jc w:val="center"/>
              <w:rPr>
                <w:rFonts w:ascii="宋体" w:hAnsi="宋体" w:cs="宋体"/>
                <w:color w:val="auto"/>
                <w:highlight w:val="none"/>
              </w:rPr>
            </w:pPr>
          </w:p>
        </w:tc>
        <w:tc>
          <w:tcPr>
            <w:tcW w:w="2266" w:type="dxa"/>
            <w:noWrap w:val="0"/>
            <w:vAlign w:val="center"/>
          </w:tcPr>
          <w:p>
            <w:pPr>
              <w:spacing w:line="360" w:lineRule="auto"/>
              <w:jc w:val="center"/>
              <w:rPr>
                <w:rFonts w:ascii="宋体" w:hAnsi="宋体" w:cs="宋体"/>
                <w:color w:val="auto"/>
                <w:highlight w:val="none"/>
              </w:rPr>
            </w:pPr>
          </w:p>
        </w:tc>
        <w:tc>
          <w:tcPr>
            <w:tcW w:w="1197" w:type="dxa"/>
            <w:noWrap w:val="0"/>
            <w:vAlign w:val="center"/>
          </w:tcPr>
          <w:p>
            <w:pPr>
              <w:spacing w:line="360" w:lineRule="auto"/>
              <w:jc w:val="center"/>
              <w:rPr>
                <w:rFonts w:ascii="宋体" w:hAnsi="宋体" w:cs="宋体"/>
                <w:color w:val="auto"/>
                <w:highlight w:val="none"/>
              </w:rPr>
            </w:pPr>
          </w:p>
        </w:tc>
        <w:tc>
          <w:tcPr>
            <w:tcW w:w="1507" w:type="dxa"/>
            <w:noWrap w:val="0"/>
            <w:vAlign w:val="center"/>
          </w:tcPr>
          <w:p>
            <w:pPr>
              <w:spacing w:line="360" w:lineRule="auto"/>
              <w:jc w:val="center"/>
              <w:rPr>
                <w:rFonts w:ascii="宋体" w:hAnsi="宋体" w:cs="宋体"/>
                <w:color w:val="auto"/>
                <w:highlight w:val="none"/>
              </w:rPr>
            </w:pPr>
          </w:p>
        </w:tc>
        <w:tc>
          <w:tcPr>
            <w:tcW w:w="753" w:type="dxa"/>
            <w:noWrap w:val="0"/>
            <w:vAlign w:val="center"/>
          </w:tcPr>
          <w:p>
            <w:pPr>
              <w:spacing w:line="360" w:lineRule="auto"/>
              <w:jc w:val="center"/>
              <w:rPr>
                <w:rFonts w:ascii="宋体" w:hAnsi="宋体" w:cs="宋体"/>
                <w:color w:val="auto"/>
                <w:highlight w:val="none"/>
              </w:rPr>
            </w:pPr>
          </w:p>
        </w:tc>
        <w:tc>
          <w:tcPr>
            <w:tcW w:w="603" w:type="dxa"/>
            <w:noWrap w:val="0"/>
            <w:vAlign w:val="center"/>
          </w:tcPr>
          <w:p>
            <w:pPr>
              <w:spacing w:line="360" w:lineRule="auto"/>
              <w:jc w:val="center"/>
              <w:rPr>
                <w:rFonts w:ascii="宋体" w:hAnsi="宋体" w:cs="宋体"/>
                <w:color w:val="auto"/>
                <w:highlight w:val="none"/>
              </w:rPr>
            </w:pPr>
          </w:p>
        </w:tc>
        <w:tc>
          <w:tcPr>
            <w:tcW w:w="1356" w:type="dxa"/>
            <w:noWrap w:val="0"/>
            <w:vAlign w:val="center"/>
          </w:tcPr>
          <w:p>
            <w:pPr>
              <w:spacing w:line="360" w:lineRule="auto"/>
              <w:jc w:val="center"/>
              <w:rPr>
                <w:rFonts w:ascii="宋体" w:hAnsi="宋体" w:cs="宋体"/>
                <w:color w:val="auto"/>
                <w:highlight w:val="none"/>
              </w:rPr>
            </w:pPr>
          </w:p>
        </w:tc>
        <w:tc>
          <w:tcPr>
            <w:tcW w:w="1297" w:type="dxa"/>
            <w:noWrap w:val="0"/>
            <w:vAlign w:val="center"/>
          </w:tcPr>
          <w:p>
            <w:pPr>
              <w:spacing w:line="360" w:lineRule="auto"/>
              <w:jc w:val="center"/>
              <w:rPr>
                <w:rFonts w:ascii="宋体" w:hAnsi="宋体" w:cs="宋体"/>
                <w:color w:val="auto"/>
                <w:highlight w:val="none"/>
              </w:rPr>
            </w:pPr>
          </w:p>
        </w:tc>
        <w:tc>
          <w:tcPr>
            <w:tcW w:w="1262" w:type="dxa"/>
            <w:noWrap w:val="0"/>
            <w:vAlign w:val="center"/>
          </w:tcPr>
          <w:p>
            <w:pPr>
              <w:spacing w:line="360" w:lineRule="auto"/>
              <w:jc w:val="center"/>
              <w:rPr>
                <w:rFonts w:ascii="宋体" w:hAnsi="宋体" w:cs="宋体"/>
                <w:color w:val="auto"/>
                <w:highlight w:val="none"/>
              </w:rPr>
            </w:pPr>
          </w:p>
        </w:tc>
        <w:tc>
          <w:tcPr>
            <w:tcW w:w="1074" w:type="dxa"/>
            <w:noWrap w:val="0"/>
            <w:vAlign w:val="center"/>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4" w:type="dxa"/>
            <w:noWrap w:val="0"/>
            <w:vAlign w:val="center"/>
          </w:tcPr>
          <w:p>
            <w:pPr>
              <w:spacing w:line="360" w:lineRule="auto"/>
              <w:jc w:val="center"/>
              <w:rPr>
                <w:rFonts w:ascii="宋体" w:hAnsi="宋体" w:cs="宋体"/>
                <w:color w:val="auto"/>
                <w:highlight w:val="none"/>
              </w:rPr>
            </w:pPr>
          </w:p>
        </w:tc>
        <w:tc>
          <w:tcPr>
            <w:tcW w:w="1205" w:type="dxa"/>
            <w:noWrap w:val="0"/>
            <w:vAlign w:val="top"/>
          </w:tcPr>
          <w:p>
            <w:pPr>
              <w:spacing w:line="360" w:lineRule="auto"/>
              <w:jc w:val="center"/>
              <w:rPr>
                <w:rFonts w:ascii="宋体" w:hAnsi="宋体" w:cs="宋体"/>
                <w:color w:val="auto"/>
                <w:highlight w:val="none"/>
              </w:rPr>
            </w:pPr>
          </w:p>
        </w:tc>
        <w:tc>
          <w:tcPr>
            <w:tcW w:w="2266" w:type="dxa"/>
            <w:noWrap w:val="0"/>
            <w:vAlign w:val="center"/>
          </w:tcPr>
          <w:p>
            <w:pPr>
              <w:spacing w:line="360" w:lineRule="auto"/>
              <w:jc w:val="center"/>
              <w:rPr>
                <w:rFonts w:ascii="宋体" w:hAnsi="宋体" w:cs="宋体"/>
                <w:color w:val="auto"/>
                <w:highlight w:val="none"/>
              </w:rPr>
            </w:pPr>
          </w:p>
        </w:tc>
        <w:tc>
          <w:tcPr>
            <w:tcW w:w="1197" w:type="dxa"/>
            <w:noWrap w:val="0"/>
            <w:vAlign w:val="center"/>
          </w:tcPr>
          <w:p>
            <w:pPr>
              <w:spacing w:line="360" w:lineRule="auto"/>
              <w:jc w:val="center"/>
              <w:rPr>
                <w:rFonts w:ascii="宋体" w:hAnsi="宋体" w:cs="宋体"/>
                <w:color w:val="auto"/>
                <w:highlight w:val="none"/>
              </w:rPr>
            </w:pPr>
          </w:p>
        </w:tc>
        <w:tc>
          <w:tcPr>
            <w:tcW w:w="1507" w:type="dxa"/>
            <w:noWrap w:val="0"/>
            <w:vAlign w:val="center"/>
          </w:tcPr>
          <w:p>
            <w:pPr>
              <w:spacing w:line="360" w:lineRule="auto"/>
              <w:jc w:val="center"/>
              <w:rPr>
                <w:rFonts w:ascii="宋体" w:hAnsi="宋体" w:cs="宋体"/>
                <w:color w:val="auto"/>
                <w:highlight w:val="none"/>
              </w:rPr>
            </w:pPr>
          </w:p>
        </w:tc>
        <w:tc>
          <w:tcPr>
            <w:tcW w:w="753" w:type="dxa"/>
            <w:noWrap w:val="0"/>
            <w:vAlign w:val="center"/>
          </w:tcPr>
          <w:p>
            <w:pPr>
              <w:spacing w:line="360" w:lineRule="auto"/>
              <w:jc w:val="center"/>
              <w:rPr>
                <w:rFonts w:ascii="宋体" w:hAnsi="宋体" w:cs="宋体"/>
                <w:color w:val="auto"/>
                <w:highlight w:val="none"/>
              </w:rPr>
            </w:pPr>
          </w:p>
        </w:tc>
        <w:tc>
          <w:tcPr>
            <w:tcW w:w="603" w:type="dxa"/>
            <w:noWrap w:val="0"/>
            <w:vAlign w:val="center"/>
          </w:tcPr>
          <w:p>
            <w:pPr>
              <w:spacing w:line="360" w:lineRule="auto"/>
              <w:jc w:val="center"/>
              <w:rPr>
                <w:rFonts w:ascii="宋体" w:hAnsi="宋体" w:cs="宋体"/>
                <w:color w:val="auto"/>
                <w:highlight w:val="none"/>
              </w:rPr>
            </w:pPr>
          </w:p>
        </w:tc>
        <w:tc>
          <w:tcPr>
            <w:tcW w:w="1356" w:type="dxa"/>
            <w:noWrap w:val="0"/>
            <w:vAlign w:val="center"/>
          </w:tcPr>
          <w:p>
            <w:pPr>
              <w:spacing w:line="360" w:lineRule="auto"/>
              <w:jc w:val="center"/>
              <w:rPr>
                <w:rFonts w:ascii="宋体" w:hAnsi="宋体" w:cs="宋体"/>
                <w:color w:val="auto"/>
                <w:highlight w:val="none"/>
              </w:rPr>
            </w:pPr>
          </w:p>
        </w:tc>
        <w:tc>
          <w:tcPr>
            <w:tcW w:w="1297" w:type="dxa"/>
            <w:noWrap w:val="0"/>
            <w:vAlign w:val="center"/>
          </w:tcPr>
          <w:p>
            <w:pPr>
              <w:spacing w:line="360" w:lineRule="auto"/>
              <w:jc w:val="center"/>
              <w:rPr>
                <w:rFonts w:ascii="宋体" w:hAnsi="宋体" w:cs="宋体"/>
                <w:color w:val="auto"/>
                <w:highlight w:val="none"/>
              </w:rPr>
            </w:pPr>
          </w:p>
        </w:tc>
        <w:tc>
          <w:tcPr>
            <w:tcW w:w="1262" w:type="dxa"/>
            <w:noWrap w:val="0"/>
            <w:vAlign w:val="center"/>
          </w:tcPr>
          <w:p>
            <w:pPr>
              <w:spacing w:line="360" w:lineRule="auto"/>
              <w:jc w:val="center"/>
              <w:rPr>
                <w:rFonts w:ascii="宋体" w:hAnsi="宋体" w:cs="宋体"/>
                <w:color w:val="auto"/>
                <w:highlight w:val="none"/>
              </w:rPr>
            </w:pPr>
          </w:p>
        </w:tc>
        <w:tc>
          <w:tcPr>
            <w:tcW w:w="1074" w:type="dxa"/>
            <w:noWrap w:val="0"/>
            <w:vAlign w:val="center"/>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4" w:type="dxa"/>
            <w:noWrap w:val="0"/>
            <w:vAlign w:val="center"/>
          </w:tcPr>
          <w:p>
            <w:pPr>
              <w:spacing w:line="360" w:lineRule="auto"/>
              <w:jc w:val="center"/>
              <w:rPr>
                <w:rFonts w:ascii="宋体" w:hAnsi="宋体" w:cs="宋体"/>
                <w:color w:val="auto"/>
                <w:highlight w:val="none"/>
              </w:rPr>
            </w:pPr>
          </w:p>
        </w:tc>
        <w:tc>
          <w:tcPr>
            <w:tcW w:w="1205" w:type="dxa"/>
            <w:noWrap w:val="0"/>
            <w:vAlign w:val="top"/>
          </w:tcPr>
          <w:p>
            <w:pPr>
              <w:spacing w:line="360" w:lineRule="auto"/>
              <w:jc w:val="center"/>
              <w:rPr>
                <w:rFonts w:ascii="宋体" w:hAnsi="宋体" w:cs="宋体"/>
                <w:color w:val="auto"/>
                <w:highlight w:val="none"/>
              </w:rPr>
            </w:pPr>
          </w:p>
        </w:tc>
        <w:tc>
          <w:tcPr>
            <w:tcW w:w="2266" w:type="dxa"/>
            <w:noWrap w:val="0"/>
            <w:vAlign w:val="center"/>
          </w:tcPr>
          <w:p>
            <w:pPr>
              <w:spacing w:line="360" w:lineRule="auto"/>
              <w:jc w:val="center"/>
              <w:rPr>
                <w:rFonts w:ascii="宋体" w:hAnsi="宋体" w:cs="宋体"/>
                <w:color w:val="auto"/>
                <w:highlight w:val="none"/>
              </w:rPr>
            </w:pPr>
          </w:p>
        </w:tc>
        <w:tc>
          <w:tcPr>
            <w:tcW w:w="1197" w:type="dxa"/>
            <w:noWrap w:val="0"/>
            <w:vAlign w:val="center"/>
          </w:tcPr>
          <w:p>
            <w:pPr>
              <w:spacing w:line="360" w:lineRule="auto"/>
              <w:jc w:val="center"/>
              <w:rPr>
                <w:rFonts w:ascii="宋体" w:hAnsi="宋体" w:cs="宋体"/>
                <w:color w:val="auto"/>
                <w:highlight w:val="none"/>
              </w:rPr>
            </w:pPr>
          </w:p>
        </w:tc>
        <w:tc>
          <w:tcPr>
            <w:tcW w:w="1507" w:type="dxa"/>
            <w:noWrap w:val="0"/>
            <w:vAlign w:val="center"/>
          </w:tcPr>
          <w:p>
            <w:pPr>
              <w:spacing w:line="360" w:lineRule="auto"/>
              <w:jc w:val="center"/>
              <w:rPr>
                <w:rFonts w:ascii="宋体" w:hAnsi="宋体" w:cs="宋体"/>
                <w:color w:val="auto"/>
                <w:highlight w:val="none"/>
              </w:rPr>
            </w:pPr>
          </w:p>
        </w:tc>
        <w:tc>
          <w:tcPr>
            <w:tcW w:w="753" w:type="dxa"/>
            <w:noWrap w:val="0"/>
            <w:vAlign w:val="center"/>
          </w:tcPr>
          <w:p>
            <w:pPr>
              <w:spacing w:line="360" w:lineRule="auto"/>
              <w:jc w:val="center"/>
              <w:rPr>
                <w:rFonts w:ascii="宋体" w:hAnsi="宋体" w:cs="宋体"/>
                <w:color w:val="auto"/>
                <w:highlight w:val="none"/>
              </w:rPr>
            </w:pPr>
          </w:p>
        </w:tc>
        <w:tc>
          <w:tcPr>
            <w:tcW w:w="603" w:type="dxa"/>
            <w:noWrap w:val="0"/>
            <w:vAlign w:val="center"/>
          </w:tcPr>
          <w:p>
            <w:pPr>
              <w:spacing w:line="360" w:lineRule="auto"/>
              <w:jc w:val="center"/>
              <w:rPr>
                <w:rFonts w:ascii="宋体" w:hAnsi="宋体" w:cs="宋体"/>
                <w:color w:val="auto"/>
                <w:highlight w:val="none"/>
              </w:rPr>
            </w:pPr>
          </w:p>
        </w:tc>
        <w:tc>
          <w:tcPr>
            <w:tcW w:w="1356" w:type="dxa"/>
            <w:noWrap w:val="0"/>
            <w:vAlign w:val="center"/>
          </w:tcPr>
          <w:p>
            <w:pPr>
              <w:spacing w:line="360" w:lineRule="auto"/>
              <w:jc w:val="center"/>
              <w:rPr>
                <w:rFonts w:ascii="宋体" w:hAnsi="宋体" w:cs="宋体"/>
                <w:color w:val="auto"/>
                <w:highlight w:val="none"/>
              </w:rPr>
            </w:pPr>
          </w:p>
        </w:tc>
        <w:tc>
          <w:tcPr>
            <w:tcW w:w="1297" w:type="dxa"/>
            <w:noWrap w:val="0"/>
            <w:vAlign w:val="center"/>
          </w:tcPr>
          <w:p>
            <w:pPr>
              <w:spacing w:line="360" w:lineRule="auto"/>
              <w:jc w:val="center"/>
              <w:rPr>
                <w:rFonts w:ascii="宋体" w:hAnsi="宋体" w:cs="宋体"/>
                <w:color w:val="auto"/>
                <w:highlight w:val="none"/>
              </w:rPr>
            </w:pPr>
          </w:p>
        </w:tc>
        <w:tc>
          <w:tcPr>
            <w:tcW w:w="1262" w:type="dxa"/>
            <w:noWrap w:val="0"/>
            <w:vAlign w:val="center"/>
          </w:tcPr>
          <w:p>
            <w:pPr>
              <w:spacing w:line="360" w:lineRule="auto"/>
              <w:jc w:val="center"/>
              <w:rPr>
                <w:rFonts w:ascii="宋体" w:hAnsi="宋体" w:cs="宋体"/>
                <w:color w:val="auto"/>
                <w:highlight w:val="none"/>
              </w:rPr>
            </w:pPr>
          </w:p>
        </w:tc>
        <w:tc>
          <w:tcPr>
            <w:tcW w:w="1074" w:type="dxa"/>
            <w:noWrap w:val="0"/>
            <w:vAlign w:val="center"/>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4" w:type="dxa"/>
            <w:noWrap w:val="0"/>
            <w:vAlign w:val="center"/>
          </w:tcPr>
          <w:p>
            <w:pPr>
              <w:spacing w:line="360" w:lineRule="auto"/>
              <w:jc w:val="center"/>
              <w:rPr>
                <w:rFonts w:ascii="宋体" w:hAnsi="宋体" w:cs="宋体"/>
                <w:color w:val="auto"/>
                <w:highlight w:val="none"/>
              </w:rPr>
            </w:pPr>
          </w:p>
        </w:tc>
        <w:tc>
          <w:tcPr>
            <w:tcW w:w="1205" w:type="dxa"/>
            <w:noWrap w:val="0"/>
            <w:vAlign w:val="top"/>
          </w:tcPr>
          <w:p>
            <w:pPr>
              <w:spacing w:line="360" w:lineRule="auto"/>
              <w:jc w:val="center"/>
              <w:rPr>
                <w:rFonts w:ascii="宋体" w:hAnsi="宋体" w:cs="宋体"/>
                <w:color w:val="auto"/>
                <w:highlight w:val="none"/>
              </w:rPr>
            </w:pPr>
          </w:p>
        </w:tc>
        <w:tc>
          <w:tcPr>
            <w:tcW w:w="2266" w:type="dxa"/>
            <w:noWrap w:val="0"/>
            <w:vAlign w:val="center"/>
          </w:tcPr>
          <w:p>
            <w:pPr>
              <w:spacing w:line="360" w:lineRule="auto"/>
              <w:jc w:val="center"/>
              <w:rPr>
                <w:rFonts w:ascii="宋体" w:hAnsi="宋体" w:cs="宋体"/>
                <w:color w:val="auto"/>
                <w:highlight w:val="none"/>
              </w:rPr>
            </w:pPr>
          </w:p>
        </w:tc>
        <w:tc>
          <w:tcPr>
            <w:tcW w:w="1197" w:type="dxa"/>
            <w:noWrap w:val="0"/>
            <w:vAlign w:val="center"/>
          </w:tcPr>
          <w:p>
            <w:pPr>
              <w:spacing w:line="360" w:lineRule="auto"/>
              <w:jc w:val="center"/>
              <w:rPr>
                <w:rFonts w:ascii="宋体" w:hAnsi="宋体" w:cs="宋体"/>
                <w:color w:val="auto"/>
                <w:highlight w:val="none"/>
              </w:rPr>
            </w:pPr>
          </w:p>
        </w:tc>
        <w:tc>
          <w:tcPr>
            <w:tcW w:w="1507" w:type="dxa"/>
            <w:noWrap w:val="0"/>
            <w:vAlign w:val="center"/>
          </w:tcPr>
          <w:p>
            <w:pPr>
              <w:spacing w:line="360" w:lineRule="auto"/>
              <w:jc w:val="center"/>
              <w:rPr>
                <w:rFonts w:ascii="宋体" w:hAnsi="宋体" w:cs="宋体"/>
                <w:color w:val="auto"/>
                <w:highlight w:val="none"/>
              </w:rPr>
            </w:pPr>
          </w:p>
        </w:tc>
        <w:tc>
          <w:tcPr>
            <w:tcW w:w="753" w:type="dxa"/>
            <w:noWrap w:val="0"/>
            <w:vAlign w:val="center"/>
          </w:tcPr>
          <w:p>
            <w:pPr>
              <w:spacing w:line="360" w:lineRule="auto"/>
              <w:jc w:val="center"/>
              <w:rPr>
                <w:rFonts w:ascii="宋体" w:hAnsi="宋体" w:cs="宋体"/>
                <w:color w:val="auto"/>
                <w:highlight w:val="none"/>
              </w:rPr>
            </w:pPr>
          </w:p>
        </w:tc>
        <w:tc>
          <w:tcPr>
            <w:tcW w:w="603" w:type="dxa"/>
            <w:noWrap w:val="0"/>
            <w:vAlign w:val="center"/>
          </w:tcPr>
          <w:p>
            <w:pPr>
              <w:spacing w:line="360" w:lineRule="auto"/>
              <w:jc w:val="center"/>
              <w:rPr>
                <w:rFonts w:ascii="宋体" w:hAnsi="宋体" w:cs="宋体"/>
                <w:color w:val="auto"/>
                <w:highlight w:val="none"/>
              </w:rPr>
            </w:pPr>
          </w:p>
        </w:tc>
        <w:tc>
          <w:tcPr>
            <w:tcW w:w="1356" w:type="dxa"/>
            <w:noWrap w:val="0"/>
            <w:vAlign w:val="center"/>
          </w:tcPr>
          <w:p>
            <w:pPr>
              <w:spacing w:line="360" w:lineRule="auto"/>
              <w:jc w:val="center"/>
              <w:rPr>
                <w:rFonts w:ascii="宋体" w:hAnsi="宋体" w:cs="宋体"/>
                <w:color w:val="auto"/>
                <w:highlight w:val="none"/>
              </w:rPr>
            </w:pPr>
          </w:p>
        </w:tc>
        <w:tc>
          <w:tcPr>
            <w:tcW w:w="1297" w:type="dxa"/>
            <w:noWrap w:val="0"/>
            <w:vAlign w:val="center"/>
          </w:tcPr>
          <w:p>
            <w:pPr>
              <w:spacing w:line="360" w:lineRule="auto"/>
              <w:jc w:val="center"/>
              <w:rPr>
                <w:rFonts w:ascii="宋体" w:hAnsi="宋体" w:cs="宋体"/>
                <w:color w:val="auto"/>
                <w:highlight w:val="none"/>
              </w:rPr>
            </w:pPr>
          </w:p>
        </w:tc>
        <w:tc>
          <w:tcPr>
            <w:tcW w:w="1262" w:type="dxa"/>
            <w:noWrap w:val="0"/>
            <w:vAlign w:val="center"/>
          </w:tcPr>
          <w:p>
            <w:pPr>
              <w:spacing w:line="360" w:lineRule="auto"/>
              <w:jc w:val="center"/>
              <w:rPr>
                <w:rFonts w:ascii="宋体" w:hAnsi="宋体" w:cs="宋体"/>
                <w:color w:val="auto"/>
                <w:highlight w:val="none"/>
              </w:rPr>
            </w:pPr>
          </w:p>
        </w:tc>
        <w:tc>
          <w:tcPr>
            <w:tcW w:w="1074" w:type="dxa"/>
            <w:noWrap w:val="0"/>
            <w:vAlign w:val="center"/>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4" w:type="dxa"/>
            <w:noWrap w:val="0"/>
            <w:vAlign w:val="center"/>
          </w:tcPr>
          <w:p>
            <w:pPr>
              <w:spacing w:line="360" w:lineRule="auto"/>
              <w:jc w:val="center"/>
              <w:rPr>
                <w:rFonts w:ascii="宋体" w:hAnsi="宋体" w:cs="宋体"/>
                <w:color w:val="auto"/>
                <w:highlight w:val="none"/>
              </w:rPr>
            </w:pPr>
          </w:p>
        </w:tc>
        <w:tc>
          <w:tcPr>
            <w:tcW w:w="1205" w:type="dxa"/>
            <w:noWrap w:val="0"/>
            <w:vAlign w:val="top"/>
          </w:tcPr>
          <w:p>
            <w:pPr>
              <w:spacing w:line="360" w:lineRule="auto"/>
              <w:jc w:val="center"/>
              <w:rPr>
                <w:rFonts w:ascii="宋体" w:hAnsi="宋体" w:cs="宋体"/>
                <w:color w:val="auto"/>
                <w:highlight w:val="none"/>
              </w:rPr>
            </w:pPr>
          </w:p>
        </w:tc>
        <w:tc>
          <w:tcPr>
            <w:tcW w:w="2266" w:type="dxa"/>
            <w:noWrap w:val="0"/>
            <w:vAlign w:val="center"/>
          </w:tcPr>
          <w:p>
            <w:pPr>
              <w:spacing w:line="360" w:lineRule="auto"/>
              <w:jc w:val="center"/>
              <w:rPr>
                <w:rFonts w:ascii="宋体" w:hAnsi="宋体" w:cs="宋体"/>
                <w:color w:val="auto"/>
                <w:highlight w:val="none"/>
              </w:rPr>
            </w:pPr>
          </w:p>
        </w:tc>
        <w:tc>
          <w:tcPr>
            <w:tcW w:w="1197" w:type="dxa"/>
            <w:noWrap w:val="0"/>
            <w:vAlign w:val="center"/>
          </w:tcPr>
          <w:p>
            <w:pPr>
              <w:spacing w:line="360" w:lineRule="auto"/>
              <w:jc w:val="center"/>
              <w:rPr>
                <w:rFonts w:ascii="宋体" w:hAnsi="宋体" w:cs="宋体"/>
                <w:color w:val="auto"/>
                <w:highlight w:val="none"/>
              </w:rPr>
            </w:pPr>
          </w:p>
        </w:tc>
        <w:tc>
          <w:tcPr>
            <w:tcW w:w="1507" w:type="dxa"/>
            <w:noWrap w:val="0"/>
            <w:vAlign w:val="center"/>
          </w:tcPr>
          <w:p>
            <w:pPr>
              <w:spacing w:line="360" w:lineRule="auto"/>
              <w:jc w:val="center"/>
              <w:rPr>
                <w:rFonts w:ascii="宋体" w:hAnsi="宋体" w:cs="宋体"/>
                <w:color w:val="auto"/>
                <w:highlight w:val="none"/>
              </w:rPr>
            </w:pPr>
          </w:p>
        </w:tc>
        <w:tc>
          <w:tcPr>
            <w:tcW w:w="753" w:type="dxa"/>
            <w:noWrap w:val="0"/>
            <w:vAlign w:val="center"/>
          </w:tcPr>
          <w:p>
            <w:pPr>
              <w:spacing w:line="360" w:lineRule="auto"/>
              <w:jc w:val="center"/>
              <w:rPr>
                <w:rFonts w:ascii="宋体" w:hAnsi="宋体" w:cs="宋体"/>
                <w:color w:val="auto"/>
                <w:highlight w:val="none"/>
              </w:rPr>
            </w:pPr>
          </w:p>
        </w:tc>
        <w:tc>
          <w:tcPr>
            <w:tcW w:w="603" w:type="dxa"/>
            <w:noWrap w:val="0"/>
            <w:vAlign w:val="center"/>
          </w:tcPr>
          <w:p>
            <w:pPr>
              <w:spacing w:line="360" w:lineRule="auto"/>
              <w:jc w:val="center"/>
              <w:rPr>
                <w:rFonts w:ascii="宋体" w:hAnsi="宋体" w:cs="宋体"/>
                <w:color w:val="auto"/>
                <w:highlight w:val="none"/>
              </w:rPr>
            </w:pPr>
          </w:p>
        </w:tc>
        <w:tc>
          <w:tcPr>
            <w:tcW w:w="1356" w:type="dxa"/>
            <w:noWrap w:val="0"/>
            <w:vAlign w:val="center"/>
          </w:tcPr>
          <w:p>
            <w:pPr>
              <w:spacing w:line="360" w:lineRule="auto"/>
              <w:jc w:val="center"/>
              <w:rPr>
                <w:rFonts w:ascii="宋体" w:hAnsi="宋体" w:cs="宋体"/>
                <w:color w:val="auto"/>
                <w:highlight w:val="none"/>
              </w:rPr>
            </w:pPr>
          </w:p>
        </w:tc>
        <w:tc>
          <w:tcPr>
            <w:tcW w:w="1297" w:type="dxa"/>
            <w:noWrap w:val="0"/>
            <w:vAlign w:val="center"/>
          </w:tcPr>
          <w:p>
            <w:pPr>
              <w:spacing w:line="360" w:lineRule="auto"/>
              <w:jc w:val="center"/>
              <w:rPr>
                <w:rFonts w:ascii="宋体" w:hAnsi="宋体" w:cs="宋体"/>
                <w:color w:val="auto"/>
                <w:highlight w:val="none"/>
              </w:rPr>
            </w:pPr>
          </w:p>
        </w:tc>
        <w:tc>
          <w:tcPr>
            <w:tcW w:w="1262" w:type="dxa"/>
            <w:noWrap w:val="0"/>
            <w:vAlign w:val="center"/>
          </w:tcPr>
          <w:p>
            <w:pPr>
              <w:spacing w:line="360" w:lineRule="auto"/>
              <w:jc w:val="center"/>
              <w:rPr>
                <w:rFonts w:ascii="宋体" w:hAnsi="宋体" w:cs="宋体"/>
                <w:color w:val="auto"/>
                <w:highlight w:val="none"/>
              </w:rPr>
            </w:pPr>
          </w:p>
        </w:tc>
        <w:tc>
          <w:tcPr>
            <w:tcW w:w="1074" w:type="dxa"/>
            <w:noWrap w:val="0"/>
            <w:vAlign w:val="center"/>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4" w:type="dxa"/>
            <w:noWrap w:val="0"/>
            <w:vAlign w:val="center"/>
          </w:tcPr>
          <w:p>
            <w:pPr>
              <w:spacing w:line="360" w:lineRule="auto"/>
              <w:jc w:val="center"/>
              <w:rPr>
                <w:rFonts w:ascii="宋体" w:hAnsi="宋体" w:cs="宋体"/>
                <w:color w:val="auto"/>
                <w:highlight w:val="none"/>
              </w:rPr>
            </w:pPr>
          </w:p>
        </w:tc>
        <w:tc>
          <w:tcPr>
            <w:tcW w:w="1205" w:type="dxa"/>
            <w:noWrap w:val="0"/>
            <w:vAlign w:val="top"/>
          </w:tcPr>
          <w:p>
            <w:pPr>
              <w:spacing w:line="360" w:lineRule="auto"/>
              <w:jc w:val="center"/>
              <w:rPr>
                <w:rFonts w:ascii="宋体" w:hAnsi="宋体" w:cs="宋体"/>
                <w:color w:val="auto"/>
                <w:highlight w:val="none"/>
              </w:rPr>
            </w:pPr>
          </w:p>
        </w:tc>
        <w:tc>
          <w:tcPr>
            <w:tcW w:w="2266" w:type="dxa"/>
            <w:noWrap w:val="0"/>
            <w:vAlign w:val="center"/>
          </w:tcPr>
          <w:p>
            <w:pPr>
              <w:spacing w:line="360" w:lineRule="auto"/>
              <w:jc w:val="center"/>
              <w:rPr>
                <w:rFonts w:ascii="宋体" w:hAnsi="宋体" w:cs="宋体"/>
                <w:color w:val="auto"/>
                <w:highlight w:val="none"/>
              </w:rPr>
            </w:pPr>
          </w:p>
        </w:tc>
        <w:tc>
          <w:tcPr>
            <w:tcW w:w="1197" w:type="dxa"/>
            <w:noWrap w:val="0"/>
            <w:vAlign w:val="center"/>
          </w:tcPr>
          <w:p>
            <w:pPr>
              <w:spacing w:line="360" w:lineRule="auto"/>
              <w:jc w:val="center"/>
              <w:rPr>
                <w:rFonts w:ascii="宋体" w:hAnsi="宋体" w:cs="宋体"/>
                <w:color w:val="auto"/>
                <w:highlight w:val="none"/>
              </w:rPr>
            </w:pPr>
          </w:p>
        </w:tc>
        <w:tc>
          <w:tcPr>
            <w:tcW w:w="1507" w:type="dxa"/>
            <w:noWrap w:val="0"/>
            <w:vAlign w:val="center"/>
          </w:tcPr>
          <w:p>
            <w:pPr>
              <w:spacing w:line="360" w:lineRule="auto"/>
              <w:jc w:val="center"/>
              <w:rPr>
                <w:rFonts w:ascii="宋体" w:hAnsi="宋体" w:cs="宋体"/>
                <w:color w:val="auto"/>
                <w:highlight w:val="none"/>
              </w:rPr>
            </w:pPr>
          </w:p>
        </w:tc>
        <w:tc>
          <w:tcPr>
            <w:tcW w:w="753" w:type="dxa"/>
            <w:noWrap w:val="0"/>
            <w:vAlign w:val="center"/>
          </w:tcPr>
          <w:p>
            <w:pPr>
              <w:spacing w:line="360" w:lineRule="auto"/>
              <w:jc w:val="center"/>
              <w:rPr>
                <w:rFonts w:ascii="宋体" w:hAnsi="宋体" w:cs="宋体"/>
                <w:color w:val="auto"/>
                <w:highlight w:val="none"/>
              </w:rPr>
            </w:pPr>
          </w:p>
        </w:tc>
        <w:tc>
          <w:tcPr>
            <w:tcW w:w="603" w:type="dxa"/>
            <w:noWrap w:val="0"/>
            <w:vAlign w:val="center"/>
          </w:tcPr>
          <w:p>
            <w:pPr>
              <w:spacing w:line="360" w:lineRule="auto"/>
              <w:jc w:val="center"/>
              <w:rPr>
                <w:rFonts w:ascii="宋体" w:hAnsi="宋体" w:cs="宋体"/>
                <w:color w:val="auto"/>
                <w:highlight w:val="none"/>
              </w:rPr>
            </w:pPr>
          </w:p>
        </w:tc>
        <w:tc>
          <w:tcPr>
            <w:tcW w:w="1356" w:type="dxa"/>
            <w:noWrap w:val="0"/>
            <w:vAlign w:val="center"/>
          </w:tcPr>
          <w:p>
            <w:pPr>
              <w:spacing w:line="360" w:lineRule="auto"/>
              <w:jc w:val="center"/>
              <w:rPr>
                <w:rFonts w:ascii="宋体" w:hAnsi="宋体" w:cs="宋体"/>
                <w:color w:val="auto"/>
                <w:highlight w:val="none"/>
              </w:rPr>
            </w:pPr>
          </w:p>
        </w:tc>
        <w:tc>
          <w:tcPr>
            <w:tcW w:w="1297" w:type="dxa"/>
            <w:noWrap w:val="0"/>
            <w:vAlign w:val="center"/>
          </w:tcPr>
          <w:p>
            <w:pPr>
              <w:spacing w:line="360" w:lineRule="auto"/>
              <w:jc w:val="center"/>
              <w:rPr>
                <w:rFonts w:ascii="宋体" w:hAnsi="宋体" w:cs="宋体"/>
                <w:color w:val="auto"/>
                <w:highlight w:val="none"/>
              </w:rPr>
            </w:pPr>
          </w:p>
        </w:tc>
        <w:tc>
          <w:tcPr>
            <w:tcW w:w="1262" w:type="dxa"/>
            <w:noWrap w:val="0"/>
            <w:vAlign w:val="center"/>
          </w:tcPr>
          <w:p>
            <w:pPr>
              <w:spacing w:line="360" w:lineRule="auto"/>
              <w:jc w:val="center"/>
              <w:rPr>
                <w:rFonts w:ascii="宋体" w:hAnsi="宋体" w:cs="宋体"/>
                <w:color w:val="auto"/>
                <w:highlight w:val="none"/>
              </w:rPr>
            </w:pPr>
          </w:p>
        </w:tc>
        <w:tc>
          <w:tcPr>
            <w:tcW w:w="1074" w:type="dxa"/>
            <w:noWrap w:val="0"/>
            <w:vAlign w:val="center"/>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4" w:type="dxa"/>
            <w:noWrap w:val="0"/>
            <w:vAlign w:val="center"/>
          </w:tcPr>
          <w:p>
            <w:pPr>
              <w:spacing w:line="360" w:lineRule="auto"/>
              <w:jc w:val="center"/>
              <w:rPr>
                <w:rFonts w:ascii="宋体" w:hAnsi="宋体" w:cs="宋体"/>
                <w:color w:val="auto"/>
                <w:highlight w:val="none"/>
              </w:rPr>
            </w:pPr>
          </w:p>
        </w:tc>
        <w:tc>
          <w:tcPr>
            <w:tcW w:w="1205" w:type="dxa"/>
            <w:noWrap w:val="0"/>
            <w:vAlign w:val="top"/>
          </w:tcPr>
          <w:p>
            <w:pPr>
              <w:spacing w:line="360" w:lineRule="auto"/>
              <w:jc w:val="center"/>
              <w:rPr>
                <w:rFonts w:ascii="宋体" w:hAnsi="宋体" w:cs="宋体"/>
                <w:color w:val="auto"/>
                <w:highlight w:val="none"/>
              </w:rPr>
            </w:pPr>
          </w:p>
        </w:tc>
        <w:tc>
          <w:tcPr>
            <w:tcW w:w="2266" w:type="dxa"/>
            <w:noWrap w:val="0"/>
            <w:vAlign w:val="center"/>
          </w:tcPr>
          <w:p>
            <w:pPr>
              <w:spacing w:line="360" w:lineRule="auto"/>
              <w:jc w:val="center"/>
              <w:rPr>
                <w:rFonts w:ascii="宋体" w:hAnsi="宋体" w:cs="宋体"/>
                <w:color w:val="auto"/>
                <w:highlight w:val="none"/>
              </w:rPr>
            </w:pPr>
          </w:p>
        </w:tc>
        <w:tc>
          <w:tcPr>
            <w:tcW w:w="1197" w:type="dxa"/>
            <w:noWrap w:val="0"/>
            <w:vAlign w:val="center"/>
          </w:tcPr>
          <w:p>
            <w:pPr>
              <w:spacing w:line="360" w:lineRule="auto"/>
              <w:jc w:val="center"/>
              <w:rPr>
                <w:rFonts w:ascii="宋体" w:hAnsi="宋体" w:cs="宋体"/>
                <w:color w:val="auto"/>
                <w:highlight w:val="none"/>
              </w:rPr>
            </w:pPr>
          </w:p>
        </w:tc>
        <w:tc>
          <w:tcPr>
            <w:tcW w:w="1507" w:type="dxa"/>
            <w:noWrap w:val="0"/>
            <w:vAlign w:val="center"/>
          </w:tcPr>
          <w:p>
            <w:pPr>
              <w:spacing w:line="360" w:lineRule="auto"/>
              <w:jc w:val="center"/>
              <w:rPr>
                <w:rFonts w:ascii="宋体" w:hAnsi="宋体" w:cs="宋体"/>
                <w:color w:val="auto"/>
                <w:highlight w:val="none"/>
              </w:rPr>
            </w:pPr>
          </w:p>
        </w:tc>
        <w:tc>
          <w:tcPr>
            <w:tcW w:w="753" w:type="dxa"/>
            <w:noWrap w:val="0"/>
            <w:vAlign w:val="center"/>
          </w:tcPr>
          <w:p>
            <w:pPr>
              <w:spacing w:line="360" w:lineRule="auto"/>
              <w:jc w:val="center"/>
              <w:rPr>
                <w:rFonts w:ascii="宋体" w:hAnsi="宋体" w:cs="宋体"/>
                <w:color w:val="auto"/>
                <w:highlight w:val="none"/>
              </w:rPr>
            </w:pPr>
          </w:p>
        </w:tc>
        <w:tc>
          <w:tcPr>
            <w:tcW w:w="603" w:type="dxa"/>
            <w:noWrap w:val="0"/>
            <w:vAlign w:val="center"/>
          </w:tcPr>
          <w:p>
            <w:pPr>
              <w:spacing w:line="360" w:lineRule="auto"/>
              <w:jc w:val="center"/>
              <w:rPr>
                <w:rFonts w:ascii="宋体" w:hAnsi="宋体" w:cs="宋体"/>
                <w:color w:val="auto"/>
                <w:highlight w:val="none"/>
              </w:rPr>
            </w:pPr>
          </w:p>
        </w:tc>
        <w:tc>
          <w:tcPr>
            <w:tcW w:w="1356" w:type="dxa"/>
            <w:noWrap w:val="0"/>
            <w:vAlign w:val="center"/>
          </w:tcPr>
          <w:p>
            <w:pPr>
              <w:spacing w:line="360" w:lineRule="auto"/>
              <w:jc w:val="center"/>
              <w:rPr>
                <w:rFonts w:ascii="宋体" w:hAnsi="宋体" w:cs="宋体"/>
                <w:color w:val="auto"/>
                <w:highlight w:val="none"/>
              </w:rPr>
            </w:pPr>
          </w:p>
        </w:tc>
        <w:tc>
          <w:tcPr>
            <w:tcW w:w="1297" w:type="dxa"/>
            <w:noWrap w:val="0"/>
            <w:vAlign w:val="center"/>
          </w:tcPr>
          <w:p>
            <w:pPr>
              <w:spacing w:line="360" w:lineRule="auto"/>
              <w:jc w:val="center"/>
              <w:rPr>
                <w:rFonts w:ascii="宋体" w:hAnsi="宋体" w:cs="宋体"/>
                <w:color w:val="auto"/>
                <w:highlight w:val="none"/>
              </w:rPr>
            </w:pPr>
          </w:p>
        </w:tc>
        <w:tc>
          <w:tcPr>
            <w:tcW w:w="1262" w:type="dxa"/>
            <w:noWrap w:val="0"/>
            <w:vAlign w:val="center"/>
          </w:tcPr>
          <w:p>
            <w:pPr>
              <w:spacing w:line="360" w:lineRule="auto"/>
              <w:jc w:val="center"/>
              <w:rPr>
                <w:rFonts w:ascii="宋体" w:hAnsi="宋体" w:cs="宋体"/>
                <w:color w:val="auto"/>
                <w:highlight w:val="none"/>
              </w:rPr>
            </w:pPr>
          </w:p>
        </w:tc>
        <w:tc>
          <w:tcPr>
            <w:tcW w:w="1074" w:type="dxa"/>
            <w:noWrap w:val="0"/>
            <w:vAlign w:val="center"/>
          </w:tcPr>
          <w:p>
            <w:pPr>
              <w:spacing w:line="360" w:lineRule="auto"/>
              <w:jc w:val="center"/>
              <w:rPr>
                <w:rFonts w:ascii="宋体" w:hAnsi="宋体" w:cs="宋体"/>
                <w:color w:val="auto"/>
                <w:highlight w:val="none"/>
              </w:rPr>
            </w:pPr>
          </w:p>
        </w:tc>
      </w:tr>
    </w:tbl>
    <w:p>
      <w:pPr>
        <w:spacing w:line="360" w:lineRule="auto"/>
        <w:ind w:firstLine="720" w:firstLineChars="300"/>
        <w:rPr>
          <w:rFonts w:ascii="宋体" w:hAnsi="宋体" w:cs="宋体"/>
          <w:color w:val="auto"/>
          <w:sz w:val="28"/>
          <w:szCs w:val="28"/>
          <w:highlight w:val="none"/>
        </w:rPr>
      </w:pPr>
      <w:r>
        <w:rPr>
          <w:rFonts w:hint="eastAsia" w:ascii="宋体" w:hAnsi="宋体" w:cs="宋体"/>
          <w:color w:val="auto"/>
          <w:sz w:val="24"/>
          <w:szCs w:val="24"/>
          <w:highlight w:val="none"/>
        </w:rPr>
        <w:t>填表：复核：批准：单位（章）　　　　　　　　日期：　　年　　月　　日</w:t>
      </w:r>
    </w:p>
    <w:p>
      <w:pPr>
        <w:widowControl/>
        <w:spacing w:afterAutospacing="1" w:line="360" w:lineRule="auto"/>
        <w:jc w:val="left"/>
        <w:rPr>
          <w:rFonts w:ascii="宋体" w:hAnsi="宋体" w:cs="宋体"/>
          <w:b/>
          <w:bCs/>
          <w:color w:val="auto"/>
          <w:kern w:val="0"/>
          <w:sz w:val="24"/>
          <w:szCs w:val="24"/>
          <w:highlight w:val="none"/>
        </w:rPr>
        <w:sectPr>
          <w:endnotePr>
            <w:numFmt w:val="decimal"/>
          </w:endnotePr>
          <w:type w:val="continuous"/>
          <w:pgSz w:w="16838" w:h="11906" w:orient="landscape"/>
          <w:pgMar w:top="1440" w:right="1800" w:bottom="1440" w:left="1800" w:header="0" w:footer="0" w:gutter="0"/>
          <w:pgNumType w:fmt="decimal"/>
          <w:cols w:space="720" w:num="1"/>
        </w:sectPr>
      </w:pPr>
    </w:p>
    <w:p>
      <w:pPr>
        <w:spacing w:line="360" w:lineRule="auto"/>
        <w:outlineLvl w:val="1"/>
        <w:rPr>
          <w:rFonts w:ascii="宋体" w:hAnsi="宋体" w:cs="宋体"/>
          <w:b/>
          <w:bCs/>
          <w:color w:val="auto"/>
          <w:sz w:val="24"/>
          <w:szCs w:val="24"/>
          <w:highlight w:val="none"/>
        </w:rPr>
      </w:pPr>
      <w:bookmarkStart w:id="1971" w:name="_Toc469384141"/>
      <w:bookmarkStart w:id="1972" w:name="_Toc266892925"/>
      <w:bookmarkStart w:id="1973" w:name="_Toc2083418978"/>
      <w:bookmarkStart w:id="1974" w:name="_Toc10664"/>
      <w:bookmarkStart w:id="1975" w:name="_Toc19900"/>
      <w:bookmarkStart w:id="1976" w:name="_Toc11617"/>
      <w:bookmarkStart w:id="1977" w:name="_Toc823719676"/>
      <w:bookmarkStart w:id="1978" w:name="_Toc23185"/>
      <w:bookmarkStart w:id="1979" w:name="_Toc24349"/>
      <w:bookmarkStart w:id="1980" w:name="_Toc5135"/>
      <w:r>
        <w:rPr>
          <w:rFonts w:hint="eastAsia" w:ascii="宋体" w:hAnsi="宋体" w:cs="宋体"/>
          <w:b/>
          <w:bCs/>
          <w:color w:val="auto"/>
          <w:sz w:val="24"/>
          <w:szCs w:val="24"/>
          <w:highlight w:val="none"/>
        </w:rPr>
        <w:t>附件</w:t>
      </w:r>
      <w:bookmarkEnd w:id="1971"/>
      <w:bookmarkEnd w:id="1972"/>
      <w:r>
        <w:rPr>
          <w:rFonts w:hint="eastAsia" w:ascii="宋体" w:hAnsi="宋体" w:cs="宋体"/>
          <w:b/>
          <w:bCs/>
          <w:color w:val="auto"/>
          <w:sz w:val="24"/>
          <w:szCs w:val="24"/>
          <w:highlight w:val="none"/>
        </w:rPr>
        <w:t>2：</w:t>
      </w:r>
      <w:bookmarkEnd w:id="1973"/>
      <w:bookmarkEnd w:id="1974"/>
      <w:bookmarkEnd w:id="1975"/>
      <w:bookmarkEnd w:id="1976"/>
      <w:bookmarkEnd w:id="1977"/>
      <w:bookmarkEnd w:id="1978"/>
      <w:bookmarkEnd w:id="1979"/>
      <w:bookmarkEnd w:id="1980"/>
    </w:p>
    <w:p>
      <w:pPr>
        <w:spacing w:line="360" w:lineRule="auto"/>
        <w:rPr>
          <w:rFonts w:ascii="宋体" w:hAnsi="宋体" w:cs="宋体"/>
          <w:color w:val="auto"/>
          <w:sz w:val="24"/>
          <w:szCs w:val="24"/>
          <w:highlight w:val="none"/>
        </w:rPr>
      </w:pPr>
    </w:p>
    <w:p>
      <w:pPr>
        <w:adjustRightInd w:val="0"/>
        <w:snapToGrid w:val="0"/>
        <w:spacing w:line="360" w:lineRule="auto"/>
        <w:jc w:val="center"/>
        <w:rPr>
          <w:rFonts w:ascii="宋体" w:hAnsi="宋体" w:cs="宋体"/>
          <w:b/>
          <w:bCs/>
          <w:color w:val="auto"/>
          <w:spacing w:val="32"/>
          <w:sz w:val="36"/>
          <w:szCs w:val="36"/>
          <w:highlight w:val="none"/>
        </w:rPr>
      </w:pPr>
      <w:r>
        <w:rPr>
          <w:rFonts w:hint="eastAsia" w:ascii="宋体" w:hAnsi="宋体" w:cs="宋体"/>
          <w:b/>
          <w:bCs/>
          <w:color w:val="auto"/>
          <w:spacing w:val="32"/>
          <w:sz w:val="36"/>
          <w:szCs w:val="36"/>
          <w:highlight w:val="none"/>
        </w:rPr>
        <w:t>工程质量保修书</w:t>
      </w:r>
    </w:p>
    <w:p>
      <w:pPr>
        <w:adjustRightInd w:val="0"/>
        <w:snapToGrid w:val="0"/>
        <w:spacing w:line="360" w:lineRule="auto"/>
        <w:rPr>
          <w:rFonts w:ascii="宋体" w:hAnsi="宋体" w:cs="宋体"/>
          <w:color w:val="auto"/>
          <w:sz w:val="24"/>
          <w:szCs w:val="24"/>
          <w:highlight w:val="none"/>
        </w:rPr>
      </w:pP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发包人：（全称）</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承包人：（全称）</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为保证（工程名称）在合理使用期限内正常使用，合同双方当事人根据《中华人民共和国建筑法》、《建设工程质量管理条例》和《房屋建筑工程质量保修办法》等规定，经协商一致，订立本质量保修书。</w:t>
      </w:r>
    </w:p>
    <w:p>
      <w:pPr>
        <w:numPr>
          <w:ilvl w:val="0"/>
          <w:numId w:val="34"/>
        </w:numPr>
        <w:adjustRightInd w:val="0"/>
        <w:snapToGrid w:val="0"/>
        <w:spacing w:line="360" w:lineRule="auto"/>
        <w:ind w:left="902" w:leftChars="200" w:hanging="482" w:hangingChars="200"/>
        <w:rPr>
          <w:rFonts w:ascii="宋体" w:hAnsi="宋体" w:cs="宋体"/>
          <w:color w:val="auto"/>
          <w:sz w:val="24"/>
          <w:szCs w:val="24"/>
          <w:highlight w:val="none"/>
        </w:rPr>
      </w:pPr>
      <w:r>
        <w:rPr>
          <w:rFonts w:hint="eastAsia" w:ascii="宋体" w:hAnsi="宋体" w:cs="宋体"/>
          <w:b/>
          <w:bCs/>
          <w:color w:val="auto"/>
          <w:sz w:val="24"/>
          <w:szCs w:val="24"/>
          <w:highlight w:val="none"/>
        </w:rPr>
        <w:t>质量保修范围</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w:t>
      </w:r>
    </w:p>
    <w:p>
      <w:pPr>
        <w:numPr>
          <w:ilvl w:val="0"/>
          <w:numId w:val="34"/>
        </w:numPr>
        <w:adjustRightInd w:val="0"/>
        <w:snapToGrid w:val="0"/>
        <w:spacing w:line="360" w:lineRule="auto"/>
        <w:ind w:left="902" w:leftChars="200" w:hanging="482" w:hangingChars="200"/>
        <w:rPr>
          <w:rFonts w:ascii="宋体" w:hAnsi="宋体" w:cs="宋体"/>
          <w:color w:val="auto"/>
          <w:sz w:val="24"/>
          <w:szCs w:val="24"/>
          <w:highlight w:val="none"/>
        </w:rPr>
      </w:pPr>
      <w:r>
        <w:rPr>
          <w:rFonts w:hint="eastAsia" w:ascii="宋体" w:hAnsi="宋体" w:cs="宋体"/>
          <w:b/>
          <w:bCs/>
          <w:color w:val="auto"/>
          <w:sz w:val="24"/>
          <w:szCs w:val="24"/>
          <w:highlight w:val="none"/>
        </w:rPr>
        <w:t>质量保修期</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2.1 质量保修期从工程实际竣工之日算起。单项竣工验收的工程，按单项工程分别计算质量保修期。</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2.2 </w:t>
      </w:r>
      <w:r>
        <w:rPr>
          <w:rFonts w:hint="eastAsia" w:ascii="宋体" w:hAnsi="宋体" w:cs="宋体"/>
          <w:color w:val="auto"/>
          <w:kern w:val="0"/>
          <w:sz w:val="24"/>
          <w:szCs w:val="24"/>
          <w:highlight w:val="none"/>
          <w:lang w:val="zh-CN"/>
        </w:rPr>
        <w:t>合同工程质量保修期，合同双方当事人约定如下</w:t>
      </w:r>
      <w:r>
        <w:rPr>
          <w:rFonts w:hint="eastAsia" w:ascii="宋体" w:hAnsi="宋体" w:cs="宋体"/>
          <w:color w:val="auto"/>
          <w:sz w:val="24"/>
          <w:szCs w:val="24"/>
          <w:highlight w:val="none"/>
        </w:rPr>
        <w:t>：</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1．基础设施工程、房屋建筑的地基基础工程</w:t>
      </w:r>
      <w:r>
        <w:rPr>
          <w:rFonts w:hint="eastAsia" w:ascii="宋体" w:hAnsi="宋体" w:cs="宋体"/>
          <w:color w:val="auto"/>
          <w:sz w:val="24"/>
          <w:szCs w:val="24"/>
          <w:highlight w:val="none"/>
          <w:lang w:val="en-US" w:eastAsia="zh-CN"/>
        </w:rPr>
        <w:t>和</w:t>
      </w:r>
      <w:r>
        <w:rPr>
          <w:rFonts w:hint="eastAsia" w:ascii="宋体" w:hAnsi="宋体" w:cs="宋体"/>
          <w:color w:val="auto"/>
          <w:sz w:val="24"/>
          <w:szCs w:val="24"/>
          <w:highlight w:val="none"/>
        </w:rPr>
        <w:t>主体结构工程为设计文件规定的合理使用年限；</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2．屋面防水工程、有防水要求的卫生间、房间和外墙面的防渗漏工程为5年；</w:t>
      </w:r>
    </w:p>
    <w:p>
      <w:pPr>
        <w:adjustRightInd w:val="0"/>
        <w:snapToGrid w:val="0"/>
        <w:spacing w:line="360" w:lineRule="auto"/>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 xml:space="preserve">  3．电气管线工程、给排水管道工程、设备安装工程为2年；</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4．供热、供冷系统工程为2个采暖期、供冷期；</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5．装饰装修工程为2年；</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6．其他项目：燃气管道工程为2年。</w:t>
      </w:r>
    </w:p>
    <w:p>
      <w:pPr>
        <w:adjustRightInd w:val="0"/>
        <w:snapToGrid w:val="0"/>
        <w:spacing w:line="360" w:lineRule="auto"/>
        <w:ind w:firstLine="480" w:firstLineChars="200"/>
        <w:rPr>
          <w:rFonts w:ascii="宋体" w:hAnsi="宋体" w:cs="宋体"/>
          <w:color w:val="auto"/>
          <w:sz w:val="24"/>
          <w:szCs w:val="24"/>
          <w:highlight w:val="none"/>
        </w:rPr>
      </w:pPr>
    </w:p>
    <w:p>
      <w:pPr>
        <w:adjustRightInd w:val="0"/>
        <w:snapToGrid w:val="0"/>
        <w:spacing w:line="360" w:lineRule="auto"/>
        <w:ind w:left="480"/>
        <w:rPr>
          <w:rFonts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b/>
          <w:bCs/>
          <w:color w:val="auto"/>
          <w:sz w:val="24"/>
          <w:szCs w:val="24"/>
          <w:highlight w:val="none"/>
        </w:rPr>
        <w:t>质量保修责任</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3.1  </w:t>
      </w:r>
      <w:r>
        <w:rPr>
          <w:rFonts w:hint="eastAsia" w:ascii="宋体" w:hAnsi="宋体" w:cs="宋体"/>
          <w:color w:val="auto"/>
          <w:kern w:val="0"/>
          <w:sz w:val="24"/>
          <w:szCs w:val="24"/>
          <w:highlight w:val="none"/>
          <w:lang w:val="zh-CN"/>
        </w:rPr>
        <w:t>属于保修范围的项目，承包人应在接到发包人通知后的</w:t>
      </w:r>
      <w:r>
        <w:rPr>
          <w:rFonts w:hint="eastAsia" w:ascii="宋体" w:hAnsi="宋体" w:cs="宋体"/>
          <w:color w:val="auto"/>
          <w:kern w:val="0"/>
          <w:sz w:val="24"/>
          <w:szCs w:val="24"/>
          <w:highlight w:val="none"/>
        </w:rPr>
        <w:t xml:space="preserve"> 7 </w:t>
      </w:r>
      <w:r>
        <w:rPr>
          <w:rFonts w:hint="eastAsia" w:ascii="宋体" w:hAnsi="宋体" w:cs="宋体"/>
          <w:color w:val="auto"/>
          <w:kern w:val="0"/>
          <w:sz w:val="24"/>
          <w:szCs w:val="24"/>
          <w:highlight w:val="none"/>
          <w:lang w:val="zh-CN"/>
        </w:rPr>
        <w:t>天内派人保修。承包人未能在规定时间内派人保修的，发包人可自行或委托第三方保修</w:t>
      </w:r>
      <w:r>
        <w:rPr>
          <w:rFonts w:hint="eastAsia" w:ascii="宋体" w:hAnsi="宋体" w:cs="宋体"/>
          <w:color w:val="auto"/>
          <w:sz w:val="24"/>
          <w:szCs w:val="24"/>
          <w:highlight w:val="none"/>
        </w:rPr>
        <w:t>。</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  发生紧急抢修事故的，承包人在接到通知后，应立即到达事故现场抢修。</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3.3  在国家规定的工程合理使用期限内，承包人应确保地基基础工程和主体结构的质量和安全。凡出现其质量问题，应立即报告当地建设行政主管部门，经设计人提出保修方案后，承包人应立即实施保修。</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3.4  质量保修完成后，由发包人组织验收。</w:t>
      </w:r>
    </w:p>
    <w:p>
      <w:pPr>
        <w:adjustRightInd w:val="0"/>
        <w:snapToGrid w:val="0"/>
        <w:spacing w:line="360" w:lineRule="auto"/>
        <w:ind w:left="480"/>
        <w:rPr>
          <w:rFonts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cs="宋体"/>
          <w:b/>
          <w:bCs/>
          <w:color w:val="auto"/>
          <w:sz w:val="24"/>
          <w:szCs w:val="24"/>
          <w:highlight w:val="none"/>
        </w:rPr>
        <w:t>质量保修费用</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kern w:val="0"/>
          <w:sz w:val="24"/>
          <w:szCs w:val="24"/>
          <w:highlight w:val="none"/>
          <w:lang w:val="zh-CN"/>
        </w:rPr>
        <w:t>质量保修等费用，由责任方承担</w:t>
      </w:r>
      <w:r>
        <w:rPr>
          <w:rFonts w:hint="eastAsia" w:ascii="宋体" w:hAnsi="宋体" w:cs="宋体"/>
          <w:color w:val="auto"/>
          <w:sz w:val="24"/>
          <w:szCs w:val="24"/>
          <w:highlight w:val="none"/>
        </w:rPr>
        <w:t>。</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b/>
          <w:bCs/>
          <w:color w:val="auto"/>
          <w:sz w:val="24"/>
          <w:szCs w:val="24"/>
          <w:highlight w:val="none"/>
        </w:rPr>
        <w:t>质量保证金</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kern w:val="0"/>
          <w:sz w:val="24"/>
          <w:szCs w:val="24"/>
          <w:highlight w:val="none"/>
          <w:lang w:val="zh-CN"/>
        </w:rPr>
        <w:t>质量保证金的约定、支付和使用与本合同第二部分《通用条款》第</w:t>
      </w:r>
      <w:r>
        <w:rPr>
          <w:rFonts w:hint="eastAsia" w:ascii="宋体" w:hAnsi="宋体" w:cs="宋体"/>
          <w:color w:val="auto"/>
          <w:kern w:val="0"/>
          <w:sz w:val="24"/>
          <w:szCs w:val="24"/>
          <w:highlight w:val="none"/>
        </w:rPr>
        <w:t xml:space="preserve"> 84 </w:t>
      </w:r>
      <w:r>
        <w:rPr>
          <w:rFonts w:hint="eastAsia" w:ascii="宋体" w:hAnsi="宋体" w:cs="宋体"/>
          <w:color w:val="auto"/>
          <w:kern w:val="0"/>
          <w:sz w:val="24"/>
          <w:szCs w:val="24"/>
          <w:highlight w:val="none"/>
          <w:lang w:val="zh-CN"/>
        </w:rPr>
        <w:t>条赋予的规</w:t>
      </w:r>
      <w:r>
        <w:rPr>
          <w:rFonts w:hint="eastAsia" w:ascii="宋体" w:hAnsi="宋体" w:cs="宋体"/>
          <w:color w:val="auto"/>
          <w:sz w:val="24"/>
          <w:szCs w:val="24"/>
          <w:highlight w:val="none"/>
        </w:rPr>
        <w:t>定一致。</w:t>
      </w:r>
    </w:p>
    <w:p>
      <w:pPr>
        <w:adjustRightInd w:val="0"/>
        <w:snapToGrid w:val="0"/>
        <w:spacing w:line="360" w:lineRule="auto"/>
        <w:ind w:left="480"/>
        <w:rPr>
          <w:rFonts w:ascii="宋体" w:hAnsi="宋体" w:cs="宋体"/>
          <w:color w:val="auto"/>
          <w:sz w:val="24"/>
          <w:szCs w:val="24"/>
          <w:highlight w:val="none"/>
        </w:rPr>
      </w:pPr>
      <w:r>
        <w:rPr>
          <w:rFonts w:hint="eastAsia" w:ascii="宋体" w:hAnsi="宋体" w:cs="宋体"/>
          <w:color w:val="auto"/>
          <w:sz w:val="24"/>
          <w:szCs w:val="24"/>
          <w:highlight w:val="none"/>
        </w:rPr>
        <w:t>6．</w:t>
      </w:r>
      <w:r>
        <w:rPr>
          <w:rFonts w:hint="eastAsia" w:ascii="宋体" w:hAnsi="宋体" w:cs="宋体"/>
          <w:b/>
          <w:bCs/>
          <w:color w:val="auto"/>
          <w:sz w:val="24"/>
          <w:szCs w:val="24"/>
          <w:highlight w:val="none"/>
        </w:rPr>
        <w:t>其他</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6.1  </w:t>
      </w:r>
      <w:r>
        <w:rPr>
          <w:rFonts w:hint="eastAsia" w:ascii="宋体" w:hAnsi="宋体" w:cs="宋体"/>
          <w:color w:val="auto"/>
          <w:kern w:val="0"/>
          <w:sz w:val="24"/>
          <w:szCs w:val="24"/>
          <w:highlight w:val="none"/>
          <w:lang w:val="zh-CN"/>
        </w:rPr>
        <w:t>合同双方当事人约定的其他质量保修事</w:t>
      </w:r>
      <w:r>
        <w:rPr>
          <w:rFonts w:hint="eastAsia" w:ascii="宋体" w:hAnsi="宋体" w:cs="宋体"/>
          <w:color w:val="auto"/>
          <w:sz w:val="24"/>
          <w:szCs w:val="24"/>
          <w:highlight w:val="none"/>
        </w:rPr>
        <w:t>项：</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6.2  </w:t>
      </w:r>
      <w:r>
        <w:rPr>
          <w:rFonts w:hint="eastAsia" w:ascii="宋体" w:hAnsi="宋体" w:cs="宋体"/>
          <w:color w:val="auto"/>
          <w:kern w:val="0"/>
          <w:sz w:val="24"/>
          <w:szCs w:val="24"/>
          <w:highlight w:val="none"/>
          <w:lang w:val="zh-CN"/>
        </w:rPr>
        <w:t>本质量保修书，由合同双方当事人在承包人向发包人提交竣工验收申请报告时签署，作为本合同的附件</w:t>
      </w:r>
      <w:r>
        <w:rPr>
          <w:rFonts w:hint="eastAsia" w:ascii="宋体" w:hAnsi="宋体" w:cs="宋体"/>
          <w:color w:val="auto"/>
          <w:sz w:val="24"/>
          <w:szCs w:val="24"/>
          <w:highlight w:val="none"/>
        </w:rPr>
        <w:t>。</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6.3  </w:t>
      </w:r>
      <w:r>
        <w:rPr>
          <w:rFonts w:hint="eastAsia" w:ascii="宋体" w:hAnsi="宋体" w:cs="宋体"/>
          <w:color w:val="auto"/>
          <w:kern w:val="0"/>
          <w:sz w:val="24"/>
          <w:szCs w:val="24"/>
          <w:highlight w:val="none"/>
          <w:lang w:val="zh-CN"/>
        </w:rPr>
        <w:t>本质量保修书，自合同双方当事人签署之日起生效，至质量保修期满后失效。</w:t>
      </w:r>
    </w:p>
    <w:p>
      <w:pPr>
        <w:adjustRightInd w:val="0"/>
        <w:snapToGrid w:val="0"/>
        <w:spacing w:line="360" w:lineRule="auto"/>
        <w:ind w:firstLine="480" w:firstLineChars="200"/>
        <w:rPr>
          <w:rFonts w:ascii="宋体" w:hAnsi="宋体" w:cs="宋体"/>
          <w:color w:val="auto"/>
          <w:sz w:val="24"/>
          <w:szCs w:val="24"/>
          <w:highlight w:val="none"/>
        </w:rPr>
      </w:pPr>
    </w:p>
    <w:p>
      <w:pPr>
        <w:adjustRightInd w:val="0"/>
        <w:snapToGrid w:val="0"/>
        <w:spacing w:line="360" w:lineRule="auto"/>
        <w:ind w:firstLine="480" w:firstLineChars="200"/>
        <w:rPr>
          <w:rFonts w:ascii="宋体" w:hAnsi="宋体" w:cs="宋体"/>
          <w:color w:val="auto"/>
          <w:sz w:val="24"/>
          <w:szCs w:val="24"/>
          <w:highlight w:val="none"/>
        </w:rPr>
      </w:pP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发包人：（盖章）                承包人：（盖章）</w:t>
      </w:r>
    </w:p>
    <w:p>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法定代表人：（签字）            法定代表人：（签字）</w:t>
      </w:r>
    </w:p>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联系电话：                      联系电话：</w:t>
      </w:r>
    </w:p>
    <w:p>
      <w:pPr>
        <w:adjustRightInd w:val="0"/>
        <w:snapToGrid w:val="0"/>
        <w:spacing w:line="360" w:lineRule="auto"/>
        <w:ind w:firstLine="1440" w:firstLineChars="600"/>
        <w:rPr>
          <w:rFonts w:ascii="宋体" w:hAnsi="宋体" w:cs="宋体"/>
          <w:color w:val="auto"/>
          <w:sz w:val="24"/>
          <w:szCs w:val="24"/>
          <w:highlight w:val="none"/>
        </w:rPr>
      </w:pPr>
      <w:r>
        <w:rPr>
          <w:rFonts w:hint="eastAsia" w:ascii="宋体" w:hAnsi="宋体" w:cs="宋体"/>
          <w:color w:val="auto"/>
          <w:sz w:val="24"/>
          <w:szCs w:val="24"/>
          <w:highlight w:val="none"/>
        </w:rPr>
        <w:t>年    月    日                 年    月    日</w:t>
      </w:r>
    </w:p>
    <w:p>
      <w:pPr>
        <w:spacing w:line="360" w:lineRule="auto"/>
        <w:rPr>
          <w:rFonts w:ascii="宋体" w:hAnsi="宋体" w:cs="宋体"/>
          <w:color w:val="auto"/>
          <w:sz w:val="24"/>
          <w:szCs w:val="24"/>
          <w:highlight w:val="none"/>
        </w:rPr>
      </w:pPr>
    </w:p>
    <w:p>
      <w:pPr>
        <w:spacing w:line="360" w:lineRule="auto"/>
        <w:outlineLvl w:val="1"/>
        <w:rPr>
          <w:rFonts w:ascii="宋体" w:hAnsi="宋体" w:cs="宋体"/>
          <w:b/>
          <w:bCs/>
          <w:color w:val="auto"/>
          <w:kern w:val="0"/>
          <w:sz w:val="24"/>
          <w:szCs w:val="24"/>
          <w:highlight w:val="none"/>
        </w:rPr>
      </w:pPr>
      <w:r>
        <w:rPr>
          <w:rFonts w:hint="eastAsia" w:ascii="宋体" w:hAnsi="宋体" w:cs="宋体"/>
          <w:color w:val="auto"/>
          <w:kern w:val="0"/>
          <w:sz w:val="24"/>
          <w:szCs w:val="24"/>
          <w:highlight w:val="none"/>
        </w:rPr>
        <w:br w:type="page"/>
      </w:r>
      <w:bookmarkStart w:id="1981" w:name="_Toc8921"/>
      <w:bookmarkStart w:id="1982" w:name="_Toc1577005970"/>
      <w:bookmarkStart w:id="1983" w:name="_Toc20137"/>
      <w:bookmarkStart w:id="1984" w:name="_Toc975"/>
      <w:bookmarkStart w:id="1985" w:name="_Toc29178"/>
      <w:bookmarkStart w:id="1986" w:name="_Toc20854"/>
      <w:bookmarkStart w:id="1987" w:name="_Toc30791"/>
      <w:bookmarkStart w:id="1988" w:name="_Toc1301898911"/>
      <w:r>
        <w:rPr>
          <w:rFonts w:hint="eastAsia" w:ascii="宋体" w:hAnsi="宋体" w:cs="宋体"/>
          <w:b/>
          <w:bCs/>
          <w:color w:val="auto"/>
          <w:sz w:val="24"/>
          <w:szCs w:val="24"/>
          <w:highlight w:val="none"/>
        </w:rPr>
        <w:t>附件3：</w:t>
      </w:r>
      <w:bookmarkEnd w:id="1981"/>
      <w:bookmarkEnd w:id="1982"/>
      <w:bookmarkEnd w:id="1983"/>
      <w:bookmarkEnd w:id="1984"/>
      <w:bookmarkEnd w:id="1985"/>
      <w:bookmarkEnd w:id="1986"/>
      <w:bookmarkEnd w:id="1987"/>
      <w:bookmarkEnd w:id="1988"/>
    </w:p>
    <w:p>
      <w:pPr>
        <w:adjustRightInd w:val="0"/>
        <w:snapToGrid w:val="0"/>
        <w:spacing w:before="120" w:beforeLines="50" w:after="120" w:afterLines="50"/>
        <w:jc w:val="center"/>
        <w:rPr>
          <w:rFonts w:ascii="宋体" w:hAnsi="宋体" w:cs="宋体"/>
          <w:b/>
          <w:color w:val="auto"/>
          <w:sz w:val="28"/>
          <w:szCs w:val="28"/>
          <w:highlight w:val="none"/>
        </w:rPr>
      </w:pPr>
      <w:r>
        <w:rPr>
          <w:rFonts w:hint="eastAsia" w:ascii="宋体" w:hAnsi="宋体" w:cs="宋体"/>
          <w:b/>
          <w:color w:val="auto"/>
          <w:sz w:val="28"/>
          <w:szCs w:val="28"/>
          <w:highlight w:val="none"/>
        </w:rPr>
        <w:t>履约保函</w:t>
      </w:r>
    </w:p>
    <w:p>
      <w:pPr>
        <w:spacing w:line="500" w:lineRule="exact"/>
        <w:rPr>
          <w:rFonts w:ascii="宋体" w:hAnsi="宋体" w:cs="宋体"/>
          <w:color w:val="auto"/>
          <w:sz w:val="24"/>
          <w:highlight w:val="none"/>
        </w:rPr>
      </w:pPr>
      <w:r>
        <w:rPr>
          <w:rFonts w:hint="eastAsia" w:ascii="宋体" w:hAnsi="宋体" w:cs="宋体"/>
          <w:color w:val="auto"/>
          <w:sz w:val="24"/>
          <w:highlight w:val="none"/>
        </w:rPr>
        <w:t>(受益人名称)______________ ：</w:t>
      </w:r>
    </w:p>
    <w:p>
      <w:pPr>
        <w:adjustRightInd w:val="0"/>
        <w:snapToGrid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本保函作为__________（以下简称“申请人”）的履约保函，系为贵公司和申请人就_________（以下简称“项目”）订立的第           号合同（以下简称“合同”）出具。</w:t>
      </w:r>
    </w:p>
    <w:p>
      <w:pPr>
        <w:adjustRightInd w:val="0"/>
        <w:snapToGrid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我行，      （履约保函出具银行）在此无条件且不可撤销地保证以    （币种）向贵公司支付相当于合同价格的百分之XX（XX%）的金额，即     的金额。我行保证不以任何理由追索。我行的权利义务的继承人和受让人亦受同样的约束。我行同意下述条件：</w:t>
      </w:r>
    </w:p>
    <w:p>
      <w:pPr>
        <w:adjustRightInd w:val="0"/>
        <w:snapToGrid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1.我行向贵公司保证申请人根据合同履行义务并承担责任。</w:t>
      </w:r>
    </w:p>
    <w:p>
      <w:pPr>
        <w:adjustRightInd w:val="0"/>
        <w:snapToGrid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2.如果申请人未能履行或者承担由合同引起的或与合同有关的合同项下的任何义务或任何责任，我行将在收到贵公司书面通知后七个工作日内以通知中规定的方式支付贵方要求的合计不超过       的款项。</w:t>
      </w:r>
    </w:p>
    <w:p>
      <w:pPr>
        <w:adjustRightInd w:val="0"/>
        <w:snapToGrid w:val="0"/>
        <w:spacing w:line="480" w:lineRule="exact"/>
        <w:ind w:firstLine="480" w:firstLineChars="200"/>
        <w:rPr>
          <w:rFonts w:ascii="宋体" w:hAnsi="宋体" w:cs="宋体"/>
          <w:strike/>
          <w:color w:val="auto"/>
          <w:sz w:val="24"/>
          <w:szCs w:val="24"/>
          <w:highlight w:val="none"/>
        </w:rPr>
      </w:pPr>
      <w:r>
        <w:rPr>
          <w:rFonts w:hint="eastAsia" w:ascii="宋体" w:hAnsi="宋体" w:cs="宋体"/>
          <w:color w:val="auto"/>
          <w:sz w:val="24"/>
          <w:szCs w:val="24"/>
          <w:highlight w:val="none"/>
        </w:rPr>
        <w:t>3.本保函适用于本合同以及在本合同项下作出的、给予的或同意的所有修订、更改或附加部分，不论我行是否收到该修订、更改或附加部分。我行放弃取得有关上述修订、更改或附加部分的通知的权利。</w:t>
      </w:r>
    </w:p>
    <w:p>
      <w:pPr>
        <w:adjustRightInd w:val="0"/>
        <w:snapToGrid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4.对于现在或将来的产生的税收、税费、收费、扣减费用或预提款项，不论这些款项是何种性质和由谁征收，都不应从本保函项下的支付中扣除。 </w:t>
      </w:r>
    </w:p>
    <w:p>
      <w:pPr>
        <w:adjustRightInd w:val="0"/>
        <w:snapToGrid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本保函条款构成我行无条件的不可撤销的直接责任。有关即将履行的合同条款的任何变更及贵方同意的时间的宽限或其他延长或特许或贵方的其他作为或不作为都不能免除、解除或豁免我行在本保函项下的责任。</w:t>
      </w:r>
    </w:p>
    <w:p>
      <w:pPr>
        <w:adjustRightInd w:val="0"/>
        <w:snapToGrid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6.本保函自开立之日起生效，有效期至     年   月    日止。</w:t>
      </w:r>
    </w:p>
    <w:p>
      <w:pPr>
        <w:adjustRightInd w:val="0"/>
        <w:snapToGrid w:val="0"/>
        <w:spacing w:line="480" w:lineRule="exact"/>
        <w:ind w:firstLine="480" w:firstLineChars="200"/>
        <w:jc w:val="center"/>
        <w:rPr>
          <w:rFonts w:ascii="宋体" w:hAnsi="宋体" w:cs="宋体"/>
          <w:color w:val="auto"/>
          <w:sz w:val="24"/>
          <w:szCs w:val="24"/>
          <w:highlight w:val="none"/>
        </w:rPr>
      </w:pPr>
      <w:r>
        <w:rPr>
          <w:rFonts w:hint="eastAsia" w:ascii="宋体" w:hAnsi="宋体" w:cs="宋体"/>
          <w:color w:val="auto"/>
          <w:sz w:val="24"/>
          <w:szCs w:val="24"/>
          <w:highlight w:val="none"/>
        </w:rPr>
        <w:t>（开立保函银行名称）（盖章）</w:t>
      </w:r>
    </w:p>
    <w:p>
      <w:pPr>
        <w:adjustRightInd w:val="0"/>
        <w:snapToGrid w:val="0"/>
        <w:spacing w:line="480" w:lineRule="exact"/>
        <w:ind w:firstLine="480" w:firstLineChars="200"/>
        <w:jc w:val="center"/>
        <w:rPr>
          <w:rFonts w:ascii="宋体" w:hAnsi="宋体" w:cs="宋体"/>
          <w:color w:val="auto"/>
          <w:sz w:val="24"/>
          <w:szCs w:val="24"/>
          <w:highlight w:val="none"/>
        </w:rPr>
      </w:pPr>
      <w:r>
        <w:rPr>
          <w:rFonts w:hint="eastAsia" w:ascii="宋体" w:hAnsi="宋体" w:cs="宋体"/>
          <w:color w:val="auto"/>
          <w:sz w:val="24"/>
          <w:szCs w:val="24"/>
          <w:highlight w:val="none"/>
        </w:rPr>
        <w:t>法定代表人或委托代理人签名：</w:t>
      </w:r>
    </w:p>
    <w:p>
      <w:pPr>
        <w:adjustRightInd w:val="0"/>
        <w:snapToGrid w:val="0"/>
        <w:spacing w:line="480" w:lineRule="exact"/>
        <w:ind w:firstLine="4080" w:firstLineChars="1700"/>
        <w:rPr>
          <w:rFonts w:ascii="宋体" w:hAnsi="宋体" w:cs="宋体"/>
          <w:color w:val="auto"/>
          <w:sz w:val="24"/>
          <w:szCs w:val="24"/>
          <w:highlight w:val="none"/>
        </w:rPr>
      </w:pPr>
      <w:r>
        <w:rPr>
          <w:rFonts w:hint="eastAsia" w:ascii="宋体" w:hAnsi="宋体" w:cs="宋体"/>
          <w:color w:val="auto"/>
          <w:sz w:val="24"/>
          <w:szCs w:val="24"/>
          <w:highlight w:val="none"/>
        </w:rPr>
        <w:t>地址：</w:t>
      </w:r>
    </w:p>
    <w:p>
      <w:pPr>
        <w:tabs>
          <w:tab w:val="left" w:pos="630"/>
          <w:tab w:val="left" w:pos="3990"/>
          <w:tab w:val="left" w:pos="5040"/>
          <w:tab w:val="left" w:pos="6840"/>
          <w:tab w:val="left" w:pos="7350"/>
          <w:tab w:val="left" w:pos="8160"/>
        </w:tabs>
        <w:snapToGrid w:val="0"/>
        <w:spacing w:line="480" w:lineRule="exact"/>
        <w:ind w:firstLine="480" w:firstLineChars="200"/>
        <w:jc w:val="center"/>
        <w:rPr>
          <w:rFonts w:ascii="宋体" w:hAnsi="宋体" w:cs="宋体"/>
          <w:color w:val="auto"/>
          <w:sz w:val="24"/>
          <w:szCs w:val="24"/>
          <w:highlight w:val="none"/>
        </w:rPr>
      </w:pPr>
      <w:r>
        <w:rPr>
          <w:rFonts w:hint="eastAsia" w:ascii="宋体" w:hAnsi="宋体" w:cs="宋体"/>
          <w:color w:val="auto"/>
          <w:sz w:val="24"/>
          <w:szCs w:val="24"/>
          <w:highlight w:val="none"/>
        </w:rPr>
        <w:t>日期：</w:t>
      </w:r>
    </w:p>
    <w:p>
      <w:pPr>
        <w:spacing w:line="360" w:lineRule="auto"/>
        <w:outlineLvl w:val="1"/>
        <w:rPr>
          <w:rFonts w:ascii="宋体" w:hAnsi="宋体" w:cs="宋体"/>
          <w:b/>
          <w:bCs/>
          <w:color w:val="auto"/>
          <w:sz w:val="24"/>
          <w:szCs w:val="24"/>
          <w:highlight w:val="none"/>
        </w:rPr>
      </w:pPr>
      <w:r>
        <w:rPr>
          <w:rFonts w:hint="eastAsia" w:ascii="宋体" w:hAnsi="宋体" w:cs="宋体"/>
          <w:color w:val="auto"/>
          <w:sz w:val="24"/>
          <w:szCs w:val="24"/>
          <w:highlight w:val="none"/>
        </w:rPr>
        <w:br w:type="page"/>
      </w:r>
      <w:bookmarkStart w:id="1989" w:name="_Toc1862"/>
      <w:bookmarkStart w:id="1990" w:name="_Toc165"/>
      <w:bookmarkStart w:id="1991" w:name="_Toc496166516"/>
      <w:bookmarkStart w:id="1992" w:name="_Toc16775"/>
      <w:bookmarkStart w:id="1993" w:name="_Toc10446"/>
      <w:bookmarkStart w:id="1994" w:name="_Toc11386"/>
      <w:bookmarkStart w:id="1995" w:name="_Toc304117894"/>
      <w:bookmarkStart w:id="1996" w:name="_Toc1311"/>
      <w:r>
        <w:rPr>
          <w:rFonts w:hint="eastAsia" w:ascii="宋体" w:hAnsi="宋体" w:cs="宋体"/>
          <w:b/>
          <w:bCs/>
          <w:color w:val="auto"/>
          <w:sz w:val="24"/>
          <w:szCs w:val="24"/>
          <w:highlight w:val="none"/>
        </w:rPr>
        <w:t>附件</w:t>
      </w:r>
      <w:r>
        <w:rPr>
          <w:rFonts w:hint="eastAsia" w:ascii="宋体" w:hAnsi="宋体" w:cs="宋体"/>
          <w:b/>
          <w:bCs/>
          <w:color w:val="auto"/>
          <w:sz w:val="24"/>
          <w:szCs w:val="24"/>
          <w:highlight w:val="none"/>
          <w:lang w:val="en-US" w:eastAsia="zh-CN"/>
        </w:rPr>
        <w:t>4</w:t>
      </w:r>
      <w:r>
        <w:rPr>
          <w:rFonts w:hint="eastAsia" w:ascii="宋体" w:hAnsi="宋体" w:cs="宋体"/>
          <w:b/>
          <w:bCs/>
          <w:color w:val="auto"/>
          <w:sz w:val="24"/>
          <w:szCs w:val="24"/>
          <w:highlight w:val="none"/>
        </w:rPr>
        <w:t>：</w:t>
      </w:r>
      <w:bookmarkEnd w:id="1989"/>
      <w:bookmarkEnd w:id="1990"/>
      <w:bookmarkEnd w:id="1991"/>
      <w:bookmarkEnd w:id="1992"/>
      <w:bookmarkEnd w:id="1993"/>
      <w:bookmarkEnd w:id="1994"/>
      <w:bookmarkEnd w:id="1995"/>
      <w:bookmarkEnd w:id="1996"/>
    </w:p>
    <w:p>
      <w:pPr>
        <w:spacing w:line="360" w:lineRule="auto"/>
        <w:jc w:val="center"/>
        <w:rPr>
          <w:rFonts w:ascii="宋体" w:hAnsi="宋体" w:cs="宋体"/>
          <w:b/>
          <w:bCs/>
          <w:color w:val="auto"/>
          <w:spacing w:val="30"/>
          <w:sz w:val="44"/>
          <w:szCs w:val="44"/>
          <w:highlight w:val="none"/>
        </w:rPr>
      </w:pPr>
      <w:r>
        <w:rPr>
          <w:rFonts w:hint="eastAsia" w:ascii="宋体" w:hAnsi="宋体" w:cs="宋体"/>
          <w:b/>
          <w:bCs/>
          <w:color w:val="auto"/>
          <w:spacing w:val="30"/>
          <w:sz w:val="44"/>
          <w:szCs w:val="44"/>
          <w:highlight w:val="none"/>
        </w:rPr>
        <w:t>工程项目一览表</w:t>
      </w:r>
    </w:p>
    <w:tbl>
      <w:tblPr>
        <w:tblStyle w:val="38"/>
        <w:tblW w:w="8522" w:type="dxa"/>
        <w:jc w:val="center"/>
        <w:tblLayout w:type="fixed"/>
        <w:tblCellMar>
          <w:top w:w="0" w:type="dxa"/>
          <w:left w:w="108" w:type="dxa"/>
          <w:bottom w:w="0" w:type="dxa"/>
          <w:right w:w="108" w:type="dxa"/>
        </w:tblCellMar>
      </w:tblPr>
      <w:tblGrid>
        <w:gridCol w:w="1645"/>
        <w:gridCol w:w="2512"/>
        <w:gridCol w:w="4365"/>
      </w:tblGrid>
      <w:tr>
        <w:tblPrEx>
          <w:tblCellMar>
            <w:top w:w="0" w:type="dxa"/>
            <w:left w:w="108" w:type="dxa"/>
            <w:bottom w:w="0" w:type="dxa"/>
            <w:right w:w="108" w:type="dxa"/>
          </w:tblCellMar>
        </w:tblPrEx>
        <w:trPr>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项号</w:t>
            </w:r>
          </w:p>
        </w:tc>
        <w:tc>
          <w:tcPr>
            <w:tcW w:w="251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项目</w:t>
            </w:r>
          </w:p>
        </w:tc>
        <w:tc>
          <w:tcPr>
            <w:tcW w:w="436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内容</w:t>
            </w:r>
          </w:p>
        </w:tc>
      </w:tr>
      <w:tr>
        <w:tblPrEx>
          <w:tblCellMar>
            <w:top w:w="0" w:type="dxa"/>
            <w:left w:w="108" w:type="dxa"/>
            <w:bottom w:w="0" w:type="dxa"/>
            <w:right w:w="108" w:type="dxa"/>
          </w:tblCellMar>
        </w:tblPrEx>
        <w:trPr>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1</w:t>
            </w:r>
          </w:p>
        </w:tc>
        <w:tc>
          <w:tcPr>
            <w:tcW w:w="251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工程名称</w:t>
            </w:r>
          </w:p>
        </w:tc>
        <w:tc>
          <w:tcPr>
            <w:tcW w:w="436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2</w:t>
            </w:r>
          </w:p>
        </w:tc>
        <w:tc>
          <w:tcPr>
            <w:tcW w:w="251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w w:val="90"/>
                <w:sz w:val="28"/>
                <w:szCs w:val="28"/>
                <w:highlight w:val="none"/>
              </w:rPr>
            </w:pPr>
            <w:r>
              <w:rPr>
                <w:rFonts w:hint="eastAsia" w:ascii="宋体" w:hAnsi="宋体" w:cs="宋体"/>
                <w:color w:val="auto"/>
                <w:sz w:val="28"/>
                <w:szCs w:val="28"/>
                <w:highlight w:val="none"/>
              </w:rPr>
              <w:t>工程地点</w:t>
            </w:r>
          </w:p>
        </w:tc>
        <w:tc>
          <w:tcPr>
            <w:tcW w:w="436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ind w:left="-6" w:firstLine="6"/>
              <w:jc w:val="center"/>
              <w:rPr>
                <w:rFonts w:ascii="宋体" w:hAnsi="宋体" w:cs="宋体"/>
                <w:color w:val="auto"/>
                <w:sz w:val="28"/>
                <w:szCs w:val="28"/>
                <w:highlight w:val="none"/>
              </w:rPr>
            </w:pPr>
          </w:p>
          <w:p>
            <w:pPr>
              <w:spacing w:line="360" w:lineRule="auto"/>
              <w:ind w:left="-6" w:firstLine="6"/>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3</w:t>
            </w:r>
          </w:p>
        </w:tc>
        <w:tc>
          <w:tcPr>
            <w:tcW w:w="251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发包人</w:t>
            </w:r>
          </w:p>
        </w:tc>
        <w:tc>
          <w:tcPr>
            <w:tcW w:w="436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ind w:left="-6" w:firstLine="6"/>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4</w:t>
            </w:r>
          </w:p>
        </w:tc>
        <w:tc>
          <w:tcPr>
            <w:tcW w:w="251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设计人</w:t>
            </w:r>
          </w:p>
        </w:tc>
        <w:tc>
          <w:tcPr>
            <w:tcW w:w="436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5</w:t>
            </w:r>
          </w:p>
        </w:tc>
        <w:tc>
          <w:tcPr>
            <w:tcW w:w="251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监理人</w:t>
            </w:r>
          </w:p>
        </w:tc>
        <w:tc>
          <w:tcPr>
            <w:tcW w:w="436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6</w:t>
            </w:r>
          </w:p>
        </w:tc>
        <w:tc>
          <w:tcPr>
            <w:tcW w:w="251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工程造价咨询人（如有）</w:t>
            </w:r>
          </w:p>
        </w:tc>
        <w:tc>
          <w:tcPr>
            <w:tcW w:w="436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7</w:t>
            </w:r>
          </w:p>
        </w:tc>
        <w:tc>
          <w:tcPr>
            <w:tcW w:w="251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承包人</w:t>
            </w:r>
          </w:p>
        </w:tc>
        <w:tc>
          <w:tcPr>
            <w:tcW w:w="436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8</w:t>
            </w:r>
          </w:p>
        </w:tc>
        <w:tc>
          <w:tcPr>
            <w:tcW w:w="251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w w:val="90"/>
                <w:sz w:val="28"/>
                <w:szCs w:val="28"/>
                <w:highlight w:val="none"/>
              </w:rPr>
            </w:pPr>
            <w:r>
              <w:rPr>
                <w:rFonts w:hint="eastAsia" w:ascii="宋体" w:hAnsi="宋体" w:cs="宋体"/>
                <w:color w:val="auto"/>
                <w:sz w:val="28"/>
                <w:szCs w:val="28"/>
                <w:highlight w:val="none"/>
              </w:rPr>
              <w:t>工程总投资</w:t>
            </w:r>
          </w:p>
        </w:tc>
        <w:tc>
          <w:tcPr>
            <w:tcW w:w="436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ind w:left="-3" w:firstLine="3"/>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9</w:t>
            </w:r>
          </w:p>
        </w:tc>
        <w:tc>
          <w:tcPr>
            <w:tcW w:w="251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计划开工日期</w:t>
            </w:r>
          </w:p>
        </w:tc>
        <w:tc>
          <w:tcPr>
            <w:tcW w:w="436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10</w:t>
            </w:r>
          </w:p>
        </w:tc>
        <w:tc>
          <w:tcPr>
            <w:tcW w:w="251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计划竣工日期</w:t>
            </w:r>
          </w:p>
        </w:tc>
        <w:tc>
          <w:tcPr>
            <w:tcW w:w="436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cantSplit/>
          <w:trHeight w:val="99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11</w:t>
            </w:r>
          </w:p>
        </w:tc>
        <w:tc>
          <w:tcPr>
            <w:tcW w:w="2512"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工程质量</w:t>
            </w:r>
          </w:p>
        </w:tc>
        <w:tc>
          <w:tcPr>
            <w:tcW w:w="436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ascii="宋体" w:hAnsi="宋体" w:cs="宋体"/>
                <w:color w:val="auto"/>
                <w:sz w:val="28"/>
                <w:szCs w:val="28"/>
                <w:highlight w:val="none"/>
              </w:rPr>
            </w:pPr>
          </w:p>
        </w:tc>
      </w:tr>
    </w:tbl>
    <w:p>
      <w:pPr>
        <w:widowControl/>
        <w:spacing w:line="360" w:lineRule="auto"/>
        <w:jc w:val="left"/>
        <w:rPr>
          <w:rFonts w:ascii="宋体" w:hAnsi="宋体" w:cs="宋体"/>
          <w:color w:val="auto"/>
          <w:kern w:val="0"/>
          <w:sz w:val="24"/>
          <w:szCs w:val="24"/>
          <w:highlight w:val="none"/>
        </w:rPr>
        <w:sectPr>
          <w:endnotePr>
            <w:numFmt w:val="decimal"/>
          </w:endnotePr>
          <w:type w:val="continuous"/>
          <w:pgSz w:w="11906" w:h="16838"/>
          <w:pgMar w:top="1440" w:right="1800" w:bottom="1440" w:left="1800" w:header="0" w:footer="0" w:gutter="0"/>
          <w:pgNumType w:fmt="decimal"/>
          <w:cols w:space="720" w:num="1"/>
        </w:sectPr>
      </w:pPr>
    </w:p>
    <w:p>
      <w:pPr>
        <w:spacing w:line="360" w:lineRule="auto"/>
        <w:outlineLvl w:val="1"/>
        <w:rPr>
          <w:rFonts w:ascii="宋体" w:hAnsi="宋体" w:cs="宋体"/>
          <w:b/>
          <w:bCs/>
          <w:color w:val="auto"/>
          <w:sz w:val="24"/>
          <w:szCs w:val="24"/>
          <w:highlight w:val="none"/>
        </w:rPr>
      </w:pPr>
      <w:bookmarkStart w:id="1997" w:name="_Toc25576"/>
      <w:bookmarkStart w:id="1998" w:name="_Toc5994"/>
      <w:bookmarkStart w:id="1999" w:name="_Toc391633111"/>
      <w:bookmarkStart w:id="2000" w:name="_Toc3511"/>
      <w:bookmarkStart w:id="2001" w:name="_Toc30677"/>
      <w:bookmarkStart w:id="2002" w:name="_Toc1769"/>
      <w:bookmarkStart w:id="2003" w:name="_Toc298364598"/>
      <w:bookmarkStart w:id="2004" w:name="_Toc7132"/>
      <w:r>
        <w:rPr>
          <w:rFonts w:hint="eastAsia" w:ascii="宋体" w:hAnsi="宋体" w:cs="宋体"/>
          <w:b/>
          <w:bCs/>
          <w:color w:val="auto"/>
          <w:sz w:val="24"/>
          <w:szCs w:val="24"/>
          <w:highlight w:val="none"/>
        </w:rPr>
        <w:t>附件</w:t>
      </w:r>
      <w:r>
        <w:rPr>
          <w:rFonts w:hint="eastAsia" w:ascii="宋体" w:hAnsi="宋体" w:cs="宋体"/>
          <w:b/>
          <w:bCs/>
          <w:color w:val="auto"/>
          <w:sz w:val="24"/>
          <w:szCs w:val="24"/>
          <w:highlight w:val="none"/>
          <w:lang w:val="en-US" w:eastAsia="zh-CN"/>
        </w:rPr>
        <w:t>5</w:t>
      </w:r>
      <w:r>
        <w:rPr>
          <w:rFonts w:hint="eastAsia" w:ascii="宋体" w:hAnsi="宋体" w:cs="宋体"/>
          <w:b/>
          <w:bCs/>
          <w:color w:val="auto"/>
          <w:sz w:val="24"/>
          <w:szCs w:val="24"/>
          <w:highlight w:val="none"/>
        </w:rPr>
        <w:t>：</w:t>
      </w:r>
      <w:bookmarkEnd w:id="1997"/>
      <w:bookmarkEnd w:id="1998"/>
      <w:bookmarkEnd w:id="1999"/>
      <w:bookmarkEnd w:id="2000"/>
      <w:bookmarkEnd w:id="2001"/>
      <w:bookmarkEnd w:id="2002"/>
      <w:bookmarkEnd w:id="2003"/>
      <w:bookmarkEnd w:id="2004"/>
    </w:p>
    <w:p>
      <w:pPr>
        <w:spacing w:line="360" w:lineRule="auto"/>
        <w:jc w:val="center"/>
        <w:rPr>
          <w:rFonts w:ascii="宋体" w:hAnsi="宋体" w:cs="宋体"/>
          <w:b/>
          <w:bCs/>
          <w:color w:val="auto"/>
          <w:spacing w:val="32"/>
          <w:kern w:val="36"/>
          <w:sz w:val="36"/>
          <w:szCs w:val="36"/>
          <w:highlight w:val="none"/>
        </w:rPr>
      </w:pPr>
      <w:r>
        <w:rPr>
          <w:rFonts w:hint="eastAsia" w:ascii="宋体" w:hAnsi="宋体" w:cs="宋体"/>
          <w:b/>
          <w:bCs/>
          <w:color w:val="auto"/>
          <w:spacing w:val="32"/>
          <w:kern w:val="36"/>
          <w:sz w:val="36"/>
          <w:szCs w:val="36"/>
          <w:highlight w:val="none"/>
        </w:rPr>
        <w:t>承包人派驻现场主要管理人员及技术骨干名单</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工程名称：编号：</w:t>
      </w:r>
    </w:p>
    <w:tbl>
      <w:tblPr>
        <w:tblStyle w:val="38"/>
        <w:tblW w:w="13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05"/>
        <w:gridCol w:w="705"/>
        <w:gridCol w:w="705"/>
        <w:gridCol w:w="705"/>
        <w:gridCol w:w="705"/>
        <w:gridCol w:w="1168"/>
        <w:gridCol w:w="1055"/>
        <w:gridCol w:w="885"/>
        <w:gridCol w:w="896"/>
        <w:gridCol w:w="1192"/>
        <w:gridCol w:w="1940"/>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705"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705" w:type="dxa"/>
            <w:noWrap w:val="0"/>
            <w:vAlign w:val="center"/>
          </w:tcPr>
          <w:p>
            <w:pPr>
              <w:tabs>
                <w:tab w:val="left" w:pos="150"/>
              </w:tabs>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705"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705"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年龄</w:t>
            </w:r>
          </w:p>
        </w:tc>
        <w:tc>
          <w:tcPr>
            <w:tcW w:w="705"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学历</w:t>
            </w:r>
          </w:p>
        </w:tc>
        <w:tc>
          <w:tcPr>
            <w:tcW w:w="705"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专业</w:t>
            </w:r>
          </w:p>
        </w:tc>
        <w:tc>
          <w:tcPr>
            <w:tcW w:w="1168"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现任职务、</w:t>
            </w:r>
          </w:p>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技术职务</w:t>
            </w:r>
          </w:p>
        </w:tc>
        <w:tc>
          <w:tcPr>
            <w:tcW w:w="1055"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联系电话</w:t>
            </w:r>
          </w:p>
        </w:tc>
        <w:tc>
          <w:tcPr>
            <w:tcW w:w="885"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专业</w:t>
            </w:r>
          </w:p>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工龄</w:t>
            </w:r>
          </w:p>
        </w:tc>
        <w:tc>
          <w:tcPr>
            <w:tcW w:w="896"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专业</w:t>
            </w:r>
          </w:p>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特长</w:t>
            </w:r>
          </w:p>
        </w:tc>
        <w:tc>
          <w:tcPr>
            <w:tcW w:w="1192"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从事施工</w:t>
            </w:r>
          </w:p>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工作年限</w:t>
            </w:r>
          </w:p>
        </w:tc>
        <w:tc>
          <w:tcPr>
            <w:tcW w:w="1940"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主要专业工作经历（曾参与过的羡慕和获奖情况）</w:t>
            </w:r>
          </w:p>
        </w:tc>
        <w:tc>
          <w:tcPr>
            <w:tcW w:w="2088" w:type="dxa"/>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在本工程担任职务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top"/>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1168" w:type="dxa"/>
            <w:noWrap w:val="0"/>
            <w:vAlign w:val="center"/>
          </w:tcPr>
          <w:p>
            <w:pPr>
              <w:spacing w:line="360" w:lineRule="auto"/>
              <w:jc w:val="center"/>
              <w:rPr>
                <w:rFonts w:ascii="宋体" w:hAnsi="宋体" w:cs="宋体"/>
                <w:color w:val="auto"/>
                <w:highlight w:val="none"/>
              </w:rPr>
            </w:pPr>
          </w:p>
        </w:tc>
        <w:tc>
          <w:tcPr>
            <w:tcW w:w="1055" w:type="dxa"/>
            <w:noWrap w:val="0"/>
            <w:vAlign w:val="center"/>
          </w:tcPr>
          <w:p>
            <w:pPr>
              <w:spacing w:line="360" w:lineRule="auto"/>
              <w:jc w:val="center"/>
              <w:rPr>
                <w:rFonts w:ascii="宋体" w:hAnsi="宋体" w:cs="宋体"/>
                <w:color w:val="auto"/>
                <w:highlight w:val="none"/>
              </w:rPr>
            </w:pPr>
          </w:p>
        </w:tc>
        <w:tc>
          <w:tcPr>
            <w:tcW w:w="885" w:type="dxa"/>
            <w:noWrap w:val="0"/>
            <w:vAlign w:val="center"/>
          </w:tcPr>
          <w:p>
            <w:pPr>
              <w:spacing w:line="360" w:lineRule="auto"/>
              <w:jc w:val="center"/>
              <w:rPr>
                <w:rFonts w:ascii="宋体" w:hAnsi="宋体" w:cs="宋体"/>
                <w:color w:val="auto"/>
                <w:highlight w:val="none"/>
              </w:rPr>
            </w:pPr>
          </w:p>
        </w:tc>
        <w:tc>
          <w:tcPr>
            <w:tcW w:w="896" w:type="dxa"/>
            <w:noWrap w:val="0"/>
            <w:vAlign w:val="center"/>
          </w:tcPr>
          <w:p>
            <w:pPr>
              <w:spacing w:line="360" w:lineRule="auto"/>
              <w:jc w:val="center"/>
              <w:rPr>
                <w:rFonts w:ascii="宋体" w:hAnsi="宋体" w:cs="宋体"/>
                <w:color w:val="auto"/>
                <w:highlight w:val="none"/>
              </w:rPr>
            </w:pPr>
          </w:p>
        </w:tc>
        <w:tc>
          <w:tcPr>
            <w:tcW w:w="1192" w:type="dxa"/>
            <w:noWrap w:val="0"/>
            <w:vAlign w:val="center"/>
          </w:tcPr>
          <w:p>
            <w:pPr>
              <w:spacing w:line="360" w:lineRule="auto"/>
              <w:jc w:val="center"/>
              <w:rPr>
                <w:rFonts w:ascii="宋体" w:hAnsi="宋体" w:cs="宋体"/>
                <w:color w:val="auto"/>
                <w:highlight w:val="none"/>
              </w:rPr>
            </w:pPr>
          </w:p>
        </w:tc>
        <w:tc>
          <w:tcPr>
            <w:tcW w:w="1940" w:type="dxa"/>
            <w:noWrap w:val="0"/>
            <w:vAlign w:val="top"/>
          </w:tcPr>
          <w:p>
            <w:pPr>
              <w:spacing w:line="360" w:lineRule="auto"/>
              <w:jc w:val="center"/>
              <w:rPr>
                <w:rFonts w:ascii="宋体" w:hAnsi="宋体" w:cs="宋体"/>
                <w:color w:val="auto"/>
                <w:highlight w:val="none"/>
              </w:rPr>
            </w:pPr>
          </w:p>
        </w:tc>
        <w:tc>
          <w:tcPr>
            <w:tcW w:w="2088" w:type="dxa"/>
            <w:noWrap w:val="0"/>
            <w:vAlign w:val="top"/>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top"/>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1168" w:type="dxa"/>
            <w:noWrap w:val="0"/>
            <w:vAlign w:val="center"/>
          </w:tcPr>
          <w:p>
            <w:pPr>
              <w:spacing w:line="360" w:lineRule="auto"/>
              <w:jc w:val="center"/>
              <w:rPr>
                <w:rFonts w:ascii="宋体" w:hAnsi="宋体" w:cs="宋体"/>
                <w:color w:val="auto"/>
                <w:highlight w:val="none"/>
              </w:rPr>
            </w:pPr>
          </w:p>
        </w:tc>
        <w:tc>
          <w:tcPr>
            <w:tcW w:w="1055" w:type="dxa"/>
            <w:noWrap w:val="0"/>
            <w:vAlign w:val="center"/>
          </w:tcPr>
          <w:p>
            <w:pPr>
              <w:spacing w:line="360" w:lineRule="auto"/>
              <w:jc w:val="center"/>
              <w:rPr>
                <w:rFonts w:ascii="宋体" w:hAnsi="宋体" w:cs="宋体"/>
                <w:color w:val="auto"/>
                <w:highlight w:val="none"/>
              </w:rPr>
            </w:pPr>
          </w:p>
        </w:tc>
        <w:tc>
          <w:tcPr>
            <w:tcW w:w="885" w:type="dxa"/>
            <w:noWrap w:val="0"/>
            <w:vAlign w:val="center"/>
          </w:tcPr>
          <w:p>
            <w:pPr>
              <w:spacing w:line="360" w:lineRule="auto"/>
              <w:jc w:val="center"/>
              <w:rPr>
                <w:rFonts w:ascii="宋体" w:hAnsi="宋体" w:cs="宋体"/>
                <w:color w:val="auto"/>
                <w:highlight w:val="none"/>
              </w:rPr>
            </w:pPr>
          </w:p>
        </w:tc>
        <w:tc>
          <w:tcPr>
            <w:tcW w:w="896" w:type="dxa"/>
            <w:noWrap w:val="0"/>
            <w:vAlign w:val="center"/>
          </w:tcPr>
          <w:p>
            <w:pPr>
              <w:spacing w:line="360" w:lineRule="auto"/>
              <w:jc w:val="center"/>
              <w:rPr>
                <w:rFonts w:ascii="宋体" w:hAnsi="宋体" w:cs="宋体"/>
                <w:color w:val="auto"/>
                <w:highlight w:val="none"/>
              </w:rPr>
            </w:pPr>
          </w:p>
        </w:tc>
        <w:tc>
          <w:tcPr>
            <w:tcW w:w="1192" w:type="dxa"/>
            <w:noWrap w:val="0"/>
            <w:vAlign w:val="center"/>
          </w:tcPr>
          <w:p>
            <w:pPr>
              <w:spacing w:line="360" w:lineRule="auto"/>
              <w:jc w:val="center"/>
              <w:rPr>
                <w:rFonts w:ascii="宋体" w:hAnsi="宋体" w:cs="宋体"/>
                <w:color w:val="auto"/>
                <w:highlight w:val="none"/>
              </w:rPr>
            </w:pPr>
          </w:p>
        </w:tc>
        <w:tc>
          <w:tcPr>
            <w:tcW w:w="1940" w:type="dxa"/>
            <w:noWrap w:val="0"/>
            <w:vAlign w:val="top"/>
          </w:tcPr>
          <w:p>
            <w:pPr>
              <w:spacing w:line="360" w:lineRule="auto"/>
              <w:jc w:val="center"/>
              <w:rPr>
                <w:rFonts w:ascii="宋体" w:hAnsi="宋体" w:cs="宋体"/>
                <w:color w:val="auto"/>
                <w:highlight w:val="none"/>
              </w:rPr>
            </w:pPr>
          </w:p>
        </w:tc>
        <w:tc>
          <w:tcPr>
            <w:tcW w:w="2088" w:type="dxa"/>
            <w:noWrap w:val="0"/>
            <w:vAlign w:val="top"/>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top"/>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1168" w:type="dxa"/>
            <w:noWrap w:val="0"/>
            <w:vAlign w:val="center"/>
          </w:tcPr>
          <w:p>
            <w:pPr>
              <w:spacing w:line="360" w:lineRule="auto"/>
              <w:jc w:val="center"/>
              <w:rPr>
                <w:rFonts w:ascii="宋体" w:hAnsi="宋体" w:cs="宋体"/>
                <w:color w:val="auto"/>
                <w:highlight w:val="none"/>
              </w:rPr>
            </w:pPr>
          </w:p>
        </w:tc>
        <w:tc>
          <w:tcPr>
            <w:tcW w:w="1055" w:type="dxa"/>
            <w:noWrap w:val="0"/>
            <w:vAlign w:val="center"/>
          </w:tcPr>
          <w:p>
            <w:pPr>
              <w:spacing w:line="360" w:lineRule="auto"/>
              <w:jc w:val="center"/>
              <w:rPr>
                <w:rFonts w:ascii="宋体" w:hAnsi="宋体" w:cs="宋体"/>
                <w:color w:val="auto"/>
                <w:highlight w:val="none"/>
              </w:rPr>
            </w:pPr>
          </w:p>
        </w:tc>
        <w:tc>
          <w:tcPr>
            <w:tcW w:w="885" w:type="dxa"/>
            <w:noWrap w:val="0"/>
            <w:vAlign w:val="center"/>
          </w:tcPr>
          <w:p>
            <w:pPr>
              <w:spacing w:line="360" w:lineRule="auto"/>
              <w:jc w:val="center"/>
              <w:rPr>
                <w:rFonts w:ascii="宋体" w:hAnsi="宋体" w:cs="宋体"/>
                <w:color w:val="auto"/>
                <w:highlight w:val="none"/>
              </w:rPr>
            </w:pPr>
          </w:p>
        </w:tc>
        <w:tc>
          <w:tcPr>
            <w:tcW w:w="896" w:type="dxa"/>
            <w:noWrap w:val="0"/>
            <w:vAlign w:val="center"/>
          </w:tcPr>
          <w:p>
            <w:pPr>
              <w:spacing w:line="360" w:lineRule="auto"/>
              <w:jc w:val="center"/>
              <w:rPr>
                <w:rFonts w:ascii="宋体" w:hAnsi="宋体" w:cs="宋体"/>
                <w:color w:val="auto"/>
                <w:highlight w:val="none"/>
              </w:rPr>
            </w:pPr>
          </w:p>
        </w:tc>
        <w:tc>
          <w:tcPr>
            <w:tcW w:w="1192" w:type="dxa"/>
            <w:noWrap w:val="0"/>
            <w:vAlign w:val="center"/>
          </w:tcPr>
          <w:p>
            <w:pPr>
              <w:spacing w:line="360" w:lineRule="auto"/>
              <w:jc w:val="center"/>
              <w:rPr>
                <w:rFonts w:ascii="宋体" w:hAnsi="宋体" w:cs="宋体"/>
                <w:color w:val="auto"/>
                <w:highlight w:val="none"/>
              </w:rPr>
            </w:pPr>
          </w:p>
        </w:tc>
        <w:tc>
          <w:tcPr>
            <w:tcW w:w="1940" w:type="dxa"/>
            <w:noWrap w:val="0"/>
            <w:vAlign w:val="top"/>
          </w:tcPr>
          <w:p>
            <w:pPr>
              <w:spacing w:line="360" w:lineRule="auto"/>
              <w:jc w:val="center"/>
              <w:rPr>
                <w:rFonts w:ascii="宋体" w:hAnsi="宋体" w:cs="宋体"/>
                <w:color w:val="auto"/>
                <w:highlight w:val="none"/>
              </w:rPr>
            </w:pPr>
          </w:p>
        </w:tc>
        <w:tc>
          <w:tcPr>
            <w:tcW w:w="2088" w:type="dxa"/>
            <w:noWrap w:val="0"/>
            <w:vAlign w:val="top"/>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top"/>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1168" w:type="dxa"/>
            <w:noWrap w:val="0"/>
            <w:vAlign w:val="center"/>
          </w:tcPr>
          <w:p>
            <w:pPr>
              <w:spacing w:line="360" w:lineRule="auto"/>
              <w:jc w:val="center"/>
              <w:rPr>
                <w:rFonts w:ascii="宋体" w:hAnsi="宋体" w:cs="宋体"/>
                <w:color w:val="auto"/>
                <w:highlight w:val="none"/>
              </w:rPr>
            </w:pPr>
          </w:p>
        </w:tc>
        <w:tc>
          <w:tcPr>
            <w:tcW w:w="1055" w:type="dxa"/>
            <w:noWrap w:val="0"/>
            <w:vAlign w:val="center"/>
          </w:tcPr>
          <w:p>
            <w:pPr>
              <w:spacing w:line="360" w:lineRule="auto"/>
              <w:jc w:val="center"/>
              <w:rPr>
                <w:rFonts w:ascii="宋体" w:hAnsi="宋体" w:cs="宋体"/>
                <w:color w:val="auto"/>
                <w:highlight w:val="none"/>
              </w:rPr>
            </w:pPr>
          </w:p>
        </w:tc>
        <w:tc>
          <w:tcPr>
            <w:tcW w:w="885" w:type="dxa"/>
            <w:noWrap w:val="0"/>
            <w:vAlign w:val="center"/>
          </w:tcPr>
          <w:p>
            <w:pPr>
              <w:spacing w:line="360" w:lineRule="auto"/>
              <w:jc w:val="center"/>
              <w:rPr>
                <w:rFonts w:ascii="宋体" w:hAnsi="宋体" w:cs="宋体"/>
                <w:color w:val="auto"/>
                <w:highlight w:val="none"/>
              </w:rPr>
            </w:pPr>
          </w:p>
        </w:tc>
        <w:tc>
          <w:tcPr>
            <w:tcW w:w="896" w:type="dxa"/>
            <w:noWrap w:val="0"/>
            <w:vAlign w:val="center"/>
          </w:tcPr>
          <w:p>
            <w:pPr>
              <w:spacing w:line="360" w:lineRule="auto"/>
              <w:jc w:val="center"/>
              <w:rPr>
                <w:rFonts w:ascii="宋体" w:hAnsi="宋体" w:cs="宋体"/>
                <w:color w:val="auto"/>
                <w:highlight w:val="none"/>
              </w:rPr>
            </w:pPr>
          </w:p>
        </w:tc>
        <w:tc>
          <w:tcPr>
            <w:tcW w:w="1192" w:type="dxa"/>
            <w:noWrap w:val="0"/>
            <w:vAlign w:val="center"/>
          </w:tcPr>
          <w:p>
            <w:pPr>
              <w:spacing w:line="360" w:lineRule="auto"/>
              <w:jc w:val="center"/>
              <w:rPr>
                <w:rFonts w:ascii="宋体" w:hAnsi="宋体" w:cs="宋体"/>
                <w:color w:val="auto"/>
                <w:highlight w:val="none"/>
              </w:rPr>
            </w:pPr>
          </w:p>
        </w:tc>
        <w:tc>
          <w:tcPr>
            <w:tcW w:w="1940" w:type="dxa"/>
            <w:noWrap w:val="0"/>
            <w:vAlign w:val="top"/>
          </w:tcPr>
          <w:p>
            <w:pPr>
              <w:spacing w:line="360" w:lineRule="auto"/>
              <w:jc w:val="center"/>
              <w:rPr>
                <w:rFonts w:ascii="宋体" w:hAnsi="宋体" w:cs="宋体"/>
                <w:color w:val="auto"/>
                <w:highlight w:val="none"/>
              </w:rPr>
            </w:pPr>
          </w:p>
        </w:tc>
        <w:tc>
          <w:tcPr>
            <w:tcW w:w="2088" w:type="dxa"/>
            <w:noWrap w:val="0"/>
            <w:vAlign w:val="top"/>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top"/>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1168" w:type="dxa"/>
            <w:noWrap w:val="0"/>
            <w:vAlign w:val="center"/>
          </w:tcPr>
          <w:p>
            <w:pPr>
              <w:spacing w:line="360" w:lineRule="auto"/>
              <w:jc w:val="center"/>
              <w:rPr>
                <w:rFonts w:ascii="宋体" w:hAnsi="宋体" w:cs="宋体"/>
                <w:color w:val="auto"/>
                <w:highlight w:val="none"/>
              </w:rPr>
            </w:pPr>
          </w:p>
        </w:tc>
        <w:tc>
          <w:tcPr>
            <w:tcW w:w="1055" w:type="dxa"/>
            <w:noWrap w:val="0"/>
            <w:vAlign w:val="center"/>
          </w:tcPr>
          <w:p>
            <w:pPr>
              <w:spacing w:line="360" w:lineRule="auto"/>
              <w:jc w:val="center"/>
              <w:rPr>
                <w:rFonts w:ascii="宋体" w:hAnsi="宋体" w:cs="宋体"/>
                <w:color w:val="auto"/>
                <w:highlight w:val="none"/>
              </w:rPr>
            </w:pPr>
          </w:p>
        </w:tc>
        <w:tc>
          <w:tcPr>
            <w:tcW w:w="885" w:type="dxa"/>
            <w:noWrap w:val="0"/>
            <w:vAlign w:val="center"/>
          </w:tcPr>
          <w:p>
            <w:pPr>
              <w:spacing w:line="360" w:lineRule="auto"/>
              <w:jc w:val="center"/>
              <w:rPr>
                <w:rFonts w:ascii="宋体" w:hAnsi="宋体" w:cs="宋体"/>
                <w:color w:val="auto"/>
                <w:highlight w:val="none"/>
              </w:rPr>
            </w:pPr>
          </w:p>
        </w:tc>
        <w:tc>
          <w:tcPr>
            <w:tcW w:w="896" w:type="dxa"/>
            <w:noWrap w:val="0"/>
            <w:vAlign w:val="center"/>
          </w:tcPr>
          <w:p>
            <w:pPr>
              <w:spacing w:line="360" w:lineRule="auto"/>
              <w:jc w:val="center"/>
              <w:rPr>
                <w:rFonts w:ascii="宋体" w:hAnsi="宋体" w:cs="宋体"/>
                <w:color w:val="auto"/>
                <w:highlight w:val="none"/>
              </w:rPr>
            </w:pPr>
          </w:p>
        </w:tc>
        <w:tc>
          <w:tcPr>
            <w:tcW w:w="1192" w:type="dxa"/>
            <w:noWrap w:val="0"/>
            <w:vAlign w:val="center"/>
          </w:tcPr>
          <w:p>
            <w:pPr>
              <w:spacing w:line="360" w:lineRule="auto"/>
              <w:jc w:val="center"/>
              <w:rPr>
                <w:rFonts w:ascii="宋体" w:hAnsi="宋体" w:cs="宋体"/>
                <w:color w:val="auto"/>
                <w:highlight w:val="none"/>
              </w:rPr>
            </w:pPr>
          </w:p>
        </w:tc>
        <w:tc>
          <w:tcPr>
            <w:tcW w:w="1940" w:type="dxa"/>
            <w:noWrap w:val="0"/>
            <w:vAlign w:val="top"/>
          </w:tcPr>
          <w:p>
            <w:pPr>
              <w:spacing w:line="360" w:lineRule="auto"/>
              <w:jc w:val="center"/>
              <w:rPr>
                <w:rFonts w:ascii="宋体" w:hAnsi="宋体" w:cs="宋体"/>
                <w:color w:val="auto"/>
                <w:highlight w:val="none"/>
              </w:rPr>
            </w:pPr>
          </w:p>
        </w:tc>
        <w:tc>
          <w:tcPr>
            <w:tcW w:w="2088" w:type="dxa"/>
            <w:noWrap w:val="0"/>
            <w:vAlign w:val="top"/>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top"/>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1168" w:type="dxa"/>
            <w:noWrap w:val="0"/>
            <w:vAlign w:val="center"/>
          </w:tcPr>
          <w:p>
            <w:pPr>
              <w:spacing w:line="360" w:lineRule="auto"/>
              <w:jc w:val="center"/>
              <w:rPr>
                <w:rFonts w:ascii="宋体" w:hAnsi="宋体" w:cs="宋体"/>
                <w:color w:val="auto"/>
                <w:highlight w:val="none"/>
              </w:rPr>
            </w:pPr>
          </w:p>
        </w:tc>
        <w:tc>
          <w:tcPr>
            <w:tcW w:w="1055" w:type="dxa"/>
            <w:noWrap w:val="0"/>
            <w:vAlign w:val="center"/>
          </w:tcPr>
          <w:p>
            <w:pPr>
              <w:spacing w:line="360" w:lineRule="auto"/>
              <w:jc w:val="center"/>
              <w:rPr>
                <w:rFonts w:ascii="宋体" w:hAnsi="宋体" w:cs="宋体"/>
                <w:color w:val="auto"/>
                <w:highlight w:val="none"/>
              </w:rPr>
            </w:pPr>
          </w:p>
        </w:tc>
        <w:tc>
          <w:tcPr>
            <w:tcW w:w="885" w:type="dxa"/>
            <w:noWrap w:val="0"/>
            <w:vAlign w:val="center"/>
          </w:tcPr>
          <w:p>
            <w:pPr>
              <w:spacing w:line="360" w:lineRule="auto"/>
              <w:jc w:val="center"/>
              <w:rPr>
                <w:rFonts w:ascii="宋体" w:hAnsi="宋体" w:cs="宋体"/>
                <w:color w:val="auto"/>
                <w:highlight w:val="none"/>
              </w:rPr>
            </w:pPr>
          </w:p>
        </w:tc>
        <w:tc>
          <w:tcPr>
            <w:tcW w:w="896" w:type="dxa"/>
            <w:noWrap w:val="0"/>
            <w:vAlign w:val="center"/>
          </w:tcPr>
          <w:p>
            <w:pPr>
              <w:spacing w:line="360" w:lineRule="auto"/>
              <w:jc w:val="center"/>
              <w:rPr>
                <w:rFonts w:ascii="宋体" w:hAnsi="宋体" w:cs="宋体"/>
                <w:color w:val="auto"/>
                <w:highlight w:val="none"/>
              </w:rPr>
            </w:pPr>
          </w:p>
        </w:tc>
        <w:tc>
          <w:tcPr>
            <w:tcW w:w="1192" w:type="dxa"/>
            <w:noWrap w:val="0"/>
            <w:vAlign w:val="center"/>
          </w:tcPr>
          <w:p>
            <w:pPr>
              <w:spacing w:line="360" w:lineRule="auto"/>
              <w:jc w:val="center"/>
              <w:rPr>
                <w:rFonts w:ascii="宋体" w:hAnsi="宋体" w:cs="宋体"/>
                <w:color w:val="auto"/>
                <w:highlight w:val="none"/>
              </w:rPr>
            </w:pPr>
          </w:p>
        </w:tc>
        <w:tc>
          <w:tcPr>
            <w:tcW w:w="1940" w:type="dxa"/>
            <w:noWrap w:val="0"/>
            <w:vAlign w:val="top"/>
          </w:tcPr>
          <w:p>
            <w:pPr>
              <w:spacing w:line="360" w:lineRule="auto"/>
              <w:jc w:val="center"/>
              <w:rPr>
                <w:rFonts w:ascii="宋体" w:hAnsi="宋体" w:cs="宋体"/>
                <w:color w:val="auto"/>
                <w:highlight w:val="none"/>
              </w:rPr>
            </w:pPr>
          </w:p>
        </w:tc>
        <w:tc>
          <w:tcPr>
            <w:tcW w:w="2088" w:type="dxa"/>
            <w:noWrap w:val="0"/>
            <w:vAlign w:val="top"/>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top"/>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1168" w:type="dxa"/>
            <w:noWrap w:val="0"/>
            <w:vAlign w:val="center"/>
          </w:tcPr>
          <w:p>
            <w:pPr>
              <w:spacing w:line="360" w:lineRule="auto"/>
              <w:jc w:val="center"/>
              <w:rPr>
                <w:rFonts w:ascii="宋体" w:hAnsi="宋体" w:cs="宋体"/>
                <w:color w:val="auto"/>
                <w:highlight w:val="none"/>
              </w:rPr>
            </w:pPr>
          </w:p>
        </w:tc>
        <w:tc>
          <w:tcPr>
            <w:tcW w:w="1055" w:type="dxa"/>
            <w:noWrap w:val="0"/>
            <w:vAlign w:val="center"/>
          </w:tcPr>
          <w:p>
            <w:pPr>
              <w:spacing w:line="360" w:lineRule="auto"/>
              <w:jc w:val="center"/>
              <w:rPr>
                <w:rFonts w:ascii="宋体" w:hAnsi="宋体" w:cs="宋体"/>
                <w:color w:val="auto"/>
                <w:highlight w:val="none"/>
              </w:rPr>
            </w:pPr>
          </w:p>
        </w:tc>
        <w:tc>
          <w:tcPr>
            <w:tcW w:w="885" w:type="dxa"/>
            <w:noWrap w:val="0"/>
            <w:vAlign w:val="center"/>
          </w:tcPr>
          <w:p>
            <w:pPr>
              <w:spacing w:line="360" w:lineRule="auto"/>
              <w:jc w:val="center"/>
              <w:rPr>
                <w:rFonts w:ascii="宋体" w:hAnsi="宋体" w:cs="宋体"/>
                <w:color w:val="auto"/>
                <w:highlight w:val="none"/>
              </w:rPr>
            </w:pPr>
          </w:p>
        </w:tc>
        <w:tc>
          <w:tcPr>
            <w:tcW w:w="896" w:type="dxa"/>
            <w:noWrap w:val="0"/>
            <w:vAlign w:val="center"/>
          </w:tcPr>
          <w:p>
            <w:pPr>
              <w:spacing w:line="360" w:lineRule="auto"/>
              <w:jc w:val="center"/>
              <w:rPr>
                <w:rFonts w:ascii="宋体" w:hAnsi="宋体" w:cs="宋体"/>
                <w:color w:val="auto"/>
                <w:highlight w:val="none"/>
              </w:rPr>
            </w:pPr>
          </w:p>
        </w:tc>
        <w:tc>
          <w:tcPr>
            <w:tcW w:w="1192" w:type="dxa"/>
            <w:noWrap w:val="0"/>
            <w:vAlign w:val="center"/>
          </w:tcPr>
          <w:p>
            <w:pPr>
              <w:spacing w:line="360" w:lineRule="auto"/>
              <w:jc w:val="center"/>
              <w:rPr>
                <w:rFonts w:ascii="宋体" w:hAnsi="宋体" w:cs="宋体"/>
                <w:color w:val="auto"/>
                <w:highlight w:val="none"/>
              </w:rPr>
            </w:pPr>
          </w:p>
        </w:tc>
        <w:tc>
          <w:tcPr>
            <w:tcW w:w="1940" w:type="dxa"/>
            <w:noWrap w:val="0"/>
            <w:vAlign w:val="top"/>
          </w:tcPr>
          <w:p>
            <w:pPr>
              <w:spacing w:line="360" w:lineRule="auto"/>
              <w:jc w:val="center"/>
              <w:rPr>
                <w:rFonts w:ascii="宋体" w:hAnsi="宋体" w:cs="宋体"/>
                <w:color w:val="auto"/>
                <w:highlight w:val="none"/>
              </w:rPr>
            </w:pPr>
          </w:p>
        </w:tc>
        <w:tc>
          <w:tcPr>
            <w:tcW w:w="2088" w:type="dxa"/>
            <w:noWrap w:val="0"/>
            <w:vAlign w:val="top"/>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top"/>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1168" w:type="dxa"/>
            <w:noWrap w:val="0"/>
            <w:vAlign w:val="center"/>
          </w:tcPr>
          <w:p>
            <w:pPr>
              <w:spacing w:line="360" w:lineRule="auto"/>
              <w:jc w:val="center"/>
              <w:rPr>
                <w:rFonts w:ascii="宋体" w:hAnsi="宋体" w:cs="宋体"/>
                <w:color w:val="auto"/>
                <w:highlight w:val="none"/>
              </w:rPr>
            </w:pPr>
          </w:p>
        </w:tc>
        <w:tc>
          <w:tcPr>
            <w:tcW w:w="1055" w:type="dxa"/>
            <w:noWrap w:val="0"/>
            <w:vAlign w:val="center"/>
          </w:tcPr>
          <w:p>
            <w:pPr>
              <w:spacing w:line="360" w:lineRule="auto"/>
              <w:jc w:val="center"/>
              <w:rPr>
                <w:rFonts w:ascii="宋体" w:hAnsi="宋体" w:cs="宋体"/>
                <w:color w:val="auto"/>
                <w:highlight w:val="none"/>
              </w:rPr>
            </w:pPr>
          </w:p>
        </w:tc>
        <w:tc>
          <w:tcPr>
            <w:tcW w:w="885" w:type="dxa"/>
            <w:noWrap w:val="0"/>
            <w:vAlign w:val="center"/>
          </w:tcPr>
          <w:p>
            <w:pPr>
              <w:spacing w:line="360" w:lineRule="auto"/>
              <w:jc w:val="center"/>
              <w:rPr>
                <w:rFonts w:ascii="宋体" w:hAnsi="宋体" w:cs="宋体"/>
                <w:color w:val="auto"/>
                <w:highlight w:val="none"/>
              </w:rPr>
            </w:pPr>
          </w:p>
        </w:tc>
        <w:tc>
          <w:tcPr>
            <w:tcW w:w="896" w:type="dxa"/>
            <w:noWrap w:val="0"/>
            <w:vAlign w:val="center"/>
          </w:tcPr>
          <w:p>
            <w:pPr>
              <w:spacing w:line="360" w:lineRule="auto"/>
              <w:jc w:val="center"/>
              <w:rPr>
                <w:rFonts w:ascii="宋体" w:hAnsi="宋体" w:cs="宋体"/>
                <w:color w:val="auto"/>
                <w:highlight w:val="none"/>
              </w:rPr>
            </w:pPr>
          </w:p>
        </w:tc>
        <w:tc>
          <w:tcPr>
            <w:tcW w:w="1192" w:type="dxa"/>
            <w:noWrap w:val="0"/>
            <w:vAlign w:val="center"/>
          </w:tcPr>
          <w:p>
            <w:pPr>
              <w:spacing w:line="360" w:lineRule="auto"/>
              <w:jc w:val="center"/>
              <w:rPr>
                <w:rFonts w:ascii="宋体" w:hAnsi="宋体" w:cs="宋体"/>
                <w:color w:val="auto"/>
                <w:highlight w:val="none"/>
              </w:rPr>
            </w:pPr>
          </w:p>
        </w:tc>
        <w:tc>
          <w:tcPr>
            <w:tcW w:w="1940" w:type="dxa"/>
            <w:noWrap w:val="0"/>
            <w:vAlign w:val="top"/>
          </w:tcPr>
          <w:p>
            <w:pPr>
              <w:spacing w:line="360" w:lineRule="auto"/>
              <w:jc w:val="center"/>
              <w:rPr>
                <w:rFonts w:ascii="宋体" w:hAnsi="宋体" w:cs="宋体"/>
                <w:color w:val="auto"/>
                <w:highlight w:val="none"/>
              </w:rPr>
            </w:pPr>
          </w:p>
        </w:tc>
        <w:tc>
          <w:tcPr>
            <w:tcW w:w="2088" w:type="dxa"/>
            <w:noWrap w:val="0"/>
            <w:vAlign w:val="top"/>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top"/>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1168" w:type="dxa"/>
            <w:noWrap w:val="0"/>
            <w:vAlign w:val="center"/>
          </w:tcPr>
          <w:p>
            <w:pPr>
              <w:spacing w:line="360" w:lineRule="auto"/>
              <w:jc w:val="center"/>
              <w:rPr>
                <w:rFonts w:ascii="宋体" w:hAnsi="宋体" w:cs="宋体"/>
                <w:color w:val="auto"/>
                <w:highlight w:val="none"/>
              </w:rPr>
            </w:pPr>
          </w:p>
        </w:tc>
        <w:tc>
          <w:tcPr>
            <w:tcW w:w="1055" w:type="dxa"/>
            <w:noWrap w:val="0"/>
            <w:vAlign w:val="center"/>
          </w:tcPr>
          <w:p>
            <w:pPr>
              <w:spacing w:line="360" w:lineRule="auto"/>
              <w:jc w:val="center"/>
              <w:rPr>
                <w:rFonts w:ascii="宋体" w:hAnsi="宋体" w:cs="宋体"/>
                <w:color w:val="auto"/>
                <w:highlight w:val="none"/>
              </w:rPr>
            </w:pPr>
          </w:p>
        </w:tc>
        <w:tc>
          <w:tcPr>
            <w:tcW w:w="885" w:type="dxa"/>
            <w:noWrap w:val="0"/>
            <w:vAlign w:val="center"/>
          </w:tcPr>
          <w:p>
            <w:pPr>
              <w:spacing w:line="360" w:lineRule="auto"/>
              <w:jc w:val="center"/>
              <w:rPr>
                <w:rFonts w:ascii="宋体" w:hAnsi="宋体" w:cs="宋体"/>
                <w:color w:val="auto"/>
                <w:highlight w:val="none"/>
              </w:rPr>
            </w:pPr>
          </w:p>
        </w:tc>
        <w:tc>
          <w:tcPr>
            <w:tcW w:w="896" w:type="dxa"/>
            <w:noWrap w:val="0"/>
            <w:vAlign w:val="center"/>
          </w:tcPr>
          <w:p>
            <w:pPr>
              <w:spacing w:line="360" w:lineRule="auto"/>
              <w:jc w:val="center"/>
              <w:rPr>
                <w:rFonts w:ascii="宋体" w:hAnsi="宋体" w:cs="宋体"/>
                <w:color w:val="auto"/>
                <w:highlight w:val="none"/>
              </w:rPr>
            </w:pPr>
          </w:p>
        </w:tc>
        <w:tc>
          <w:tcPr>
            <w:tcW w:w="1192" w:type="dxa"/>
            <w:noWrap w:val="0"/>
            <w:vAlign w:val="center"/>
          </w:tcPr>
          <w:p>
            <w:pPr>
              <w:spacing w:line="360" w:lineRule="auto"/>
              <w:jc w:val="center"/>
              <w:rPr>
                <w:rFonts w:ascii="宋体" w:hAnsi="宋体" w:cs="宋体"/>
                <w:color w:val="auto"/>
                <w:highlight w:val="none"/>
              </w:rPr>
            </w:pPr>
          </w:p>
        </w:tc>
        <w:tc>
          <w:tcPr>
            <w:tcW w:w="1940" w:type="dxa"/>
            <w:noWrap w:val="0"/>
            <w:vAlign w:val="top"/>
          </w:tcPr>
          <w:p>
            <w:pPr>
              <w:spacing w:line="360" w:lineRule="auto"/>
              <w:jc w:val="center"/>
              <w:rPr>
                <w:rFonts w:ascii="宋体" w:hAnsi="宋体" w:cs="宋体"/>
                <w:color w:val="auto"/>
                <w:highlight w:val="none"/>
              </w:rPr>
            </w:pPr>
          </w:p>
        </w:tc>
        <w:tc>
          <w:tcPr>
            <w:tcW w:w="2088" w:type="dxa"/>
            <w:noWrap w:val="0"/>
            <w:vAlign w:val="top"/>
          </w:tcPr>
          <w:p>
            <w:pPr>
              <w:spacing w:line="360" w:lineRule="auto"/>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top"/>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705" w:type="dxa"/>
            <w:noWrap w:val="0"/>
            <w:vAlign w:val="center"/>
          </w:tcPr>
          <w:p>
            <w:pPr>
              <w:spacing w:line="360" w:lineRule="auto"/>
              <w:jc w:val="center"/>
              <w:rPr>
                <w:rFonts w:ascii="宋体" w:hAnsi="宋体" w:cs="宋体"/>
                <w:color w:val="auto"/>
                <w:highlight w:val="none"/>
              </w:rPr>
            </w:pPr>
          </w:p>
        </w:tc>
        <w:tc>
          <w:tcPr>
            <w:tcW w:w="1168" w:type="dxa"/>
            <w:noWrap w:val="0"/>
            <w:vAlign w:val="center"/>
          </w:tcPr>
          <w:p>
            <w:pPr>
              <w:spacing w:line="360" w:lineRule="auto"/>
              <w:jc w:val="center"/>
              <w:rPr>
                <w:rFonts w:ascii="宋体" w:hAnsi="宋体" w:cs="宋体"/>
                <w:color w:val="auto"/>
                <w:highlight w:val="none"/>
              </w:rPr>
            </w:pPr>
          </w:p>
        </w:tc>
        <w:tc>
          <w:tcPr>
            <w:tcW w:w="1055" w:type="dxa"/>
            <w:noWrap w:val="0"/>
            <w:vAlign w:val="center"/>
          </w:tcPr>
          <w:p>
            <w:pPr>
              <w:spacing w:line="360" w:lineRule="auto"/>
              <w:jc w:val="center"/>
              <w:rPr>
                <w:rFonts w:ascii="宋体" w:hAnsi="宋体" w:cs="宋体"/>
                <w:color w:val="auto"/>
                <w:highlight w:val="none"/>
              </w:rPr>
            </w:pPr>
          </w:p>
        </w:tc>
        <w:tc>
          <w:tcPr>
            <w:tcW w:w="885" w:type="dxa"/>
            <w:noWrap w:val="0"/>
            <w:vAlign w:val="center"/>
          </w:tcPr>
          <w:p>
            <w:pPr>
              <w:spacing w:line="360" w:lineRule="auto"/>
              <w:jc w:val="center"/>
              <w:rPr>
                <w:rFonts w:ascii="宋体" w:hAnsi="宋体" w:cs="宋体"/>
                <w:color w:val="auto"/>
                <w:highlight w:val="none"/>
              </w:rPr>
            </w:pPr>
          </w:p>
        </w:tc>
        <w:tc>
          <w:tcPr>
            <w:tcW w:w="896" w:type="dxa"/>
            <w:noWrap w:val="0"/>
            <w:vAlign w:val="center"/>
          </w:tcPr>
          <w:p>
            <w:pPr>
              <w:spacing w:line="360" w:lineRule="auto"/>
              <w:jc w:val="center"/>
              <w:rPr>
                <w:rFonts w:ascii="宋体" w:hAnsi="宋体" w:cs="宋体"/>
                <w:color w:val="auto"/>
                <w:highlight w:val="none"/>
              </w:rPr>
            </w:pPr>
          </w:p>
        </w:tc>
        <w:tc>
          <w:tcPr>
            <w:tcW w:w="1192" w:type="dxa"/>
            <w:noWrap w:val="0"/>
            <w:vAlign w:val="center"/>
          </w:tcPr>
          <w:p>
            <w:pPr>
              <w:spacing w:line="360" w:lineRule="auto"/>
              <w:jc w:val="center"/>
              <w:rPr>
                <w:rFonts w:ascii="宋体" w:hAnsi="宋体" w:cs="宋体"/>
                <w:color w:val="auto"/>
                <w:highlight w:val="none"/>
              </w:rPr>
            </w:pPr>
          </w:p>
        </w:tc>
        <w:tc>
          <w:tcPr>
            <w:tcW w:w="1940" w:type="dxa"/>
            <w:noWrap w:val="0"/>
            <w:vAlign w:val="top"/>
          </w:tcPr>
          <w:p>
            <w:pPr>
              <w:spacing w:line="360" w:lineRule="auto"/>
              <w:jc w:val="center"/>
              <w:rPr>
                <w:rFonts w:ascii="宋体" w:hAnsi="宋体" w:cs="宋体"/>
                <w:color w:val="auto"/>
                <w:highlight w:val="none"/>
              </w:rPr>
            </w:pPr>
          </w:p>
        </w:tc>
        <w:tc>
          <w:tcPr>
            <w:tcW w:w="2088" w:type="dxa"/>
            <w:noWrap w:val="0"/>
            <w:vAlign w:val="top"/>
          </w:tcPr>
          <w:p>
            <w:pPr>
              <w:spacing w:line="360" w:lineRule="auto"/>
              <w:jc w:val="center"/>
              <w:rPr>
                <w:rFonts w:ascii="宋体" w:hAnsi="宋体" w:cs="宋体"/>
                <w:color w:val="auto"/>
                <w:highlight w:val="none"/>
              </w:rPr>
            </w:pPr>
          </w:p>
        </w:tc>
      </w:tr>
    </w:tbl>
    <w:p>
      <w:pPr>
        <w:ind w:left="899" w:leftChars="428"/>
        <w:rPr>
          <w:rFonts w:ascii="宋体" w:hAnsi="宋体" w:cs="宋体"/>
          <w:color w:val="auto"/>
          <w:sz w:val="24"/>
          <w:szCs w:val="24"/>
          <w:highlight w:val="none"/>
        </w:rPr>
      </w:pPr>
      <w:r>
        <w:rPr>
          <w:rFonts w:hint="eastAsia" w:ascii="宋体" w:hAnsi="宋体" w:cs="宋体"/>
          <w:color w:val="auto"/>
          <w:sz w:val="24"/>
          <w:szCs w:val="24"/>
          <w:highlight w:val="none"/>
        </w:rPr>
        <w:t>说明：1.表中人员一经确认不得随意修改变换。如需变换，应按照通用条款第 21 条规定执行。</w:t>
      </w:r>
    </w:p>
    <w:p>
      <w:pPr>
        <w:ind w:left="1617" w:leftChars="770"/>
        <w:rPr>
          <w:rFonts w:ascii="宋体" w:hAnsi="宋体" w:cs="宋体"/>
          <w:color w:val="auto"/>
          <w:sz w:val="24"/>
          <w:szCs w:val="24"/>
          <w:highlight w:val="none"/>
        </w:rPr>
      </w:pPr>
      <w:r>
        <w:rPr>
          <w:rFonts w:hint="eastAsia" w:ascii="宋体" w:hAnsi="宋体" w:cs="宋体"/>
          <w:color w:val="auto"/>
          <w:sz w:val="24"/>
          <w:szCs w:val="24"/>
          <w:highlight w:val="none"/>
        </w:rPr>
        <w:t>2.表中人员必须提供为其购买的社会养老保险费用凭证。</w:t>
      </w:r>
    </w:p>
    <w:p>
      <w:pPr>
        <w:ind w:left="1617" w:leftChars="770"/>
        <w:rPr>
          <w:rFonts w:ascii="宋体" w:hAnsi="宋体" w:cs="宋体"/>
          <w:color w:val="auto"/>
          <w:sz w:val="24"/>
          <w:szCs w:val="24"/>
          <w:highlight w:val="none"/>
        </w:rPr>
      </w:pPr>
      <w:r>
        <w:rPr>
          <w:rFonts w:hint="eastAsia" w:ascii="宋体" w:hAnsi="宋体" w:cs="宋体"/>
          <w:color w:val="auto"/>
          <w:sz w:val="24"/>
          <w:szCs w:val="24"/>
          <w:highlight w:val="none"/>
        </w:rPr>
        <w:t>3.承包人应提供表中人员的聘用合同、专业技术职称书等复印件。</w:t>
      </w:r>
    </w:p>
    <w:p>
      <w:pPr>
        <w:widowControl/>
        <w:jc w:val="left"/>
        <w:rPr>
          <w:rFonts w:ascii="宋体" w:hAnsi="宋体" w:cs="宋体"/>
          <w:color w:val="auto"/>
          <w:kern w:val="0"/>
          <w:sz w:val="24"/>
          <w:szCs w:val="24"/>
          <w:highlight w:val="none"/>
        </w:rPr>
        <w:sectPr>
          <w:endnotePr>
            <w:numFmt w:val="decimal"/>
          </w:endnotePr>
          <w:type w:val="continuous"/>
          <w:pgSz w:w="16838" w:h="11906" w:orient="landscape"/>
          <w:pgMar w:top="1440" w:right="1800" w:bottom="1440" w:left="1800" w:header="0" w:footer="0" w:gutter="0"/>
          <w:pgNumType w:fmt="decimal"/>
          <w:cols w:space="720" w:num="1"/>
        </w:sectPr>
      </w:pPr>
    </w:p>
    <w:p>
      <w:pPr>
        <w:spacing w:line="360" w:lineRule="auto"/>
        <w:outlineLvl w:val="1"/>
        <w:rPr>
          <w:rFonts w:ascii="宋体" w:hAnsi="宋体" w:cs="宋体"/>
          <w:b/>
          <w:bCs/>
          <w:color w:val="auto"/>
          <w:sz w:val="24"/>
          <w:szCs w:val="24"/>
          <w:highlight w:val="none"/>
        </w:rPr>
      </w:pPr>
      <w:bookmarkStart w:id="2005" w:name="_Toc239482841"/>
      <w:bookmarkStart w:id="2006" w:name="_Toc12279"/>
      <w:bookmarkStart w:id="2007" w:name="_Toc12059"/>
      <w:bookmarkStart w:id="2008" w:name="_Toc19929"/>
      <w:bookmarkStart w:id="2009" w:name="_Toc2518"/>
      <w:bookmarkStart w:id="2010" w:name="_Toc140318522"/>
      <w:bookmarkStart w:id="2011" w:name="_Toc4449"/>
      <w:bookmarkStart w:id="2012" w:name="_Toc10571"/>
      <w:r>
        <w:rPr>
          <w:rFonts w:hint="eastAsia" w:ascii="宋体" w:hAnsi="宋体" w:cs="宋体"/>
          <w:b/>
          <w:bCs/>
          <w:color w:val="auto"/>
          <w:sz w:val="24"/>
          <w:szCs w:val="24"/>
          <w:highlight w:val="none"/>
        </w:rPr>
        <w:t>附件</w:t>
      </w:r>
      <w:r>
        <w:rPr>
          <w:rFonts w:hint="eastAsia" w:ascii="宋体" w:hAnsi="宋体" w:cs="宋体"/>
          <w:b/>
          <w:bCs/>
          <w:color w:val="auto"/>
          <w:sz w:val="24"/>
          <w:szCs w:val="24"/>
          <w:highlight w:val="none"/>
          <w:lang w:val="en-US" w:eastAsia="zh-CN"/>
        </w:rPr>
        <w:t>6</w:t>
      </w:r>
      <w:r>
        <w:rPr>
          <w:rFonts w:hint="eastAsia" w:ascii="宋体" w:hAnsi="宋体" w:cs="宋体"/>
          <w:b/>
          <w:bCs/>
          <w:color w:val="auto"/>
          <w:sz w:val="24"/>
          <w:szCs w:val="24"/>
          <w:highlight w:val="none"/>
        </w:rPr>
        <w:t>：</w:t>
      </w:r>
      <w:bookmarkEnd w:id="2005"/>
      <w:bookmarkEnd w:id="2006"/>
      <w:bookmarkEnd w:id="2007"/>
      <w:bookmarkEnd w:id="2008"/>
      <w:bookmarkEnd w:id="2009"/>
      <w:bookmarkEnd w:id="2010"/>
      <w:bookmarkEnd w:id="2011"/>
      <w:bookmarkEnd w:id="2012"/>
    </w:p>
    <w:p>
      <w:pPr>
        <w:spacing w:line="500" w:lineRule="exact"/>
        <w:rPr>
          <w:rFonts w:ascii="宋体" w:hAnsi="宋体" w:cs="宋体"/>
          <w:color w:val="auto"/>
          <w:sz w:val="24"/>
          <w:szCs w:val="24"/>
          <w:highlight w:val="none"/>
        </w:rPr>
      </w:pPr>
      <w:bookmarkStart w:id="2013" w:name="_Toc2527"/>
      <w:bookmarkStart w:id="2014" w:name="_Toc20793"/>
      <w:r>
        <w:rPr>
          <w:rFonts w:hint="eastAsia" w:ascii="宋体" w:hAnsi="宋体" w:cs="宋体"/>
          <w:b/>
          <w:color w:val="auto"/>
          <w:sz w:val="24"/>
          <w:szCs w:val="24"/>
          <w:highlight w:val="none"/>
        </w:rPr>
        <w:t>对应合同名称：</w:t>
      </w:r>
    </w:p>
    <w:p>
      <w:pPr>
        <w:spacing w:line="500" w:lineRule="exact"/>
        <w:jc w:val="center"/>
        <w:rPr>
          <w:rFonts w:ascii="宋体" w:hAnsi="宋体" w:cs="宋体"/>
          <w:b/>
          <w:bCs/>
          <w:color w:val="auto"/>
          <w:sz w:val="40"/>
          <w:szCs w:val="40"/>
          <w:highlight w:val="none"/>
        </w:rPr>
      </w:pPr>
      <w:r>
        <w:rPr>
          <w:rFonts w:hint="eastAsia" w:ascii="宋体" w:hAnsi="宋体" w:cs="宋体"/>
          <w:b/>
          <w:bCs/>
          <w:color w:val="auto"/>
          <w:sz w:val="40"/>
          <w:szCs w:val="40"/>
          <w:highlight w:val="none"/>
        </w:rPr>
        <w:t>廉洁协议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甲方: 广州燃气集团有限公司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乙方:</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为了增强甲乙双方依法经营、廉洁从业意识，完善自我约束、自我监督机制，营造守法诚信、廉洁高效的工作环境，防止发生违法违纪行为，保护国家、集体和当事人的合法权益，根据中央、省和广州市有关党风建设和反腐倡廉工作的各项规定，特订立本廉洁协议：</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b/>
          <w:color w:val="auto"/>
          <w:sz w:val="24"/>
          <w:highlight w:val="none"/>
        </w:rPr>
      </w:pPr>
      <w:r>
        <w:rPr>
          <w:rFonts w:hint="eastAsia" w:ascii="宋体" w:hAnsi="宋体" w:cs="宋体"/>
          <w:b/>
          <w:color w:val="auto"/>
          <w:sz w:val="24"/>
          <w:highlight w:val="none"/>
        </w:rPr>
        <w:t>第一条 双方共同的责任和义务</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（一）严格遵守关于市场准入、招标投标、工程建设管理、物资采购、投资并购、国有资产处置等市场经济活动的法律法规制度以及党风建设和反腐倡廉工作的各项规定。</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（二）严格履行合同约定，自觉承担合同义务。</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（三）业务活动必须坚持公平、公正、公开和诚实守信的原则（除法律法规另有规定者外），不得为获取不正当利益，损害国家、集体和对方利益。</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（四）建立健全自我监督机制，开展廉洁教育，公布举报电话，监督并认真查处违法违纪行为。</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（五）发现对方在业务活动中有违规、违纪、违法行为的，应及时提醒对方，情节严重的，应向有关纪检监察部门举报。</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b/>
          <w:color w:val="auto"/>
          <w:sz w:val="24"/>
          <w:highlight w:val="none"/>
        </w:rPr>
      </w:pPr>
      <w:r>
        <w:rPr>
          <w:rFonts w:hint="eastAsia" w:ascii="宋体" w:hAnsi="宋体" w:cs="宋体"/>
          <w:b/>
          <w:color w:val="auto"/>
          <w:sz w:val="24"/>
          <w:highlight w:val="none"/>
        </w:rPr>
        <w:t>第二条  甲方的责任和义务</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甲方相关工作人员，在业务活动的事前、事中、事后，应遵守以下规定：</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 xml:space="preserve">（一）贯彻落实广州发展集团股份有限公司有关党风廉政建设责任制及廉洁从业的规定，建立企业诚信档案； </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 xml:space="preserve">（二）按照公平、公正、公开和诚实守信的原则开展各项业务活动，为乙方提供公平的竞争环境与平台； </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 xml:space="preserve">（三）不准向乙方泄露涉及有关业务活动的内部决策机密； </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 xml:space="preserve">（四）不准向乙方和相关单位索要或接受回扣、红包、礼金、购物卡、有价证券、贵重物品和好处费、感谢费等； </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（五）不准在乙方和相关单位报销任何应由甲方或个人支付的费用；</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（六）不准要求、暗示或接受乙方和相关单位为个人装修住房、婚丧嫁娶、配偶子女的工作安排以及境内外旅游等提供方便；</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（七）不准向乙方介绍配偶、子女、亲属参与与甲方有关的经济活动，不得以任何理由向乙方和相关单位推荐第三方单位；</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（八）不准参与影响相关工作正常和公正开展的其他活动；</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（九）不准违反《中共中央纪委关于严格禁止利用职务上的便利谋取不正当利益的若干规定》的内容。</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b/>
          <w:color w:val="auto"/>
          <w:sz w:val="24"/>
          <w:highlight w:val="none"/>
        </w:rPr>
      </w:pPr>
      <w:r>
        <w:rPr>
          <w:rFonts w:hint="eastAsia" w:ascii="宋体" w:hAnsi="宋体" w:cs="宋体"/>
          <w:b/>
          <w:color w:val="auto"/>
          <w:sz w:val="24"/>
          <w:highlight w:val="none"/>
        </w:rPr>
        <w:t>第三条  乙方的责任和义务</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乙方及其下属企业相关工作人员，在与甲方业务活动的交往过程中，应遵守以下规定：</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（一）不准以任何理由为甲方和相关单位报销应由对方或个人支付的费用；</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（二）不准以任何理由向甲方、甲方的母公司、上级主管部门及甲方的其他关联公司的负责人及其工作人员赠送回扣、红包、礼金、购物卡、有价证券、贵重物品和好处费、感谢费等；</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（三）不准以任何理由为甲方、与甲方相关的单位或个人提供高消费宴请及娱乐活动；</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（四）不准以任何理由为甲方、与甲方相关的单位或个人购置或提供通讯工具、交通工具和高档办公用品；</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（五）不准接受或暗示为甲方、与甲方相关的单位或个人装修住房、婚丧嫁取、配偶子女的工作安排以及境内外旅游等提供方便；</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（六）不准以谋取非正当利益为目的，擅自与甲方工作人员就业务问题进行私下商谈或者达成利益默契；</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（七）发现甲方工作人员有违反本廉洁协议规定的，应向甲方单位举报。甲方受理举报部门：纪委办公室；举报电话：【020-37852099】；举报传真：【020-37852095】；举报邮箱：【gzrqjwbgs@gdg.com.cn】。</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b/>
          <w:color w:val="auto"/>
          <w:sz w:val="24"/>
          <w:highlight w:val="none"/>
        </w:rPr>
      </w:pPr>
      <w:r>
        <w:rPr>
          <w:rFonts w:hint="eastAsia" w:ascii="宋体" w:hAnsi="宋体" w:cs="宋体"/>
          <w:b/>
          <w:color w:val="auto"/>
          <w:sz w:val="24"/>
          <w:highlight w:val="none"/>
        </w:rPr>
        <w:t>第四条  法律责任</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一）甲方违反本廉洁协议第一条、甲方相关工作人员违反本廉洁协议第二条约定的，经查证属实，严格按照管理权限，依据有关法律法规和规章制度给予相关人员纪律处分或组织处理；相关工作人员涉嫌犯罪的，移送司法机关依法追究刑事责任。</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二）乙方及其下属企业及其工作人员违反本廉洁协议第一、三条约定的，经查证属实，甲方可视情节轻重对乙方实施一定期限的市场禁入，以及有权立即单方解除与乙方已签订的相关业务合同以终止相关业务合作；乙方及其下属企业的工作人员涉嫌犯罪的，移送司法机关依法追究刑事责任。</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b/>
          <w:color w:val="auto"/>
          <w:sz w:val="24"/>
          <w:highlight w:val="none"/>
        </w:rPr>
      </w:pPr>
      <w:r>
        <w:rPr>
          <w:rFonts w:hint="eastAsia" w:ascii="宋体" w:hAnsi="宋体" w:cs="宋体"/>
          <w:b/>
          <w:color w:val="auto"/>
          <w:sz w:val="24"/>
          <w:highlight w:val="none"/>
        </w:rPr>
        <w:t>第五条  协议生效及法律效力</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（一）本廉洁协议经双方签字盖章后立即生效。</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（二）除非甲乙双方另行签订新的廉洁协议，否则本廉洁协议在甲方与乙方存在业务关系期间均对双方产生约束力。</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b/>
          <w:color w:val="auto"/>
          <w:sz w:val="24"/>
          <w:highlight w:val="none"/>
        </w:rPr>
      </w:pPr>
      <w:r>
        <w:rPr>
          <w:rFonts w:hint="eastAsia" w:ascii="宋体" w:hAnsi="宋体" w:cs="宋体"/>
          <w:b/>
          <w:color w:val="auto"/>
          <w:sz w:val="24"/>
          <w:highlight w:val="none"/>
        </w:rPr>
        <w:t>第六条  协议书份数</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本廉洁协议一式 【拾贰】份，甲方 【玖】份，乙方【叁】份。</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甲乙双方确认在签订本廉洁协议前已仔细阅读条款内容，甲乙双方对本廉洁协议所产生的法律责任已清楚知悉并承诺遵守。</w:t>
      </w:r>
    </w:p>
    <w:p>
      <w:pPr>
        <w:pStyle w:val="3"/>
        <w:keepNext w:val="0"/>
        <w:keepLines w:val="0"/>
        <w:pageBreakBefore w:val="0"/>
        <w:widowControl w:val="0"/>
        <w:kinsoku/>
        <w:wordWrap/>
        <w:overflowPunct/>
        <w:topLinePunct w:val="0"/>
        <w:autoSpaceDE/>
        <w:autoSpaceDN/>
        <w:bidi w:val="0"/>
        <w:adjustRightInd/>
        <w:snapToGrid/>
        <w:spacing w:line="360" w:lineRule="auto"/>
        <w:ind w:left="440"/>
        <w:textAlignment w:val="auto"/>
        <w:rPr>
          <w:rFonts w:ascii="宋体" w:hAnsi="宋体" w:cs="宋体"/>
          <w:color w:val="auto"/>
          <w:sz w:val="24"/>
          <w:highlight w:val="none"/>
        </w:rPr>
      </w:pP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甲方（盖章）：                    乙方（盖章）：</w:t>
      </w:r>
    </w:p>
    <w:p>
      <w:pPr>
        <w:pStyle w:val="3"/>
        <w:keepNext w:val="0"/>
        <w:keepLines w:val="0"/>
        <w:pageBreakBefore w:val="0"/>
        <w:widowControl w:val="0"/>
        <w:kinsoku/>
        <w:wordWrap/>
        <w:overflowPunct/>
        <w:topLinePunct w:val="0"/>
        <w:autoSpaceDE/>
        <w:autoSpaceDN/>
        <w:bidi w:val="0"/>
        <w:adjustRightInd/>
        <w:snapToGrid/>
        <w:spacing w:line="360" w:lineRule="auto"/>
        <w:ind w:left="440" w:firstLine="560"/>
        <w:textAlignment w:val="auto"/>
        <w:rPr>
          <w:rFonts w:ascii="宋体" w:hAnsi="宋体" w:cs="宋体"/>
          <w:color w:val="auto"/>
          <w:sz w:val="24"/>
          <w:highlight w:val="none"/>
        </w:rPr>
      </w:pPr>
      <w:r>
        <w:rPr>
          <w:rFonts w:hint="eastAsia" w:ascii="宋体" w:hAnsi="宋体" w:cs="宋体"/>
          <w:color w:val="auto"/>
          <w:sz w:val="24"/>
          <w:highlight w:val="none"/>
        </w:rPr>
        <w:t>法定代表人                       法定代表人</w:t>
      </w:r>
    </w:p>
    <w:p>
      <w:pPr>
        <w:pStyle w:val="3"/>
        <w:keepNext w:val="0"/>
        <w:keepLines w:val="0"/>
        <w:pageBreakBefore w:val="0"/>
        <w:widowControl w:val="0"/>
        <w:kinsoku/>
        <w:wordWrap/>
        <w:overflowPunct/>
        <w:topLinePunct w:val="0"/>
        <w:autoSpaceDE/>
        <w:autoSpaceDN/>
        <w:bidi w:val="0"/>
        <w:adjustRightInd/>
        <w:snapToGrid/>
        <w:spacing w:line="360" w:lineRule="auto"/>
        <w:ind w:left="440"/>
        <w:textAlignment w:val="auto"/>
        <w:rPr>
          <w:rFonts w:ascii="宋体" w:hAnsi="宋体" w:cs="宋体"/>
          <w:color w:val="auto"/>
          <w:sz w:val="24"/>
          <w:highlight w:val="none"/>
        </w:rPr>
      </w:pPr>
      <w:r>
        <w:rPr>
          <w:rFonts w:hint="eastAsia" w:ascii="宋体" w:hAnsi="宋体" w:cs="宋体"/>
          <w:color w:val="auto"/>
          <w:sz w:val="24"/>
          <w:highlight w:val="none"/>
        </w:rPr>
        <w:t xml:space="preserve">（或委托代理人）：                 （或委托代理人）：             </w:t>
      </w:r>
    </w:p>
    <w:p>
      <w:pPr>
        <w:pStyle w:val="3"/>
        <w:keepNext w:val="0"/>
        <w:keepLines w:val="0"/>
        <w:pageBreakBefore w:val="0"/>
        <w:widowControl w:val="0"/>
        <w:kinsoku/>
        <w:wordWrap/>
        <w:overflowPunct/>
        <w:topLinePunct w:val="0"/>
        <w:autoSpaceDE/>
        <w:autoSpaceDN/>
        <w:bidi w:val="0"/>
        <w:adjustRightInd/>
        <w:snapToGrid/>
        <w:spacing w:line="360" w:lineRule="auto"/>
        <w:ind w:left="440"/>
        <w:textAlignment w:val="auto"/>
        <w:rPr>
          <w:rFonts w:ascii="宋体" w:hAnsi="宋体" w:cs="宋体"/>
          <w:color w:val="auto"/>
          <w:sz w:val="24"/>
          <w:highlight w:val="none"/>
        </w:rPr>
      </w:pPr>
      <w:r>
        <w:rPr>
          <w:rFonts w:hint="eastAsia" w:ascii="宋体" w:hAnsi="宋体" w:cs="宋体"/>
          <w:color w:val="auto"/>
          <w:sz w:val="24"/>
          <w:highlight w:val="none"/>
        </w:rPr>
        <w:t xml:space="preserve">  年    月   日                     年    月   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b/>
          <w:bCs/>
          <w:color w:val="auto"/>
          <w:kern w:val="28"/>
          <w:sz w:val="24"/>
          <w:szCs w:val="24"/>
          <w:highlight w:val="none"/>
        </w:rPr>
        <w:sectPr>
          <w:pgSz w:w="11906" w:h="16838"/>
          <w:pgMar w:top="1440" w:right="1800" w:bottom="1440" w:left="1800" w:header="851" w:footer="992" w:gutter="0"/>
          <w:pgNumType w:fmt="decimal"/>
          <w:cols w:space="720" w:num="1"/>
          <w:docGrid w:type="lines" w:linePitch="312" w:charSpace="0"/>
        </w:sectPr>
      </w:pPr>
    </w:p>
    <w:p>
      <w:pPr>
        <w:spacing w:line="360" w:lineRule="auto"/>
        <w:outlineLvl w:val="1"/>
        <w:rPr>
          <w:rFonts w:ascii="宋体" w:hAnsi="宋体" w:cs="宋体"/>
          <w:b/>
          <w:bCs/>
          <w:color w:val="auto"/>
          <w:sz w:val="24"/>
          <w:szCs w:val="24"/>
          <w:highlight w:val="none"/>
        </w:rPr>
      </w:pPr>
      <w:bookmarkStart w:id="2015" w:name="_Toc29095"/>
      <w:bookmarkStart w:id="2016" w:name="_Toc603754209"/>
      <w:bookmarkStart w:id="2017" w:name="_Toc7896"/>
      <w:bookmarkStart w:id="2018" w:name="_Toc396354848"/>
      <w:bookmarkStart w:id="2019" w:name="_Toc7335"/>
      <w:bookmarkStart w:id="2020" w:name="_Toc2217"/>
      <w:r>
        <w:rPr>
          <w:rFonts w:hint="eastAsia" w:ascii="宋体" w:hAnsi="宋体" w:cs="宋体"/>
          <w:b/>
          <w:bCs/>
          <w:color w:val="auto"/>
          <w:sz w:val="24"/>
          <w:szCs w:val="24"/>
          <w:highlight w:val="none"/>
        </w:rPr>
        <w:t>附件</w:t>
      </w:r>
      <w:r>
        <w:rPr>
          <w:rFonts w:hint="eastAsia" w:ascii="宋体" w:hAnsi="宋体" w:cs="宋体"/>
          <w:b/>
          <w:bCs/>
          <w:color w:val="auto"/>
          <w:sz w:val="24"/>
          <w:szCs w:val="24"/>
          <w:highlight w:val="none"/>
          <w:lang w:val="en-US" w:eastAsia="zh-CN"/>
        </w:rPr>
        <w:t>7</w:t>
      </w:r>
      <w:r>
        <w:rPr>
          <w:rFonts w:hint="eastAsia" w:ascii="宋体" w:hAnsi="宋体" w:cs="宋体"/>
          <w:b/>
          <w:bCs/>
          <w:color w:val="auto"/>
          <w:sz w:val="24"/>
          <w:szCs w:val="24"/>
          <w:highlight w:val="none"/>
        </w:rPr>
        <w:t>：</w:t>
      </w:r>
      <w:bookmarkEnd w:id="2013"/>
      <w:bookmarkEnd w:id="2014"/>
      <w:bookmarkEnd w:id="2015"/>
      <w:bookmarkEnd w:id="2016"/>
      <w:bookmarkEnd w:id="2017"/>
      <w:bookmarkEnd w:id="2018"/>
      <w:bookmarkEnd w:id="2019"/>
      <w:bookmarkEnd w:id="2020"/>
    </w:p>
    <w:p>
      <w:pPr>
        <w:spacing w:line="360" w:lineRule="auto"/>
        <w:jc w:val="center"/>
        <w:rPr>
          <w:rFonts w:ascii="仿宋" w:hAnsi="仿宋" w:eastAsia="仿宋" w:cs="仿宋"/>
          <w:b/>
          <w:sz w:val="36"/>
          <w:szCs w:val="36"/>
        </w:rPr>
      </w:pPr>
      <w:r>
        <w:rPr>
          <w:rFonts w:hint="eastAsia" w:ascii="仿宋" w:hAnsi="仿宋" w:eastAsia="仿宋" w:cs="仿宋"/>
          <w:b/>
          <w:sz w:val="36"/>
          <w:szCs w:val="36"/>
        </w:rPr>
        <w:t>安健环管理协议</w:t>
      </w:r>
    </w:p>
    <w:p>
      <w:pPr>
        <w:spacing w:line="360" w:lineRule="auto"/>
        <w:ind w:left="1"/>
        <w:rPr>
          <w:rFonts w:ascii="仿宋" w:hAnsi="仿宋" w:eastAsia="仿宋" w:cs="仿宋"/>
          <w:b/>
          <w:szCs w:val="21"/>
          <w:shd w:val="pct10" w:color="auto" w:fill="FFFFFF"/>
        </w:rPr>
      </w:pPr>
    </w:p>
    <w:p>
      <w:pPr>
        <w:spacing w:line="360" w:lineRule="auto"/>
        <w:ind w:left="1"/>
        <w:rPr>
          <w:rFonts w:hint="eastAsia" w:ascii="仿宋" w:hAnsi="仿宋" w:eastAsia="仿宋" w:cs="仿宋"/>
          <w:sz w:val="24"/>
          <w:szCs w:val="24"/>
          <w:lang w:eastAsia="zh-CN"/>
        </w:rPr>
      </w:pPr>
      <w:r>
        <w:rPr>
          <w:rFonts w:hint="eastAsia" w:ascii="仿宋" w:hAnsi="仿宋" w:eastAsia="仿宋" w:cs="仿宋"/>
          <w:sz w:val="24"/>
          <w:szCs w:val="24"/>
        </w:rPr>
        <w:t>甲方：</w:t>
      </w:r>
      <w:r>
        <w:rPr>
          <w:rFonts w:hint="eastAsia" w:ascii="仿宋" w:hAnsi="仿宋" w:eastAsia="仿宋" w:cs="仿宋"/>
          <w:sz w:val="24"/>
          <w:szCs w:val="24"/>
          <w:u w:val="single"/>
          <w:lang w:eastAsia="zh-CN"/>
        </w:rPr>
        <w:t>广州燃气集团有限公司</w:t>
      </w:r>
    </w:p>
    <w:p>
      <w:pPr>
        <w:spacing w:line="360" w:lineRule="auto"/>
        <w:rPr>
          <w:rFonts w:ascii="仿宋" w:hAnsi="仿宋" w:eastAsia="仿宋" w:cs="仿宋"/>
          <w:sz w:val="24"/>
          <w:szCs w:val="24"/>
        </w:rPr>
      </w:pPr>
      <w:r>
        <w:rPr>
          <w:rFonts w:hint="eastAsia" w:ascii="仿宋" w:hAnsi="仿宋" w:eastAsia="仿宋" w:cs="仿宋"/>
          <w:sz w:val="24"/>
          <w:szCs w:val="24"/>
        </w:rPr>
        <w:t>乙方：</w:t>
      </w:r>
      <w:r>
        <w:rPr>
          <w:rFonts w:hint="eastAsia" w:ascii="仿宋" w:hAnsi="仿宋" w:eastAsia="仿宋" w:cs="仿宋"/>
          <w:sz w:val="24"/>
          <w:szCs w:val="24"/>
          <w:u w:val="single"/>
        </w:rPr>
        <w:t xml:space="preserve">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贯彻“安全第一、预防为主、综合治理”的安全生产方针，明确甲、乙双方的安全责任，保障施工安全和施工人员的安全与健康，根据《安全生产法》等法律法规和甲方建设工程安健环管理规定，经甲、乙双方共同协商，就</w:t>
      </w:r>
      <w:r>
        <w:rPr>
          <w:rFonts w:hint="eastAsia" w:ascii="仿宋" w:hAnsi="仿宋" w:eastAsia="仿宋" w:cs="仿宋"/>
          <w:sz w:val="24"/>
          <w:szCs w:val="24"/>
          <w:u w:val="single"/>
          <w:lang w:val="en-US" w:eastAsia="zh-CN"/>
        </w:rPr>
        <w:t>白云恒运天然气发电项目燃气管线工程</w:t>
      </w:r>
      <w:r>
        <w:rPr>
          <w:rFonts w:hint="eastAsia" w:ascii="仿宋" w:hAnsi="仿宋" w:eastAsia="仿宋" w:cs="仿宋"/>
          <w:sz w:val="24"/>
          <w:szCs w:val="24"/>
        </w:rPr>
        <w:t>项目达成如下协议，甲、乙双方必须共同遵守。</w:t>
      </w:r>
    </w:p>
    <w:p>
      <w:pPr>
        <w:spacing w:line="360" w:lineRule="auto"/>
        <w:ind w:firstLine="422" w:firstLineChars="200"/>
        <w:rPr>
          <w:rFonts w:hint="eastAsia" w:ascii="宋体" w:hAnsi="宋体" w:cs="Batang"/>
          <w:b/>
          <w:szCs w:val="21"/>
        </w:rPr>
      </w:pPr>
      <w:r>
        <w:rPr>
          <w:rFonts w:hint="eastAsia" w:ascii="宋体" w:hAnsi="宋体" w:cs="Batang"/>
          <w:b/>
          <w:szCs w:val="21"/>
        </w:rPr>
        <w:t>一、安健环管理目标</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1.不发生人身死亡、人身重伤及群伤事故，人身轻伤控制在</w:t>
      </w:r>
      <w:r>
        <w:rPr>
          <w:rFonts w:hint="eastAsia" w:ascii="宋体" w:hAnsi="宋体" w:cs="宋体"/>
          <w:szCs w:val="21"/>
          <w:u w:val="single"/>
          <w:lang w:val="en-US" w:eastAsia="zh-CN"/>
        </w:rPr>
        <w:t>0</w:t>
      </w:r>
      <w:r>
        <w:rPr>
          <w:rFonts w:hint="eastAsia" w:ascii="宋体" w:hAnsi="宋体" w:eastAsia="宋体" w:cs="宋体"/>
          <w:szCs w:val="21"/>
        </w:rPr>
        <w:t>人次以下。</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2.不发生一般及以上生产安全事故。</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3.不发生火灾和环境污染事故。</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4.不发生设备损坏事故。</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5.不新增职业病例。</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6.满足甲方提出的现场安全文明施工要求。</w:t>
      </w:r>
    </w:p>
    <w:p>
      <w:pPr>
        <w:spacing w:line="360" w:lineRule="auto"/>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7.不发生综治维稳等群体性事件。</w:t>
      </w:r>
    </w:p>
    <w:p>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8.</w:t>
      </w:r>
      <w:r>
        <w:rPr>
          <w:rFonts w:hint="eastAsia" w:ascii="宋体" w:hAnsi="宋体" w:eastAsia="宋体" w:cs="宋体"/>
          <w:szCs w:val="21"/>
          <w:highlight w:val="none"/>
        </w:rPr>
        <w:t>在施工现场范围内不发生交通安全事故（件）。</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9.</w:t>
      </w:r>
      <w:r>
        <w:rPr>
          <w:rFonts w:hint="eastAsia" w:ascii="宋体" w:hAnsi="宋体" w:eastAsia="宋体" w:cs="宋体"/>
          <w:szCs w:val="21"/>
          <w:highlight w:val="none"/>
        </w:rPr>
        <w:t>不发生扰民及影响周边社会环境的事件</w:t>
      </w:r>
      <w:r>
        <w:rPr>
          <w:rFonts w:hint="eastAsia" w:ascii="宋体" w:hAnsi="宋体" w:eastAsia="宋体" w:cs="宋体"/>
          <w:szCs w:val="21"/>
          <w:highlight w:val="none"/>
          <w:lang w:eastAsia="zh-CN"/>
        </w:rPr>
        <w:t>。</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10.不发生社会影响较大的不安全事件或舆情事件。</w:t>
      </w:r>
    </w:p>
    <w:p>
      <w:pPr>
        <w:spacing w:line="360" w:lineRule="auto"/>
        <w:ind w:firstLine="422" w:firstLineChars="200"/>
        <w:rPr>
          <w:rFonts w:hint="eastAsia" w:ascii="宋体" w:hAnsi="宋体" w:cs="宋体"/>
          <w:b/>
          <w:szCs w:val="21"/>
        </w:rPr>
      </w:pPr>
      <w:r>
        <w:rPr>
          <w:rFonts w:hint="eastAsia" w:ascii="宋体" w:hAnsi="宋体" w:cs="宋体"/>
          <w:b/>
          <w:szCs w:val="21"/>
        </w:rPr>
        <w:t>二、</w:t>
      </w:r>
      <w:r>
        <w:rPr>
          <w:rFonts w:ascii="宋体" w:hAnsi="宋体" w:cs="宋体"/>
          <w:b/>
          <w:szCs w:val="21"/>
        </w:rPr>
        <w:t>甲</w:t>
      </w:r>
      <w:r>
        <w:rPr>
          <w:rFonts w:hint="eastAsia" w:ascii="宋体" w:hAnsi="宋体" w:cs="宋体"/>
          <w:b/>
          <w:szCs w:val="21"/>
        </w:rPr>
        <w:t>、</w:t>
      </w:r>
      <w:r>
        <w:rPr>
          <w:rFonts w:ascii="宋体" w:hAnsi="宋体" w:cs="宋体"/>
          <w:b/>
          <w:szCs w:val="21"/>
        </w:rPr>
        <w:t>乙双方</w:t>
      </w:r>
      <w:r>
        <w:rPr>
          <w:rFonts w:hint="eastAsia" w:ascii="宋体" w:hAnsi="宋体" w:cs="宋体"/>
          <w:b/>
          <w:szCs w:val="21"/>
        </w:rPr>
        <w:t>安健环职责</w:t>
      </w:r>
    </w:p>
    <w:p>
      <w:pPr>
        <w:spacing w:line="360" w:lineRule="auto"/>
        <w:ind w:firstLine="422" w:firstLineChars="200"/>
        <w:rPr>
          <w:rFonts w:hint="eastAsia" w:ascii="宋体" w:hAnsi="宋体" w:cs="宋体"/>
          <w:b/>
          <w:szCs w:val="21"/>
        </w:rPr>
      </w:pPr>
      <w:r>
        <w:rPr>
          <w:rFonts w:hint="eastAsia" w:ascii="宋体" w:hAnsi="宋体" w:cs="宋体"/>
          <w:b/>
          <w:szCs w:val="21"/>
        </w:rPr>
        <w:t>（一）甲方安健环职责</w:t>
      </w:r>
    </w:p>
    <w:p>
      <w:pPr>
        <w:spacing w:line="360" w:lineRule="auto"/>
        <w:ind w:firstLine="420" w:firstLineChars="200"/>
        <w:rPr>
          <w:rFonts w:hint="eastAsia" w:ascii="宋体" w:hAnsi="宋体" w:eastAsia="宋体" w:cs="宋体"/>
          <w:szCs w:val="21"/>
          <w:lang w:val="en-US" w:eastAsia="zh-CN"/>
        </w:rPr>
      </w:pPr>
      <w:r>
        <w:rPr>
          <w:rFonts w:hint="eastAsia" w:ascii="宋体" w:hAnsi="宋体" w:cs="宋体"/>
          <w:szCs w:val="21"/>
        </w:rPr>
        <w:t>1.</w:t>
      </w:r>
      <w:r>
        <w:rPr>
          <w:rFonts w:hint="eastAsia" w:ascii="宋体" w:hAnsi="宋体" w:eastAsia="宋体" w:cs="宋体"/>
          <w:szCs w:val="21"/>
          <w:lang w:val="en-US" w:eastAsia="zh-CN"/>
        </w:rPr>
        <w:t>项目开工前，协助乙方设置广州发展智慧工程安全管控系统账号，配置相应使用权限，并监督乙方按广州发展及燃气集团管理要求及时使用系统。</w:t>
      </w:r>
    </w:p>
    <w:p>
      <w:pPr>
        <w:spacing w:line="360" w:lineRule="auto"/>
        <w:ind w:firstLine="420" w:firstLineChars="200"/>
        <w:rPr>
          <w:rFonts w:hint="eastAsia" w:ascii="宋体" w:hAnsi="宋体" w:cs="宋体"/>
          <w:szCs w:val="21"/>
        </w:rPr>
      </w:pPr>
      <w:r>
        <w:rPr>
          <w:rFonts w:hint="eastAsia" w:ascii="宋体" w:hAnsi="宋体" w:cs="宋体"/>
          <w:szCs w:val="21"/>
        </w:rPr>
        <w:t>2.审核</w:t>
      </w:r>
      <w:r>
        <w:rPr>
          <w:rFonts w:ascii="宋体" w:hAnsi="宋体" w:cs="宋体"/>
          <w:szCs w:val="21"/>
        </w:rPr>
        <w:t>乙方</w:t>
      </w:r>
      <w:r>
        <w:rPr>
          <w:rFonts w:hint="eastAsia" w:ascii="宋体" w:hAnsi="宋体" w:cs="宋体"/>
          <w:szCs w:val="21"/>
        </w:rPr>
        <w:t>安全</w:t>
      </w:r>
      <w:r>
        <w:rPr>
          <w:rFonts w:ascii="宋体" w:hAnsi="宋体" w:cs="宋体"/>
          <w:szCs w:val="21"/>
        </w:rPr>
        <w:t>资</w:t>
      </w:r>
      <w:r>
        <w:rPr>
          <w:rFonts w:hint="eastAsia" w:ascii="宋体" w:hAnsi="宋体" w:cs="宋体"/>
          <w:szCs w:val="21"/>
        </w:rPr>
        <w:t>质；</w:t>
      </w:r>
      <w:r>
        <w:rPr>
          <w:rFonts w:hint="eastAsia" w:ascii="宋体" w:hAnsi="宋体" w:cs="宋体"/>
          <w:b w:val="0"/>
          <w:bCs w:val="0"/>
          <w:szCs w:val="21"/>
          <w:highlight w:val="none"/>
        </w:rPr>
        <w:t>审核乙方施工人员职业健康情况</w:t>
      </w:r>
      <w:r>
        <w:rPr>
          <w:rFonts w:hint="eastAsia" w:ascii="宋体" w:hAnsi="宋体" w:cs="宋体"/>
          <w:szCs w:val="21"/>
        </w:rPr>
        <w:t>；审核乙方项目经理</w:t>
      </w:r>
      <w:r>
        <w:rPr>
          <w:rFonts w:ascii="宋体" w:hAnsi="宋体" w:cs="宋体"/>
          <w:szCs w:val="21"/>
        </w:rPr>
        <w:t>及</w:t>
      </w:r>
      <w:r>
        <w:rPr>
          <w:rFonts w:hint="eastAsia" w:ascii="宋体" w:hAnsi="宋体" w:cs="宋体"/>
          <w:szCs w:val="21"/>
        </w:rPr>
        <w:t>特种作业人员资质；审核乙方</w:t>
      </w:r>
      <w:r>
        <w:rPr>
          <w:rFonts w:ascii="宋体" w:hAnsi="宋体" w:cs="宋体"/>
          <w:szCs w:val="21"/>
        </w:rPr>
        <w:t>安全管理机构及</w:t>
      </w:r>
      <w:r>
        <w:rPr>
          <w:rFonts w:hint="eastAsia" w:ascii="宋体" w:hAnsi="宋体" w:cs="宋体"/>
          <w:szCs w:val="21"/>
        </w:rPr>
        <w:t>安全管理</w:t>
      </w:r>
      <w:r>
        <w:rPr>
          <w:rFonts w:ascii="宋体" w:hAnsi="宋体" w:cs="宋体"/>
          <w:szCs w:val="21"/>
        </w:rPr>
        <w:t>人员配备</w:t>
      </w:r>
      <w:r>
        <w:rPr>
          <w:rFonts w:hint="eastAsia" w:ascii="宋体" w:hAnsi="宋体" w:cs="宋体"/>
          <w:szCs w:val="21"/>
        </w:rPr>
        <w:t>情况</w:t>
      </w:r>
      <w:r>
        <w:rPr>
          <w:rFonts w:ascii="宋体" w:hAnsi="宋体" w:cs="宋体"/>
          <w:szCs w:val="21"/>
        </w:rPr>
        <w:t>。</w:t>
      </w:r>
    </w:p>
    <w:p>
      <w:pPr>
        <w:spacing w:line="360" w:lineRule="auto"/>
        <w:ind w:firstLine="420" w:firstLineChars="200"/>
        <w:rPr>
          <w:rFonts w:hint="eastAsia" w:ascii="宋体" w:hAnsi="宋体" w:cs="宋体"/>
          <w:szCs w:val="21"/>
        </w:rPr>
      </w:pPr>
      <w:r>
        <w:rPr>
          <w:rFonts w:hint="eastAsia" w:ascii="宋体" w:hAnsi="宋体" w:cs="宋体"/>
          <w:szCs w:val="21"/>
        </w:rPr>
        <w:t>3.对</w:t>
      </w:r>
      <w:r>
        <w:rPr>
          <w:rFonts w:ascii="宋体" w:hAnsi="宋体" w:cs="宋体"/>
          <w:szCs w:val="21"/>
        </w:rPr>
        <w:t>乙方</w:t>
      </w:r>
      <w:r>
        <w:rPr>
          <w:rFonts w:hint="eastAsia" w:ascii="宋体" w:hAnsi="宋体" w:cs="宋体"/>
          <w:szCs w:val="21"/>
        </w:rPr>
        <w:t>施工</w:t>
      </w:r>
      <w:r>
        <w:rPr>
          <w:rFonts w:ascii="宋体" w:hAnsi="宋体" w:cs="宋体"/>
          <w:szCs w:val="21"/>
        </w:rPr>
        <w:t>人员进行</w:t>
      </w:r>
      <w:r>
        <w:rPr>
          <w:rFonts w:hint="eastAsia" w:ascii="宋体" w:hAnsi="宋体" w:cs="宋体"/>
          <w:szCs w:val="21"/>
        </w:rPr>
        <w:t>施工前</w:t>
      </w:r>
      <w:r>
        <w:rPr>
          <w:rFonts w:ascii="宋体" w:hAnsi="宋体" w:cs="宋体"/>
          <w:szCs w:val="21"/>
        </w:rPr>
        <w:t>安全教育</w:t>
      </w:r>
      <w:r>
        <w:rPr>
          <w:rFonts w:hint="eastAsia" w:ascii="宋体" w:hAnsi="宋体" w:cs="宋体"/>
          <w:color w:val="auto"/>
          <w:szCs w:val="21"/>
        </w:rPr>
        <w:t>或安全交底</w:t>
      </w:r>
      <w:r>
        <w:rPr>
          <w:rFonts w:ascii="宋体" w:hAnsi="宋体" w:cs="宋体"/>
          <w:color w:val="auto"/>
          <w:szCs w:val="21"/>
        </w:rPr>
        <w:t>，</w:t>
      </w:r>
      <w:r>
        <w:rPr>
          <w:rFonts w:hint="eastAsia" w:ascii="宋体" w:hAnsi="宋体" w:cs="宋体"/>
          <w:color w:val="auto"/>
          <w:szCs w:val="21"/>
        </w:rPr>
        <w:t>如需进入甲方生产运营区域施工，</w:t>
      </w:r>
      <w:r>
        <w:rPr>
          <w:rFonts w:hint="eastAsia" w:ascii="宋体" w:hAnsi="宋体" w:cs="宋体"/>
          <w:szCs w:val="21"/>
        </w:rPr>
        <w:t>应经</w:t>
      </w:r>
      <w:r>
        <w:rPr>
          <w:rFonts w:ascii="宋体" w:hAnsi="宋体" w:cs="宋体"/>
          <w:szCs w:val="21"/>
        </w:rPr>
        <w:t>考</w:t>
      </w:r>
      <w:r>
        <w:rPr>
          <w:rFonts w:hint="eastAsia" w:ascii="宋体" w:hAnsi="宋体" w:cs="宋体"/>
          <w:szCs w:val="21"/>
        </w:rPr>
        <w:t>核</w:t>
      </w:r>
      <w:r>
        <w:rPr>
          <w:rFonts w:ascii="宋体" w:hAnsi="宋体" w:cs="宋体"/>
          <w:szCs w:val="21"/>
        </w:rPr>
        <w:t>合格</w:t>
      </w:r>
      <w:r>
        <w:rPr>
          <w:rFonts w:hint="eastAsia" w:ascii="宋体" w:hAnsi="宋体" w:cs="宋体"/>
          <w:szCs w:val="21"/>
        </w:rPr>
        <w:t>后办理入场手续。</w:t>
      </w:r>
    </w:p>
    <w:p>
      <w:pPr>
        <w:spacing w:line="360" w:lineRule="auto"/>
        <w:ind w:firstLine="420" w:firstLineChars="200"/>
        <w:rPr>
          <w:rFonts w:hint="eastAsia" w:ascii="宋体" w:hAnsi="宋体" w:eastAsia="宋体" w:cs="宋体"/>
          <w:szCs w:val="21"/>
          <w:lang w:eastAsia="zh-CN"/>
        </w:rPr>
      </w:pPr>
      <w:r>
        <w:rPr>
          <w:rFonts w:hint="eastAsia" w:ascii="宋体" w:hAnsi="宋体" w:cs="宋体"/>
          <w:szCs w:val="21"/>
        </w:rPr>
        <w:t>4.</w:t>
      </w:r>
      <w:r>
        <w:rPr>
          <w:rFonts w:hint="eastAsia" w:ascii="宋体" w:hAnsi="宋体" w:cs="宋体"/>
          <w:color w:val="auto"/>
          <w:szCs w:val="21"/>
          <w:highlight w:val="none"/>
          <w:lang w:val="en-US" w:eastAsia="zh-CN"/>
        </w:rPr>
        <w:t>督促监理单位</w:t>
      </w:r>
      <w:r>
        <w:rPr>
          <w:rFonts w:hint="eastAsia" w:ascii="宋体" w:hAnsi="宋体" w:cs="宋体"/>
          <w:szCs w:val="21"/>
        </w:rPr>
        <w:t>审核乙方施工组织设计或施工方案中的安全保障措施符合安全施工要求；</w:t>
      </w:r>
      <w:r>
        <w:rPr>
          <w:rFonts w:hint="eastAsia" w:ascii="宋体" w:hAnsi="宋体" w:cs="宋体"/>
          <w:color w:val="auto"/>
          <w:szCs w:val="21"/>
          <w:highlight w:val="none"/>
          <w:lang w:val="en-US" w:eastAsia="zh-CN"/>
        </w:rPr>
        <w:t>督促监理单位</w:t>
      </w:r>
      <w:r>
        <w:rPr>
          <w:rFonts w:hint="eastAsia" w:ascii="宋体" w:hAnsi="宋体" w:cs="宋体"/>
          <w:szCs w:val="21"/>
        </w:rPr>
        <w:t>审核乙方入场的施工机械、工器具验收合格，符合安全要求；</w:t>
      </w:r>
      <w:r>
        <w:rPr>
          <w:rFonts w:hint="eastAsia" w:ascii="宋体" w:hAnsi="宋体" w:cs="宋体"/>
          <w:color w:val="auto"/>
          <w:szCs w:val="21"/>
          <w:highlight w:val="none"/>
          <w:lang w:val="en-US" w:eastAsia="zh-CN"/>
        </w:rPr>
        <w:t>督促监理单位</w:t>
      </w:r>
      <w:r>
        <w:rPr>
          <w:rFonts w:hint="eastAsia" w:ascii="宋体" w:hAnsi="宋体" w:cs="宋体"/>
          <w:szCs w:val="21"/>
        </w:rPr>
        <w:t>审核施工人员安全和职业健康保护用品配备符合规范要求，并正确使用。</w:t>
      </w:r>
    </w:p>
    <w:p>
      <w:pPr>
        <w:spacing w:line="360" w:lineRule="auto"/>
        <w:ind w:firstLine="420" w:firstLineChars="200"/>
        <w:rPr>
          <w:rFonts w:hint="eastAsia" w:ascii="宋体" w:hAnsi="宋体" w:cs="宋体"/>
          <w:szCs w:val="21"/>
        </w:rPr>
      </w:pPr>
      <w:r>
        <w:rPr>
          <w:rFonts w:hint="eastAsia" w:ascii="宋体" w:hAnsi="宋体" w:cs="宋体"/>
          <w:szCs w:val="21"/>
        </w:rPr>
        <w:t xml:space="preserve">5.项目开工前，负责审核现场安全措施满足施工要求，按规定办理开工手续。 </w:t>
      </w:r>
    </w:p>
    <w:p>
      <w:pPr>
        <w:spacing w:line="360" w:lineRule="auto"/>
        <w:ind w:firstLine="420" w:firstLineChars="200"/>
        <w:rPr>
          <w:rFonts w:ascii="宋体" w:hAnsi="宋体" w:cs="宋体"/>
          <w:szCs w:val="21"/>
        </w:rPr>
      </w:pPr>
      <w:r>
        <w:rPr>
          <w:rFonts w:hint="eastAsia" w:ascii="宋体" w:hAnsi="宋体" w:cs="宋体"/>
          <w:szCs w:val="21"/>
        </w:rPr>
        <w:t>6.负责</w:t>
      </w:r>
      <w:r>
        <w:rPr>
          <w:rFonts w:ascii="宋体" w:hAnsi="宋体" w:cs="宋体"/>
          <w:szCs w:val="21"/>
        </w:rPr>
        <w:t>组织同一区域交叉施工各</w:t>
      </w:r>
      <w:r>
        <w:rPr>
          <w:rFonts w:hint="eastAsia" w:ascii="宋体" w:hAnsi="宋体" w:cs="宋体"/>
          <w:szCs w:val="21"/>
        </w:rPr>
        <w:t>承包</w:t>
      </w:r>
      <w:r>
        <w:rPr>
          <w:rFonts w:ascii="宋体" w:hAnsi="宋体" w:cs="宋体"/>
          <w:szCs w:val="21"/>
        </w:rPr>
        <w:t>方签订安全协议，</w:t>
      </w:r>
      <w:r>
        <w:rPr>
          <w:rFonts w:hint="eastAsia" w:ascii="宋体" w:hAnsi="宋体" w:cs="宋体"/>
          <w:szCs w:val="21"/>
        </w:rPr>
        <w:t>明确各方安全职责和保障措施</w:t>
      </w:r>
      <w:r>
        <w:rPr>
          <w:rFonts w:ascii="宋体" w:hAnsi="宋体" w:cs="宋体"/>
          <w:szCs w:val="21"/>
        </w:rPr>
        <w:t xml:space="preserve">。 </w:t>
      </w:r>
    </w:p>
    <w:p>
      <w:pPr>
        <w:spacing w:line="360" w:lineRule="auto"/>
        <w:ind w:firstLine="420" w:firstLineChars="200"/>
        <w:rPr>
          <w:rFonts w:ascii="宋体" w:hAnsi="宋体" w:cs="宋体"/>
          <w:szCs w:val="21"/>
        </w:rPr>
      </w:pPr>
      <w:r>
        <w:rPr>
          <w:rFonts w:hint="eastAsia" w:ascii="宋体" w:hAnsi="宋体" w:cs="宋体"/>
          <w:szCs w:val="21"/>
        </w:rPr>
        <w:t>7.</w:t>
      </w:r>
      <w:r>
        <w:rPr>
          <w:rFonts w:hint="eastAsia" w:ascii="宋体" w:hAnsi="宋体" w:cs="宋体"/>
          <w:szCs w:val="21"/>
          <w:lang w:val="en-US" w:eastAsia="zh-CN"/>
        </w:rPr>
        <w:t>监督乙方</w:t>
      </w:r>
      <w:r>
        <w:rPr>
          <w:rFonts w:ascii="宋体" w:hAnsi="宋体" w:cs="宋体"/>
          <w:szCs w:val="21"/>
        </w:rPr>
        <w:t>定期</w:t>
      </w:r>
      <w:r>
        <w:rPr>
          <w:rFonts w:hint="eastAsia" w:ascii="宋体" w:hAnsi="宋体" w:cs="宋体"/>
          <w:szCs w:val="21"/>
        </w:rPr>
        <w:t>组织</w:t>
      </w:r>
      <w:r>
        <w:rPr>
          <w:rFonts w:ascii="宋体" w:hAnsi="宋体" w:cs="宋体"/>
          <w:szCs w:val="21"/>
        </w:rPr>
        <w:t>召开安全工作例会</w:t>
      </w:r>
      <w:r>
        <w:rPr>
          <w:rFonts w:hint="eastAsia" w:ascii="宋体" w:hAnsi="宋体" w:cs="宋体"/>
          <w:szCs w:val="21"/>
          <w:lang w:eastAsia="zh-CN"/>
        </w:rPr>
        <w:t>，</w:t>
      </w:r>
      <w:r>
        <w:rPr>
          <w:rFonts w:hint="eastAsia" w:ascii="宋体" w:hAnsi="宋体" w:cs="宋体"/>
          <w:szCs w:val="21"/>
          <w:lang w:val="en-US" w:eastAsia="zh-CN"/>
        </w:rPr>
        <w:t>监督并参与项目</w:t>
      </w:r>
      <w:r>
        <w:rPr>
          <w:rFonts w:ascii="宋体" w:hAnsi="宋体" w:cs="宋体"/>
          <w:szCs w:val="21"/>
        </w:rPr>
        <w:t>安全专题会议，</w:t>
      </w:r>
      <w:r>
        <w:rPr>
          <w:rFonts w:hint="eastAsia" w:ascii="宋体" w:hAnsi="宋体" w:cs="宋体"/>
          <w:szCs w:val="21"/>
        </w:rPr>
        <w:t>通报现场安全情况，</w:t>
      </w:r>
      <w:r>
        <w:rPr>
          <w:rFonts w:ascii="宋体" w:hAnsi="宋体" w:cs="宋体"/>
          <w:szCs w:val="21"/>
        </w:rPr>
        <w:t xml:space="preserve">协调解决安全问题。 </w:t>
      </w:r>
    </w:p>
    <w:p>
      <w:pPr>
        <w:spacing w:line="360" w:lineRule="auto"/>
        <w:ind w:firstLine="420" w:firstLineChars="200"/>
        <w:rPr>
          <w:rFonts w:ascii="宋体" w:hAnsi="宋体" w:cs="宋体"/>
          <w:szCs w:val="21"/>
        </w:rPr>
      </w:pPr>
      <w:r>
        <w:rPr>
          <w:rFonts w:ascii="宋体" w:hAnsi="宋体" w:cs="宋体"/>
          <w:szCs w:val="21"/>
        </w:rPr>
        <w:t>8</w:t>
      </w:r>
      <w:r>
        <w:rPr>
          <w:rFonts w:hint="eastAsia" w:ascii="宋体" w:hAnsi="宋体" w:cs="宋体"/>
          <w:szCs w:val="21"/>
        </w:rPr>
        <w:t>.</w:t>
      </w:r>
      <w:r>
        <w:rPr>
          <w:rFonts w:ascii="宋体" w:hAnsi="宋体" w:cs="宋体"/>
          <w:szCs w:val="21"/>
        </w:rPr>
        <w:t>组织</w:t>
      </w:r>
      <w:r>
        <w:rPr>
          <w:rFonts w:hint="eastAsia" w:ascii="宋体" w:hAnsi="宋体" w:cs="宋体"/>
          <w:szCs w:val="21"/>
        </w:rPr>
        <w:t>施工</w:t>
      </w:r>
      <w:r>
        <w:rPr>
          <w:rFonts w:ascii="宋体" w:hAnsi="宋体" w:cs="宋体"/>
          <w:szCs w:val="21"/>
        </w:rPr>
        <w:t>现场安全检查，</w:t>
      </w:r>
      <w:r>
        <w:rPr>
          <w:rFonts w:hint="eastAsia" w:ascii="宋体" w:hAnsi="宋体" w:cs="宋体"/>
          <w:szCs w:val="21"/>
        </w:rPr>
        <w:t>及时</w:t>
      </w:r>
      <w:r>
        <w:rPr>
          <w:rFonts w:ascii="宋体" w:hAnsi="宋体" w:cs="宋体"/>
          <w:szCs w:val="21"/>
        </w:rPr>
        <w:t>纠正违章</w:t>
      </w:r>
      <w:r>
        <w:rPr>
          <w:rFonts w:hint="eastAsia" w:ascii="宋体" w:hAnsi="宋体" w:cs="宋体"/>
          <w:szCs w:val="21"/>
        </w:rPr>
        <w:t>；情节严重或未按期整改的，按照考核标准</w:t>
      </w:r>
      <w:r>
        <w:rPr>
          <w:rFonts w:ascii="宋体" w:hAnsi="宋体" w:cs="宋体"/>
          <w:szCs w:val="21"/>
        </w:rPr>
        <w:t xml:space="preserve">进行考核。 </w:t>
      </w:r>
    </w:p>
    <w:p>
      <w:pPr>
        <w:spacing w:line="360" w:lineRule="auto"/>
        <w:ind w:firstLine="420" w:firstLineChars="200"/>
        <w:rPr>
          <w:rFonts w:ascii="宋体" w:hAnsi="宋体" w:cs="宋体"/>
          <w:szCs w:val="21"/>
        </w:rPr>
      </w:pPr>
      <w:r>
        <w:rPr>
          <w:rFonts w:ascii="宋体" w:hAnsi="宋体" w:cs="宋体"/>
          <w:szCs w:val="21"/>
        </w:rPr>
        <w:t>9</w:t>
      </w:r>
      <w:r>
        <w:rPr>
          <w:rFonts w:hint="eastAsia" w:ascii="宋体" w:hAnsi="宋体" w:cs="宋体"/>
          <w:szCs w:val="21"/>
        </w:rPr>
        <w:t>.</w:t>
      </w:r>
      <w:r>
        <w:rPr>
          <w:rFonts w:hint="eastAsia" w:ascii="宋体" w:hAnsi="宋体" w:cs="宋体"/>
          <w:color w:val="auto"/>
          <w:szCs w:val="21"/>
          <w:highlight w:val="none"/>
          <w:lang w:val="en-US" w:eastAsia="zh-CN"/>
        </w:rPr>
        <w:t>督促监理单位</w:t>
      </w:r>
      <w:r>
        <w:rPr>
          <w:rFonts w:hint="eastAsia" w:ascii="宋体" w:hAnsi="宋体" w:cs="宋体"/>
          <w:szCs w:val="21"/>
        </w:rPr>
        <w:t>审核</w:t>
      </w:r>
      <w:r>
        <w:rPr>
          <w:rFonts w:ascii="宋体" w:hAnsi="宋体" w:cs="宋体"/>
          <w:szCs w:val="21"/>
        </w:rPr>
        <w:t>乙方</w:t>
      </w:r>
      <w:r>
        <w:rPr>
          <w:rFonts w:hint="eastAsia" w:ascii="宋体" w:hAnsi="宋体" w:cs="宋体"/>
          <w:szCs w:val="21"/>
        </w:rPr>
        <w:t>高风险</w:t>
      </w:r>
      <w:r>
        <w:rPr>
          <w:rFonts w:ascii="宋体" w:hAnsi="宋体" w:cs="宋体"/>
          <w:szCs w:val="21"/>
        </w:rPr>
        <w:t>作业项目</w:t>
      </w:r>
      <w:r>
        <w:rPr>
          <w:rFonts w:hint="eastAsia" w:ascii="宋体" w:hAnsi="宋体" w:cs="宋体"/>
          <w:szCs w:val="21"/>
        </w:rPr>
        <w:t>或专项施工方案中的安全保障</w:t>
      </w:r>
      <w:r>
        <w:rPr>
          <w:rFonts w:ascii="宋体" w:hAnsi="宋体" w:cs="宋体"/>
          <w:szCs w:val="21"/>
        </w:rPr>
        <w:t>措施</w:t>
      </w:r>
      <w:r>
        <w:rPr>
          <w:rFonts w:hint="eastAsia" w:ascii="宋体" w:hAnsi="宋体" w:cs="宋体"/>
          <w:szCs w:val="21"/>
        </w:rPr>
        <w:t>满足施工要求。</w:t>
      </w:r>
      <w:r>
        <w:rPr>
          <w:rFonts w:ascii="宋体" w:hAnsi="宋体" w:cs="宋体"/>
          <w:szCs w:val="21"/>
        </w:rPr>
        <w:t xml:space="preserve"> </w:t>
      </w:r>
    </w:p>
    <w:p>
      <w:pPr>
        <w:spacing w:line="360" w:lineRule="auto"/>
        <w:ind w:firstLine="420" w:firstLineChars="200"/>
        <w:rPr>
          <w:rFonts w:hint="eastAsia" w:ascii="宋体" w:hAnsi="宋体" w:cs="宋体"/>
          <w:szCs w:val="21"/>
        </w:rPr>
      </w:pPr>
      <w:r>
        <w:rPr>
          <w:rFonts w:hint="eastAsia" w:ascii="宋体" w:hAnsi="宋体" w:cs="宋体"/>
          <w:szCs w:val="21"/>
          <w:lang w:val="en-US" w:eastAsia="zh-CN"/>
        </w:rPr>
        <w:t>10.</w:t>
      </w:r>
      <w:r>
        <w:rPr>
          <w:rFonts w:hint="eastAsia" w:ascii="宋体" w:hAnsi="宋体" w:cs="宋体"/>
          <w:szCs w:val="21"/>
        </w:rPr>
        <w:t>审核</w:t>
      </w:r>
      <w:r>
        <w:rPr>
          <w:rFonts w:hint="eastAsia" w:ascii="宋体" w:hAnsi="宋体" w:cs="宋体"/>
          <w:szCs w:val="21"/>
          <w:lang w:val="en-US" w:eastAsia="zh-CN"/>
        </w:rPr>
        <w:t>及监督</w:t>
      </w:r>
      <w:r>
        <w:rPr>
          <w:rFonts w:ascii="宋体" w:hAnsi="宋体" w:cs="宋体"/>
          <w:szCs w:val="21"/>
        </w:rPr>
        <w:t>乙方</w:t>
      </w:r>
      <w:r>
        <w:rPr>
          <w:rFonts w:hint="eastAsia" w:ascii="宋体" w:hAnsi="宋体" w:cs="宋体"/>
          <w:szCs w:val="21"/>
          <w:lang w:val="en-US" w:eastAsia="zh-CN"/>
        </w:rPr>
        <w:t>绿色施工</w:t>
      </w:r>
      <w:r>
        <w:rPr>
          <w:rFonts w:ascii="宋体" w:hAnsi="宋体" w:cs="宋体"/>
          <w:szCs w:val="21"/>
        </w:rPr>
        <w:t>安全</w:t>
      </w:r>
      <w:r>
        <w:rPr>
          <w:rFonts w:hint="eastAsia" w:ascii="宋体" w:hAnsi="宋体" w:cs="宋体"/>
          <w:szCs w:val="21"/>
        </w:rPr>
        <w:t>防护</w:t>
      </w:r>
      <w:r>
        <w:rPr>
          <w:rFonts w:ascii="宋体" w:hAnsi="宋体" w:cs="宋体"/>
          <w:szCs w:val="21"/>
        </w:rPr>
        <w:t>措施费</w:t>
      </w:r>
      <w:r>
        <w:rPr>
          <w:rFonts w:hint="eastAsia" w:ascii="宋体" w:hAnsi="宋体" w:cs="宋体"/>
          <w:szCs w:val="21"/>
          <w:lang w:val="en-US" w:eastAsia="zh-CN"/>
        </w:rPr>
        <w:t>申报及</w:t>
      </w:r>
      <w:r>
        <w:rPr>
          <w:rFonts w:ascii="宋体" w:hAnsi="宋体" w:cs="宋体"/>
          <w:szCs w:val="21"/>
        </w:rPr>
        <w:t>使用情况</w:t>
      </w:r>
      <w:r>
        <w:rPr>
          <w:rFonts w:hint="eastAsia" w:ascii="宋体" w:hAnsi="宋体" w:cs="宋体"/>
          <w:szCs w:val="21"/>
        </w:rPr>
        <w:t>。</w:t>
      </w:r>
    </w:p>
    <w:p>
      <w:pPr>
        <w:spacing w:line="360" w:lineRule="auto"/>
        <w:ind w:firstLine="420" w:firstLineChars="200"/>
        <w:rPr>
          <w:rFonts w:hint="eastAsia" w:ascii="宋体" w:hAnsi="宋体" w:eastAsia="宋体" w:cs="宋体"/>
          <w:i w:val="0"/>
          <w:caps w:val="0"/>
          <w:color w:val="auto"/>
          <w:spacing w:val="0"/>
          <w:kern w:val="0"/>
          <w:sz w:val="21"/>
          <w:szCs w:val="21"/>
          <w:highlight w:val="none"/>
          <w:shd w:val="clear" w:color="auto" w:fill="FFFFFF"/>
          <w:vertAlign w:val="baseline"/>
          <w:lang w:val="en-US" w:eastAsia="zh-CN" w:bidi="ar"/>
        </w:rPr>
      </w:pPr>
      <w:r>
        <w:rPr>
          <w:rFonts w:hint="eastAsia" w:ascii="宋体" w:hAnsi="宋体" w:eastAsia="宋体" w:cs="宋体"/>
          <w:szCs w:val="21"/>
          <w:lang w:val="en-US" w:eastAsia="zh-CN"/>
        </w:rPr>
        <w:t>11.</w:t>
      </w:r>
      <w:r>
        <w:rPr>
          <w:rFonts w:hint="eastAsia" w:ascii="宋体" w:hAnsi="宋体" w:eastAsia="宋体" w:cs="宋体"/>
          <w:i w:val="0"/>
          <w:caps w:val="0"/>
          <w:color w:val="auto"/>
          <w:spacing w:val="0"/>
          <w:kern w:val="0"/>
          <w:sz w:val="21"/>
          <w:szCs w:val="21"/>
          <w:highlight w:val="none"/>
          <w:shd w:val="clear" w:color="auto" w:fill="FFFFFF"/>
          <w:vertAlign w:val="baseline"/>
          <w:lang w:val="en-US" w:eastAsia="zh-CN" w:bidi="ar"/>
        </w:rPr>
        <w:t>提供与工程有关的真实、准确、齐全的原始资料</w:t>
      </w:r>
      <w:r>
        <w:rPr>
          <w:rFonts w:hint="eastAsia" w:ascii="宋体" w:hAnsi="宋体" w:cs="宋体"/>
          <w:i w:val="0"/>
          <w:caps w:val="0"/>
          <w:color w:val="auto"/>
          <w:spacing w:val="0"/>
          <w:kern w:val="0"/>
          <w:sz w:val="21"/>
          <w:szCs w:val="21"/>
          <w:highlight w:val="none"/>
          <w:shd w:val="clear" w:color="auto" w:fill="FFFFFF"/>
          <w:vertAlign w:val="baseline"/>
          <w:lang w:val="en-US" w:eastAsia="zh-CN" w:bidi="ar"/>
        </w:rPr>
        <w:t>。</w:t>
      </w:r>
      <w:r>
        <w:rPr>
          <w:rFonts w:hint="eastAsia" w:ascii="宋体" w:hAnsi="宋体" w:eastAsia="宋体" w:cs="宋体"/>
          <w:i w:val="0"/>
          <w:caps w:val="0"/>
          <w:color w:val="auto"/>
          <w:spacing w:val="0"/>
          <w:kern w:val="0"/>
          <w:sz w:val="21"/>
          <w:szCs w:val="21"/>
          <w:highlight w:val="none"/>
          <w:shd w:val="clear" w:color="auto" w:fill="FFFFFF"/>
          <w:vertAlign w:val="baseline"/>
          <w:lang w:val="en-US" w:eastAsia="zh-CN" w:bidi="ar"/>
        </w:rPr>
        <w:t>严格执行施工图设计文件审查制度，及时将施工图设计文件报有关机构审查，未经审查批准的，不得使用；发生重大设计变更的，应送原审图机构审查。</w:t>
      </w:r>
    </w:p>
    <w:p>
      <w:pPr>
        <w:spacing w:line="360" w:lineRule="auto"/>
        <w:ind w:firstLine="420" w:firstLineChars="200"/>
        <w:rPr>
          <w:rFonts w:hint="eastAsia" w:ascii="宋体" w:hAnsi="宋体" w:eastAsia="宋体" w:cs="宋体"/>
          <w:i w:val="0"/>
          <w:caps w:val="0"/>
          <w:color w:val="auto"/>
          <w:spacing w:val="0"/>
          <w:kern w:val="0"/>
          <w:sz w:val="21"/>
          <w:szCs w:val="21"/>
          <w:highlight w:val="none"/>
          <w:shd w:val="clear" w:color="auto" w:fill="FFFFFF"/>
          <w:vertAlign w:val="baseline"/>
          <w:lang w:val="en-US" w:eastAsia="zh-CN" w:bidi="ar"/>
        </w:rPr>
      </w:pPr>
      <w:r>
        <w:rPr>
          <w:rFonts w:hint="eastAsia" w:ascii="宋体" w:hAnsi="宋体" w:eastAsia="宋体" w:cs="宋体"/>
          <w:i w:val="0"/>
          <w:caps w:val="0"/>
          <w:color w:val="auto"/>
          <w:spacing w:val="0"/>
          <w:kern w:val="0"/>
          <w:sz w:val="21"/>
          <w:szCs w:val="21"/>
          <w:highlight w:val="none"/>
          <w:shd w:val="clear" w:color="auto" w:fill="FFFFFF"/>
          <w:vertAlign w:val="baseline"/>
          <w:lang w:val="en-US" w:eastAsia="zh-CN" w:bidi="ar"/>
        </w:rPr>
        <w:t>12.在项目开工前按照国家有关规定办理工程质量、安全监督手续，申请领取施工许可证。依法应当实行监理的工程，应当委托工程监理单位进行监理。</w:t>
      </w:r>
    </w:p>
    <w:p>
      <w:pPr>
        <w:spacing w:line="360" w:lineRule="auto"/>
        <w:ind w:firstLine="420" w:firstLineChars="200"/>
        <w:rPr>
          <w:rFonts w:hint="eastAsia" w:ascii="宋体" w:hAnsi="宋体" w:eastAsia="宋体" w:cs="宋体"/>
          <w:i w:val="0"/>
          <w:caps w:val="0"/>
          <w:color w:val="auto"/>
          <w:spacing w:val="0"/>
          <w:kern w:val="0"/>
          <w:sz w:val="21"/>
          <w:szCs w:val="21"/>
          <w:highlight w:val="none"/>
          <w:shd w:val="clear" w:color="auto" w:fill="FFFFFF"/>
          <w:vertAlign w:val="baseline"/>
          <w:lang w:val="en-US" w:eastAsia="zh-CN" w:bidi="ar"/>
        </w:rPr>
      </w:pPr>
      <w:r>
        <w:rPr>
          <w:rFonts w:hint="eastAsia" w:ascii="宋体" w:hAnsi="宋体" w:eastAsia="宋体" w:cs="宋体"/>
          <w:i w:val="0"/>
          <w:caps w:val="0"/>
          <w:color w:val="auto"/>
          <w:spacing w:val="0"/>
          <w:kern w:val="0"/>
          <w:sz w:val="21"/>
          <w:szCs w:val="21"/>
          <w:highlight w:val="none"/>
          <w:shd w:val="clear" w:color="auto" w:fill="FFFFFF"/>
          <w:vertAlign w:val="baseline"/>
          <w:lang w:val="en-US" w:eastAsia="zh-CN" w:bidi="ar"/>
        </w:rPr>
        <w:t>13.在开工前明确项目管理部门负责项目的日常安全管理。项目满足需成立项目安委会的，项目单位应在开工前成立项目安委会。</w:t>
      </w:r>
    </w:p>
    <w:p>
      <w:pPr>
        <w:spacing w:line="360" w:lineRule="auto"/>
        <w:ind w:firstLine="422" w:firstLineChars="200"/>
        <w:rPr>
          <w:rFonts w:hint="eastAsia" w:ascii="宋体" w:hAnsi="宋体" w:cs="Batang"/>
          <w:b/>
          <w:szCs w:val="21"/>
        </w:rPr>
      </w:pPr>
      <w:r>
        <w:rPr>
          <w:rFonts w:hint="eastAsia" w:ascii="宋体" w:hAnsi="宋体" w:cs="Batang"/>
          <w:b/>
          <w:szCs w:val="21"/>
        </w:rPr>
        <w:t>（二）乙方安健环职责</w:t>
      </w:r>
    </w:p>
    <w:p>
      <w:pPr>
        <w:spacing w:line="360" w:lineRule="auto"/>
        <w:ind w:firstLine="420" w:firstLineChars="200"/>
        <w:rPr>
          <w:rFonts w:hint="eastAsia" w:ascii="宋体" w:hAnsi="宋体" w:cs="宋体"/>
          <w:szCs w:val="21"/>
        </w:rPr>
      </w:pPr>
      <w:r>
        <w:rPr>
          <w:rFonts w:ascii="宋体" w:hAnsi="宋体" w:cs="宋体"/>
          <w:szCs w:val="21"/>
        </w:rPr>
        <w:t>1</w:t>
      </w:r>
      <w:r>
        <w:rPr>
          <w:rFonts w:hint="eastAsia" w:ascii="宋体" w:hAnsi="宋体" w:cs="宋体"/>
          <w:szCs w:val="21"/>
        </w:rPr>
        <w:t>.</w:t>
      </w:r>
      <w:r>
        <w:rPr>
          <w:rFonts w:ascii="宋体" w:hAnsi="宋体"/>
        </w:rPr>
        <w:t>乙方</w:t>
      </w:r>
      <w:r>
        <w:rPr>
          <w:rFonts w:hint="eastAsia" w:ascii="宋体" w:hAnsi="宋体"/>
        </w:rPr>
        <w:t>项目经理</w:t>
      </w:r>
      <w:r>
        <w:rPr>
          <w:rFonts w:ascii="宋体" w:hAnsi="宋体"/>
        </w:rPr>
        <w:t>是本</w:t>
      </w:r>
      <w:r>
        <w:rPr>
          <w:rFonts w:hint="eastAsia" w:ascii="宋体" w:hAnsi="宋体"/>
        </w:rPr>
        <w:t>项目</w:t>
      </w:r>
      <w:r>
        <w:rPr>
          <w:rFonts w:ascii="宋体" w:hAnsi="宋体"/>
        </w:rPr>
        <w:t>安全第一责任</w:t>
      </w:r>
      <w:r>
        <w:rPr>
          <w:rFonts w:hint="eastAsia" w:ascii="宋体" w:hAnsi="宋体"/>
        </w:rPr>
        <w:t>人</w:t>
      </w:r>
      <w:r>
        <w:rPr>
          <w:rFonts w:ascii="宋体" w:hAnsi="宋体"/>
        </w:rPr>
        <w:t>，全面负责本</w:t>
      </w:r>
      <w:r>
        <w:rPr>
          <w:rFonts w:hint="eastAsia" w:ascii="宋体" w:hAnsi="宋体"/>
        </w:rPr>
        <w:t>项目</w:t>
      </w:r>
      <w:r>
        <w:rPr>
          <w:rFonts w:ascii="宋体" w:hAnsi="宋体"/>
        </w:rPr>
        <w:t>安健环管理工作，切实履行安健环职责。</w:t>
      </w:r>
      <w:r>
        <w:rPr>
          <w:rFonts w:hint="eastAsia" w:ascii="宋体" w:hAnsi="宋体"/>
        </w:rPr>
        <w:t>负责依规建立安全管理机构并配备安全管理人员，制定安全生产责任制度、应急预案、安全检查和隐患排查、安全教育培训</w:t>
      </w:r>
      <w:r>
        <w:rPr>
          <w:rFonts w:hint="eastAsia" w:ascii="宋体" w:hAnsi="宋体"/>
          <w:lang w:eastAsia="zh-CN"/>
        </w:rPr>
        <w:t>、</w:t>
      </w:r>
      <w:r>
        <w:rPr>
          <w:rFonts w:hint="eastAsia" w:ascii="宋体" w:hAnsi="宋体"/>
        </w:rPr>
        <w:t>报告和处置生产安全事故等等规章制度</w:t>
      </w:r>
      <w:r>
        <w:rPr>
          <w:rFonts w:hint="eastAsia" w:ascii="宋体" w:hAnsi="宋体"/>
          <w:lang w:val="en-US" w:eastAsia="zh-CN"/>
        </w:rPr>
        <w:t>和安全操作规程等</w:t>
      </w:r>
      <w:r>
        <w:rPr>
          <w:rFonts w:hint="eastAsia" w:ascii="宋体" w:hAnsi="宋体"/>
        </w:rPr>
        <w:t>，并严格执行。企业主要负责人、项目负责人和专职安全生产管理人员取得安全生产考核合格证书</w:t>
      </w:r>
      <w:r>
        <w:rPr>
          <w:rFonts w:hint="eastAsia" w:ascii="宋体" w:hAnsi="宋体"/>
          <w:lang w:eastAsia="zh-CN"/>
        </w:rPr>
        <w:t>。</w:t>
      </w:r>
    </w:p>
    <w:p>
      <w:pPr>
        <w:spacing w:line="360" w:lineRule="auto"/>
        <w:ind w:firstLine="420" w:firstLineChars="200"/>
        <w:rPr>
          <w:rFonts w:hint="eastAsia" w:ascii="宋体" w:hAnsi="宋体" w:cs="宋体"/>
          <w:szCs w:val="21"/>
        </w:rPr>
      </w:pPr>
      <w:r>
        <w:rPr>
          <w:rFonts w:ascii="宋体" w:hAnsi="宋体" w:cs="宋体"/>
          <w:szCs w:val="21"/>
        </w:rPr>
        <w:t>2</w:t>
      </w:r>
      <w:r>
        <w:rPr>
          <w:rFonts w:hint="eastAsia" w:ascii="宋体" w:hAnsi="宋体" w:cs="宋体"/>
          <w:szCs w:val="21"/>
        </w:rPr>
        <w:t>.</w:t>
      </w:r>
      <w:r>
        <w:rPr>
          <w:rFonts w:hint="eastAsia" w:ascii="宋体" w:hAnsi="宋体"/>
          <w:highlight w:val="none"/>
          <w:lang w:val="en-US" w:eastAsia="zh-CN"/>
        </w:rPr>
        <w:t>充分利用广州发展智慧工程安全管控平台做好现场安全过程管控，并承担相应使用费用。</w:t>
      </w:r>
    </w:p>
    <w:p>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对</w:t>
      </w:r>
      <w:r>
        <w:rPr>
          <w:rFonts w:hint="eastAsia" w:ascii="宋体" w:hAnsi="宋体" w:cs="宋体"/>
          <w:szCs w:val="21"/>
        </w:rPr>
        <w:t>入场人员</w:t>
      </w:r>
      <w:r>
        <w:rPr>
          <w:rFonts w:ascii="宋体" w:hAnsi="宋体" w:cs="宋体"/>
          <w:szCs w:val="21"/>
        </w:rPr>
        <w:t>进行三级安全教育</w:t>
      </w:r>
      <w:r>
        <w:rPr>
          <w:rFonts w:hint="eastAsia" w:ascii="宋体" w:hAnsi="宋体" w:cs="宋体"/>
          <w:szCs w:val="21"/>
        </w:rPr>
        <w:t>，告知现场职业危害因素及防范措施，每天作业前进行安全技术交底，并做好记录；按规范为施工人员配备合格的劳动保护用品并督促正确使用；</w:t>
      </w:r>
      <w:r>
        <w:rPr>
          <w:rFonts w:hint="eastAsia" w:ascii="宋体" w:hAnsi="宋体" w:cs="宋体"/>
          <w:szCs w:val="21"/>
          <w:highlight w:val="none"/>
        </w:rPr>
        <w:t>提供施工人员有效的职业健康体检证明和工伤保险凭证，禁止有职业禁忌人员进场施工</w:t>
      </w:r>
      <w:r>
        <w:rPr>
          <w:rFonts w:hint="eastAsia" w:ascii="宋体" w:hAnsi="宋体" w:cs="宋体"/>
          <w:szCs w:val="21"/>
        </w:rPr>
        <w:t>。</w:t>
      </w:r>
    </w:p>
    <w:p>
      <w:pPr>
        <w:spacing w:line="360" w:lineRule="auto"/>
        <w:ind w:firstLine="420" w:firstLineChars="200"/>
        <w:rPr>
          <w:rFonts w:hint="eastAsia" w:ascii="宋体" w:hAnsi="宋体" w:cs="宋体"/>
          <w:szCs w:val="21"/>
        </w:rPr>
      </w:pPr>
      <w:r>
        <w:rPr>
          <w:rFonts w:hint="eastAsia" w:ascii="宋体" w:hAnsi="宋体" w:cs="宋体"/>
          <w:szCs w:val="21"/>
        </w:rPr>
        <w:t>4.未取得甲方开工许可前，乙方禁止以任何理由进场施工；</w:t>
      </w:r>
      <w:r>
        <w:rPr>
          <w:rFonts w:hint="eastAsia" w:ascii="宋体" w:hAnsi="宋体" w:cs="宋体"/>
          <w:color w:val="auto"/>
          <w:szCs w:val="21"/>
        </w:rPr>
        <w:t>在甲方生产运营区域施工</w:t>
      </w:r>
      <w:r>
        <w:rPr>
          <w:rFonts w:hint="eastAsia" w:ascii="宋体" w:hAnsi="宋体" w:cs="宋体"/>
          <w:szCs w:val="21"/>
        </w:rPr>
        <w:t>应严格执行甲方工作票和操作票管理制度。</w:t>
      </w:r>
    </w:p>
    <w:p>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按照甲方总平面布置</w:t>
      </w:r>
      <w:r>
        <w:rPr>
          <w:rFonts w:hint="eastAsia" w:ascii="宋体" w:hAnsi="宋体" w:cs="宋体"/>
          <w:szCs w:val="21"/>
        </w:rPr>
        <w:t>要求，规范施工现场定置管理，设置</w:t>
      </w:r>
      <w:r>
        <w:rPr>
          <w:rFonts w:hint="eastAsia" w:ascii="宋体" w:hAnsi="宋体" w:cs="宋体"/>
          <w:szCs w:val="21"/>
          <w:highlight w:val="none"/>
        </w:rPr>
        <w:t>“五牌一图”（即</w:t>
      </w:r>
      <w:r>
        <w:rPr>
          <w:rFonts w:hint="eastAsia" w:ascii="宋体" w:hAnsi="宋体" w:cs="宋体"/>
          <w:szCs w:val="21"/>
        </w:rPr>
        <w:t>：工程概况牌、管理人员名单及监督电话牌、消防保卫牌、安全生产牌、文明施工牌和施工现场平面图），制定安全文明施工保障措施并认真实施，确保施工场地规范有序。</w:t>
      </w:r>
    </w:p>
    <w:p>
      <w:pPr>
        <w:spacing w:line="360" w:lineRule="auto"/>
        <w:ind w:firstLine="420" w:firstLineChars="200"/>
        <w:rPr>
          <w:rFonts w:ascii="宋体" w:hAnsi="宋体" w:cs="宋体"/>
          <w:szCs w:val="21"/>
        </w:rPr>
      </w:pPr>
      <w:r>
        <w:rPr>
          <w:rFonts w:hint="eastAsia" w:ascii="宋体" w:hAnsi="宋体" w:cs="宋体"/>
          <w:szCs w:val="21"/>
        </w:rPr>
        <w:t>6.</w:t>
      </w:r>
      <w:r>
        <w:rPr>
          <w:rFonts w:ascii="宋体" w:hAnsi="宋体" w:cs="宋体"/>
          <w:szCs w:val="21"/>
        </w:rPr>
        <w:t>遵守</w:t>
      </w:r>
      <w:r>
        <w:rPr>
          <w:rFonts w:hint="eastAsia" w:ascii="宋体" w:hAnsi="宋体" w:cs="宋体"/>
          <w:szCs w:val="21"/>
        </w:rPr>
        <w:t>施工</w:t>
      </w:r>
      <w:r>
        <w:rPr>
          <w:rFonts w:ascii="宋体" w:hAnsi="宋体" w:cs="宋体"/>
          <w:szCs w:val="21"/>
        </w:rPr>
        <w:t>现场安全管理制度，</w:t>
      </w:r>
      <w:r>
        <w:rPr>
          <w:rFonts w:hint="eastAsia" w:ascii="宋体" w:hAnsi="宋体" w:cs="宋体"/>
          <w:szCs w:val="21"/>
        </w:rPr>
        <w:t>按政府规定购买安全生产责任保险；在</w:t>
      </w:r>
      <w:r>
        <w:rPr>
          <w:rFonts w:ascii="宋体" w:hAnsi="宋体" w:cs="宋体"/>
          <w:szCs w:val="21"/>
        </w:rPr>
        <w:t>现场安全文明施工、环境保护</w:t>
      </w:r>
      <w:r>
        <w:rPr>
          <w:rFonts w:hint="eastAsia" w:ascii="宋体" w:hAnsi="宋体" w:cs="宋体"/>
          <w:szCs w:val="21"/>
        </w:rPr>
        <w:t>等方面，</w:t>
      </w:r>
      <w:r>
        <w:rPr>
          <w:rFonts w:ascii="宋体" w:hAnsi="宋体" w:cs="宋体"/>
          <w:szCs w:val="21"/>
        </w:rPr>
        <w:t>甲方</w:t>
      </w:r>
      <w:r>
        <w:rPr>
          <w:rFonts w:hint="eastAsia" w:ascii="宋体" w:hAnsi="宋体" w:cs="宋体"/>
          <w:szCs w:val="21"/>
        </w:rPr>
        <w:t>和</w:t>
      </w:r>
      <w:r>
        <w:rPr>
          <w:rFonts w:ascii="宋体" w:hAnsi="宋体" w:cs="宋体"/>
          <w:szCs w:val="21"/>
        </w:rPr>
        <w:t>监理</w:t>
      </w:r>
      <w:r>
        <w:rPr>
          <w:rFonts w:hint="eastAsia" w:ascii="宋体" w:hAnsi="宋体" w:cs="宋体"/>
          <w:szCs w:val="21"/>
        </w:rPr>
        <w:t>提出的正确的整改意见，应及时落实整改措施并反馈整改完成情况</w:t>
      </w:r>
      <w:r>
        <w:rPr>
          <w:rFonts w:ascii="宋体" w:hAnsi="宋体" w:cs="宋体"/>
          <w:szCs w:val="21"/>
        </w:rPr>
        <w:t>。</w:t>
      </w:r>
    </w:p>
    <w:p>
      <w:pPr>
        <w:spacing w:line="360" w:lineRule="auto"/>
        <w:ind w:firstLine="420" w:firstLineChars="200"/>
        <w:rPr>
          <w:rFonts w:hint="eastAsia" w:ascii="宋体" w:hAnsi="宋体" w:cs="宋体"/>
          <w:szCs w:val="21"/>
        </w:rPr>
      </w:pPr>
      <w:r>
        <w:rPr>
          <w:rFonts w:ascii="宋体" w:hAnsi="宋体" w:cs="宋体"/>
          <w:szCs w:val="21"/>
        </w:rPr>
        <w:t>7</w:t>
      </w:r>
      <w:r>
        <w:rPr>
          <w:rFonts w:hint="eastAsia" w:ascii="宋体" w:hAnsi="宋体" w:cs="宋体"/>
          <w:szCs w:val="21"/>
        </w:rPr>
        <w:t>.</w:t>
      </w:r>
      <w:r>
        <w:rPr>
          <w:rFonts w:ascii="宋体" w:hAnsi="宋体" w:cs="宋体"/>
          <w:szCs w:val="21"/>
        </w:rPr>
        <w:t>特种作业人员</w:t>
      </w:r>
      <w:r>
        <w:rPr>
          <w:rFonts w:hint="eastAsia" w:ascii="宋体" w:hAnsi="宋体" w:cs="宋体"/>
          <w:szCs w:val="21"/>
        </w:rPr>
        <w:t>必须持证上岗</w:t>
      </w:r>
      <w:r>
        <w:rPr>
          <w:rFonts w:ascii="宋体" w:hAnsi="宋体" w:cs="宋体"/>
          <w:szCs w:val="21"/>
        </w:rPr>
        <w:t>，</w:t>
      </w:r>
      <w:r>
        <w:rPr>
          <w:rFonts w:hint="eastAsia" w:ascii="宋体" w:hAnsi="宋体" w:cs="宋体"/>
          <w:szCs w:val="21"/>
        </w:rPr>
        <w:t>特种设备必须检验合格，开工前将</w:t>
      </w:r>
      <w:r>
        <w:rPr>
          <w:rFonts w:ascii="宋体" w:hAnsi="宋体" w:cs="宋体"/>
          <w:szCs w:val="21"/>
        </w:rPr>
        <w:t>特种</w:t>
      </w:r>
      <w:r>
        <w:rPr>
          <w:rFonts w:hint="eastAsia" w:ascii="宋体" w:hAnsi="宋体" w:cs="宋体"/>
          <w:szCs w:val="21"/>
        </w:rPr>
        <w:t>设备检验合格证和特种</w:t>
      </w:r>
      <w:r>
        <w:rPr>
          <w:rFonts w:ascii="宋体" w:hAnsi="宋体" w:cs="宋体"/>
          <w:szCs w:val="21"/>
        </w:rPr>
        <w:t>作业人员</w:t>
      </w:r>
      <w:r>
        <w:rPr>
          <w:rFonts w:hint="eastAsia" w:ascii="宋体" w:hAnsi="宋体" w:cs="宋体"/>
          <w:szCs w:val="21"/>
        </w:rPr>
        <w:t>资质</w:t>
      </w:r>
      <w:r>
        <w:rPr>
          <w:rFonts w:ascii="宋体" w:hAnsi="宋体" w:cs="宋体"/>
          <w:szCs w:val="21"/>
        </w:rPr>
        <w:t>报甲方备案。</w:t>
      </w:r>
      <w:r>
        <w:rPr>
          <w:rFonts w:hint="eastAsia" w:ascii="宋体" w:hAnsi="宋体" w:cs="宋体"/>
          <w:szCs w:val="21"/>
        </w:rPr>
        <w:t xml:space="preserve"> </w:t>
      </w:r>
    </w:p>
    <w:p>
      <w:pPr>
        <w:spacing w:line="360" w:lineRule="auto"/>
        <w:ind w:firstLine="420" w:firstLineChars="200"/>
        <w:rPr>
          <w:rFonts w:hint="eastAsia" w:ascii="宋体" w:hAnsi="宋体" w:cs="宋体"/>
          <w:szCs w:val="21"/>
        </w:rPr>
      </w:pPr>
      <w:r>
        <w:rPr>
          <w:rFonts w:ascii="宋体" w:hAnsi="宋体" w:cs="宋体"/>
          <w:szCs w:val="21"/>
        </w:rPr>
        <w:t>8</w:t>
      </w:r>
      <w:r>
        <w:rPr>
          <w:rFonts w:hint="eastAsia" w:ascii="宋体" w:hAnsi="宋体" w:cs="宋体"/>
          <w:szCs w:val="21"/>
        </w:rPr>
        <w:t>.监督检查施工现场安全措施检验合格后方可使用，大型机械设备安装或拆除、大型脚手架、高支模、深基坑等高风险施工项目必须编制专项施工方案，经监理批准后方可投入使用。</w:t>
      </w:r>
    </w:p>
    <w:p>
      <w:pPr>
        <w:spacing w:line="360" w:lineRule="auto"/>
        <w:ind w:firstLine="420" w:firstLineChars="200"/>
        <w:rPr>
          <w:rFonts w:ascii="宋体" w:hAnsi="宋体" w:cs="宋体"/>
          <w:szCs w:val="21"/>
        </w:rPr>
      </w:pPr>
      <w:r>
        <w:rPr>
          <w:rFonts w:ascii="宋体" w:hAnsi="宋体" w:cs="宋体"/>
          <w:szCs w:val="21"/>
        </w:rPr>
        <w:t>9</w:t>
      </w:r>
      <w:r>
        <w:rPr>
          <w:rFonts w:hint="eastAsia" w:ascii="宋体" w:hAnsi="宋体" w:cs="宋体"/>
          <w:szCs w:val="21"/>
        </w:rPr>
        <w:t>.安排专职或兼职安全管理人员对施工现场和施工人员进行安全监督和管理，认真落实各项安全保障</w:t>
      </w:r>
      <w:r>
        <w:rPr>
          <w:rFonts w:hint="eastAsia" w:ascii="宋体" w:hAnsi="宋体"/>
          <w:highlight w:val="none"/>
          <w:lang w:val="en-US" w:eastAsia="zh-CN"/>
        </w:rPr>
        <w:t xml:space="preserve">措施和各级安全管理职责，现场监督危险性较大的分部分项工程安全专项施工方案实施，做到“不安全不施工”。对检查中发现的安全事故隐患，应当立即处理；不能处理的，应当及时报告项目负责人和企业安全生产管理机构，项目负责人应当及时处理。检查及处理情况应当记入广州发展智慧工程安全管控平台。 </w:t>
      </w:r>
    </w:p>
    <w:p>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0.对施工现场每日进行安全检查和隐患排查，发现问题及时处理。存在人身伤害或严重影响施工安全的隐患，应立即停工整改；对施工安全影响较小，不能立即整改的隐患，按照隐患整改“五落实”的要求限期整改。</w:t>
      </w:r>
      <w:r>
        <w:rPr>
          <w:rFonts w:ascii="宋体" w:hAnsi="宋体" w:cs="宋体"/>
          <w:szCs w:val="21"/>
        </w:rPr>
        <w:t xml:space="preserve"> </w:t>
      </w:r>
    </w:p>
    <w:p>
      <w:pPr>
        <w:spacing w:line="360" w:lineRule="auto"/>
        <w:ind w:firstLine="420" w:firstLineChars="200"/>
        <w:rPr>
          <w:rFonts w:hint="eastAsia" w:ascii="宋体" w:hAnsi="宋体" w:cs="宋体"/>
          <w:szCs w:val="21"/>
        </w:rPr>
      </w:pPr>
      <w:r>
        <w:rPr>
          <w:rFonts w:hint="eastAsia" w:ascii="宋体" w:hAnsi="宋体" w:cs="宋体"/>
          <w:szCs w:val="21"/>
        </w:rPr>
        <w:t>11.杜绝违章指挥，及时对施工现场违章行为给予纠正和考核。</w:t>
      </w:r>
    </w:p>
    <w:p>
      <w:pPr>
        <w:spacing w:line="360" w:lineRule="auto"/>
        <w:ind w:firstLine="420" w:firstLineChars="200"/>
        <w:rPr>
          <w:rFonts w:hint="eastAsia" w:ascii="宋体" w:hAnsi="宋体" w:cs="宋体"/>
          <w:szCs w:val="21"/>
        </w:rPr>
      </w:pPr>
      <w:r>
        <w:rPr>
          <w:rFonts w:hint="eastAsia" w:ascii="宋体" w:hAnsi="宋体" w:cs="宋体"/>
          <w:szCs w:val="21"/>
        </w:rPr>
        <w:t>12.在施工过程中，存在交叉作业的要完善安全防护措施；与其他施工单位存在交叉作业的作业面，要签订安全协议，明确各自责任范围和具体安全防护措施。</w:t>
      </w:r>
    </w:p>
    <w:p>
      <w:pPr>
        <w:spacing w:line="360" w:lineRule="auto"/>
        <w:ind w:firstLine="420" w:firstLineChars="200"/>
        <w:rPr>
          <w:rFonts w:hint="eastAsia" w:ascii="宋体" w:hAnsi="宋体" w:cs="宋体"/>
          <w:szCs w:val="21"/>
        </w:rPr>
      </w:pPr>
      <w:r>
        <w:rPr>
          <w:rFonts w:hint="eastAsia" w:ascii="宋体" w:hAnsi="宋体" w:cs="宋体"/>
          <w:szCs w:val="21"/>
        </w:rPr>
        <w:t>13.针对施工现场实际情况，制定应急处置方案并予以公布，明确应急管理职责和应急处置程序，并定期组织演练。</w:t>
      </w:r>
    </w:p>
    <w:p>
      <w:pPr>
        <w:spacing w:line="360" w:lineRule="auto"/>
        <w:ind w:firstLine="420" w:firstLineChars="200"/>
        <w:rPr>
          <w:rFonts w:ascii="宋体" w:hAnsi="宋体" w:cs="宋体"/>
          <w:szCs w:val="21"/>
        </w:rPr>
      </w:pPr>
      <w:r>
        <w:rPr>
          <w:rFonts w:ascii="宋体" w:hAnsi="宋体" w:cs="宋体"/>
          <w:szCs w:val="21"/>
        </w:rPr>
        <w:t>14</w:t>
      </w:r>
      <w:r>
        <w:rPr>
          <w:rFonts w:hint="eastAsia" w:ascii="宋体" w:hAnsi="宋体" w:cs="宋体"/>
          <w:szCs w:val="21"/>
        </w:rPr>
        <w:t>.</w:t>
      </w:r>
      <w:r>
        <w:rPr>
          <w:rFonts w:ascii="宋体" w:hAnsi="宋体" w:cs="宋体"/>
          <w:szCs w:val="21"/>
        </w:rPr>
        <w:t>乙方如确需对部分施工作业进行劳务分包，应严格对劳务分包单位进行安全资质审查，履行报批手续，报</w:t>
      </w:r>
      <w:r>
        <w:rPr>
          <w:rFonts w:hint="eastAsia" w:ascii="宋体" w:hAnsi="宋体" w:cs="宋体"/>
          <w:szCs w:val="21"/>
        </w:rPr>
        <w:t>监理和</w:t>
      </w:r>
      <w:r>
        <w:rPr>
          <w:rFonts w:ascii="宋体" w:hAnsi="宋体" w:cs="宋体"/>
          <w:szCs w:val="21"/>
        </w:rPr>
        <w:t>甲方审核批准后，方可签订劳务分包合同和安全协议，明确安全责任，</w:t>
      </w:r>
      <w:r>
        <w:rPr>
          <w:rFonts w:hint="eastAsia" w:ascii="宋体" w:hAnsi="宋体" w:cs="宋体"/>
          <w:szCs w:val="21"/>
        </w:rPr>
        <w:t>并将分包单位</w:t>
      </w:r>
      <w:r>
        <w:rPr>
          <w:rFonts w:ascii="宋体" w:hAnsi="宋体" w:cs="宋体"/>
          <w:szCs w:val="21"/>
        </w:rPr>
        <w:t>纳入乙方的安全</w:t>
      </w:r>
      <w:r>
        <w:rPr>
          <w:rFonts w:hint="eastAsia" w:ascii="宋体" w:hAnsi="宋体" w:cs="宋体"/>
          <w:szCs w:val="21"/>
        </w:rPr>
        <w:t>管理</w:t>
      </w:r>
      <w:r>
        <w:rPr>
          <w:rFonts w:ascii="宋体" w:hAnsi="宋体" w:cs="宋体"/>
          <w:szCs w:val="21"/>
        </w:rPr>
        <w:t xml:space="preserve">责任范围。 </w:t>
      </w:r>
    </w:p>
    <w:p>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5.乙方必须按规定使用安全防护措施费，不得挪用、虚开安全防护措施费；因安全措施不到位导致不安全事件发生，造成的经济损失和工期延误等由乙方负全责。</w:t>
      </w:r>
    </w:p>
    <w:p>
      <w:pPr>
        <w:spacing w:line="360" w:lineRule="auto"/>
        <w:ind w:firstLine="420" w:firstLineChars="200"/>
        <w:rPr>
          <w:rFonts w:hint="eastAsia" w:ascii="宋体" w:hAnsi="宋体" w:cs="宋体"/>
          <w:szCs w:val="21"/>
        </w:rPr>
      </w:pPr>
      <w:r>
        <w:rPr>
          <w:rFonts w:hint="eastAsia" w:ascii="宋体" w:hAnsi="宋体" w:cs="宋体"/>
          <w:szCs w:val="21"/>
          <w:highlight w:val="none"/>
        </w:rPr>
        <w:t>16.</w:t>
      </w:r>
      <w:r>
        <w:rPr>
          <w:rFonts w:hint="eastAsia" w:ascii="宋体" w:hAnsi="宋体" w:cs="宋体"/>
          <w:szCs w:val="21"/>
        </w:rPr>
        <w:t>施工过程中发生不安全事件或影响甲方正常生产经营的事件，应及时、如实向甲方报告。</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17.</w:t>
      </w:r>
      <w:r>
        <w:rPr>
          <w:rFonts w:hint="eastAsia" w:ascii="宋体" w:hAnsi="宋体" w:cs="宋体"/>
          <w:szCs w:val="21"/>
          <w:highlight w:val="none"/>
          <w:lang w:val="en-US" w:eastAsia="zh-CN"/>
        </w:rPr>
        <w:t>乙方应</w:t>
      </w:r>
      <w:r>
        <w:rPr>
          <w:rFonts w:hint="eastAsia" w:ascii="宋体" w:hAnsi="宋体"/>
          <w:highlight w:val="none"/>
          <w:lang w:val="en-US" w:eastAsia="zh-CN"/>
        </w:rPr>
        <w:t>加强对工程质量安全的过程控制和管理，不得以任何方式要求设计单位或者相关单位违反工程建设强制性标准，降低工程质量；不得以任何方式要求检测机构出具虚假报告；不得使用不合格或者不符合设计要求的材料和设备。</w:t>
      </w:r>
    </w:p>
    <w:p>
      <w:pPr>
        <w:spacing w:line="360" w:lineRule="auto"/>
        <w:ind w:firstLine="420" w:firstLineChars="200"/>
        <w:rPr>
          <w:rFonts w:ascii="宋体" w:hAnsi="宋体" w:cs="宋体"/>
          <w:szCs w:val="21"/>
          <w:highlight w:val="none"/>
        </w:rPr>
      </w:pPr>
      <w:r>
        <w:rPr>
          <w:rFonts w:hint="eastAsia" w:ascii="宋体" w:hAnsi="宋体" w:cs="宋体"/>
          <w:szCs w:val="21"/>
          <w:highlight w:val="none"/>
          <w:lang w:val="en-US" w:eastAsia="zh-CN"/>
        </w:rPr>
        <w:t>18.</w:t>
      </w:r>
      <w:r>
        <w:rPr>
          <w:rFonts w:hint="eastAsia" w:ascii="宋体" w:hAnsi="宋体" w:cs="宋体"/>
          <w:szCs w:val="21"/>
          <w:highlight w:val="none"/>
        </w:rPr>
        <w:t>乙方必须接受甲方的监督、管理和指导。乙方对甲方提出的意见必须及时整改，并接受甲方安全管理部门和工程技术管理部门的监督。发生人身事故或危及生产运行的不安全情况或人身安全受到威胁，乙方有责任立即处理并立即报告甲方和场地业主方。</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19.</w:t>
      </w:r>
      <w:r>
        <w:rPr>
          <w:rFonts w:hint="eastAsia" w:ascii="宋体" w:hAnsi="宋体" w:cs="宋体"/>
          <w:szCs w:val="21"/>
          <w:highlight w:val="none"/>
        </w:rPr>
        <w:t>乙方要根据季节变化，采取相应的安全防范措施，如防台、防汛、防雷、防暑降温、防火、防潮防静电、防小动物等，并加强建设工程的安健环管理，确保建设工程不发生安全事件和安全事故。</w:t>
      </w:r>
    </w:p>
    <w:p>
      <w:pPr>
        <w:spacing w:line="400" w:lineRule="exact"/>
        <w:ind w:firstLine="422" w:firstLineChars="200"/>
        <w:rPr>
          <w:rFonts w:hint="default" w:ascii="宋体" w:hAnsi="宋体" w:eastAsia="宋体" w:cs="宋体"/>
          <w:b/>
          <w:i/>
          <w:szCs w:val="21"/>
          <w:shd w:val="pct10" w:color="auto" w:fill="FFFFFF"/>
          <w:lang w:val="en-US" w:eastAsia="zh-CN"/>
        </w:rPr>
      </w:pPr>
      <w:r>
        <w:rPr>
          <w:rFonts w:hint="eastAsia" w:ascii="宋体" w:hAnsi="宋体" w:cs="宋体"/>
          <w:b/>
          <w:kern w:val="0"/>
          <w:szCs w:val="21"/>
        </w:rPr>
        <w:t>三、</w:t>
      </w:r>
      <w:r>
        <w:rPr>
          <w:rFonts w:hint="eastAsia" w:ascii="宋体" w:hAnsi="宋体" w:cs="宋体"/>
          <w:b/>
          <w:kern w:val="0"/>
          <w:szCs w:val="21"/>
          <w:lang w:val="en-US" w:eastAsia="zh-CN"/>
        </w:rPr>
        <w:t>绿色施工</w:t>
      </w:r>
      <w:r>
        <w:rPr>
          <w:rFonts w:hint="eastAsia" w:ascii="宋体" w:hAnsi="宋体" w:cs="宋体"/>
          <w:b/>
          <w:kern w:val="0"/>
          <w:szCs w:val="21"/>
        </w:rPr>
        <w:t>安全</w:t>
      </w:r>
      <w:r>
        <w:rPr>
          <w:rFonts w:hint="eastAsia" w:ascii="宋体" w:hAnsi="宋体" w:cs="宋体"/>
          <w:b/>
          <w:kern w:val="0"/>
          <w:szCs w:val="21"/>
          <w:lang w:val="en-US" w:eastAsia="zh-CN"/>
        </w:rPr>
        <w:t>防护措施费</w:t>
      </w:r>
      <w:r>
        <w:rPr>
          <w:rFonts w:hint="eastAsia" w:ascii="宋体" w:hAnsi="宋体" w:cs="宋体"/>
          <w:b/>
          <w:kern w:val="0"/>
          <w:szCs w:val="21"/>
        </w:rPr>
        <w:t>的</w:t>
      </w:r>
      <w:r>
        <w:rPr>
          <w:rFonts w:hint="eastAsia" w:ascii="宋体" w:hAnsi="宋体" w:cs="宋体"/>
          <w:b/>
          <w:kern w:val="0"/>
          <w:szCs w:val="21"/>
          <w:lang w:val="en-US" w:eastAsia="zh-CN"/>
        </w:rPr>
        <w:t>设立、</w:t>
      </w:r>
      <w:r>
        <w:rPr>
          <w:rFonts w:hint="eastAsia" w:ascii="宋体" w:hAnsi="宋体" w:cs="宋体"/>
          <w:b/>
          <w:kern w:val="0"/>
          <w:szCs w:val="21"/>
        </w:rPr>
        <w:t>使用</w:t>
      </w:r>
      <w:r>
        <w:rPr>
          <w:rFonts w:hint="eastAsia" w:ascii="宋体" w:hAnsi="宋体" w:cs="宋体"/>
          <w:b/>
          <w:kern w:val="0"/>
          <w:szCs w:val="21"/>
          <w:lang w:val="en-US" w:eastAsia="zh-CN"/>
        </w:rPr>
        <w:t>和支付</w:t>
      </w:r>
    </w:p>
    <w:p>
      <w:pPr>
        <w:spacing w:line="360" w:lineRule="auto"/>
        <w:ind w:firstLine="420" w:firstLineChars="200"/>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一</w:t>
      </w:r>
      <w:r>
        <w:rPr>
          <w:rFonts w:hint="eastAsia" w:ascii="宋体" w:hAnsi="宋体" w:cs="宋体"/>
          <w:szCs w:val="21"/>
        </w:rPr>
        <w:t>）</w:t>
      </w:r>
      <w:r>
        <w:rPr>
          <w:rFonts w:hint="eastAsia" w:ascii="宋体" w:hAnsi="宋体" w:cs="宋体"/>
          <w:szCs w:val="21"/>
          <w:lang w:val="en-US" w:eastAsia="zh-CN"/>
        </w:rPr>
        <w:t>绿色施工</w:t>
      </w:r>
      <w:r>
        <w:rPr>
          <w:rFonts w:hint="eastAsia" w:ascii="宋体" w:hAnsi="宋体" w:cs="宋体"/>
          <w:szCs w:val="21"/>
        </w:rPr>
        <w:t>安全防护措施费</w:t>
      </w:r>
      <w:r>
        <w:rPr>
          <w:rFonts w:hint="eastAsia" w:ascii="宋体" w:hAnsi="宋体" w:cs="宋体"/>
          <w:szCs w:val="21"/>
          <w:lang w:val="en-US" w:eastAsia="zh-CN"/>
        </w:rPr>
        <w:t>设立</w:t>
      </w:r>
      <w:r>
        <w:rPr>
          <w:rFonts w:hint="eastAsia" w:ascii="宋体" w:hAnsi="宋体" w:cs="宋体"/>
          <w:szCs w:val="21"/>
        </w:rPr>
        <w:t>和使用</w:t>
      </w:r>
    </w:p>
    <w:p>
      <w:pPr>
        <w:pageBreakBefore w:val="0"/>
        <w:kinsoku/>
        <w:wordWrap/>
        <w:overflowPunct/>
        <w:topLinePunct w:val="0"/>
        <w:autoSpaceDE/>
        <w:autoSpaceDN/>
        <w:bidi w:val="0"/>
        <w:adjustRightInd/>
        <w:spacing w:line="400" w:lineRule="exact"/>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rPr>
        <w:t>1.</w:t>
      </w:r>
      <w:r>
        <w:rPr>
          <w:rFonts w:hint="eastAsia" w:ascii="宋体" w:hAnsi="宋体" w:cs="宋体"/>
          <w:szCs w:val="21"/>
          <w:highlight w:val="none"/>
          <w:lang w:val="en-US" w:eastAsia="zh-CN"/>
        </w:rPr>
        <w:t>绿色施工安全防护措施费依据</w:t>
      </w:r>
      <w:r>
        <w:rPr>
          <w:rFonts w:hint="eastAsia" w:ascii="宋体" w:hAnsi="宋体" w:eastAsia="宋体" w:cs="宋体"/>
          <w:bCs w:val="0"/>
          <w:kern w:val="2"/>
          <w:sz w:val="21"/>
          <w:szCs w:val="21"/>
          <w:highlight w:val="none"/>
        </w:rPr>
        <w:t>广东省住房和城乡建设厅颁布的《广东省建设工程计价依据》</w:t>
      </w:r>
      <w:r>
        <w:rPr>
          <w:rFonts w:hint="eastAsia" w:ascii="宋体" w:hAnsi="宋体" w:cs="宋体"/>
          <w:bCs w:val="0"/>
          <w:kern w:val="2"/>
          <w:sz w:val="21"/>
          <w:szCs w:val="21"/>
          <w:highlight w:val="none"/>
          <w:lang w:val="en-US" w:eastAsia="zh-CN"/>
        </w:rPr>
        <w:t>提取，其中安全防护措施费的使用应符合</w:t>
      </w:r>
      <w:r>
        <w:rPr>
          <w:rFonts w:hint="eastAsia" w:ascii="宋体" w:hAnsi="宋体" w:eastAsia="宋体" w:cs="宋体"/>
          <w:szCs w:val="21"/>
          <w:highlight w:val="none"/>
        </w:rPr>
        <w:t>《建筑工程安全防护、文明施工措施费用及使用管理规定》《企业安全生产费用提取和使用管理办法》和《广州发展</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三外</w:t>
      </w:r>
      <w:r>
        <w:rPr>
          <w:rFonts w:hint="eastAsia" w:ascii="宋体" w:hAnsi="宋体" w:eastAsia="宋体" w:cs="宋体"/>
          <w:szCs w:val="21"/>
          <w:highlight w:val="none"/>
          <w:lang w:eastAsia="zh-CN"/>
        </w:rPr>
        <w:t>”</w:t>
      </w:r>
      <w:r>
        <w:rPr>
          <w:rFonts w:hint="eastAsia" w:ascii="宋体" w:hAnsi="宋体" w:eastAsia="宋体" w:cs="宋体"/>
          <w:szCs w:val="21"/>
          <w:highlight w:val="none"/>
        </w:rPr>
        <w:t>安全管理办法》相关规定，以该项目建筑安装工程造价为依据，</w:t>
      </w:r>
      <w:r>
        <w:rPr>
          <w:rFonts w:hint="eastAsia" w:ascii="宋体" w:hAnsi="宋体" w:eastAsia="宋体" w:cs="宋体"/>
          <w:szCs w:val="21"/>
          <w:highlight w:val="none"/>
          <w:lang w:val="en-US" w:eastAsia="zh-CN"/>
        </w:rPr>
        <w:t>甲方在</w:t>
      </w:r>
      <w:r>
        <w:rPr>
          <w:rFonts w:hint="eastAsia" w:ascii="宋体" w:hAnsi="宋体" w:eastAsia="宋体" w:cs="宋体"/>
          <w:szCs w:val="21"/>
          <w:highlight w:val="none"/>
        </w:rPr>
        <w:t>编制</w:t>
      </w:r>
      <w:r>
        <w:rPr>
          <w:rFonts w:hint="eastAsia" w:ascii="宋体" w:hAnsi="宋体" w:eastAsia="宋体" w:cs="宋体"/>
          <w:szCs w:val="21"/>
          <w:highlight w:val="none"/>
          <w:lang w:val="en-US" w:eastAsia="zh-CN"/>
        </w:rPr>
        <w:t>项目造价时单独</w:t>
      </w:r>
      <w:r>
        <w:rPr>
          <w:rFonts w:hint="default" w:ascii="宋体" w:hAnsi="宋体" w:eastAsia="宋体" w:cs="宋体"/>
          <w:szCs w:val="21"/>
          <w:highlight w:val="none"/>
        </w:rPr>
        <w:t>设立</w:t>
      </w:r>
      <w:r>
        <w:rPr>
          <w:rFonts w:hint="eastAsia" w:ascii="宋体" w:hAnsi="宋体" w:eastAsia="宋体" w:cs="宋体"/>
          <w:szCs w:val="21"/>
          <w:highlight w:val="none"/>
          <w:lang w:eastAsia="zh-CN"/>
        </w:rPr>
        <w:t>，</w:t>
      </w:r>
      <w:r>
        <w:rPr>
          <w:rFonts w:hint="default" w:ascii="宋体" w:hAnsi="宋体" w:eastAsia="宋体" w:cs="宋体"/>
          <w:szCs w:val="21"/>
          <w:highlight w:val="none"/>
        </w:rPr>
        <w:t>在工程施工招标中单列，不将其作为招标投标竞价条件。</w:t>
      </w:r>
      <w:r>
        <w:rPr>
          <w:rFonts w:hint="eastAsia" w:ascii="宋体" w:hAnsi="宋体" w:eastAsia="宋体" w:cs="宋体"/>
          <w:szCs w:val="21"/>
          <w:highlight w:val="none"/>
          <w:lang w:val="en-US" w:eastAsia="zh-CN"/>
        </w:rPr>
        <w:t>乙方</w:t>
      </w:r>
      <w:r>
        <w:rPr>
          <w:rFonts w:hint="eastAsia" w:ascii="宋体" w:hAnsi="宋体" w:eastAsia="宋体" w:cs="宋体"/>
          <w:szCs w:val="21"/>
          <w:highlight w:val="none"/>
        </w:rPr>
        <w:t>竞标时不得</w:t>
      </w:r>
      <w:r>
        <w:rPr>
          <w:rFonts w:hint="eastAsia" w:ascii="宋体" w:hAnsi="宋体" w:eastAsia="宋体" w:cs="宋体"/>
          <w:szCs w:val="21"/>
          <w:highlight w:val="none"/>
          <w:lang w:val="en-US" w:eastAsia="zh-CN"/>
        </w:rPr>
        <w:t>对该项费用进行</w:t>
      </w:r>
      <w:r>
        <w:rPr>
          <w:rFonts w:hint="eastAsia" w:ascii="宋体" w:hAnsi="宋体" w:eastAsia="宋体" w:cs="宋体"/>
          <w:szCs w:val="21"/>
          <w:highlight w:val="none"/>
        </w:rPr>
        <w:t>删减。</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2、绿色施工</w:t>
      </w:r>
      <w:r>
        <w:rPr>
          <w:rFonts w:hint="eastAsia" w:ascii="宋体" w:hAnsi="宋体" w:cs="宋体"/>
          <w:szCs w:val="21"/>
          <w:highlight w:val="none"/>
        </w:rPr>
        <w:t>安全防护措施费使用范围</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绿色施工安全防护措施费的使用范围应符合</w:t>
      </w:r>
      <w:r>
        <w:rPr>
          <w:rFonts w:hint="eastAsia" w:ascii="宋体" w:hAnsi="宋体" w:eastAsia="宋体" w:cs="宋体"/>
          <w:kern w:val="2"/>
          <w:sz w:val="21"/>
          <w:szCs w:val="21"/>
          <w:highlight w:val="none"/>
          <w:lang w:val="en-US" w:eastAsia="zh-CN"/>
        </w:rPr>
        <w:t>广东省市政工程综合定额（2018）第一册通用项目中</w:t>
      </w:r>
      <w:r>
        <w:rPr>
          <w:rFonts w:hint="eastAsia" w:ascii="宋体" w:hAnsi="宋体" w:eastAsia="宋体" w:cs="宋体"/>
          <w:kern w:val="2"/>
          <w:sz w:val="21"/>
          <w:szCs w:val="21"/>
          <w:highlight w:val="none"/>
          <w:lang w:val="en-US" w:eastAsia="zh-CN" w:bidi="ar"/>
        </w:rPr>
        <w:t>《绿色施工安全防护措施费项目工作内容构成表》</w:t>
      </w:r>
      <w:r>
        <w:rPr>
          <w:rFonts w:hint="eastAsia" w:ascii="宋体" w:hAnsi="宋体" w:eastAsia="宋体" w:cs="宋体"/>
          <w:kern w:val="2"/>
          <w:sz w:val="21"/>
          <w:szCs w:val="21"/>
          <w:highlight w:val="none"/>
          <w:lang w:val="en-US" w:eastAsia="zh-CN"/>
        </w:rPr>
        <w:t>的规定范围</w:t>
      </w:r>
      <w:r>
        <w:rPr>
          <w:rFonts w:hint="eastAsia" w:ascii="宋体" w:hAnsi="宋体" w:cs="宋体"/>
          <w:kern w:val="2"/>
          <w:sz w:val="21"/>
          <w:szCs w:val="21"/>
          <w:highlight w:val="none"/>
          <w:lang w:val="en-US" w:eastAsia="zh-CN"/>
        </w:rPr>
        <w:t>，其中</w:t>
      </w:r>
      <w:r>
        <w:rPr>
          <w:rFonts w:hint="eastAsia" w:ascii="宋体" w:hAnsi="宋体" w:eastAsia="宋体" w:cs="宋体"/>
          <w:kern w:val="2"/>
          <w:sz w:val="21"/>
          <w:szCs w:val="21"/>
          <w:highlight w:val="none"/>
          <w:lang w:val="en-US" w:eastAsia="zh-CN" w:bidi="ar"/>
        </w:rPr>
        <w:t>安全防护措施费</w:t>
      </w:r>
      <w:r>
        <w:rPr>
          <w:rFonts w:hint="eastAsia" w:ascii="宋体" w:hAnsi="宋体" w:cs="宋体"/>
          <w:kern w:val="2"/>
          <w:sz w:val="21"/>
          <w:szCs w:val="21"/>
          <w:highlight w:val="none"/>
          <w:lang w:val="en-US" w:eastAsia="zh-CN" w:bidi="ar"/>
        </w:rPr>
        <w:t>是</w:t>
      </w:r>
      <w:r>
        <w:rPr>
          <w:rFonts w:hint="eastAsia" w:ascii="宋体" w:hAnsi="宋体" w:cs="宋体"/>
          <w:szCs w:val="21"/>
          <w:highlight w:val="none"/>
          <w:lang w:val="en-US" w:eastAsia="zh-CN"/>
        </w:rPr>
        <w:t>绿色施工安全防护措施费的一部分，</w:t>
      </w:r>
      <w:r>
        <w:rPr>
          <w:rFonts w:hint="eastAsia" w:ascii="宋体" w:hAnsi="宋体" w:eastAsia="宋体" w:cs="宋体"/>
          <w:kern w:val="2"/>
          <w:sz w:val="21"/>
          <w:szCs w:val="21"/>
          <w:highlight w:val="none"/>
          <w:lang w:val="en-US" w:eastAsia="zh-CN" w:bidi="ar"/>
        </w:rPr>
        <w:t>安全防护措施费</w:t>
      </w:r>
      <w:r>
        <w:rPr>
          <w:rFonts w:hint="eastAsia" w:ascii="宋体" w:hAnsi="宋体" w:cs="宋体"/>
          <w:kern w:val="2"/>
          <w:sz w:val="21"/>
          <w:szCs w:val="21"/>
          <w:highlight w:val="none"/>
          <w:lang w:val="en-US" w:eastAsia="zh-CN" w:bidi="ar"/>
        </w:rPr>
        <w:t>的使用应符合以下范围：</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完善、改造和维护安全防护设施设备支出（不含“三同时”要求初期投入的安全设施），包括施工现场临时用电系统、洞口或临边防护、高处作业或交叉作业防护、临时安全防护、支护及防治边坡滑坡、工程有害气体监测和通风、保障安全的机械设备、防火、防爆、防触电、防尘、防毒、防雷、防台风、防地质灾害等设施设备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应急救援技术装备、设施配置及维护保养支出，事故逃生和紧急避难设施设备的配置和应急救援队伍建设、应急预案制修订与应急演练支出；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开展施工现场重大危险源检测、评估、监控支出，安全风险分级管控和事故隐患排查整改支出，工程项目安全生产信息化建设、运维和网络安全支出；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eastAsia="zh-CN"/>
        </w:rPr>
        <w:t>安全生产检查检测、评估评价（不含新建、改建、扩建项目安全评价）、评审、咨询和标准化建设支出；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lang w:eastAsia="zh-CN"/>
        </w:rPr>
        <w:t>配备和更新现场作业人员安全防护用品支出；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安全生产宣传、教育、培训和从业人员发现并报告事故隐患的奖励支出；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lang w:eastAsia="zh-CN"/>
        </w:rPr>
        <w:t>安全生产适用的新技术、新标准、新工艺、新装备的推广应用支出；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安全设施及特种设备检测检验、检定校准支出；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lang w:eastAsia="zh-CN"/>
        </w:rPr>
        <w:t>安全生产责任保险等与安全生产直接相关的法定保险支出；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lang w:eastAsia="zh-CN"/>
        </w:rPr>
        <w:t>与安全生产直接相关的其他支出。</w:t>
      </w:r>
    </w:p>
    <w:p>
      <w:pPr>
        <w:spacing w:line="360" w:lineRule="auto"/>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（二）</w:t>
      </w:r>
      <w:r>
        <w:rPr>
          <w:rFonts w:hint="eastAsia" w:ascii="宋体" w:hAnsi="宋体" w:cs="宋体"/>
          <w:szCs w:val="21"/>
          <w:highlight w:val="none"/>
          <w:lang w:val="en-US" w:eastAsia="zh-CN"/>
        </w:rPr>
        <w:t>绿色施工</w:t>
      </w:r>
      <w:r>
        <w:rPr>
          <w:rFonts w:hint="eastAsia" w:ascii="宋体" w:hAnsi="宋体" w:eastAsia="宋体" w:cs="宋体"/>
          <w:szCs w:val="21"/>
          <w:highlight w:val="none"/>
          <w:lang w:val="en-US" w:eastAsia="zh-CN"/>
        </w:rPr>
        <w:t>安全防护措施费用的支付</w:t>
      </w:r>
    </w:p>
    <w:p>
      <w:pPr>
        <w:spacing w:line="360" w:lineRule="auto"/>
        <w:ind w:firstLine="420" w:firstLineChars="200"/>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1.施工进度款项是指扣除</w:t>
      </w:r>
      <w:r>
        <w:rPr>
          <w:rFonts w:hint="eastAsia" w:ascii="宋体" w:hAnsi="宋体" w:cs="宋体"/>
          <w:szCs w:val="21"/>
          <w:highlight w:val="none"/>
          <w:lang w:val="en-US" w:eastAsia="zh-CN"/>
        </w:rPr>
        <w:t>绿色施工</w:t>
      </w:r>
      <w:r>
        <w:rPr>
          <w:rFonts w:hint="eastAsia" w:ascii="宋体" w:hAnsi="宋体" w:eastAsia="宋体" w:cs="宋体"/>
          <w:szCs w:val="21"/>
          <w:highlight w:val="none"/>
        </w:rPr>
        <w:t>安全防护</w:t>
      </w:r>
      <w:r>
        <w:rPr>
          <w:rFonts w:hint="eastAsia" w:ascii="宋体" w:hAnsi="宋体" w:eastAsia="宋体" w:cs="宋体"/>
          <w:szCs w:val="21"/>
          <w:highlight w:val="none"/>
          <w:lang w:val="en-US" w:eastAsia="zh-CN"/>
        </w:rPr>
        <w:t>措施费用后的施工费用。甲方在支付工程进度款项时，应单独核算</w:t>
      </w:r>
      <w:r>
        <w:rPr>
          <w:rFonts w:hint="eastAsia" w:ascii="宋体" w:hAnsi="宋体" w:cs="宋体"/>
          <w:szCs w:val="21"/>
          <w:highlight w:val="none"/>
          <w:lang w:val="en-US" w:eastAsia="zh-CN"/>
        </w:rPr>
        <w:t>绿色施工</w:t>
      </w:r>
      <w:r>
        <w:rPr>
          <w:rFonts w:hint="eastAsia" w:ascii="宋体" w:hAnsi="宋体" w:eastAsia="宋体" w:cs="宋体"/>
          <w:szCs w:val="21"/>
          <w:highlight w:val="none"/>
        </w:rPr>
        <w:t>安全防护</w:t>
      </w:r>
      <w:r>
        <w:rPr>
          <w:rFonts w:hint="eastAsia" w:ascii="宋体" w:hAnsi="宋体" w:eastAsia="宋体" w:cs="宋体"/>
          <w:szCs w:val="21"/>
          <w:highlight w:val="none"/>
          <w:lang w:val="en-US" w:eastAsia="zh-CN"/>
        </w:rPr>
        <w:t>措施费用并进行支付。</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.乙方编制分</w:t>
      </w:r>
      <w:r>
        <w:rPr>
          <w:rFonts w:hint="eastAsia" w:ascii="宋体" w:hAnsi="宋体" w:eastAsia="宋体" w:cs="宋体"/>
          <w:szCs w:val="21"/>
          <w:highlight w:val="none"/>
        </w:rPr>
        <w:t>阶段</w:t>
      </w:r>
      <w:r>
        <w:rPr>
          <w:rFonts w:hint="eastAsia" w:ascii="宋体" w:hAnsi="宋体" w:cs="宋体"/>
          <w:szCs w:val="21"/>
          <w:highlight w:val="none"/>
          <w:lang w:val="en-US" w:eastAsia="zh-CN"/>
        </w:rPr>
        <w:t>绿色施工</w:t>
      </w:r>
      <w:r>
        <w:rPr>
          <w:rFonts w:hint="eastAsia" w:ascii="宋体" w:hAnsi="宋体" w:eastAsia="宋体" w:cs="宋体"/>
          <w:szCs w:val="21"/>
          <w:highlight w:val="none"/>
        </w:rPr>
        <w:t>安全防护</w:t>
      </w:r>
      <w:r>
        <w:rPr>
          <w:rFonts w:hint="eastAsia" w:ascii="宋体" w:hAnsi="宋体" w:eastAsia="宋体" w:cs="宋体"/>
          <w:szCs w:val="21"/>
          <w:highlight w:val="none"/>
          <w:lang w:val="en-US" w:eastAsia="zh-CN"/>
        </w:rPr>
        <w:t>措施计划，经监理审核</w:t>
      </w:r>
      <w:r>
        <w:rPr>
          <w:rFonts w:hint="eastAsia" w:ascii="宋体" w:hAnsi="宋体" w:cs="宋体"/>
          <w:szCs w:val="21"/>
          <w:highlight w:val="none"/>
        </w:rPr>
        <w:t>后，</w:t>
      </w:r>
      <w:r>
        <w:rPr>
          <w:rFonts w:hint="eastAsia" w:ascii="宋体" w:hAnsi="宋体" w:eastAsia="宋体" w:cs="宋体"/>
          <w:szCs w:val="21"/>
          <w:highlight w:val="none"/>
        </w:rPr>
        <w:t>甲方于工程开工日一个月内预付</w:t>
      </w:r>
      <w:r>
        <w:rPr>
          <w:rFonts w:hint="eastAsia" w:ascii="宋体" w:hAnsi="宋体" w:cs="宋体"/>
          <w:szCs w:val="21"/>
          <w:highlight w:val="none"/>
          <w:lang w:val="en-US" w:eastAsia="zh-CN"/>
        </w:rPr>
        <w:t>绿色施工</w:t>
      </w:r>
      <w:r>
        <w:rPr>
          <w:rFonts w:hint="eastAsia" w:ascii="宋体" w:hAnsi="宋体" w:eastAsia="宋体" w:cs="宋体"/>
          <w:szCs w:val="21"/>
          <w:highlight w:val="none"/>
        </w:rPr>
        <w:t>安全防护措施费</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u w:val="none"/>
          <w:lang w:val="en-US" w:eastAsia="zh-CN"/>
        </w:rPr>
        <w:t>元</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备注：</w:t>
      </w:r>
      <w:r>
        <w:rPr>
          <w:rFonts w:hint="eastAsia" w:ascii="宋体" w:hAnsi="宋体" w:eastAsia="宋体" w:cs="宋体"/>
          <w:szCs w:val="21"/>
          <w:highlight w:val="none"/>
        </w:rPr>
        <w:t>根据工程</w:t>
      </w:r>
      <w:r>
        <w:rPr>
          <w:rFonts w:hint="eastAsia" w:ascii="宋体" w:hAnsi="宋体" w:cs="宋体"/>
          <w:szCs w:val="21"/>
          <w:highlight w:val="none"/>
        </w:rPr>
        <w:t>特点，</w:t>
      </w:r>
      <w:r>
        <w:rPr>
          <w:rFonts w:hint="eastAsia" w:ascii="宋体" w:hAnsi="宋体" w:eastAsia="宋体" w:cs="宋体"/>
          <w:szCs w:val="21"/>
          <w:highlight w:val="none"/>
        </w:rPr>
        <w:t>合同工期在一年以内的，预付</w:t>
      </w:r>
      <w:r>
        <w:rPr>
          <w:rFonts w:hint="eastAsia" w:ascii="宋体" w:hAnsi="宋体" w:cs="宋体"/>
          <w:szCs w:val="21"/>
          <w:highlight w:val="none"/>
          <w:lang w:val="en-US" w:eastAsia="zh-CN"/>
        </w:rPr>
        <w:t>绿色施工</w:t>
      </w:r>
      <w:r>
        <w:rPr>
          <w:rFonts w:hint="eastAsia" w:ascii="宋体" w:hAnsi="宋体" w:eastAsia="宋体" w:cs="宋体"/>
          <w:szCs w:val="21"/>
          <w:highlight w:val="none"/>
        </w:rPr>
        <w:t>安全防护措施费用总额的</w:t>
      </w:r>
      <w:r>
        <w:rPr>
          <w:rFonts w:hint="eastAsia" w:ascii="宋体" w:hAnsi="宋体" w:cs="宋体"/>
          <w:szCs w:val="21"/>
          <w:highlight w:val="none"/>
          <w:lang w:val="en-US" w:eastAsia="zh-CN"/>
        </w:rPr>
        <w:t>60</w:t>
      </w:r>
      <w:r>
        <w:rPr>
          <w:rFonts w:hint="eastAsia" w:ascii="宋体" w:hAnsi="宋体" w:eastAsia="宋体" w:cs="宋体"/>
          <w:szCs w:val="21"/>
          <w:highlight w:val="none"/>
        </w:rPr>
        <w:t>％；合同工期在一年以上的（含一年），预付该</w:t>
      </w:r>
      <w:r>
        <w:rPr>
          <w:rFonts w:hint="eastAsia" w:ascii="宋体" w:hAnsi="宋体" w:eastAsia="宋体" w:cs="宋体"/>
          <w:szCs w:val="21"/>
          <w:highlight w:val="none"/>
          <w:lang w:val="en-US" w:eastAsia="zh-CN"/>
        </w:rPr>
        <w:t>项目</w:t>
      </w:r>
      <w:r>
        <w:rPr>
          <w:rFonts w:hint="eastAsia" w:ascii="宋体" w:hAnsi="宋体" w:eastAsia="宋体" w:cs="宋体"/>
          <w:szCs w:val="21"/>
          <w:highlight w:val="none"/>
        </w:rPr>
        <w:t>费用</w:t>
      </w:r>
      <w:r>
        <w:rPr>
          <w:rFonts w:hint="eastAsia" w:ascii="宋体" w:hAnsi="宋体" w:cs="宋体"/>
          <w:szCs w:val="21"/>
          <w:highlight w:val="none"/>
          <w:lang w:val="en-US" w:eastAsia="zh-CN"/>
        </w:rPr>
        <w:t>绿色施工</w:t>
      </w:r>
      <w:r>
        <w:rPr>
          <w:rFonts w:hint="eastAsia" w:ascii="宋体" w:hAnsi="宋体" w:eastAsia="宋体" w:cs="宋体"/>
          <w:szCs w:val="21"/>
          <w:highlight w:val="none"/>
        </w:rPr>
        <w:t>安全防护措施费用年度预算总额的</w:t>
      </w:r>
      <w:r>
        <w:rPr>
          <w:rFonts w:hint="eastAsia" w:ascii="宋体" w:hAnsi="宋体" w:cs="宋体"/>
          <w:szCs w:val="21"/>
          <w:highlight w:val="none"/>
          <w:lang w:val="en-US" w:eastAsia="zh-CN"/>
        </w:rPr>
        <w:t>60</w:t>
      </w:r>
      <w:r>
        <w:rPr>
          <w:rFonts w:hint="eastAsia" w:ascii="宋体" w:hAnsi="宋体" w:eastAsia="宋体" w:cs="宋体"/>
          <w:szCs w:val="21"/>
          <w:highlight w:val="none"/>
        </w:rPr>
        <w:t>％）用于</w:t>
      </w:r>
      <w:r>
        <w:rPr>
          <w:rFonts w:hint="eastAsia" w:ascii="宋体" w:hAnsi="宋体" w:cs="宋体"/>
          <w:szCs w:val="21"/>
          <w:highlight w:val="none"/>
          <w:lang w:val="en-US" w:eastAsia="zh-CN"/>
        </w:rPr>
        <w:t>绿色施工</w:t>
      </w:r>
      <w:r>
        <w:rPr>
          <w:rFonts w:hint="eastAsia" w:ascii="宋体" w:hAnsi="宋体" w:eastAsia="宋体" w:cs="宋体"/>
          <w:szCs w:val="21"/>
          <w:highlight w:val="none"/>
        </w:rPr>
        <w:t>安全措施投入，</w:t>
      </w:r>
      <w:r>
        <w:rPr>
          <w:rFonts w:hint="eastAsia" w:ascii="宋体" w:hAnsi="宋体" w:cs="宋体"/>
          <w:szCs w:val="21"/>
          <w:highlight w:val="none"/>
        </w:rPr>
        <w:t>其余费用</w:t>
      </w:r>
      <w:r>
        <w:rPr>
          <w:rFonts w:ascii="宋体" w:hAnsi="宋体" w:cs="宋体"/>
          <w:szCs w:val="21"/>
          <w:highlight w:val="none"/>
        </w:rPr>
        <w:t>按照工程进展情况以及</w:t>
      </w:r>
      <w:r>
        <w:rPr>
          <w:rFonts w:hint="eastAsia" w:ascii="宋体" w:hAnsi="宋体" w:cs="宋体"/>
          <w:szCs w:val="21"/>
          <w:highlight w:val="none"/>
        </w:rPr>
        <w:t>甲、乙、监理三方共同核定的</w:t>
      </w:r>
      <w:r>
        <w:rPr>
          <w:rFonts w:hint="eastAsia" w:ascii="宋体" w:hAnsi="宋体" w:cs="宋体"/>
          <w:szCs w:val="21"/>
          <w:highlight w:val="none"/>
          <w:lang w:val="en-US" w:eastAsia="zh-CN"/>
        </w:rPr>
        <w:t>绿色施工</w:t>
      </w:r>
      <w:r>
        <w:rPr>
          <w:rFonts w:hint="eastAsia" w:ascii="宋体" w:hAnsi="宋体" w:cs="宋体"/>
          <w:szCs w:val="21"/>
          <w:highlight w:val="none"/>
        </w:rPr>
        <w:t>安全措施落实情况分阶段</w:t>
      </w:r>
      <w:r>
        <w:rPr>
          <w:rFonts w:ascii="宋体" w:hAnsi="宋体" w:cs="宋体"/>
          <w:szCs w:val="21"/>
          <w:highlight w:val="none"/>
        </w:rPr>
        <w:t>支付。</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3</w:t>
      </w:r>
      <w:r>
        <w:rPr>
          <w:rFonts w:hint="eastAsia" w:ascii="宋体" w:hAnsi="宋体" w:cs="宋体"/>
          <w:szCs w:val="21"/>
          <w:highlight w:val="none"/>
        </w:rPr>
        <w:t>.</w:t>
      </w:r>
      <w:r>
        <w:rPr>
          <w:rFonts w:ascii="宋体" w:hAnsi="宋体" w:cs="宋体"/>
          <w:szCs w:val="21"/>
          <w:highlight w:val="none"/>
        </w:rPr>
        <w:t>乙方应按规定用于</w:t>
      </w:r>
      <w:r>
        <w:rPr>
          <w:rFonts w:hint="eastAsia" w:ascii="宋体" w:hAnsi="宋体" w:cs="宋体"/>
          <w:szCs w:val="21"/>
          <w:highlight w:val="none"/>
          <w:lang w:val="en-US" w:eastAsia="zh-CN"/>
        </w:rPr>
        <w:t>绿色施工</w:t>
      </w:r>
      <w:r>
        <w:rPr>
          <w:rFonts w:ascii="宋体" w:hAnsi="宋体" w:cs="宋体"/>
          <w:szCs w:val="21"/>
          <w:highlight w:val="none"/>
        </w:rPr>
        <w:t>安全施工措施等相关支出，不得</w:t>
      </w:r>
      <w:r>
        <w:rPr>
          <w:rFonts w:hint="eastAsia" w:ascii="宋体" w:hAnsi="宋体" w:cs="宋体"/>
          <w:szCs w:val="21"/>
          <w:highlight w:val="none"/>
        </w:rPr>
        <w:t>挤占、</w:t>
      </w:r>
      <w:r>
        <w:rPr>
          <w:rFonts w:ascii="宋体" w:hAnsi="宋体" w:cs="宋体"/>
          <w:szCs w:val="21"/>
          <w:highlight w:val="none"/>
        </w:rPr>
        <w:t>挪用</w:t>
      </w:r>
      <w:r>
        <w:rPr>
          <w:rFonts w:hint="eastAsia" w:ascii="宋体" w:hAnsi="宋体" w:cs="宋体"/>
          <w:szCs w:val="21"/>
          <w:highlight w:val="none"/>
        </w:rPr>
        <w:t>、欠用，</w:t>
      </w:r>
      <w:r>
        <w:rPr>
          <w:rFonts w:ascii="宋体" w:hAnsi="宋体" w:cs="宋体"/>
          <w:szCs w:val="21"/>
          <w:highlight w:val="none"/>
        </w:rPr>
        <w:t>有关使用情况应接受</w:t>
      </w:r>
      <w:r>
        <w:rPr>
          <w:rFonts w:hint="eastAsia" w:ascii="宋体" w:hAnsi="宋体" w:cs="宋体"/>
          <w:szCs w:val="21"/>
          <w:highlight w:val="none"/>
        </w:rPr>
        <w:t>监理和</w:t>
      </w:r>
      <w:r>
        <w:rPr>
          <w:rFonts w:ascii="宋体" w:hAnsi="宋体" w:cs="宋体"/>
          <w:szCs w:val="21"/>
          <w:highlight w:val="none"/>
        </w:rPr>
        <w:t>甲方的监督。</w:t>
      </w:r>
      <w:r>
        <w:rPr>
          <w:rFonts w:hint="eastAsia" w:ascii="宋体" w:hAnsi="宋体" w:cs="宋体"/>
          <w:szCs w:val="21"/>
          <w:highlight w:val="none"/>
        </w:rPr>
        <w:t>如果乙方未按照施工方案落实工程安全防护措施，甲方或监理单位可向乙方发出书面通知，要求乙方在规定时间内落实，在规定时间内仍不落实的，甲方或监理单位有权委托第三方实施全部或部分</w:t>
      </w:r>
      <w:r>
        <w:rPr>
          <w:rFonts w:hint="eastAsia" w:ascii="宋体" w:hAnsi="宋体" w:cs="宋体"/>
          <w:szCs w:val="21"/>
          <w:highlight w:val="none"/>
          <w:lang w:val="en-US" w:eastAsia="zh-CN"/>
        </w:rPr>
        <w:t>绿色施工</w:t>
      </w:r>
      <w:r>
        <w:rPr>
          <w:rFonts w:hint="eastAsia" w:ascii="宋体" w:hAnsi="宋体" w:cs="宋体"/>
          <w:szCs w:val="21"/>
          <w:highlight w:val="none"/>
        </w:rPr>
        <w:t>安全防护措施，所产生的费用由乙方承担。</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.提取的</w:t>
      </w:r>
      <w:r>
        <w:rPr>
          <w:rFonts w:hint="eastAsia" w:ascii="宋体" w:hAnsi="宋体" w:cs="宋体"/>
          <w:szCs w:val="21"/>
          <w:highlight w:val="none"/>
          <w:lang w:val="en-US" w:eastAsia="zh-CN"/>
        </w:rPr>
        <w:t>绿色施工</w:t>
      </w:r>
      <w:r>
        <w:rPr>
          <w:rFonts w:hint="eastAsia" w:ascii="宋体" w:hAnsi="宋体" w:cs="宋体"/>
          <w:szCs w:val="21"/>
          <w:highlight w:val="none"/>
        </w:rPr>
        <w:t>安全防护措施费不足时，不足部分在合同价款中列支；</w:t>
      </w:r>
      <w:r>
        <w:rPr>
          <w:rFonts w:hint="eastAsia" w:ascii="宋体" w:hAnsi="宋体" w:cs="宋体"/>
          <w:szCs w:val="21"/>
          <w:highlight w:val="none"/>
          <w:lang w:val="en-US" w:eastAsia="zh-CN"/>
        </w:rPr>
        <w:t>绿色施工</w:t>
      </w:r>
      <w:r>
        <w:rPr>
          <w:rFonts w:hint="eastAsia" w:ascii="宋体" w:hAnsi="宋体" w:cs="宋体"/>
          <w:szCs w:val="21"/>
          <w:highlight w:val="none"/>
        </w:rPr>
        <w:t>安全防护措施费未足额使用，结余部分用于该项目质保期内或需要在后期实施的安全技术改造、完善、升级或隐患整改，不再支付给施工单位。</w:t>
      </w:r>
    </w:p>
    <w:p>
      <w:pPr>
        <w:spacing w:line="360" w:lineRule="auto"/>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依法</w:t>
      </w:r>
      <w:r>
        <w:rPr>
          <w:rFonts w:hint="eastAsia" w:ascii="宋体" w:hAnsi="宋体" w:eastAsia="宋体" w:cs="宋体"/>
          <w:szCs w:val="21"/>
          <w:highlight w:val="none"/>
          <w:lang w:val="en-US" w:eastAsia="zh-CN"/>
        </w:rPr>
        <w:t>实施</w:t>
      </w:r>
      <w:r>
        <w:rPr>
          <w:rFonts w:hint="eastAsia" w:ascii="宋体" w:hAnsi="宋体" w:eastAsia="宋体" w:cs="宋体"/>
          <w:szCs w:val="21"/>
          <w:highlight w:val="none"/>
        </w:rPr>
        <w:t>工程分包的，总承包单位与分包单位应当</w:t>
      </w:r>
      <w:r>
        <w:rPr>
          <w:rFonts w:hint="eastAsia" w:ascii="宋体" w:hAnsi="宋体" w:eastAsia="宋体" w:cs="宋体"/>
          <w:szCs w:val="21"/>
          <w:highlight w:val="none"/>
          <w:lang w:val="en-US" w:eastAsia="zh-CN"/>
        </w:rPr>
        <w:t>参照本协议</w:t>
      </w:r>
      <w:r>
        <w:rPr>
          <w:rFonts w:hint="eastAsia" w:ascii="宋体" w:hAnsi="宋体" w:eastAsia="宋体" w:cs="宋体"/>
          <w:szCs w:val="21"/>
          <w:highlight w:val="none"/>
        </w:rPr>
        <w:t>在合同中单独约定并于分包工程开工日一个月内将至少</w:t>
      </w:r>
      <w:r>
        <w:rPr>
          <w:rFonts w:hint="eastAsia" w:ascii="宋体" w:hAnsi="宋体" w:cs="宋体"/>
          <w:szCs w:val="21"/>
          <w:highlight w:val="none"/>
          <w:lang w:val="en-US" w:eastAsia="zh-CN"/>
        </w:rPr>
        <w:t>6</w:t>
      </w:r>
      <w:r>
        <w:rPr>
          <w:rFonts w:hint="eastAsia" w:ascii="宋体" w:hAnsi="宋体" w:eastAsia="宋体" w:cs="宋体"/>
          <w:szCs w:val="21"/>
          <w:highlight w:val="none"/>
        </w:rPr>
        <w:t>0%</w:t>
      </w:r>
      <w:r>
        <w:rPr>
          <w:rFonts w:hint="eastAsia" w:ascii="宋体" w:hAnsi="宋体" w:eastAsia="宋体" w:cs="宋体"/>
          <w:szCs w:val="21"/>
          <w:highlight w:val="none"/>
          <w:lang w:val="en-US" w:eastAsia="zh-CN"/>
        </w:rPr>
        <w:t>分包项目</w:t>
      </w:r>
      <w:r>
        <w:rPr>
          <w:rFonts w:hint="eastAsia" w:ascii="宋体" w:hAnsi="宋体" w:cs="宋体"/>
          <w:szCs w:val="21"/>
          <w:highlight w:val="none"/>
          <w:lang w:val="en-US" w:eastAsia="zh-CN"/>
        </w:rPr>
        <w:t>绿色施工</w:t>
      </w:r>
      <w:r>
        <w:rPr>
          <w:rFonts w:hint="eastAsia" w:ascii="宋体" w:hAnsi="宋体" w:eastAsia="宋体" w:cs="宋体"/>
          <w:szCs w:val="21"/>
          <w:highlight w:val="none"/>
          <w:lang w:val="en-US" w:eastAsia="zh-CN"/>
        </w:rPr>
        <w:t>安</w:t>
      </w:r>
      <w:r>
        <w:rPr>
          <w:rFonts w:hint="eastAsia" w:ascii="宋体" w:hAnsi="宋体" w:eastAsia="宋体" w:cs="宋体"/>
          <w:szCs w:val="21"/>
          <w:highlight w:val="none"/>
        </w:rPr>
        <w:t>全防护措施费用直接支付分包单位并监督使用，分包单位不再重复提取</w:t>
      </w:r>
      <w:r>
        <w:rPr>
          <w:rFonts w:hint="eastAsia" w:ascii="宋体" w:hAnsi="宋体" w:eastAsia="宋体" w:cs="宋体"/>
          <w:szCs w:val="21"/>
          <w:highlight w:val="none"/>
          <w:lang w:eastAsia="zh-CN"/>
        </w:rPr>
        <w:t>，</w:t>
      </w:r>
      <w:r>
        <w:rPr>
          <w:rFonts w:hint="eastAsia" w:ascii="宋体" w:hAnsi="宋体" w:eastAsia="宋体" w:cs="宋体"/>
          <w:szCs w:val="21"/>
          <w:highlight w:val="none"/>
        </w:rPr>
        <w:t>总承包</w:t>
      </w:r>
      <w:r>
        <w:rPr>
          <w:rFonts w:hint="eastAsia" w:ascii="宋体" w:hAnsi="宋体" w:eastAsia="宋体" w:cs="宋体"/>
          <w:szCs w:val="21"/>
          <w:highlight w:val="none"/>
          <w:lang w:val="en-US" w:eastAsia="zh-CN"/>
        </w:rPr>
        <w:t>方严格</w:t>
      </w:r>
      <w:r>
        <w:rPr>
          <w:rFonts w:hint="eastAsia" w:ascii="宋体" w:hAnsi="宋体" w:eastAsia="宋体" w:cs="宋体"/>
          <w:szCs w:val="21"/>
          <w:highlight w:val="none"/>
        </w:rPr>
        <w:t>履约、按时支付</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不得截留</w:t>
      </w:r>
      <w:r>
        <w:rPr>
          <w:rFonts w:hint="eastAsia" w:ascii="宋体" w:hAnsi="宋体" w:eastAsia="宋体" w:cs="宋体"/>
          <w:szCs w:val="21"/>
          <w:highlight w:val="none"/>
        </w:rPr>
        <w:t>。</w:t>
      </w:r>
    </w:p>
    <w:p>
      <w:pPr>
        <w:spacing w:line="360" w:lineRule="auto"/>
        <w:ind w:firstLine="422" w:firstLineChars="200"/>
        <w:rPr>
          <w:rFonts w:hint="eastAsia" w:ascii="宋体" w:hAnsi="宋体" w:eastAsia="宋体" w:cs="宋体"/>
          <w:b/>
          <w:kern w:val="0"/>
          <w:szCs w:val="21"/>
          <w:highlight w:val="none"/>
          <w:lang w:val="en-US" w:eastAsia="zh-CN"/>
        </w:rPr>
      </w:pPr>
      <w:r>
        <w:rPr>
          <w:rFonts w:hint="eastAsia" w:ascii="宋体" w:hAnsi="宋体" w:eastAsia="宋体" w:cs="宋体"/>
          <w:b/>
          <w:kern w:val="0"/>
          <w:szCs w:val="21"/>
          <w:highlight w:val="none"/>
          <w:lang w:val="en-US" w:eastAsia="zh-CN"/>
        </w:rPr>
        <w:t>四、安全文明施工保障费用的提取和使用</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一</w:t>
      </w:r>
      <w:r>
        <w:rPr>
          <w:rFonts w:hint="eastAsia" w:ascii="宋体" w:hAnsi="宋体" w:cs="宋体"/>
          <w:szCs w:val="21"/>
          <w:highlight w:val="none"/>
          <w:lang w:eastAsia="zh-CN"/>
        </w:rPr>
        <w:t>）</w:t>
      </w:r>
      <w:r>
        <w:rPr>
          <w:rFonts w:hint="eastAsia" w:ascii="宋体" w:hAnsi="宋体" w:cs="宋体"/>
          <w:szCs w:val="21"/>
          <w:highlight w:val="none"/>
        </w:rPr>
        <w:t>安全文明施工保障</w:t>
      </w:r>
      <w:r>
        <w:rPr>
          <w:rFonts w:hint="eastAsia" w:ascii="宋体" w:hAnsi="宋体" w:cs="宋体"/>
          <w:szCs w:val="21"/>
          <w:highlight w:val="none"/>
          <w:lang w:val="en-US" w:eastAsia="zh-CN"/>
        </w:rPr>
        <w:t>费用</w:t>
      </w:r>
      <w:r>
        <w:rPr>
          <w:rFonts w:hint="eastAsia" w:ascii="宋体" w:hAnsi="宋体" w:cs="宋体"/>
          <w:szCs w:val="21"/>
          <w:highlight w:val="none"/>
        </w:rPr>
        <w:t>用于施工期间安全考核、安全生产事故救援抢险及善后处理、行政处罚等费用支出。安全文明施工保障</w:t>
      </w:r>
      <w:r>
        <w:rPr>
          <w:rFonts w:hint="eastAsia" w:ascii="宋体" w:hAnsi="宋体" w:cs="宋体"/>
          <w:szCs w:val="21"/>
          <w:highlight w:val="none"/>
          <w:lang w:val="en-US" w:eastAsia="zh-CN"/>
        </w:rPr>
        <w:t>费用在支付首笔工程预付款时提取，由甲方暂存，工程完工后按规定返还，</w:t>
      </w:r>
      <w:r>
        <w:rPr>
          <w:rFonts w:hint="eastAsia" w:ascii="宋体" w:hAnsi="宋体" w:cs="宋体"/>
          <w:szCs w:val="21"/>
          <w:highlight w:val="none"/>
        </w:rPr>
        <w:t>提取标准为合同总价的【 %】。（提取标准：合同总价</w:t>
      </w:r>
      <w:r>
        <w:rPr>
          <w:rFonts w:hint="eastAsia" w:ascii="宋体" w:hAnsi="宋体" w:cs="宋体"/>
          <w:szCs w:val="21"/>
          <w:highlight w:val="none"/>
          <w:lang w:val="en-US" w:eastAsia="zh-CN"/>
        </w:rPr>
        <w:t>40</w:t>
      </w:r>
      <w:r>
        <w:rPr>
          <w:rFonts w:hint="eastAsia" w:ascii="宋体" w:hAnsi="宋体" w:cs="宋体"/>
          <w:szCs w:val="21"/>
          <w:highlight w:val="none"/>
        </w:rPr>
        <w:t>0万元至1000万元按1.5%提取，1000万元至5000万元按1%提取，5000万元以上按0.8%提取，提取金额最高不超过100万元。设备采购和生产咨询服务类等不在生产现场进行施工的项目无需提取。合同总价</w:t>
      </w:r>
      <w:r>
        <w:rPr>
          <w:rFonts w:hint="eastAsia" w:ascii="宋体" w:hAnsi="宋体" w:cs="宋体"/>
          <w:szCs w:val="21"/>
          <w:highlight w:val="none"/>
          <w:lang w:val="en-US" w:eastAsia="zh-CN"/>
        </w:rPr>
        <w:t>400</w:t>
      </w:r>
      <w:r>
        <w:rPr>
          <w:rFonts w:hint="eastAsia" w:ascii="宋体" w:hAnsi="宋体" w:cs="宋体"/>
          <w:szCs w:val="21"/>
          <w:highlight w:val="none"/>
        </w:rPr>
        <w:t>万元以下的项目，建设单位可根据项目安全实际情况决定是否提取安全文明施工保障</w:t>
      </w:r>
      <w:r>
        <w:rPr>
          <w:rFonts w:hint="eastAsia" w:ascii="宋体" w:hAnsi="宋体" w:cs="宋体"/>
          <w:szCs w:val="21"/>
          <w:highlight w:val="none"/>
          <w:lang w:val="en-US" w:eastAsia="zh-CN"/>
        </w:rPr>
        <w:t>费用</w:t>
      </w:r>
      <w:r>
        <w:rPr>
          <w:rFonts w:hint="eastAsia" w:ascii="宋体" w:hAnsi="宋体" w:cs="宋体"/>
          <w:szCs w:val="21"/>
          <w:highlight w:val="none"/>
        </w:rPr>
        <w:t>。）</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二</w:t>
      </w:r>
      <w:r>
        <w:rPr>
          <w:rFonts w:hint="eastAsia" w:ascii="宋体" w:hAnsi="宋体" w:cs="宋体"/>
          <w:szCs w:val="21"/>
          <w:highlight w:val="none"/>
          <w:lang w:eastAsia="zh-CN"/>
        </w:rPr>
        <w:t>）</w:t>
      </w:r>
      <w:r>
        <w:rPr>
          <w:rFonts w:hint="eastAsia" w:ascii="宋体" w:hAnsi="宋体" w:cs="宋体"/>
          <w:szCs w:val="21"/>
          <w:highlight w:val="none"/>
        </w:rPr>
        <w:t>施工期间发生下列情况之一，</w:t>
      </w:r>
      <w:r>
        <w:rPr>
          <w:rFonts w:hint="eastAsia" w:ascii="宋体" w:hAnsi="宋体"/>
          <w:kern w:val="0"/>
          <w:szCs w:val="21"/>
          <w:highlight w:val="none"/>
        </w:rPr>
        <w:t>可</w:t>
      </w:r>
      <w:r>
        <w:rPr>
          <w:rFonts w:hint="eastAsia" w:ascii="宋体" w:hAnsi="宋体" w:cs="宋体"/>
          <w:szCs w:val="21"/>
          <w:highlight w:val="none"/>
        </w:rPr>
        <w:t>在安全文明施工保障</w:t>
      </w:r>
      <w:r>
        <w:rPr>
          <w:rFonts w:hint="eastAsia" w:ascii="宋体" w:hAnsi="宋体" w:cs="宋体"/>
          <w:szCs w:val="21"/>
          <w:highlight w:val="none"/>
          <w:lang w:val="en-US" w:eastAsia="zh-CN"/>
        </w:rPr>
        <w:t>费用</w:t>
      </w:r>
      <w:r>
        <w:rPr>
          <w:rFonts w:hint="eastAsia" w:ascii="宋体" w:hAnsi="宋体" w:cs="宋体"/>
          <w:szCs w:val="21"/>
          <w:highlight w:val="none"/>
        </w:rPr>
        <w:t>中支付相关费用：</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（1）乙方发生人身伤亡事故或其它安全生产事故后，不采取有效处置措施并支付费用的。</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（2）乙方受到政府部门行政处罚未及时处理的。</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（3）甲方或监理单位对乙方进行安全考核的。</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如果安全文明施工保障</w:t>
      </w:r>
      <w:r>
        <w:rPr>
          <w:rFonts w:hint="eastAsia" w:ascii="宋体" w:hAnsi="宋体" w:cs="宋体"/>
          <w:szCs w:val="21"/>
          <w:highlight w:val="none"/>
          <w:lang w:val="en-US" w:eastAsia="zh-CN"/>
        </w:rPr>
        <w:t>费用</w:t>
      </w:r>
      <w:r>
        <w:rPr>
          <w:rFonts w:hint="eastAsia" w:ascii="宋体" w:hAnsi="宋体" w:cs="宋体"/>
          <w:szCs w:val="21"/>
          <w:highlight w:val="none"/>
        </w:rPr>
        <w:t>剩余金额低于应提取金额50%，甲方在支付下一次工程进度款时补足相应数额。</w:t>
      </w:r>
    </w:p>
    <w:p>
      <w:pPr>
        <w:spacing w:line="360" w:lineRule="auto"/>
        <w:ind w:firstLine="420" w:firstLineChars="200"/>
        <w:rPr>
          <w:rFonts w:hint="eastAsia" w:ascii="仿宋" w:hAnsi="仿宋" w:eastAsia="仿宋" w:cs="仿宋"/>
          <w:b/>
          <w:kern w:val="0"/>
          <w:sz w:val="24"/>
          <w:szCs w:val="24"/>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三</w:t>
      </w:r>
      <w:r>
        <w:rPr>
          <w:rFonts w:hint="eastAsia" w:ascii="宋体" w:hAnsi="宋体" w:cs="宋体"/>
          <w:szCs w:val="21"/>
          <w:highlight w:val="none"/>
          <w:lang w:eastAsia="zh-CN"/>
        </w:rPr>
        <w:t>）</w:t>
      </w:r>
      <w:r>
        <w:rPr>
          <w:rFonts w:hint="eastAsia" w:ascii="宋体" w:hAnsi="宋体" w:cs="宋体"/>
          <w:szCs w:val="21"/>
          <w:highlight w:val="none"/>
        </w:rPr>
        <w:t>工程完工后，乙方凭甲方</w:t>
      </w:r>
      <w:r>
        <w:rPr>
          <w:rFonts w:hint="eastAsia" w:ascii="宋体" w:hAnsi="宋体" w:cs="宋体"/>
          <w:szCs w:val="21"/>
          <w:highlight w:val="none"/>
          <w:lang w:val="en-US" w:eastAsia="zh-CN"/>
        </w:rPr>
        <w:t>项目</w:t>
      </w:r>
      <w:r>
        <w:rPr>
          <w:rFonts w:hint="eastAsia" w:ascii="宋体" w:hAnsi="宋体" w:cs="宋体"/>
          <w:szCs w:val="21"/>
          <w:highlight w:val="none"/>
        </w:rPr>
        <w:t>管理部门确认的考核结果办理安全文明施工保障</w:t>
      </w:r>
      <w:r>
        <w:rPr>
          <w:rFonts w:hint="eastAsia" w:ascii="宋体" w:hAnsi="宋体" w:cs="宋体"/>
          <w:szCs w:val="21"/>
          <w:highlight w:val="none"/>
          <w:lang w:val="en-US" w:eastAsia="zh-CN"/>
        </w:rPr>
        <w:t>费用</w:t>
      </w:r>
      <w:r>
        <w:rPr>
          <w:rFonts w:hint="eastAsia" w:ascii="宋体" w:hAnsi="宋体" w:cs="宋体"/>
          <w:szCs w:val="21"/>
          <w:highlight w:val="none"/>
        </w:rPr>
        <w:t>返还手续。如果发生的安全责任事故、行政处罚或安全考核都已处理完成，则将剩余的保障</w:t>
      </w:r>
      <w:r>
        <w:rPr>
          <w:rFonts w:hint="eastAsia" w:ascii="宋体" w:hAnsi="宋体" w:cs="宋体"/>
          <w:szCs w:val="21"/>
          <w:highlight w:val="none"/>
          <w:lang w:val="en-US" w:eastAsia="zh-CN"/>
        </w:rPr>
        <w:t>费用</w:t>
      </w:r>
      <w:r>
        <w:rPr>
          <w:rFonts w:hint="eastAsia" w:ascii="宋体" w:hAnsi="宋体" w:cs="宋体"/>
          <w:szCs w:val="21"/>
          <w:highlight w:val="none"/>
        </w:rPr>
        <w:t>返还给乙方</w:t>
      </w:r>
      <w:r>
        <w:rPr>
          <w:rFonts w:hint="eastAsia" w:ascii="宋体" w:hAnsi="宋体" w:cs="宋体"/>
          <w:szCs w:val="21"/>
          <w:highlight w:val="none"/>
          <w:lang w:eastAsia="zh-CN"/>
        </w:rPr>
        <w:t>，</w:t>
      </w:r>
      <w:r>
        <w:rPr>
          <w:rFonts w:hint="eastAsia" w:ascii="宋体" w:hAnsi="宋体" w:cs="宋体"/>
          <w:szCs w:val="21"/>
          <w:highlight w:val="none"/>
        </w:rPr>
        <w:t>否则甲方拒绝</w:t>
      </w:r>
      <w:r>
        <w:rPr>
          <w:rFonts w:hint="eastAsia" w:ascii="宋体" w:hAnsi="宋体" w:cs="宋体"/>
          <w:szCs w:val="21"/>
          <w:highlight w:val="none"/>
          <w:lang w:val="en-US" w:eastAsia="zh-CN"/>
        </w:rPr>
        <w:t>返还</w:t>
      </w:r>
      <w:r>
        <w:rPr>
          <w:rFonts w:hint="eastAsia" w:ascii="宋体" w:hAnsi="宋体" w:cs="宋体"/>
          <w:szCs w:val="21"/>
          <w:highlight w:val="none"/>
        </w:rPr>
        <w:t>。</w:t>
      </w:r>
    </w:p>
    <w:p>
      <w:pPr>
        <w:spacing w:line="360" w:lineRule="auto"/>
        <w:ind w:firstLine="482" w:firstLineChars="200"/>
        <w:rPr>
          <w:rFonts w:ascii="仿宋" w:hAnsi="仿宋" w:eastAsia="仿宋" w:cs="仿宋"/>
          <w:b/>
          <w:kern w:val="0"/>
          <w:sz w:val="24"/>
          <w:szCs w:val="24"/>
        </w:rPr>
      </w:pPr>
      <w:r>
        <w:rPr>
          <w:rFonts w:hint="eastAsia" w:ascii="仿宋" w:hAnsi="仿宋" w:eastAsia="仿宋" w:cs="仿宋"/>
          <w:b/>
          <w:kern w:val="0"/>
          <w:sz w:val="24"/>
          <w:szCs w:val="24"/>
          <w:lang w:val="en-US" w:eastAsia="zh-CN"/>
        </w:rPr>
        <w:t>五</w:t>
      </w:r>
      <w:r>
        <w:rPr>
          <w:rFonts w:hint="eastAsia" w:ascii="仿宋" w:hAnsi="仿宋" w:eastAsia="仿宋" w:cs="仿宋"/>
          <w:b/>
          <w:kern w:val="0"/>
          <w:sz w:val="24"/>
          <w:szCs w:val="24"/>
        </w:rPr>
        <w:t>、安全考核和奖励细则</w:t>
      </w:r>
    </w:p>
    <w:p>
      <w:pPr>
        <w:spacing w:line="400" w:lineRule="exact"/>
        <w:ind w:firstLine="360" w:firstLineChars="150"/>
        <w:rPr>
          <w:rFonts w:ascii="仿宋" w:hAnsi="仿宋" w:eastAsia="仿宋" w:cs="仿宋"/>
          <w:kern w:val="0"/>
          <w:sz w:val="24"/>
          <w:szCs w:val="24"/>
        </w:rPr>
      </w:pPr>
      <w:r>
        <w:rPr>
          <w:rFonts w:hint="eastAsia" w:ascii="仿宋" w:hAnsi="仿宋" w:eastAsia="仿宋" w:cs="仿宋"/>
          <w:kern w:val="0"/>
          <w:sz w:val="24"/>
          <w:szCs w:val="24"/>
        </w:rPr>
        <w:t>（一）考核细则</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1.同一外委施工人员第一次违章按考核标准进行考核；第二次违章除按考核标准进行考核外，违章人员停工1天进行安全学习；第三次违章将禁止入场施工。</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2.出现下列情况之一，甲方对乙方按照合同相关考核条款进行考核：</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1）乙方累计违章次数达到在场施工人数5%。</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2）乙方同一次违章人数超过3人。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3）乙方发生负有责任的人身伤害、火灾、环境污染或设备损坏等不安全事件。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4）乙方因未履行安全管理职责而导致施工人员违章的。</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5）甲方或监理单位提出的合理的整改建议未在规定期限内落实整改措施的。</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3.乙方违章次数达到施工总人数10%，情节严重且现场安全形势不可控的，由甲方安健环管理部门组织乙方全体施工人员安全学习半天；以后违章次数每增加5%，再次由甲方安健环管理部门组织乙方全体施工人员安全学习半天。</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4.实行工程总承包的建设项目，现场违章次数达到施工总人数10%，情节严重且现场安全形势不可控的，总承包单位组织所有施工人员集体停工学习半天，并将学习情况向甲方报告。</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5.考核条款：</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1）乙方项目负责人施工期间不在施工现场，且没有指定能胜任的人代替履行职责的，考核</w:t>
      </w:r>
      <w:r>
        <w:rPr>
          <w:rFonts w:ascii="仿宋" w:hAnsi="仿宋" w:eastAsia="仿宋" w:cs="仿宋"/>
          <w:sz w:val="24"/>
          <w:szCs w:val="24"/>
          <w:u w:val="single"/>
        </w:rPr>
        <w:t xml:space="preserve">   10000  </w:t>
      </w:r>
      <w:r>
        <w:rPr>
          <w:rFonts w:hint="eastAsia" w:ascii="仿宋" w:hAnsi="仿宋" w:eastAsia="仿宋" w:cs="仿宋"/>
          <w:sz w:val="24"/>
          <w:szCs w:val="24"/>
        </w:rPr>
        <w:t>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2）乙方施工前没有对施工人员进行安全交底和技术交底的，考核</w:t>
      </w:r>
      <w:r>
        <w:rPr>
          <w:rFonts w:ascii="仿宋" w:hAnsi="仿宋" w:eastAsia="仿宋" w:cs="仿宋"/>
          <w:sz w:val="24"/>
          <w:szCs w:val="24"/>
          <w:u w:val="single"/>
        </w:rPr>
        <w:t xml:space="preserve">   5000  </w:t>
      </w:r>
      <w:r>
        <w:rPr>
          <w:rFonts w:hint="eastAsia" w:ascii="仿宋" w:hAnsi="仿宋" w:eastAsia="仿宋" w:cs="仿宋"/>
          <w:sz w:val="24"/>
          <w:szCs w:val="24"/>
        </w:rPr>
        <w:t>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3）乙方对施工人员违章行为没有立即制止和纠正的，考核</w:t>
      </w:r>
      <w:r>
        <w:rPr>
          <w:rFonts w:ascii="仿宋" w:hAnsi="仿宋" w:eastAsia="仿宋" w:cs="仿宋"/>
          <w:sz w:val="24"/>
          <w:szCs w:val="24"/>
          <w:u w:val="single"/>
        </w:rPr>
        <w:t xml:space="preserve">  5000   </w:t>
      </w:r>
      <w:r>
        <w:rPr>
          <w:rFonts w:hint="eastAsia" w:ascii="仿宋" w:hAnsi="仿宋" w:eastAsia="仿宋" w:cs="仿宋"/>
          <w:sz w:val="24"/>
          <w:szCs w:val="24"/>
        </w:rPr>
        <w:t>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4）乙方没有办理开工手续就开始施工的，考核</w:t>
      </w:r>
      <w:r>
        <w:rPr>
          <w:rFonts w:ascii="仿宋" w:hAnsi="仿宋" w:eastAsia="仿宋" w:cs="仿宋"/>
          <w:sz w:val="24"/>
          <w:szCs w:val="24"/>
          <w:u w:val="single"/>
        </w:rPr>
        <w:t xml:space="preserve">  10000   </w:t>
      </w:r>
      <w:r>
        <w:rPr>
          <w:rFonts w:hint="eastAsia" w:ascii="仿宋" w:hAnsi="仿宋" w:eastAsia="仿宋" w:cs="仿宋"/>
          <w:sz w:val="24"/>
          <w:szCs w:val="24"/>
        </w:rPr>
        <w:t>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5）乙方发现重大安全隐患没有立即采取安全防范措施，并及时向甲方或监理报告的，考核</w:t>
      </w:r>
      <w:r>
        <w:rPr>
          <w:rFonts w:ascii="仿宋" w:hAnsi="仿宋" w:eastAsia="仿宋" w:cs="仿宋"/>
          <w:sz w:val="24"/>
          <w:szCs w:val="24"/>
          <w:u w:val="single"/>
        </w:rPr>
        <w:t xml:space="preserve">  10000   </w:t>
      </w:r>
      <w:r>
        <w:rPr>
          <w:rFonts w:hint="eastAsia" w:ascii="仿宋" w:hAnsi="仿宋" w:eastAsia="仿宋" w:cs="仿宋"/>
          <w:sz w:val="24"/>
          <w:szCs w:val="24"/>
        </w:rPr>
        <w:t>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6）监理或甲方安全管理人员提出的正确合理的整改意见在规定期限内没有落实整改措施的，考核</w:t>
      </w:r>
      <w:r>
        <w:rPr>
          <w:rFonts w:ascii="仿宋" w:hAnsi="仿宋" w:eastAsia="仿宋" w:cs="仿宋"/>
          <w:sz w:val="24"/>
          <w:szCs w:val="24"/>
          <w:u w:val="single"/>
        </w:rPr>
        <w:t xml:space="preserve">  10000   </w:t>
      </w:r>
      <w:r>
        <w:rPr>
          <w:rFonts w:hint="eastAsia" w:ascii="仿宋" w:hAnsi="仿宋" w:eastAsia="仿宋" w:cs="仿宋"/>
          <w:sz w:val="24"/>
          <w:szCs w:val="24"/>
        </w:rPr>
        <w:t>元。</w:t>
      </w:r>
    </w:p>
    <w:p>
      <w:pPr>
        <w:spacing w:line="400" w:lineRule="exact"/>
        <w:ind w:firstLine="482" w:firstLineChars="200"/>
        <w:rPr>
          <w:rFonts w:ascii="仿宋" w:hAnsi="仿宋" w:eastAsia="仿宋" w:cs="仿宋"/>
          <w:b/>
          <w:sz w:val="24"/>
          <w:szCs w:val="24"/>
        </w:rPr>
      </w:pPr>
      <w:r>
        <w:rPr>
          <w:rFonts w:hint="eastAsia" w:ascii="仿宋" w:hAnsi="仿宋" w:eastAsia="仿宋" w:cs="仿宋"/>
          <w:b/>
          <w:kern w:val="0"/>
          <w:sz w:val="24"/>
          <w:szCs w:val="24"/>
          <w:lang w:val="en-US" w:eastAsia="zh-CN"/>
        </w:rPr>
        <w:t>六</w:t>
      </w:r>
      <w:r>
        <w:rPr>
          <w:rFonts w:hint="eastAsia" w:ascii="仿宋" w:hAnsi="仿宋" w:eastAsia="仿宋" w:cs="仿宋"/>
          <w:b/>
          <w:kern w:val="0"/>
          <w:sz w:val="24"/>
          <w:szCs w:val="24"/>
        </w:rPr>
        <w:t>、不安全事件报告及处理</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 xml:space="preserve">1.工程发生不安全事件时，属乙方负责，由乙方组织调查、分析和处理，甲方应给予配合，乙方应将结论书面报甲方安健环管理部门；发生影响或损失较大的不安全事件时，可由甲方组织调查、分析和处理。 </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t xml:space="preserve"> </w:t>
      </w:r>
      <w:r>
        <w:rPr>
          <w:rFonts w:hint="eastAsia" w:ascii="仿宋" w:hAnsi="仿宋" w:eastAsia="仿宋" w:cs="仿宋"/>
          <w:sz w:val="24"/>
          <w:szCs w:val="24"/>
        </w:rPr>
        <w:t>乙方在施工过程中发生一般及以上生产安全事故，乙方应在</w:t>
      </w:r>
      <w:r>
        <w:rPr>
          <w:rFonts w:ascii="仿宋" w:hAnsi="仿宋" w:eastAsia="仿宋" w:cs="仿宋"/>
          <w:sz w:val="24"/>
          <w:szCs w:val="24"/>
        </w:rPr>
        <w:t xml:space="preserve">10分钟内向甲方单位电话报告、15 </w:t>
      </w:r>
      <w:r>
        <w:rPr>
          <w:rFonts w:hint="eastAsia" w:ascii="仿宋" w:hAnsi="仿宋" w:eastAsia="仿宋" w:cs="仿宋"/>
          <w:sz w:val="24"/>
          <w:szCs w:val="24"/>
        </w:rPr>
        <w:t>分钟内向甲方单位书面报告（手机短信、企业邮件、企业微信等方式），并及时续报处置进展情况；发生人身伤亡事故，乙方应按国家有关规定立即向属地政府安监部门报告，同时告知甲方；发生事故后，乙方</w:t>
      </w:r>
      <w:r>
        <w:rPr>
          <w:rFonts w:hint="eastAsia" w:ascii="仿宋" w:hAnsi="仿宋" w:eastAsia="仿宋" w:cs="仿宋"/>
          <w:bCs/>
          <w:sz w:val="24"/>
          <w:szCs w:val="24"/>
        </w:rPr>
        <w:t>应迅速组织抢救伤员和现场应急处置，派专人保护事故现场，</w:t>
      </w:r>
      <w:r>
        <w:rPr>
          <w:rFonts w:hint="eastAsia" w:ascii="仿宋" w:hAnsi="仿宋" w:eastAsia="仿宋" w:cs="仿宋"/>
          <w:sz w:val="24"/>
          <w:szCs w:val="24"/>
        </w:rPr>
        <w:t>积极配合并接受相应级别政府调查组调查处理，积极做好善后处理工作。</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3.因乙方发生不安全事件造成工程项目经济上的损失、工期延误等损失由乙方承担。</w:t>
      </w:r>
    </w:p>
    <w:p>
      <w:pPr>
        <w:spacing w:line="400" w:lineRule="exact"/>
        <w:ind w:firstLine="482" w:firstLineChars="200"/>
        <w:rPr>
          <w:rFonts w:ascii="仿宋" w:hAnsi="仿宋" w:eastAsia="仿宋" w:cs="仿宋"/>
          <w:b/>
          <w:kern w:val="0"/>
          <w:sz w:val="24"/>
          <w:szCs w:val="24"/>
        </w:rPr>
      </w:pPr>
      <w:r>
        <w:rPr>
          <w:rFonts w:hint="eastAsia" w:ascii="仿宋" w:hAnsi="仿宋" w:eastAsia="仿宋" w:cs="仿宋"/>
          <w:b/>
          <w:kern w:val="0"/>
          <w:sz w:val="24"/>
          <w:szCs w:val="24"/>
          <w:lang w:val="en-US" w:eastAsia="zh-CN"/>
        </w:rPr>
        <w:t>七</w:t>
      </w:r>
      <w:r>
        <w:rPr>
          <w:rFonts w:hint="eastAsia" w:ascii="仿宋" w:hAnsi="仿宋" w:eastAsia="仿宋" w:cs="仿宋"/>
          <w:b/>
          <w:kern w:val="0"/>
          <w:sz w:val="24"/>
          <w:szCs w:val="24"/>
        </w:rPr>
        <w:t>、附则</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1.本协议约定的各项条款，经双方签字、盖章后生效，与合同具有同等法律效力。因违反本协议造成的安全事故或环境影响事件，由违约方承担相应的法律责任和经济责任。</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2.本协议内容如与国家有关法律、法规和规定不一致，按照国家有关规定执行。</w:t>
      </w:r>
    </w:p>
    <w:p>
      <w:pPr>
        <w:adjustRightInd w:val="0"/>
        <w:snapToGrid w:val="0"/>
        <w:spacing w:line="360" w:lineRule="auto"/>
        <w:ind w:firstLine="480" w:firstLineChars="200"/>
        <w:rPr>
          <w:rFonts w:hint="eastAsia" w:ascii="仿宋" w:hAnsi="仿宋" w:eastAsia="仿宋" w:cs="仿宋"/>
          <w:sz w:val="24"/>
          <w:szCs w:val="24"/>
        </w:rPr>
      </w:pPr>
      <w:r>
        <w:rPr>
          <w:rFonts w:ascii="仿宋" w:hAnsi="仿宋" w:eastAsia="仿宋" w:cs="仿宋"/>
          <w:sz w:val="24"/>
          <w:szCs w:val="24"/>
        </w:rPr>
        <w:t>3.在协议有效期内，施工内容、范围发生变动，可能影响协议相关内容时，应及</w:t>
      </w:r>
      <w:r>
        <w:rPr>
          <w:rFonts w:hint="eastAsia" w:ascii="仿宋" w:hAnsi="仿宋" w:eastAsia="仿宋" w:cs="仿宋"/>
          <w:sz w:val="24"/>
          <w:szCs w:val="24"/>
        </w:rPr>
        <w:t>时签订补充协议。</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4.本协议一式  壹拾贰  份，甲方执 捌 份，乙方执 肆 份，具有同等法律效力。</w:t>
      </w:r>
    </w:p>
    <w:p>
      <w:pPr>
        <w:adjustRightInd w:val="0"/>
        <w:snapToGrid w:val="0"/>
        <w:spacing w:line="360" w:lineRule="auto"/>
        <w:ind w:firstLine="480" w:firstLineChars="200"/>
        <w:rPr>
          <w:rFonts w:hint="eastAsia" w:ascii="仿宋" w:hAnsi="仿宋" w:eastAsia="仿宋" w:cs="仿宋"/>
          <w:sz w:val="24"/>
          <w:szCs w:val="24"/>
        </w:rPr>
      </w:pPr>
    </w:p>
    <w:p>
      <w:pPr>
        <w:adjustRightInd w:val="0"/>
        <w:snapToGrid w:val="0"/>
        <w:spacing w:line="360" w:lineRule="auto"/>
        <w:ind w:firstLine="480" w:firstLineChars="200"/>
        <w:rPr>
          <w:rFonts w:hint="eastAsia" w:ascii="仿宋" w:hAnsi="仿宋" w:eastAsia="仿宋" w:cs="仿宋"/>
          <w:sz w:val="24"/>
          <w:szCs w:val="24"/>
        </w:rPr>
      </w:pP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发包人：（盖章）                承包人：（盖章）</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法定代表人：（签字）            法定代表人：（签字）</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（或委托代理人）：             （或委托代理人）：             </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   年    月   日                     年    月   日</w:t>
      </w:r>
    </w:p>
    <w:p>
      <w:pPr>
        <w:ind w:firstLine="0" w:firstLineChars="0"/>
        <w:rPr>
          <w:rFonts w:hint="eastAsia"/>
        </w:rPr>
      </w:pPr>
      <w:r>
        <w:rPr>
          <w:rFonts w:hint="eastAsia" w:ascii="仿宋" w:hAnsi="仿宋" w:eastAsia="仿宋" w:cs="仿宋"/>
          <w:sz w:val="24"/>
          <w:szCs w:val="24"/>
        </w:rPr>
        <w:br w:type="page"/>
      </w:r>
    </w:p>
    <w:p>
      <w:pPr>
        <w:pStyle w:val="2"/>
        <w:ind w:left="0" w:leftChars="0" w:firstLine="0" w:firstLineChars="0"/>
        <w:rPr>
          <w:rFonts w:hint="eastAsia" w:ascii="宋体" w:hAnsi="宋体" w:eastAsia="宋体" w:cs="宋体"/>
          <w:color w:val="auto"/>
          <w:highlight w:val="none"/>
          <w:lang w:val="en-US" w:eastAsia="zh-CN"/>
        </w:rPr>
      </w:pPr>
      <w:r>
        <w:rPr>
          <w:rFonts w:hint="eastAsia" w:ascii="宋体" w:hAnsi="宋体" w:cs="宋体"/>
          <w:b/>
          <w:bCs/>
          <w:color w:val="auto"/>
          <w:sz w:val="24"/>
          <w:szCs w:val="24"/>
          <w:highlight w:val="none"/>
        </w:rPr>
        <w:t>附件</w:t>
      </w:r>
      <w:r>
        <w:rPr>
          <w:rFonts w:hint="eastAsia" w:ascii="宋体" w:hAnsi="宋体" w:cs="宋体"/>
          <w:b/>
          <w:bCs/>
          <w:color w:val="auto"/>
          <w:sz w:val="24"/>
          <w:szCs w:val="24"/>
          <w:highlight w:val="none"/>
          <w:lang w:val="en-US" w:eastAsia="zh-CN"/>
        </w:rPr>
        <w:t>8：</w:t>
      </w:r>
    </w:p>
    <w:p>
      <w:pPr>
        <w:adjustRightInd w:val="0"/>
        <w:snapToGrid w:val="0"/>
        <w:spacing w:line="360" w:lineRule="auto"/>
        <w:jc w:val="center"/>
        <w:rPr>
          <w:rFonts w:ascii="宋体" w:hAnsi="宋体"/>
          <w:b/>
          <w:sz w:val="52"/>
          <w:szCs w:val="52"/>
        </w:rPr>
      </w:pPr>
      <w:bookmarkStart w:id="2021" w:name="_Toc29312"/>
      <w:bookmarkStart w:id="2022" w:name="_Toc10885"/>
      <w:r>
        <w:rPr>
          <w:rFonts w:hint="eastAsia" w:ascii="宋体" w:hAnsi="宋体"/>
          <w:b/>
          <w:sz w:val="52"/>
          <w:szCs w:val="52"/>
        </w:rPr>
        <w:t>白云恒运天然气发电项目燃气管线工程甲供材料清单</w:t>
      </w:r>
    </w:p>
    <w:bookmarkEnd w:id="2021"/>
    <w:bookmarkEnd w:id="2022"/>
    <w:p>
      <w:pPr>
        <w:rPr>
          <w:color w:val="000000"/>
        </w:rPr>
      </w:pPr>
    </w:p>
    <w:p>
      <w:pPr>
        <w:snapToGrid w:val="0"/>
        <w:spacing w:line="360" w:lineRule="exact"/>
        <w:jc w:val="center"/>
        <w:rPr>
          <w:rFonts w:hint="eastAsia" w:ascii="黑体" w:hAnsi="Arial" w:eastAsia="黑体" w:cs="Arial"/>
          <w:color w:val="000000"/>
          <w:sz w:val="24"/>
          <w:szCs w:val="24"/>
          <w:lang w:val="en-US" w:eastAsia="zh-CN"/>
        </w:rPr>
      </w:pPr>
      <w:r>
        <w:rPr>
          <w:rFonts w:hint="eastAsia" w:ascii="黑体" w:hAnsi="Arial" w:eastAsia="黑体" w:cs="Arial"/>
          <w:color w:val="000000"/>
          <w:sz w:val="28"/>
          <w:szCs w:val="28"/>
        </w:rPr>
        <w:t>（一）计量橇设备清单</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862"/>
        <w:gridCol w:w="2646"/>
        <w:gridCol w:w="954"/>
        <w:gridCol w:w="1009"/>
        <w:gridCol w:w="449"/>
        <w:gridCol w:w="397"/>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序号</w:t>
            </w:r>
          </w:p>
        </w:tc>
        <w:tc>
          <w:tcPr>
            <w:tcW w:w="862"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★名 称</w:t>
            </w:r>
          </w:p>
        </w:tc>
        <w:tc>
          <w:tcPr>
            <w:tcW w:w="2646"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★性能描述</w:t>
            </w:r>
          </w:p>
        </w:tc>
        <w:tc>
          <w:tcPr>
            <w:tcW w:w="954"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★型号及规格</w:t>
            </w:r>
          </w:p>
        </w:tc>
        <w:tc>
          <w:tcPr>
            <w:tcW w:w="1009"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★压力等级</w:t>
            </w:r>
          </w:p>
        </w:tc>
        <w:tc>
          <w:tcPr>
            <w:tcW w:w="449"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★单位</w:t>
            </w:r>
          </w:p>
        </w:tc>
        <w:tc>
          <w:tcPr>
            <w:tcW w:w="397"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★数量</w:t>
            </w:r>
          </w:p>
        </w:tc>
        <w:tc>
          <w:tcPr>
            <w:tcW w:w="1656"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电动球阀</w:t>
            </w:r>
          </w:p>
        </w:tc>
        <w:tc>
          <w:tcPr>
            <w:tcW w:w="2646" w:type="dxa"/>
            <w:noWrap w:val="0"/>
            <w:vAlign w:val="center"/>
          </w:tcPr>
          <w:p>
            <w:pPr>
              <w:pStyle w:val="144"/>
              <w:spacing w:line="240" w:lineRule="auto"/>
              <w:ind w:firstLine="0" w:firstLineChars="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地上法兰连接（带配对法兰），耐火，带电动执行器，带隔爆型阀位远传，带手动装置。</w:t>
            </w:r>
          </w:p>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防爆/防护等级:ExdIIBT4/IP65。其中橇总出口电动球阀的执行机构具备ESD紧急关断功能。</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DN350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5</w:t>
            </w:r>
          </w:p>
        </w:tc>
        <w:tc>
          <w:tcPr>
            <w:tcW w:w="1656" w:type="dxa"/>
            <w:noWrap w:val="0"/>
            <w:vAlign w:val="center"/>
          </w:tcPr>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球阀推荐品牌:Schuck（德国舒克）、Cameron（美国卡麦隆）、Bohmer（德国伯马）电动执行机构推:ROTORK（美国罗托克）、AUMA（德国欧玛）、SIPOS（德国西博思）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2</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电动球阀</w:t>
            </w:r>
          </w:p>
        </w:tc>
        <w:tc>
          <w:tcPr>
            <w:tcW w:w="2646" w:type="dxa"/>
            <w:noWrap w:val="0"/>
            <w:vAlign w:val="center"/>
          </w:tcPr>
          <w:p>
            <w:pPr>
              <w:pStyle w:val="144"/>
              <w:spacing w:line="240" w:lineRule="auto"/>
              <w:ind w:firstLine="0" w:firstLineChars="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地上法兰连接（带配对法兰），耐火，带电动执行器，带隔爆型阀位远传，带手动装置。</w:t>
            </w:r>
          </w:p>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防爆/防护等级:ExdIIBT4/IP65。其中橇总出口电动球阀的执行机构具备ESD紧急关断功能。</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 xml:space="preserve">Class600  </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3</w:t>
            </w:r>
          </w:p>
        </w:tc>
        <w:tc>
          <w:tcPr>
            <w:tcW w:w="1656" w:type="dxa"/>
            <w:noWrap w:val="0"/>
            <w:vAlign w:val="center"/>
          </w:tcPr>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球阀推荐品牌:Schuck（德国舒克）、Cameron（美国卡麦隆）、Bohmer（德国伯马）电动执行机构推:ROTORK（美国罗托克）、AUMA（德国欧玛）、SIPOS（德国西博思）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3</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超声波流量计</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不低于四声道，带前20D后10D直管段，带流量计算机一对一配置，带流量计算机柜，带防浪涌单元，计量精度:0.5级，防爆防护等级:ExdIIBT4 Gb/IP65配整流器、压变、温变、连接用配套配对法兰、螺栓、螺母、垫片。</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DN250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套</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2</w:t>
            </w:r>
          </w:p>
        </w:tc>
        <w:tc>
          <w:tcPr>
            <w:tcW w:w="1656" w:type="dxa"/>
            <w:noWrap w:val="0"/>
            <w:vAlign w:val="center"/>
          </w:tcPr>
          <w:p>
            <w:pPr>
              <w:pStyle w:val="144"/>
              <w:spacing w:line="240" w:lineRule="auto"/>
              <w:ind w:firstLine="0" w:firstLineChars="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Q=18.6x10</w:t>
            </w:r>
            <w:r>
              <w:rPr>
                <w:rFonts w:hint="eastAsia" w:ascii="宋体" w:hAnsi="宋体" w:eastAsia="宋体" w:cs="宋体"/>
                <w:color w:val="auto"/>
                <w:sz w:val="18"/>
                <w:szCs w:val="18"/>
                <w:highlight w:val="none"/>
                <w:vertAlign w:val="superscript"/>
              </w:rPr>
              <w:t>4</w:t>
            </w:r>
            <w:r>
              <w:rPr>
                <w:rFonts w:hint="eastAsia" w:ascii="宋体" w:hAnsi="宋体" w:eastAsia="宋体" w:cs="宋体"/>
                <w:color w:val="auto"/>
                <w:sz w:val="18"/>
                <w:szCs w:val="18"/>
                <w:highlight w:val="none"/>
              </w:rPr>
              <w:t>Nm</w:t>
            </w:r>
            <w:r>
              <w:rPr>
                <w:rFonts w:hint="eastAsia" w:ascii="宋体" w:hAnsi="宋体" w:eastAsia="宋体" w:cs="宋体"/>
                <w:color w:val="auto"/>
                <w:sz w:val="18"/>
                <w:szCs w:val="18"/>
                <w:highlight w:val="none"/>
                <w:vertAlign w:val="superscript"/>
              </w:rPr>
              <w:t>3</w:t>
            </w:r>
            <w:r>
              <w:rPr>
                <w:rFonts w:hint="eastAsia" w:ascii="宋体" w:hAnsi="宋体" w:eastAsia="宋体" w:cs="宋体"/>
                <w:color w:val="auto"/>
                <w:sz w:val="18"/>
                <w:szCs w:val="18"/>
                <w:highlight w:val="none"/>
              </w:rPr>
              <w:t>/h</w:t>
            </w:r>
          </w:p>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推荐:RMG(德国RMG)SICK(德国西克)DANIEL(美国丹尼尔)、Elster(霍尼韦尔埃尔斯特)，口径由厂家计算确定，增设防雨罩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4</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超声波流量计</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不低于四声道，带前20D后10D直管段，带流量计算机一对一配置，带流量计算机柜，带防浪涌单元，计量精度:0.5级，防爆防护等级:ExdIIBT4 Gb/IP65配整流器、压变、温变、连接用配套配对法兰、螺栓、螺母、垫片。</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DN80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套</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2</w:t>
            </w:r>
          </w:p>
        </w:tc>
        <w:tc>
          <w:tcPr>
            <w:tcW w:w="1656" w:type="dxa"/>
            <w:noWrap w:val="0"/>
            <w:vAlign w:val="center"/>
          </w:tcPr>
          <w:p>
            <w:pPr>
              <w:pStyle w:val="144"/>
              <w:spacing w:line="240" w:lineRule="auto"/>
              <w:ind w:firstLine="0" w:firstLineChars="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Q=5000Nm</w:t>
            </w:r>
            <w:r>
              <w:rPr>
                <w:rFonts w:hint="eastAsia" w:ascii="宋体" w:hAnsi="宋体" w:eastAsia="宋体" w:cs="宋体"/>
                <w:color w:val="auto"/>
                <w:sz w:val="18"/>
                <w:szCs w:val="18"/>
                <w:highlight w:val="none"/>
                <w:vertAlign w:val="superscript"/>
              </w:rPr>
              <w:t>3</w:t>
            </w:r>
            <w:r>
              <w:rPr>
                <w:rFonts w:hint="eastAsia" w:ascii="宋体" w:hAnsi="宋体" w:eastAsia="宋体" w:cs="宋体"/>
                <w:color w:val="auto"/>
                <w:sz w:val="18"/>
                <w:szCs w:val="18"/>
                <w:highlight w:val="none"/>
              </w:rPr>
              <w:t>/h</w:t>
            </w:r>
          </w:p>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推荐:RMG(德国RMG)SICK(德国西克)DANIEL(美国丹尼尔)、Elster(霍尼韦尔埃尔斯特)，口径由厂家计算确定，增设防雨罩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5</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过滤器</w:t>
            </w:r>
          </w:p>
        </w:tc>
        <w:tc>
          <w:tcPr>
            <w:tcW w:w="2646" w:type="dxa"/>
            <w:noWrap w:val="0"/>
            <w:vAlign w:val="center"/>
          </w:tcPr>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卧式、滤芯过滤，带快开盲板:带排污口，带差压表、差压变送器及五阀组</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通过流量:18.6万Nm</w:t>
            </w:r>
            <w:r>
              <w:rPr>
                <w:rFonts w:hint="eastAsia" w:ascii="宋体" w:hAnsi="宋体" w:eastAsia="宋体" w:cs="宋体"/>
                <w:color w:val="auto"/>
                <w:sz w:val="18"/>
                <w:szCs w:val="18"/>
                <w:highlight w:val="none"/>
                <w:vertAlign w:val="superscript"/>
              </w:rPr>
              <w:t>3</w:t>
            </w:r>
            <w:r>
              <w:rPr>
                <w:rFonts w:hint="eastAsia" w:ascii="宋体" w:hAnsi="宋体" w:eastAsia="宋体" w:cs="宋体"/>
                <w:color w:val="auto"/>
                <w:sz w:val="18"/>
                <w:szCs w:val="18"/>
                <w:highlight w:val="none"/>
              </w:rPr>
              <w:t>/h</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PN63</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台</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2</w:t>
            </w:r>
          </w:p>
        </w:tc>
        <w:tc>
          <w:tcPr>
            <w:tcW w:w="1656" w:type="dxa"/>
            <w:noWrap w:val="0"/>
            <w:vAlign w:val="center"/>
          </w:tcPr>
          <w:p>
            <w:pPr>
              <w:pStyle w:val="144"/>
              <w:spacing w:line="240" w:lineRule="auto"/>
              <w:ind w:firstLine="0" w:firstLineChars="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过滤器筒体直径φ1100，滤芯过滤</w:t>
            </w:r>
          </w:p>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等级20μm差压表推荐品牌:北京布莱迪仪器仪表有限公司\布莱迪仪器仪表有限公司(布莱迪)、上海自动化仪表厂(上海自动化)、西安仪表厂(西安仪表)；差压变送器推荐品牌:Rosemount(艾默生罗斯蒙特)Honeywel1l(霍尼韦尔)YOKOGAWA(本横河)SIEMENS德国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6</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手动球阀</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地上法兰连接(带配对法兰)，全通径，耐火</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DN350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4</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推荐品牌:Schuck(德国舒克)、Cameron美国卡麦隆)、Bohmer(德国伯马);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7</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手动球阀</w:t>
            </w:r>
          </w:p>
        </w:tc>
        <w:tc>
          <w:tcPr>
            <w:tcW w:w="2646" w:type="dxa"/>
            <w:noWrap w:val="0"/>
            <w:vAlign w:val="center"/>
          </w:tcPr>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地上法兰连接(带配对法兰)，全通径，耐火</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DN150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w:t>
            </w:r>
          </w:p>
        </w:tc>
        <w:tc>
          <w:tcPr>
            <w:tcW w:w="1656" w:type="dxa"/>
            <w:noWrap w:val="0"/>
            <w:vAlign w:val="top"/>
          </w:tcPr>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推荐品牌:Schuck(德国舒克)、Cameron美国卡麦隆)、Bohmer(德国伯马);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8</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手动球阀</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地上法兰连接(带配对法兰)，全通径，耐火</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19</w:t>
            </w:r>
          </w:p>
        </w:tc>
        <w:tc>
          <w:tcPr>
            <w:tcW w:w="1656" w:type="dxa"/>
            <w:noWrap w:val="0"/>
            <w:vAlign w:val="top"/>
          </w:tcPr>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推荐品牌:Schuck(德国舒克)、Cameron美国卡麦隆)、Bohmer(德国伯马);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9</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手动球阀</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地上法兰连接(带配对法兰)，全通径，耐火</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DN25</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5</w:t>
            </w:r>
          </w:p>
        </w:tc>
        <w:tc>
          <w:tcPr>
            <w:tcW w:w="1656" w:type="dxa"/>
            <w:noWrap w:val="0"/>
            <w:vAlign w:val="center"/>
          </w:tcPr>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推荐品牌:Schuck(德国舒克)、Cameron美国卡麦隆)、Bohmer(德国伯马);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10</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手动截止阀</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地上法兰连接(带配对法兰)，耐火</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4</w:t>
            </w:r>
          </w:p>
        </w:tc>
        <w:tc>
          <w:tcPr>
            <w:tcW w:w="1656" w:type="dxa"/>
            <w:noWrap w:val="0"/>
            <w:vAlign w:val="center"/>
          </w:tcPr>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推荐品牌:四川长仪油气集输设备股份有限公司（四川长仪）、良正阀门有限公司（江苏良正）中核苏阀科技实业股份有限公司（中核苏阀）:苏州纽威阀门股份有限公司（纽威阀门）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11</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手动截止阀</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地上法兰连接(带配对法兰)，耐火</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DN25</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2</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推荐品牌:四川长仪油气集输设备股份有限公司（四川长仪）、良正阀门有限公司（江苏良正）中核苏阀科技实业股份有限公司（中核苏阀）:苏州纽威阀门股份有限公司（纽威阀门）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12</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安全泄放阀</w:t>
            </w:r>
          </w:p>
        </w:tc>
        <w:tc>
          <w:tcPr>
            <w:tcW w:w="2646" w:type="dxa"/>
            <w:noWrap w:val="0"/>
            <w:vAlign w:val="center"/>
          </w:tcPr>
          <w:p>
            <w:pPr>
              <w:pStyle w:val="144"/>
              <w:spacing w:line="240" w:lineRule="auto"/>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地上，先导全启式，法兰连接</w:t>
            </w:r>
          </w:p>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(带配对法兰)，全流量</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DN50x80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运行压力3.5~4.76MPa,整定压力5.0MPa，应为可调式。推荐:四川长仪油气集输设备股份有限公司(四川长仪)、四川中油乐仪能源装备制造股份有限公司(中油乐仪)、罗浮阀门集团有限公司(罗浮阀门)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13</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节流截止放空阀</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地上法兰连接(带配对法兰)，耐火</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6</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推荐:四川长仪油气集输设备股份有限公司(四川长仪)、良正阀门有限公司(江苏良正)、中核苏阀科技实业股份有限公司(中核苏阀)、苏州纽威阀门股份有限公司(纽威阀门)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14</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节流截止放空阀</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地上法兰连接(带配对法兰)，耐火</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DN25</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3</w:t>
            </w:r>
          </w:p>
        </w:tc>
        <w:tc>
          <w:tcPr>
            <w:tcW w:w="1656" w:type="dxa"/>
            <w:noWrap w:val="0"/>
            <w:vAlign w:val="center"/>
          </w:tcPr>
          <w:p>
            <w:pPr>
              <w:pStyle w:val="144"/>
              <w:spacing w:line="240" w:lineRule="auto"/>
              <w:ind w:left="0" w:leftChars="0" w:right="0" w:rightChars="0" w:firstLine="0" w:firstLineChars="0"/>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推荐:四川长仪油气集输设备股份有限公司(四川长仪)、良正阀门有限公司(江苏良正)、中核苏阀科技实业股份有限公司(中核苏阀)、苏州纽威阀门股份有限公司(纽威阀门)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15</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阀套式排污阀</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地上法兰连接(带配对法兰)，耐火</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4</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16</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绝缘接头</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焊接连接，带短节</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DN150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接管材质见工艺流程图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17</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绝缘接头</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焊接连接，带短节</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接管材质见工艺流程图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18</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压力表</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表盘直径 150mm，材质:不锈钢;精度 1.6</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0-10MPa,1/2"NPT/M</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3</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推荐品牌:北京布莱迪仪器仪表有限公司\布莱迪仪器仪表有限公司(布莱迪)、上海自动化仪表厂(上海自动化)、西安仪表厂(西安仪表)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19</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压力变送器</w:t>
            </w:r>
          </w:p>
        </w:tc>
        <w:tc>
          <w:tcPr>
            <w:tcW w:w="2646" w:type="dxa"/>
            <w:noWrap w:val="0"/>
            <w:vAlign w:val="center"/>
          </w:tcPr>
          <w:p>
            <w:pPr>
              <w:pStyle w:val="144"/>
              <w:spacing w:line="240" w:lineRule="auto"/>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24VDC，4-20mA输出，电气接口1/2NPT，测量精度:0.075级;现场带液品显示;迟滞及重复</w:t>
            </w:r>
          </w:p>
          <w:p>
            <w:pPr>
              <w:pStyle w:val="144"/>
              <w:spacing w:line="240" w:lineRule="auto"/>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性::&lt;0.05%;防爆等级:ExdI</w:t>
            </w:r>
          </w:p>
          <w:p>
            <w:pPr>
              <w:pStyle w:val="144"/>
              <w:spacing w:line="240" w:lineRule="auto"/>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BT4 Gb;防护等级:IP65;仪表内</w:t>
            </w:r>
          </w:p>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部带瞬变电压模块;</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0-10MPa,1/2"NPT/M</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3</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单件供应，推荐品牌:Rosemount、艾默生罗斯蒙特)Honeywell.(霍尼韦尔)YOKOGAWA(日本横河)、SIEMENS(德国西门子)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20</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焊接式压力表根阀</w:t>
            </w:r>
          </w:p>
        </w:tc>
        <w:tc>
          <w:tcPr>
            <w:tcW w:w="2646" w:type="dxa"/>
            <w:noWrap w:val="0"/>
            <w:vAlign w:val="center"/>
          </w:tcPr>
          <w:p>
            <w:pPr>
              <w:pStyle w:val="144"/>
              <w:spacing w:line="240" w:lineRule="auto"/>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带凸台管座的法兰截止阀(焊接端-</w:t>
            </w:r>
          </w:p>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DN15 RF，阀内件:304)</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6</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配套螺栓螺母垫片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21</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丝扣法兰</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DN15 RF-1/2"NPT/F，配套螺栓螺母垫片</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 xml:space="preserve">  </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PN100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6</w:t>
            </w:r>
          </w:p>
        </w:tc>
        <w:tc>
          <w:tcPr>
            <w:tcW w:w="1656" w:type="dxa"/>
            <w:noWrap w:val="0"/>
            <w:vAlign w:val="center"/>
          </w:tcPr>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22</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二阀组</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1/2"NPT/M-F，带压力表活接头</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PN100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6</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23</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温度表</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抽芯式双金属温度计，表盘直径材质:不锈钢;含测温套筒;工艺管径DN350、DN80</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-40~＋80℃ G1/2/M</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3</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推荐品牌:北京布莱迪仪器仪表有限公司\布莱迪仪器仪表有限公司(布莱迪)、上海自动化仪表厂(上海自动化)、西安仪表厂(西安仪表)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24</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温度变送器</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24VDC，4-20mA 输出，电气接口1/2"NPT，带显示,含测温套筒;精度:±0.5℃;防爆等级:ExdIBT4 Gb;防护等级:IP65;仪表内部带瞬变电压模块；工艺管径DN350、DN80</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-50~＋100℃  G1/2"</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3</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单件供应，推荐品牌:Rosemount、艾默生罗斯蒙特)Honeywell.(霍尼韦尔)YOKOGAWA(日本横河)、SIEMENS(德国西门子)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25</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差压变送器</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配套五阀组、针阀，内置防雷</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0-160kPa 1/4"NPT</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2</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单件供应，推荐品牌:Rosemount、艾默生罗斯蒙特)Honeywell.(霍尼韦尔)YOKOGAWA(日本横河)、SIEMENS(德国西门子)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7"/>
          <w:wAfter w:w="7973" w:type="dxa"/>
          <w:trHeight w:val="255" w:hRule="atLeast"/>
          <w:tblHeader/>
        </w:trPr>
        <w:tc>
          <w:tcPr>
            <w:tcW w:w="397" w:type="dxa"/>
            <w:noWrap w:val="0"/>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二</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lang w:eastAsia="zh-CN"/>
              </w:rPr>
              <w:t>橇</w:t>
            </w:r>
            <w:r>
              <w:rPr>
                <w:rFonts w:hint="eastAsia" w:ascii="宋体" w:hAnsi="宋体" w:eastAsia="宋体" w:cs="宋体"/>
                <w:color w:val="auto"/>
                <w:sz w:val="18"/>
                <w:szCs w:val="18"/>
                <w:highlight w:val="none"/>
              </w:rPr>
              <w:t>外设备</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电动球阀</w:t>
            </w:r>
          </w:p>
        </w:tc>
        <w:tc>
          <w:tcPr>
            <w:tcW w:w="2646" w:type="dxa"/>
            <w:noWrap w:val="0"/>
            <w:vAlign w:val="center"/>
          </w:tcPr>
          <w:p>
            <w:pPr>
              <w:pStyle w:val="144"/>
              <w:spacing w:line="240" w:lineRule="auto"/>
              <w:ind w:firstLine="0" w:firstLineChars="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焊接连接，耐火，带电动执行器，带隔爆型阀位远传，带手动装置。</w:t>
            </w:r>
          </w:p>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防爆/防护等级:ExdIIBT4/IP65。其中橇总出口电动球阀的执行机构具备ESD紧急关断功能。</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DN350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球阀推荐品牌:Schuck（德国舒克）、Cameron（美国卡麦隆）、Bohmer（德国伯马）电动执行机构推:ROTORK（美国罗托克）、AUMA（德国欧玛）、SIPOS（德国西博思）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2</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手动球阀</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焊接连接，全通径，耐火</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DN150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w:t>
            </w:r>
          </w:p>
        </w:tc>
        <w:tc>
          <w:tcPr>
            <w:tcW w:w="1656" w:type="dxa"/>
            <w:noWrap w:val="0"/>
            <w:vAlign w:val="top"/>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推荐品牌:Schuck(德国舒克)、Cameron美国卡麦隆)、Bohmer(德国伯马)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3</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节流截止放空阀</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地上法兰连接(带配对法兰)，耐火</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DN150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Class600</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推荐:四川长仪油气集输设备股份有限公司(四川长仪)、良正阀门有限公司(江苏良正)、中核苏阀科技实业股份有限公司(中核苏阀)、苏州纽威阀门股份有限公司(纽威阀门)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4</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阻火器</w:t>
            </w:r>
          </w:p>
        </w:tc>
        <w:tc>
          <w:tcPr>
            <w:tcW w:w="264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DN150</w:t>
            </w: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PN63</w:t>
            </w: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个</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法兰连接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5</w:t>
            </w:r>
          </w:p>
        </w:tc>
        <w:tc>
          <w:tcPr>
            <w:tcW w:w="862"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色谱分析仪及小屋</w:t>
            </w:r>
          </w:p>
        </w:tc>
        <w:tc>
          <w:tcPr>
            <w:tcW w:w="2646" w:type="dxa"/>
            <w:noWrap w:val="0"/>
            <w:vAlign w:val="center"/>
          </w:tcPr>
          <w:p>
            <w:pPr>
              <w:pStyle w:val="144"/>
              <w:spacing w:line="240" w:lineRule="auto"/>
              <w:ind w:firstLine="0" w:firstLineChars="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在线气相色谱分析仪:在线式;测C1C6;测热值等参数;带样气预处理系统:带取样探头2套，可燃气体探测器+环境氧含量探测器各一)，过滤水、烃类等液体和其它固体颗粒物，过滤等级2μm。标气:带减压阀，容积10L;充装压力:5MPa;有证标气。载气:带减压阀，99.99%高纯 He 气，容积 40L;充装压力:15MPa。</w:t>
            </w:r>
          </w:p>
          <w:p>
            <w:pPr>
              <w:pStyle w:val="144"/>
              <w:spacing w:line="240" w:lineRule="auto"/>
              <w:ind w:left="0" w:leftChars="0" w:right="0" w:rightChars="0" w:firstLine="0" w:firstLineChars="0"/>
              <w:jc w:val="left"/>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分析小屋:不锈钢分析小屋，尺寸2000(L)*2000(W)*2700(H)配套防爆接线箱、防爆PLC控制箱、防爆风机、防爆空调、防爆声光报警器、可燃气体报警器等。</w:t>
            </w:r>
          </w:p>
        </w:tc>
        <w:tc>
          <w:tcPr>
            <w:tcW w:w="954"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c>
          <w:tcPr>
            <w:tcW w:w="100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c>
          <w:tcPr>
            <w:tcW w:w="449"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套</w:t>
            </w:r>
          </w:p>
        </w:tc>
        <w:tc>
          <w:tcPr>
            <w:tcW w:w="397"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1</w:t>
            </w:r>
          </w:p>
        </w:tc>
        <w:tc>
          <w:tcPr>
            <w:tcW w:w="1656" w:type="dxa"/>
            <w:noWrap w:val="0"/>
            <w:vAlign w:val="center"/>
          </w:tcPr>
          <w:p>
            <w:pPr>
              <w:pStyle w:val="144"/>
              <w:spacing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18"/>
                <w:szCs w:val="18"/>
                <w:highlight w:val="none"/>
              </w:rPr>
              <w:t>色谱分析仪推荐ABB(瑞士ABB)、Elster(霍尼韦尔埃尔斯特)、DANIEL(美国丹尼尔)、RMG(德国 RMG),整套供应</w:t>
            </w:r>
          </w:p>
        </w:tc>
      </w:tr>
    </w:tbl>
    <w:p>
      <w:pPr>
        <w:rPr>
          <w:color w:val="000000"/>
        </w:rPr>
      </w:pPr>
      <w:r>
        <w:br w:type="page"/>
      </w:r>
    </w:p>
    <w:p>
      <w:pPr>
        <w:snapToGrid w:val="0"/>
        <w:spacing w:line="360" w:lineRule="exact"/>
        <w:jc w:val="center"/>
        <w:rPr>
          <w:rFonts w:hint="eastAsia" w:ascii="黑体" w:hAnsi="Arial" w:eastAsia="黑体" w:cs="Arial"/>
          <w:color w:val="000000"/>
          <w:sz w:val="24"/>
          <w:szCs w:val="24"/>
          <w:lang w:val="en-US" w:eastAsia="zh-CN"/>
        </w:rPr>
      </w:pPr>
      <w:r>
        <w:rPr>
          <w:rFonts w:hint="eastAsia" w:ascii="黑体" w:hAnsi="Arial" w:eastAsia="黑体" w:cs="Arial"/>
          <w:color w:val="000000"/>
          <w:sz w:val="28"/>
          <w:szCs w:val="28"/>
        </w:rPr>
        <w:t>（</w:t>
      </w:r>
      <w:r>
        <w:rPr>
          <w:rFonts w:hint="eastAsia" w:ascii="黑体" w:hAnsi="Arial" w:eastAsia="黑体" w:cs="Arial"/>
          <w:color w:val="000000"/>
          <w:sz w:val="28"/>
          <w:szCs w:val="28"/>
          <w:lang w:val="en-US" w:eastAsia="zh-CN"/>
        </w:rPr>
        <w:t>二</w:t>
      </w:r>
      <w:r>
        <w:rPr>
          <w:rFonts w:hint="eastAsia" w:ascii="黑体" w:hAnsi="Arial" w:eastAsia="黑体" w:cs="Arial"/>
          <w:color w:val="000000"/>
          <w:sz w:val="28"/>
          <w:szCs w:val="28"/>
        </w:rPr>
        <w:t>）站控系统设备清单</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755"/>
        <w:gridCol w:w="2646"/>
        <w:gridCol w:w="954"/>
        <w:gridCol w:w="1009"/>
        <w:gridCol w:w="449"/>
        <w:gridCol w:w="397"/>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序号</w:t>
            </w:r>
          </w:p>
        </w:tc>
        <w:tc>
          <w:tcPr>
            <w:tcW w:w="755"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★名 称</w:t>
            </w:r>
          </w:p>
        </w:tc>
        <w:tc>
          <w:tcPr>
            <w:tcW w:w="2646"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★性能描述</w:t>
            </w:r>
          </w:p>
        </w:tc>
        <w:tc>
          <w:tcPr>
            <w:tcW w:w="954"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★型号及规格</w:t>
            </w:r>
          </w:p>
        </w:tc>
        <w:tc>
          <w:tcPr>
            <w:tcW w:w="1009"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★压力等级</w:t>
            </w:r>
          </w:p>
        </w:tc>
        <w:tc>
          <w:tcPr>
            <w:tcW w:w="449"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★单位</w:t>
            </w:r>
          </w:p>
        </w:tc>
        <w:tc>
          <w:tcPr>
            <w:tcW w:w="397"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★数量</w:t>
            </w:r>
          </w:p>
        </w:tc>
        <w:tc>
          <w:tcPr>
            <w:tcW w:w="1656"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21"/>
                <w:szCs w:val="21"/>
                <w:highlight w:val="none"/>
              </w:rPr>
              <w:t>1</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21"/>
                <w:szCs w:val="21"/>
                <w:highlight w:val="none"/>
              </w:rPr>
              <w:t>PLC柜</w:t>
            </w:r>
          </w:p>
        </w:tc>
        <w:tc>
          <w:tcPr>
            <w:tcW w:w="264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21"/>
                <w:szCs w:val="21"/>
                <w:highlight w:val="none"/>
              </w:rPr>
              <w:t>PLC机柜采用标准的机柜，尺寸为2200mm（高）×800mm（宽）×800mm（深）。机柜前后开门，颜色为RAL7035。内含：CPU、电源、输入/输出模块、通讯模块；浪涌保护器；电源等，带冗余（双机架、双电源、双CPU、双通讯模块）； AI：12；AO：0；DI：46；DO：37；网关协议:</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,RJ45:1；带ESD按钮及声光报警器 </w:t>
            </w:r>
          </w:p>
        </w:tc>
        <w:tc>
          <w:tcPr>
            <w:tcW w:w="95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c>
          <w:tcPr>
            <w:tcW w:w="1009"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p>
        </w:tc>
        <w:tc>
          <w:tcPr>
            <w:tcW w:w="449"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21"/>
                <w:szCs w:val="21"/>
                <w:highlight w:val="none"/>
              </w:rPr>
              <w:t>面</w:t>
            </w:r>
          </w:p>
        </w:tc>
        <w:tc>
          <w:tcPr>
            <w:tcW w:w="397"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21"/>
                <w:szCs w:val="21"/>
                <w:highlight w:val="none"/>
              </w:rPr>
              <w:t>1</w:t>
            </w:r>
          </w:p>
        </w:tc>
        <w:tc>
          <w:tcPr>
            <w:tcW w:w="1656" w:type="dxa"/>
            <w:noWrap w:val="0"/>
            <w:vAlign w:val="center"/>
          </w:tcPr>
          <w:p>
            <w:pPr>
              <w:keepNext w:val="0"/>
              <w:keepLines w:val="0"/>
              <w:widowControl/>
              <w:suppressLineNumbers w:val="0"/>
              <w:spacing w:before="0" w:beforeAutospacing="0" w:after="320" w:afterAutospacing="0" w:line="240" w:lineRule="auto"/>
              <w:ind w:left="0" w:leftChars="0" w:right="0" w:rightChars="0" w:firstLine="0" w:firstLineChars="0"/>
              <w:jc w:val="center"/>
              <w:rPr>
                <w:rFonts w:hint="eastAsia" w:ascii="宋体" w:hAnsi="宋体" w:eastAsia="宋体" w:cs="宋体"/>
                <w:color w:val="auto"/>
                <w:kern w:val="2"/>
                <w:sz w:val="18"/>
                <w:szCs w:val="18"/>
                <w:highlight w:val="none"/>
                <w:lang w:val="en-US" w:eastAsia="zh-CN" w:bidi="ar"/>
              </w:rPr>
            </w:pPr>
            <w:r>
              <w:rPr>
                <w:rFonts w:hint="eastAsia" w:ascii="宋体" w:hAnsi="宋体" w:eastAsia="宋体" w:cs="宋体"/>
                <w:color w:val="auto"/>
                <w:sz w:val="21"/>
                <w:szCs w:val="21"/>
                <w:highlight w:val="none"/>
              </w:rPr>
              <w:t>尺寸供参考，以厂家尺寸为准</w:t>
            </w:r>
            <w:r>
              <w:rPr>
                <w:rFonts w:hint="eastAsia" w:ascii="宋体" w:hAnsi="宋体" w:eastAsia="宋体" w:cs="宋体"/>
                <w:color w:val="auto"/>
                <w:sz w:val="21"/>
                <w:szCs w:val="21"/>
                <w:highlight w:val="none"/>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交换机</w:t>
            </w:r>
          </w:p>
        </w:tc>
        <w:tc>
          <w:tcPr>
            <w:tcW w:w="264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8个以太网10/100/1000Mbps端口，2个1000Mbps SFP端口</w:t>
            </w:r>
          </w:p>
        </w:tc>
        <w:tc>
          <w:tcPr>
            <w:tcW w:w="95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1009"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449"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c>
          <w:tcPr>
            <w:tcW w:w="397"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5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3</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防火墙</w:t>
            </w:r>
          </w:p>
        </w:tc>
        <w:tc>
          <w:tcPr>
            <w:tcW w:w="264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吞吐量：3Gbps；VPN吞吐量:500Mbps；IPS吞吐量:500Mbps；最大并发连接数：100万；网络接口：6GE；接口：</w:t>
            </w:r>
            <w:r>
              <w:rPr>
                <w:rFonts w:hint="eastAsia" w:ascii="宋体" w:hAnsi="宋体" w:cs="宋体"/>
                <w:color w:val="auto"/>
                <w:szCs w:val="21"/>
                <w:highlight w:val="none"/>
              </w:rPr>
              <w:t>6个10/100/1000Mbps网络接口；1个RS485串口；2个USB 2.0接口</w:t>
            </w:r>
            <w:r>
              <w:rPr>
                <w:rFonts w:hint="eastAsia" w:ascii="宋体" w:hAnsi="宋体" w:eastAsia="宋体" w:cs="宋体"/>
                <w:color w:val="auto"/>
                <w:sz w:val="21"/>
                <w:szCs w:val="21"/>
                <w:highlight w:val="none"/>
              </w:rPr>
              <w:t>；含防火墙模块，入侵防护模块，防病毒模块，防垃圾模块，URL识别模块，应用识别模块等应用模块</w:t>
            </w:r>
          </w:p>
        </w:tc>
        <w:tc>
          <w:tcPr>
            <w:tcW w:w="95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1009"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449"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台</w:t>
            </w:r>
          </w:p>
        </w:tc>
        <w:tc>
          <w:tcPr>
            <w:tcW w:w="397"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cs="宋体"/>
                <w:color w:val="auto"/>
                <w:sz w:val="21"/>
                <w:szCs w:val="21"/>
                <w:highlight w:val="none"/>
                <w:lang w:val="en-US" w:eastAsia="zh-CN"/>
              </w:rPr>
              <w:t>2</w:t>
            </w:r>
          </w:p>
        </w:tc>
        <w:tc>
          <w:tcPr>
            <w:tcW w:w="165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4</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编程软件</w:t>
            </w:r>
          </w:p>
        </w:tc>
        <w:tc>
          <w:tcPr>
            <w:tcW w:w="264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与PLC相匹配</w:t>
            </w:r>
          </w:p>
        </w:tc>
        <w:tc>
          <w:tcPr>
            <w:tcW w:w="95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1009"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449"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套</w:t>
            </w:r>
          </w:p>
        </w:tc>
        <w:tc>
          <w:tcPr>
            <w:tcW w:w="397"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w:t>
            </w:r>
          </w:p>
        </w:tc>
        <w:tc>
          <w:tcPr>
            <w:tcW w:w="165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5</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UPS</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容量：</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kVA后备时间：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h；充电性能：2小时充电至额定容量的80%；机柜800x800x2200mm</w:t>
            </w: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套</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6</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隔爆ESD按钮</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 xml:space="preserve">红色蘑菇头；DC24V；M20x1.5；IP65；ExdIICT6 Gb </w:t>
            </w: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套</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7</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隔爆声光报警器</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供电电源：24V DC；防护等级：IP65；防爆等级：ExdIICT6 Gb；带防爆密封接头</w:t>
            </w: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套</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8</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可燃气体控制器</w:t>
            </w:r>
          </w:p>
        </w:tc>
        <w:tc>
          <w:tcPr>
            <w:tcW w:w="0" w:type="auto"/>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0"/>
                <w:highlight w:val="none"/>
              </w:rPr>
            </w:pPr>
            <w:r>
              <w:rPr>
                <w:rFonts w:hint="eastAsia" w:ascii="宋体" w:hAnsi="宋体" w:eastAsia="宋体" w:cs="宋体"/>
                <w:color w:val="auto"/>
                <w:sz w:val="21"/>
                <w:szCs w:val="21"/>
                <w:highlight w:val="none"/>
              </w:rPr>
              <w:t>可接收8组4~20mA标准信号输入；高低限报警，故障报警；</w:t>
            </w:r>
          </w:p>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声报警、LED光报警；24VDC、300mA；三线制4~20mA；通信方式：RS485；壁挂式</w:t>
            </w: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套</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9</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可燃气体探测器</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红外吸收式；0~100%LEL；DC24V；4～20mA；HART协议；三线制；M20x1.5；IP65；ExdIICT6 Gb；自带声光报警器</w:t>
            </w: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个</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5</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4个为</w:t>
            </w:r>
            <w:r>
              <w:rPr>
                <w:rFonts w:hint="eastAsia" w:ascii="宋体" w:hAnsi="宋体" w:eastAsia="宋体" w:cs="宋体"/>
                <w:color w:val="auto"/>
                <w:sz w:val="21"/>
                <w:szCs w:val="21"/>
                <w:highlight w:val="none"/>
                <w:lang w:eastAsia="zh-CN"/>
              </w:rPr>
              <w:t>橇</w:t>
            </w:r>
            <w:r>
              <w:rPr>
                <w:rFonts w:hint="eastAsia" w:ascii="宋体" w:hAnsi="宋体" w:eastAsia="宋体" w:cs="宋体"/>
                <w:color w:val="auto"/>
                <w:sz w:val="21"/>
                <w:szCs w:val="21"/>
                <w:highlight w:val="none"/>
              </w:rPr>
              <w:t>体自带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10</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智能云台可燃气体检测仪</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防护等级：IP65；云台控制水平360°连续旋转，俯仰角-30°~+90°，步进精度0.01°；有效监测距离不小于100m</w:t>
            </w: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套</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配套后台机柜，机柜尺寸2200mm（高）×800mm（宽）×800mm（深）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11</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安防机柜</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机柜尺寸2200mm（高）×800mm（宽）×800mm（深）；颜色为RAL7035</w:t>
            </w: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面</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12</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硬盘录像机</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网络视频输入：8路；网络视频输入带宽：160Mbps；HDMI输出：2路；VGA输出：2路；预览分割：1/4/6/8/9/16画面；录像分辨率：12M、8MP、6MP、5MP、4MP、3MP、1080p、UXGA、720p、VGA、4CIF、DCIF、2CIF、CIF、QCIF</w:t>
            </w: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台</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13</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视频显示器</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27寸显示器；支持1080P</w:t>
            </w: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台</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14</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视频交换机</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8个10/100/1000Mbps以太网交口</w:t>
            </w: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台</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15</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室外防爆一体化红外球形网络摄像机</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球型；400W像素；ExdIIBT4 Gb</w:t>
            </w: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台</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2</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16</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红外网络半球型摄像机</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吸顶式、200W像素</w:t>
            </w: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台</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1</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17</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操作员站</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 w:val="21"/>
                <w:szCs w:val="21"/>
                <w:highlight w:val="none"/>
                <w:lang w:bidi="ar"/>
              </w:rPr>
              <w:t>Precision T3460 工作站 i5-12500/16G/256G+2T/T600 4G，键鼠；SE2423DS 24寸显示器，2K IPS 75Hz 4ms 防蓝光；含正版Win10 64位专业版系统或以上版本</w:t>
            </w: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cs="宋体"/>
                <w:color w:val="auto"/>
                <w:sz w:val="21"/>
                <w:szCs w:val="21"/>
                <w:highlight w:val="none"/>
                <w:lang w:val="en-US" w:eastAsia="zh-CN"/>
              </w:rPr>
              <w:t>台</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cs="宋体"/>
                <w:color w:val="auto"/>
                <w:sz w:val="21"/>
                <w:szCs w:val="21"/>
                <w:highlight w:val="none"/>
                <w:lang w:val="en-US" w:eastAsia="zh-CN"/>
              </w:rPr>
              <w:t>1</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50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18</w:t>
            </w:r>
          </w:p>
        </w:tc>
        <w:tc>
          <w:tcPr>
            <w:tcW w:w="75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rPr>
              <w:t>客户端软件</w:t>
            </w:r>
          </w:p>
        </w:tc>
        <w:tc>
          <w:tcPr>
            <w:tcW w:w="0" w:type="auto"/>
            <w:noWrap w:val="0"/>
            <w:vAlign w:val="center"/>
          </w:tcPr>
          <w:p>
            <w:pPr>
              <w:keepNext w:val="0"/>
              <w:keepLines w:val="0"/>
              <w:widowControl/>
              <w:suppressLineNumbers w:val="0"/>
              <w:spacing w:before="0" w:beforeAutospacing="0" w:after="0" w:afterAutospacing="0"/>
              <w:ind w:left="0" w:right="0" w:firstLine="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6万点，运行班</w:t>
            </w:r>
          </w:p>
          <w:p>
            <w:pPr>
              <w:keepNext w:val="0"/>
              <w:keepLines w:val="0"/>
              <w:widowControl/>
              <w:suppressLineNumbers w:val="0"/>
              <w:spacing w:before="0" w:beforeAutospacing="0" w:after="0" w:afterAutospacing="0"/>
              <w:ind w:left="0" w:right="0" w:firstLine="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InTouch 2017 Runtime 60K</w:t>
            </w:r>
          </w:p>
          <w:p>
            <w:pPr>
              <w:keepNext w:val="0"/>
              <w:keepLines w:val="0"/>
              <w:widowControl/>
              <w:suppressLineNumbers w:val="0"/>
              <w:spacing w:before="0" w:beforeAutospacing="0" w:after="0" w:afterAutospacing="0"/>
              <w:ind w:left="0" w:right="0" w:firstLine="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Tag with I/O，</w:t>
            </w:r>
          </w:p>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rPr>
              <w:t>Chinese，含工业库客户端曲线查询授权</w:t>
            </w: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cs="宋体"/>
                <w:color w:val="auto"/>
                <w:sz w:val="21"/>
                <w:szCs w:val="21"/>
                <w:highlight w:val="none"/>
                <w:lang w:val="en-US" w:eastAsia="zh-CN"/>
              </w:rPr>
              <w:t>套</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0"/>
                <w:highlight w:val="none"/>
                <w:lang w:val="en-US" w:eastAsia="zh-CN" w:bidi="ar-SA"/>
              </w:rPr>
            </w:pPr>
            <w:r>
              <w:rPr>
                <w:rFonts w:hint="eastAsia" w:ascii="宋体" w:hAnsi="宋体" w:cs="宋体"/>
                <w:color w:val="auto"/>
                <w:sz w:val="21"/>
                <w:szCs w:val="21"/>
                <w:highlight w:val="none"/>
                <w:lang w:val="en-US" w:eastAsia="zh-CN"/>
              </w:rPr>
              <w:t>1</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p>
        </w:tc>
      </w:tr>
    </w:tbl>
    <w:p/>
    <w:p>
      <w:pPr>
        <w:snapToGrid w:val="0"/>
        <w:spacing w:line="360" w:lineRule="exact"/>
        <w:jc w:val="center"/>
        <w:rPr>
          <w:rFonts w:ascii="黑体" w:hAnsi="Arial" w:eastAsia="黑体" w:cs="Arial"/>
          <w:color w:val="000000"/>
          <w:sz w:val="24"/>
          <w:szCs w:val="24"/>
        </w:rPr>
      </w:pPr>
      <w:r>
        <w:rPr>
          <w:rFonts w:hint="eastAsia" w:ascii="黑体" w:hAnsi="Arial" w:eastAsia="黑体" w:cs="Arial"/>
          <w:color w:val="000000"/>
          <w:sz w:val="28"/>
          <w:szCs w:val="28"/>
        </w:rPr>
        <w:t>（</w:t>
      </w:r>
      <w:r>
        <w:rPr>
          <w:rFonts w:hint="eastAsia" w:ascii="黑体" w:hAnsi="Arial" w:eastAsia="黑体" w:cs="Arial"/>
          <w:color w:val="000000"/>
          <w:sz w:val="28"/>
          <w:szCs w:val="28"/>
          <w:lang w:val="en-US" w:eastAsia="zh-CN"/>
        </w:rPr>
        <w:t>三</w:t>
      </w:r>
      <w:r>
        <w:rPr>
          <w:rFonts w:hint="eastAsia" w:ascii="黑体" w:hAnsi="Arial" w:eastAsia="黑体" w:cs="Arial"/>
          <w:color w:val="000000"/>
          <w:sz w:val="28"/>
          <w:szCs w:val="28"/>
        </w:rPr>
        <w:t>）零星设备材料清单</w:t>
      </w:r>
    </w:p>
    <w:tbl>
      <w:tblPr>
        <w:tblStyle w:val="3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102"/>
        <w:gridCol w:w="1103"/>
        <w:gridCol w:w="1718"/>
        <w:gridCol w:w="741"/>
        <w:gridCol w:w="974"/>
        <w:gridCol w:w="981"/>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462" w:type="pct"/>
            <w:noWrap w:val="0"/>
            <w:vAlign w:val="center"/>
          </w:tcPr>
          <w:p>
            <w:pPr>
              <w:spacing w:line="360" w:lineRule="exact"/>
              <w:jc w:val="center"/>
              <w:rPr>
                <w:rFonts w:ascii="宋体" w:hAnsi="宋体" w:cs="宋体"/>
                <w:b/>
                <w:bCs/>
                <w:color w:val="auto"/>
                <w:sz w:val="18"/>
                <w:szCs w:val="18"/>
              </w:rPr>
            </w:pPr>
            <w:r>
              <w:rPr>
                <w:rFonts w:hint="eastAsia" w:ascii="宋体" w:hAnsi="宋体" w:cs="宋体"/>
                <w:b/>
                <w:bCs/>
                <w:color w:val="auto"/>
                <w:sz w:val="18"/>
                <w:szCs w:val="18"/>
              </w:rPr>
              <w:t>序号</w:t>
            </w:r>
          </w:p>
        </w:tc>
        <w:tc>
          <w:tcPr>
            <w:tcW w:w="679" w:type="pct"/>
            <w:noWrap w:val="0"/>
            <w:vAlign w:val="center"/>
          </w:tcPr>
          <w:p>
            <w:pPr>
              <w:spacing w:line="360" w:lineRule="exact"/>
              <w:jc w:val="center"/>
              <w:rPr>
                <w:rFonts w:ascii="宋体" w:hAnsi="宋体" w:cs="宋体"/>
                <w:b/>
                <w:bCs/>
                <w:color w:val="auto"/>
                <w:sz w:val="18"/>
                <w:szCs w:val="18"/>
              </w:rPr>
            </w:pPr>
            <w:r>
              <w:rPr>
                <w:rFonts w:hint="eastAsia" w:ascii="宋体" w:hAnsi="宋体" w:cs="宋体"/>
                <w:b/>
                <w:bCs/>
                <w:color w:val="auto"/>
                <w:sz w:val="18"/>
                <w:szCs w:val="18"/>
              </w:rPr>
              <w:t>★名 称</w:t>
            </w:r>
          </w:p>
        </w:tc>
        <w:tc>
          <w:tcPr>
            <w:tcW w:w="679" w:type="pct"/>
            <w:noWrap w:val="0"/>
            <w:vAlign w:val="center"/>
          </w:tcPr>
          <w:p>
            <w:pPr>
              <w:spacing w:line="360" w:lineRule="exact"/>
              <w:jc w:val="center"/>
              <w:rPr>
                <w:rFonts w:ascii="宋体" w:hAnsi="宋体" w:cs="宋体"/>
                <w:b/>
                <w:bCs/>
                <w:color w:val="auto"/>
                <w:sz w:val="18"/>
                <w:szCs w:val="18"/>
              </w:rPr>
            </w:pPr>
            <w:r>
              <w:rPr>
                <w:rFonts w:hint="eastAsia" w:ascii="宋体" w:hAnsi="宋体" w:cs="宋体"/>
                <w:b/>
                <w:bCs/>
                <w:color w:val="auto"/>
                <w:sz w:val="18"/>
                <w:szCs w:val="18"/>
              </w:rPr>
              <w:t>★类 别</w:t>
            </w:r>
          </w:p>
        </w:tc>
        <w:tc>
          <w:tcPr>
            <w:tcW w:w="1040" w:type="pct"/>
            <w:noWrap w:val="0"/>
            <w:vAlign w:val="center"/>
          </w:tcPr>
          <w:p>
            <w:pPr>
              <w:spacing w:line="360" w:lineRule="exact"/>
              <w:jc w:val="center"/>
              <w:rPr>
                <w:rFonts w:ascii="宋体" w:hAnsi="宋体" w:cs="宋体"/>
                <w:b/>
                <w:bCs/>
                <w:color w:val="auto"/>
                <w:sz w:val="18"/>
                <w:szCs w:val="18"/>
              </w:rPr>
            </w:pPr>
            <w:r>
              <w:rPr>
                <w:rFonts w:hint="eastAsia" w:ascii="宋体" w:hAnsi="宋体" w:cs="宋体"/>
                <w:b/>
                <w:bCs/>
                <w:color w:val="auto"/>
                <w:sz w:val="18"/>
                <w:szCs w:val="18"/>
              </w:rPr>
              <w:t>★型号及规格</w:t>
            </w:r>
          </w:p>
        </w:tc>
        <w:tc>
          <w:tcPr>
            <w:tcW w:w="462" w:type="pct"/>
            <w:noWrap w:val="0"/>
            <w:vAlign w:val="center"/>
          </w:tcPr>
          <w:p>
            <w:pPr>
              <w:spacing w:line="360" w:lineRule="exact"/>
              <w:jc w:val="center"/>
              <w:rPr>
                <w:rFonts w:ascii="宋体" w:hAnsi="宋体" w:cs="宋体"/>
                <w:b/>
                <w:bCs/>
                <w:color w:val="auto"/>
                <w:sz w:val="18"/>
                <w:szCs w:val="18"/>
              </w:rPr>
            </w:pPr>
            <w:r>
              <w:rPr>
                <w:rFonts w:hint="eastAsia" w:ascii="宋体" w:hAnsi="宋体" w:cs="宋体"/>
                <w:b/>
                <w:bCs/>
                <w:color w:val="auto"/>
                <w:sz w:val="18"/>
                <w:szCs w:val="18"/>
              </w:rPr>
              <w:t>★</w:t>
            </w:r>
          </w:p>
          <w:p>
            <w:pPr>
              <w:spacing w:line="360" w:lineRule="exact"/>
              <w:jc w:val="center"/>
              <w:rPr>
                <w:rFonts w:ascii="宋体" w:hAnsi="宋体" w:cs="宋体"/>
                <w:b/>
                <w:bCs/>
                <w:color w:val="auto"/>
                <w:sz w:val="18"/>
                <w:szCs w:val="18"/>
              </w:rPr>
            </w:pPr>
            <w:r>
              <w:rPr>
                <w:rFonts w:hint="eastAsia" w:ascii="宋体" w:hAnsi="宋体" w:cs="宋体"/>
                <w:b/>
                <w:bCs/>
                <w:color w:val="auto"/>
                <w:sz w:val="18"/>
                <w:szCs w:val="18"/>
              </w:rPr>
              <w:t>材质</w:t>
            </w:r>
          </w:p>
        </w:tc>
        <w:tc>
          <w:tcPr>
            <w:tcW w:w="607" w:type="pct"/>
            <w:noWrap w:val="0"/>
            <w:vAlign w:val="center"/>
          </w:tcPr>
          <w:p>
            <w:pPr>
              <w:spacing w:line="360" w:lineRule="exact"/>
              <w:jc w:val="center"/>
              <w:rPr>
                <w:rFonts w:ascii="宋体" w:hAnsi="宋体" w:cs="宋体"/>
                <w:b/>
                <w:bCs/>
                <w:color w:val="auto"/>
                <w:sz w:val="18"/>
                <w:szCs w:val="18"/>
              </w:rPr>
            </w:pPr>
            <w:r>
              <w:rPr>
                <w:rFonts w:hint="eastAsia" w:ascii="宋体" w:hAnsi="宋体" w:cs="宋体"/>
                <w:b/>
                <w:bCs/>
                <w:color w:val="auto"/>
                <w:sz w:val="18"/>
                <w:szCs w:val="18"/>
              </w:rPr>
              <w:t>★单位</w:t>
            </w:r>
          </w:p>
        </w:tc>
        <w:tc>
          <w:tcPr>
            <w:tcW w:w="607" w:type="pct"/>
            <w:noWrap w:val="0"/>
            <w:vAlign w:val="center"/>
          </w:tcPr>
          <w:p>
            <w:pPr>
              <w:spacing w:line="360" w:lineRule="exact"/>
              <w:jc w:val="center"/>
              <w:rPr>
                <w:rFonts w:ascii="宋体" w:hAnsi="宋体" w:cs="宋体"/>
                <w:b/>
                <w:bCs/>
                <w:color w:val="auto"/>
                <w:sz w:val="18"/>
                <w:szCs w:val="18"/>
              </w:rPr>
            </w:pPr>
            <w:r>
              <w:rPr>
                <w:rFonts w:hint="eastAsia" w:ascii="宋体" w:hAnsi="宋体" w:cs="宋体"/>
                <w:b/>
                <w:bCs/>
                <w:color w:val="auto"/>
                <w:sz w:val="18"/>
                <w:szCs w:val="18"/>
              </w:rPr>
              <w:t>★数量</w:t>
            </w:r>
          </w:p>
        </w:tc>
        <w:tc>
          <w:tcPr>
            <w:tcW w:w="462" w:type="pct"/>
            <w:noWrap w:val="0"/>
            <w:vAlign w:val="center"/>
          </w:tcPr>
          <w:p>
            <w:pPr>
              <w:spacing w:line="360" w:lineRule="exact"/>
              <w:jc w:val="center"/>
              <w:rPr>
                <w:rFonts w:ascii="宋体" w:hAnsi="宋体" w:cs="宋体"/>
                <w:b/>
                <w:bCs/>
                <w:color w:val="auto"/>
                <w:sz w:val="18"/>
                <w:szCs w:val="18"/>
              </w:rPr>
            </w:pPr>
            <w:r>
              <w:rPr>
                <w:rFonts w:hint="eastAsia" w:ascii="宋体" w:hAnsi="宋体" w:cs="宋体"/>
                <w:b/>
                <w:bCs/>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462"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679"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p>
        </w:tc>
        <w:tc>
          <w:tcPr>
            <w:tcW w:w="679"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清管三通</w:t>
            </w:r>
          </w:p>
        </w:tc>
        <w:tc>
          <w:tcPr>
            <w:tcW w:w="1040"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DN700X500</w:t>
            </w:r>
          </w:p>
        </w:tc>
        <w:tc>
          <w:tcPr>
            <w:tcW w:w="462"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L485M</w:t>
            </w:r>
          </w:p>
        </w:tc>
        <w:tc>
          <w:tcPr>
            <w:tcW w:w="607"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个</w:t>
            </w:r>
          </w:p>
        </w:tc>
        <w:tc>
          <w:tcPr>
            <w:tcW w:w="607"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462"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绝缘接头</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DN500</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L485M</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个</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设备</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埋地阀门、手动、焊接</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Class600 DN500</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个</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0" w:type="auto"/>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球阀推荐品牌:Schuck（德国舒克）、Cameron（美国卡麦隆）、Bohmer（德国伯马）</w:t>
            </w:r>
            <w:r>
              <w:rPr>
                <w:rFonts w:hint="eastAsia" w:ascii="宋体" w:hAnsi="宋体" w:eastAsia="宋体" w:cs="宋体"/>
                <w:color w:val="auto"/>
                <w:sz w:val="21"/>
                <w:szCs w:val="21"/>
                <w:highlight w:val="none"/>
              </w:rPr>
              <w:t>，要求见规格书</w:t>
            </w:r>
          </w:p>
        </w:tc>
      </w:tr>
    </w:tbl>
    <w:p>
      <w:pPr>
        <w:pStyle w:val="2"/>
      </w:pPr>
    </w:p>
    <w:p>
      <w:pPr>
        <w:snapToGrid w:val="0"/>
        <w:spacing w:line="360" w:lineRule="exact"/>
        <w:jc w:val="center"/>
        <w:rPr>
          <w:rFonts w:ascii="黑体" w:hAnsi="Arial" w:eastAsia="黑体" w:cs="Arial"/>
          <w:color w:val="000000"/>
          <w:sz w:val="24"/>
          <w:szCs w:val="24"/>
        </w:rPr>
      </w:pPr>
      <w:r>
        <w:rPr>
          <w:rFonts w:hint="eastAsia" w:ascii="黑体" w:hAnsi="Arial" w:eastAsia="黑体" w:cs="Arial"/>
          <w:color w:val="000000"/>
          <w:sz w:val="28"/>
          <w:szCs w:val="28"/>
        </w:rPr>
        <w:t>（</w:t>
      </w:r>
      <w:r>
        <w:rPr>
          <w:rFonts w:hint="eastAsia" w:ascii="黑体" w:hAnsi="Arial" w:eastAsia="黑体" w:cs="Arial"/>
          <w:color w:val="000000"/>
          <w:sz w:val="28"/>
          <w:szCs w:val="28"/>
          <w:lang w:val="en-US" w:eastAsia="zh-CN"/>
        </w:rPr>
        <w:t>四</w:t>
      </w:r>
      <w:r>
        <w:rPr>
          <w:rFonts w:hint="eastAsia" w:ascii="黑体" w:hAnsi="Arial" w:eastAsia="黑体" w:cs="Arial"/>
          <w:color w:val="000000"/>
          <w:sz w:val="28"/>
          <w:szCs w:val="28"/>
        </w:rPr>
        <w:t>）管材、弯管甲供材料清单</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236"/>
        <w:gridCol w:w="1236"/>
        <w:gridCol w:w="1914"/>
        <w:gridCol w:w="830"/>
        <w:gridCol w:w="1102"/>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827" w:type="dxa"/>
            <w:noWrap w:val="0"/>
            <w:vAlign w:val="center"/>
          </w:tcPr>
          <w:p>
            <w:pPr>
              <w:spacing w:line="360" w:lineRule="exact"/>
              <w:jc w:val="center"/>
              <w:rPr>
                <w:rFonts w:ascii="宋体" w:hAnsi="宋体" w:cs="宋体"/>
                <w:b/>
                <w:bCs/>
                <w:color w:val="auto"/>
                <w:sz w:val="18"/>
                <w:szCs w:val="18"/>
              </w:rPr>
            </w:pPr>
            <w:r>
              <w:rPr>
                <w:rFonts w:hint="eastAsia" w:ascii="宋体" w:hAnsi="宋体" w:cs="宋体"/>
                <w:b/>
                <w:bCs/>
                <w:sz w:val="18"/>
                <w:szCs w:val="18"/>
              </w:rPr>
              <w:t>序号</w:t>
            </w:r>
          </w:p>
        </w:tc>
        <w:tc>
          <w:tcPr>
            <w:tcW w:w="1236" w:type="dxa"/>
            <w:noWrap w:val="0"/>
            <w:vAlign w:val="center"/>
          </w:tcPr>
          <w:p>
            <w:pPr>
              <w:spacing w:line="360" w:lineRule="exact"/>
              <w:jc w:val="center"/>
              <w:rPr>
                <w:rFonts w:ascii="宋体" w:hAnsi="宋体" w:cs="宋体"/>
                <w:b/>
                <w:bCs/>
                <w:color w:val="auto"/>
                <w:sz w:val="18"/>
                <w:szCs w:val="18"/>
              </w:rPr>
            </w:pPr>
            <w:r>
              <w:rPr>
                <w:rFonts w:hint="eastAsia" w:ascii="宋体" w:hAnsi="宋体" w:cs="宋体"/>
                <w:b/>
                <w:bCs/>
                <w:sz w:val="18"/>
                <w:szCs w:val="18"/>
              </w:rPr>
              <w:t>★名 称</w:t>
            </w:r>
          </w:p>
        </w:tc>
        <w:tc>
          <w:tcPr>
            <w:tcW w:w="1236" w:type="dxa"/>
            <w:noWrap w:val="0"/>
            <w:vAlign w:val="center"/>
          </w:tcPr>
          <w:p>
            <w:pPr>
              <w:spacing w:line="360" w:lineRule="exact"/>
              <w:jc w:val="center"/>
              <w:rPr>
                <w:rFonts w:ascii="宋体" w:hAnsi="宋体" w:cs="宋体"/>
                <w:b/>
                <w:bCs/>
                <w:color w:val="auto"/>
                <w:sz w:val="18"/>
                <w:szCs w:val="18"/>
              </w:rPr>
            </w:pPr>
            <w:r>
              <w:rPr>
                <w:rFonts w:hint="eastAsia" w:ascii="宋体" w:hAnsi="宋体" w:cs="宋体"/>
                <w:b/>
                <w:bCs/>
                <w:sz w:val="18"/>
                <w:szCs w:val="18"/>
              </w:rPr>
              <w:t>★型号及规格</w:t>
            </w:r>
          </w:p>
        </w:tc>
        <w:tc>
          <w:tcPr>
            <w:tcW w:w="1914" w:type="dxa"/>
            <w:noWrap w:val="0"/>
            <w:vAlign w:val="center"/>
          </w:tcPr>
          <w:p>
            <w:pPr>
              <w:spacing w:line="360" w:lineRule="exact"/>
              <w:jc w:val="center"/>
              <w:rPr>
                <w:rFonts w:ascii="宋体" w:hAnsi="宋体" w:cs="宋体"/>
                <w:b/>
                <w:bCs/>
                <w:sz w:val="18"/>
                <w:szCs w:val="18"/>
              </w:rPr>
            </w:pPr>
            <w:r>
              <w:rPr>
                <w:rFonts w:hint="eastAsia" w:ascii="宋体" w:hAnsi="宋体" w:cs="宋体"/>
                <w:b/>
                <w:bCs/>
                <w:sz w:val="18"/>
                <w:szCs w:val="18"/>
              </w:rPr>
              <w:t>★</w:t>
            </w:r>
          </w:p>
          <w:p>
            <w:pPr>
              <w:spacing w:line="360" w:lineRule="exact"/>
              <w:jc w:val="center"/>
              <w:rPr>
                <w:rFonts w:ascii="宋体" w:hAnsi="宋体" w:cs="宋体"/>
                <w:b/>
                <w:bCs/>
                <w:color w:val="auto"/>
                <w:sz w:val="18"/>
                <w:szCs w:val="18"/>
              </w:rPr>
            </w:pPr>
            <w:r>
              <w:rPr>
                <w:rFonts w:hint="eastAsia" w:ascii="宋体" w:hAnsi="宋体" w:cs="宋体"/>
                <w:b/>
                <w:bCs/>
                <w:sz w:val="18"/>
                <w:szCs w:val="18"/>
              </w:rPr>
              <w:t>材质</w:t>
            </w:r>
          </w:p>
        </w:tc>
        <w:tc>
          <w:tcPr>
            <w:tcW w:w="830" w:type="dxa"/>
            <w:noWrap w:val="0"/>
            <w:vAlign w:val="center"/>
          </w:tcPr>
          <w:p>
            <w:pPr>
              <w:spacing w:line="360" w:lineRule="exact"/>
              <w:jc w:val="center"/>
              <w:rPr>
                <w:rFonts w:ascii="宋体" w:hAnsi="宋体" w:cs="宋体"/>
                <w:b/>
                <w:bCs/>
                <w:color w:val="auto"/>
                <w:sz w:val="18"/>
                <w:szCs w:val="18"/>
              </w:rPr>
            </w:pPr>
            <w:r>
              <w:rPr>
                <w:rFonts w:hint="eastAsia" w:ascii="宋体" w:hAnsi="宋体" w:cs="宋体"/>
                <w:b/>
                <w:bCs/>
                <w:sz w:val="18"/>
                <w:szCs w:val="18"/>
              </w:rPr>
              <w:t>★单位</w:t>
            </w:r>
          </w:p>
        </w:tc>
        <w:tc>
          <w:tcPr>
            <w:tcW w:w="1102" w:type="dxa"/>
            <w:noWrap w:val="0"/>
            <w:vAlign w:val="center"/>
          </w:tcPr>
          <w:p>
            <w:pPr>
              <w:spacing w:line="360" w:lineRule="exact"/>
              <w:jc w:val="center"/>
              <w:rPr>
                <w:rFonts w:ascii="宋体" w:hAnsi="宋体" w:cs="宋体"/>
                <w:b/>
                <w:bCs/>
                <w:color w:val="auto"/>
                <w:sz w:val="18"/>
                <w:szCs w:val="18"/>
              </w:rPr>
            </w:pPr>
            <w:r>
              <w:rPr>
                <w:rFonts w:hint="eastAsia" w:ascii="宋体" w:hAnsi="宋体" w:cs="宋体"/>
                <w:b/>
                <w:bCs/>
                <w:sz w:val="18"/>
                <w:szCs w:val="18"/>
              </w:rPr>
              <w:t>★数量</w:t>
            </w:r>
          </w:p>
        </w:tc>
        <w:tc>
          <w:tcPr>
            <w:tcW w:w="1372" w:type="dxa"/>
            <w:noWrap w:val="0"/>
            <w:vAlign w:val="center"/>
          </w:tcPr>
          <w:p>
            <w:pPr>
              <w:spacing w:line="360" w:lineRule="exact"/>
              <w:jc w:val="center"/>
              <w:rPr>
                <w:rFonts w:ascii="宋体" w:hAnsi="宋体" w:cs="宋体"/>
                <w:b/>
                <w:bCs/>
                <w:color w:val="auto"/>
                <w:sz w:val="18"/>
                <w:szCs w:val="18"/>
              </w:rPr>
            </w:pPr>
            <w:r>
              <w:rPr>
                <w:rFonts w:hint="eastAsia" w:ascii="宋体" w:hAnsi="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827"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p>
        </w:tc>
        <w:tc>
          <w:tcPr>
            <w:tcW w:w="123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热煨弯管</w:t>
            </w:r>
          </w:p>
        </w:tc>
        <w:tc>
          <w:tcPr>
            <w:tcW w:w="123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18</w:t>
            </w:r>
            <w:r>
              <w:rPr>
                <w:rFonts w:hint="eastAsia" w:ascii="宋体" w:hAnsi="宋体" w:eastAsia="宋体" w:cs="宋体"/>
                <w:color w:val="auto"/>
                <w:kern w:val="2"/>
                <w:sz w:val="21"/>
                <w:szCs w:val="21"/>
                <w:highlight w:val="none"/>
                <w:lang w:val="en-US" w:eastAsia="zh-CN" w:bidi="ar-SA"/>
              </w:rPr>
              <w:t>°</w:t>
            </w:r>
          </w:p>
        </w:tc>
        <w:tc>
          <w:tcPr>
            <w:tcW w:w="191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L485M（X70）</w:t>
            </w:r>
          </w:p>
        </w:tc>
        <w:tc>
          <w:tcPr>
            <w:tcW w:w="830"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个</w:t>
            </w:r>
          </w:p>
        </w:tc>
        <w:tc>
          <w:tcPr>
            <w:tcW w:w="1102"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w:t>
            </w:r>
          </w:p>
        </w:tc>
        <w:tc>
          <w:tcPr>
            <w:tcW w:w="1372"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D508X1</w:t>
            </w:r>
            <w:r>
              <w:rPr>
                <w:rFonts w:hint="eastAsia" w:ascii="宋体" w:hAnsi="宋体" w:cs="宋体"/>
                <w:color w:val="auto"/>
                <w:kern w:val="2"/>
                <w:sz w:val="21"/>
                <w:szCs w:val="21"/>
                <w:highlight w:val="none"/>
                <w:lang w:val="en-US" w:eastAsia="zh-CN" w:bidi="ar-SA"/>
              </w:rPr>
              <w:t>4.2</w:t>
            </w:r>
            <w:r>
              <w:rPr>
                <w:rFonts w:hint="eastAsia" w:ascii="宋体" w:hAnsi="宋体" w:eastAsia="宋体" w:cs="宋体"/>
                <w:color w:val="auto"/>
                <w:kern w:val="2"/>
                <w:sz w:val="21"/>
                <w:szCs w:val="21"/>
                <w:highlight w:val="none"/>
                <w:lang w:val="en-US" w:eastAsia="zh-CN" w:bidi="ar-SA"/>
              </w:rPr>
              <w:t>，R=</w:t>
            </w: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827"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w:t>
            </w:r>
          </w:p>
        </w:tc>
        <w:tc>
          <w:tcPr>
            <w:tcW w:w="123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热煨弯管</w:t>
            </w:r>
          </w:p>
        </w:tc>
        <w:tc>
          <w:tcPr>
            <w:tcW w:w="123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27</w:t>
            </w:r>
            <w:r>
              <w:rPr>
                <w:rFonts w:hint="eastAsia" w:ascii="宋体" w:hAnsi="宋体" w:eastAsia="宋体" w:cs="宋体"/>
                <w:color w:val="auto"/>
                <w:kern w:val="2"/>
                <w:sz w:val="21"/>
                <w:szCs w:val="21"/>
                <w:highlight w:val="none"/>
                <w:lang w:val="en-US" w:eastAsia="zh-CN" w:bidi="ar-SA"/>
              </w:rPr>
              <w:t>°</w:t>
            </w:r>
          </w:p>
        </w:tc>
        <w:tc>
          <w:tcPr>
            <w:tcW w:w="191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L485M（X70）</w:t>
            </w:r>
          </w:p>
        </w:tc>
        <w:tc>
          <w:tcPr>
            <w:tcW w:w="830"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个</w:t>
            </w:r>
          </w:p>
        </w:tc>
        <w:tc>
          <w:tcPr>
            <w:tcW w:w="1102"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w:t>
            </w:r>
          </w:p>
        </w:tc>
        <w:tc>
          <w:tcPr>
            <w:tcW w:w="1372"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D508X1</w:t>
            </w:r>
            <w:r>
              <w:rPr>
                <w:rFonts w:hint="eastAsia" w:ascii="宋体" w:hAnsi="宋体" w:cs="宋体"/>
                <w:color w:val="auto"/>
                <w:kern w:val="2"/>
                <w:sz w:val="21"/>
                <w:szCs w:val="21"/>
                <w:highlight w:val="none"/>
                <w:lang w:val="en-US" w:eastAsia="zh-CN" w:bidi="ar-SA"/>
              </w:rPr>
              <w:t>4.2</w:t>
            </w:r>
            <w:r>
              <w:rPr>
                <w:rFonts w:hint="eastAsia" w:ascii="宋体" w:hAnsi="宋体" w:eastAsia="宋体" w:cs="宋体"/>
                <w:color w:val="auto"/>
                <w:kern w:val="2"/>
                <w:sz w:val="21"/>
                <w:szCs w:val="21"/>
                <w:highlight w:val="none"/>
                <w:lang w:val="en-US" w:eastAsia="zh-CN" w:bidi="ar-SA"/>
              </w:rPr>
              <w:t>，R=</w:t>
            </w: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827"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23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热煨弯管</w:t>
            </w:r>
          </w:p>
        </w:tc>
        <w:tc>
          <w:tcPr>
            <w:tcW w:w="123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30°</w:t>
            </w:r>
          </w:p>
        </w:tc>
        <w:tc>
          <w:tcPr>
            <w:tcW w:w="191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L485M（X70）</w:t>
            </w:r>
          </w:p>
        </w:tc>
        <w:tc>
          <w:tcPr>
            <w:tcW w:w="830"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个</w:t>
            </w:r>
          </w:p>
        </w:tc>
        <w:tc>
          <w:tcPr>
            <w:tcW w:w="1102"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372"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D508X1</w:t>
            </w:r>
            <w:r>
              <w:rPr>
                <w:rFonts w:hint="eastAsia" w:ascii="宋体" w:hAnsi="宋体" w:cs="宋体"/>
                <w:color w:val="auto"/>
                <w:kern w:val="2"/>
                <w:sz w:val="21"/>
                <w:szCs w:val="21"/>
                <w:highlight w:val="none"/>
                <w:lang w:val="en-US" w:eastAsia="zh-CN" w:bidi="ar-SA"/>
              </w:rPr>
              <w:t>4.2</w:t>
            </w:r>
            <w:r>
              <w:rPr>
                <w:rFonts w:hint="eastAsia" w:ascii="宋体" w:hAnsi="宋体" w:eastAsia="宋体" w:cs="宋体"/>
                <w:color w:val="auto"/>
                <w:kern w:val="2"/>
                <w:sz w:val="21"/>
                <w:szCs w:val="21"/>
                <w:highlight w:val="none"/>
                <w:lang w:val="en-US" w:eastAsia="zh-CN" w:bidi="ar-SA"/>
              </w:rPr>
              <w:t>，R=</w:t>
            </w: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827"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23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热煨弯管</w:t>
            </w:r>
          </w:p>
        </w:tc>
        <w:tc>
          <w:tcPr>
            <w:tcW w:w="123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bidi="ar-SA"/>
              </w:rPr>
              <w:t>60</w:t>
            </w:r>
            <w:r>
              <w:rPr>
                <w:rFonts w:hint="eastAsia" w:ascii="宋体" w:hAnsi="宋体" w:eastAsia="宋体" w:cs="宋体"/>
                <w:color w:val="auto"/>
                <w:kern w:val="2"/>
                <w:sz w:val="21"/>
                <w:szCs w:val="21"/>
                <w:highlight w:val="none"/>
                <w:lang w:val="en-US" w:eastAsia="zh-CN" w:bidi="ar-SA"/>
              </w:rPr>
              <w:t>°</w:t>
            </w:r>
          </w:p>
        </w:tc>
        <w:tc>
          <w:tcPr>
            <w:tcW w:w="191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L485M（X70）</w:t>
            </w:r>
          </w:p>
        </w:tc>
        <w:tc>
          <w:tcPr>
            <w:tcW w:w="830"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个</w:t>
            </w:r>
          </w:p>
        </w:tc>
        <w:tc>
          <w:tcPr>
            <w:tcW w:w="1102"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372"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D508X1</w:t>
            </w:r>
            <w:r>
              <w:rPr>
                <w:rFonts w:hint="eastAsia" w:ascii="宋体" w:hAnsi="宋体" w:cs="宋体"/>
                <w:color w:val="auto"/>
                <w:kern w:val="2"/>
                <w:sz w:val="21"/>
                <w:szCs w:val="21"/>
                <w:highlight w:val="none"/>
                <w:lang w:val="en-US" w:eastAsia="zh-CN" w:bidi="ar-SA"/>
              </w:rPr>
              <w:t>4.2</w:t>
            </w:r>
            <w:r>
              <w:rPr>
                <w:rFonts w:hint="eastAsia" w:ascii="宋体" w:hAnsi="宋体" w:eastAsia="宋体" w:cs="宋体"/>
                <w:color w:val="auto"/>
                <w:kern w:val="2"/>
                <w:sz w:val="21"/>
                <w:szCs w:val="21"/>
                <w:highlight w:val="none"/>
                <w:lang w:val="en-US" w:eastAsia="zh-CN" w:bidi="ar-SA"/>
              </w:rPr>
              <w:t>，R=</w:t>
            </w: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827"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23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热煨弯管</w:t>
            </w:r>
          </w:p>
        </w:tc>
        <w:tc>
          <w:tcPr>
            <w:tcW w:w="123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90</w:t>
            </w:r>
            <w:r>
              <w:rPr>
                <w:rFonts w:hint="eastAsia" w:ascii="宋体" w:hAnsi="宋体" w:eastAsia="宋体" w:cs="宋体"/>
                <w:color w:val="auto"/>
                <w:kern w:val="2"/>
                <w:sz w:val="21"/>
                <w:szCs w:val="21"/>
                <w:highlight w:val="none"/>
                <w:lang w:val="en-US" w:eastAsia="zh-CN" w:bidi="ar-SA"/>
              </w:rPr>
              <w:t>°</w:t>
            </w:r>
          </w:p>
        </w:tc>
        <w:tc>
          <w:tcPr>
            <w:tcW w:w="1914"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L485M（X70）</w:t>
            </w:r>
          </w:p>
        </w:tc>
        <w:tc>
          <w:tcPr>
            <w:tcW w:w="830"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个</w:t>
            </w:r>
          </w:p>
        </w:tc>
        <w:tc>
          <w:tcPr>
            <w:tcW w:w="1102"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372"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D508X1</w:t>
            </w:r>
            <w:r>
              <w:rPr>
                <w:rFonts w:hint="eastAsia" w:ascii="宋体" w:hAnsi="宋体" w:cs="宋体"/>
                <w:color w:val="auto"/>
                <w:kern w:val="2"/>
                <w:sz w:val="21"/>
                <w:szCs w:val="21"/>
                <w:highlight w:val="none"/>
                <w:lang w:val="en-US" w:eastAsia="zh-CN" w:bidi="ar-SA"/>
              </w:rPr>
              <w:t>4.2</w:t>
            </w:r>
            <w:r>
              <w:rPr>
                <w:rFonts w:hint="eastAsia" w:ascii="宋体" w:hAnsi="宋体" w:eastAsia="宋体" w:cs="宋体"/>
                <w:color w:val="auto"/>
                <w:kern w:val="2"/>
                <w:sz w:val="21"/>
                <w:szCs w:val="21"/>
                <w:highlight w:val="none"/>
                <w:lang w:val="en-US" w:eastAsia="zh-CN" w:bidi="ar-SA"/>
              </w:rPr>
              <w:t>，R=</w:t>
            </w: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827" w:type="dxa"/>
            <w:noWrap w:val="0"/>
            <w:vAlign w:val="center"/>
          </w:tcPr>
          <w:p>
            <w:pPr>
              <w:pStyle w:val="145"/>
              <w:adjustRightInd w:val="0"/>
              <w:snapToGrid w:val="0"/>
              <w:spacing w:line="360" w:lineRule="exact"/>
              <w:ind w:left="0" w:leftChars="0" w:right="2" w:rightChars="1"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w:t>
            </w:r>
          </w:p>
        </w:tc>
        <w:tc>
          <w:tcPr>
            <w:tcW w:w="1236" w:type="dxa"/>
            <w:noWrap w:val="0"/>
            <w:vAlign w:val="center"/>
          </w:tcPr>
          <w:p>
            <w:pPr>
              <w:adjustRightInd w:val="0"/>
              <w:snapToGrid w:val="0"/>
              <w:spacing w:line="360" w:lineRule="exact"/>
              <w:rPr>
                <w:rFonts w:hint="eastAsia" w:ascii="宋体" w:hAnsi="宋体" w:eastAsia="宋体" w:cs="宋体"/>
                <w:color w:val="auto"/>
                <w:kern w:val="2"/>
                <w:sz w:val="21"/>
                <w:szCs w:val="21"/>
                <w:highlight w:val="none"/>
                <w:lang w:val="en-US" w:eastAsia="zh-CN" w:bidi="ar-SA"/>
              </w:rPr>
            </w:pPr>
            <w:r>
              <w:rPr>
                <w:rFonts w:hint="eastAsia"/>
              </w:rPr>
              <w:t>直缝双面埋弧焊钢管</w:t>
            </w:r>
          </w:p>
        </w:tc>
        <w:tc>
          <w:tcPr>
            <w:tcW w:w="1236" w:type="dxa"/>
            <w:noWrap w:val="0"/>
            <w:vAlign w:val="center"/>
          </w:tcPr>
          <w:p>
            <w:pPr>
              <w:adjustRightInd w:val="0"/>
              <w:snapToGrid w:val="0"/>
              <w:spacing w:line="360" w:lineRule="exact"/>
              <w:jc w:val="center"/>
              <w:rPr>
                <w:rFonts w:hint="eastAsia" w:ascii="宋体" w:hAnsi="宋体" w:cs="宋体"/>
                <w:color w:val="auto"/>
                <w:kern w:val="2"/>
                <w:sz w:val="21"/>
                <w:szCs w:val="21"/>
                <w:highlight w:val="none"/>
                <w:lang w:val="en-US" w:eastAsia="zh-CN" w:bidi="ar-SA"/>
              </w:rPr>
            </w:pPr>
            <w:r>
              <w:rPr>
                <w:rFonts w:hint="eastAsia" w:ascii="宋体" w:hAnsi="宋体" w:cs="Arial"/>
                <w:sz w:val="18"/>
                <w:szCs w:val="18"/>
              </w:rPr>
              <w:t>D508X14.2</w:t>
            </w:r>
          </w:p>
        </w:tc>
        <w:tc>
          <w:tcPr>
            <w:tcW w:w="1914" w:type="dxa"/>
            <w:noWrap w:val="0"/>
            <w:vAlign w:val="center"/>
          </w:tcPr>
          <w:p>
            <w:pPr>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cs="Arial"/>
                <w:sz w:val="18"/>
                <w:szCs w:val="18"/>
              </w:rPr>
              <w:t>L485M（X70）</w:t>
            </w:r>
          </w:p>
        </w:tc>
        <w:tc>
          <w:tcPr>
            <w:tcW w:w="830" w:type="dxa"/>
            <w:noWrap w:val="0"/>
            <w:vAlign w:val="center"/>
          </w:tcPr>
          <w:p>
            <w:pPr>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cs="Arial"/>
                <w:sz w:val="18"/>
                <w:szCs w:val="18"/>
              </w:rPr>
              <w:t>米</w:t>
            </w:r>
          </w:p>
        </w:tc>
        <w:tc>
          <w:tcPr>
            <w:tcW w:w="1102" w:type="dxa"/>
            <w:noWrap w:val="0"/>
            <w:vAlign w:val="center"/>
          </w:tcPr>
          <w:p>
            <w:pPr>
              <w:adjustRightInd w:val="0"/>
              <w:snapToGrid w:val="0"/>
              <w:spacing w:line="360" w:lineRule="exact"/>
              <w:jc w:val="center"/>
              <w:rPr>
                <w:rFonts w:hint="default" w:ascii="宋体" w:hAnsi="宋体" w:eastAsia="宋体" w:cs="宋体"/>
                <w:color w:val="auto"/>
                <w:sz w:val="21"/>
                <w:szCs w:val="21"/>
                <w:highlight w:val="none"/>
                <w:lang w:val="en-US" w:eastAsia="zh-CN"/>
              </w:rPr>
            </w:pPr>
            <w:r>
              <w:rPr>
                <w:rFonts w:hint="eastAsia" w:ascii="宋体" w:hAnsi="宋体" w:cs="Arial"/>
                <w:sz w:val="18"/>
                <w:szCs w:val="18"/>
                <w:lang w:val="en-US" w:eastAsia="zh-CN"/>
              </w:rPr>
              <w:t>1904</w:t>
            </w:r>
          </w:p>
        </w:tc>
        <w:tc>
          <w:tcPr>
            <w:tcW w:w="1372" w:type="dxa"/>
            <w:noWrap w:val="0"/>
            <w:vAlign w:val="center"/>
          </w:tcPr>
          <w:p>
            <w:pPr>
              <w:adjustRightInd w:val="0"/>
              <w:snapToGrid w:val="0"/>
              <w:spacing w:line="360" w:lineRule="exact"/>
              <w:rPr>
                <w:rFonts w:hint="default" w:ascii="宋体" w:hAnsi="宋体" w:eastAsia="宋体" w:cs="宋体"/>
                <w:color w:val="auto"/>
                <w:kern w:val="2"/>
                <w:sz w:val="21"/>
                <w:szCs w:val="21"/>
                <w:highlight w:val="none"/>
                <w:lang w:val="en-US" w:eastAsia="zh-CN" w:bidi="ar-SA"/>
              </w:rPr>
            </w:pPr>
            <w:r>
              <w:rPr>
                <w:rFonts w:hint="eastAsia" w:ascii="宋体" w:hAnsi="宋体" w:cs="宋体"/>
                <w:sz w:val="18"/>
                <w:szCs w:val="18"/>
              </w:rPr>
              <w:t>三PE加强级防腐</w:t>
            </w:r>
            <w:r>
              <w:rPr>
                <w:rFonts w:hint="eastAsia" w:ascii="宋体" w:hAnsi="宋体" w:cs="宋体"/>
                <w:sz w:val="18"/>
                <w:szCs w:val="18"/>
                <w:lang w:eastAsia="zh-CN"/>
              </w:rPr>
              <w:t>，</w:t>
            </w:r>
            <w:r>
              <w:rPr>
                <w:rFonts w:hint="eastAsia" w:ascii="宋体" w:hAnsi="宋体" w:cs="宋体"/>
                <w:sz w:val="18"/>
                <w:szCs w:val="18"/>
                <w:lang w:val="en-US" w:eastAsia="zh-CN"/>
              </w:rPr>
              <w:t>埋地敷设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827" w:type="dxa"/>
            <w:noWrap w:val="0"/>
            <w:vAlign w:val="center"/>
          </w:tcPr>
          <w:p>
            <w:pPr>
              <w:pStyle w:val="145"/>
              <w:adjustRightInd w:val="0"/>
              <w:snapToGrid w:val="0"/>
              <w:spacing w:line="360" w:lineRule="exact"/>
              <w:ind w:left="0" w:leftChars="0" w:right="2" w:rightChars="1"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w:t>
            </w:r>
          </w:p>
        </w:tc>
        <w:tc>
          <w:tcPr>
            <w:tcW w:w="1236" w:type="dxa"/>
            <w:noWrap w:val="0"/>
            <w:vAlign w:val="center"/>
          </w:tcPr>
          <w:p>
            <w:pPr>
              <w:adjustRightInd w:val="0"/>
              <w:snapToGrid w:val="0"/>
              <w:spacing w:line="360" w:lineRule="exact"/>
              <w:rPr>
                <w:rFonts w:hint="eastAsia" w:ascii="宋体" w:hAnsi="宋体" w:eastAsia="宋体" w:cs="Arial"/>
                <w:kern w:val="2"/>
                <w:sz w:val="18"/>
                <w:szCs w:val="18"/>
                <w:lang w:val="en-US" w:eastAsia="zh-CN" w:bidi="ar-SA"/>
              </w:rPr>
            </w:pPr>
            <w:r>
              <w:rPr>
                <w:rFonts w:hint="eastAsia"/>
              </w:rPr>
              <w:t>直缝双面埋弧焊钢管</w:t>
            </w:r>
          </w:p>
        </w:tc>
        <w:tc>
          <w:tcPr>
            <w:tcW w:w="1236" w:type="dxa"/>
            <w:noWrap w:val="0"/>
            <w:vAlign w:val="center"/>
          </w:tcPr>
          <w:p>
            <w:pPr>
              <w:adjustRightInd w:val="0"/>
              <w:snapToGrid w:val="0"/>
              <w:spacing w:line="360" w:lineRule="exact"/>
              <w:jc w:val="center"/>
              <w:rPr>
                <w:rFonts w:hint="eastAsia" w:ascii="宋体" w:hAnsi="宋体" w:eastAsia="宋体" w:cs="Arial"/>
                <w:kern w:val="2"/>
                <w:sz w:val="18"/>
                <w:szCs w:val="18"/>
                <w:lang w:val="en-US" w:eastAsia="zh-CN" w:bidi="ar-SA"/>
              </w:rPr>
            </w:pPr>
            <w:r>
              <w:rPr>
                <w:rFonts w:hint="eastAsia" w:ascii="宋体" w:hAnsi="宋体" w:cs="Arial"/>
                <w:sz w:val="18"/>
                <w:szCs w:val="18"/>
              </w:rPr>
              <w:t>D508X14.2</w:t>
            </w:r>
          </w:p>
        </w:tc>
        <w:tc>
          <w:tcPr>
            <w:tcW w:w="1914" w:type="dxa"/>
            <w:noWrap w:val="0"/>
            <w:vAlign w:val="center"/>
          </w:tcPr>
          <w:p>
            <w:pPr>
              <w:adjustRightInd w:val="0"/>
              <w:snapToGrid w:val="0"/>
              <w:spacing w:line="360" w:lineRule="exact"/>
              <w:jc w:val="center"/>
              <w:rPr>
                <w:rFonts w:hint="eastAsia" w:ascii="宋体" w:hAnsi="宋体" w:eastAsia="宋体" w:cs="Arial"/>
                <w:kern w:val="2"/>
                <w:sz w:val="18"/>
                <w:szCs w:val="18"/>
                <w:lang w:val="en-US" w:eastAsia="zh-CN" w:bidi="ar-SA"/>
              </w:rPr>
            </w:pPr>
            <w:r>
              <w:rPr>
                <w:rFonts w:hint="eastAsia" w:ascii="宋体" w:hAnsi="宋体" w:cs="Arial"/>
                <w:sz w:val="18"/>
                <w:szCs w:val="18"/>
              </w:rPr>
              <w:t>L485M（X70）</w:t>
            </w:r>
          </w:p>
        </w:tc>
        <w:tc>
          <w:tcPr>
            <w:tcW w:w="830" w:type="dxa"/>
            <w:noWrap w:val="0"/>
            <w:vAlign w:val="center"/>
          </w:tcPr>
          <w:p>
            <w:pPr>
              <w:adjustRightInd w:val="0"/>
              <w:snapToGrid w:val="0"/>
              <w:spacing w:line="360" w:lineRule="exact"/>
              <w:jc w:val="center"/>
              <w:rPr>
                <w:rFonts w:hint="eastAsia" w:ascii="宋体" w:hAnsi="宋体" w:eastAsia="宋体" w:cs="Arial"/>
                <w:kern w:val="2"/>
                <w:sz w:val="18"/>
                <w:szCs w:val="18"/>
                <w:lang w:val="en-US" w:eastAsia="zh-CN" w:bidi="ar-SA"/>
              </w:rPr>
            </w:pPr>
            <w:r>
              <w:rPr>
                <w:rFonts w:hint="eastAsia" w:ascii="宋体" w:hAnsi="宋体" w:cs="Arial"/>
                <w:sz w:val="18"/>
                <w:szCs w:val="18"/>
              </w:rPr>
              <w:t>米</w:t>
            </w:r>
          </w:p>
        </w:tc>
        <w:tc>
          <w:tcPr>
            <w:tcW w:w="1102" w:type="dxa"/>
            <w:noWrap w:val="0"/>
            <w:vAlign w:val="center"/>
          </w:tcPr>
          <w:p>
            <w:pPr>
              <w:adjustRightInd w:val="0"/>
              <w:snapToGrid w:val="0"/>
              <w:spacing w:line="360" w:lineRule="exact"/>
              <w:jc w:val="center"/>
              <w:rPr>
                <w:rFonts w:hint="default" w:ascii="宋体" w:hAnsi="宋体" w:eastAsia="宋体" w:cs="Arial"/>
                <w:kern w:val="2"/>
                <w:sz w:val="18"/>
                <w:szCs w:val="18"/>
                <w:lang w:val="en-US" w:eastAsia="zh-CN" w:bidi="ar-SA"/>
              </w:rPr>
            </w:pPr>
            <w:r>
              <w:rPr>
                <w:rFonts w:hint="eastAsia" w:ascii="宋体" w:hAnsi="宋体" w:cs="Arial"/>
                <w:sz w:val="18"/>
                <w:szCs w:val="18"/>
                <w:lang w:val="en-US" w:eastAsia="zh-CN"/>
              </w:rPr>
              <w:t>240</w:t>
            </w:r>
          </w:p>
        </w:tc>
        <w:tc>
          <w:tcPr>
            <w:tcW w:w="1372" w:type="dxa"/>
            <w:noWrap w:val="0"/>
            <w:vAlign w:val="center"/>
          </w:tcPr>
          <w:p>
            <w:pPr>
              <w:adjustRightInd w:val="0"/>
              <w:snapToGrid w:val="0"/>
              <w:spacing w:line="360" w:lineRule="exact"/>
              <w:rPr>
                <w:rFonts w:hint="default" w:ascii="宋体" w:hAnsi="宋体" w:eastAsia="宋体" w:cs="宋体"/>
                <w:sz w:val="18"/>
                <w:szCs w:val="18"/>
                <w:lang w:val="en-US" w:eastAsia="zh-CN"/>
              </w:rPr>
            </w:pPr>
            <w:r>
              <w:rPr>
                <w:rFonts w:hint="eastAsia" w:ascii="宋体" w:hAnsi="宋体" w:cs="宋体"/>
                <w:sz w:val="18"/>
                <w:szCs w:val="18"/>
                <w:lang w:val="en-US" w:eastAsia="zh-CN"/>
              </w:rPr>
              <w:t>光管，电厂内架空敷设</w:t>
            </w:r>
          </w:p>
        </w:tc>
      </w:tr>
    </w:tbl>
    <w:p/>
    <w:p>
      <w:r>
        <w:br w:type="page"/>
      </w:r>
    </w:p>
    <w:p>
      <w:pPr>
        <w:pStyle w:val="6"/>
      </w:pPr>
    </w:p>
    <w:p>
      <w:pPr>
        <w:pStyle w:val="9"/>
        <w:ind w:firstLine="0"/>
        <w:jc w:val="center"/>
        <w:outlineLvl w:val="0"/>
        <w:rPr>
          <w:rFonts w:ascii="宋体" w:hAnsi="宋体" w:cs="宋体"/>
          <w:b/>
          <w:color w:val="auto"/>
          <w:sz w:val="44"/>
          <w:szCs w:val="44"/>
          <w:highlight w:val="none"/>
        </w:rPr>
      </w:pPr>
      <w:bookmarkStart w:id="2023" w:name="_Toc436758588"/>
      <w:bookmarkStart w:id="2024" w:name="_Toc15442"/>
      <w:bookmarkStart w:id="2025" w:name="_Toc41657342"/>
      <w:bookmarkStart w:id="2026" w:name="_Toc14922"/>
      <w:bookmarkStart w:id="2027" w:name="_Toc452366097"/>
      <w:bookmarkStart w:id="2028" w:name="_Toc46932833"/>
      <w:bookmarkStart w:id="2029" w:name="_Toc45831188"/>
      <w:bookmarkStart w:id="2030" w:name="_Toc30280_WPSOffice_Level2"/>
      <w:r>
        <w:rPr>
          <w:rFonts w:hint="eastAsia" w:ascii="宋体" w:hAnsi="宋体" w:cs="宋体"/>
          <w:b/>
          <w:color w:val="auto"/>
          <w:sz w:val="44"/>
          <w:szCs w:val="44"/>
          <w:highlight w:val="none"/>
          <w:u w:val="none"/>
          <w:lang w:eastAsia="zh-CN"/>
        </w:rPr>
        <w:t>白云恒运天然气发电项目燃气管线工程</w:t>
      </w:r>
      <w:r>
        <w:rPr>
          <w:rFonts w:hint="eastAsia" w:ascii="宋体" w:hAnsi="宋体" w:cs="宋体"/>
          <w:b/>
          <w:color w:val="auto"/>
          <w:sz w:val="44"/>
          <w:szCs w:val="44"/>
          <w:highlight w:val="none"/>
          <w:lang w:val="en-US" w:eastAsia="zh-CN"/>
        </w:rPr>
        <w:t>其他部分</w:t>
      </w:r>
      <w:r>
        <w:rPr>
          <w:rFonts w:hint="eastAsia" w:ascii="宋体" w:hAnsi="宋体" w:cs="宋体"/>
          <w:b/>
          <w:color w:val="auto"/>
          <w:sz w:val="44"/>
          <w:szCs w:val="44"/>
          <w:highlight w:val="none"/>
        </w:rPr>
        <w:t>服务委托合同</w:t>
      </w:r>
      <w:bookmarkEnd w:id="2023"/>
      <w:bookmarkEnd w:id="2024"/>
      <w:bookmarkEnd w:id="2025"/>
    </w:p>
    <w:p>
      <w:pPr>
        <w:jc w:val="center"/>
        <w:outlineLvl w:val="9"/>
        <w:rPr>
          <w:rFonts w:ascii="黑体" w:eastAsia="黑体"/>
          <w:b/>
          <w:bCs/>
          <w:color w:val="auto"/>
          <w:sz w:val="36"/>
          <w:szCs w:val="36"/>
          <w:highlight w:val="none"/>
        </w:rPr>
      </w:pPr>
    </w:p>
    <w:p>
      <w:pPr>
        <w:rPr>
          <w:rFonts w:ascii="黑体" w:eastAsia="黑体"/>
          <w:b/>
          <w:bCs/>
          <w:color w:val="auto"/>
          <w:sz w:val="32"/>
          <w:highlight w:val="none"/>
          <w:u w:val="single"/>
        </w:rPr>
      </w:pPr>
    </w:p>
    <w:p>
      <w:pPr>
        <w:ind w:left="420" w:leftChars="200"/>
        <w:rPr>
          <w:rFonts w:ascii="黑体" w:eastAsia="黑体"/>
          <w:b/>
          <w:bCs/>
          <w:color w:val="auto"/>
          <w:sz w:val="32"/>
          <w:highlight w:val="none"/>
          <w:u w:val="single"/>
        </w:rPr>
      </w:pPr>
    </w:p>
    <w:p>
      <w:pPr>
        <w:pStyle w:val="2"/>
        <w:ind w:firstLine="643"/>
        <w:rPr>
          <w:rFonts w:ascii="黑体" w:eastAsia="黑体"/>
          <w:b/>
          <w:bCs/>
          <w:color w:val="auto"/>
          <w:sz w:val="32"/>
          <w:highlight w:val="none"/>
          <w:u w:val="single"/>
        </w:rPr>
      </w:pPr>
    </w:p>
    <w:p>
      <w:pPr>
        <w:pStyle w:val="2"/>
        <w:ind w:firstLine="643"/>
        <w:rPr>
          <w:rFonts w:ascii="黑体" w:eastAsia="黑体"/>
          <w:b/>
          <w:bCs/>
          <w:color w:val="auto"/>
          <w:sz w:val="32"/>
          <w:highlight w:val="none"/>
          <w:u w:val="single"/>
        </w:rPr>
      </w:pPr>
    </w:p>
    <w:p>
      <w:pPr>
        <w:pStyle w:val="9"/>
        <w:ind w:left="2104" w:leftChars="305" w:hanging="1464" w:hangingChars="486"/>
        <w:rPr>
          <w:rFonts w:ascii="宋体" w:hAnsi="宋体" w:cs="宋体"/>
          <w:b/>
          <w:color w:val="auto"/>
          <w:sz w:val="30"/>
          <w:szCs w:val="30"/>
          <w:highlight w:val="none"/>
          <w:u w:val="thick"/>
        </w:rPr>
      </w:pPr>
      <w:r>
        <w:rPr>
          <w:rFonts w:hint="eastAsia" w:ascii="宋体" w:hAnsi="宋体" w:cs="宋体"/>
          <w:b/>
          <w:color w:val="auto"/>
          <w:sz w:val="30"/>
          <w:szCs w:val="30"/>
          <w:highlight w:val="none"/>
        </w:rPr>
        <w:t>项目名称：</w:t>
      </w:r>
      <w:r>
        <w:rPr>
          <w:rFonts w:hint="eastAsia" w:ascii="宋体" w:hAnsi="宋体" w:cs="宋体"/>
          <w:b/>
          <w:color w:val="auto"/>
          <w:sz w:val="30"/>
          <w:szCs w:val="30"/>
          <w:highlight w:val="none"/>
          <w:u w:val="single"/>
          <w:lang w:eastAsia="zh-CN"/>
        </w:rPr>
        <w:t>白云恒运天然气发电项目燃气管线工程</w:t>
      </w:r>
      <w:r>
        <w:rPr>
          <w:rFonts w:hint="eastAsia" w:ascii="宋体" w:hAnsi="宋体" w:cs="宋体"/>
          <w:b/>
          <w:color w:val="auto"/>
          <w:sz w:val="30"/>
          <w:szCs w:val="30"/>
          <w:highlight w:val="none"/>
          <w:u w:val="thick"/>
        </w:rPr>
        <w:t xml:space="preserve">  </w:t>
      </w:r>
    </w:p>
    <w:p>
      <w:pPr>
        <w:pStyle w:val="9"/>
        <w:ind w:left="2104" w:leftChars="305" w:hanging="1464" w:hangingChars="486"/>
        <w:rPr>
          <w:rFonts w:ascii="宋体" w:hAnsi="宋体" w:cs="宋体"/>
          <w:b/>
          <w:color w:val="auto"/>
          <w:sz w:val="30"/>
          <w:szCs w:val="30"/>
          <w:highlight w:val="none"/>
          <w:u w:val="single"/>
        </w:rPr>
      </w:pPr>
    </w:p>
    <w:p>
      <w:pPr>
        <w:pStyle w:val="9"/>
        <w:ind w:left="2104" w:leftChars="305" w:hanging="1464" w:hangingChars="486"/>
        <w:rPr>
          <w:rFonts w:ascii="宋体" w:hAnsi="宋体" w:cs="宋体"/>
          <w:b/>
          <w:color w:val="auto"/>
          <w:sz w:val="30"/>
          <w:szCs w:val="30"/>
          <w:highlight w:val="none"/>
          <w:u w:val="single"/>
        </w:rPr>
      </w:pPr>
      <w:r>
        <w:rPr>
          <w:rFonts w:hint="eastAsia" w:ascii="宋体" w:hAnsi="宋体" w:cs="宋体"/>
          <w:b/>
          <w:color w:val="auto"/>
          <w:sz w:val="30"/>
          <w:szCs w:val="30"/>
          <w:highlight w:val="none"/>
        </w:rPr>
        <w:t>项目地点：</w:t>
      </w:r>
      <w:r>
        <w:rPr>
          <w:rFonts w:hint="eastAsia" w:ascii="宋体" w:hAnsi="宋体" w:cs="宋体"/>
          <w:b/>
          <w:color w:val="auto"/>
          <w:sz w:val="30"/>
          <w:szCs w:val="30"/>
          <w:highlight w:val="none"/>
          <w:u w:val="single"/>
        </w:rPr>
        <w:t>广州市</w:t>
      </w:r>
      <w:r>
        <w:rPr>
          <w:rFonts w:hint="eastAsia" w:ascii="宋体" w:hAnsi="宋体" w:cs="宋体"/>
          <w:b/>
          <w:color w:val="auto"/>
          <w:sz w:val="30"/>
          <w:szCs w:val="30"/>
          <w:highlight w:val="none"/>
          <w:u w:val="single"/>
          <w:lang w:eastAsia="zh-CN"/>
        </w:rPr>
        <w:t>白云区</w:t>
      </w:r>
      <w:r>
        <w:rPr>
          <w:rFonts w:hint="eastAsia" w:ascii="宋体" w:hAnsi="宋体" w:cs="宋体"/>
          <w:b/>
          <w:color w:val="auto"/>
          <w:sz w:val="30"/>
          <w:szCs w:val="30"/>
          <w:highlight w:val="none"/>
          <w:u w:val="single"/>
        </w:rPr>
        <w:t xml:space="preserve">                           </w:t>
      </w:r>
    </w:p>
    <w:p>
      <w:pPr>
        <w:pStyle w:val="9"/>
        <w:ind w:left="2104" w:leftChars="305" w:hanging="1464" w:hangingChars="486"/>
        <w:rPr>
          <w:rFonts w:ascii="宋体" w:hAnsi="宋体" w:cs="宋体"/>
          <w:b/>
          <w:color w:val="auto"/>
          <w:sz w:val="30"/>
          <w:szCs w:val="30"/>
          <w:highlight w:val="none"/>
          <w:u w:val="single"/>
        </w:rPr>
      </w:pPr>
    </w:p>
    <w:p>
      <w:pPr>
        <w:pStyle w:val="9"/>
        <w:ind w:left="2104" w:leftChars="305" w:hanging="1464" w:hangingChars="486"/>
        <w:rPr>
          <w:rFonts w:ascii="宋体" w:hAnsi="宋体" w:cs="宋体"/>
          <w:b/>
          <w:color w:val="auto"/>
          <w:sz w:val="30"/>
          <w:szCs w:val="30"/>
          <w:highlight w:val="none"/>
        </w:rPr>
      </w:pPr>
      <w:r>
        <w:rPr>
          <w:rFonts w:hint="eastAsia" w:ascii="宋体" w:hAnsi="宋体" w:cs="宋体"/>
          <w:b/>
          <w:color w:val="auto"/>
          <w:sz w:val="30"/>
          <w:szCs w:val="30"/>
          <w:highlight w:val="none"/>
        </w:rPr>
        <w:t>合同编号：</w:t>
      </w:r>
    </w:p>
    <w:p>
      <w:pPr>
        <w:pStyle w:val="9"/>
        <w:ind w:left="2104" w:leftChars="305" w:hanging="1464" w:hangingChars="486"/>
        <w:jc w:val="center"/>
        <w:rPr>
          <w:rFonts w:ascii="宋体" w:hAnsi="宋体" w:cs="宋体"/>
          <w:b/>
          <w:color w:val="auto"/>
          <w:sz w:val="30"/>
          <w:szCs w:val="30"/>
          <w:highlight w:val="none"/>
          <w:u w:val="single"/>
        </w:rPr>
      </w:pPr>
    </w:p>
    <w:p>
      <w:pPr>
        <w:pStyle w:val="9"/>
        <w:ind w:left="2104" w:leftChars="305" w:hanging="1464" w:hangingChars="486"/>
        <w:rPr>
          <w:rFonts w:ascii="宋体" w:hAnsi="宋体" w:cs="宋体"/>
          <w:b/>
          <w:color w:val="auto"/>
          <w:sz w:val="30"/>
          <w:szCs w:val="30"/>
          <w:highlight w:val="none"/>
          <w:u w:val="single"/>
        </w:rPr>
      </w:pPr>
      <w:r>
        <w:rPr>
          <w:rFonts w:hint="eastAsia" w:ascii="宋体" w:hAnsi="宋体" w:cs="宋体"/>
          <w:b/>
          <w:color w:val="auto"/>
          <w:sz w:val="30"/>
          <w:szCs w:val="30"/>
          <w:highlight w:val="none"/>
        </w:rPr>
        <w:t>甲   方：</w:t>
      </w:r>
      <w:r>
        <w:rPr>
          <w:rFonts w:hint="eastAsia" w:ascii="宋体" w:hAnsi="宋体" w:cs="宋体"/>
          <w:b/>
          <w:color w:val="auto"/>
          <w:sz w:val="30"/>
          <w:szCs w:val="30"/>
          <w:highlight w:val="none"/>
          <w:u w:val="single"/>
        </w:rPr>
        <w:t xml:space="preserve">广州燃气集团有限公司                 </w:t>
      </w:r>
    </w:p>
    <w:p>
      <w:pPr>
        <w:pStyle w:val="9"/>
        <w:ind w:left="2104" w:leftChars="305" w:hanging="1464" w:hangingChars="486"/>
        <w:rPr>
          <w:rFonts w:ascii="宋体" w:hAnsi="宋体" w:cs="宋体"/>
          <w:b/>
          <w:color w:val="auto"/>
          <w:sz w:val="30"/>
          <w:szCs w:val="30"/>
          <w:highlight w:val="none"/>
          <w:u w:val="single"/>
        </w:rPr>
      </w:pPr>
    </w:p>
    <w:p>
      <w:pPr>
        <w:pStyle w:val="9"/>
        <w:ind w:left="2104" w:leftChars="305" w:hanging="1464" w:hangingChars="486"/>
        <w:rPr>
          <w:rFonts w:ascii="宋体" w:hAnsi="宋体" w:cs="宋体"/>
          <w:b/>
          <w:color w:val="auto"/>
          <w:sz w:val="30"/>
          <w:szCs w:val="30"/>
          <w:highlight w:val="none"/>
          <w:u w:val="single"/>
        </w:rPr>
      </w:pPr>
      <w:r>
        <w:rPr>
          <w:rFonts w:hint="eastAsia" w:ascii="宋体" w:hAnsi="宋体" w:cs="宋体"/>
          <w:b/>
          <w:color w:val="auto"/>
          <w:sz w:val="30"/>
          <w:szCs w:val="30"/>
          <w:highlight w:val="none"/>
        </w:rPr>
        <w:t>乙  方：</w:t>
      </w:r>
      <w:r>
        <w:rPr>
          <w:rFonts w:hint="eastAsia" w:ascii="宋体" w:hAnsi="宋体" w:cs="宋体"/>
          <w:b/>
          <w:color w:val="auto"/>
          <w:sz w:val="30"/>
          <w:szCs w:val="30"/>
          <w:highlight w:val="none"/>
          <w:u w:val="single"/>
        </w:rPr>
        <w:t xml:space="preserve">                                            </w:t>
      </w:r>
    </w:p>
    <w:p>
      <w:pPr>
        <w:pStyle w:val="142"/>
        <w:rPr>
          <w:rFonts w:ascii="黑体" w:eastAsia="黑体"/>
          <w:b/>
          <w:bCs/>
          <w:color w:val="auto"/>
          <w:sz w:val="30"/>
          <w:szCs w:val="30"/>
          <w:highlight w:val="none"/>
        </w:rPr>
      </w:pPr>
    </w:p>
    <w:p>
      <w:pPr>
        <w:pStyle w:val="142"/>
        <w:rPr>
          <w:rFonts w:ascii="黑体" w:eastAsia="黑体"/>
          <w:b/>
          <w:bCs/>
          <w:color w:val="auto"/>
          <w:sz w:val="30"/>
          <w:szCs w:val="30"/>
          <w:highlight w:val="none"/>
        </w:rPr>
      </w:pPr>
    </w:p>
    <w:p>
      <w:pPr>
        <w:pStyle w:val="142"/>
        <w:rPr>
          <w:rFonts w:ascii="黑体" w:eastAsia="黑体"/>
          <w:b/>
          <w:bCs/>
          <w:color w:val="auto"/>
          <w:sz w:val="30"/>
          <w:szCs w:val="30"/>
          <w:highlight w:val="none"/>
        </w:rPr>
      </w:pPr>
    </w:p>
    <w:p>
      <w:pPr>
        <w:tabs>
          <w:tab w:val="right" w:pos="8306"/>
        </w:tabs>
        <w:ind w:firstLine="840" w:firstLineChars="279"/>
        <w:jc w:val="center"/>
        <w:rPr>
          <w:rFonts w:ascii="黑体" w:eastAsia="黑体"/>
          <w:b/>
          <w:bCs/>
          <w:color w:val="auto"/>
          <w:sz w:val="30"/>
          <w:szCs w:val="30"/>
          <w:highlight w:val="none"/>
        </w:rPr>
      </w:pPr>
    </w:p>
    <w:p>
      <w:pPr>
        <w:ind w:left="2095" w:leftChars="589" w:hanging="858" w:hangingChars="285"/>
        <w:rPr>
          <w:rFonts w:ascii="黑体" w:eastAsia="黑体"/>
          <w:b/>
          <w:bCs/>
          <w:color w:val="auto"/>
          <w:sz w:val="30"/>
          <w:szCs w:val="30"/>
          <w:highlight w:val="none"/>
        </w:rPr>
      </w:pPr>
      <w:bookmarkStart w:id="2031" w:name="_Toc1566_WPSOffice_Level1"/>
      <w:bookmarkStart w:id="2032" w:name="_Toc10470_WPSOffice_Level1"/>
      <w:r>
        <w:rPr>
          <w:rFonts w:hint="eastAsia" w:ascii="宋体" w:hAnsi="宋体" w:eastAsia="宋体" w:cs="宋体"/>
          <w:b/>
          <w:color w:val="auto"/>
          <w:sz w:val="30"/>
          <w:szCs w:val="30"/>
          <w:highlight w:val="none"/>
        </w:rPr>
        <w:t>签订日期：       年     月     日</w:t>
      </w:r>
      <w:bookmarkEnd w:id="2031"/>
      <w:bookmarkEnd w:id="2032"/>
    </w:p>
    <w:p>
      <w:pPr>
        <w:spacing w:line="360" w:lineRule="auto"/>
        <w:ind w:firstLine="0" w:firstLineChars="0"/>
        <w:rPr>
          <w:rFonts w:ascii="宋体" w:hAnsi="宋体" w:cs="宋体"/>
          <w:color w:val="auto"/>
          <w:sz w:val="24"/>
          <w:highlight w:val="none"/>
        </w:rPr>
      </w:pPr>
      <w:r>
        <w:rPr>
          <w:rFonts w:hint="eastAsia" w:ascii="宋体" w:hAnsi="宋体" w:cs="宋体"/>
          <w:color w:val="auto"/>
          <w:sz w:val="24"/>
          <w:highlight w:val="none"/>
        </w:rPr>
        <w:t>甲方：广州燃气集团有限公司</w:t>
      </w:r>
    </w:p>
    <w:p>
      <w:pPr>
        <w:spacing w:line="360" w:lineRule="auto"/>
        <w:ind w:firstLine="0" w:firstLineChars="0"/>
        <w:rPr>
          <w:rFonts w:ascii="宋体" w:hAnsi="宋体" w:cs="宋体"/>
          <w:color w:val="auto"/>
          <w:sz w:val="24"/>
          <w:highlight w:val="none"/>
        </w:rPr>
      </w:pPr>
      <w:r>
        <w:rPr>
          <w:rFonts w:hint="eastAsia" w:ascii="宋体" w:hAnsi="宋体" w:cs="宋体"/>
          <w:color w:val="auto"/>
          <w:sz w:val="24"/>
          <w:highlight w:val="none"/>
        </w:rPr>
        <w:t>乙方：</w:t>
      </w:r>
    </w:p>
    <w:p>
      <w:pPr>
        <w:spacing w:line="360" w:lineRule="auto"/>
        <w:ind w:firstLine="0" w:firstLineChars="0"/>
        <w:rPr>
          <w:rFonts w:ascii="宋体" w:hAnsi="宋体" w:cs="宋体"/>
          <w:color w:val="auto"/>
          <w:sz w:val="24"/>
          <w:highlight w:val="none"/>
        </w:rPr>
      </w:pPr>
      <w:r>
        <w:rPr>
          <w:rFonts w:hint="eastAsia" w:ascii="宋体" w:hAnsi="宋体" w:cs="宋体"/>
          <w:color w:val="auto"/>
          <w:sz w:val="24"/>
          <w:highlight w:val="none"/>
        </w:rPr>
        <w:t>签订地点：广州市</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因</w:t>
      </w:r>
      <w:r>
        <w:rPr>
          <w:rFonts w:hint="eastAsia" w:ascii="宋体" w:hAnsi="宋体" w:cs="宋体"/>
          <w:color w:val="auto"/>
          <w:sz w:val="24"/>
          <w:highlight w:val="none"/>
          <w:lang w:eastAsia="zh-CN"/>
        </w:rPr>
        <w:t>白云恒运天然气发电项目燃气管线工程</w:t>
      </w:r>
      <w:r>
        <w:rPr>
          <w:rFonts w:hint="eastAsia" w:ascii="宋体" w:hAnsi="宋体" w:cs="宋体"/>
          <w:color w:val="auto"/>
          <w:sz w:val="24"/>
          <w:highlight w:val="none"/>
        </w:rPr>
        <w:t>（以下简称“本工程”）建设的需要，甲方委托乙方负责完成本工程</w:t>
      </w:r>
      <w:r>
        <w:rPr>
          <w:rFonts w:hint="eastAsia" w:ascii="宋体" w:hAnsi="宋体" w:cs="宋体"/>
          <w:color w:val="auto"/>
          <w:sz w:val="24"/>
          <w:highlight w:val="none"/>
          <w:u w:val="none"/>
        </w:rPr>
        <w:t>所涉及地上地下管线拆迁、</w:t>
      </w:r>
      <w:r>
        <w:rPr>
          <w:rFonts w:hint="eastAsia" w:ascii="宋体" w:hAnsi="宋体" w:cs="宋体"/>
          <w:color w:val="auto"/>
          <w:sz w:val="24"/>
          <w:highlight w:val="none"/>
          <w:u w:val="none"/>
          <w:lang w:val="en-US" w:eastAsia="zh-CN"/>
        </w:rPr>
        <w:t>修复及</w:t>
      </w:r>
      <w:r>
        <w:rPr>
          <w:rFonts w:hint="eastAsia" w:ascii="宋体" w:hAnsi="宋体" w:cs="宋体"/>
          <w:color w:val="auto"/>
          <w:sz w:val="24"/>
          <w:highlight w:val="none"/>
          <w:u w:val="none"/>
        </w:rPr>
        <w:t>补偿</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交通疏导</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lang w:val="en-US" w:eastAsia="zh-CN"/>
        </w:rPr>
        <w:t>路灯迁移、恢复，</w:t>
      </w:r>
      <w:r>
        <w:rPr>
          <w:rFonts w:hint="eastAsia" w:ascii="宋体" w:hAnsi="宋体" w:cs="宋体"/>
          <w:color w:val="auto"/>
          <w:sz w:val="24"/>
          <w:highlight w:val="none"/>
          <w:u w:val="none"/>
        </w:rPr>
        <w:t>树木迁移保护</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lang w:val="en-US" w:eastAsia="zh-CN"/>
        </w:rPr>
        <w:t>回迁养护等</w:t>
      </w:r>
      <w:r>
        <w:rPr>
          <w:rFonts w:hint="eastAsia" w:ascii="宋体" w:hAnsi="宋体" w:cs="宋体"/>
          <w:color w:val="auto"/>
          <w:sz w:val="24"/>
          <w:highlight w:val="none"/>
          <w:u w:val="none"/>
        </w:rPr>
        <w:t>工作，并根据政府相关规定要求做好施工手续等相关政策处理工作</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lang w:val="en-US" w:eastAsia="zh-CN"/>
        </w:rPr>
        <w:t>含过河涌、公路、市政道路、地铁、电力管廊等有关安全评估、专家评审、产权占用等相关的赔偿/补偿和咨询服务费用</w:t>
      </w:r>
      <w:r>
        <w:rPr>
          <w:rFonts w:hint="eastAsia" w:ascii="宋体" w:hAnsi="宋体" w:cs="宋体"/>
          <w:color w:val="auto"/>
          <w:sz w:val="24"/>
          <w:highlight w:val="none"/>
          <w:u w:val="none"/>
          <w:lang w:eastAsia="zh-CN"/>
        </w:rPr>
        <w:t>）</w:t>
      </w:r>
      <w:r>
        <w:rPr>
          <w:rFonts w:hint="eastAsia" w:ascii="宋体" w:hAnsi="宋体" w:cs="宋体"/>
          <w:color w:val="auto"/>
          <w:sz w:val="24"/>
          <w:highlight w:val="none"/>
        </w:rPr>
        <w:t>。现双方依照《中华人民共和国民法典》及国家的有关法律、行政法规</w:t>
      </w:r>
      <w:r>
        <w:rPr>
          <w:rFonts w:ascii="宋体" w:hAnsi="宋体" w:cs="宋体"/>
          <w:color w:val="auto"/>
          <w:sz w:val="24"/>
          <w:highlight w:val="none"/>
        </w:rPr>
        <w:t>,遵循平等、自愿、公平和诚实信用的原则，就</w:t>
      </w:r>
      <w:r>
        <w:rPr>
          <w:rFonts w:hint="eastAsia" w:ascii="宋体" w:hAnsi="宋体" w:cs="宋体"/>
          <w:color w:val="auto"/>
          <w:sz w:val="24"/>
          <w:highlight w:val="none"/>
          <w:lang w:eastAsia="zh-CN"/>
        </w:rPr>
        <w:t>白云恒运天然气发电项目燃气管线工程其他部分</w:t>
      </w:r>
      <w:r>
        <w:rPr>
          <w:rFonts w:hint="eastAsia" w:ascii="宋体" w:hAnsi="宋体" w:cs="宋体"/>
          <w:color w:val="auto"/>
          <w:sz w:val="24"/>
          <w:highlight w:val="none"/>
        </w:rPr>
        <w:t>服务</w:t>
      </w:r>
      <w:r>
        <w:rPr>
          <w:rFonts w:ascii="宋体" w:hAnsi="宋体" w:cs="宋体"/>
          <w:color w:val="auto"/>
          <w:sz w:val="24"/>
          <w:highlight w:val="none"/>
        </w:rPr>
        <w:t>事宜，经协商一致，订立本合同。</w:t>
      </w:r>
    </w:p>
    <w:p>
      <w:pPr>
        <w:spacing w:line="360" w:lineRule="auto"/>
        <w:rPr>
          <w:b/>
          <w:bCs/>
          <w:color w:val="auto"/>
          <w:highlight w:val="none"/>
        </w:rPr>
      </w:pPr>
      <w:bookmarkStart w:id="2033" w:name="_Toc11293_WPSOffice_Level1"/>
      <w:bookmarkStart w:id="2034" w:name="_Toc457_WPSOffice_Level1"/>
      <w:r>
        <w:rPr>
          <w:rFonts w:hint="eastAsia"/>
          <w:b/>
          <w:bCs/>
          <w:color w:val="auto"/>
          <w:highlight w:val="none"/>
        </w:rPr>
        <w:t>第</w:t>
      </w:r>
      <w:r>
        <w:rPr>
          <w:rFonts w:hint="eastAsia"/>
          <w:b/>
          <w:bCs/>
          <w:color w:val="auto"/>
          <w:highlight w:val="none"/>
          <w:lang w:val="en-US" w:eastAsia="zh-CN"/>
        </w:rPr>
        <w:t>一</w:t>
      </w:r>
      <w:r>
        <w:rPr>
          <w:rFonts w:hint="eastAsia"/>
          <w:b/>
          <w:bCs/>
          <w:color w:val="auto"/>
          <w:highlight w:val="none"/>
        </w:rPr>
        <w:t xml:space="preserve">条 </w:t>
      </w:r>
      <w:bookmarkEnd w:id="2033"/>
      <w:bookmarkEnd w:id="2034"/>
      <w:r>
        <w:rPr>
          <w:rFonts w:hint="eastAsia"/>
          <w:b/>
          <w:bCs/>
          <w:color w:val="auto"/>
          <w:highlight w:val="none"/>
        </w:rPr>
        <w:t>工作内容和要求</w:t>
      </w:r>
    </w:p>
    <w:p>
      <w:pPr>
        <w:tabs>
          <w:tab w:val="left" w:pos="1140"/>
        </w:tabs>
        <w:spacing w:before="156" w:beforeLines="50" w:line="312" w:lineRule="auto"/>
        <w:ind w:firstLine="520" w:firstLineChars="200"/>
        <w:rPr>
          <w:rFonts w:ascii="宋体" w:hAnsi="宋体" w:cs="宋体"/>
          <w:color w:val="auto"/>
          <w:spacing w:val="10"/>
          <w:kern w:val="24"/>
          <w:sz w:val="24"/>
          <w:szCs w:val="24"/>
          <w:highlight w:val="none"/>
        </w:rPr>
      </w:pPr>
      <w:r>
        <w:rPr>
          <w:rFonts w:hint="eastAsia" w:ascii="宋体" w:hAnsi="宋体" w:cs="宋体"/>
          <w:color w:val="auto"/>
          <w:spacing w:val="10"/>
          <w:kern w:val="24"/>
          <w:sz w:val="24"/>
          <w:szCs w:val="24"/>
          <w:highlight w:val="none"/>
        </w:rPr>
        <w:t>乙方主要工作内容包括但不限于：</w:t>
      </w:r>
    </w:p>
    <w:p>
      <w:pPr>
        <w:pStyle w:val="55"/>
        <w:jc w:val="center"/>
        <w:rPr>
          <w:rFonts w:ascii="宋体" w:hAnsi="宋体" w:cs="宋体"/>
          <w:color w:val="auto"/>
          <w:highlight w:val="none"/>
        </w:rPr>
      </w:pPr>
      <w:r>
        <w:rPr>
          <w:rFonts w:hint="eastAsia" w:ascii="宋体" w:hAnsi="宋体" w:cs="宋体"/>
          <w:color w:val="auto"/>
          <w:highlight w:val="none"/>
        </w:rPr>
        <w:t>表1  工作内容及范围表</w:t>
      </w:r>
    </w:p>
    <w:tbl>
      <w:tblPr>
        <w:tblStyle w:val="38"/>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0"/>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0" w:type="dxa"/>
            <w:noWrap w:val="0"/>
            <w:vAlign w:val="center"/>
          </w:tcPr>
          <w:p>
            <w:pPr>
              <w:pStyle w:val="65"/>
              <w:spacing w:before="120"/>
              <w:ind w:firstLine="0" w:firstLineChars="0"/>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工作内容及范围</w:t>
            </w:r>
          </w:p>
        </w:tc>
        <w:tc>
          <w:tcPr>
            <w:tcW w:w="1590" w:type="dxa"/>
            <w:noWrap w:val="0"/>
            <w:vAlign w:val="center"/>
          </w:tcPr>
          <w:p>
            <w:pPr>
              <w:pStyle w:val="65"/>
              <w:spacing w:before="120"/>
              <w:ind w:firstLine="0" w:firstLineChars="0"/>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白云区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0" w:type="dxa"/>
            <w:noWrap w:val="0"/>
            <w:vAlign w:val="center"/>
          </w:tcPr>
          <w:p>
            <w:pPr>
              <w:pStyle w:val="65"/>
              <w:spacing w:before="120"/>
              <w:ind w:firstLine="0" w:firstLineChars="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施工作业带范围内影响本工程施工或者不满足规范间距的地上地下管线拆迁、修复及补偿（不含10kv</w:t>
            </w:r>
            <w:r>
              <w:rPr>
                <w:rFonts w:hint="eastAsia" w:ascii="宋体" w:hAnsi="宋体" w:eastAsia="宋体" w:cs="Times New Roman"/>
                <w:color w:val="auto"/>
                <w:sz w:val="24"/>
                <w:highlight w:val="none"/>
                <w:lang w:val="en-US" w:eastAsia="zh-CN"/>
              </w:rPr>
              <w:t>及以上</w:t>
            </w:r>
            <w:r>
              <w:rPr>
                <w:rFonts w:hint="eastAsia" w:ascii="宋体" w:hAnsi="宋体" w:eastAsia="宋体" w:cs="Times New Roman"/>
                <w:color w:val="auto"/>
                <w:kern w:val="2"/>
                <w:sz w:val="24"/>
                <w:szCs w:val="24"/>
                <w:highlight w:val="none"/>
                <w:lang w:val="en-US" w:eastAsia="zh-CN" w:bidi="ar-SA"/>
              </w:rPr>
              <w:t>电缆、DN500及以上管道），并负责办理本工程地下管线施工及迁移相关手续。</w:t>
            </w:r>
          </w:p>
        </w:tc>
        <w:tc>
          <w:tcPr>
            <w:tcW w:w="1590" w:type="dxa"/>
            <w:noWrap w:val="0"/>
            <w:vAlign w:val="center"/>
          </w:tcPr>
          <w:p>
            <w:pPr>
              <w:pStyle w:val="65"/>
              <w:spacing w:before="120"/>
              <w:ind w:firstLine="0" w:firstLineChars="0"/>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0" w:type="dxa"/>
            <w:noWrap w:val="0"/>
            <w:vAlign w:val="center"/>
          </w:tcPr>
          <w:p>
            <w:pPr>
              <w:pStyle w:val="65"/>
              <w:spacing w:before="120"/>
              <w:ind w:firstLine="0" w:firstLineChars="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根据管线敷设工期计划及道路开挖需求实际情况，提前制定详细的交通疏导方案（含临时变道设置）及报批，负责布置交通疏导人员，指引交通流向，疏导车辆顺利通过施工区域，并负责与交警部门沟通协调，承担相关费用。</w:t>
            </w:r>
          </w:p>
        </w:tc>
        <w:tc>
          <w:tcPr>
            <w:tcW w:w="1590" w:type="dxa"/>
            <w:noWrap w:val="0"/>
            <w:vAlign w:val="center"/>
          </w:tcPr>
          <w:p>
            <w:pPr>
              <w:pStyle w:val="65"/>
              <w:spacing w:before="120"/>
              <w:ind w:firstLine="0" w:firstLineChars="0"/>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0" w:type="dxa"/>
            <w:noWrap w:val="0"/>
            <w:vAlign w:val="center"/>
          </w:tcPr>
          <w:p>
            <w:pPr>
              <w:pStyle w:val="65"/>
              <w:spacing w:before="120"/>
              <w:ind w:firstLine="0" w:firstLineChars="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获取工程的管道穿越或敷设所需的许可（含安全评估、专家评审、防洪评价、产权占用等费用），与公路、桥梁、市政道路、地铁、电力管廊、通讯、水务及其他相邻管线单位的联系和协调，并支付相关的赔偿/补偿和咨询服务。</w:t>
            </w:r>
          </w:p>
        </w:tc>
        <w:tc>
          <w:tcPr>
            <w:tcW w:w="1590" w:type="dxa"/>
            <w:noWrap w:val="0"/>
            <w:vAlign w:val="center"/>
          </w:tcPr>
          <w:p>
            <w:pPr>
              <w:pStyle w:val="65"/>
              <w:spacing w:before="120"/>
              <w:ind w:firstLine="0" w:firstLineChars="0"/>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840" w:type="dxa"/>
            <w:noWrap w:val="0"/>
            <w:vAlign w:val="center"/>
          </w:tcPr>
          <w:p>
            <w:pPr>
              <w:pStyle w:val="65"/>
              <w:spacing w:before="120"/>
              <w:ind w:firstLine="0" w:firstLineChars="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施工作业带范围内城市树木迁移砍伐手续等工作，包括：办理城市树木砍伐、迁移城市树木手续，落实树木迁移用地等工作，并按政府主管部门批复或甲方书面同意后实施树木砍伐、修剪、迁移</w:t>
            </w:r>
            <w:r>
              <w:rPr>
                <w:rFonts w:hint="eastAsia" w:ascii="宋体" w:hAnsi="宋体" w:eastAsia="宋体" w:cs="Times New Roman"/>
                <w:color w:val="auto"/>
                <w:sz w:val="24"/>
                <w:highlight w:val="none"/>
                <w:lang w:eastAsia="zh-CN"/>
              </w:rPr>
              <w:t>、</w:t>
            </w:r>
            <w:r>
              <w:rPr>
                <w:rFonts w:hint="eastAsia" w:ascii="宋体" w:hAnsi="宋体" w:eastAsia="宋体" w:cs="Times New Roman"/>
                <w:color w:val="auto"/>
                <w:sz w:val="24"/>
                <w:highlight w:val="none"/>
                <w:lang w:val="en-US" w:eastAsia="zh-CN"/>
              </w:rPr>
              <w:t>回迁</w:t>
            </w:r>
            <w:r>
              <w:rPr>
                <w:rFonts w:hint="eastAsia" w:ascii="宋体" w:hAnsi="宋体" w:eastAsia="宋体" w:cs="Times New Roman"/>
                <w:color w:val="auto"/>
                <w:kern w:val="2"/>
                <w:sz w:val="24"/>
                <w:szCs w:val="24"/>
                <w:highlight w:val="none"/>
                <w:lang w:val="en-US" w:eastAsia="zh-CN" w:bidi="ar-SA"/>
              </w:rPr>
              <w:t>及养护（含迁移后养护）等工作，并承担相关费用。绿地占用方案编制及手续报批，绿化修复工作及费用。</w:t>
            </w:r>
          </w:p>
        </w:tc>
        <w:tc>
          <w:tcPr>
            <w:tcW w:w="1590" w:type="dxa"/>
            <w:noWrap w:val="0"/>
            <w:vAlign w:val="center"/>
          </w:tcPr>
          <w:p>
            <w:pPr>
              <w:pStyle w:val="65"/>
              <w:spacing w:before="120"/>
              <w:ind w:firstLine="0" w:firstLineChars="0"/>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840" w:type="dxa"/>
            <w:noWrap w:val="0"/>
            <w:vAlign w:val="center"/>
          </w:tcPr>
          <w:p>
            <w:pPr>
              <w:pStyle w:val="65"/>
              <w:spacing w:before="120"/>
              <w:ind w:firstLine="0" w:firstLineChars="0"/>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政策处理工作</w:t>
            </w:r>
          </w:p>
        </w:tc>
        <w:tc>
          <w:tcPr>
            <w:tcW w:w="1590" w:type="dxa"/>
            <w:noWrap w:val="0"/>
            <w:vAlign w:val="center"/>
          </w:tcPr>
          <w:p>
            <w:pPr>
              <w:pStyle w:val="65"/>
              <w:spacing w:before="120"/>
              <w:ind w:firstLine="0" w:firstLineChars="0"/>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840" w:type="dxa"/>
            <w:noWrap w:val="0"/>
            <w:vAlign w:val="center"/>
          </w:tcPr>
          <w:p>
            <w:pPr>
              <w:pStyle w:val="65"/>
              <w:spacing w:before="120"/>
              <w:ind w:firstLine="0" w:firstLineChars="0"/>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其它工作</w:t>
            </w:r>
          </w:p>
        </w:tc>
        <w:tc>
          <w:tcPr>
            <w:tcW w:w="1590" w:type="dxa"/>
            <w:noWrap w:val="0"/>
            <w:vAlign w:val="center"/>
          </w:tcPr>
          <w:p>
            <w:pPr>
              <w:pStyle w:val="65"/>
              <w:spacing w:before="120"/>
              <w:ind w:firstLine="0" w:firstLineChars="0"/>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详见合同要求</w:t>
            </w:r>
          </w:p>
        </w:tc>
      </w:tr>
    </w:tbl>
    <w:p>
      <w:pPr>
        <w:spacing w:line="360" w:lineRule="auto"/>
        <w:ind w:left="0" w:leftChars="0"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 xml:space="preserve">1.1 </w:t>
      </w:r>
      <w:r>
        <w:rPr>
          <w:rFonts w:hint="eastAsia" w:ascii="宋体" w:hAnsi="宋体"/>
          <w:color w:val="auto"/>
          <w:sz w:val="24"/>
          <w:highlight w:val="none"/>
        </w:rPr>
        <w:t>负责本工程施工作业带范围内影响本工程施工或者不满足规范间距的地上地下管线拆迁、</w:t>
      </w:r>
      <w:r>
        <w:rPr>
          <w:rFonts w:hint="eastAsia" w:ascii="宋体" w:hAnsi="宋体"/>
          <w:color w:val="auto"/>
          <w:sz w:val="24"/>
          <w:highlight w:val="none"/>
          <w:lang w:val="en-US" w:eastAsia="zh-CN"/>
        </w:rPr>
        <w:t>修复及</w:t>
      </w:r>
      <w:r>
        <w:rPr>
          <w:rFonts w:hint="eastAsia" w:ascii="宋体" w:hAnsi="宋体"/>
          <w:color w:val="auto"/>
          <w:sz w:val="24"/>
          <w:highlight w:val="none"/>
        </w:rPr>
        <w:t>补偿工作（不含10kv</w:t>
      </w:r>
      <w:r>
        <w:rPr>
          <w:rFonts w:hint="eastAsia" w:ascii="宋体" w:hAnsi="宋体"/>
          <w:color w:val="auto"/>
          <w:sz w:val="24"/>
          <w:highlight w:val="none"/>
          <w:lang w:val="en-US" w:eastAsia="zh-CN"/>
        </w:rPr>
        <w:t>及以上</w:t>
      </w:r>
      <w:r>
        <w:rPr>
          <w:rFonts w:hint="eastAsia" w:ascii="宋体" w:hAnsi="宋体"/>
          <w:color w:val="auto"/>
          <w:sz w:val="24"/>
          <w:highlight w:val="none"/>
        </w:rPr>
        <w:t>电缆、DN500及以上管道），并负责办理本工程地下管线施工及迁移相关手续，及承担相关费用</w:t>
      </w:r>
      <w:r>
        <w:rPr>
          <w:rFonts w:hint="eastAsia" w:ascii="宋体" w:hAnsi="宋体"/>
          <w:color w:val="auto"/>
          <w:sz w:val="24"/>
          <w:highlight w:val="none"/>
          <w:lang w:eastAsia="zh-CN"/>
        </w:rPr>
        <w:t>。</w:t>
      </w:r>
    </w:p>
    <w:p>
      <w:pPr>
        <w:spacing w:line="360" w:lineRule="auto"/>
        <w:ind w:left="0" w:leftChars="0" w:firstLine="480" w:firstLineChars="200"/>
        <w:rPr>
          <w:rFonts w:hint="eastAsia" w:ascii="宋体" w:hAnsi="宋体" w:cs="Times New Roman"/>
          <w:color w:val="auto"/>
          <w:kern w:val="2"/>
          <w:sz w:val="24"/>
          <w:szCs w:val="24"/>
          <w:highlight w:val="none"/>
          <w:lang w:val="en-US" w:eastAsia="zh-CN" w:bidi="ar-SA"/>
        </w:rPr>
      </w:pPr>
      <w:r>
        <w:rPr>
          <w:rFonts w:hint="eastAsia" w:ascii="宋体" w:hAnsi="宋体"/>
          <w:color w:val="auto"/>
          <w:sz w:val="24"/>
          <w:highlight w:val="none"/>
          <w:lang w:val="en-US" w:eastAsia="zh-CN"/>
        </w:rPr>
        <w:t>1.2 负责</w:t>
      </w:r>
      <w:r>
        <w:rPr>
          <w:rFonts w:hint="eastAsia" w:ascii="宋体" w:hAnsi="宋体"/>
          <w:color w:val="auto"/>
          <w:sz w:val="24"/>
          <w:highlight w:val="none"/>
        </w:rPr>
        <w:t>本工程</w:t>
      </w:r>
      <w:r>
        <w:rPr>
          <w:rFonts w:hint="eastAsia" w:ascii="宋体" w:hAnsi="宋体"/>
          <w:color w:val="auto"/>
          <w:sz w:val="24"/>
          <w:highlight w:val="none"/>
          <w:lang w:val="en-US" w:eastAsia="zh-CN"/>
        </w:rPr>
        <w:t>施工期间</w:t>
      </w:r>
      <w:r>
        <w:rPr>
          <w:rFonts w:hint="eastAsia" w:ascii="宋体" w:hAnsi="宋体" w:eastAsia="宋体" w:cs="Times New Roman"/>
          <w:color w:val="auto"/>
          <w:kern w:val="2"/>
          <w:sz w:val="24"/>
          <w:szCs w:val="24"/>
          <w:highlight w:val="none"/>
          <w:lang w:val="en-US" w:eastAsia="zh-CN" w:bidi="ar-SA"/>
        </w:rPr>
        <w:t>交通疏导工作</w:t>
      </w:r>
      <w:r>
        <w:rPr>
          <w:rFonts w:hint="eastAsia" w:ascii="宋体" w:hAnsi="宋体" w:cs="Times New Roman"/>
          <w:color w:val="auto"/>
          <w:kern w:val="2"/>
          <w:sz w:val="24"/>
          <w:szCs w:val="24"/>
          <w:highlight w:val="none"/>
          <w:lang w:val="en-US" w:eastAsia="zh-CN" w:bidi="ar-SA"/>
        </w:rPr>
        <w:t>，包括</w:t>
      </w:r>
      <w:r>
        <w:rPr>
          <w:rFonts w:hint="eastAsia" w:ascii="宋体" w:hAnsi="宋体" w:eastAsia="宋体" w:cs="Times New Roman"/>
          <w:color w:val="auto"/>
          <w:kern w:val="2"/>
          <w:sz w:val="24"/>
          <w:szCs w:val="24"/>
          <w:highlight w:val="none"/>
          <w:lang w:val="en-US" w:eastAsia="zh-CN" w:bidi="ar-SA"/>
        </w:rPr>
        <w:t>交通疏导方案</w:t>
      </w:r>
      <w:r>
        <w:rPr>
          <w:rFonts w:hint="eastAsia" w:ascii="宋体" w:hAnsi="宋体" w:cs="Times New Roman"/>
          <w:color w:val="auto"/>
          <w:kern w:val="2"/>
          <w:sz w:val="24"/>
          <w:szCs w:val="24"/>
          <w:highlight w:val="none"/>
          <w:lang w:val="en-US" w:eastAsia="zh-CN" w:bidi="ar-SA"/>
        </w:rPr>
        <w:t>制定、</w:t>
      </w:r>
      <w:r>
        <w:rPr>
          <w:rFonts w:hint="eastAsia" w:ascii="宋体" w:hAnsi="宋体" w:eastAsia="宋体" w:cs="Times New Roman"/>
          <w:color w:val="auto"/>
          <w:kern w:val="2"/>
          <w:sz w:val="24"/>
          <w:szCs w:val="24"/>
          <w:highlight w:val="none"/>
          <w:lang w:val="en-US" w:eastAsia="zh-CN" w:bidi="ar-SA"/>
        </w:rPr>
        <w:t>报批</w:t>
      </w:r>
      <w:r>
        <w:rPr>
          <w:rFonts w:hint="eastAsia" w:ascii="宋体" w:hAnsi="宋体" w:cs="Times New Roman"/>
          <w:color w:val="auto"/>
          <w:kern w:val="2"/>
          <w:sz w:val="24"/>
          <w:szCs w:val="24"/>
          <w:highlight w:val="none"/>
          <w:lang w:val="en-US" w:eastAsia="zh-CN" w:bidi="ar-SA"/>
        </w:rPr>
        <w:t>及与交警部门沟通协调</w:t>
      </w:r>
      <w:r>
        <w:rPr>
          <w:rFonts w:hint="eastAsia" w:ascii="宋体" w:hAnsi="宋体" w:eastAsia="宋体" w:cs="Times New Roman"/>
          <w:color w:val="auto"/>
          <w:kern w:val="2"/>
          <w:sz w:val="24"/>
          <w:szCs w:val="24"/>
          <w:highlight w:val="none"/>
          <w:lang w:val="en-US" w:eastAsia="zh-CN" w:bidi="ar-SA"/>
        </w:rPr>
        <w:t>，并</w:t>
      </w:r>
      <w:r>
        <w:rPr>
          <w:rFonts w:hint="eastAsia" w:ascii="宋体" w:hAnsi="宋体"/>
          <w:color w:val="auto"/>
          <w:sz w:val="24"/>
          <w:highlight w:val="none"/>
        </w:rPr>
        <w:t>承担相关费用</w:t>
      </w:r>
      <w:r>
        <w:rPr>
          <w:rFonts w:hint="eastAsia" w:ascii="宋体" w:hAnsi="宋体" w:eastAsia="宋体" w:cs="Times New Roman"/>
          <w:color w:val="auto"/>
          <w:kern w:val="2"/>
          <w:sz w:val="24"/>
          <w:szCs w:val="24"/>
          <w:highlight w:val="none"/>
          <w:lang w:val="en-US" w:eastAsia="zh-CN" w:bidi="ar-SA"/>
        </w:rPr>
        <w:t>。</w:t>
      </w:r>
      <w:r>
        <w:rPr>
          <w:rFonts w:hint="eastAsia" w:ascii="宋体" w:hAnsi="宋体" w:cs="Times New Roman"/>
          <w:color w:val="auto"/>
          <w:kern w:val="2"/>
          <w:sz w:val="24"/>
          <w:szCs w:val="24"/>
          <w:highlight w:val="none"/>
          <w:lang w:val="en-US" w:eastAsia="zh-CN" w:bidi="ar-SA"/>
        </w:rPr>
        <w:t>主要内容包括但不限于：</w:t>
      </w:r>
    </w:p>
    <w:p>
      <w:pPr>
        <w:spacing w:line="360" w:lineRule="auto"/>
        <w:ind w:left="0" w:leftChars="0" w:firstLine="480" w:firstLineChars="200"/>
        <w:rPr>
          <w:rFonts w:hint="eastAsia" w:ascii="宋体" w:hAnsi="宋体" w:cs="Times New Roman"/>
          <w:color w:val="auto"/>
          <w:kern w:val="2"/>
          <w:sz w:val="24"/>
          <w:szCs w:val="24"/>
          <w:highlight w:val="none"/>
          <w:lang w:val="en-US" w:eastAsia="zh-CN" w:bidi="ar-SA"/>
        </w:rPr>
      </w:pPr>
      <w:r>
        <w:rPr>
          <w:rFonts w:hint="eastAsia" w:ascii="宋体" w:hAnsi="宋体" w:cs="Times New Roman"/>
          <w:color w:val="auto"/>
          <w:kern w:val="2"/>
          <w:sz w:val="24"/>
          <w:szCs w:val="24"/>
          <w:highlight w:val="none"/>
          <w:lang w:val="en-US" w:eastAsia="zh-CN" w:bidi="ar-SA"/>
        </w:rPr>
        <w:t>（1）</w:t>
      </w:r>
      <w:r>
        <w:rPr>
          <w:rFonts w:hint="eastAsia" w:ascii="宋体" w:hAnsi="宋体" w:eastAsia="宋体" w:cs="Times New Roman"/>
          <w:color w:val="auto"/>
          <w:kern w:val="2"/>
          <w:sz w:val="24"/>
          <w:szCs w:val="24"/>
          <w:highlight w:val="none"/>
          <w:lang w:val="en-US" w:eastAsia="zh-CN" w:bidi="ar-SA"/>
        </w:rPr>
        <w:t>根据管线敷设工期计划及道路开挖需求实际情况，提前制定详细的交通疏导方案</w:t>
      </w:r>
      <w:r>
        <w:rPr>
          <w:rFonts w:hint="eastAsia" w:ascii="宋体" w:hAnsi="宋体" w:cs="Times New Roman"/>
          <w:color w:val="auto"/>
          <w:kern w:val="2"/>
          <w:sz w:val="24"/>
          <w:szCs w:val="24"/>
          <w:highlight w:val="none"/>
          <w:lang w:val="en-US" w:eastAsia="zh-CN" w:bidi="ar-SA"/>
        </w:rPr>
        <w:t>（含临时变道设置）</w:t>
      </w:r>
      <w:r>
        <w:rPr>
          <w:rFonts w:hint="eastAsia" w:ascii="宋体" w:hAnsi="宋体" w:eastAsia="宋体" w:cs="Times New Roman"/>
          <w:color w:val="auto"/>
          <w:kern w:val="2"/>
          <w:sz w:val="24"/>
          <w:szCs w:val="24"/>
          <w:highlight w:val="none"/>
          <w:lang w:val="en-US" w:eastAsia="zh-CN" w:bidi="ar-SA"/>
        </w:rPr>
        <w:t>及报批</w:t>
      </w:r>
      <w:r>
        <w:rPr>
          <w:rFonts w:hint="eastAsia" w:ascii="宋体" w:hAnsi="宋体" w:cs="Times New Roman"/>
          <w:color w:val="auto"/>
          <w:kern w:val="2"/>
          <w:sz w:val="24"/>
          <w:szCs w:val="24"/>
          <w:highlight w:val="none"/>
          <w:lang w:val="en-US" w:eastAsia="zh-CN" w:bidi="ar-SA"/>
        </w:rPr>
        <w:t>。</w:t>
      </w:r>
    </w:p>
    <w:p>
      <w:pPr>
        <w:spacing w:line="360" w:lineRule="auto"/>
        <w:ind w:left="0" w:leftChars="0" w:firstLine="480" w:firstLineChars="200"/>
        <w:rPr>
          <w:rFonts w:hint="eastAsia" w:ascii="宋体" w:hAnsi="宋体" w:cs="Times New Roman"/>
          <w:color w:val="auto"/>
          <w:kern w:val="2"/>
          <w:sz w:val="24"/>
          <w:szCs w:val="24"/>
          <w:highlight w:val="none"/>
          <w:lang w:val="en-US" w:eastAsia="zh-CN" w:bidi="ar-SA"/>
        </w:rPr>
      </w:pPr>
      <w:r>
        <w:rPr>
          <w:rFonts w:hint="eastAsia" w:ascii="宋体" w:hAnsi="宋体" w:cs="Times New Roman"/>
          <w:color w:val="auto"/>
          <w:kern w:val="2"/>
          <w:sz w:val="24"/>
          <w:szCs w:val="24"/>
          <w:highlight w:val="none"/>
          <w:lang w:val="en-US" w:eastAsia="zh-CN" w:bidi="ar-SA"/>
        </w:rPr>
        <w:t>（2）在施工区域内和周边道路设置明显的交通标志和标线（清晰、醒目），以提醒驾驶员注意道路施工情况并按照指示行驶。</w:t>
      </w:r>
    </w:p>
    <w:p>
      <w:pPr>
        <w:spacing w:line="360" w:lineRule="auto"/>
        <w:ind w:left="0" w:leftChars="0" w:firstLine="480" w:firstLineChars="200"/>
        <w:rPr>
          <w:rFonts w:hint="eastAsia" w:ascii="宋体" w:hAnsi="宋体" w:cs="Times New Roman"/>
          <w:color w:val="auto"/>
          <w:kern w:val="2"/>
          <w:sz w:val="24"/>
          <w:szCs w:val="24"/>
          <w:highlight w:val="none"/>
          <w:lang w:val="en-US" w:eastAsia="zh-CN" w:bidi="ar-SA"/>
        </w:rPr>
      </w:pPr>
      <w:r>
        <w:rPr>
          <w:rFonts w:hint="eastAsia" w:ascii="宋体" w:hAnsi="宋体" w:cs="Times New Roman"/>
          <w:color w:val="auto"/>
          <w:kern w:val="2"/>
          <w:sz w:val="24"/>
          <w:szCs w:val="24"/>
          <w:highlight w:val="none"/>
          <w:lang w:val="en-US" w:eastAsia="zh-CN" w:bidi="ar-SA"/>
        </w:rPr>
        <w:t>（3）根据施工现场的实际情况和交通流量的分布，合理设置临时变道、布置交通疏导人员、负责在关键路口和交叉路口设置交通疏导岗，指引交通流向，疏导车辆顺利通过施工区域。</w:t>
      </w:r>
    </w:p>
    <w:p>
      <w:pPr>
        <w:spacing w:line="360" w:lineRule="auto"/>
        <w:ind w:left="0" w:leftChars="0" w:firstLine="480" w:firstLineChars="200"/>
        <w:rPr>
          <w:rFonts w:hint="eastAsia" w:ascii="宋体" w:hAnsi="宋体" w:eastAsia="宋体" w:cs="Times New Roman"/>
          <w:i w:val="0"/>
          <w:iCs w:val="0"/>
          <w:caps w:val="0"/>
          <w:color w:val="auto"/>
          <w:spacing w:val="0"/>
          <w:sz w:val="24"/>
          <w:szCs w:val="24"/>
          <w:highlight w:val="none"/>
          <w:shd w:val="clear" w:color="auto" w:fill="auto"/>
          <w:lang w:val="en-US" w:eastAsia="zh-CN"/>
        </w:rPr>
      </w:pPr>
      <w:r>
        <w:rPr>
          <w:rFonts w:hint="eastAsia" w:ascii="宋体" w:hAnsi="宋体" w:cs="Times New Roman"/>
          <w:color w:val="auto"/>
          <w:kern w:val="2"/>
          <w:sz w:val="24"/>
          <w:szCs w:val="24"/>
          <w:highlight w:val="none"/>
          <w:lang w:val="en-US" w:eastAsia="zh-CN" w:bidi="ar-SA"/>
        </w:rPr>
        <w:t>（4）</w:t>
      </w:r>
      <w:r>
        <w:rPr>
          <w:rFonts w:hint="eastAsia" w:ascii="宋体" w:hAnsi="宋体" w:eastAsia="宋体" w:cs="Times New Roman"/>
          <w:i w:val="0"/>
          <w:iCs w:val="0"/>
          <w:caps w:val="0"/>
          <w:color w:val="auto"/>
          <w:spacing w:val="0"/>
          <w:sz w:val="24"/>
          <w:szCs w:val="24"/>
          <w:highlight w:val="none"/>
          <w:shd w:val="clear" w:color="auto" w:fill="auto"/>
        </w:rPr>
        <w:t>制定紧急救援预案，确保在施工期间如有突发事件发生时，能够及时进行救援并疏导交通，保障道路畅通。</w:t>
      </w:r>
    </w:p>
    <w:p>
      <w:pPr>
        <w:spacing w:line="360" w:lineRule="auto"/>
        <w:ind w:left="0" w:leftChars="0" w:firstLine="480" w:firstLineChars="200"/>
        <w:rPr>
          <w:rFonts w:hint="eastAsia" w:ascii="宋体" w:hAnsi="宋体" w:eastAsia="宋体" w:cs="Times New Roman"/>
          <w:i w:val="0"/>
          <w:iCs w:val="0"/>
          <w:caps w:val="0"/>
          <w:color w:val="auto"/>
          <w:spacing w:val="0"/>
          <w:sz w:val="24"/>
          <w:szCs w:val="24"/>
          <w:highlight w:val="none"/>
          <w:shd w:val="clear" w:color="auto" w:fill="auto"/>
          <w:lang w:val="en-US" w:eastAsia="zh-CN"/>
        </w:rPr>
      </w:pPr>
      <w:r>
        <w:rPr>
          <w:rFonts w:hint="eastAsia" w:ascii="宋体" w:hAnsi="宋体" w:cs="Times New Roman"/>
          <w:i w:val="0"/>
          <w:iCs w:val="0"/>
          <w:caps w:val="0"/>
          <w:color w:val="auto"/>
          <w:spacing w:val="0"/>
          <w:sz w:val="24"/>
          <w:szCs w:val="24"/>
          <w:highlight w:val="none"/>
          <w:shd w:val="clear" w:color="auto" w:fill="auto"/>
          <w:lang w:val="en-US" w:eastAsia="zh-CN"/>
        </w:rPr>
        <w:t>（5）</w:t>
      </w:r>
      <w:r>
        <w:rPr>
          <w:rFonts w:hint="eastAsia" w:ascii="宋体" w:hAnsi="宋体" w:eastAsia="宋体" w:cs="Times New Roman"/>
          <w:i w:val="0"/>
          <w:iCs w:val="0"/>
          <w:caps w:val="0"/>
          <w:color w:val="auto"/>
          <w:spacing w:val="0"/>
          <w:sz w:val="24"/>
          <w:szCs w:val="24"/>
          <w:highlight w:val="none"/>
          <w:shd w:val="clear" w:color="auto" w:fill="auto"/>
          <w:lang w:val="en-US" w:eastAsia="zh-CN"/>
        </w:rPr>
        <w:t>与交警部门建立联络直通道，接受交管部门的监督和指导。及时向交警部门汇报施工进度和交通疏导情况，并根据交警部门的意见和要求进行调整和改进。</w:t>
      </w:r>
    </w:p>
    <w:p>
      <w:pPr>
        <w:spacing w:line="360" w:lineRule="auto"/>
        <w:ind w:left="0" w:leftChars="0" w:firstLine="480" w:firstLineChars="200"/>
        <w:rPr>
          <w:rFonts w:hint="eastAsia" w:ascii="宋体" w:hAnsi="宋体" w:eastAsia="宋体"/>
          <w:color w:val="auto"/>
          <w:sz w:val="24"/>
          <w:szCs w:val="24"/>
          <w:highlight w:val="none"/>
          <w:lang w:val="en-US" w:eastAsia="zh-CN"/>
        </w:rPr>
      </w:pPr>
      <w:r>
        <w:rPr>
          <w:rFonts w:hint="eastAsia" w:ascii="宋体" w:hAnsi="宋体" w:cs="Times New Roman"/>
          <w:i w:val="0"/>
          <w:iCs w:val="0"/>
          <w:caps w:val="0"/>
          <w:color w:val="auto"/>
          <w:spacing w:val="0"/>
          <w:sz w:val="24"/>
          <w:szCs w:val="24"/>
          <w:highlight w:val="none"/>
          <w:shd w:val="clear" w:color="auto" w:fill="auto"/>
          <w:lang w:val="en-US" w:eastAsia="zh-CN"/>
        </w:rPr>
        <w:t>（6）</w:t>
      </w:r>
      <w:r>
        <w:rPr>
          <w:rFonts w:hint="eastAsia" w:ascii="宋体" w:hAnsi="宋体" w:eastAsia="宋体" w:cs="Times New Roman"/>
          <w:i w:val="0"/>
          <w:iCs w:val="0"/>
          <w:caps w:val="0"/>
          <w:color w:val="auto"/>
          <w:spacing w:val="0"/>
          <w:sz w:val="24"/>
          <w:szCs w:val="24"/>
          <w:highlight w:val="none"/>
          <w:shd w:val="clear" w:color="auto" w:fill="auto"/>
          <w:lang w:val="en-US" w:eastAsia="zh-CN"/>
        </w:rPr>
        <w:t>在道路开挖施工完成后，及时清理施工区域内的设施，恢复正常的交通疏导路线和交通标志标线，确保道路能够迅速恢复通行能力。</w:t>
      </w:r>
    </w:p>
    <w:p>
      <w:pPr>
        <w:spacing w:line="360" w:lineRule="auto"/>
        <w:ind w:left="0" w:leftChars="0" w:firstLine="480" w:firstLineChars="200"/>
        <w:rPr>
          <w:rFonts w:hint="eastAsia" w:ascii="宋体" w:hAnsi="宋体"/>
          <w:color w:val="auto"/>
          <w:sz w:val="24"/>
          <w:highlight w:val="none"/>
          <w:lang w:eastAsia="zh-CN"/>
        </w:rPr>
      </w:pPr>
      <w:r>
        <w:rPr>
          <w:rFonts w:hint="eastAsia" w:ascii="宋体" w:hAnsi="宋体"/>
          <w:color w:val="auto"/>
          <w:sz w:val="24"/>
          <w:highlight w:val="none"/>
          <w:lang w:val="en-US" w:eastAsia="zh-CN"/>
        </w:rPr>
        <w:t>1</w:t>
      </w:r>
      <w:r>
        <w:rPr>
          <w:rFonts w:hint="eastAsia" w:ascii="宋体" w:hAnsi="宋体"/>
          <w:color w:val="auto"/>
          <w:sz w:val="24"/>
          <w:highlight w:val="none"/>
        </w:rPr>
        <w:t>.</w:t>
      </w:r>
      <w:r>
        <w:rPr>
          <w:rFonts w:hint="eastAsia" w:ascii="宋体" w:hAnsi="宋体"/>
          <w:color w:val="auto"/>
          <w:sz w:val="24"/>
          <w:highlight w:val="none"/>
          <w:lang w:val="en-US" w:eastAsia="zh-CN"/>
        </w:rPr>
        <w:t xml:space="preserve">3 </w:t>
      </w:r>
      <w:r>
        <w:rPr>
          <w:rFonts w:hint="eastAsia" w:ascii="宋体" w:hAnsi="宋体"/>
          <w:color w:val="auto"/>
          <w:sz w:val="24"/>
          <w:highlight w:val="none"/>
        </w:rPr>
        <w:t>负责本工程管道穿越或敷设所需的许可（</w:t>
      </w:r>
      <w:r>
        <w:rPr>
          <w:rFonts w:hint="eastAsia" w:ascii="宋体" w:hAnsi="宋体" w:eastAsia="宋体" w:cs="Times New Roman"/>
          <w:color w:val="auto"/>
          <w:kern w:val="2"/>
          <w:sz w:val="24"/>
          <w:szCs w:val="24"/>
          <w:highlight w:val="none"/>
          <w:lang w:val="en-US" w:eastAsia="zh-CN" w:bidi="ar-SA"/>
        </w:rPr>
        <w:t>含安全评估、专家评审、防洪评价、产权占用等费用</w:t>
      </w:r>
      <w:r>
        <w:rPr>
          <w:rFonts w:hint="eastAsia" w:ascii="宋体" w:hAnsi="宋体"/>
          <w:color w:val="auto"/>
          <w:sz w:val="24"/>
          <w:highlight w:val="none"/>
        </w:rPr>
        <w:t>），与高速、河流、航道、公路/道路、通讯、电力、水务及其他相邻管线单位的联系和协调，支付相关的赔偿/补偿和咨询服务</w:t>
      </w:r>
      <w:r>
        <w:rPr>
          <w:rFonts w:hint="eastAsia" w:ascii="宋体" w:hAnsi="宋体"/>
          <w:color w:val="auto"/>
          <w:sz w:val="24"/>
          <w:highlight w:val="none"/>
          <w:lang w:eastAsia="zh-CN"/>
        </w:rPr>
        <w:t>。</w:t>
      </w:r>
    </w:p>
    <w:p>
      <w:pPr>
        <w:spacing w:line="360" w:lineRule="auto"/>
        <w:ind w:left="0" w:leftChars="0" w:firstLine="480" w:firstLineChars="200"/>
        <w:rPr>
          <w:rFonts w:hint="default" w:ascii="宋体" w:hAnsi="宋体"/>
          <w:color w:val="auto"/>
          <w:sz w:val="24"/>
          <w:highlight w:val="none"/>
          <w:lang w:val="en-US" w:eastAsia="zh-CN"/>
        </w:rPr>
      </w:pPr>
      <w:r>
        <w:rPr>
          <w:rFonts w:hint="eastAsia" w:ascii="宋体" w:hAnsi="宋体"/>
          <w:color w:val="auto"/>
          <w:sz w:val="24"/>
          <w:highlight w:val="none"/>
          <w:lang w:val="en-US" w:eastAsia="zh-CN"/>
        </w:rPr>
        <w:t xml:space="preserve">1.4 </w:t>
      </w:r>
      <w:r>
        <w:rPr>
          <w:rFonts w:hint="eastAsia" w:ascii="宋体" w:hAnsi="宋体"/>
          <w:color w:val="auto"/>
          <w:sz w:val="24"/>
          <w:highlight w:val="none"/>
        </w:rPr>
        <w:t>负责施工作业带范围内城市树木迁移</w:t>
      </w:r>
      <w:r>
        <w:rPr>
          <w:rFonts w:hint="eastAsia" w:ascii="宋体" w:hAnsi="宋体"/>
          <w:color w:val="auto"/>
          <w:sz w:val="24"/>
          <w:highlight w:val="none"/>
          <w:lang w:eastAsia="zh-CN"/>
        </w:rPr>
        <w:t>、</w:t>
      </w:r>
      <w:r>
        <w:rPr>
          <w:rFonts w:hint="eastAsia" w:ascii="宋体" w:hAnsi="宋体"/>
          <w:color w:val="auto"/>
          <w:sz w:val="24"/>
          <w:highlight w:val="none"/>
        </w:rPr>
        <w:t>砍伐手续等工作，包括：办理城市树木砍伐、迁移城市树木手续，落实树木迁移</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回迁、养护</w:t>
      </w:r>
      <w:r>
        <w:rPr>
          <w:rFonts w:hint="eastAsia" w:ascii="宋体" w:hAnsi="宋体"/>
          <w:color w:val="auto"/>
          <w:sz w:val="24"/>
          <w:highlight w:val="none"/>
        </w:rPr>
        <w:t>用地等工作，并按政府主管部门批复或甲方书面同意后实施树木砍伐、修剪、迁移</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回迁</w:t>
      </w:r>
      <w:r>
        <w:rPr>
          <w:rFonts w:hint="eastAsia" w:ascii="宋体" w:hAnsi="宋体"/>
          <w:color w:val="auto"/>
          <w:sz w:val="24"/>
          <w:highlight w:val="none"/>
        </w:rPr>
        <w:t>及养护（含迁移后养护）</w:t>
      </w:r>
      <w:r>
        <w:rPr>
          <w:rFonts w:hint="eastAsia" w:ascii="宋体" w:hAnsi="宋体"/>
          <w:color w:val="auto"/>
          <w:sz w:val="24"/>
          <w:highlight w:val="none"/>
          <w:lang w:eastAsia="zh-CN"/>
        </w:rPr>
        <w:t>；</w:t>
      </w:r>
      <w:r>
        <w:rPr>
          <w:rFonts w:hint="eastAsia" w:ascii="宋体" w:hAnsi="宋体"/>
          <w:color w:val="auto"/>
          <w:sz w:val="24"/>
          <w:highlight w:val="none"/>
        </w:rPr>
        <w:t>绿地占用方案编制</w:t>
      </w:r>
      <w:r>
        <w:rPr>
          <w:rFonts w:hint="eastAsia" w:ascii="宋体" w:hAnsi="宋体"/>
          <w:color w:val="auto"/>
          <w:sz w:val="24"/>
          <w:highlight w:val="none"/>
          <w:lang w:eastAsia="zh-CN"/>
        </w:rPr>
        <w:t>、</w:t>
      </w:r>
      <w:r>
        <w:rPr>
          <w:rFonts w:hint="eastAsia" w:ascii="宋体" w:hAnsi="宋体"/>
          <w:color w:val="auto"/>
          <w:sz w:val="24"/>
          <w:highlight w:val="none"/>
        </w:rPr>
        <w:t>手续报批</w:t>
      </w:r>
      <w:r>
        <w:rPr>
          <w:rFonts w:hint="eastAsia" w:ascii="宋体" w:hAnsi="宋体"/>
          <w:color w:val="auto"/>
          <w:sz w:val="24"/>
          <w:highlight w:val="none"/>
          <w:lang w:val="en-US" w:eastAsia="zh-CN"/>
        </w:rPr>
        <w:t>及</w:t>
      </w:r>
      <w:r>
        <w:rPr>
          <w:rFonts w:hint="eastAsia" w:ascii="宋体" w:hAnsi="宋体"/>
          <w:color w:val="auto"/>
          <w:sz w:val="24"/>
          <w:highlight w:val="none"/>
        </w:rPr>
        <w:t>绿化修复等工作，并承担相关费用。</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 xml:space="preserve">1.5 </w:t>
      </w:r>
      <w:r>
        <w:rPr>
          <w:rFonts w:hint="eastAsia" w:ascii="宋体" w:hAnsi="宋体"/>
          <w:color w:val="auto"/>
          <w:sz w:val="24"/>
          <w:highlight w:val="none"/>
        </w:rPr>
        <w:t>负责本工程施工作业带范围内相关的政策处理工作。</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rPr>
        <w:t>（1）根据本工程建设进度和甲方要求，按上述1.3条负责与</w:t>
      </w:r>
      <w:r>
        <w:rPr>
          <w:rFonts w:hint="eastAsia" w:ascii="宋体" w:hAnsi="宋体" w:eastAsia="宋体" w:cs="Times New Roman"/>
          <w:color w:val="auto"/>
          <w:kern w:val="2"/>
          <w:sz w:val="24"/>
          <w:szCs w:val="24"/>
          <w:highlight w:val="none"/>
          <w:lang w:val="en-US" w:eastAsia="zh-CN" w:bidi="ar-SA"/>
        </w:rPr>
        <w:t>公路、桥梁、市政道路、地铁、电力管廊、通讯、水务</w:t>
      </w:r>
      <w:r>
        <w:rPr>
          <w:rFonts w:hint="eastAsia" w:ascii="宋体" w:hAnsi="宋体"/>
          <w:color w:val="auto"/>
          <w:sz w:val="24"/>
          <w:highlight w:val="none"/>
        </w:rPr>
        <w:t>及其他相邻管线单位的联系和协调，获取工程的管道穿越或敷设所需的许可，并支付相关的赔偿/补偿和咨询服务费用。根据政府相关部门要求，需以甲方名义缴交的费用在甲方完成缴纳后，甲方在向乙方支付本合同费用时作相应扣除。</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rPr>
        <w:t>（2）负责协调及排除有关单位、个人对本工程施工及验收的干扰。在施工及验收过程中发生的各种干扰、阻工现象或纠纷（含噪音、扬尘等正常施工影响,以及因施工可能影响的房屋鉴定等），乙方应按甲方要求及时采取有力措施予以解决，确保工程顺利进行。施工完成后，因</w:t>
      </w:r>
      <w:r>
        <w:rPr>
          <w:rFonts w:hint="eastAsia" w:ascii="宋体" w:hAnsi="宋体"/>
          <w:color w:val="auto"/>
          <w:sz w:val="24"/>
          <w:highlight w:val="none"/>
          <w:lang w:val="en-US" w:eastAsia="zh-CN"/>
        </w:rPr>
        <w:t>地上地下管线迁改、交通疏导、树木迁移</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回迁、养护及</w:t>
      </w:r>
      <w:r>
        <w:rPr>
          <w:rFonts w:hint="eastAsia" w:ascii="宋体" w:hAnsi="宋体"/>
          <w:color w:val="auto"/>
          <w:sz w:val="24"/>
          <w:highlight w:val="none"/>
        </w:rPr>
        <w:t>绿化修复</w:t>
      </w:r>
      <w:r>
        <w:rPr>
          <w:rFonts w:hint="eastAsia" w:ascii="宋体" w:hAnsi="宋体"/>
          <w:color w:val="auto"/>
          <w:sz w:val="24"/>
          <w:highlight w:val="none"/>
          <w:lang w:val="en-US" w:eastAsia="zh-CN"/>
        </w:rPr>
        <w:t>等</w:t>
      </w:r>
      <w:r>
        <w:rPr>
          <w:rFonts w:hint="eastAsia" w:ascii="宋体" w:hAnsi="宋体"/>
          <w:color w:val="auto"/>
          <w:sz w:val="24"/>
          <w:highlight w:val="none"/>
        </w:rPr>
        <w:t>服务工作发生的纠纷，乙方应及时采取措施负责解决并确保甲方不受此类纠纷的影响。如果甲方因纠纷而遭受损失，甲方保留向乙方追偿的权利。</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3</w:t>
      </w:r>
      <w:r>
        <w:rPr>
          <w:rFonts w:hint="eastAsia" w:ascii="宋体" w:hAnsi="宋体"/>
          <w:color w:val="auto"/>
          <w:sz w:val="24"/>
          <w:highlight w:val="none"/>
        </w:rPr>
        <w:t>）负责甲方要求的其它相关工作。</w:t>
      </w:r>
    </w:p>
    <w:p>
      <w:pPr>
        <w:spacing w:line="360" w:lineRule="auto"/>
        <w:rPr>
          <w:rFonts w:hint="default" w:eastAsia="宋体"/>
          <w:b/>
          <w:bCs/>
          <w:color w:val="auto"/>
          <w:highlight w:val="none"/>
          <w:lang w:val="en-US" w:eastAsia="zh-CN"/>
        </w:rPr>
      </w:pPr>
      <w:bookmarkStart w:id="2035" w:name="_Toc4406_WPSOffice_Level1"/>
      <w:bookmarkStart w:id="2036" w:name="_Toc2566_WPSOffice_Level1"/>
      <w:r>
        <w:rPr>
          <w:rFonts w:hint="eastAsia"/>
          <w:b/>
          <w:bCs/>
          <w:color w:val="auto"/>
          <w:highlight w:val="none"/>
        </w:rPr>
        <w:t>第</w:t>
      </w:r>
      <w:r>
        <w:rPr>
          <w:rFonts w:hint="eastAsia"/>
          <w:b/>
          <w:bCs/>
          <w:color w:val="auto"/>
          <w:highlight w:val="none"/>
          <w:lang w:val="en-US" w:eastAsia="zh-CN"/>
        </w:rPr>
        <w:t>二</w:t>
      </w:r>
      <w:r>
        <w:rPr>
          <w:rFonts w:hint="eastAsia"/>
          <w:b/>
          <w:bCs/>
          <w:color w:val="auto"/>
          <w:highlight w:val="none"/>
        </w:rPr>
        <w:t xml:space="preserve">条 </w:t>
      </w:r>
      <w:bookmarkEnd w:id="2035"/>
      <w:bookmarkEnd w:id="2036"/>
      <w:r>
        <w:rPr>
          <w:rFonts w:hint="eastAsia"/>
          <w:b/>
          <w:bCs/>
          <w:color w:val="auto"/>
          <w:highlight w:val="none"/>
          <w:lang w:val="en-US" w:eastAsia="zh-CN"/>
        </w:rPr>
        <w:t>双方职责</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rPr>
        <w:t>甲方职责</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.1甲方应按本合同的约定及时向乙方及相关方支付相关款项。</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.2甲方负责提供本工程建设的有关批准及技术文件、项目建设中需建设单位准备的相关材料等。</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.3甲方有权监督、检查以及核实乙方各项工作，及时接收乙方工作成果，甲方的接收并不改变或减少乙方在本合同项下的任何责任和义务。</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.4甲方有权指派专人作为甲方代表，本项目指定   先生作为甲方代表，负责全面跟踪、了解和监督乙方的工作。</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rPr>
        <w:t>乙方职责</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2.5</w:t>
      </w:r>
      <w:r>
        <w:rPr>
          <w:rFonts w:hint="eastAsia" w:ascii="宋体" w:hAnsi="宋体"/>
          <w:color w:val="auto"/>
          <w:sz w:val="24"/>
          <w:highlight w:val="none"/>
        </w:rPr>
        <w:t>乙方必须按照本合同约定进行和安排相关管线迁改</w:t>
      </w:r>
      <w:r>
        <w:rPr>
          <w:rFonts w:hint="eastAsia" w:ascii="宋体" w:hAnsi="宋体"/>
          <w:color w:val="auto"/>
          <w:sz w:val="24"/>
          <w:highlight w:val="none"/>
          <w:lang w:eastAsia="zh-CN"/>
        </w:rPr>
        <w:t>，</w:t>
      </w:r>
      <w:r>
        <w:rPr>
          <w:rFonts w:hint="eastAsia" w:ascii="宋体" w:hAnsi="宋体"/>
          <w:color w:val="auto"/>
          <w:sz w:val="24"/>
          <w:highlight w:val="none"/>
        </w:rPr>
        <w:t>交通疏导</w:t>
      </w:r>
      <w:r>
        <w:rPr>
          <w:rFonts w:hint="eastAsia" w:ascii="宋体" w:hAnsi="宋体"/>
          <w:color w:val="auto"/>
          <w:sz w:val="24"/>
          <w:highlight w:val="none"/>
          <w:lang w:eastAsia="zh-CN"/>
        </w:rPr>
        <w:t>，</w:t>
      </w:r>
      <w:r>
        <w:rPr>
          <w:rFonts w:hint="eastAsia" w:ascii="宋体" w:hAnsi="宋体" w:cs="宋体"/>
          <w:color w:val="auto"/>
          <w:sz w:val="24"/>
          <w:highlight w:val="none"/>
          <w:u w:val="none"/>
          <w:lang w:val="en-US" w:eastAsia="zh-CN"/>
        </w:rPr>
        <w:t>路灯迁移、恢复，</w:t>
      </w:r>
      <w:r>
        <w:rPr>
          <w:rFonts w:hint="eastAsia" w:ascii="宋体" w:hAnsi="宋体" w:cs="宋体"/>
          <w:color w:val="auto"/>
          <w:sz w:val="24"/>
          <w:highlight w:val="none"/>
          <w:u w:val="none"/>
        </w:rPr>
        <w:t>树木迁移保护</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lang w:val="en-US" w:eastAsia="zh-CN"/>
        </w:rPr>
        <w:t>回迁养护</w:t>
      </w:r>
      <w:r>
        <w:rPr>
          <w:rFonts w:hint="eastAsia" w:ascii="宋体" w:hAnsi="宋体"/>
          <w:color w:val="auto"/>
          <w:sz w:val="24"/>
          <w:highlight w:val="none"/>
        </w:rPr>
        <w:t>等服务工作，并为此配备充足的专职人员和通讯、交通等设备，具体配置详见附件一。如甲方认为乙方的人员和/或设备不足以胜任本合同项下的工作以致耽误甲方工程进度的，甲方有权要求乙方增加或更换人员和/或设备，因此而发生的一切费用均由乙方自行承担。</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2.6</w:t>
      </w:r>
      <w:r>
        <w:rPr>
          <w:rFonts w:hint="eastAsia" w:ascii="宋体" w:hAnsi="宋体"/>
          <w:color w:val="auto"/>
          <w:sz w:val="24"/>
          <w:highlight w:val="none"/>
        </w:rPr>
        <w:t>乙方为履行本合同而提供的所有人员均应视为乙方人员。合同履行期间，乙方应为乙方人员的人身安全、行为以及后果承担全部责任。如果由于乙方人员的原因，导致第三方对甲方进行索赔，乙方应负责处理并确保甲方不受此类索赔的影响。如果甲方因第三方索赔而遭受损失，甲方保留向乙方追偿的权利。</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2.7</w:t>
      </w:r>
      <w:r>
        <w:rPr>
          <w:rFonts w:hint="eastAsia" w:ascii="宋体" w:hAnsi="宋体"/>
          <w:color w:val="auto"/>
          <w:sz w:val="24"/>
          <w:highlight w:val="none"/>
        </w:rPr>
        <w:t>乙方应确保甲方拨付款项的专款专用和按期支付。</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2.8</w:t>
      </w:r>
      <w:r>
        <w:rPr>
          <w:rFonts w:hint="eastAsia" w:ascii="宋体" w:hAnsi="宋体"/>
          <w:color w:val="auto"/>
          <w:sz w:val="24"/>
          <w:highlight w:val="none"/>
        </w:rPr>
        <w:t>乙方在本合同履行过程中，应接受甲方的检查和监督，并为此提供必要的便利条件。乙方应根据甲方的检查意见对工作的进度、质量等进行调整、修改等，以确保工作成果达到合同要求。</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2.9</w:t>
      </w:r>
      <w:r>
        <w:rPr>
          <w:rFonts w:hint="eastAsia" w:ascii="宋体" w:hAnsi="宋体"/>
          <w:color w:val="auto"/>
          <w:sz w:val="24"/>
          <w:highlight w:val="none"/>
        </w:rPr>
        <w:t>在本合同有效期间，乙方应按甲方的要求定期或不定期地向甲方提交服务工作进度报告及其他专项报告，并应确保报告内容准确和全面。</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2.10</w:t>
      </w:r>
      <w:r>
        <w:rPr>
          <w:rFonts w:hint="eastAsia" w:ascii="宋体" w:hAnsi="宋体"/>
          <w:color w:val="auto"/>
          <w:sz w:val="24"/>
          <w:highlight w:val="none"/>
        </w:rPr>
        <w:t>乙方指定     先生作为乙方代表，负责全面履行和管理本合同。</w:t>
      </w:r>
    </w:p>
    <w:p>
      <w:pPr>
        <w:spacing w:line="360" w:lineRule="auto"/>
        <w:ind w:left="0" w:leftChars="0"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2.11乙方</w:t>
      </w:r>
      <w:r>
        <w:rPr>
          <w:rFonts w:hint="eastAsia" w:ascii="宋体" w:hAnsi="宋体"/>
          <w:color w:val="auto"/>
          <w:sz w:val="24"/>
          <w:highlight w:val="none"/>
        </w:rPr>
        <w:t>向甲方办理资金支付申请和项目结算手续，并向甲方开具合法有效增值税发票，作为已收甲方款项凭证。</w:t>
      </w:r>
    </w:p>
    <w:p>
      <w:pPr>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开具发票来源途径和发票本身必须合法，不得虚假、虚开，保证发票合法性和真实性。发票付款方名称、合同标的名称、数量、金额、合同效力发生时间保持一致性。</w:t>
      </w:r>
    </w:p>
    <w:p>
      <w:pPr>
        <w:spacing w:line="360" w:lineRule="auto"/>
        <w:rPr>
          <w:b/>
          <w:bCs/>
          <w:color w:val="auto"/>
          <w:highlight w:val="none"/>
        </w:rPr>
      </w:pPr>
      <w:bookmarkStart w:id="2037" w:name="_Toc10405_WPSOffice_Level1"/>
      <w:bookmarkStart w:id="2038" w:name="_Toc30497_WPSOffice_Level1"/>
      <w:r>
        <w:rPr>
          <w:rFonts w:hint="eastAsia"/>
          <w:b/>
          <w:bCs/>
          <w:color w:val="auto"/>
          <w:highlight w:val="none"/>
        </w:rPr>
        <w:t>第</w:t>
      </w:r>
      <w:r>
        <w:rPr>
          <w:rFonts w:hint="eastAsia"/>
          <w:b/>
          <w:bCs/>
          <w:color w:val="auto"/>
          <w:highlight w:val="none"/>
          <w:lang w:val="en-US" w:eastAsia="zh-CN"/>
        </w:rPr>
        <w:t>三</w:t>
      </w:r>
      <w:r>
        <w:rPr>
          <w:rFonts w:hint="eastAsia"/>
          <w:b/>
          <w:bCs/>
          <w:color w:val="auto"/>
          <w:highlight w:val="none"/>
        </w:rPr>
        <w:t>条 合同价格</w:t>
      </w:r>
      <w:bookmarkEnd w:id="2037"/>
      <w:bookmarkEnd w:id="2038"/>
    </w:p>
    <w:p>
      <w:pPr>
        <w:pStyle w:val="9"/>
        <w:spacing w:line="360" w:lineRule="auto"/>
        <w:ind w:firstLine="540" w:firstLineChars="0"/>
        <w:rPr>
          <w:rFonts w:hint="eastAsia" w:ascii="宋体" w:hAnsi="宋体" w:cs="宋体"/>
          <w:color w:val="auto"/>
          <w:sz w:val="24"/>
          <w:highlight w:val="none"/>
        </w:rPr>
      </w:pPr>
      <w:r>
        <w:rPr>
          <w:rFonts w:hint="eastAsia" w:ascii="宋体" w:hAnsi="宋体" w:cs="宋体"/>
          <w:color w:val="auto"/>
          <w:sz w:val="24"/>
          <w:highlight w:val="none"/>
        </w:rPr>
        <w:t>本项目以总价包干的形式承包，合同</w:t>
      </w:r>
      <w:r>
        <w:rPr>
          <w:rFonts w:hint="eastAsia" w:ascii="宋体" w:hAnsi="宋体" w:cs="宋体"/>
          <w:color w:val="auto"/>
          <w:sz w:val="24"/>
          <w:highlight w:val="none"/>
          <w:lang w:val="en-US" w:eastAsia="zh-CN"/>
        </w:rPr>
        <w:t>总</w:t>
      </w:r>
      <w:r>
        <w:rPr>
          <w:rFonts w:hint="eastAsia" w:ascii="宋体" w:hAnsi="宋体" w:cs="宋体"/>
          <w:color w:val="auto"/>
          <w:sz w:val="24"/>
          <w:highlight w:val="none"/>
        </w:rPr>
        <w:t>金额：￥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元（大写：人民币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w:t>
      </w:r>
      <w:r>
        <w:rPr>
          <w:rFonts w:hint="eastAsia" w:ascii="宋体" w:hAnsi="宋体" w:cs="宋体"/>
          <w:color w:val="auto"/>
          <w:sz w:val="24"/>
          <w:highlight w:val="none"/>
          <w:lang w:val="en-US" w:eastAsia="zh-CN"/>
        </w:rPr>
        <w:t>其中</w:t>
      </w:r>
      <w:r>
        <w:rPr>
          <w:rFonts w:ascii="宋体" w:hAnsi="宋体" w:eastAsia="宋体" w:cs="宋体"/>
          <w:color w:val="auto"/>
          <w:sz w:val="24"/>
          <w:szCs w:val="24"/>
          <w:highlight w:val="none"/>
        </w:rPr>
        <w:t>不含税</w:t>
      </w:r>
      <w:r>
        <w:rPr>
          <w:rFonts w:hint="eastAsia" w:ascii="宋体" w:hAnsi="宋体" w:cs="宋体"/>
          <w:color w:val="auto"/>
          <w:sz w:val="24"/>
          <w:szCs w:val="24"/>
          <w:highlight w:val="none"/>
          <w:lang w:val="en-US" w:eastAsia="zh-CN"/>
        </w:rPr>
        <w:t>金额</w:t>
      </w:r>
      <w:r>
        <w:rPr>
          <w:rFonts w:ascii="宋体" w:hAnsi="宋体" w:eastAsia="宋体" w:cs="宋体"/>
          <w:color w:val="auto"/>
          <w:sz w:val="24"/>
          <w:szCs w:val="24"/>
          <w:highlight w:val="none"/>
        </w:rPr>
        <w:t>为：￥</w:t>
      </w:r>
      <w:r>
        <w:rPr>
          <w:rFonts w:hint="eastAsia" w:ascii="宋体" w:hAnsi="宋体" w:cs="宋体"/>
          <w:color w:val="auto"/>
          <w:sz w:val="24"/>
          <w:highlight w:val="none"/>
          <w:u w:val="single"/>
        </w:rPr>
        <w:t xml:space="preserve">        </w:t>
      </w:r>
      <w:r>
        <w:rPr>
          <w:rFonts w:ascii="宋体" w:hAnsi="宋体" w:eastAsia="宋体" w:cs="宋体"/>
          <w:color w:val="auto"/>
          <w:sz w:val="24"/>
          <w:szCs w:val="24"/>
          <w:highlight w:val="none"/>
        </w:rPr>
        <w:t>元（大写：人民币</w:t>
      </w:r>
      <w:r>
        <w:rPr>
          <w:rFonts w:hint="eastAsia" w:ascii="宋体" w:hAnsi="宋体" w:cs="宋体"/>
          <w:color w:val="auto"/>
          <w:sz w:val="24"/>
          <w:highlight w:val="none"/>
          <w:u w:val="single"/>
        </w:rPr>
        <w:t xml:space="preserve">        </w:t>
      </w:r>
      <w:r>
        <w:rPr>
          <w:rFonts w:ascii="宋体" w:hAnsi="宋体" w:eastAsia="宋体" w:cs="宋体"/>
          <w:color w:val="auto"/>
          <w:sz w:val="24"/>
          <w:szCs w:val="24"/>
          <w:highlight w:val="none"/>
        </w:rPr>
        <w:t>元）</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增值税</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元（大写：人民币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w:t>
      </w:r>
      <w:r>
        <w:rPr>
          <w:rFonts w:hint="eastAsia" w:ascii="宋体" w:hAnsi="宋体" w:cs="宋体"/>
          <w:color w:val="auto"/>
          <w:sz w:val="24"/>
          <w:highlight w:val="none"/>
          <w:lang w:val="en-US" w:eastAsia="zh-CN"/>
        </w:rPr>
        <w:t>税率</w:t>
      </w:r>
      <w:r>
        <w:rPr>
          <w:rFonts w:hint="eastAsia" w:ascii="宋体" w:hAnsi="宋体" w:cs="宋体"/>
          <w:color w:val="auto"/>
          <w:sz w:val="24"/>
          <w:highlight w:val="none"/>
          <w:u w:val="single"/>
        </w:rPr>
        <w:t xml:space="preserve">        </w:t>
      </w:r>
      <w:r>
        <w:rPr>
          <w:rFonts w:hint="eastAsia" w:ascii="宋体" w:hAnsi="宋体" w:cs="宋体"/>
          <w:color w:val="auto"/>
          <w:sz w:val="24"/>
          <w:highlight w:val="none"/>
          <w:lang w:eastAsia="zh-CN"/>
        </w:rPr>
        <w:t>。</w:t>
      </w:r>
    </w:p>
    <w:p>
      <w:pPr>
        <w:pStyle w:val="9"/>
        <w:spacing w:line="360" w:lineRule="auto"/>
        <w:ind w:firstLine="540" w:firstLineChars="0"/>
        <w:rPr>
          <w:rFonts w:hint="eastAsia" w:ascii="宋体" w:hAnsi="宋体" w:cs="宋体"/>
          <w:color w:val="auto"/>
          <w:sz w:val="24"/>
          <w:highlight w:val="none"/>
        </w:rPr>
      </w:pPr>
      <w:r>
        <w:rPr>
          <w:rFonts w:hint="eastAsia" w:ascii="宋体" w:hAnsi="宋体" w:cs="宋体"/>
          <w:color w:val="auto"/>
          <w:sz w:val="24"/>
          <w:highlight w:val="none"/>
        </w:rPr>
        <w:t>以上合同金额包括但不限于包含服务费、材料费、运费、税费、人工费、安全措施费、专家评审费、打印费等相关一切费用。</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已考虑项目工作过程中可能出现的变动因素、任何加班费用及与单项工程相关的风险，乙方不得以任何理由要求对本</w:t>
      </w:r>
      <w:r>
        <w:rPr>
          <w:rFonts w:hint="eastAsia" w:ascii="宋体" w:hAnsi="宋体" w:cs="宋体"/>
          <w:color w:val="auto"/>
          <w:sz w:val="24"/>
          <w:highlight w:val="none"/>
          <w:lang w:val="en-US" w:eastAsia="zh-CN"/>
        </w:rPr>
        <w:t>服务</w:t>
      </w:r>
      <w:r>
        <w:rPr>
          <w:rFonts w:hint="eastAsia" w:ascii="宋体" w:hAnsi="宋体" w:cs="宋体"/>
          <w:color w:val="auto"/>
          <w:sz w:val="24"/>
          <w:highlight w:val="none"/>
        </w:rPr>
        <w:t>合同价格做出任何调整。</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合同总价不包含10kv</w:t>
      </w:r>
      <w:r>
        <w:rPr>
          <w:rFonts w:hint="eastAsia" w:ascii="宋体" w:hAnsi="宋体" w:cs="宋体"/>
          <w:color w:val="auto"/>
          <w:sz w:val="24"/>
          <w:szCs w:val="24"/>
          <w:highlight w:val="none"/>
          <w:lang w:val="en-US" w:eastAsia="zh-CN"/>
        </w:rPr>
        <w:t>及以上</w:t>
      </w:r>
      <w:r>
        <w:rPr>
          <w:rFonts w:hint="eastAsia" w:ascii="宋体" w:hAnsi="宋体" w:cs="宋体"/>
          <w:color w:val="auto"/>
          <w:sz w:val="24"/>
          <w:szCs w:val="24"/>
          <w:highlight w:val="none"/>
        </w:rPr>
        <w:t>电缆、DN500及以上管道，如有发生，价格另议。</w:t>
      </w:r>
    </w:p>
    <w:p>
      <w:pPr>
        <w:spacing w:line="360" w:lineRule="auto"/>
        <w:rPr>
          <w:b/>
          <w:bCs/>
          <w:color w:val="auto"/>
          <w:highlight w:val="none"/>
        </w:rPr>
      </w:pPr>
      <w:bookmarkStart w:id="2039" w:name="_Toc31152_WPSOffice_Level1"/>
      <w:bookmarkStart w:id="2040" w:name="_Toc15981_WPSOffice_Level1"/>
      <w:r>
        <w:rPr>
          <w:rFonts w:hint="eastAsia"/>
          <w:b/>
          <w:bCs/>
          <w:color w:val="auto"/>
          <w:highlight w:val="none"/>
        </w:rPr>
        <w:t>第</w:t>
      </w:r>
      <w:r>
        <w:rPr>
          <w:rFonts w:hint="eastAsia"/>
          <w:b/>
          <w:bCs/>
          <w:color w:val="auto"/>
          <w:highlight w:val="none"/>
          <w:lang w:val="en-US" w:eastAsia="zh-CN"/>
        </w:rPr>
        <w:t>四</w:t>
      </w:r>
      <w:r>
        <w:rPr>
          <w:rFonts w:hint="eastAsia"/>
          <w:b/>
          <w:bCs/>
          <w:color w:val="auto"/>
          <w:highlight w:val="none"/>
        </w:rPr>
        <w:t>条 支付方式</w:t>
      </w:r>
      <w:bookmarkEnd w:id="2039"/>
      <w:bookmarkEnd w:id="2040"/>
    </w:p>
    <w:p>
      <w:pPr>
        <w:spacing w:line="360" w:lineRule="auto"/>
        <w:ind w:firstLine="48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.1总价包干，</w:t>
      </w:r>
      <w:r>
        <w:rPr>
          <w:rFonts w:hint="eastAsia" w:ascii="宋体" w:hAnsi="宋体" w:cs="宋体"/>
          <w:color w:val="auto"/>
          <w:sz w:val="24"/>
          <w:highlight w:val="none"/>
          <w:lang w:eastAsia="zh-CN"/>
        </w:rPr>
        <w:t>按照本</w:t>
      </w:r>
      <w:r>
        <w:rPr>
          <w:rFonts w:hint="eastAsia" w:ascii="宋体" w:hAnsi="宋体" w:cs="宋体"/>
          <w:color w:val="auto"/>
          <w:sz w:val="24"/>
          <w:highlight w:val="none"/>
          <w:lang w:val="en-US" w:eastAsia="zh-CN"/>
        </w:rPr>
        <w:t>实体</w:t>
      </w:r>
      <w:r>
        <w:rPr>
          <w:rFonts w:hint="eastAsia" w:ascii="宋体" w:hAnsi="宋体" w:cs="宋体"/>
          <w:color w:val="auto"/>
          <w:sz w:val="24"/>
          <w:highlight w:val="none"/>
          <w:lang w:eastAsia="zh-CN"/>
        </w:rPr>
        <w:t>工程工作完成情况，</w:t>
      </w:r>
      <w:r>
        <w:rPr>
          <w:rFonts w:hint="eastAsia" w:ascii="宋体" w:hAnsi="宋体" w:cs="宋体"/>
          <w:color w:val="auto"/>
          <w:sz w:val="24"/>
          <w:highlight w:val="none"/>
        </w:rPr>
        <w:t>由甲方</w:t>
      </w:r>
      <w:r>
        <w:rPr>
          <w:rFonts w:hint="eastAsia" w:ascii="宋体" w:hAnsi="宋体" w:cs="宋体"/>
          <w:color w:val="auto"/>
          <w:sz w:val="24"/>
          <w:highlight w:val="none"/>
          <w:lang w:eastAsia="zh-CN"/>
        </w:rPr>
        <w:t>按照项目</w:t>
      </w:r>
      <w:r>
        <w:rPr>
          <w:rFonts w:hint="eastAsia" w:ascii="宋体" w:hAnsi="宋体" w:cs="宋体"/>
          <w:color w:val="auto"/>
          <w:sz w:val="24"/>
          <w:highlight w:val="none"/>
          <w:lang w:val="en-US" w:eastAsia="zh-CN"/>
        </w:rPr>
        <w:t>进度支付乙方</w:t>
      </w:r>
      <w:r>
        <w:rPr>
          <w:rFonts w:hint="eastAsia" w:ascii="宋体" w:hAnsi="宋体" w:cs="宋体"/>
          <w:color w:val="auto"/>
          <w:sz w:val="24"/>
          <w:highlight w:val="none"/>
          <w:lang w:eastAsia="zh-CN"/>
        </w:rPr>
        <w:t>服务费。</w:t>
      </w:r>
    </w:p>
    <w:p>
      <w:pPr>
        <w:spacing w:line="360" w:lineRule="auto"/>
        <w:ind w:firstLine="480"/>
        <w:jc w:val="lef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4.2 具体支付方式</w:t>
      </w:r>
    </w:p>
    <w:p>
      <w:pPr>
        <w:spacing w:line="360" w:lineRule="auto"/>
        <w:ind w:firstLine="480"/>
        <w:jc w:val="left"/>
        <w:rPr>
          <w:rFonts w:hint="eastAsia" w:ascii="宋体" w:hAnsi="宋体" w:eastAsia="宋体" w:cs="宋体"/>
          <w:color w:val="auto"/>
          <w:spacing w:val="10"/>
          <w:sz w:val="24"/>
          <w:szCs w:val="24"/>
          <w:highlight w:val="none"/>
          <w:lang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w:t>
      </w:r>
      <w:r>
        <w:rPr>
          <w:rFonts w:hint="eastAsia" w:ascii="宋体" w:hAnsi="宋体" w:cs="宋体"/>
          <w:color w:val="auto"/>
          <w:spacing w:val="10"/>
          <w:sz w:val="24"/>
          <w:szCs w:val="24"/>
          <w:highlight w:val="none"/>
        </w:rPr>
        <w:t>预付款</w:t>
      </w:r>
      <w:r>
        <w:rPr>
          <w:rFonts w:hint="eastAsia" w:ascii="宋体" w:hAnsi="宋体" w:cs="宋体"/>
          <w:color w:val="auto"/>
          <w:spacing w:val="10"/>
          <w:sz w:val="24"/>
          <w:szCs w:val="24"/>
          <w:highlight w:val="none"/>
          <w:lang w:eastAsia="zh-CN"/>
        </w:rPr>
        <w:t>。</w:t>
      </w:r>
      <w:r>
        <w:rPr>
          <w:rFonts w:hint="eastAsia" w:ascii="宋体" w:hAnsi="宋体" w:cs="宋体"/>
          <w:color w:val="auto"/>
          <w:spacing w:val="10"/>
          <w:sz w:val="24"/>
          <w:szCs w:val="24"/>
          <w:highlight w:val="none"/>
        </w:rPr>
        <w:t>甲方向乙方支付</w:t>
      </w:r>
      <w:r>
        <w:rPr>
          <w:rFonts w:hint="eastAsia" w:ascii="宋体" w:hAnsi="宋体" w:cs="宋体"/>
          <w:color w:val="auto"/>
          <w:spacing w:val="10"/>
          <w:sz w:val="24"/>
          <w:szCs w:val="24"/>
          <w:highlight w:val="none"/>
          <w:lang w:val="en-US" w:eastAsia="zh-CN"/>
        </w:rPr>
        <w:t>本</w:t>
      </w:r>
      <w:r>
        <w:rPr>
          <w:rFonts w:hint="eastAsia" w:ascii="宋体" w:hAnsi="宋体" w:cs="宋体"/>
          <w:color w:val="auto"/>
          <w:spacing w:val="10"/>
          <w:sz w:val="24"/>
          <w:szCs w:val="24"/>
          <w:highlight w:val="none"/>
        </w:rPr>
        <w:t>合同价格的百分之十（</w:t>
      </w:r>
      <w:r>
        <w:rPr>
          <w:rFonts w:hint="eastAsia" w:ascii="宋体" w:hAnsi="宋体" w:cs="宋体"/>
          <w:color w:val="auto"/>
          <w:spacing w:val="10"/>
          <w:sz w:val="24"/>
          <w:szCs w:val="24"/>
          <w:highlight w:val="none"/>
          <w:lang w:val="en-US" w:eastAsia="zh-CN"/>
        </w:rPr>
        <w:t>1</w:t>
      </w:r>
      <w:r>
        <w:rPr>
          <w:rFonts w:hint="eastAsia" w:ascii="宋体" w:hAnsi="宋体" w:cs="宋体"/>
          <w:color w:val="auto"/>
          <w:spacing w:val="10"/>
          <w:sz w:val="24"/>
          <w:szCs w:val="24"/>
          <w:highlight w:val="none"/>
        </w:rPr>
        <w:t>0%）</w:t>
      </w:r>
      <w:r>
        <w:rPr>
          <w:rFonts w:hint="eastAsia" w:ascii="宋体" w:hAnsi="宋体" w:cs="宋体"/>
          <w:color w:val="auto"/>
          <w:sz w:val="24"/>
          <w:highlight w:val="none"/>
        </w:rPr>
        <w:t>金额为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w:t>
      </w:r>
      <w:r>
        <w:rPr>
          <w:rFonts w:hint="eastAsia" w:ascii="宋体" w:hAnsi="宋体" w:cs="宋体"/>
          <w:color w:val="auto"/>
          <w:spacing w:val="10"/>
          <w:sz w:val="24"/>
          <w:szCs w:val="24"/>
          <w:highlight w:val="none"/>
        </w:rPr>
        <w:t>作为预付款。</w:t>
      </w:r>
    </w:p>
    <w:p>
      <w:pPr>
        <w:spacing w:line="360" w:lineRule="auto"/>
        <w:ind w:firstLine="480"/>
        <w:jc w:val="left"/>
        <w:rPr>
          <w:rFonts w:hint="eastAsia" w:ascii="宋体" w:hAnsi="宋体" w:eastAsia="宋体" w:cs="宋体"/>
          <w:color w:val="auto"/>
          <w:spacing w:val="10"/>
          <w:sz w:val="24"/>
          <w:szCs w:val="24"/>
          <w:highlight w:val="none"/>
          <w:lang w:eastAsia="zh-CN"/>
        </w:rPr>
      </w:pPr>
      <w:r>
        <w:rPr>
          <w:rFonts w:hint="eastAsia" w:ascii="宋体" w:hAnsi="宋体" w:cs="宋体"/>
          <w:color w:val="auto"/>
          <w:spacing w:val="10"/>
          <w:sz w:val="24"/>
          <w:szCs w:val="24"/>
          <w:highlight w:val="none"/>
        </w:rPr>
        <w:t>合同生效日期起14日内，乙方开具合法有效的与预付款同等金额的合法有效增值税专用发票并已提交甲方，甲方收齐</w:t>
      </w:r>
      <w:r>
        <w:rPr>
          <w:rFonts w:hint="eastAsia" w:ascii="宋体" w:hAnsi="宋体" w:cs="宋体"/>
          <w:color w:val="auto"/>
          <w:spacing w:val="10"/>
          <w:sz w:val="24"/>
          <w:szCs w:val="24"/>
          <w:highlight w:val="none"/>
          <w:lang w:val="en-US" w:eastAsia="zh-CN"/>
        </w:rPr>
        <w:t>履约保函及</w:t>
      </w:r>
      <w:r>
        <w:rPr>
          <w:rFonts w:hint="eastAsia" w:ascii="宋体" w:hAnsi="宋体" w:cs="宋体"/>
          <w:color w:val="auto"/>
          <w:spacing w:val="10"/>
          <w:sz w:val="24"/>
          <w:szCs w:val="24"/>
          <w:highlight w:val="none"/>
        </w:rPr>
        <w:t>发票后7个工作日内，甲方向乙方支付预付款。</w:t>
      </w:r>
    </w:p>
    <w:p>
      <w:pPr>
        <w:numPr>
          <w:ilvl w:val="0"/>
          <w:numId w:val="35"/>
        </w:numPr>
        <w:spacing w:line="360" w:lineRule="auto"/>
        <w:ind w:firstLine="480"/>
        <w:jc w:val="left"/>
        <w:rPr>
          <w:rFonts w:hint="eastAsia" w:ascii="宋体" w:hAnsi="宋体" w:cs="宋体"/>
          <w:color w:val="auto"/>
          <w:spacing w:val="10"/>
          <w:sz w:val="24"/>
          <w:szCs w:val="24"/>
          <w:highlight w:val="none"/>
          <w:lang w:eastAsia="zh-CN"/>
        </w:rPr>
      </w:pPr>
      <w:r>
        <w:rPr>
          <w:rFonts w:hint="eastAsia" w:ascii="宋体" w:hAnsi="宋体" w:cs="宋体"/>
          <w:color w:val="auto"/>
          <w:spacing w:val="10"/>
          <w:sz w:val="24"/>
          <w:szCs w:val="24"/>
          <w:highlight w:val="none"/>
        </w:rPr>
        <w:t>进度款</w:t>
      </w:r>
      <w:r>
        <w:rPr>
          <w:rFonts w:hint="eastAsia" w:ascii="宋体" w:hAnsi="宋体" w:cs="宋体"/>
          <w:color w:val="auto"/>
          <w:spacing w:val="10"/>
          <w:sz w:val="24"/>
          <w:szCs w:val="24"/>
          <w:highlight w:val="none"/>
          <w:lang w:eastAsia="zh-CN"/>
        </w:rPr>
        <w:t>。</w:t>
      </w:r>
    </w:p>
    <w:p>
      <w:pPr>
        <w:numPr>
          <w:ilvl w:val="0"/>
          <w:numId w:val="0"/>
        </w:numPr>
        <w:spacing w:line="360" w:lineRule="auto"/>
        <w:ind w:firstLine="520" w:firstLineChars="200"/>
        <w:jc w:val="left"/>
        <w:rPr>
          <w:rFonts w:hint="eastAsia" w:ascii="宋体" w:hAnsi="宋体" w:cs="宋体"/>
          <w:color w:val="auto"/>
          <w:spacing w:val="10"/>
          <w:sz w:val="24"/>
          <w:szCs w:val="24"/>
          <w:highlight w:val="none"/>
          <w:lang w:eastAsia="zh-CN"/>
        </w:rPr>
      </w:pPr>
      <w:r>
        <w:rPr>
          <w:rFonts w:hint="eastAsia" w:ascii="宋体" w:hAnsi="宋体" w:cs="宋体"/>
          <w:color w:val="auto"/>
          <w:spacing w:val="10"/>
          <w:sz w:val="24"/>
          <w:szCs w:val="24"/>
          <w:highlight w:val="none"/>
          <w:lang w:val="en-US" w:eastAsia="zh-CN"/>
        </w:rPr>
        <w:t>甲方</w:t>
      </w:r>
      <w:r>
        <w:rPr>
          <w:rFonts w:hint="eastAsia" w:ascii="宋体" w:hAnsi="宋体" w:cs="宋体"/>
          <w:color w:val="auto"/>
          <w:spacing w:val="10"/>
          <w:sz w:val="24"/>
          <w:szCs w:val="24"/>
          <w:highlight w:val="none"/>
          <w:lang w:eastAsia="zh-CN"/>
        </w:rPr>
        <w:t>按下列时间及金额,并在收到</w:t>
      </w:r>
      <w:r>
        <w:rPr>
          <w:rFonts w:hint="eastAsia" w:ascii="宋体" w:hAnsi="宋体" w:cs="宋体"/>
          <w:color w:val="auto"/>
          <w:spacing w:val="10"/>
          <w:sz w:val="24"/>
          <w:szCs w:val="24"/>
          <w:highlight w:val="none"/>
          <w:lang w:val="en-US" w:eastAsia="zh-CN"/>
        </w:rPr>
        <w:t>乙方</w:t>
      </w:r>
      <w:r>
        <w:rPr>
          <w:rFonts w:hint="eastAsia" w:ascii="宋体" w:hAnsi="宋体" w:cs="宋体"/>
          <w:color w:val="auto"/>
          <w:spacing w:val="10"/>
          <w:sz w:val="24"/>
          <w:szCs w:val="24"/>
          <w:highlight w:val="none"/>
          <w:lang w:eastAsia="zh-CN"/>
        </w:rPr>
        <w:t>提交的相应金额的正式发票后21日内，向</w:t>
      </w:r>
      <w:r>
        <w:rPr>
          <w:rFonts w:hint="eastAsia" w:ascii="宋体" w:hAnsi="宋体" w:cs="宋体"/>
          <w:color w:val="auto"/>
          <w:spacing w:val="10"/>
          <w:sz w:val="24"/>
          <w:szCs w:val="24"/>
          <w:highlight w:val="none"/>
          <w:lang w:val="en-US" w:eastAsia="zh-CN"/>
        </w:rPr>
        <w:t>乙方</w:t>
      </w:r>
      <w:r>
        <w:rPr>
          <w:rFonts w:hint="eastAsia" w:ascii="宋体" w:hAnsi="宋体" w:cs="宋体"/>
          <w:color w:val="auto"/>
          <w:spacing w:val="10"/>
          <w:sz w:val="24"/>
          <w:szCs w:val="24"/>
          <w:highlight w:val="none"/>
          <w:lang w:eastAsia="zh-CN"/>
        </w:rPr>
        <w:t>支付服务费。</w:t>
      </w:r>
    </w:p>
    <w:p>
      <w:pPr>
        <w:numPr>
          <w:ilvl w:val="0"/>
          <w:numId w:val="0"/>
        </w:numPr>
        <w:spacing w:line="360" w:lineRule="auto"/>
        <w:ind w:firstLine="520" w:firstLineChars="200"/>
        <w:jc w:val="left"/>
        <w:rPr>
          <w:rFonts w:hint="eastAsia" w:ascii="宋体" w:hAnsi="宋体" w:cs="宋体"/>
          <w:color w:val="auto"/>
          <w:spacing w:val="10"/>
          <w:sz w:val="24"/>
          <w:szCs w:val="24"/>
          <w:highlight w:val="none"/>
          <w:lang w:eastAsia="zh-CN"/>
        </w:rPr>
      </w:pPr>
      <w:r>
        <w:rPr>
          <w:rFonts w:hint="eastAsia" w:ascii="宋体" w:hAnsi="宋体" w:cs="宋体"/>
          <w:color w:val="auto"/>
          <w:spacing w:val="10"/>
          <w:sz w:val="24"/>
          <w:szCs w:val="24"/>
          <w:highlight w:val="none"/>
          <w:lang w:eastAsia="zh-CN"/>
        </w:rPr>
        <w:t>A 完成</w:t>
      </w:r>
      <w:r>
        <w:rPr>
          <w:rFonts w:hint="eastAsia" w:ascii="宋体" w:hAnsi="宋体" w:cs="宋体"/>
          <w:color w:val="auto"/>
          <w:spacing w:val="10"/>
          <w:sz w:val="24"/>
          <w:szCs w:val="24"/>
          <w:highlight w:val="none"/>
          <w:lang w:val="en-US" w:eastAsia="zh-CN"/>
        </w:rPr>
        <w:t>唐阁路</w:t>
      </w:r>
      <w:r>
        <w:rPr>
          <w:rFonts w:hint="eastAsia" w:ascii="宋体" w:hAnsi="宋体" w:cs="宋体"/>
          <w:color w:val="auto"/>
          <w:spacing w:val="10"/>
          <w:sz w:val="24"/>
          <w:szCs w:val="24"/>
          <w:highlight w:val="none"/>
          <w:lang w:eastAsia="zh-CN"/>
        </w:rPr>
        <w:t>至</w:t>
      </w:r>
      <w:r>
        <w:rPr>
          <w:rFonts w:hint="eastAsia" w:ascii="宋体" w:hAnsi="宋体" w:cs="宋体"/>
          <w:color w:val="auto"/>
          <w:spacing w:val="10"/>
          <w:sz w:val="24"/>
          <w:szCs w:val="24"/>
          <w:highlight w:val="none"/>
          <w:lang w:val="en-US" w:eastAsia="zh-CN"/>
        </w:rPr>
        <w:t>恒运</w:t>
      </w:r>
      <w:r>
        <w:rPr>
          <w:rFonts w:hint="eastAsia" w:ascii="宋体" w:hAnsi="宋体" w:cs="宋体"/>
          <w:color w:val="auto"/>
          <w:spacing w:val="10"/>
          <w:sz w:val="24"/>
          <w:szCs w:val="24"/>
          <w:highlight w:val="none"/>
          <w:lang w:eastAsia="zh-CN"/>
        </w:rPr>
        <w:t>电厂线路敷设</w:t>
      </w:r>
      <w:r>
        <w:rPr>
          <w:rFonts w:hint="eastAsia" w:ascii="宋体" w:hAnsi="宋体" w:cs="宋体"/>
          <w:color w:val="auto"/>
          <w:spacing w:val="10"/>
          <w:sz w:val="24"/>
          <w:szCs w:val="24"/>
          <w:highlight w:val="none"/>
          <w:lang w:val="en-US" w:eastAsia="zh-CN"/>
        </w:rPr>
        <w:t>0.5</w:t>
      </w:r>
      <w:r>
        <w:rPr>
          <w:rFonts w:hint="eastAsia" w:ascii="宋体" w:hAnsi="宋体" w:cs="宋体"/>
          <w:color w:val="auto"/>
          <w:spacing w:val="10"/>
          <w:sz w:val="24"/>
          <w:szCs w:val="24"/>
          <w:highlight w:val="none"/>
          <w:lang w:eastAsia="zh-CN"/>
        </w:rPr>
        <w:t>km施工后，支付合同价的</w:t>
      </w:r>
      <w:r>
        <w:rPr>
          <w:rFonts w:hint="eastAsia" w:ascii="宋体" w:hAnsi="宋体" w:cs="宋体"/>
          <w:color w:val="auto"/>
          <w:spacing w:val="10"/>
          <w:sz w:val="24"/>
          <w:szCs w:val="24"/>
          <w:highlight w:val="none"/>
          <w:lang w:val="en-US" w:eastAsia="zh-CN"/>
        </w:rPr>
        <w:t>20</w:t>
      </w:r>
      <w:r>
        <w:rPr>
          <w:rFonts w:hint="eastAsia" w:ascii="宋体" w:hAnsi="宋体" w:cs="宋体"/>
          <w:color w:val="auto"/>
          <w:spacing w:val="10"/>
          <w:sz w:val="24"/>
          <w:szCs w:val="24"/>
          <w:highlight w:val="none"/>
          <w:lang w:eastAsia="zh-CN"/>
        </w:rPr>
        <w:t>%，</w:t>
      </w:r>
      <w:r>
        <w:rPr>
          <w:rFonts w:hint="eastAsia" w:ascii="宋体" w:hAnsi="宋体" w:cs="宋体"/>
          <w:color w:val="auto"/>
          <w:spacing w:val="10"/>
          <w:sz w:val="24"/>
          <w:szCs w:val="24"/>
          <w:highlight w:val="none"/>
          <w:lang w:val="en-US" w:eastAsia="zh-CN"/>
        </w:rPr>
        <w:t>累计支付至合同价的30%</w:t>
      </w:r>
      <w:r>
        <w:rPr>
          <w:rFonts w:hint="eastAsia" w:ascii="宋体" w:hAnsi="宋体" w:cs="宋体"/>
          <w:color w:val="auto"/>
          <w:spacing w:val="10"/>
          <w:sz w:val="24"/>
          <w:szCs w:val="24"/>
          <w:highlight w:val="none"/>
          <w:lang w:eastAsia="zh-CN"/>
        </w:rPr>
        <w:t>；</w:t>
      </w:r>
    </w:p>
    <w:p>
      <w:pPr>
        <w:numPr>
          <w:ilvl w:val="0"/>
          <w:numId w:val="0"/>
        </w:numPr>
        <w:spacing w:line="360" w:lineRule="auto"/>
        <w:ind w:firstLine="520" w:firstLineChars="200"/>
        <w:jc w:val="left"/>
        <w:rPr>
          <w:rFonts w:hint="eastAsia" w:ascii="宋体" w:hAnsi="宋体" w:cs="宋体"/>
          <w:color w:val="auto"/>
          <w:spacing w:val="10"/>
          <w:sz w:val="24"/>
          <w:szCs w:val="24"/>
          <w:highlight w:val="none"/>
          <w:lang w:eastAsia="zh-CN"/>
        </w:rPr>
      </w:pPr>
      <w:r>
        <w:rPr>
          <w:rFonts w:hint="eastAsia" w:ascii="宋体" w:hAnsi="宋体" w:cs="宋体"/>
          <w:color w:val="auto"/>
          <w:spacing w:val="10"/>
          <w:sz w:val="24"/>
          <w:szCs w:val="24"/>
          <w:highlight w:val="none"/>
          <w:lang w:eastAsia="zh-CN"/>
        </w:rPr>
        <w:t>B 完成</w:t>
      </w:r>
      <w:r>
        <w:rPr>
          <w:rFonts w:hint="eastAsia" w:ascii="宋体" w:hAnsi="宋体" w:cs="宋体"/>
          <w:color w:val="auto"/>
          <w:spacing w:val="10"/>
          <w:sz w:val="24"/>
          <w:szCs w:val="24"/>
          <w:highlight w:val="none"/>
          <w:lang w:val="en-US" w:eastAsia="zh-CN"/>
        </w:rPr>
        <w:t>唐阁路</w:t>
      </w:r>
      <w:r>
        <w:rPr>
          <w:rFonts w:hint="eastAsia" w:ascii="宋体" w:hAnsi="宋体" w:cs="宋体"/>
          <w:color w:val="auto"/>
          <w:spacing w:val="10"/>
          <w:sz w:val="24"/>
          <w:szCs w:val="24"/>
          <w:highlight w:val="none"/>
          <w:lang w:eastAsia="zh-CN"/>
        </w:rPr>
        <w:t>至</w:t>
      </w:r>
      <w:r>
        <w:rPr>
          <w:rFonts w:hint="eastAsia" w:ascii="宋体" w:hAnsi="宋体" w:cs="宋体"/>
          <w:color w:val="auto"/>
          <w:spacing w:val="10"/>
          <w:sz w:val="24"/>
          <w:szCs w:val="24"/>
          <w:highlight w:val="none"/>
          <w:lang w:val="en-US" w:eastAsia="zh-CN"/>
        </w:rPr>
        <w:t>恒运</w:t>
      </w:r>
      <w:r>
        <w:rPr>
          <w:rFonts w:hint="eastAsia" w:ascii="宋体" w:hAnsi="宋体" w:cs="宋体"/>
          <w:color w:val="auto"/>
          <w:spacing w:val="10"/>
          <w:sz w:val="24"/>
          <w:szCs w:val="24"/>
          <w:highlight w:val="none"/>
          <w:lang w:eastAsia="zh-CN"/>
        </w:rPr>
        <w:t>电厂线路敷设</w:t>
      </w:r>
      <w:r>
        <w:rPr>
          <w:rFonts w:hint="eastAsia" w:ascii="宋体" w:hAnsi="宋体" w:cs="宋体"/>
          <w:color w:val="auto"/>
          <w:spacing w:val="10"/>
          <w:sz w:val="24"/>
          <w:szCs w:val="24"/>
          <w:highlight w:val="none"/>
          <w:lang w:val="en-US" w:eastAsia="zh-CN"/>
        </w:rPr>
        <w:t>1.0</w:t>
      </w:r>
      <w:r>
        <w:rPr>
          <w:rFonts w:hint="eastAsia" w:ascii="宋体" w:hAnsi="宋体" w:cs="宋体"/>
          <w:color w:val="auto"/>
          <w:spacing w:val="10"/>
          <w:sz w:val="24"/>
          <w:szCs w:val="24"/>
          <w:highlight w:val="none"/>
          <w:lang w:eastAsia="zh-CN"/>
        </w:rPr>
        <w:t>km施工后，支付合同价的</w:t>
      </w:r>
      <w:r>
        <w:rPr>
          <w:rFonts w:hint="eastAsia" w:ascii="宋体" w:hAnsi="宋体" w:cs="宋体"/>
          <w:color w:val="auto"/>
          <w:spacing w:val="10"/>
          <w:sz w:val="24"/>
          <w:szCs w:val="24"/>
          <w:highlight w:val="none"/>
          <w:lang w:val="en-US" w:eastAsia="zh-CN"/>
        </w:rPr>
        <w:t>10</w:t>
      </w:r>
      <w:r>
        <w:rPr>
          <w:rFonts w:hint="eastAsia" w:ascii="宋体" w:hAnsi="宋体" w:cs="宋体"/>
          <w:color w:val="auto"/>
          <w:spacing w:val="10"/>
          <w:sz w:val="24"/>
          <w:szCs w:val="24"/>
          <w:highlight w:val="none"/>
          <w:lang w:eastAsia="zh-CN"/>
        </w:rPr>
        <w:t>%，</w:t>
      </w:r>
      <w:r>
        <w:rPr>
          <w:rFonts w:hint="eastAsia" w:ascii="宋体" w:hAnsi="宋体" w:cs="宋体"/>
          <w:color w:val="auto"/>
          <w:spacing w:val="10"/>
          <w:sz w:val="24"/>
          <w:szCs w:val="24"/>
          <w:highlight w:val="none"/>
          <w:lang w:val="en-US" w:eastAsia="zh-CN"/>
        </w:rPr>
        <w:t>同时</w:t>
      </w:r>
      <w:r>
        <w:rPr>
          <w:rFonts w:hint="eastAsia" w:ascii="宋体" w:hAnsi="宋体" w:cs="宋体"/>
          <w:color w:val="auto"/>
          <w:spacing w:val="10"/>
          <w:sz w:val="24"/>
          <w:szCs w:val="24"/>
          <w:highlight w:val="none"/>
          <w:lang w:eastAsia="zh-CN"/>
        </w:rPr>
        <w:t>预付款转为进度款，</w:t>
      </w:r>
      <w:r>
        <w:rPr>
          <w:rFonts w:hint="eastAsia" w:ascii="宋体" w:hAnsi="宋体" w:cs="宋体"/>
          <w:color w:val="auto"/>
          <w:spacing w:val="10"/>
          <w:sz w:val="24"/>
          <w:szCs w:val="24"/>
          <w:highlight w:val="none"/>
          <w:lang w:val="en-US" w:eastAsia="zh-CN"/>
        </w:rPr>
        <w:t>累计支付至合同价的40%</w:t>
      </w:r>
      <w:r>
        <w:rPr>
          <w:rFonts w:hint="eastAsia" w:ascii="宋体" w:hAnsi="宋体" w:cs="宋体"/>
          <w:color w:val="auto"/>
          <w:spacing w:val="10"/>
          <w:sz w:val="24"/>
          <w:szCs w:val="24"/>
          <w:highlight w:val="none"/>
          <w:lang w:eastAsia="zh-CN"/>
        </w:rPr>
        <w:t>；</w:t>
      </w:r>
    </w:p>
    <w:p>
      <w:pPr>
        <w:numPr>
          <w:ilvl w:val="0"/>
          <w:numId w:val="0"/>
        </w:numPr>
        <w:spacing w:line="360" w:lineRule="auto"/>
        <w:ind w:firstLine="520" w:firstLineChars="200"/>
        <w:jc w:val="left"/>
        <w:rPr>
          <w:rFonts w:hint="eastAsia" w:ascii="宋体" w:hAnsi="宋体" w:cs="宋体"/>
          <w:color w:val="auto"/>
          <w:spacing w:val="10"/>
          <w:sz w:val="24"/>
          <w:szCs w:val="24"/>
          <w:highlight w:val="none"/>
          <w:lang w:eastAsia="zh-CN"/>
        </w:rPr>
      </w:pPr>
      <w:r>
        <w:rPr>
          <w:rFonts w:hint="eastAsia" w:ascii="宋体" w:hAnsi="宋体" w:cs="宋体"/>
          <w:color w:val="auto"/>
          <w:spacing w:val="10"/>
          <w:sz w:val="24"/>
          <w:szCs w:val="24"/>
          <w:highlight w:val="none"/>
          <w:lang w:eastAsia="zh-CN"/>
        </w:rPr>
        <w:t>C 完成</w:t>
      </w:r>
      <w:r>
        <w:rPr>
          <w:rFonts w:hint="eastAsia" w:ascii="宋体" w:hAnsi="宋体" w:cs="宋体"/>
          <w:color w:val="auto"/>
          <w:spacing w:val="10"/>
          <w:sz w:val="24"/>
          <w:szCs w:val="24"/>
          <w:highlight w:val="none"/>
          <w:lang w:val="en-US" w:eastAsia="zh-CN"/>
        </w:rPr>
        <w:t>唐阁路</w:t>
      </w:r>
      <w:r>
        <w:rPr>
          <w:rFonts w:hint="eastAsia" w:ascii="宋体" w:hAnsi="宋体" w:cs="宋体"/>
          <w:color w:val="auto"/>
          <w:spacing w:val="10"/>
          <w:sz w:val="24"/>
          <w:szCs w:val="24"/>
          <w:highlight w:val="none"/>
          <w:lang w:eastAsia="zh-CN"/>
        </w:rPr>
        <w:t>至</w:t>
      </w:r>
      <w:r>
        <w:rPr>
          <w:rFonts w:hint="eastAsia" w:ascii="宋体" w:hAnsi="宋体" w:cs="宋体"/>
          <w:color w:val="auto"/>
          <w:spacing w:val="10"/>
          <w:sz w:val="24"/>
          <w:szCs w:val="24"/>
          <w:highlight w:val="none"/>
          <w:lang w:val="en-US" w:eastAsia="zh-CN"/>
        </w:rPr>
        <w:t>恒运</w:t>
      </w:r>
      <w:r>
        <w:rPr>
          <w:rFonts w:hint="eastAsia" w:ascii="宋体" w:hAnsi="宋体" w:cs="宋体"/>
          <w:color w:val="auto"/>
          <w:spacing w:val="10"/>
          <w:sz w:val="24"/>
          <w:szCs w:val="24"/>
          <w:highlight w:val="none"/>
          <w:lang w:eastAsia="zh-CN"/>
        </w:rPr>
        <w:t>电厂线路敷设</w:t>
      </w:r>
      <w:r>
        <w:rPr>
          <w:rFonts w:hint="eastAsia" w:ascii="宋体" w:hAnsi="宋体" w:cs="宋体"/>
          <w:color w:val="auto"/>
          <w:spacing w:val="10"/>
          <w:sz w:val="24"/>
          <w:szCs w:val="24"/>
          <w:highlight w:val="none"/>
          <w:lang w:val="en-US" w:eastAsia="zh-CN"/>
        </w:rPr>
        <w:t>1.5</w:t>
      </w:r>
      <w:r>
        <w:rPr>
          <w:rFonts w:hint="eastAsia" w:ascii="宋体" w:hAnsi="宋体" w:cs="宋体"/>
          <w:color w:val="auto"/>
          <w:spacing w:val="10"/>
          <w:sz w:val="24"/>
          <w:szCs w:val="24"/>
          <w:highlight w:val="none"/>
          <w:lang w:eastAsia="zh-CN"/>
        </w:rPr>
        <w:t>km施工后，支付合同价的</w:t>
      </w:r>
      <w:r>
        <w:rPr>
          <w:rFonts w:hint="eastAsia" w:ascii="宋体" w:hAnsi="宋体" w:cs="宋体"/>
          <w:color w:val="auto"/>
          <w:spacing w:val="10"/>
          <w:sz w:val="24"/>
          <w:szCs w:val="24"/>
          <w:highlight w:val="none"/>
          <w:lang w:val="en-US" w:eastAsia="zh-CN"/>
        </w:rPr>
        <w:t>20</w:t>
      </w:r>
      <w:r>
        <w:rPr>
          <w:rFonts w:hint="eastAsia" w:ascii="宋体" w:hAnsi="宋体" w:cs="宋体"/>
          <w:color w:val="auto"/>
          <w:spacing w:val="10"/>
          <w:sz w:val="24"/>
          <w:szCs w:val="24"/>
          <w:highlight w:val="none"/>
          <w:lang w:eastAsia="zh-CN"/>
        </w:rPr>
        <w:t>%，</w:t>
      </w:r>
      <w:r>
        <w:rPr>
          <w:rFonts w:hint="eastAsia" w:ascii="宋体" w:hAnsi="宋体" w:cs="宋体"/>
          <w:color w:val="auto"/>
          <w:spacing w:val="10"/>
          <w:sz w:val="24"/>
          <w:szCs w:val="24"/>
          <w:highlight w:val="none"/>
          <w:lang w:val="en-US" w:eastAsia="zh-CN"/>
        </w:rPr>
        <w:t>累计支付至合同价的60%</w:t>
      </w:r>
      <w:r>
        <w:rPr>
          <w:rFonts w:hint="eastAsia" w:ascii="宋体" w:hAnsi="宋体" w:cs="宋体"/>
          <w:color w:val="auto"/>
          <w:spacing w:val="10"/>
          <w:sz w:val="24"/>
          <w:szCs w:val="24"/>
          <w:highlight w:val="none"/>
          <w:lang w:eastAsia="zh-CN"/>
        </w:rPr>
        <w:t>；</w:t>
      </w:r>
    </w:p>
    <w:p>
      <w:pPr>
        <w:numPr>
          <w:ilvl w:val="0"/>
          <w:numId w:val="0"/>
        </w:numPr>
        <w:spacing w:line="360" w:lineRule="auto"/>
        <w:ind w:firstLine="520" w:firstLineChars="200"/>
        <w:jc w:val="left"/>
        <w:rPr>
          <w:rFonts w:hint="eastAsia" w:ascii="宋体" w:hAnsi="宋体" w:cs="宋体"/>
          <w:color w:val="auto"/>
          <w:spacing w:val="10"/>
          <w:sz w:val="24"/>
          <w:szCs w:val="24"/>
          <w:highlight w:val="none"/>
          <w:lang w:eastAsia="zh-CN"/>
        </w:rPr>
      </w:pPr>
      <w:r>
        <w:rPr>
          <w:rFonts w:hint="eastAsia" w:ascii="宋体" w:hAnsi="宋体" w:cs="宋体"/>
          <w:color w:val="auto"/>
          <w:spacing w:val="10"/>
          <w:sz w:val="24"/>
          <w:szCs w:val="24"/>
          <w:highlight w:val="none"/>
          <w:lang w:eastAsia="zh-CN"/>
        </w:rPr>
        <w:t>D 完成</w:t>
      </w:r>
      <w:r>
        <w:rPr>
          <w:rFonts w:hint="eastAsia" w:ascii="宋体" w:hAnsi="宋体" w:cs="宋体"/>
          <w:color w:val="auto"/>
          <w:spacing w:val="10"/>
          <w:sz w:val="24"/>
          <w:szCs w:val="24"/>
          <w:highlight w:val="none"/>
          <w:lang w:val="en-US" w:eastAsia="zh-CN"/>
        </w:rPr>
        <w:t>唐阁路</w:t>
      </w:r>
      <w:r>
        <w:rPr>
          <w:rFonts w:hint="eastAsia" w:ascii="宋体" w:hAnsi="宋体" w:cs="宋体"/>
          <w:color w:val="auto"/>
          <w:spacing w:val="10"/>
          <w:sz w:val="24"/>
          <w:szCs w:val="24"/>
          <w:highlight w:val="none"/>
          <w:lang w:eastAsia="zh-CN"/>
        </w:rPr>
        <w:t>至</w:t>
      </w:r>
      <w:r>
        <w:rPr>
          <w:rFonts w:hint="eastAsia" w:ascii="宋体" w:hAnsi="宋体" w:cs="宋体"/>
          <w:color w:val="auto"/>
          <w:spacing w:val="10"/>
          <w:sz w:val="24"/>
          <w:szCs w:val="24"/>
          <w:highlight w:val="none"/>
          <w:lang w:val="en-US" w:eastAsia="zh-CN"/>
        </w:rPr>
        <w:t>恒运</w:t>
      </w:r>
      <w:r>
        <w:rPr>
          <w:rFonts w:hint="eastAsia" w:ascii="宋体" w:hAnsi="宋体" w:cs="宋体"/>
          <w:color w:val="auto"/>
          <w:spacing w:val="10"/>
          <w:sz w:val="24"/>
          <w:szCs w:val="24"/>
          <w:highlight w:val="none"/>
          <w:lang w:eastAsia="zh-CN"/>
        </w:rPr>
        <w:t>电厂线路敷设</w:t>
      </w:r>
      <w:r>
        <w:rPr>
          <w:rFonts w:hint="eastAsia" w:ascii="宋体" w:hAnsi="宋体" w:cs="宋体"/>
          <w:color w:val="auto"/>
          <w:spacing w:val="10"/>
          <w:sz w:val="24"/>
          <w:szCs w:val="24"/>
          <w:highlight w:val="none"/>
          <w:lang w:val="en-US" w:eastAsia="zh-CN"/>
        </w:rPr>
        <w:t>2.0</w:t>
      </w:r>
      <w:r>
        <w:rPr>
          <w:rFonts w:hint="eastAsia" w:ascii="宋体" w:hAnsi="宋体" w:cs="宋体"/>
          <w:color w:val="auto"/>
          <w:spacing w:val="10"/>
          <w:sz w:val="24"/>
          <w:szCs w:val="24"/>
          <w:highlight w:val="none"/>
          <w:lang w:eastAsia="zh-CN"/>
        </w:rPr>
        <w:t>km施工后，支付合同价的</w:t>
      </w:r>
      <w:r>
        <w:rPr>
          <w:rFonts w:hint="eastAsia" w:ascii="宋体" w:hAnsi="宋体" w:cs="宋体"/>
          <w:color w:val="auto"/>
          <w:spacing w:val="10"/>
          <w:sz w:val="24"/>
          <w:szCs w:val="24"/>
          <w:highlight w:val="none"/>
          <w:lang w:val="en-US" w:eastAsia="zh-CN"/>
        </w:rPr>
        <w:t>20</w:t>
      </w:r>
      <w:r>
        <w:rPr>
          <w:rFonts w:hint="eastAsia" w:ascii="宋体" w:hAnsi="宋体" w:cs="宋体"/>
          <w:color w:val="auto"/>
          <w:spacing w:val="10"/>
          <w:sz w:val="24"/>
          <w:szCs w:val="24"/>
          <w:highlight w:val="none"/>
          <w:lang w:eastAsia="zh-CN"/>
        </w:rPr>
        <w:t>%，</w:t>
      </w:r>
      <w:r>
        <w:rPr>
          <w:rFonts w:hint="eastAsia" w:ascii="宋体" w:hAnsi="宋体" w:cs="宋体"/>
          <w:color w:val="auto"/>
          <w:spacing w:val="10"/>
          <w:sz w:val="24"/>
          <w:szCs w:val="24"/>
          <w:highlight w:val="none"/>
          <w:lang w:val="en-US" w:eastAsia="zh-CN"/>
        </w:rPr>
        <w:t>累计支付至合同价的80%</w:t>
      </w:r>
      <w:r>
        <w:rPr>
          <w:rFonts w:hint="eastAsia" w:ascii="宋体" w:hAnsi="宋体" w:cs="宋体"/>
          <w:color w:val="auto"/>
          <w:spacing w:val="10"/>
          <w:sz w:val="24"/>
          <w:szCs w:val="24"/>
          <w:highlight w:val="none"/>
          <w:lang w:eastAsia="zh-CN"/>
        </w:rPr>
        <w:t>；</w:t>
      </w:r>
    </w:p>
    <w:p>
      <w:pPr>
        <w:numPr>
          <w:ilvl w:val="0"/>
          <w:numId w:val="0"/>
        </w:numPr>
        <w:spacing w:line="360" w:lineRule="auto"/>
        <w:ind w:firstLine="520" w:firstLineChars="200"/>
        <w:jc w:val="left"/>
        <w:rPr>
          <w:rFonts w:hint="eastAsia" w:ascii="宋体" w:hAnsi="宋体" w:cs="宋体"/>
          <w:color w:val="auto"/>
          <w:spacing w:val="10"/>
          <w:sz w:val="24"/>
          <w:szCs w:val="24"/>
          <w:highlight w:val="none"/>
          <w:lang w:eastAsia="zh-CN"/>
        </w:rPr>
      </w:pPr>
      <w:r>
        <w:rPr>
          <w:rFonts w:hint="eastAsia" w:ascii="宋体" w:hAnsi="宋体" w:cs="宋体"/>
          <w:color w:val="auto"/>
          <w:spacing w:val="10"/>
          <w:sz w:val="24"/>
          <w:szCs w:val="24"/>
          <w:highlight w:val="none"/>
          <w:lang w:eastAsia="zh-CN"/>
        </w:rPr>
        <w:t>完成以上A、B、C、</w:t>
      </w:r>
      <w:r>
        <w:rPr>
          <w:rFonts w:hint="eastAsia" w:ascii="宋体" w:hAnsi="宋体" w:cs="宋体"/>
          <w:color w:val="auto"/>
          <w:spacing w:val="10"/>
          <w:sz w:val="24"/>
          <w:szCs w:val="24"/>
          <w:highlight w:val="none"/>
          <w:lang w:val="en-US" w:eastAsia="zh-CN"/>
        </w:rPr>
        <w:t>D</w:t>
      </w:r>
      <w:r>
        <w:rPr>
          <w:rFonts w:hint="eastAsia" w:ascii="宋体" w:hAnsi="宋体" w:cs="宋体"/>
          <w:color w:val="auto"/>
          <w:spacing w:val="10"/>
          <w:sz w:val="24"/>
          <w:szCs w:val="24"/>
          <w:highlight w:val="none"/>
          <w:lang w:eastAsia="zh-CN"/>
        </w:rPr>
        <w:t>各分段工作后累计支付不超过合同价的</w:t>
      </w:r>
      <w:r>
        <w:rPr>
          <w:rFonts w:hint="eastAsia" w:ascii="宋体" w:hAnsi="宋体" w:cs="宋体"/>
          <w:color w:val="auto"/>
          <w:spacing w:val="10"/>
          <w:sz w:val="24"/>
          <w:szCs w:val="24"/>
          <w:highlight w:val="none"/>
          <w:lang w:val="en-US" w:eastAsia="zh-CN"/>
        </w:rPr>
        <w:t>8</w:t>
      </w:r>
      <w:r>
        <w:rPr>
          <w:rFonts w:hint="eastAsia" w:ascii="宋体" w:hAnsi="宋体" w:cs="宋体"/>
          <w:color w:val="auto"/>
          <w:spacing w:val="10"/>
          <w:sz w:val="24"/>
          <w:szCs w:val="24"/>
          <w:highlight w:val="none"/>
          <w:lang w:eastAsia="zh-CN"/>
        </w:rPr>
        <w:t>0%（含预付款）。</w:t>
      </w:r>
    </w:p>
    <w:p>
      <w:pPr>
        <w:numPr>
          <w:ilvl w:val="0"/>
          <w:numId w:val="0"/>
        </w:numPr>
        <w:spacing w:line="360" w:lineRule="auto"/>
        <w:ind w:firstLine="520" w:firstLineChars="200"/>
        <w:jc w:val="left"/>
        <w:rPr>
          <w:rFonts w:hint="eastAsia" w:ascii="宋体" w:hAnsi="宋体" w:eastAsia="宋体" w:cs="宋体"/>
          <w:color w:val="auto"/>
          <w:spacing w:val="10"/>
          <w:sz w:val="24"/>
          <w:szCs w:val="24"/>
          <w:highlight w:val="none"/>
          <w:lang w:eastAsia="zh-CN"/>
        </w:rPr>
      </w:pPr>
      <w:r>
        <w:rPr>
          <w:rFonts w:hint="eastAsia" w:ascii="宋体" w:hAnsi="宋体" w:cs="宋体"/>
          <w:color w:val="auto"/>
          <w:spacing w:val="10"/>
          <w:sz w:val="24"/>
          <w:szCs w:val="24"/>
          <w:highlight w:val="none"/>
        </w:rPr>
        <w:t>甲方在收到</w:t>
      </w:r>
      <w:r>
        <w:rPr>
          <w:rFonts w:hint="eastAsia" w:ascii="宋体" w:hAnsi="宋体" w:cs="宋体"/>
          <w:color w:val="auto"/>
          <w:spacing w:val="10"/>
          <w:sz w:val="24"/>
          <w:szCs w:val="24"/>
          <w:highlight w:val="none"/>
          <w:lang w:val="en-US" w:eastAsia="zh-CN"/>
        </w:rPr>
        <w:t>每</w:t>
      </w:r>
      <w:r>
        <w:rPr>
          <w:rFonts w:hint="eastAsia" w:ascii="宋体" w:hAnsi="宋体" w:cs="宋体"/>
          <w:color w:val="auto"/>
          <w:spacing w:val="10"/>
          <w:sz w:val="24"/>
          <w:szCs w:val="24"/>
          <w:highlight w:val="none"/>
        </w:rPr>
        <w:t>笔进度付款申请后，应根据监理单位、施工承包商的意见进行核实。如乙方付款申请中列明的工作量与甲方核实后的工作量不一致的，以甲方核实后的工作量为准。甲方应根据核实后的工作量，确认本次进度付款金额。乙方只完成部分工作的，甲方有权根据实际情况决定付款比例。付款申请的有关格式要求详见附件五：付款申请</w:t>
      </w:r>
      <w:r>
        <w:rPr>
          <w:rFonts w:hint="eastAsia" w:ascii="宋体" w:hAnsi="宋体" w:cs="宋体"/>
          <w:color w:val="auto"/>
          <w:spacing w:val="10"/>
          <w:sz w:val="24"/>
          <w:szCs w:val="24"/>
          <w:highlight w:val="none"/>
          <w:lang w:eastAsia="zh-CN"/>
        </w:rPr>
        <w:t>。</w:t>
      </w:r>
    </w:p>
    <w:p>
      <w:pPr>
        <w:numPr>
          <w:ilvl w:val="0"/>
          <w:numId w:val="0"/>
        </w:numPr>
        <w:spacing w:line="360" w:lineRule="auto"/>
        <w:ind w:firstLine="520" w:firstLineChars="200"/>
        <w:jc w:val="left"/>
        <w:rPr>
          <w:rFonts w:hint="eastAsia" w:ascii="宋体" w:hAnsi="宋体" w:eastAsia="宋体" w:cs="宋体"/>
          <w:color w:val="auto"/>
          <w:spacing w:val="10"/>
          <w:sz w:val="24"/>
          <w:szCs w:val="24"/>
          <w:highlight w:val="none"/>
          <w:lang w:eastAsia="zh-CN"/>
        </w:rPr>
      </w:pPr>
      <w:r>
        <w:rPr>
          <w:rFonts w:hint="eastAsia" w:ascii="宋体" w:hAnsi="宋体" w:cs="宋体"/>
          <w:color w:val="auto"/>
          <w:spacing w:val="10"/>
          <w:sz w:val="24"/>
          <w:szCs w:val="24"/>
          <w:highlight w:val="none"/>
          <w:lang w:eastAsia="zh-CN"/>
        </w:rPr>
        <w:t>（</w:t>
      </w:r>
      <w:r>
        <w:rPr>
          <w:rFonts w:hint="eastAsia" w:ascii="宋体" w:hAnsi="宋体" w:cs="宋体"/>
          <w:color w:val="auto"/>
          <w:spacing w:val="10"/>
          <w:sz w:val="24"/>
          <w:szCs w:val="24"/>
          <w:highlight w:val="none"/>
          <w:lang w:val="en-US" w:eastAsia="zh-CN"/>
        </w:rPr>
        <w:t>3</w:t>
      </w:r>
      <w:r>
        <w:rPr>
          <w:rFonts w:hint="eastAsia" w:ascii="宋体" w:hAnsi="宋体" w:cs="宋体"/>
          <w:color w:val="auto"/>
          <w:spacing w:val="10"/>
          <w:sz w:val="24"/>
          <w:szCs w:val="24"/>
          <w:highlight w:val="none"/>
          <w:lang w:eastAsia="zh-CN"/>
        </w:rPr>
        <w:t>）</w:t>
      </w:r>
      <w:r>
        <w:rPr>
          <w:rFonts w:hint="eastAsia" w:ascii="宋体" w:hAnsi="宋体" w:cs="宋体"/>
          <w:color w:val="auto"/>
          <w:spacing w:val="10"/>
          <w:sz w:val="24"/>
          <w:szCs w:val="24"/>
          <w:highlight w:val="none"/>
        </w:rPr>
        <w:t>完成款。当</w:t>
      </w:r>
      <w:r>
        <w:rPr>
          <w:rFonts w:hint="eastAsia" w:ascii="宋体" w:hAnsi="宋体" w:cs="宋体"/>
          <w:color w:val="auto"/>
          <w:spacing w:val="10"/>
          <w:sz w:val="24"/>
          <w:szCs w:val="24"/>
          <w:highlight w:val="none"/>
          <w:lang w:val="en-US" w:eastAsia="zh-CN"/>
        </w:rPr>
        <w:t>乙方按合同要求完成了全部工作，取得甲方</w:t>
      </w:r>
      <w:r>
        <w:rPr>
          <w:rFonts w:hint="eastAsia" w:ascii="宋体" w:hAnsi="宋体" w:cs="宋体"/>
          <w:color w:val="auto"/>
          <w:spacing w:val="10"/>
          <w:sz w:val="24"/>
          <w:szCs w:val="24"/>
          <w:highlight w:val="none"/>
        </w:rPr>
        <w:t>确认</w:t>
      </w:r>
      <w:r>
        <w:rPr>
          <w:rFonts w:hint="eastAsia" w:ascii="宋体" w:hAnsi="宋体" w:cs="宋体"/>
          <w:color w:val="auto"/>
          <w:spacing w:val="10"/>
          <w:sz w:val="24"/>
          <w:szCs w:val="24"/>
          <w:highlight w:val="none"/>
          <w:lang w:eastAsia="zh-CN"/>
        </w:rPr>
        <w:t>，</w:t>
      </w:r>
      <w:r>
        <w:rPr>
          <w:rFonts w:hint="eastAsia" w:ascii="宋体" w:hAnsi="宋体" w:cs="宋体"/>
          <w:color w:val="auto"/>
          <w:spacing w:val="10"/>
          <w:sz w:val="24"/>
          <w:szCs w:val="24"/>
          <w:highlight w:val="none"/>
          <w:lang w:val="en-US" w:eastAsia="zh-CN"/>
        </w:rPr>
        <w:t>且</w:t>
      </w:r>
      <w:r>
        <w:rPr>
          <w:rFonts w:hint="eastAsia" w:ascii="宋体" w:hAnsi="宋体" w:cs="宋体"/>
          <w:color w:val="auto"/>
          <w:spacing w:val="10"/>
          <w:sz w:val="24"/>
          <w:szCs w:val="24"/>
          <w:highlight w:val="none"/>
          <w:lang w:eastAsia="zh-CN"/>
        </w:rPr>
        <w:t>工程实体验收</w:t>
      </w:r>
      <w:r>
        <w:rPr>
          <w:rFonts w:hint="eastAsia" w:ascii="宋体" w:hAnsi="宋体" w:cs="宋体"/>
          <w:color w:val="auto"/>
          <w:spacing w:val="10"/>
          <w:sz w:val="24"/>
          <w:szCs w:val="24"/>
          <w:highlight w:val="none"/>
          <w:lang w:val="en-US" w:eastAsia="zh-CN"/>
        </w:rPr>
        <w:t>合格后，</w:t>
      </w:r>
      <w:r>
        <w:rPr>
          <w:rFonts w:hint="eastAsia" w:ascii="宋体" w:hAnsi="宋体" w:cs="宋体"/>
          <w:color w:val="auto"/>
          <w:spacing w:val="10"/>
          <w:sz w:val="24"/>
          <w:szCs w:val="24"/>
          <w:highlight w:val="none"/>
        </w:rPr>
        <w:t>甲方支付主合同价格的百分之十（</w:t>
      </w:r>
      <w:r>
        <w:rPr>
          <w:rFonts w:hint="eastAsia" w:ascii="宋体" w:hAnsi="宋体" w:cs="宋体"/>
          <w:color w:val="auto"/>
          <w:spacing w:val="10"/>
          <w:sz w:val="24"/>
          <w:szCs w:val="24"/>
          <w:highlight w:val="none"/>
          <w:lang w:val="en-US" w:eastAsia="zh-CN"/>
        </w:rPr>
        <w:t>1</w:t>
      </w:r>
      <w:r>
        <w:rPr>
          <w:rFonts w:hint="eastAsia" w:ascii="宋体" w:hAnsi="宋体" w:cs="宋体"/>
          <w:color w:val="auto"/>
          <w:spacing w:val="10"/>
          <w:sz w:val="24"/>
          <w:szCs w:val="24"/>
          <w:highlight w:val="none"/>
        </w:rPr>
        <w:t>0%）</w:t>
      </w:r>
      <w:r>
        <w:rPr>
          <w:rFonts w:hint="eastAsia" w:ascii="宋体" w:hAnsi="宋体" w:cs="宋体"/>
          <w:color w:val="auto"/>
          <w:sz w:val="24"/>
          <w:highlight w:val="none"/>
        </w:rPr>
        <w:t>金额为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w:t>
      </w:r>
      <w:r>
        <w:rPr>
          <w:rFonts w:hint="eastAsia" w:ascii="宋体" w:hAnsi="宋体" w:cs="宋体"/>
          <w:color w:val="auto"/>
          <w:sz w:val="24"/>
          <w:highlight w:val="none"/>
          <w:lang w:eastAsia="zh-CN"/>
        </w:rPr>
        <w:t>，</w:t>
      </w:r>
      <w:r>
        <w:rPr>
          <w:rFonts w:hint="eastAsia" w:ascii="宋体" w:hAnsi="宋体" w:cs="宋体"/>
          <w:color w:val="auto"/>
          <w:spacing w:val="10"/>
          <w:sz w:val="24"/>
          <w:szCs w:val="24"/>
          <w:highlight w:val="none"/>
        </w:rPr>
        <w:t>支付至</w:t>
      </w:r>
      <w:r>
        <w:rPr>
          <w:rFonts w:hint="eastAsia" w:ascii="宋体" w:hAnsi="宋体" w:cs="宋体"/>
          <w:color w:val="auto"/>
          <w:spacing w:val="10"/>
          <w:sz w:val="24"/>
          <w:szCs w:val="24"/>
          <w:highlight w:val="none"/>
          <w:lang w:val="en-US" w:eastAsia="zh-CN"/>
        </w:rPr>
        <w:t>本</w:t>
      </w:r>
      <w:r>
        <w:rPr>
          <w:rFonts w:hint="eastAsia" w:ascii="宋体" w:hAnsi="宋体" w:cs="宋体"/>
          <w:color w:val="auto"/>
          <w:spacing w:val="10"/>
          <w:sz w:val="24"/>
          <w:szCs w:val="24"/>
          <w:highlight w:val="none"/>
        </w:rPr>
        <w:t>合同总价的</w:t>
      </w:r>
      <w:r>
        <w:rPr>
          <w:rFonts w:hint="eastAsia" w:ascii="宋体" w:hAnsi="宋体" w:cs="宋体"/>
          <w:color w:val="auto"/>
          <w:spacing w:val="10"/>
          <w:sz w:val="24"/>
          <w:szCs w:val="24"/>
          <w:highlight w:val="none"/>
          <w:lang w:val="en-US" w:eastAsia="zh-CN"/>
        </w:rPr>
        <w:t>9</w:t>
      </w:r>
      <w:r>
        <w:rPr>
          <w:rFonts w:hint="eastAsia" w:ascii="宋体" w:hAnsi="宋体" w:cs="宋体"/>
          <w:color w:val="auto"/>
          <w:spacing w:val="10"/>
          <w:sz w:val="24"/>
          <w:szCs w:val="24"/>
          <w:highlight w:val="none"/>
        </w:rPr>
        <w:t>0%。</w:t>
      </w:r>
    </w:p>
    <w:p>
      <w:pPr>
        <w:spacing w:line="360" w:lineRule="auto"/>
        <w:ind w:firstLine="480"/>
        <w:jc w:val="left"/>
        <w:rPr>
          <w:rFonts w:hint="eastAsia" w:ascii="宋体" w:hAnsi="宋体" w:cs="宋体"/>
          <w:color w:val="auto"/>
          <w:spacing w:val="10"/>
          <w:sz w:val="24"/>
          <w:szCs w:val="24"/>
          <w:highlight w:val="none"/>
          <w:lang w:val="en-US" w:eastAsia="zh-CN"/>
        </w:rPr>
      </w:pPr>
      <w:r>
        <w:rPr>
          <w:rFonts w:hint="eastAsia" w:ascii="宋体" w:hAnsi="宋体" w:cs="宋体"/>
          <w:color w:val="auto"/>
          <w:spacing w:val="10"/>
          <w:sz w:val="24"/>
          <w:szCs w:val="24"/>
          <w:highlight w:val="none"/>
          <w:lang w:eastAsia="zh-CN"/>
        </w:rPr>
        <w:t>（</w:t>
      </w:r>
      <w:r>
        <w:rPr>
          <w:rFonts w:hint="eastAsia" w:ascii="宋体" w:hAnsi="宋体" w:cs="宋体"/>
          <w:color w:val="auto"/>
          <w:spacing w:val="10"/>
          <w:sz w:val="24"/>
          <w:szCs w:val="24"/>
          <w:highlight w:val="none"/>
          <w:lang w:val="en-US" w:eastAsia="zh-CN"/>
        </w:rPr>
        <w:t>4</w:t>
      </w:r>
      <w:r>
        <w:rPr>
          <w:rFonts w:hint="eastAsia" w:ascii="宋体" w:hAnsi="宋体" w:cs="宋体"/>
          <w:color w:val="auto"/>
          <w:spacing w:val="10"/>
          <w:sz w:val="24"/>
          <w:szCs w:val="24"/>
          <w:highlight w:val="none"/>
          <w:lang w:eastAsia="zh-CN"/>
        </w:rPr>
        <w:t>）</w:t>
      </w:r>
      <w:r>
        <w:rPr>
          <w:rFonts w:hint="eastAsia" w:ascii="宋体" w:hAnsi="宋体" w:cs="宋体"/>
          <w:color w:val="auto"/>
          <w:spacing w:val="10"/>
          <w:sz w:val="24"/>
          <w:szCs w:val="24"/>
          <w:highlight w:val="none"/>
          <w:lang w:val="en-US" w:eastAsia="zh-CN"/>
        </w:rPr>
        <w:t>结算款。余下的部分（本合同价的10%）</w:t>
      </w:r>
      <w:r>
        <w:rPr>
          <w:rFonts w:hint="eastAsia" w:ascii="宋体" w:hAnsi="宋体" w:cs="宋体"/>
          <w:color w:val="auto"/>
          <w:sz w:val="24"/>
          <w:highlight w:val="none"/>
        </w:rPr>
        <w:t>金额为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w:t>
      </w:r>
      <w:r>
        <w:rPr>
          <w:rFonts w:hint="eastAsia" w:ascii="宋体" w:hAnsi="宋体" w:cs="宋体"/>
          <w:color w:val="auto"/>
          <w:spacing w:val="10"/>
          <w:sz w:val="24"/>
          <w:szCs w:val="24"/>
          <w:highlight w:val="none"/>
          <w:lang w:val="en-US" w:eastAsia="zh-CN"/>
        </w:rPr>
        <w:t>应于合同结算经甲方审核后，作为合同结算款一并支付，支付条件为：</w:t>
      </w:r>
    </w:p>
    <w:p>
      <w:pPr>
        <w:spacing w:line="360" w:lineRule="auto"/>
        <w:ind w:firstLine="480"/>
        <w:jc w:val="left"/>
        <w:rPr>
          <w:rFonts w:hint="eastAsia" w:ascii="宋体" w:hAnsi="宋体" w:cs="宋体"/>
          <w:color w:val="auto"/>
          <w:spacing w:val="10"/>
          <w:sz w:val="24"/>
          <w:szCs w:val="24"/>
          <w:highlight w:val="none"/>
          <w:lang w:val="en-US" w:eastAsia="zh-CN"/>
        </w:rPr>
      </w:pPr>
      <w:r>
        <w:rPr>
          <w:rFonts w:hint="eastAsia" w:ascii="宋体" w:hAnsi="宋体" w:cs="宋体"/>
          <w:color w:val="auto"/>
          <w:spacing w:val="10"/>
          <w:sz w:val="24"/>
          <w:szCs w:val="24"/>
          <w:highlight w:val="none"/>
          <w:lang w:val="en-US" w:eastAsia="zh-CN"/>
        </w:rPr>
        <w:t>a)乙方提交了经甲方审查合格的完工资料；</w:t>
      </w:r>
    </w:p>
    <w:p>
      <w:pPr>
        <w:spacing w:line="360" w:lineRule="auto"/>
        <w:ind w:firstLine="480"/>
        <w:jc w:val="left"/>
        <w:rPr>
          <w:rFonts w:hint="eastAsia" w:ascii="宋体" w:hAnsi="宋体" w:cs="宋体"/>
          <w:color w:val="auto"/>
          <w:spacing w:val="10"/>
          <w:sz w:val="24"/>
          <w:szCs w:val="24"/>
          <w:highlight w:val="none"/>
          <w:lang w:val="en-US" w:eastAsia="zh-CN"/>
        </w:rPr>
      </w:pPr>
      <w:r>
        <w:rPr>
          <w:rFonts w:hint="eastAsia" w:ascii="宋体" w:hAnsi="宋体" w:cs="宋体"/>
          <w:color w:val="auto"/>
          <w:spacing w:val="10"/>
          <w:sz w:val="24"/>
          <w:szCs w:val="24"/>
          <w:highlight w:val="none"/>
          <w:lang w:val="en-US" w:eastAsia="zh-CN"/>
        </w:rPr>
        <w:t>b)乙方妥善解决了其与第三方的争议、索赔、诉讼；</w:t>
      </w:r>
    </w:p>
    <w:p>
      <w:pPr>
        <w:spacing w:line="360" w:lineRule="auto"/>
        <w:ind w:firstLine="480"/>
        <w:jc w:val="left"/>
        <w:rPr>
          <w:rFonts w:hint="eastAsia" w:ascii="宋体" w:hAnsi="宋体" w:cs="宋体"/>
          <w:color w:val="auto"/>
          <w:spacing w:val="10"/>
          <w:sz w:val="24"/>
          <w:szCs w:val="24"/>
          <w:highlight w:val="none"/>
          <w:lang w:val="en-US" w:eastAsia="zh-CN"/>
        </w:rPr>
      </w:pPr>
      <w:r>
        <w:rPr>
          <w:rFonts w:hint="eastAsia" w:ascii="宋体" w:hAnsi="宋体" w:cs="宋体"/>
          <w:color w:val="auto"/>
          <w:spacing w:val="10"/>
          <w:sz w:val="24"/>
          <w:szCs w:val="24"/>
          <w:highlight w:val="none"/>
          <w:lang w:val="en-US" w:eastAsia="zh-CN"/>
        </w:rPr>
        <w:t>c)乙方妥善解决了因其工作和/或其自身的原因而给甲方造成的任何损失和损害；</w:t>
      </w:r>
    </w:p>
    <w:p>
      <w:pPr>
        <w:spacing w:line="360" w:lineRule="auto"/>
        <w:ind w:firstLine="480"/>
        <w:jc w:val="left"/>
        <w:rPr>
          <w:rFonts w:hint="eastAsia" w:ascii="宋体" w:hAnsi="宋体" w:cs="宋体"/>
          <w:color w:val="auto"/>
          <w:spacing w:val="10"/>
          <w:sz w:val="24"/>
          <w:szCs w:val="24"/>
          <w:highlight w:val="none"/>
          <w:lang w:val="en-US" w:eastAsia="zh-CN"/>
        </w:rPr>
      </w:pPr>
      <w:r>
        <w:rPr>
          <w:rFonts w:hint="eastAsia" w:ascii="宋体" w:hAnsi="宋体" w:cs="宋体"/>
          <w:color w:val="auto"/>
          <w:spacing w:val="10"/>
          <w:sz w:val="24"/>
          <w:szCs w:val="24"/>
          <w:highlight w:val="none"/>
          <w:lang w:val="en-US" w:eastAsia="zh-CN"/>
        </w:rPr>
        <w:t>d)甲方批准了乙方的最终结算并与乙方签署了结算确认函;</w:t>
      </w:r>
    </w:p>
    <w:p>
      <w:pPr>
        <w:spacing w:line="360" w:lineRule="auto"/>
        <w:ind w:firstLine="480"/>
        <w:jc w:val="left"/>
        <w:rPr>
          <w:rFonts w:hint="eastAsia" w:ascii="宋体" w:hAnsi="宋体" w:cs="宋体"/>
          <w:color w:val="auto"/>
          <w:spacing w:val="10"/>
          <w:sz w:val="24"/>
          <w:szCs w:val="24"/>
          <w:highlight w:val="none"/>
          <w:lang w:val="en-US" w:eastAsia="zh-CN"/>
        </w:rPr>
      </w:pPr>
      <w:r>
        <w:rPr>
          <w:rFonts w:hint="eastAsia" w:ascii="宋体" w:hAnsi="宋体" w:cs="宋体"/>
          <w:color w:val="auto"/>
          <w:spacing w:val="10"/>
          <w:sz w:val="24"/>
          <w:szCs w:val="24"/>
          <w:highlight w:val="none"/>
          <w:lang w:val="en-US" w:eastAsia="zh-CN"/>
        </w:rPr>
        <w:t>e)乙方履行了合同规定其他责任和义务;</w:t>
      </w:r>
    </w:p>
    <w:p>
      <w:pPr>
        <w:spacing w:line="360" w:lineRule="auto"/>
        <w:ind w:firstLine="480"/>
        <w:jc w:val="left"/>
        <w:rPr>
          <w:rFonts w:hint="eastAsia" w:ascii="宋体" w:hAnsi="宋体" w:cs="宋体"/>
          <w:color w:val="auto"/>
          <w:spacing w:val="10"/>
          <w:sz w:val="24"/>
          <w:szCs w:val="24"/>
          <w:highlight w:val="none"/>
          <w:lang w:val="en-US" w:eastAsia="zh-CN"/>
        </w:rPr>
      </w:pPr>
      <w:r>
        <w:rPr>
          <w:rFonts w:hint="eastAsia" w:ascii="宋体" w:hAnsi="宋体" w:cs="宋体"/>
          <w:color w:val="auto"/>
          <w:spacing w:val="10"/>
          <w:sz w:val="24"/>
          <w:szCs w:val="24"/>
          <w:highlight w:val="none"/>
          <w:lang w:val="en-US" w:eastAsia="zh-CN"/>
        </w:rPr>
        <w:t>f)结算款审核时，需提交燃气集团档案移交单。</w:t>
      </w:r>
    </w:p>
    <w:p>
      <w:pPr>
        <w:adjustRightInd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本合同的款项采用汇款的方式支付，乙方开户银行名称和账号为：</w:t>
      </w:r>
    </w:p>
    <w:p>
      <w:pPr>
        <w:adjustRightInd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    单位名称： </w:t>
      </w:r>
    </w:p>
    <w:p>
      <w:pPr>
        <w:adjustRightInd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    开户银行： </w:t>
      </w:r>
    </w:p>
    <w:p>
      <w:pPr>
        <w:adjustRightInd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    银行帐号： </w:t>
      </w:r>
    </w:p>
    <w:p>
      <w:pPr>
        <w:spacing w:line="360" w:lineRule="auto"/>
        <w:rPr>
          <w:b/>
          <w:bCs/>
          <w:color w:val="auto"/>
          <w:highlight w:val="none"/>
        </w:rPr>
      </w:pPr>
      <w:bookmarkStart w:id="2041" w:name="_Toc18184_WPSOffice_Level1"/>
      <w:bookmarkStart w:id="2042" w:name="_Toc4947_WPSOffice_Level1"/>
      <w:r>
        <w:rPr>
          <w:rFonts w:hint="eastAsia"/>
          <w:b/>
          <w:bCs/>
          <w:color w:val="auto"/>
          <w:highlight w:val="none"/>
        </w:rPr>
        <w:t>第</w:t>
      </w:r>
      <w:r>
        <w:rPr>
          <w:rFonts w:hint="eastAsia"/>
          <w:b/>
          <w:bCs/>
          <w:color w:val="auto"/>
          <w:highlight w:val="none"/>
          <w:lang w:val="en-US" w:eastAsia="zh-CN"/>
        </w:rPr>
        <w:t>五</w:t>
      </w:r>
      <w:r>
        <w:rPr>
          <w:rFonts w:hint="eastAsia"/>
          <w:b/>
          <w:bCs/>
          <w:color w:val="auto"/>
          <w:highlight w:val="none"/>
        </w:rPr>
        <w:t xml:space="preserve">条 </w:t>
      </w:r>
      <w:bookmarkEnd w:id="2041"/>
      <w:bookmarkEnd w:id="2042"/>
      <w:r>
        <w:rPr>
          <w:rFonts w:hint="eastAsia"/>
          <w:b/>
          <w:bCs/>
          <w:color w:val="auto"/>
          <w:highlight w:val="none"/>
        </w:rPr>
        <w:t>履约担保</w:t>
      </w:r>
    </w:p>
    <w:p>
      <w:pPr>
        <w:adjustRightInd w:val="0"/>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.1合同生效后</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个工作日内，乙方按合同要求提交可以被甲方认可的国内银行或其他金融机构开具的无条件不可撤销履约保函，以作为乙方履行本合同的担保</w:t>
      </w:r>
      <w:r>
        <w:rPr>
          <w:rFonts w:hint="eastAsia" w:ascii="宋体" w:hAnsi="宋体" w:cs="宋体"/>
          <w:color w:val="auto"/>
          <w:sz w:val="24"/>
          <w:highlight w:val="none"/>
          <w:lang w:eastAsia="zh-CN"/>
        </w:rPr>
        <w:t>，</w:t>
      </w:r>
      <w:r>
        <w:rPr>
          <w:rFonts w:hint="eastAsia" w:ascii="宋体" w:hAnsi="宋体" w:cs="宋体"/>
          <w:color w:val="auto"/>
          <w:sz w:val="24"/>
          <w:highlight w:val="none"/>
        </w:rPr>
        <w:t>履约保函的担保金额为合同价格的百分之</w:t>
      </w:r>
      <w:r>
        <w:rPr>
          <w:rFonts w:hint="eastAsia" w:ascii="宋体" w:hAnsi="宋体" w:cs="宋体"/>
          <w:color w:val="auto"/>
          <w:sz w:val="24"/>
          <w:highlight w:val="none"/>
          <w:lang w:val="en-US" w:eastAsia="zh-CN"/>
        </w:rPr>
        <w:t>十</w:t>
      </w:r>
      <w:r>
        <w:rPr>
          <w:rFonts w:hint="eastAsia" w:ascii="宋体" w:hAnsi="宋体" w:cs="宋体"/>
          <w:color w:val="auto"/>
          <w:sz w:val="24"/>
          <w:highlight w:val="none"/>
        </w:rPr>
        <w:t>（</w:t>
      </w:r>
      <w:r>
        <w:rPr>
          <w:rFonts w:hint="eastAsia"/>
          <w:color w:val="auto"/>
          <w:highlight w:val="none"/>
          <w:lang w:val="en-US" w:eastAsia="zh-CN"/>
        </w:rPr>
        <w:t>10</w:t>
      </w:r>
      <w:r>
        <w:rPr>
          <w:rFonts w:hint="eastAsia" w:ascii="宋体" w:hAnsi="宋体" w:cs="宋体"/>
          <w:color w:val="auto"/>
          <w:sz w:val="24"/>
          <w:highlight w:val="none"/>
        </w:rPr>
        <w:t>%），履约保函的有关格式要求详见附件三：履约保函（格式）。</w:t>
      </w:r>
    </w:p>
    <w:p>
      <w:pPr>
        <w:adjustRightInd w:val="0"/>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2履约保函的有效期应持续至本合同内工作完成验收之日后1个月止。如乙方开具的履约保函在合同履行期间过期或失效的，乙方应在保函有效期期满前15天重新向甲方提交有效的履约保函。合同履行中，如果甲方证实乙方提交的履约保函已过期或失效，则在乙方未重新提交有效的履约保函前，甲方有权中止对乙方的任何付款。如因此给甲方造成任何损失的，乙方应承担赔偿责任。</w:t>
      </w:r>
    </w:p>
    <w:p>
      <w:pPr>
        <w:adjustRightInd w:val="0"/>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.3履约保函的保证金额应为合同价格的百分之</w:t>
      </w:r>
      <w:r>
        <w:rPr>
          <w:rFonts w:hint="eastAsia" w:ascii="宋体" w:hAnsi="宋体" w:cs="宋体"/>
          <w:color w:val="auto"/>
          <w:sz w:val="24"/>
          <w:highlight w:val="none"/>
          <w:lang w:val="en-US" w:eastAsia="zh-CN"/>
        </w:rPr>
        <w:t>十</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w:t>
      </w:r>
    </w:p>
    <w:p>
      <w:pPr>
        <w:adjustRightInd w:val="0"/>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.4履约保函的返还</w:t>
      </w:r>
    </w:p>
    <w:p>
      <w:pPr>
        <w:adjustRightInd w:val="0"/>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如果乙方同时满足了下述条件，甲方将归还乙方开具的履约保函，否则，在甲方兑付乙方提交的履约保函并用于补偿乙方给甲方造成的损失及乙方应向甲方支付的违约金之后，向乙方返还剩余的部分（如果有）：</w:t>
      </w:r>
    </w:p>
    <w:p>
      <w:pPr>
        <w:adjustRightInd w:val="0"/>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（1）乙方按合同要求完成了全部工作，且工程实体施工完成并完成本合同内工作验收；</w:t>
      </w:r>
    </w:p>
    <w:p>
      <w:pPr>
        <w:adjustRightInd w:val="0"/>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（2）乙方补偿了其给甲方造成的损失（如果有）和向甲方支付了相关的违约金（如果有）；</w:t>
      </w:r>
    </w:p>
    <w:p>
      <w:pPr>
        <w:adjustRightInd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（3）乙方履行了合同约定其他责任和义务，且不存在任何纠纷或虽存在纠纷但上述纠纷已最终解决、双方所有债权债务已结清。</w:t>
      </w:r>
    </w:p>
    <w:p>
      <w:pPr>
        <w:spacing w:line="360" w:lineRule="auto"/>
        <w:rPr>
          <w:b/>
          <w:bCs/>
          <w:color w:val="auto"/>
          <w:highlight w:val="none"/>
        </w:rPr>
      </w:pPr>
      <w:bookmarkStart w:id="2043" w:name="_Toc4722_WPSOffice_Level1"/>
      <w:bookmarkStart w:id="2044" w:name="_Toc2056_WPSOffice_Level1"/>
      <w:r>
        <w:rPr>
          <w:rFonts w:hint="eastAsia"/>
          <w:b/>
          <w:bCs/>
          <w:color w:val="auto"/>
          <w:highlight w:val="none"/>
        </w:rPr>
        <w:t>第</w:t>
      </w:r>
      <w:r>
        <w:rPr>
          <w:rFonts w:hint="eastAsia"/>
          <w:b/>
          <w:bCs/>
          <w:color w:val="auto"/>
          <w:highlight w:val="none"/>
          <w:lang w:val="en-US" w:eastAsia="zh-CN"/>
        </w:rPr>
        <w:t>六</w:t>
      </w:r>
      <w:r>
        <w:rPr>
          <w:rFonts w:hint="eastAsia"/>
          <w:b/>
          <w:bCs/>
          <w:color w:val="auto"/>
          <w:highlight w:val="none"/>
        </w:rPr>
        <w:t>条 违约责任</w:t>
      </w:r>
      <w:bookmarkEnd w:id="2043"/>
      <w:bookmarkEnd w:id="2044"/>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.1如果乙方未能按甲方批准的进度计划（甲方原因除外），则甲方有权计取乙方的违约金，此违约金的支付不影响甲方根据合同其他条款采取其他措施的权利。</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2如乙方未能按甲方批准的进度计划规定的最终完成时间内完成全部工作的，甲方有权计取乙方的违约金，此违约金的支付不影响甲方根据合同其他条款采取其他措施的权利，此外，乙方还应赔偿因此而给甲方造成的相关经济损失。超过工期计划的违约责任如下：</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（1）超过一个月内的，扣罚乙方违约金</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万元。</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（2）超过一个月以上的，自第二个月起每月计取乙方违约金</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万元。</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（3）第</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.2款（2）项规定已达到但乙方仍未能完成全部工作的，甲方有权按第</w:t>
      </w:r>
      <w:r>
        <w:rPr>
          <w:rFonts w:hint="eastAsia" w:ascii="宋体" w:hAnsi="宋体" w:cs="宋体"/>
          <w:color w:val="auto"/>
          <w:sz w:val="24"/>
          <w:highlight w:val="none"/>
          <w:lang w:val="en-US" w:eastAsia="zh-CN"/>
        </w:rPr>
        <w:t>八</w:t>
      </w:r>
      <w:r>
        <w:rPr>
          <w:rFonts w:hint="eastAsia" w:ascii="宋体" w:hAnsi="宋体" w:cs="宋体"/>
          <w:color w:val="auto"/>
          <w:sz w:val="24"/>
          <w:highlight w:val="none"/>
        </w:rPr>
        <w:t>条的约定解除合同，并兑付乙方提交的履约保函，如履约保函的资金不足以弥补乙方违约行为对甲方所造成的损失（包括直接及间接损失），甲方有权要求乙方予以赔偿全部损失。</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第</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.2的违约金总额不超过合同价格总额的10％。</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因甲方未履行本合同约定的付款义务而给乙方造成损失的，则甲方应承担由此产生的责任，但乙方应根据甲方要求，协助甲方处理由此产生的问题，并不因此要求甲方增加合同价格或任何其他费用支出。</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如果由于乙方履行本合同过程中的任何故意、过失、错误、疏忽而造成任何第三方向甲方提出索赔请求的，若索赔成立，则乙方应就该第三方所遭受的损失和损害承担赔偿责任，并应使甲方免受此类索赔的影响。</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因乙方的违约行为给甲方造成的经济损失及应支付的赔偿金和/或违约金，甲方有权从应支付给乙方的任何合同款项或履约保函金额中扣除，也有权以乙方的债务形式向乙方直接索赔。</w:t>
      </w:r>
    </w:p>
    <w:p>
      <w:pPr>
        <w:spacing w:line="360" w:lineRule="auto"/>
        <w:rPr>
          <w:b/>
          <w:bCs/>
          <w:color w:val="auto"/>
          <w:highlight w:val="none"/>
        </w:rPr>
      </w:pPr>
      <w:bookmarkStart w:id="2045" w:name="_Toc24847_WPSOffice_Level1"/>
      <w:bookmarkStart w:id="2046" w:name="_Toc19101_WPSOffice_Level1"/>
      <w:r>
        <w:rPr>
          <w:rFonts w:hint="eastAsia"/>
          <w:b/>
          <w:bCs/>
          <w:color w:val="auto"/>
          <w:highlight w:val="none"/>
        </w:rPr>
        <w:t>第</w:t>
      </w:r>
      <w:r>
        <w:rPr>
          <w:rFonts w:hint="eastAsia"/>
          <w:b/>
          <w:bCs/>
          <w:color w:val="auto"/>
          <w:highlight w:val="none"/>
          <w:lang w:val="en-US" w:eastAsia="zh-CN"/>
        </w:rPr>
        <w:t>八</w:t>
      </w:r>
      <w:r>
        <w:rPr>
          <w:rFonts w:hint="eastAsia"/>
          <w:b/>
          <w:bCs/>
          <w:color w:val="auto"/>
          <w:highlight w:val="none"/>
        </w:rPr>
        <w:t>条 合同变更及解除</w:t>
      </w:r>
      <w:bookmarkEnd w:id="2045"/>
      <w:bookmarkEnd w:id="2046"/>
    </w:p>
    <w:p>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.1 本合同各方协商一致，可以对本合同约定进行变更本合同。变更本合同的应签订书面补充合同。</w:t>
      </w:r>
    </w:p>
    <w:p>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.2 本合同各方协商一致解除本合同应签订书面解除合同。</w:t>
      </w:r>
    </w:p>
    <w:p>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.3 本合同各方依照法律规定单方解除本合同的，应当书面通知对方，本合同自书面通知到达对方之时起解除。</w:t>
      </w:r>
    </w:p>
    <w:p>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.4 本合同解除后，不影响本合同中争议解决条款的效力。</w:t>
      </w:r>
    </w:p>
    <w:p>
      <w:pPr>
        <w:spacing w:line="360" w:lineRule="auto"/>
        <w:rPr>
          <w:b/>
          <w:bCs/>
          <w:color w:val="auto"/>
          <w:highlight w:val="none"/>
        </w:rPr>
      </w:pPr>
      <w:bookmarkStart w:id="2047" w:name="_Toc12299_WPSOffice_Level1"/>
      <w:bookmarkStart w:id="2048" w:name="_Toc255_WPSOffice_Level1"/>
      <w:r>
        <w:rPr>
          <w:rFonts w:hint="eastAsia"/>
          <w:b/>
          <w:bCs/>
          <w:color w:val="auto"/>
          <w:highlight w:val="none"/>
        </w:rPr>
        <w:t>第</w:t>
      </w:r>
      <w:r>
        <w:rPr>
          <w:rFonts w:hint="eastAsia"/>
          <w:b/>
          <w:bCs/>
          <w:color w:val="auto"/>
          <w:highlight w:val="none"/>
          <w:lang w:val="en-US" w:eastAsia="zh-CN"/>
        </w:rPr>
        <w:t>九</w:t>
      </w:r>
      <w:r>
        <w:rPr>
          <w:rFonts w:hint="eastAsia"/>
          <w:b/>
          <w:bCs/>
          <w:color w:val="auto"/>
          <w:highlight w:val="none"/>
        </w:rPr>
        <w:t>条 法律适用及争议解决方式</w:t>
      </w:r>
      <w:bookmarkEnd w:id="2047"/>
      <w:bookmarkEnd w:id="2048"/>
    </w:p>
    <w:p>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.1 本合同的签署、履行、解释及因本合同所发生的争议均适用中国法律。</w:t>
      </w:r>
    </w:p>
    <w:p>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.2 双方因本合同发生的一切争议，应首先通过协商解决，如协商不成，任何一方可依法向甲方住所地有管辖权的人民法院起诉。</w:t>
      </w:r>
    </w:p>
    <w:p>
      <w:pPr>
        <w:spacing w:line="360" w:lineRule="auto"/>
        <w:rPr>
          <w:b/>
          <w:bCs/>
          <w:color w:val="auto"/>
          <w:highlight w:val="none"/>
        </w:rPr>
      </w:pPr>
      <w:bookmarkStart w:id="2049" w:name="_Toc32368_WPSOffice_Level1"/>
      <w:bookmarkStart w:id="2050" w:name="_Toc28359_WPSOffice_Level1"/>
      <w:r>
        <w:rPr>
          <w:rFonts w:hint="eastAsia"/>
          <w:b/>
          <w:bCs/>
          <w:color w:val="auto"/>
          <w:highlight w:val="none"/>
        </w:rPr>
        <w:t>第十条 其它</w:t>
      </w:r>
      <w:bookmarkEnd w:id="2049"/>
      <w:bookmarkEnd w:id="2050"/>
    </w:p>
    <w:p>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.1本合同一式捌份，甲方执肆份，乙方执肆份，均具有同等法律效力。</w:t>
      </w:r>
    </w:p>
    <w:p>
      <w:pPr>
        <w:widowControl/>
        <w:spacing w:line="360" w:lineRule="auto"/>
        <w:ind w:left="0" w:leftChars="0" w:firstLine="480" w:firstLineChars="200"/>
        <w:jc w:val="left"/>
        <w:rPr>
          <w:rFonts w:hint="eastAsia" w:ascii="宋体" w:hAnsi="宋体" w:eastAsia="宋体" w:cs="宋体"/>
          <w:b/>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.2本合同自甲乙双方签字并加盖公章之日起生效</w:t>
      </w:r>
      <w:r>
        <w:rPr>
          <w:rFonts w:hint="eastAsia" w:ascii="宋体" w:hAnsi="宋体" w:cs="宋体"/>
          <w:color w:val="auto"/>
          <w:sz w:val="24"/>
          <w:highlight w:val="none"/>
          <w:lang w:eastAsia="zh-CN"/>
        </w:rPr>
        <w:t>。</w:t>
      </w:r>
    </w:p>
    <w:p>
      <w:pPr>
        <w:spacing w:line="360" w:lineRule="auto"/>
        <w:ind w:left="97" w:leftChars="30" w:hanging="34" w:hangingChars="14"/>
        <w:jc w:val="left"/>
        <w:rPr>
          <w:rFonts w:ascii="宋体" w:hAnsi="宋体" w:cs="宋体"/>
          <w:b/>
          <w:color w:val="auto"/>
          <w:sz w:val="24"/>
          <w:highlight w:val="none"/>
        </w:rPr>
      </w:pPr>
    </w:p>
    <w:p>
      <w:pPr>
        <w:spacing w:line="360" w:lineRule="auto"/>
        <w:ind w:left="97" w:leftChars="30" w:hanging="34" w:hangingChars="14"/>
        <w:jc w:val="left"/>
        <w:rPr>
          <w:rFonts w:ascii="宋体" w:hAnsi="宋体" w:cs="宋体"/>
          <w:b/>
          <w:color w:val="auto"/>
          <w:sz w:val="24"/>
          <w:highlight w:val="none"/>
        </w:rPr>
      </w:pPr>
      <w:r>
        <w:rPr>
          <w:rFonts w:hint="eastAsia" w:ascii="宋体" w:hAnsi="宋体" w:cs="宋体"/>
          <w:b/>
          <w:color w:val="auto"/>
          <w:sz w:val="24"/>
          <w:highlight w:val="none"/>
        </w:rPr>
        <w:t>甲方</w:t>
      </w:r>
      <w:r>
        <w:rPr>
          <w:rFonts w:ascii="宋体" w:hAnsi="宋体" w:cs="宋体"/>
          <w:b/>
          <w:color w:val="auto"/>
          <w:sz w:val="24"/>
          <w:highlight w:val="none"/>
        </w:rPr>
        <w:t xml:space="preserve">  </w:t>
      </w:r>
      <w:r>
        <w:rPr>
          <w:rFonts w:hint="eastAsia" w:ascii="宋体" w:hAnsi="宋体" w:cs="宋体"/>
          <w:b/>
          <w:color w:val="auto"/>
          <w:sz w:val="24"/>
          <w:highlight w:val="none"/>
        </w:rPr>
        <w:t>（盖章）</w:t>
      </w:r>
      <w:r>
        <w:rPr>
          <w:rFonts w:ascii="宋体" w:hAnsi="宋体" w:cs="宋体"/>
          <w:b/>
          <w:color w:val="auto"/>
          <w:sz w:val="24"/>
          <w:highlight w:val="none"/>
        </w:rPr>
        <w:t xml:space="preserve">  </w:t>
      </w:r>
      <w:r>
        <w:rPr>
          <w:rFonts w:ascii="宋体" w:hAnsi="宋体" w:cs="宋体"/>
          <w:b/>
          <w:color w:val="auto"/>
          <w:sz w:val="24"/>
          <w:highlight w:val="none"/>
        </w:rPr>
        <w:tab/>
      </w:r>
      <w:r>
        <w:rPr>
          <w:rFonts w:ascii="宋体" w:hAnsi="宋体" w:cs="宋体"/>
          <w:b/>
          <w:color w:val="auto"/>
          <w:sz w:val="24"/>
          <w:highlight w:val="none"/>
        </w:rPr>
        <w:tab/>
      </w:r>
      <w:r>
        <w:rPr>
          <w:rFonts w:ascii="宋体" w:hAnsi="宋体" w:cs="宋体"/>
          <w:b/>
          <w:color w:val="auto"/>
          <w:sz w:val="24"/>
          <w:highlight w:val="none"/>
        </w:rPr>
        <w:tab/>
      </w:r>
      <w:r>
        <w:rPr>
          <w:rFonts w:ascii="宋体" w:hAnsi="宋体" w:cs="宋体"/>
          <w:b/>
          <w:color w:val="auto"/>
          <w:sz w:val="24"/>
          <w:highlight w:val="none"/>
        </w:rPr>
        <w:tab/>
      </w:r>
      <w:r>
        <w:rPr>
          <w:rFonts w:ascii="宋体" w:hAnsi="宋体" w:cs="宋体"/>
          <w:b/>
          <w:color w:val="auto"/>
          <w:sz w:val="24"/>
          <w:highlight w:val="none"/>
        </w:rPr>
        <w:tab/>
      </w:r>
      <w:r>
        <w:rPr>
          <w:rFonts w:ascii="宋体" w:hAnsi="宋体" w:cs="宋体"/>
          <w:b/>
          <w:color w:val="auto"/>
          <w:sz w:val="24"/>
          <w:highlight w:val="none"/>
        </w:rPr>
        <w:tab/>
      </w:r>
      <w:r>
        <w:rPr>
          <w:rFonts w:ascii="宋体" w:hAnsi="宋体" w:cs="宋体"/>
          <w:b/>
          <w:color w:val="auto"/>
          <w:sz w:val="24"/>
          <w:highlight w:val="none"/>
        </w:rPr>
        <w:tab/>
      </w:r>
      <w:r>
        <w:rPr>
          <w:rFonts w:ascii="宋体" w:hAnsi="宋体" w:cs="宋体"/>
          <w:b/>
          <w:color w:val="auto"/>
          <w:sz w:val="24"/>
          <w:highlight w:val="none"/>
        </w:rPr>
        <w:t xml:space="preserve">             乙方</w:t>
      </w:r>
      <w:r>
        <w:rPr>
          <w:rFonts w:hint="eastAsia" w:ascii="宋体" w:hAnsi="宋体" w:cs="宋体"/>
          <w:b/>
          <w:color w:val="auto"/>
          <w:sz w:val="24"/>
          <w:highlight w:val="none"/>
        </w:rPr>
        <w:t>（盖章）</w:t>
      </w:r>
    </w:p>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单位名称：</w:t>
      </w:r>
      <w:r>
        <w:rPr>
          <w:rFonts w:hint="eastAsia" w:ascii="宋体" w:hAnsi="宋体" w:cs="宋体"/>
          <w:color w:val="auto"/>
          <w:sz w:val="24"/>
          <w:highlight w:val="none"/>
          <w:u w:val="single"/>
        </w:rPr>
        <w:t xml:space="preserve">                           </w:t>
      </w:r>
      <w:r>
        <w:rPr>
          <w:rFonts w:ascii="宋体" w:hAnsi="宋体" w:cs="宋体"/>
          <w:color w:val="auto"/>
          <w:szCs w:val="21"/>
          <w:highlight w:val="none"/>
        </w:rPr>
        <w:t xml:space="preserve"> </w:t>
      </w:r>
      <w:r>
        <w:rPr>
          <w:rFonts w:hint="eastAsia" w:ascii="宋体" w:hAnsi="宋体" w:cs="宋体"/>
          <w:color w:val="auto"/>
          <w:szCs w:val="21"/>
          <w:highlight w:val="none"/>
        </w:rPr>
        <w:t xml:space="preserve">          </w:t>
      </w:r>
      <w:r>
        <w:rPr>
          <w:rFonts w:hint="eastAsia" w:ascii="宋体" w:hAnsi="宋体" w:cs="宋体"/>
          <w:color w:val="auto"/>
          <w:sz w:val="24"/>
          <w:highlight w:val="none"/>
        </w:rPr>
        <w:t>单位名称：</w:t>
      </w:r>
    </w:p>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w:t>
      </w:r>
      <w:r>
        <w:rPr>
          <w:rFonts w:ascii="宋体" w:hAnsi="宋体" w:cs="宋体"/>
          <w:color w:val="auto"/>
          <w:sz w:val="24"/>
          <w:highlight w:val="none"/>
        </w:rPr>
        <w:t xml:space="preserve">                               法定代表人：</w:t>
      </w:r>
    </w:p>
    <w:p>
      <w:pPr>
        <w:spacing w:line="360" w:lineRule="auto"/>
        <w:ind w:right="-359" w:rightChars="-171"/>
        <w:jc w:val="left"/>
        <w:rPr>
          <w:rFonts w:ascii="宋体" w:hAnsi="宋体" w:cs="宋体"/>
          <w:color w:val="auto"/>
          <w:sz w:val="24"/>
          <w:highlight w:val="none"/>
        </w:rPr>
      </w:pPr>
      <w:r>
        <w:rPr>
          <w:rFonts w:hint="eastAsia" w:ascii="宋体" w:hAnsi="宋体" w:cs="宋体"/>
          <w:color w:val="auto"/>
          <w:sz w:val="24"/>
          <w:highlight w:val="none"/>
        </w:rPr>
        <w:t xml:space="preserve">（或委托代理人）： </w:t>
      </w:r>
      <w:r>
        <w:rPr>
          <w:rFonts w:ascii="宋体" w:hAnsi="宋体" w:cs="宋体"/>
          <w:color w:val="auto"/>
          <w:sz w:val="24"/>
          <w:highlight w:val="none"/>
        </w:rPr>
        <w:t xml:space="preserve">                        </w:t>
      </w:r>
      <w:r>
        <w:rPr>
          <w:rFonts w:hint="eastAsia" w:ascii="宋体" w:hAnsi="宋体" w:cs="宋体"/>
          <w:color w:val="auto"/>
          <w:sz w:val="24"/>
          <w:highlight w:val="none"/>
        </w:rPr>
        <w:t>（或委托代理人）：</w:t>
      </w:r>
    </w:p>
    <w:p>
      <w:pPr>
        <w:spacing w:line="360" w:lineRule="auto"/>
        <w:ind w:left="-1079" w:leftChars="-514" w:right="-359" w:rightChars="-171" w:firstLine="1077" w:firstLineChars="449"/>
        <w:jc w:val="left"/>
        <w:rPr>
          <w:rFonts w:ascii="宋体" w:hAnsi="宋体" w:cs="宋体"/>
          <w:color w:val="auto"/>
          <w:sz w:val="24"/>
          <w:highlight w:val="none"/>
        </w:rPr>
      </w:pPr>
      <w:r>
        <w:rPr>
          <w:rFonts w:ascii="宋体" w:hAnsi="宋体" w:cs="宋体"/>
          <w:color w:val="auto"/>
          <w:sz w:val="24"/>
          <w:highlight w:val="none"/>
        </w:rPr>
        <w:t xml:space="preserve">地址：                                     </w:t>
      </w:r>
      <w:r>
        <w:rPr>
          <w:rFonts w:hint="eastAsia" w:ascii="宋体" w:hAnsi="宋体" w:cs="宋体"/>
          <w:color w:val="auto"/>
          <w:sz w:val="24"/>
          <w:highlight w:val="none"/>
        </w:rPr>
        <w:t xml:space="preserve"> </w:t>
      </w:r>
      <w:r>
        <w:rPr>
          <w:rFonts w:ascii="宋体" w:hAnsi="宋体" w:cs="宋体"/>
          <w:color w:val="auto"/>
          <w:sz w:val="24"/>
          <w:highlight w:val="none"/>
        </w:rPr>
        <w:t>地址</w:t>
      </w:r>
      <w:r>
        <w:rPr>
          <w:rFonts w:hint="eastAsia" w:ascii="宋体" w:hAnsi="宋体" w:cs="宋体"/>
          <w:color w:val="auto"/>
          <w:sz w:val="24"/>
          <w:highlight w:val="none"/>
        </w:rPr>
        <w:t>：</w:t>
      </w:r>
    </w:p>
    <w:p>
      <w:pPr>
        <w:spacing w:line="360" w:lineRule="auto"/>
        <w:ind w:left="-1079" w:leftChars="-514" w:right="-359" w:rightChars="-171" w:firstLine="1077" w:firstLineChars="449"/>
        <w:jc w:val="left"/>
        <w:rPr>
          <w:rFonts w:hint="eastAsia" w:ascii="宋体" w:hAnsi="宋体" w:eastAsia="宋体" w:cs="宋体"/>
          <w:color w:val="auto"/>
          <w:sz w:val="24"/>
          <w:highlight w:val="none"/>
          <w:lang w:eastAsia="zh-CN"/>
        </w:rPr>
      </w:pPr>
      <w:r>
        <w:rPr>
          <w:rFonts w:ascii="宋体" w:hAnsi="宋体" w:cs="宋体"/>
          <w:color w:val="auto"/>
          <w:sz w:val="24"/>
          <w:highlight w:val="none"/>
        </w:rPr>
        <w:t xml:space="preserve">电话：                                     </w:t>
      </w:r>
      <w:r>
        <w:rPr>
          <w:rFonts w:hint="eastAsia" w:ascii="宋体" w:hAnsi="宋体" w:cs="宋体"/>
          <w:color w:val="auto"/>
          <w:sz w:val="24"/>
          <w:highlight w:val="none"/>
        </w:rPr>
        <w:t xml:space="preserve"> </w:t>
      </w:r>
      <w:r>
        <w:rPr>
          <w:rFonts w:ascii="宋体" w:hAnsi="宋体" w:cs="宋体"/>
          <w:color w:val="auto"/>
          <w:sz w:val="24"/>
          <w:highlight w:val="none"/>
        </w:rPr>
        <w:t>电话</w:t>
      </w:r>
      <w:r>
        <w:rPr>
          <w:rFonts w:hint="eastAsia" w:ascii="宋体" w:hAnsi="宋体" w:cs="宋体"/>
          <w:color w:val="auto"/>
          <w:sz w:val="24"/>
          <w:highlight w:val="none"/>
          <w:lang w:eastAsia="zh-CN"/>
        </w:rPr>
        <w:t>：</w:t>
      </w:r>
    </w:p>
    <w:p>
      <w:pPr>
        <w:spacing w:line="360" w:lineRule="auto"/>
        <w:ind w:right="-359" w:rightChars="-171" w:firstLine="5280" w:firstLineChars="2200"/>
        <w:jc w:val="left"/>
        <w:rPr>
          <w:color w:val="auto"/>
          <w:highlight w:val="none"/>
        </w:rPr>
      </w:pPr>
      <w:r>
        <w:rPr>
          <w:rFonts w:hint="eastAsia" w:ascii="宋体" w:hAnsi="宋体" w:cs="宋体"/>
          <w:color w:val="auto"/>
          <w:sz w:val="24"/>
          <w:highlight w:val="none"/>
          <w:lang w:val="en-US" w:eastAsia="zh-CN"/>
        </w:rPr>
        <w:t>邮箱</w:t>
      </w:r>
      <w:r>
        <w:rPr>
          <w:rFonts w:ascii="宋体" w:hAnsi="宋体" w:cs="宋体"/>
          <w:color w:val="auto"/>
          <w:sz w:val="24"/>
          <w:highlight w:val="none"/>
        </w:rPr>
        <w:t>：</w:t>
      </w:r>
    </w:p>
    <w:p>
      <w:pPr>
        <w:spacing w:line="360" w:lineRule="auto"/>
        <w:jc w:val="left"/>
        <w:rPr>
          <w:rFonts w:hint="eastAsia" w:ascii="宋体" w:hAnsi="宋体" w:cs="宋体"/>
          <w:color w:val="auto"/>
          <w:sz w:val="24"/>
          <w:highlight w:val="none"/>
        </w:rPr>
        <w:sectPr>
          <w:footerReference r:id="rId25" w:type="default"/>
          <w:pgSz w:w="11906" w:h="16838"/>
          <w:pgMar w:top="1440" w:right="1800" w:bottom="1440" w:left="1800" w:header="851" w:footer="850" w:gutter="0"/>
          <w:pgNumType w:fmt="decimal"/>
          <w:cols w:space="720" w:num="1"/>
          <w:docGrid w:type="lines" w:linePitch="312" w:charSpace="0"/>
        </w:sectPr>
      </w:pPr>
      <w:r>
        <w:rPr>
          <w:rFonts w:hint="eastAsia" w:ascii="宋体" w:hAnsi="宋体" w:cs="宋体"/>
          <w:color w:val="auto"/>
          <w:sz w:val="24"/>
          <w:highlight w:val="none"/>
        </w:rPr>
        <w:t>日期</w:t>
      </w:r>
      <w:r>
        <w:rPr>
          <w:rFonts w:ascii="宋体" w:hAnsi="宋体" w:cs="宋体"/>
          <w:color w:val="auto"/>
          <w:sz w:val="24"/>
          <w:highlight w:val="none"/>
        </w:rPr>
        <w:t>：</w:t>
      </w: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 xml:space="preserve"> 年 </w:t>
      </w:r>
      <w:r>
        <w:rPr>
          <w:rFonts w:ascii="宋体" w:hAnsi="宋体" w:cs="宋体"/>
          <w:color w:val="auto"/>
          <w:sz w:val="24"/>
          <w:highlight w:val="none"/>
        </w:rPr>
        <w:t xml:space="preserve"> </w:t>
      </w:r>
      <w:r>
        <w:rPr>
          <w:rFonts w:hint="eastAsia" w:ascii="宋体" w:hAnsi="宋体" w:cs="宋体"/>
          <w:color w:val="auto"/>
          <w:sz w:val="24"/>
          <w:highlight w:val="none"/>
        </w:rPr>
        <w:t xml:space="preserve"> 月 </w:t>
      </w:r>
      <w:r>
        <w:rPr>
          <w:rFonts w:ascii="宋体" w:hAnsi="宋体" w:cs="宋体"/>
          <w:color w:val="auto"/>
          <w:sz w:val="24"/>
          <w:highlight w:val="none"/>
        </w:rPr>
        <w:t xml:space="preserve"> </w:t>
      </w:r>
      <w:r>
        <w:rPr>
          <w:rFonts w:hint="eastAsia" w:ascii="宋体" w:hAnsi="宋体" w:cs="宋体"/>
          <w:color w:val="auto"/>
          <w:sz w:val="24"/>
          <w:highlight w:val="none"/>
        </w:rPr>
        <w:t xml:space="preserve"> 日</w:t>
      </w:r>
      <w:r>
        <w:rPr>
          <w:rFonts w:ascii="宋体" w:hAnsi="宋体" w:cs="宋体"/>
          <w:color w:val="auto"/>
          <w:sz w:val="24"/>
          <w:highlight w:val="none"/>
        </w:rPr>
        <w:t xml:space="preserve">                    </w:t>
      </w:r>
      <w:r>
        <w:rPr>
          <w:rFonts w:hint="eastAsia" w:ascii="宋体" w:hAnsi="宋体" w:cs="宋体"/>
          <w:color w:val="auto"/>
          <w:sz w:val="24"/>
          <w:highlight w:val="none"/>
        </w:rPr>
        <w:t xml:space="preserve">   日期</w:t>
      </w:r>
      <w:r>
        <w:rPr>
          <w:rFonts w:ascii="宋体" w:hAnsi="宋体" w:cs="宋体"/>
          <w:color w:val="auto"/>
          <w:sz w:val="24"/>
          <w:highlight w:val="none"/>
        </w:rPr>
        <w:t>：</w:t>
      </w: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 xml:space="preserve"> 年   月 </w:t>
      </w:r>
      <w:r>
        <w:rPr>
          <w:rFonts w:ascii="宋体" w:hAnsi="宋体" w:cs="宋体"/>
          <w:color w:val="auto"/>
          <w:sz w:val="24"/>
          <w:highlight w:val="none"/>
        </w:rPr>
        <w:t xml:space="preserve"> </w:t>
      </w:r>
      <w:r>
        <w:rPr>
          <w:rFonts w:hint="eastAsia" w:ascii="宋体" w:hAnsi="宋体" w:cs="宋体"/>
          <w:color w:val="auto"/>
          <w:sz w:val="24"/>
          <w:highlight w:val="none"/>
        </w:rPr>
        <w:t xml:space="preserve"> 日</w:t>
      </w:r>
    </w:p>
    <w:p>
      <w:pPr>
        <w:pStyle w:val="9"/>
        <w:ind w:firstLine="0"/>
        <w:rPr>
          <w:color w:val="auto"/>
          <w:highlight w:val="none"/>
        </w:rPr>
      </w:pPr>
    </w:p>
    <w:p>
      <w:pPr>
        <w:pStyle w:val="6"/>
        <w:tabs>
          <w:tab w:val="left" w:pos="1200"/>
          <w:tab w:val="clear" w:pos="9060"/>
        </w:tabs>
        <w:spacing w:before="312" w:after="156"/>
        <w:ind w:firstLine="420"/>
        <w:rPr>
          <w:rFonts w:ascii="宋体" w:hAnsi="宋体" w:cs="宋体"/>
          <w:color w:val="auto"/>
          <w:kern w:val="28"/>
          <w:highlight w:val="none"/>
        </w:rPr>
      </w:pPr>
      <w:bookmarkStart w:id="2051" w:name="_Toc26248"/>
      <w:bookmarkStart w:id="2052" w:name="_Toc502483070"/>
      <w:bookmarkStart w:id="2053" w:name="_Toc7159"/>
      <w:bookmarkStart w:id="2054" w:name="_Toc55278072"/>
      <w:bookmarkStart w:id="2055" w:name="_Toc15748"/>
      <w:bookmarkStart w:id="2056" w:name="_Toc24835"/>
      <w:r>
        <w:rPr>
          <w:rFonts w:hint="eastAsia" w:ascii="宋体" w:hAnsi="宋体" w:cs="宋体"/>
          <w:color w:val="auto"/>
          <w:kern w:val="28"/>
          <w:highlight w:val="none"/>
        </w:rPr>
        <w:t>附件一 人员和车辆</w:t>
      </w:r>
      <w:bookmarkEnd w:id="2026"/>
      <w:bookmarkEnd w:id="2027"/>
      <w:bookmarkEnd w:id="2028"/>
      <w:bookmarkEnd w:id="2029"/>
      <w:bookmarkEnd w:id="2051"/>
      <w:bookmarkEnd w:id="2052"/>
      <w:bookmarkEnd w:id="2053"/>
      <w:bookmarkEnd w:id="2054"/>
      <w:bookmarkEnd w:id="2055"/>
      <w:bookmarkEnd w:id="2056"/>
    </w:p>
    <w:p>
      <w:pPr>
        <w:spacing w:before="50" w:line="312" w:lineRule="auto"/>
        <w:jc w:val="center"/>
        <w:rPr>
          <w:rFonts w:ascii="宋体" w:hAnsi="宋体" w:cs="宋体"/>
          <w:color w:val="auto"/>
          <w:spacing w:val="10"/>
          <w:sz w:val="24"/>
          <w:szCs w:val="24"/>
          <w:highlight w:val="none"/>
        </w:rPr>
      </w:pPr>
    </w:p>
    <w:p>
      <w:pPr>
        <w:spacing w:before="50" w:line="312" w:lineRule="auto"/>
        <w:rPr>
          <w:rFonts w:ascii="宋体" w:hAnsi="宋体" w:cs="宋体"/>
          <w:color w:val="auto"/>
          <w:spacing w:val="10"/>
          <w:sz w:val="24"/>
          <w:szCs w:val="24"/>
          <w:highlight w:val="none"/>
        </w:rPr>
      </w:pPr>
      <w:r>
        <w:rPr>
          <w:rFonts w:hint="eastAsia" w:ascii="宋体" w:hAnsi="宋体" w:cs="宋体"/>
          <w:color w:val="auto"/>
          <w:spacing w:val="10"/>
          <w:sz w:val="24"/>
          <w:szCs w:val="24"/>
          <w:highlight w:val="none"/>
        </w:rPr>
        <w:t>1.0 概述</w:t>
      </w:r>
    </w:p>
    <w:p>
      <w:pPr>
        <w:spacing w:before="156" w:beforeLines="50" w:line="312" w:lineRule="auto"/>
        <w:ind w:firstLine="570"/>
        <w:rPr>
          <w:rFonts w:ascii="宋体" w:hAnsi="宋体" w:cs="宋体"/>
          <w:color w:val="auto"/>
          <w:spacing w:val="10"/>
          <w:sz w:val="24"/>
          <w:szCs w:val="24"/>
          <w:highlight w:val="none"/>
        </w:rPr>
      </w:pPr>
      <w:r>
        <w:rPr>
          <w:rFonts w:hint="eastAsia" w:ascii="宋体" w:hAnsi="宋体" w:cs="宋体"/>
          <w:color w:val="auto"/>
          <w:spacing w:val="10"/>
          <w:sz w:val="24"/>
          <w:szCs w:val="24"/>
          <w:highlight w:val="none"/>
        </w:rPr>
        <w:t>协调人员未经甲方的书面同意不得变更，否则，乙方应按合同的其他相关规定向甲方支付人员撤换金。</w:t>
      </w:r>
    </w:p>
    <w:p>
      <w:pPr>
        <w:spacing w:before="156" w:beforeLines="50" w:line="312" w:lineRule="auto"/>
        <w:ind w:firstLine="570"/>
        <w:rPr>
          <w:rFonts w:ascii="宋体" w:hAnsi="宋体" w:cs="宋体"/>
          <w:color w:val="auto"/>
          <w:spacing w:val="10"/>
          <w:sz w:val="24"/>
          <w:szCs w:val="24"/>
          <w:highlight w:val="none"/>
        </w:rPr>
      </w:pPr>
      <w:r>
        <w:rPr>
          <w:rFonts w:hint="eastAsia" w:ascii="宋体" w:hAnsi="宋体" w:cs="宋体"/>
          <w:color w:val="auto"/>
          <w:spacing w:val="10"/>
          <w:sz w:val="24"/>
          <w:szCs w:val="24"/>
          <w:highlight w:val="none"/>
        </w:rPr>
        <w:t>协调人员（包括项目负责人）应专职为履行合同和完成本项工作的人员，乙方应确保其委派的项目负责人、关键人员和主要技术及管理人员在合同期间持续稳定地在该项目组工作。</w:t>
      </w:r>
    </w:p>
    <w:p>
      <w:pPr>
        <w:spacing w:before="156" w:beforeLines="50" w:line="312" w:lineRule="auto"/>
        <w:ind w:firstLine="570"/>
        <w:rPr>
          <w:rFonts w:ascii="宋体" w:hAnsi="宋体" w:cs="宋体"/>
          <w:color w:val="auto"/>
          <w:spacing w:val="10"/>
          <w:sz w:val="24"/>
          <w:szCs w:val="24"/>
          <w:highlight w:val="none"/>
        </w:rPr>
      </w:pPr>
      <w:r>
        <w:rPr>
          <w:rFonts w:hint="eastAsia" w:ascii="宋体" w:hAnsi="宋体" w:cs="宋体"/>
          <w:color w:val="auto"/>
          <w:spacing w:val="10"/>
          <w:sz w:val="24"/>
          <w:szCs w:val="24"/>
          <w:highlight w:val="none"/>
        </w:rPr>
        <w:t>如果协调人员因故需暂时离开项目组和/或项目组的工作地三（3）个工作日以上时，应向甲方代表请假并获得甲方代表的同意。在未向甲方代表请假或虽然请假但未获得甲方代表同意的情况下，协调人员离开工作地达三（3）个工作日以上，可视为乙方的行为属于擅自撤换协调组人员的行为，甲方有权按合同的其他相关规定从合同价格中扣除相应人员的撤换金。</w:t>
      </w:r>
    </w:p>
    <w:p>
      <w:pPr>
        <w:spacing w:before="156" w:beforeLines="50" w:line="312" w:lineRule="auto"/>
        <w:ind w:firstLine="570"/>
        <w:rPr>
          <w:rFonts w:ascii="宋体" w:hAnsi="宋体" w:cs="宋体"/>
          <w:b/>
          <w:bCs/>
          <w:color w:val="auto"/>
          <w:kern w:val="44"/>
          <w:sz w:val="24"/>
          <w:szCs w:val="24"/>
          <w:highlight w:val="none"/>
          <w:lang w:val="zh-CN"/>
        </w:rPr>
      </w:pPr>
      <w:r>
        <w:rPr>
          <w:rFonts w:hint="eastAsia" w:ascii="宋体" w:hAnsi="宋体" w:cs="宋体"/>
          <w:color w:val="auto"/>
          <w:spacing w:val="10"/>
          <w:sz w:val="24"/>
          <w:szCs w:val="24"/>
          <w:highlight w:val="none"/>
        </w:rPr>
        <w:t>甲方有权从应付给乙方的合同价格中扣除此款项，或以合同项下债务的形式追偿有关款项。</w:t>
      </w:r>
    </w:p>
    <w:p>
      <w:pPr>
        <w:jc w:val="center"/>
        <w:rPr>
          <w:rFonts w:ascii="宋体" w:hAnsi="宋体" w:cs="宋体"/>
          <w:b/>
          <w:color w:val="auto"/>
          <w:sz w:val="24"/>
          <w:szCs w:val="24"/>
          <w:highlight w:val="none"/>
        </w:rPr>
      </w:pPr>
      <w:r>
        <w:rPr>
          <w:rFonts w:hint="eastAsia" w:ascii="宋体" w:hAnsi="宋体" w:cs="宋体"/>
          <w:bCs/>
          <w:color w:val="auto"/>
          <w:kern w:val="44"/>
          <w:sz w:val="24"/>
          <w:szCs w:val="24"/>
          <w:highlight w:val="none"/>
          <w:lang w:val="zh-CN"/>
        </w:rPr>
        <w:t>协调人员和车辆明细表</w:t>
      </w:r>
    </w:p>
    <w:tbl>
      <w:tblPr>
        <w:tblStyle w:val="38"/>
        <w:tblW w:w="85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spacing w:before="120" w:after="120"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姓名</w:t>
            </w:r>
          </w:p>
        </w:tc>
        <w:tc>
          <w:tcPr>
            <w:tcW w:w="2841" w:type="dxa"/>
            <w:noWrap w:val="0"/>
            <w:vAlign w:val="top"/>
          </w:tcPr>
          <w:p>
            <w:pPr>
              <w:spacing w:before="120" w:after="120"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职务</w:t>
            </w:r>
          </w:p>
        </w:tc>
        <w:tc>
          <w:tcPr>
            <w:tcW w:w="2841" w:type="dxa"/>
            <w:noWrap w:val="0"/>
            <w:vAlign w:val="top"/>
          </w:tcPr>
          <w:p>
            <w:pPr>
              <w:spacing w:before="120" w:after="120"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noWrap w:val="0"/>
            <w:vAlign w:val="top"/>
          </w:tcPr>
          <w:p>
            <w:pPr>
              <w:spacing w:before="120" w:after="120" w:line="360" w:lineRule="auto"/>
              <w:jc w:val="center"/>
              <w:rPr>
                <w:rFonts w:ascii="宋体" w:hAnsi="宋体" w:cs="宋体"/>
                <w:bCs/>
                <w:color w:val="auto"/>
                <w:sz w:val="24"/>
                <w:szCs w:val="24"/>
                <w:highlight w:val="none"/>
              </w:rPr>
            </w:pPr>
          </w:p>
        </w:tc>
        <w:tc>
          <w:tcPr>
            <w:tcW w:w="2841" w:type="dxa"/>
            <w:noWrap w:val="0"/>
            <w:vAlign w:val="top"/>
          </w:tcPr>
          <w:p>
            <w:pPr>
              <w:spacing w:before="120" w:after="120" w:line="360" w:lineRule="auto"/>
              <w:jc w:val="center"/>
              <w:rPr>
                <w:rFonts w:ascii="宋体" w:hAnsi="宋体" w:cs="宋体"/>
                <w:bCs/>
                <w:color w:val="auto"/>
                <w:sz w:val="24"/>
                <w:szCs w:val="24"/>
                <w:highlight w:val="none"/>
              </w:rPr>
            </w:pPr>
          </w:p>
        </w:tc>
        <w:tc>
          <w:tcPr>
            <w:tcW w:w="2841" w:type="dxa"/>
            <w:noWrap w:val="0"/>
            <w:vAlign w:val="top"/>
          </w:tcPr>
          <w:p>
            <w:pPr>
              <w:spacing w:before="120" w:after="120" w:line="360" w:lineRule="auto"/>
              <w:jc w:val="center"/>
              <w:rPr>
                <w:rFonts w:ascii="宋体" w:hAnsi="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spacing w:before="120" w:after="120" w:line="360" w:lineRule="auto"/>
              <w:jc w:val="center"/>
              <w:rPr>
                <w:rFonts w:ascii="宋体" w:hAnsi="宋体" w:cs="宋体"/>
                <w:bCs/>
                <w:color w:val="auto"/>
                <w:sz w:val="24"/>
                <w:szCs w:val="24"/>
                <w:highlight w:val="none"/>
              </w:rPr>
            </w:pPr>
          </w:p>
        </w:tc>
        <w:tc>
          <w:tcPr>
            <w:tcW w:w="2841" w:type="dxa"/>
            <w:noWrap w:val="0"/>
            <w:vAlign w:val="top"/>
          </w:tcPr>
          <w:p>
            <w:pPr>
              <w:spacing w:before="120" w:after="120" w:line="360" w:lineRule="auto"/>
              <w:jc w:val="center"/>
              <w:rPr>
                <w:rFonts w:ascii="宋体" w:hAnsi="宋体" w:cs="宋体"/>
                <w:bCs/>
                <w:color w:val="auto"/>
                <w:sz w:val="24"/>
                <w:szCs w:val="24"/>
                <w:highlight w:val="none"/>
              </w:rPr>
            </w:pPr>
          </w:p>
        </w:tc>
        <w:tc>
          <w:tcPr>
            <w:tcW w:w="2841" w:type="dxa"/>
            <w:noWrap w:val="0"/>
            <w:vAlign w:val="top"/>
          </w:tcPr>
          <w:p>
            <w:pPr>
              <w:spacing w:before="120" w:after="120" w:line="360" w:lineRule="auto"/>
              <w:jc w:val="center"/>
              <w:rPr>
                <w:rFonts w:ascii="宋体" w:hAnsi="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spacing w:before="120" w:after="120" w:line="360" w:lineRule="auto"/>
              <w:jc w:val="center"/>
              <w:rPr>
                <w:rFonts w:ascii="宋体" w:hAnsi="宋体" w:cs="宋体"/>
                <w:bCs/>
                <w:color w:val="auto"/>
                <w:sz w:val="24"/>
                <w:szCs w:val="24"/>
                <w:highlight w:val="none"/>
              </w:rPr>
            </w:pPr>
          </w:p>
        </w:tc>
        <w:tc>
          <w:tcPr>
            <w:tcW w:w="2841" w:type="dxa"/>
            <w:noWrap w:val="0"/>
            <w:vAlign w:val="top"/>
          </w:tcPr>
          <w:p>
            <w:pPr>
              <w:spacing w:before="120" w:after="120" w:line="360" w:lineRule="auto"/>
              <w:jc w:val="center"/>
              <w:rPr>
                <w:rFonts w:ascii="宋体" w:hAnsi="宋体" w:cs="宋体"/>
                <w:bCs/>
                <w:color w:val="auto"/>
                <w:sz w:val="24"/>
                <w:szCs w:val="24"/>
                <w:highlight w:val="none"/>
              </w:rPr>
            </w:pPr>
          </w:p>
        </w:tc>
        <w:tc>
          <w:tcPr>
            <w:tcW w:w="2841" w:type="dxa"/>
            <w:noWrap w:val="0"/>
            <w:vAlign w:val="center"/>
          </w:tcPr>
          <w:p>
            <w:pPr>
              <w:spacing w:before="120" w:after="120" w:line="360" w:lineRule="auto"/>
              <w:jc w:val="center"/>
              <w:rPr>
                <w:rFonts w:ascii="宋体" w:hAnsi="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spacing w:before="120" w:after="120" w:line="360" w:lineRule="auto"/>
              <w:jc w:val="center"/>
              <w:rPr>
                <w:rFonts w:ascii="宋体" w:hAnsi="宋体" w:cs="宋体"/>
                <w:bCs/>
                <w:color w:val="auto"/>
                <w:sz w:val="24"/>
                <w:szCs w:val="24"/>
                <w:highlight w:val="none"/>
              </w:rPr>
            </w:pPr>
          </w:p>
        </w:tc>
        <w:tc>
          <w:tcPr>
            <w:tcW w:w="2841" w:type="dxa"/>
            <w:noWrap w:val="0"/>
            <w:vAlign w:val="top"/>
          </w:tcPr>
          <w:p>
            <w:pPr>
              <w:spacing w:before="120" w:after="120" w:line="360" w:lineRule="auto"/>
              <w:jc w:val="center"/>
              <w:rPr>
                <w:rFonts w:ascii="宋体" w:hAnsi="宋体" w:cs="宋体"/>
                <w:bCs/>
                <w:color w:val="auto"/>
                <w:sz w:val="24"/>
                <w:szCs w:val="24"/>
                <w:highlight w:val="none"/>
              </w:rPr>
            </w:pPr>
          </w:p>
        </w:tc>
        <w:tc>
          <w:tcPr>
            <w:tcW w:w="2841" w:type="dxa"/>
            <w:noWrap w:val="0"/>
            <w:vAlign w:val="top"/>
          </w:tcPr>
          <w:p>
            <w:pPr>
              <w:spacing w:before="120" w:after="120" w:line="360" w:lineRule="auto"/>
              <w:jc w:val="center"/>
              <w:rPr>
                <w:rFonts w:ascii="宋体" w:hAnsi="宋体" w:cs="宋体"/>
                <w:bCs/>
                <w:color w:val="auto"/>
                <w:sz w:val="24"/>
                <w:szCs w:val="24"/>
                <w:highlight w:val="none"/>
              </w:rPr>
            </w:pPr>
          </w:p>
        </w:tc>
      </w:tr>
    </w:tbl>
    <w:p>
      <w:pPr>
        <w:rPr>
          <w:color w:val="auto"/>
          <w:highlight w:val="none"/>
        </w:rPr>
      </w:pPr>
      <w:bookmarkStart w:id="2057" w:name="_Toc46932834"/>
      <w:bookmarkStart w:id="2058" w:name="_Toc45831189"/>
    </w:p>
    <w:p>
      <w:pPr>
        <w:pStyle w:val="9"/>
        <w:rPr>
          <w:rFonts w:ascii="宋体" w:hAnsi="宋体" w:cs="宋体"/>
          <w:color w:val="auto"/>
          <w:kern w:val="28"/>
          <w:highlight w:val="none"/>
        </w:rPr>
      </w:pPr>
    </w:p>
    <w:p>
      <w:pPr>
        <w:pStyle w:val="9"/>
        <w:rPr>
          <w:rFonts w:ascii="宋体" w:hAnsi="宋体" w:cs="宋体"/>
          <w:color w:val="auto"/>
          <w:kern w:val="28"/>
          <w:highlight w:val="none"/>
        </w:rPr>
      </w:pPr>
    </w:p>
    <w:p>
      <w:pPr>
        <w:rPr>
          <w:color w:val="auto"/>
          <w:highlight w:val="none"/>
        </w:rPr>
      </w:pPr>
    </w:p>
    <w:p>
      <w:pPr>
        <w:pStyle w:val="6"/>
        <w:tabs>
          <w:tab w:val="left" w:pos="1200"/>
          <w:tab w:val="clear" w:pos="9060"/>
        </w:tabs>
        <w:spacing w:before="312" w:after="156"/>
        <w:ind w:firstLine="420"/>
        <w:rPr>
          <w:rFonts w:ascii="宋体" w:hAnsi="宋体" w:cs="宋体"/>
          <w:color w:val="auto"/>
          <w:kern w:val="28"/>
          <w:highlight w:val="none"/>
        </w:rPr>
      </w:pPr>
      <w:bookmarkStart w:id="2059" w:name="_Toc27082"/>
      <w:bookmarkStart w:id="2060" w:name="_Toc3732"/>
      <w:bookmarkStart w:id="2061" w:name="_Toc31419"/>
      <w:bookmarkStart w:id="2062" w:name="_Toc25441"/>
      <w:bookmarkStart w:id="2063" w:name="_Toc5836"/>
      <w:bookmarkStart w:id="2064" w:name="_Toc1345620600"/>
      <w:bookmarkStart w:id="2065" w:name="_Toc1327257486"/>
      <w:r>
        <w:rPr>
          <w:rFonts w:hint="eastAsia" w:ascii="宋体" w:hAnsi="宋体" w:cs="宋体"/>
          <w:color w:val="auto"/>
          <w:kern w:val="28"/>
          <w:highlight w:val="none"/>
        </w:rPr>
        <w:t>附件二 廉洁协议</w:t>
      </w:r>
      <w:bookmarkEnd w:id="2057"/>
      <w:bookmarkEnd w:id="2058"/>
      <w:bookmarkEnd w:id="2059"/>
      <w:bookmarkEnd w:id="2060"/>
      <w:bookmarkEnd w:id="2061"/>
      <w:bookmarkEnd w:id="2062"/>
      <w:bookmarkEnd w:id="2063"/>
      <w:bookmarkEnd w:id="2064"/>
      <w:bookmarkEnd w:id="2065"/>
    </w:p>
    <w:p>
      <w:pPr>
        <w:spacing w:line="500" w:lineRule="exact"/>
        <w:rPr>
          <w:rFonts w:ascii="宋体" w:hAnsi="宋体" w:cs="宋体"/>
          <w:color w:val="auto"/>
          <w:sz w:val="24"/>
          <w:szCs w:val="24"/>
          <w:highlight w:val="none"/>
        </w:rPr>
      </w:pPr>
      <w:r>
        <w:rPr>
          <w:rFonts w:hint="eastAsia" w:ascii="宋体" w:hAnsi="宋体" w:cs="宋体"/>
          <w:b/>
          <w:color w:val="auto"/>
          <w:sz w:val="24"/>
          <w:szCs w:val="24"/>
          <w:highlight w:val="none"/>
        </w:rPr>
        <w:t>对应合同名称：</w:t>
      </w:r>
      <w:r>
        <w:rPr>
          <w:rFonts w:hint="eastAsia" w:ascii="宋体" w:hAnsi="宋体" w:cs="宋体"/>
          <w:b/>
          <w:color w:val="auto"/>
          <w:sz w:val="24"/>
          <w:szCs w:val="24"/>
          <w:highlight w:val="none"/>
          <w:lang w:eastAsia="zh-CN"/>
        </w:rPr>
        <w:t>白云恒运天然气发电项目燃气管线工程</w:t>
      </w:r>
      <w:r>
        <w:rPr>
          <w:rFonts w:hint="eastAsia" w:ascii="宋体" w:hAnsi="宋体" w:cs="宋体"/>
          <w:b/>
          <w:color w:val="auto"/>
          <w:sz w:val="24"/>
          <w:szCs w:val="24"/>
          <w:highlight w:val="none"/>
        </w:rPr>
        <w:t>其他部分服务委托合同</w:t>
      </w:r>
    </w:p>
    <w:p>
      <w:pPr>
        <w:spacing w:line="5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廉洁协议</w:t>
      </w:r>
    </w:p>
    <w:p>
      <w:pPr>
        <w:spacing w:line="500" w:lineRule="exact"/>
        <w:ind w:firstLine="480" w:firstLineChars="200"/>
        <w:rPr>
          <w:rFonts w:ascii="宋体" w:hAnsi="宋体" w:cs="宋体"/>
          <w:color w:val="auto"/>
          <w:sz w:val="24"/>
          <w:szCs w:val="24"/>
          <w:highlight w:val="none"/>
        </w:rPr>
      </w:pP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甲方: 广州燃气集团有限公司</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乙方:</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为了增强甲乙双方依法经营、廉洁从业意识，完善自我约束、自我监督机制，营造守法诚信、廉洁高效的工作环境，防止发生违法违纪行为，保护国家、集体和当事人的合法权益，根据中央、省和广州市有关党风建设和反腐倡廉工作的各项规定，特订立本廉洁协议：</w:t>
      </w:r>
    </w:p>
    <w:p>
      <w:pPr>
        <w:pStyle w:val="3"/>
        <w:ind w:left="440" w:firstLine="560"/>
        <w:rPr>
          <w:rFonts w:ascii="宋体" w:hAnsi="宋体" w:cs="宋体"/>
          <w:b/>
          <w:color w:val="auto"/>
          <w:sz w:val="24"/>
          <w:highlight w:val="none"/>
        </w:rPr>
      </w:pPr>
      <w:r>
        <w:rPr>
          <w:rFonts w:hint="eastAsia" w:ascii="宋体" w:hAnsi="宋体" w:cs="宋体"/>
          <w:b/>
          <w:color w:val="auto"/>
          <w:sz w:val="24"/>
          <w:highlight w:val="none"/>
        </w:rPr>
        <w:t>第一条 双方共同的责任和义务</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（一）严格遵守关于市场准入、招标投标、工程建设管理、物资采购、投资并购、国有资产处置等市场经济活动的法律法规制度以及党风建设和反腐倡廉工作的各项规定。</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（二）严格履行合同约定，自觉承担合同义务。</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（三）业务活动必须坚持公平、公正、公开和诚实守信的原则（除法律法规另有规定者外），不得为获取不正当利益，损害国家、集体和对方利益。</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（四）建立健全自我监督机制，开展廉洁教育，公布举报电话，监督并认真查处违法违纪行为。</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（五）发现对方在业务活动中有违规、违纪、违法行为的，应及时提醒对方，情节严重的，应向有关纪检监察部门举报。</w:t>
      </w:r>
    </w:p>
    <w:p>
      <w:pPr>
        <w:pStyle w:val="3"/>
        <w:ind w:left="440" w:firstLine="560"/>
        <w:rPr>
          <w:rFonts w:ascii="宋体" w:hAnsi="宋体" w:cs="宋体"/>
          <w:b/>
          <w:color w:val="auto"/>
          <w:sz w:val="24"/>
          <w:highlight w:val="none"/>
        </w:rPr>
      </w:pPr>
      <w:r>
        <w:rPr>
          <w:rFonts w:hint="eastAsia" w:ascii="宋体" w:hAnsi="宋体" w:cs="宋体"/>
          <w:b/>
          <w:color w:val="auto"/>
          <w:sz w:val="24"/>
          <w:highlight w:val="none"/>
        </w:rPr>
        <w:t>第二条  甲方的责任和义务</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甲方相关工作人员，在业务活动的事前、事中、事后，应遵守以下规定：</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 xml:space="preserve">（一）贯彻落实广州发展集团股份有限公司有关党风廉政建设责任制及廉洁从业的规定，建立企业诚信档案； </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 xml:space="preserve">（二）按照公平、公正、公开和诚实守信的原则开展各项业务活动，为乙方提供公平的竞争环境与平台； </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 xml:space="preserve">（三）不准向乙方泄露涉及有关业务活动的内部决策机密； </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 xml:space="preserve">（四）不准向乙方和相关单位索要或接受回扣、红包、礼金、购物卡、有价证券、贵重物品和好处费、感谢费等； </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（五）不准在乙方和相关单位报销任何应由甲方或个人支付的费用；</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（六）不准要求、暗示或接受乙方和相关单位为个人装修住房、婚丧嫁娶、配偶子女的工作安排以及境内外旅游等提供方便；</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（七）不准向乙方介绍配偶、子女、亲属参与与甲方有关的经济活动，不得以任何理由向乙方和相关单位推荐第三方单位；</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（八）不准参与影响相关工作正常和公正开展的其他活动；</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（九）不准违反《中共中央纪委关于严格禁止利用职务上的便利谋取不正当利益的若干规定》的内容。</w:t>
      </w:r>
    </w:p>
    <w:p>
      <w:pPr>
        <w:pStyle w:val="3"/>
        <w:ind w:left="440" w:firstLine="560"/>
        <w:rPr>
          <w:rFonts w:ascii="宋体" w:hAnsi="宋体" w:cs="宋体"/>
          <w:b/>
          <w:color w:val="auto"/>
          <w:sz w:val="24"/>
          <w:highlight w:val="none"/>
        </w:rPr>
      </w:pPr>
      <w:r>
        <w:rPr>
          <w:rFonts w:hint="eastAsia" w:ascii="宋体" w:hAnsi="宋体" w:cs="宋体"/>
          <w:b/>
          <w:color w:val="auto"/>
          <w:sz w:val="24"/>
          <w:highlight w:val="none"/>
        </w:rPr>
        <w:t>第三条  乙方的责任和义务</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乙方及其下属企业相关工作人员，在与甲方业务活动的交往过程中，应遵守以下规定：</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（一）不准以任何理由为甲方和相关单位报销应由对方或个人支付的费用；</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（二）不准以任何理由向甲方、甲方的母公司、上级主管部门及甲方的其他关联公司的负责人及其工作人员赠送回扣、红包、礼金、购物卡、有价证券、贵重物品和好处费、感谢费等；</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（三）不准以任何理由为甲方、与甲方相关的单位或个人提供高消费宴请及娱乐活动；</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（四）不准以任何理由为甲方、与甲方相关的单位或个人购置或提供通讯工具、交通工具和高档办公用品；</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（五）不准接受或暗示为甲方、与甲方相关的单位或个人装修住房、婚丧嫁取、配偶子女的工作安排以及境内外旅游等提供方便；</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（六）不准以谋取非正当利益为目的，擅自与甲方工作人员就业务问题进行私下商谈或者达成利益默契；</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（七）发现甲方工作人员有违反本廉洁协议规定的，应向甲方单位举报。甲方受理举报部门：纪委办公室；举报电话：【020-37852099】；举报传真：【020-37852095】；举报邮箱：【gzrqjwbgs@gdg.com.cn】。</w:t>
      </w:r>
    </w:p>
    <w:p>
      <w:pPr>
        <w:pStyle w:val="3"/>
        <w:ind w:left="440" w:firstLine="560"/>
        <w:rPr>
          <w:rFonts w:ascii="宋体" w:hAnsi="宋体" w:cs="宋体"/>
          <w:b/>
          <w:color w:val="auto"/>
          <w:sz w:val="24"/>
          <w:highlight w:val="none"/>
        </w:rPr>
      </w:pPr>
      <w:r>
        <w:rPr>
          <w:rFonts w:hint="eastAsia" w:ascii="宋体" w:hAnsi="宋体" w:cs="宋体"/>
          <w:b/>
          <w:color w:val="auto"/>
          <w:sz w:val="24"/>
          <w:highlight w:val="none"/>
        </w:rPr>
        <w:t>第四条  法律责任</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一）甲方违反本廉洁协议第一条、甲方相关工作人员违反本廉洁协议第二条约定的，经查证属实，严格按照管理权限，依据有关法律法规和规章制度给予相关人员纪律处分或组织处理；相关工作人员涉嫌犯罪的，移送司法机关依法追究刑事责任。</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二）乙方及其下属企业及其工作人员违反本廉洁协议第一、三条约定的，经查证属实，甲方可视情节轻重对乙方实施一定期限的市场禁入，以及有权立即单方解除与乙方已签订的相关业务合同以终止相关业务合作；乙方及其下属企业的工作人员涉嫌犯罪的，移送司法机关依法追究刑事责任。</w:t>
      </w:r>
    </w:p>
    <w:p>
      <w:pPr>
        <w:pStyle w:val="3"/>
        <w:ind w:left="440" w:firstLine="560"/>
        <w:rPr>
          <w:rFonts w:ascii="宋体" w:hAnsi="宋体" w:cs="宋体"/>
          <w:b/>
          <w:color w:val="auto"/>
          <w:sz w:val="24"/>
          <w:highlight w:val="none"/>
        </w:rPr>
      </w:pPr>
      <w:r>
        <w:rPr>
          <w:rFonts w:hint="eastAsia" w:ascii="宋体" w:hAnsi="宋体" w:cs="宋体"/>
          <w:b/>
          <w:color w:val="auto"/>
          <w:sz w:val="24"/>
          <w:highlight w:val="none"/>
        </w:rPr>
        <w:t>第五条  协议生效及法律效力</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（一）本廉洁协议经双方签字盖章后立即生效。</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（二）除非甲乙双方另行签订新的廉洁协议，否则本廉洁协议在甲方与乙方存在业务关系期间均对双方产生约束力。</w:t>
      </w:r>
    </w:p>
    <w:p>
      <w:pPr>
        <w:pStyle w:val="3"/>
        <w:ind w:left="440" w:firstLine="560"/>
        <w:rPr>
          <w:rFonts w:ascii="宋体" w:hAnsi="宋体" w:cs="宋体"/>
          <w:b/>
          <w:color w:val="auto"/>
          <w:sz w:val="24"/>
          <w:highlight w:val="none"/>
        </w:rPr>
      </w:pPr>
      <w:r>
        <w:rPr>
          <w:rFonts w:hint="eastAsia" w:ascii="宋体" w:hAnsi="宋体" w:cs="宋体"/>
          <w:b/>
          <w:color w:val="auto"/>
          <w:sz w:val="24"/>
          <w:highlight w:val="none"/>
        </w:rPr>
        <w:t>第六条  协议书份数</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本廉洁协议一式 【拾贰】份，甲方 【玖】份，乙方【叁】份。</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甲乙双方确认在签订本廉洁协议前已仔细阅读条款内容，甲乙双方对本廉洁协议所产生的法律责任已清楚知悉并承诺遵守。</w:t>
      </w:r>
    </w:p>
    <w:p>
      <w:pPr>
        <w:pStyle w:val="3"/>
        <w:ind w:left="440"/>
        <w:rPr>
          <w:rFonts w:ascii="宋体" w:hAnsi="宋体" w:cs="宋体"/>
          <w:color w:val="auto"/>
          <w:sz w:val="24"/>
          <w:highlight w:val="none"/>
        </w:rPr>
      </w:pP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甲方（盖章）：                    乙方（盖章）：</w:t>
      </w:r>
    </w:p>
    <w:p>
      <w:pPr>
        <w:pStyle w:val="3"/>
        <w:ind w:left="440" w:firstLine="560"/>
        <w:rPr>
          <w:rFonts w:ascii="宋体" w:hAnsi="宋体" w:cs="宋体"/>
          <w:color w:val="auto"/>
          <w:sz w:val="24"/>
          <w:highlight w:val="none"/>
        </w:rPr>
      </w:pPr>
      <w:r>
        <w:rPr>
          <w:rFonts w:hint="eastAsia" w:ascii="宋体" w:hAnsi="宋体" w:cs="宋体"/>
          <w:color w:val="auto"/>
          <w:sz w:val="24"/>
          <w:highlight w:val="none"/>
        </w:rPr>
        <w:t>法定代表人                       法定代表人</w:t>
      </w:r>
    </w:p>
    <w:p>
      <w:pPr>
        <w:pStyle w:val="3"/>
        <w:ind w:left="440"/>
        <w:rPr>
          <w:rFonts w:ascii="宋体" w:hAnsi="宋体" w:cs="宋体"/>
          <w:color w:val="auto"/>
          <w:sz w:val="24"/>
          <w:highlight w:val="none"/>
        </w:rPr>
      </w:pPr>
      <w:r>
        <w:rPr>
          <w:rFonts w:hint="eastAsia" w:ascii="宋体" w:hAnsi="宋体" w:cs="宋体"/>
          <w:color w:val="auto"/>
          <w:sz w:val="24"/>
          <w:highlight w:val="none"/>
        </w:rPr>
        <w:t xml:space="preserve">（或委托代理人）：                 （或委托代理人）：             </w:t>
      </w:r>
    </w:p>
    <w:p>
      <w:pPr>
        <w:pStyle w:val="3"/>
        <w:ind w:left="440"/>
        <w:rPr>
          <w:rFonts w:ascii="宋体" w:hAnsi="宋体" w:cs="宋体"/>
          <w:color w:val="auto"/>
          <w:sz w:val="24"/>
          <w:highlight w:val="none"/>
        </w:rPr>
      </w:pPr>
      <w:r>
        <w:rPr>
          <w:rFonts w:hint="eastAsia" w:ascii="宋体" w:hAnsi="宋体" w:cs="宋体"/>
          <w:color w:val="auto"/>
          <w:sz w:val="24"/>
          <w:highlight w:val="none"/>
        </w:rPr>
        <w:t xml:space="preserve">  年    月   日                     年    月   日</w:t>
      </w:r>
    </w:p>
    <w:p>
      <w:pPr>
        <w:rPr>
          <w:rFonts w:ascii="宋体" w:hAnsi="宋体" w:cs="宋体"/>
          <w:b/>
          <w:bCs/>
          <w:color w:val="auto"/>
          <w:kern w:val="28"/>
          <w:sz w:val="24"/>
          <w:szCs w:val="24"/>
          <w:highlight w:val="none"/>
        </w:rPr>
        <w:sectPr>
          <w:pgSz w:w="11906" w:h="16838"/>
          <w:pgMar w:top="1440" w:right="1800" w:bottom="1440" w:left="1800" w:header="851" w:footer="850" w:gutter="0"/>
          <w:pgNumType w:fmt="decimal" w:start="1"/>
          <w:cols w:space="720" w:num="1"/>
          <w:docGrid w:type="lines" w:linePitch="312" w:charSpace="0"/>
        </w:sectPr>
      </w:pPr>
    </w:p>
    <w:p>
      <w:pPr>
        <w:pStyle w:val="6"/>
        <w:tabs>
          <w:tab w:val="left" w:pos="1200"/>
          <w:tab w:val="clear" w:pos="9060"/>
        </w:tabs>
        <w:spacing w:before="312" w:after="156"/>
        <w:ind w:firstLine="420"/>
        <w:rPr>
          <w:rFonts w:ascii="宋体" w:hAnsi="宋体" w:cs="宋体"/>
          <w:color w:val="auto"/>
          <w:kern w:val="28"/>
          <w:highlight w:val="none"/>
        </w:rPr>
      </w:pPr>
      <w:bookmarkStart w:id="2066" w:name="_Toc6214"/>
      <w:bookmarkStart w:id="2067" w:name="_Toc23500"/>
      <w:bookmarkStart w:id="2068" w:name="_Toc10142"/>
      <w:bookmarkStart w:id="2069" w:name="_Toc1303925813"/>
      <w:bookmarkStart w:id="2070" w:name="_Toc45831190"/>
      <w:bookmarkStart w:id="2071" w:name="_Toc46932835"/>
      <w:bookmarkStart w:id="2072" w:name="_Toc695137643"/>
      <w:bookmarkStart w:id="2073" w:name="_Toc32032"/>
      <w:bookmarkStart w:id="2074" w:name="_Toc1574"/>
      <w:r>
        <w:rPr>
          <w:rFonts w:hint="eastAsia" w:ascii="宋体" w:hAnsi="宋体" w:cs="宋体"/>
          <w:color w:val="auto"/>
          <w:kern w:val="28"/>
          <w:highlight w:val="none"/>
        </w:rPr>
        <w:t>附件三 履约保函（格式)</w:t>
      </w:r>
      <w:bookmarkEnd w:id="2066"/>
      <w:bookmarkEnd w:id="2067"/>
      <w:bookmarkEnd w:id="2068"/>
      <w:bookmarkEnd w:id="2069"/>
      <w:bookmarkEnd w:id="2070"/>
      <w:bookmarkEnd w:id="2071"/>
      <w:bookmarkEnd w:id="2072"/>
      <w:bookmarkEnd w:id="2073"/>
      <w:bookmarkEnd w:id="2074"/>
    </w:p>
    <w:p>
      <w:pPr>
        <w:spacing w:before="156" w:beforeLines="50" w:after="156" w:afterLines="50" w:line="500" w:lineRule="exact"/>
        <w:jc w:val="center"/>
        <w:rPr>
          <w:rFonts w:ascii="宋体" w:hAnsi="宋体" w:cs="宋体"/>
          <w:b/>
          <w:color w:val="auto"/>
          <w:sz w:val="24"/>
          <w:szCs w:val="24"/>
          <w:highlight w:val="none"/>
        </w:rPr>
      </w:pPr>
      <w:r>
        <w:rPr>
          <w:rFonts w:hint="eastAsia" w:ascii="宋体" w:hAnsi="宋体" w:cs="宋体"/>
          <w:b/>
          <w:color w:val="auto"/>
          <w:sz w:val="24"/>
          <w:szCs w:val="24"/>
          <w:highlight w:val="none"/>
        </w:rPr>
        <w:t>履约保函</w:t>
      </w:r>
    </w:p>
    <w:p>
      <w:pPr>
        <w:spacing w:line="500" w:lineRule="exact"/>
        <w:rPr>
          <w:rFonts w:ascii="宋体" w:hAnsi="宋体" w:cs="宋体"/>
          <w:color w:val="auto"/>
          <w:sz w:val="24"/>
          <w:highlight w:val="none"/>
        </w:rPr>
      </w:pPr>
      <w:r>
        <w:rPr>
          <w:rFonts w:hint="eastAsia" w:ascii="宋体" w:hAnsi="宋体" w:cs="宋体"/>
          <w:color w:val="auto"/>
          <w:sz w:val="24"/>
          <w:highlight w:val="none"/>
        </w:rPr>
        <w:t>(受益人名称)______________ ：</w:t>
      </w:r>
    </w:p>
    <w:p>
      <w:pPr>
        <w:adjustRightInd w:val="0"/>
        <w:snapToGrid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本保函作为__________（以下简称“申请人”）的履约保函，系为贵公司和申请人就_________（以下简称“项目”）订立的第           号合同（以下简称“合同”）出具。</w:t>
      </w:r>
    </w:p>
    <w:p>
      <w:pPr>
        <w:adjustRightInd w:val="0"/>
        <w:snapToGrid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我行，      （履约保函出具银行）在此无条件且不可撤销地保证以    （币种）向贵公司支付相当于合同价格的百分之XX（XX%）的金额，即     的金额。我行保证不以任何理由追索。我行的权利义务的继承人和受让人亦受同样的约束。我行同意下述条件：</w:t>
      </w:r>
    </w:p>
    <w:p>
      <w:pPr>
        <w:adjustRightInd w:val="0"/>
        <w:snapToGrid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1.我行向贵公司保证申请人根据合同履行义务并承担责任。</w:t>
      </w:r>
    </w:p>
    <w:p>
      <w:pPr>
        <w:adjustRightInd w:val="0"/>
        <w:snapToGrid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2.如果申请人未能履行或者承担由合同引起的或与合同有关的合同项下的任何义务或任何责任，我行将在收到贵公司书面通知后七个工作日内以通知中规定的方式支付贵方要求的合计不超过       的款项。</w:t>
      </w:r>
    </w:p>
    <w:p>
      <w:pPr>
        <w:adjustRightInd w:val="0"/>
        <w:snapToGrid w:val="0"/>
        <w:spacing w:line="480" w:lineRule="exact"/>
        <w:ind w:firstLine="480" w:firstLineChars="200"/>
        <w:rPr>
          <w:rFonts w:ascii="宋体" w:hAnsi="宋体" w:cs="宋体"/>
          <w:strike/>
          <w:color w:val="auto"/>
          <w:sz w:val="24"/>
          <w:szCs w:val="24"/>
          <w:highlight w:val="none"/>
        </w:rPr>
      </w:pPr>
      <w:r>
        <w:rPr>
          <w:rFonts w:hint="eastAsia" w:ascii="宋体" w:hAnsi="宋体" w:cs="宋体"/>
          <w:color w:val="auto"/>
          <w:sz w:val="24"/>
          <w:szCs w:val="24"/>
          <w:highlight w:val="none"/>
        </w:rPr>
        <w:t>3.本保函适用于本合同以及在本合同项下作出的、给予的或同意的所有修订、更改或附加部分，不论我行是否收到该修订、更改或附加部分。我行放弃取得有关上述修订、更改或附加部分的通知的权利。</w:t>
      </w:r>
    </w:p>
    <w:p>
      <w:pPr>
        <w:adjustRightInd w:val="0"/>
        <w:snapToGrid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4.对于现在或将来的产生的税收、税费、收费、扣减费用或预提款项，不论这些款项是何种性质和由谁征收，都不应从本保函项下的支付中扣除。 </w:t>
      </w:r>
    </w:p>
    <w:p>
      <w:pPr>
        <w:adjustRightInd w:val="0"/>
        <w:snapToGrid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本保函条款构成我行无条件的不可撤销的直接责任。有关即将履行的合同条款的任何变更及贵方同意的时间的宽限或其他延长或特许或贵方的其他作为或不作为都不能免除、解除或豁免我行在本保函项下的责任。</w:t>
      </w:r>
    </w:p>
    <w:p>
      <w:pPr>
        <w:adjustRightInd w:val="0"/>
        <w:snapToGrid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6.本保函自开立之日起生效，有效期至     年   月    日止。</w:t>
      </w:r>
    </w:p>
    <w:p>
      <w:pPr>
        <w:adjustRightInd w:val="0"/>
        <w:snapToGrid w:val="0"/>
        <w:spacing w:line="48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（开立保函银行名称）（盖章）</w:t>
      </w:r>
    </w:p>
    <w:p>
      <w:pPr>
        <w:adjustRightInd w:val="0"/>
        <w:snapToGrid w:val="0"/>
        <w:spacing w:line="48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法定代表人或委托代理人签名：</w:t>
      </w:r>
    </w:p>
    <w:p>
      <w:pPr>
        <w:adjustRightInd w:val="0"/>
        <w:snapToGrid w:val="0"/>
        <w:spacing w:line="48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地址：</w:t>
      </w:r>
    </w:p>
    <w:p>
      <w:pPr>
        <w:tabs>
          <w:tab w:val="left" w:pos="630"/>
          <w:tab w:val="left" w:pos="3990"/>
          <w:tab w:val="left" w:pos="5040"/>
          <w:tab w:val="left" w:pos="6840"/>
          <w:tab w:val="left" w:pos="7350"/>
          <w:tab w:val="left" w:pos="8160"/>
        </w:tabs>
        <w:snapToGrid w:val="0"/>
        <w:spacing w:line="48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日期：</w:t>
      </w:r>
    </w:p>
    <w:bookmarkEnd w:id="2030"/>
    <w:p>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w:t>
      </w:r>
      <w:r>
        <w:rPr>
          <w:rFonts w:hint="eastAsia" w:ascii="宋体" w:hAnsi="宋体" w:cs="宋体"/>
          <w:b/>
          <w:color w:val="auto"/>
          <w:sz w:val="24"/>
          <w:szCs w:val="24"/>
          <w:highlight w:val="none"/>
          <w:lang w:val="en-US" w:eastAsia="zh-CN"/>
        </w:rPr>
        <w:t>四</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安健环管理协议</w:t>
      </w:r>
    </w:p>
    <w:p>
      <w:pPr>
        <w:spacing w:line="360" w:lineRule="auto"/>
        <w:ind w:left="1"/>
        <w:rPr>
          <w:rFonts w:ascii="仿宋" w:hAnsi="仿宋" w:eastAsia="仿宋" w:cs="仿宋"/>
          <w:b/>
          <w:szCs w:val="21"/>
          <w:shd w:val="pct10" w:color="auto" w:fill="FFFFFF"/>
        </w:rPr>
      </w:pPr>
    </w:p>
    <w:p>
      <w:pPr>
        <w:spacing w:line="360" w:lineRule="auto"/>
        <w:ind w:left="1"/>
        <w:rPr>
          <w:rFonts w:hint="eastAsia" w:ascii="仿宋" w:hAnsi="仿宋" w:eastAsia="仿宋" w:cs="仿宋"/>
          <w:sz w:val="24"/>
          <w:szCs w:val="24"/>
          <w:lang w:eastAsia="zh-CN"/>
        </w:rPr>
      </w:pPr>
      <w:r>
        <w:rPr>
          <w:rFonts w:hint="eastAsia" w:ascii="仿宋" w:hAnsi="仿宋" w:eastAsia="仿宋" w:cs="仿宋"/>
          <w:sz w:val="24"/>
          <w:szCs w:val="24"/>
        </w:rPr>
        <w:t>甲方：</w:t>
      </w:r>
      <w:r>
        <w:rPr>
          <w:rFonts w:hint="eastAsia" w:ascii="仿宋" w:hAnsi="仿宋" w:eastAsia="仿宋" w:cs="仿宋"/>
          <w:sz w:val="24"/>
          <w:szCs w:val="24"/>
          <w:u w:val="single"/>
          <w:lang w:eastAsia="zh-CN"/>
        </w:rPr>
        <w:t>广州燃气集团有限公司</w:t>
      </w:r>
    </w:p>
    <w:p>
      <w:pPr>
        <w:spacing w:line="360" w:lineRule="auto"/>
        <w:rPr>
          <w:rFonts w:ascii="仿宋" w:hAnsi="仿宋" w:eastAsia="仿宋" w:cs="仿宋"/>
          <w:sz w:val="24"/>
          <w:szCs w:val="24"/>
        </w:rPr>
      </w:pPr>
      <w:r>
        <w:rPr>
          <w:rFonts w:hint="eastAsia" w:ascii="仿宋" w:hAnsi="仿宋" w:eastAsia="仿宋" w:cs="仿宋"/>
          <w:sz w:val="24"/>
          <w:szCs w:val="24"/>
        </w:rPr>
        <w:t>乙方：</w:t>
      </w:r>
      <w:r>
        <w:rPr>
          <w:rFonts w:hint="eastAsia" w:ascii="仿宋" w:hAnsi="仿宋" w:eastAsia="仿宋" w:cs="仿宋"/>
          <w:sz w:val="24"/>
          <w:szCs w:val="24"/>
          <w:u w:val="single"/>
        </w:rPr>
        <w:t xml:space="preserve">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贯彻“安全第一、预防为主、综合治理”的安全生产方针，明确甲、乙双方的安全责任，保障施工安全和施工人员的安全与健康，根据《安全生产法》等法律法规和甲方建设工程安健环管理规定，经甲、乙双方共同协商，就</w:t>
      </w:r>
      <w:r>
        <w:rPr>
          <w:rFonts w:hint="eastAsia" w:ascii="仿宋" w:hAnsi="仿宋" w:eastAsia="仿宋" w:cs="仿宋"/>
          <w:sz w:val="24"/>
          <w:szCs w:val="24"/>
          <w:u w:val="single"/>
          <w:lang w:val="en-US" w:eastAsia="zh-CN"/>
        </w:rPr>
        <w:t>白云恒运天然气发电项目燃气管线工程</w:t>
      </w:r>
      <w:r>
        <w:rPr>
          <w:rFonts w:hint="eastAsia" w:ascii="仿宋" w:hAnsi="仿宋" w:eastAsia="仿宋" w:cs="仿宋"/>
          <w:sz w:val="24"/>
          <w:szCs w:val="24"/>
        </w:rPr>
        <w:t>项目达成如下协议，甲、乙双方必须共同遵守。</w:t>
      </w:r>
    </w:p>
    <w:p>
      <w:pPr>
        <w:spacing w:line="360" w:lineRule="auto"/>
        <w:ind w:firstLine="422" w:firstLineChars="200"/>
        <w:rPr>
          <w:rFonts w:hint="eastAsia" w:ascii="宋体" w:hAnsi="宋体" w:cs="Batang"/>
          <w:b/>
          <w:szCs w:val="21"/>
        </w:rPr>
      </w:pPr>
      <w:r>
        <w:rPr>
          <w:rFonts w:hint="eastAsia" w:ascii="宋体" w:hAnsi="宋体" w:cs="Batang"/>
          <w:b/>
          <w:szCs w:val="21"/>
        </w:rPr>
        <w:t>一、安健环管理目标</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1.不发生人身死亡、人身重伤及群伤事故，人身轻伤控制在</w:t>
      </w:r>
      <w:r>
        <w:rPr>
          <w:rFonts w:hint="eastAsia" w:ascii="宋体" w:hAnsi="宋体" w:cs="宋体"/>
          <w:szCs w:val="21"/>
          <w:u w:val="single"/>
          <w:lang w:val="en-US" w:eastAsia="zh-CN"/>
        </w:rPr>
        <w:t>0</w:t>
      </w:r>
      <w:r>
        <w:rPr>
          <w:rFonts w:hint="eastAsia" w:ascii="宋体" w:hAnsi="宋体" w:eastAsia="宋体" w:cs="宋体"/>
          <w:szCs w:val="21"/>
        </w:rPr>
        <w:t>人次以下。</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2.不发生一般及以上生产安全事故。</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3.不发生火灾和环境污染事故。</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4.不发生设备损坏事故。</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5.不新增职业病例。</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6.满足甲方提出的现场安全文明施工要求。</w:t>
      </w:r>
    </w:p>
    <w:p>
      <w:pPr>
        <w:spacing w:line="360" w:lineRule="auto"/>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7.不发生综治维稳等群体性事件。</w:t>
      </w:r>
    </w:p>
    <w:p>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8.</w:t>
      </w:r>
      <w:r>
        <w:rPr>
          <w:rFonts w:hint="eastAsia" w:ascii="宋体" w:hAnsi="宋体" w:eastAsia="宋体" w:cs="宋体"/>
          <w:szCs w:val="21"/>
          <w:highlight w:val="none"/>
        </w:rPr>
        <w:t>在施工现场范围内不发生交通安全事故（件）。</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9.</w:t>
      </w:r>
      <w:r>
        <w:rPr>
          <w:rFonts w:hint="eastAsia" w:ascii="宋体" w:hAnsi="宋体" w:eastAsia="宋体" w:cs="宋体"/>
          <w:szCs w:val="21"/>
          <w:highlight w:val="none"/>
        </w:rPr>
        <w:t>不发生扰民及影响周边社会环境的事件</w:t>
      </w:r>
      <w:r>
        <w:rPr>
          <w:rFonts w:hint="eastAsia" w:ascii="宋体" w:hAnsi="宋体" w:eastAsia="宋体" w:cs="宋体"/>
          <w:szCs w:val="21"/>
          <w:highlight w:val="none"/>
          <w:lang w:eastAsia="zh-CN"/>
        </w:rPr>
        <w:t>。</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10.不发生社会影响较大的不安全事件或舆情事件。</w:t>
      </w:r>
    </w:p>
    <w:p>
      <w:pPr>
        <w:spacing w:line="360" w:lineRule="auto"/>
        <w:ind w:firstLine="422" w:firstLineChars="200"/>
        <w:rPr>
          <w:rFonts w:hint="eastAsia" w:ascii="宋体" w:hAnsi="宋体" w:cs="宋体"/>
          <w:b/>
          <w:szCs w:val="21"/>
        </w:rPr>
      </w:pPr>
      <w:r>
        <w:rPr>
          <w:rFonts w:hint="eastAsia" w:ascii="宋体" w:hAnsi="宋体" w:cs="宋体"/>
          <w:b/>
          <w:szCs w:val="21"/>
        </w:rPr>
        <w:t>二、</w:t>
      </w:r>
      <w:r>
        <w:rPr>
          <w:rFonts w:ascii="宋体" w:hAnsi="宋体" w:cs="宋体"/>
          <w:b/>
          <w:szCs w:val="21"/>
        </w:rPr>
        <w:t>甲</w:t>
      </w:r>
      <w:r>
        <w:rPr>
          <w:rFonts w:hint="eastAsia" w:ascii="宋体" w:hAnsi="宋体" w:cs="宋体"/>
          <w:b/>
          <w:szCs w:val="21"/>
        </w:rPr>
        <w:t>、</w:t>
      </w:r>
      <w:r>
        <w:rPr>
          <w:rFonts w:ascii="宋体" w:hAnsi="宋体" w:cs="宋体"/>
          <w:b/>
          <w:szCs w:val="21"/>
        </w:rPr>
        <w:t>乙双方</w:t>
      </w:r>
      <w:r>
        <w:rPr>
          <w:rFonts w:hint="eastAsia" w:ascii="宋体" w:hAnsi="宋体" w:cs="宋体"/>
          <w:b/>
          <w:szCs w:val="21"/>
        </w:rPr>
        <w:t>安健环职责</w:t>
      </w:r>
    </w:p>
    <w:p>
      <w:pPr>
        <w:spacing w:line="360" w:lineRule="auto"/>
        <w:ind w:firstLine="422" w:firstLineChars="200"/>
        <w:rPr>
          <w:rFonts w:hint="eastAsia" w:ascii="宋体" w:hAnsi="宋体" w:cs="宋体"/>
          <w:b/>
          <w:szCs w:val="21"/>
        </w:rPr>
      </w:pPr>
      <w:r>
        <w:rPr>
          <w:rFonts w:hint="eastAsia" w:ascii="宋体" w:hAnsi="宋体" w:cs="宋体"/>
          <w:b/>
          <w:szCs w:val="21"/>
        </w:rPr>
        <w:t>（一）甲方安健环职责</w:t>
      </w:r>
    </w:p>
    <w:p>
      <w:pPr>
        <w:spacing w:line="360" w:lineRule="auto"/>
        <w:ind w:firstLine="420" w:firstLineChars="200"/>
        <w:rPr>
          <w:rFonts w:hint="eastAsia" w:ascii="宋体" w:hAnsi="宋体" w:eastAsia="宋体" w:cs="宋体"/>
          <w:szCs w:val="21"/>
          <w:lang w:val="en-US" w:eastAsia="zh-CN"/>
        </w:rPr>
      </w:pPr>
      <w:r>
        <w:rPr>
          <w:rFonts w:hint="eastAsia" w:ascii="宋体" w:hAnsi="宋体" w:cs="宋体"/>
          <w:szCs w:val="21"/>
        </w:rPr>
        <w:t>1.</w:t>
      </w:r>
      <w:r>
        <w:rPr>
          <w:rFonts w:hint="eastAsia" w:ascii="宋体" w:hAnsi="宋体" w:eastAsia="宋体" w:cs="宋体"/>
          <w:szCs w:val="21"/>
          <w:lang w:val="en-US" w:eastAsia="zh-CN"/>
        </w:rPr>
        <w:t>项目开工前，协助乙方设置广州发展智慧工程安全管控系统账号，配置相应使用权限，并监督乙方按广州发展及燃气集团管理要求及时使用系统。</w:t>
      </w:r>
    </w:p>
    <w:p>
      <w:pPr>
        <w:spacing w:line="360" w:lineRule="auto"/>
        <w:ind w:firstLine="420" w:firstLineChars="200"/>
        <w:rPr>
          <w:rFonts w:hint="eastAsia" w:ascii="宋体" w:hAnsi="宋体" w:cs="宋体"/>
          <w:szCs w:val="21"/>
        </w:rPr>
      </w:pPr>
      <w:r>
        <w:rPr>
          <w:rFonts w:hint="eastAsia" w:ascii="宋体" w:hAnsi="宋体" w:cs="宋体"/>
          <w:szCs w:val="21"/>
        </w:rPr>
        <w:t>2.审核</w:t>
      </w:r>
      <w:r>
        <w:rPr>
          <w:rFonts w:ascii="宋体" w:hAnsi="宋体" w:cs="宋体"/>
          <w:szCs w:val="21"/>
        </w:rPr>
        <w:t>乙方</w:t>
      </w:r>
      <w:r>
        <w:rPr>
          <w:rFonts w:hint="eastAsia" w:ascii="宋体" w:hAnsi="宋体" w:cs="宋体"/>
          <w:szCs w:val="21"/>
        </w:rPr>
        <w:t>安全</w:t>
      </w:r>
      <w:r>
        <w:rPr>
          <w:rFonts w:ascii="宋体" w:hAnsi="宋体" w:cs="宋体"/>
          <w:szCs w:val="21"/>
        </w:rPr>
        <w:t>资质</w:t>
      </w:r>
      <w:r>
        <w:rPr>
          <w:rFonts w:hint="eastAsia" w:ascii="宋体" w:hAnsi="宋体" w:cs="宋体"/>
          <w:szCs w:val="21"/>
        </w:rPr>
        <w:t>；</w:t>
      </w:r>
      <w:r>
        <w:rPr>
          <w:rFonts w:hint="eastAsia" w:ascii="宋体" w:hAnsi="宋体" w:cs="宋体"/>
          <w:b w:val="0"/>
          <w:bCs w:val="0"/>
          <w:szCs w:val="21"/>
          <w:highlight w:val="none"/>
        </w:rPr>
        <w:t>审核乙方施工人员职业健康情况</w:t>
      </w:r>
      <w:r>
        <w:rPr>
          <w:rFonts w:hint="eastAsia" w:ascii="宋体" w:hAnsi="宋体" w:cs="宋体"/>
          <w:szCs w:val="21"/>
        </w:rPr>
        <w:t>；审核乙方项目经理</w:t>
      </w:r>
      <w:r>
        <w:rPr>
          <w:rFonts w:ascii="宋体" w:hAnsi="宋体" w:cs="宋体"/>
          <w:szCs w:val="21"/>
        </w:rPr>
        <w:t>及</w:t>
      </w:r>
      <w:r>
        <w:rPr>
          <w:rFonts w:hint="eastAsia" w:ascii="宋体" w:hAnsi="宋体" w:cs="宋体"/>
          <w:szCs w:val="21"/>
        </w:rPr>
        <w:t>特种作业人员资质；审核乙方</w:t>
      </w:r>
      <w:r>
        <w:rPr>
          <w:rFonts w:ascii="宋体" w:hAnsi="宋体" w:cs="宋体"/>
          <w:szCs w:val="21"/>
        </w:rPr>
        <w:t>安全管理机构及</w:t>
      </w:r>
      <w:r>
        <w:rPr>
          <w:rFonts w:hint="eastAsia" w:ascii="宋体" w:hAnsi="宋体" w:cs="宋体"/>
          <w:szCs w:val="21"/>
        </w:rPr>
        <w:t>安全管理</w:t>
      </w:r>
      <w:r>
        <w:rPr>
          <w:rFonts w:ascii="宋体" w:hAnsi="宋体" w:cs="宋体"/>
          <w:szCs w:val="21"/>
        </w:rPr>
        <w:t>人员配备</w:t>
      </w:r>
      <w:r>
        <w:rPr>
          <w:rFonts w:hint="eastAsia" w:ascii="宋体" w:hAnsi="宋体" w:cs="宋体"/>
          <w:szCs w:val="21"/>
        </w:rPr>
        <w:t>情况</w:t>
      </w:r>
      <w:r>
        <w:rPr>
          <w:rFonts w:ascii="宋体" w:hAnsi="宋体" w:cs="宋体"/>
          <w:szCs w:val="21"/>
        </w:rPr>
        <w:t>。</w:t>
      </w:r>
    </w:p>
    <w:p>
      <w:pPr>
        <w:spacing w:line="360" w:lineRule="auto"/>
        <w:ind w:firstLine="420" w:firstLineChars="200"/>
        <w:rPr>
          <w:rFonts w:hint="eastAsia" w:ascii="宋体" w:hAnsi="宋体" w:cs="宋体"/>
          <w:szCs w:val="21"/>
        </w:rPr>
      </w:pPr>
      <w:r>
        <w:rPr>
          <w:rFonts w:hint="eastAsia" w:ascii="宋体" w:hAnsi="宋体" w:cs="宋体"/>
          <w:szCs w:val="21"/>
        </w:rPr>
        <w:t>3.对</w:t>
      </w:r>
      <w:r>
        <w:rPr>
          <w:rFonts w:ascii="宋体" w:hAnsi="宋体" w:cs="宋体"/>
          <w:szCs w:val="21"/>
        </w:rPr>
        <w:t>乙方</w:t>
      </w:r>
      <w:r>
        <w:rPr>
          <w:rFonts w:hint="eastAsia" w:ascii="宋体" w:hAnsi="宋体" w:cs="宋体"/>
          <w:szCs w:val="21"/>
        </w:rPr>
        <w:t>施工</w:t>
      </w:r>
      <w:r>
        <w:rPr>
          <w:rFonts w:ascii="宋体" w:hAnsi="宋体" w:cs="宋体"/>
          <w:szCs w:val="21"/>
        </w:rPr>
        <w:t>人员进行</w:t>
      </w:r>
      <w:r>
        <w:rPr>
          <w:rFonts w:hint="eastAsia" w:ascii="宋体" w:hAnsi="宋体" w:cs="宋体"/>
          <w:szCs w:val="21"/>
        </w:rPr>
        <w:t>施工前</w:t>
      </w:r>
      <w:r>
        <w:rPr>
          <w:rFonts w:ascii="宋体" w:hAnsi="宋体" w:cs="宋体"/>
          <w:szCs w:val="21"/>
        </w:rPr>
        <w:t>安全教育</w:t>
      </w:r>
      <w:r>
        <w:rPr>
          <w:rFonts w:hint="eastAsia" w:ascii="宋体" w:hAnsi="宋体" w:cs="宋体"/>
          <w:color w:val="auto"/>
          <w:szCs w:val="21"/>
        </w:rPr>
        <w:t>或安全交底</w:t>
      </w:r>
      <w:r>
        <w:rPr>
          <w:rFonts w:ascii="宋体" w:hAnsi="宋体" w:cs="宋体"/>
          <w:color w:val="auto"/>
          <w:szCs w:val="21"/>
        </w:rPr>
        <w:t>，</w:t>
      </w:r>
      <w:r>
        <w:rPr>
          <w:rFonts w:hint="eastAsia" w:ascii="宋体" w:hAnsi="宋体" w:cs="宋体"/>
          <w:color w:val="auto"/>
          <w:szCs w:val="21"/>
        </w:rPr>
        <w:t>如需进入甲方生产运营区域施工，</w:t>
      </w:r>
      <w:r>
        <w:rPr>
          <w:rFonts w:hint="eastAsia" w:ascii="宋体" w:hAnsi="宋体" w:cs="宋体"/>
          <w:szCs w:val="21"/>
        </w:rPr>
        <w:t>应经</w:t>
      </w:r>
      <w:r>
        <w:rPr>
          <w:rFonts w:ascii="宋体" w:hAnsi="宋体" w:cs="宋体"/>
          <w:szCs w:val="21"/>
        </w:rPr>
        <w:t>考</w:t>
      </w:r>
      <w:r>
        <w:rPr>
          <w:rFonts w:hint="eastAsia" w:ascii="宋体" w:hAnsi="宋体" w:cs="宋体"/>
          <w:szCs w:val="21"/>
        </w:rPr>
        <w:t>核</w:t>
      </w:r>
      <w:r>
        <w:rPr>
          <w:rFonts w:ascii="宋体" w:hAnsi="宋体" w:cs="宋体"/>
          <w:szCs w:val="21"/>
        </w:rPr>
        <w:t>合格</w:t>
      </w:r>
      <w:r>
        <w:rPr>
          <w:rFonts w:hint="eastAsia" w:ascii="宋体" w:hAnsi="宋体" w:cs="宋体"/>
          <w:szCs w:val="21"/>
        </w:rPr>
        <w:t>后办理入场手续。</w:t>
      </w:r>
    </w:p>
    <w:p>
      <w:pPr>
        <w:spacing w:line="360" w:lineRule="auto"/>
        <w:ind w:firstLine="420" w:firstLineChars="200"/>
        <w:rPr>
          <w:rFonts w:hint="eastAsia" w:ascii="宋体" w:hAnsi="宋体" w:eastAsia="宋体" w:cs="宋体"/>
          <w:szCs w:val="21"/>
          <w:lang w:eastAsia="zh-CN"/>
        </w:rPr>
      </w:pPr>
      <w:r>
        <w:rPr>
          <w:rFonts w:hint="eastAsia" w:ascii="宋体" w:hAnsi="宋体" w:cs="宋体"/>
          <w:szCs w:val="21"/>
        </w:rPr>
        <w:t>4.</w:t>
      </w:r>
      <w:r>
        <w:rPr>
          <w:rFonts w:hint="eastAsia" w:ascii="宋体" w:hAnsi="宋体" w:cs="宋体"/>
          <w:color w:val="auto"/>
          <w:szCs w:val="21"/>
          <w:highlight w:val="none"/>
          <w:lang w:val="en-US" w:eastAsia="zh-CN"/>
        </w:rPr>
        <w:t>督促监理单位</w:t>
      </w:r>
      <w:r>
        <w:rPr>
          <w:rFonts w:hint="eastAsia" w:ascii="宋体" w:hAnsi="宋体" w:cs="宋体"/>
          <w:szCs w:val="21"/>
        </w:rPr>
        <w:t>审核乙方施工组织设计或施工方案中的安全保障措施符合安全施工要求；</w:t>
      </w:r>
      <w:r>
        <w:rPr>
          <w:rFonts w:hint="eastAsia" w:ascii="宋体" w:hAnsi="宋体" w:cs="宋体"/>
          <w:color w:val="auto"/>
          <w:szCs w:val="21"/>
          <w:highlight w:val="none"/>
          <w:lang w:val="en-US" w:eastAsia="zh-CN"/>
        </w:rPr>
        <w:t>督促监理单位</w:t>
      </w:r>
      <w:r>
        <w:rPr>
          <w:rFonts w:hint="eastAsia" w:ascii="宋体" w:hAnsi="宋体" w:cs="宋体"/>
          <w:szCs w:val="21"/>
        </w:rPr>
        <w:t>审核乙方入场的施工机械、工器具验收合格，符合安全要求；</w:t>
      </w:r>
      <w:r>
        <w:rPr>
          <w:rFonts w:hint="eastAsia" w:ascii="宋体" w:hAnsi="宋体" w:cs="宋体"/>
          <w:color w:val="auto"/>
          <w:szCs w:val="21"/>
          <w:highlight w:val="none"/>
          <w:lang w:val="en-US" w:eastAsia="zh-CN"/>
        </w:rPr>
        <w:t>督促监理单位</w:t>
      </w:r>
      <w:r>
        <w:rPr>
          <w:rFonts w:hint="eastAsia" w:ascii="宋体" w:hAnsi="宋体" w:cs="宋体"/>
          <w:szCs w:val="21"/>
        </w:rPr>
        <w:t>审核施工人员安全和职业健康保护用品配备符合规范要求，并正确使用。</w:t>
      </w:r>
    </w:p>
    <w:p>
      <w:pPr>
        <w:spacing w:line="360" w:lineRule="auto"/>
        <w:ind w:firstLine="420" w:firstLineChars="200"/>
        <w:rPr>
          <w:rFonts w:hint="eastAsia" w:ascii="宋体" w:hAnsi="宋体" w:cs="宋体"/>
          <w:szCs w:val="21"/>
        </w:rPr>
      </w:pPr>
      <w:r>
        <w:rPr>
          <w:rFonts w:hint="eastAsia" w:ascii="宋体" w:hAnsi="宋体" w:cs="宋体"/>
          <w:szCs w:val="21"/>
        </w:rPr>
        <w:t xml:space="preserve">5.项目开工前，负责审核现场安全措施满足施工要求，按规定办理开工手续。 </w:t>
      </w:r>
    </w:p>
    <w:p>
      <w:pPr>
        <w:spacing w:line="360" w:lineRule="auto"/>
        <w:ind w:firstLine="420" w:firstLineChars="200"/>
        <w:rPr>
          <w:rFonts w:ascii="宋体" w:hAnsi="宋体" w:cs="宋体"/>
          <w:szCs w:val="21"/>
        </w:rPr>
      </w:pPr>
      <w:r>
        <w:rPr>
          <w:rFonts w:hint="eastAsia" w:ascii="宋体" w:hAnsi="宋体" w:cs="宋体"/>
          <w:szCs w:val="21"/>
        </w:rPr>
        <w:t>6.负责</w:t>
      </w:r>
      <w:r>
        <w:rPr>
          <w:rFonts w:ascii="宋体" w:hAnsi="宋体" w:cs="宋体"/>
          <w:szCs w:val="21"/>
        </w:rPr>
        <w:t>组织同一区域交叉施工各</w:t>
      </w:r>
      <w:r>
        <w:rPr>
          <w:rFonts w:hint="eastAsia" w:ascii="宋体" w:hAnsi="宋体" w:cs="宋体"/>
          <w:szCs w:val="21"/>
        </w:rPr>
        <w:t>承包</w:t>
      </w:r>
      <w:r>
        <w:rPr>
          <w:rFonts w:ascii="宋体" w:hAnsi="宋体" w:cs="宋体"/>
          <w:szCs w:val="21"/>
        </w:rPr>
        <w:t>方签订安全协议，</w:t>
      </w:r>
      <w:r>
        <w:rPr>
          <w:rFonts w:hint="eastAsia" w:ascii="宋体" w:hAnsi="宋体" w:cs="宋体"/>
          <w:szCs w:val="21"/>
        </w:rPr>
        <w:t>明确各方安全职责和保障措施</w:t>
      </w:r>
      <w:r>
        <w:rPr>
          <w:rFonts w:ascii="宋体" w:hAnsi="宋体" w:cs="宋体"/>
          <w:szCs w:val="21"/>
        </w:rPr>
        <w:t xml:space="preserve">。 </w:t>
      </w:r>
    </w:p>
    <w:p>
      <w:pPr>
        <w:spacing w:line="360" w:lineRule="auto"/>
        <w:ind w:firstLine="420" w:firstLineChars="200"/>
        <w:rPr>
          <w:rFonts w:ascii="宋体" w:hAnsi="宋体" w:cs="宋体"/>
          <w:szCs w:val="21"/>
        </w:rPr>
      </w:pPr>
      <w:r>
        <w:rPr>
          <w:rFonts w:hint="eastAsia" w:ascii="宋体" w:hAnsi="宋体" w:cs="宋体"/>
          <w:szCs w:val="21"/>
        </w:rPr>
        <w:t>7.</w:t>
      </w:r>
      <w:r>
        <w:rPr>
          <w:rFonts w:hint="eastAsia" w:ascii="宋体" w:hAnsi="宋体" w:cs="宋体"/>
          <w:szCs w:val="21"/>
          <w:lang w:val="en-US" w:eastAsia="zh-CN"/>
        </w:rPr>
        <w:t>监督乙方</w:t>
      </w:r>
      <w:r>
        <w:rPr>
          <w:rFonts w:ascii="宋体" w:hAnsi="宋体" w:cs="宋体"/>
          <w:szCs w:val="21"/>
        </w:rPr>
        <w:t>定期</w:t>
      </w:r>
      <w:r>
        <w:rPr>
          <w:rFonts w:hint="eastAsia" w:ascii="宋体" w:hAnsi="宋体" w:cs="宋体"/>
          <w:szCs w:val="21"/>
        </w:rPr>
        <w:t>组织</w:t>
      </w:r>
      <w:r>
        <w:rPr>
          <w:rFonts w:ascii="宋体" w:hAnsi="宋体" w:cs="宋体"/>
          <w:szCs w:val="21"/>
        </w:rPr>
        <w:t>召开安全工作例会</w:t>
      </w:r>
      <w:r>
        <w:rPr>
          <w:rFonts w:hint="eastAsia" w:ascii="宋体" w:hAnsi="宋体" w:cs="宋体"/>
          <w:szCs w:val="21"/>
          <w:lang w:eastAsia="zh-CN"/>
        </w:rPr>
        <w:t>，</w:t>
      </w:r>
      <w:r>
        <w:rPr>
          <w:rFonts w:hint="eastAsia" w:ascii="宋体" w:hAnsi="宋体" w:cs="宋体"/>
          <w:szCs w:val="21"/>
          <w:lang w:val="en-US" w:eastAsia="zh-CN"/>
        </w:rPr>
        <w:t>监督并参与项目</w:t>
      </w:r>
      <w:r>
        <w:rPr>
          <w:rFonts w:ascii="宋体" w:hAnsi="宋体" w:cs="宋体"/>
          <w:szCs w:val="21"/>
        </w:rPr>
        <w:t>安全专题会议，</w:t>
      </w:r>
      <w:r>
        <w:rPr>
          <w:rFonts w:hint="eastAsia" w:ascii="宋体" w:hAnsi="宋体" w:cs="宋体"/>
          <w:szCs w:val="21"/>
        </w:rPr>
        <w:t>通报现场安全情况，</w:t>
      </w:r>
      <w:r>
        <w:rPr>
          <w:rFonts w:ascii="宋体" w:hAnsi="宋体" w:cs="宋体"/>
          <w:szCs w:val="21"/>
        </w:rPr>
        <w:t xml:space="preserve">协调解决安全问题。 </w:t>
      </w:r>
    </w:p>
    <w:p>
      <w:pPr>
        <w:spacing w:line="360" w:lineRule="auto"/>
        <w:ind w:firstLine="420" w:firstLineChars="200"/>
        <w:rPr>
          <w:rFonts w:ascii="宋体" w:hAnsi="宋体" w:cs="宋体"/>
          <w:szCs w:val="21"/>
        </w:rPr>
      </w:pPr>
      <w:r>
        <w:rPr>
          <w:rFonts w:ascii="宋体" w:hAnsi="宋体" w:cs="宋体"/>
          <w:szCs w:val="21"/>
        </w:rPr>
        <w:t>8</w:t>
      </w:r>
      <w:r>
        <w:rPr>
          <w:rFonts w:hint="eastAsia" w:ascii="宋体" w:hAnsi="宋体" w:cs="宋体"/>
          <w:szCs w:val="21"/>
        </w:rPr>
        <w:t>.</w:t>
      </w:r>
      <w:r>
        <w:rPr>
          <w:rFonts w:ascii="宋体" w:hAnsi="宋体" w:cs="宋体"/>
          <w:szCs w:val="21"/>
        </w:rPr>
        <w:t>组织</w:t>
      </w:r>
      <w:r>
        <w:rPr>
          <w:rFonts w:hint="eastAsia" w:ascii="宋体" w:hAnsi="宋体" w:cs="宋体"/>
          <w:szCs w:val="21"/>
        </w:rPr>
        <w:t>施工</w:t>
      </w:r>
      <w:r>
        <w:rPr>
          <w:rFonts w:ascii="宋体" w:hAnsi="宋体" w:cs="宋体"/>
          <w:szCs w:val="21"/>
        </w:rPr>
        <w:t>现场安全检查，</w:t>
      </w:r>
      <w:r>
        <w:rPr>
          <w:rFonts w:hint="eastAsia" w:ascii="宋体" w:hAnsi="宋体" w:cs="宋体"/>
          <w:szCs w:val="21"/>
        </w:rPr>
        <w:t>及时</w:t>
      </w:r>
      <w:r>
        <w:rPr>
          <w:rFonts w:ascii="宋体" w:hAnsi="宋体" w:cs="宋体"/>
          <w:szCs w:val="21"/>
        </w:rPr>
        <w:t>纠正违章</w:t>
      </w:r>
      <w:r>
        <w:rPr>
          <w:rFonts w:hint="eastAsia" w:ascii="宋体" w:hAnsi="宋体" w:cs="宋体"/>
          <w:szCs w:val="21"/>
        </w:rPr>
        <w:t>；情节严重或未按期整改的，按照考核标准</w:t>
      </w:r>
      <w:r>
        <w:rPr>
          <w:rFonts w:ascii="宋体" w:hAnsi="宋体" w:cs="宋体"/>
          <w:szCs w:val="21"/>
        </w:rPr>
        <w:t xml:space="preserve">进行考核。 </w:t>
      </w:r>
    </w:p>
    <w:p>
      <w:pPr>
        <w:spacing w:line="360" w:lineRule="auto"/>
        <w:ind w:firstLine="420" w:firstLineChars="200"/>
        <w:rPr>
          <w:rFonts w:ascii="宋体" w:hAnsi="宋体" w:cs="宋体"/>
          <w:szCs w:val="21"/>
        </w:rPr>
      </w:pPr>
      <w:r>
        <w:rPr>
          <w:rFonts w:ascii="宋体" w:hAnsi="宋体" w:cs="宋体"/>
          <w:szCs w:val="21"/>
        </w:rPr>
        <w:t>9</w:t>
      </w:r>
      <w:r>
        <w:rPr>
          <w:rFonts w:hint="eastAsia" w:ascii="宋体" w:hAnsi="宋体" w:cs="宋体"/>
          <w:szCs w:val="21"/>
        </w:rPr>
        <w:t>.</w:t>
      </w:r>
      <w:r>
        <w:rPr>
          <w:rFonts w:hint="eastAsia" w:ascii="宋体" w:hAnsi="宋体" w:cs="宋体"/>
          <w:color w:val="auto"/>
          <w:szCs w:val="21"/>
          <w:highlight w:val="none"/>
          <w:lang w:val="en-US" w:eastAsia="zh-CN"/>
        </w:rPr>
        <w:t>督促监理单位</w:t>
      </w:r>
      <w:r>
        <w:rPr>
          <w:rFonts w:hint="eastAsia" w:ascii="宋体" w:hAnsi="宋体" w:cs="宋体"/>
          <w:szCs w:val="21"/>
        </w:rPr>
        <w:t>审核</w:t>
      </w:r>
      <w:r>
        <w:rPr>
          <w:rFonts w:ascii="宋体" w:hAnsi="宋体" w:cs="宋体"/>
          <w:szCs w:val="21"/>
        </w:rPr>
        <w:t>乙方</w:t>
      </w:r>
      <w:r>
        <w:rPr>
          <w:rFonts w:hint="eastAsia" w:ascii="宋体" w:hAnsi="宋体" w:cs="宋体"/>
          <w:szCs w:val="21"/>
        </w:rPr>
        <w:t>高风险</w:t>
      </w:r>
      <w:r>
        <w:rPr>
          <w:rFonts w:ascii="宋体" w:hAnsi="宋体" w:cs="宋体"/>
          <w:szCs w:val="21"/>
        </w:rPr>
        <w:t>作业项目</w:t>
      </w:r>
      <w:r>
        <w:rPr>
          <w:rFonts w:hint="eastAsia" w:ascii="宋体" w:hAnsi="宋体" w:cs="宋体"/>
          <w:szCs w:val="21"/>
        </w:rPr>
        <w:t>或专项施工方案中的安全保障</w:t>
      </w:r>
      <w:r>
        <w:rPr>
          <w:rFonts w:ascii="宋体" w:hAnsi="宋体" w:cs="宋体"/>
          <w:szCs w:val="21"/>
        </w:rPr>
        <w:t>措施</w:t>
      </w:r>
      <w:r>
        <w:rPr>
          <w:rFonts w:hint="eastAsia" w:ascii="宋体" w:hAnsi="宋体" w:cs="宋体"/>
          <w:szCs w:val="21"/>
        </w:rPr>
        <w:t>满足施工要求。</w:t>
      </w:r>
      <w:r>
        <w:rPr>
          <w:rFonts w:ascii="宋体" w:hAnsi="宋体" w:cs="宋体"/>
          <w:szCs w:val="21"/>
        </w:rPr>
        <w:t xml:space="preserve"> </w:t>
      </w:r>
    </w:p>
    <w:p>
      <w:pPr>
        <w:spacing w:line="360" w:lineRule="auto"/>
        <w:ind w:firstLine="420" w:firstLineChars="200"/>
        <w:rPr>
          <w:rFonts w:hint="eastAsia" w:ascii="宋体" w:hAnsi="宋体" w:cs="宋体"/>
          <w:szCs w:val="21"/>
        </w:rPr>
      </w:pPr>
      <w:r>
        <w:rPr>
          <w:rFonts w:hint="eastAsia" w:ascii="宋体" w:hAnsi="宋体" w:cs="宋体"/>
          <w:szCs w:val="21"/>
          <w:lang w:val="en-US" w:eastAsia="zh-CN"/>
        </w:rPr>
        <w:t>10.</w:t>
      </w:r>
      <w:r>
        <w:rPr>
          <w:rFonts w:hint="eastAsia" w:ascii="宋体" w:hAnsi="宋体" w:cs="宋体"/>
          <w:szCs w:val="21"/>
        </w:rPr>
        <w:t>审核</w:t>
      </w:r>
      <w:r>
        <w:rPr>
          <w:rFonts w:hint="eastAsia" w:ascii="宋体" w:hAnsi="宋体" w:cs="宋体"/>
          <w:szCs w:val="21"/>
          <w:lang w:val="en-US" w:eastAsia="zh-CN"/>
        </w:rPr>
        <w:t>及监督</w:t>
      </w:r>
      <w:r>
        <w:rPr>
          <w:rFonts w:ascii="宋体" w:hAnsi="宋体" w:cs="宋体"/>
          <w:szCs w:val="21"/>
        </w:rPr>
        <w:t>乙方</w:t>
      </w:r>
      <w:r>
        <w:rPr>
          <w:rFonts w:hint="eastAsia" w:ascii="宋体" w:hAnsi="宋体" w:cs="宋体"/>
          <w:szCs w:val="21"/>
          <w:lang w:val="en-US" w:eastAsia="zh-CN"/>
        </w:rPr>
        <w:t>绿色施工</w:t>
      </w:r>
      <w:r>
        <w:rPr>
          <w:rFonts w:ascii="宋体" w:hAnsi="宋体" w:cs="宋体"/>
          <w:szCs w:val="21"/>
        </w:rPr>
        <w:t>安全</w:t>
      </w:r>
      <w:r>
        <w:rPr>
          <w:rFonts w:hint="eastAsia" w:ascii="宋体" w:hAnsi="宋体" w:cs="宋体"/>
          <w:szCs w:val="21"/>
        </w:rPr>
        <w:t>防护</w:t>
      </w:r>
      <w:r>
        <w:rPr>
          <w:rFonts w:ascii="宋体" w:hAnsi="宋体" w:cs="宋体"/>
          <w:szCs w:val="21"/>
        </w:rPr>
        <w:t>措施费</w:t>
      </w:r>
      <w:r>
        <w:rPr>
          <w:rFonts w:hint="eastAsia" w:ascii="宋体" w:hAnsi="宋体" w:cs="宋体"/>
          <w:szCs w:val="21"/>
          <w:lang w:val="en-US" w:eastAsia="zh-CN"/>
        </w:rPr>
        <w:t>申报及</w:t>
      </w:r>
      <w:r>
        <w:rPr>
          <w:rFonts w:ascii="宋体" w:hAnsi="宋体" w:cs="宋体"/>
          <w:szCs w:val="21"/>
        </w:rPr>
        <w:t>使用情况</w:t>
      </w:r>
      <w:r>
        <w:rPr>
          <w:rFonts w:hint="eastAsia" w:ascii="宋体" w:hAnsi="宋体" w:cs="宋体"/>
          <w:szCs w:val="21"/>
        </w:rPr>
        <w:t>。</w:t>
      </w:r>
    </w:p>
    <w:p>
      <w:pPr>
        <w:spacing w:line="360" w:lineRule="auto"/>
        <w:ind w:firstLine="420" w:firstLineChars="200"/>
        <w:rPr>
          <w:rFonts w:hint="eastAsia" w:ascii="宋体" w:hAnsi="宋体" w:eastAsia="宋体" w:cs="宋体"/>
          <w:i w:val="0"/>
          <w:caps w:val="0"/>
          <w:color w:val="auto"/>
          <w:spacing w:val="0"/>
          <w:kern w:val="0"/>
          <w:sz w:val="21"/>
          <w:szCs w:val="21"/>
          <w:highlight w:val="none"/>
          <w:shd w:val="clear" w:color="auto" w:fill="FFFFFF"/>
          <w:vertAlign w:val="baseline"/>
          <w:lang w:val="en-US" w:eastAsia="zh-CN" w:bidi="ar"/>
        </w:rPr>
      </w:pPr>
      <w:r>
        <w:rPr>
          <w:rFonts w:hint="eastAsia" w:ascii="宋体" w:hAnsi="宋体" w:eastAsia="宋体" w:cs="宋体"/>
          <w:szCs w:val="21"/>
          <w:lang w:val="en-US" w:eastAsia="zh-CN"/>
        </w:rPr>
        <w:t>11.</w:t>
      </w:r>
      <w:r>
        <w:rPr>
          <w:rFonts w:hint="eastAsia" w:ascii="宋体" w:hAnsi="宋体" w:eastAsia="宋体" w:cs="宋体"/>
          <w:i w:val="0"/>
          <w:caps w:val="0"/>
          <w:color w:val="auto"/>
          <w:spacing w:val="0"/>
          <w:kern w:val="0"/>
          <w:sz w:val="21"/>
          <w:szCs w:val="21"/>
          <w:highlight w:val="none"/>
          <w:shd w:val="clear" w:color="auto" w:fill="FFFFFF"/>
          <w:vertAlign w:val="baseline"/>
          <w:lang w:val="en-US" w:eastAsia="zh-CN" w:bidi="ar"/>
        </w:rPr>
        <w:t>提供与工程有关的真实、准确、齐全的原始资料</w:t>
      </w:r>
      <w:r>
        <w:rPr>
          <w:rFonts w:hint="eastAsia" w:ascii="宋体" w:hAnsi="宋体" w:cs="宋体"/>
          <w:i w:val="0"/>
          <w:caps w:val="0"/>
          <w:color w:val="auto"/>
          <w:spacing w:val="0"/>
          <w:kern w:val="0"/>
          <w:sz w:val="21"/>
          <w:szCs w:val="21"/>
          <w:highlight w:val="none"/>
          <w:shd w:val="clear" w:color="auto" w:fill="FFFFFF"/>
          <w:vertAlign w:val="baseline"/>
          <w:lang w:val="en-US" w:eastAsia="zh-CN" w:bidi="ar"/>
        </w:rPr>
        <w:t>。</w:t>
      </w:r>
      <w:r>
        <w:rPr>
          <w:rFonts w:hint="eastAsia" w:ascii="宋体" w:hAnsi="宋体" w:eastAsia="宋体" w:cs="宋体"/>
          <w:i w:val="0"/>
          <w:caps w:val="0"/>
          <w:color w:val="auto"/>
          <w:spacing w:val="0"/>
          <w:kern w:val="0"/>
          <w:sz w:val="21"/>
          <w:szCs w:val="21"/>
          <w:highlight w:val="none"/>
          <w:shd w:val="clear" w:color="auto" w:fill="FFFFFF"/>
          <w:vertAlign w:val="baseline"/>
          <w:lang w:val="en-US" w:eastAsia="zh-CN" w:bidi="ar"/>
        </w:rPr>
        <w:t>严格执行施工图设计文件审查制度，及时将施工图设计文件报有关机构审查，未经审查批准的，不得使用；发生重大设计变更的，应送原审图机构审查。</w:t>
      </w:r>
    </w:p>
    <w:p>
      <w:pPr>
        <w:spacing w:line="360" w:lineRule="auto"/>
        <w:ind w:firstLine="420" w:firstLineChars="200"/>
        <w:rPr>
          <w:rFonts w:hint="eastAsia" w:ascii="宋体" w:hAnsi="宋体" w:eastAsia="宋体" w:cs="宋体"/>
          <w:i w:val="0"/>
          <w:caps w:val="0"/>
          <w:color w:val="auto"/>
          <w:spacing w:val="0"/>
          <w:kern w:val="0"/>
          <w:sz w:val="21"/>
          <w:szCs w:val="21"/>
          <w:highlight w:val="none"/>
          <w:shd w:val="clear" w:color="auto" w:fill="FFFFFF"/>
          <w:vertAlign w:val="baseline"/>
          <w:lang w:val="en-US" w:eastAsia="zh-CN" w:bidi="ar"/>
        </w:rPr>
      </w:pPr>
      <w:r>
        <w:rPr>
          <w:rFonts w:hint="eastAsia" w:ascii="宋体" w:hAnsi="宋体" w:eastAsia="宋体" w:cs="宋体"/>
          <w:i w:val="0"/>
          <w:caps w:val="0"/>
          <w:color w:val="auto"/>
          <w:spacing w:val="0"/>
          <w:kern w:val="0"/>
          <w:sz w:val="21"/>
          <w:szCs w:val="21"/>
          <w:highlight w:val="none"/>
          <w:shd w:val="clear" w:color="auto" w:fill="FFFFFF"/>
          <w:vertAlign w:val="baseline"/>
          <w:lang w:val="en-US" w:eastAsia="zh-CN" w:bidi="ar"/>
        </w:rPr>
        <w:t>12.在项目开工前按照国家有关规定办理工程质量、安全监督手续，申请领取施工许可证。依法应当实行监理的工程，应当委托工程监理单位进行监理。</w:t>
      </w:r>
    </w:p>
    <w:p>
      <w:pPr>
        <w:spacing w:line="360" w:lineRule="auto"/>
        <w:ind w:firstLine="420" w:firstLineChars="200"/>
        <w:rPr>
          <w:rFonts w:hint="eastAsia" w:ascii="宋体" w:hAnsi="宋体" w:eastAsia="宋体" w:cs="宋体"/>
          <w:i w:val="0"/>
          <w:caps w:val="0"/>
          <w:color w:val="auto"/>
          <w:spacing w:val="0"/>
          <w:kern w:val="0"/>
          <w:sz w:val="21"/>
          <w:szCs w:val="21"/>
          <w:highlight w:val="none"/>
          <w:shd w:val="clear" w:color="auto" w:fill="FFFFFF"/>
          <w:vertAlign w:val="baseline"/>
          <w:lang w:val="en-US" w:eastAsia="zh-CN" w:bidi="ar"/>
        </w:rPr>
      </w:pPr>
      <w:r>
        <w:rPr>
          <w:rFonts w:hint="eastAsia" w:ascii="宋体" w:hAnsi="宋体" w:eastAsia="宋体" w:cs="宋体"/>
          <w:i w:val="0"/>
          <w:caps w:val="0"/>
          <w:color w:val="auto"/>
          <w:spacing w:val="0"/>
          <w:kern w:val="0"/>
          <w:sz w:val="21"/>
          <w:szCs w:val="21"/>
          <w:highlight w:val="none"/>
          <w:shd w:val="clear" w:color="auto" w:fill="FFFFFF"/>
          <w:vertAlign w:val="baseline"/>
          <w:lang w:val="en-US" w:eastAsia="zh-CN" w:bidi="ar"/>
        </w:rPr>
        <w:t>13.在开工前明确项目管理部门负责项目的日常安全管理。项目满足需成立项目安委会的，项目单位应在开工前成立项目安委会。</w:t>
      </w:r>
    </w:p>
    <w:p>
      <w:pPr>
        <w:spacing w:line="360" w:lineRule="auto"/>
        <w:ind w:firstLine="422" w:firstLineChars="200"/>
        <w:rPr>
          <w:rFonts w:hint="eastAsia" w:ascii="宋体" w:hAnsi="宋体" w:cs="Batang"/>
          <w:b/>
          <w:szCs w:val="21"/>
        </w:rPr>
      </w:pPr>
      <w:r>
        <w:rPr>
          <w:rFonts w:hint="eastAsia" w:ascii="宋体" w:hAnsi="宋体" w:cs="Batang"/>
          <w:b/>
          <w:szCs w:val="21"/>
        </w:rPr>
        <w:t>（二）乙方安健环职责</w:t>
      </w:r>
    </w:p>
    <w:p>
      <w:pPr>
        <w:spacing w:line="360" w:lineRule="auto"/>
        <w:ind w:firstLine="420" w:firstLineChars="200"/>
        <w:rPr>
          <w:rFonts w:hint="eastAsia" w:ascii="宋体" w:hAnsi="宋体"/>
          <w:highlight w:val="none"/>
          <w:lang w:val="en-US" w:eastAsia="zh-CN"/>
        </w:rPr>
      </w:pPr>
      <w:r>
        <w:rPr>
          <w:rFonts w:ascii="宋体" w:hAnsi="宋体" w:cs="宋体"/>
          <w:szCs w:val="21"/>
        </w:rPr>
        <w:t>1</w:t>
      </w:r>
      <w:r>
        <w:rPr>
          <w:rFonts w:hint="eastAsia" w:ascii="宋体" w:hAnsi="宋体" w:cs="宋体"/>
          <w:szCs w:val="21"/>
        </w:rPr>
        <w:t>.</w:t>
      </w:r>
      <w:r>
        <w:rPr>
          <w:rFonts w:ascii="宋体" w:hAnsi="宋体"/>
        </w:rPr>
        <w:t>乙方</w:t>
      </w:r>
      <w:r>
        <w:rPr>
          <w:rFonts w:hint="eastAsia" w:ascii="宋体" w:hAnsi="宋体"/>
        </w:rPr>
        <w:t>项目经理</w:t>
      </w:r>
      <w:r>
        <w:rPr>
          <w:rFonts w:ascii="宋体" w:hAnsi="宋体"/>
        </w:rPr>
        <w:t>是本</w:t>
      </w:r>
      <w:r>
        <w:rPr>
          <w:rFonts w:hint="eastAsia" w:ascii="宋体" w:hAnsi="宋体"/>
        </w:rPr>
        <w:t>项目</w:t>
      </w:r>
      <w:r>
        <w:rPr>
          <w:rFonts w:ascii="宋体" w:hAnsi="宋体"/>
        </w:rPr>
        <w:t>安全第一责任</w:t>
      </w:r>
      <w:r>
        <w:rPr>
          <w:rFonts w:hint="eastAsia" w:ascii="宋体" w:hAnsi="宋体"/>
        </w:rPr>
        <w:t>人</w:t>
      </w:r>
      <w:r>
        <w:rPr>
          <w:rFonts w:ascii="宋体" w:hAnsi="宋体"/>
        </w:rPr>
        <w:t>，全面负责本</w:t>
      </w:r>
      <w:r>
        <w:rPr>
          <w:rFonts w:hint="eastAsia" w:ascii="宋体" w:hAnsi="宋体"/>
        </w:rPr>
        <w:t>项目</w:t>
      </w:r>
      <w:r>
        <w:rPr>
          <w:rFonts w:ascii="宋体" w:hAnsi="宋体"/>
        </w:rPr>
        <w:t>安健环管理工作，切实履行安健环职责。</w:t>
      </w:r>
      <w:r>
        <w:rPr>
          <w:rFonts w:hint="eastAsia" w:ascii="宋体" w:hAnsi="宋体"/>
        </w:rPr>
        <w:t>负责</w:t>
      </w:r>
      <w:r>
        <w:rPr>
          <w:rFonts w:hint="eastAsia" w:ascii="宋体" w:hAnsi="宋体" w:cs="宋体"/>
          <w:szCs w:val="21"/>
        </w:rPr>
        <w:t>依规</w:t>
      </w:r>
      <w:r>
        <w:rPr>
          <w:rFonts w:hint="eastAsia" w:ascii="宋体" w:hAnsi="宋体"/>
        </w:rPr>
        <w:t>建立</w:t>
      </w:r>
      <w:r>
        <w:rPr>
          <w:rFonts w:hint="eastAsia" w:ascii="宋体" w:hAnsi="宋体" w:cs="宋体"/>
          <w:szCs w:val="21"/>
        </w:rPr>
        <w:t>安全管</w:t>
      </w:r>
      <w:r>
        <w:rPr>
          <w:rFonts w:hint="eastAsia" w:ascii="宋体" w:hAnsi="宋体"/>
          <w:highlight w:val="none"/>
          <w:lang w:val="en-US" w:eastAsia="zh-CN"/>
        </w:rPr>
        <w:t>理机构并配备安全管理人员，制定安全生产责任制度、应急预案、安全检查和隐患排查、安全教育培训、报告和处置生产安全事故等等规章制度和安全操作规程等，并严格执行。企业主要负责人、项目负责人和专职安全生产管理人员取得安全生产考核合格证书。</w:t>
      </w:r>
    </w:p>
    <w:p>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2.充分利用广州发展智慧工程安全管控平台做好现场安全过程管控，并承担相应使用费用。</w:t>
      </w:r>
    </w:p>
    <w:p>
      <w:pPr>
        <w:spacing w:line="360" w:lineRule="auto"/>
        <w:ind w:firstLine="420" w:firstLineChars="200"/>
        <w:rPr>
          <w:rFonts w:hint="eastAsia" w:ascii="宋体" w:hAnsi="宋体" w:cs="宋体"/>
          <w:szCs w:val="21"/>
        </w:rPr>
      </w:pPr>
      <w:r>
        <w:rPr>
          <w:rFonts w:hint="eastAsia" w:ascii="宋体" w:hAnsi="宋体"/>
          <w:highlight w:val="none"/>
          <w:lang w:val="en-US" w:eastAsia="zh-CN"/>
        </w:rPr>
        <w:t>3.对入场人员进行三级安全教育，告知现场职业危害因素及防范措施，每天</w:t>
      </w:r>
      <w:r>
        <w:rPr>
          <w:rFonts w:hint="eastAsia" w:ascii="宋体" w:hAnsi="宋体" w:cs="宋体"/>
          <w:szCs w:val="21"/>
        </w:rPr>
        <w:t>作业前进行安全技术交底，并做好记录；按规范为施工人员配备合格的劳动保护用品并督促正确使用；</w:t>
      </w:r>
      <w:r>
        <w:rPr>
          <w:rFonts w:hint="eastAsia" w:ascii="宋体" w:hAnsi="宋体" w:cs="宋体"/>
          <w:szCs w:val="21"/>
          <w:highlight w:val="none"/>
        </w:rPr>
        <w:t>提供施工人员有效的职业健康体检证明和工伤保险凭证，禁止有职业禁忌人员进场施工</w:t>
      </w:r>
      <w:r>
        <w:rPr>
          <w:rFonts w:hint="eastAsia" w:ascii="宋体" w:hAnsi="宋体" w:cs="宋体"/>
          <w:szCs w:val="21"/>
        </w:rPr>
        <w:t>。</w:t>
      </w:r>
    </w:p>
    <w:p>
      <w:pPr>
        <w:spacing w:line="360" w:lineRule="auto"/>
        <w:ind w:firstLine="420" w:firstLineChars="200"/>
        <w:rPr>
          <w:rFonts w:hint="eastAsia" w:ascii="宋体" w:hAnsi="宋体" w:cs="宋体"/>
          <w:szCs w:val="21"/>
        </w:rPr>
      </w:pPr>
      <w:r>
        <w:rPr>
          <w:rFonts w:hint="eastAsia" w:ascii="宋体" w:hAnsi="宋体" w:cs="宋体"/>
          <w:szCs w:val="21"/>
        </w:rPr>
        <w:t>4.未取得甲方开工许可前，乙方禁止以任何理由进场施工；</w:t>
      </w:r>
      <w:r>
        <w:rPr>
          <w:rFonts w:hint="eastAsia" w:ascii="宋体" w:hAnsi="宋体" w:cs="宋体"/>
          <w:color w:val="auto"/>
          <w:szCs w:val="21"/>
        </w:rPr>
        <w:t>在甲方生产运营区域施工</w:t>
      </w:r>
      <w:r>
        <w:rPr>
          <w:rFonts w:hint="eastAsia" w:ascii="宋体" w:hAnsi="宋体" w:cs="宋体"/>
          <w:szCs w:val="21"/>
        </w:rPr>
        <w:t>应严格执行甲方工作票和操作票管理制度。</w:t>
      </w:r>
    </w:p>
    <w:p>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按照甲方总平面布置</w:t>
      </w:r>
      <w:r>
        <w:rPr>
          <w:rFonts w:hint="eastAsia" w:ascii="宋体" w:hAnsi="宋体" w:cs="宋体"/>
          <w:szCs w:val="21"/>
        </w:rPr>
        <w:t>要求，规范施工现场定置管理，设置</w:t>
      </w:r>
      <w:r>
        <w:rPr>
          <w:rFonts w:hint="eastAsia" w:ascii="宋体" w:hAnsi="宋体" w:cs="宋体"/>
          <w:szCs w:val="21"/>
          <w:highlight w:val="none"/>
        </w:rPr>
        <w:t>“五牌一图”（即</w:t>
      </w:r>
      <w:r>
        <w:rPr>
          <w:rFonts w:hint="eastAsia" w:ascii="宋体" w:hAnsi="宋体" w:cs="宋体"/>
          <w:szCs w:val="21"/>
        </w:rPr>
        <w:t>：工程概况牌、管理人员名单及监督电话牌、消防保卫牌、安全生产牌、文明施工牌和施工现场平面图），制定安全文明施工保障措施并认真实施，确保施工场地规范有序。</w:t>
      </w:r>
    </w:p>
    <w:p>
      <w:pPr>
        <w:spacing w:line="360" w:lineRule="auto"/>
        <w:ind w:firstLine="420" w:firstLineChars="200"/>
        <w:rPr>
          <w:rFonts w:ascii="宋体" w:hAnsi="宋体" w:cs="宋体"/>
          <w:szCs w:val="21"/>
        </w:rPr>
      </w:pPr>
      <w:r>
        <w:rPr>
          <w:rFonts w:hint="eastAsia" w:ascii="宋体" w:hAnsi="宋体" w:cs="宋体"/>
          <w:szCs w:val="21"/>
        </w:rPr>
        <w:t>6.</w:t>
      </w:r>
      <w:r>
        <w:rPr>
          <w:rFonts w:ascii="宋体" w:hAnsi="宋体" w:cs="宋体"/>
          <w:szCs w:val="21"/>
        </w:rPr>
        <w:t>遵守</w:t>
      </w:r>
      <w:r>
        <w:rPr>
          <w:rFonts w:hint="eastAsia" w:ascii="宋体" w:hAnsi="宋体" w:cs="宋体"/>
          <w:szCs w:val="21"/>
        </w:rPr>
        <w:t>施工</w:t>
      </w:r>
      <w:r>
        <w:rPr>
          <w:rFonts w:ascii="宋体" w:hAnsi="宋体" w:cs="宋体"/>
          <w:szCs w:val="21"/>
        </w:rPr>
        <w:t>现场安全管理制度，</w:t>
      </w:r>
      <w:r>
        <w:rPr>
          <w:rFonts w:hint="eastAsia" w:ascii="宋体" w:hAnsi="宋体" w:cs="宋体"/>
          <w:szCs w:val="21"/>
        </w:rPr>
        <w:t>按政府规定购买安全生产责任保险；在</w:t>
      </w:r>
      <w:r>
        <w:rPr>
          <w:rFonts w:ascii="宋体" w:hAnsi="宋体" w:cs="宋体"/>
          <w:szCs w:val="21"/>
        </w:rPr>
        <w:t>现场安全文明施工、环境保护</w:t>
      </w:r>
      <w:r>
        <w:rPr>
          <w:rFonts w:hint="eastAsia" w:ascii="宋体" w:hAnsi="宋体" w:cs="宋体"/>
          <w:szCs w:val="21"/>
        </w:rPr>
        <w:t>等方面，</w:t>
      </w:r>
      <w:r>
        <w:rPr>
          <w:rFonts w:ascii="宋体" w:hAnsi="宋体" w:cs="宋体"/>
          <w:szCs w:val="21"/>
        </w:rPr>
        <w:t>甲方</w:t>
      </w:r>
      <w:r>
        <w:rPr>
          <w:rFonts w:hint="eastAsia" w:ascii="宋体" w:hAnsi="宋体" w:cs="宋体"/>
          <w:szCs w:val="21"/>
        </w:rPr>
        <w:t>和</w:t>
      </w:r>
      <w:r>
        <w:rPr>
          <w:rFonts w:ascii="宋体" w:hAnsi="宋体" w:cs="宋体"/>
          <w:szCs w:val="21"/>
        </w:rPr>
        <w:t>监理</w:t>
      </w:r>
      <w:r>
        <w:rPr>
          <w:rFonts w:hint="eastAsia" w:ascii="宋体" w:hAnsi="宋体" w:cs="宋体"/>
          <w:szCs w:val="21"/>
        </w:rPr>
        <w:t>提出的正确的整改意见，应及时落实整改措施并反馈整改完成情况</w:t>
      </w:r>
      <w:r>
        <w:rPr>
          <w:rFonts w:ascii="宋体" w:hAnsi="宋体" w:cs="宋体"/>
          <w:szCs w:val="21"/>
        </w:rPr>
        <w:t>。</w:t>
      </w:r>
    </w:p>
    <w:p>
      <w:pPr>
        <w:spacing w:line="360" w:lineRule="auto"/>
        <w:ind w:firstLine="420" w:firstLineChars="200"/>
        <w:rPr>
          <w:rFonts w:hint="eastAsia" w:ascii="宋体" w:hAnsi="宋体" w:cs="宋体"/>
          <w:szCs w:val="21"/>
        </w:rPr>
      </w:pPr>
      <w:r>
        <w:rPr>
          <w:rFonts w:ascii="宋体" w:hAnsi="宋体" w:cs="宋体"/>
          <w:szCs w:val="21"/>
        </w:rPr>
        <w:t>7</w:t>
      </w:r>
      <w:r>
        <w:rPr>
          <w:rFonts w:hint="eastAsia" w:ascii="宋体" w:hAnsi="宋体" w:cs="宋体"/>
          <w:szCs w:val="21"/>
        </w:rPr>
        <w:t>.</w:t>
      </w:r>
      <w:r>
        <w:rPr>
          <w:rFonts w:ascii="宋体" w:hAnsi="宋体" w:cs="宋体"/>
          <w:szCs w:val="21"/>
        </w:rPr>
        <w:t>特种作业人员</w:t>
      </w:r>
      <w:r>
        <w:rPr>
          <w:rFonts w:hint="eastAsia" w:ascii="宋体" w:hAnsi="宋体" w:cs="宋体"/>
          <w:szCs w:val="21"/>
        </w:rPr>
        <w:t>必须持证上岗</w:t>
      </w:r>
      <w:r>
        <w:rPr>
          <w:rFonts w:ascii="宋体" w:hAnsi="宋体" w:cs="宋体"/>
          <w:szCs w:val="21"/>
        </w:rPr>
        <w:t>，</w:t>
      </w:r>
      <w:r>
        <w:rPr>
          <w:rFonts w:hint="eastAsia" w:ascii="宋体" w:hAnsi="宋体" w:cs="宋体"/>
          <w:szCs w:val="21"/>
        </w:rPr>
        <w:t>特种设备必须检验合格，开工前将</w:t>
      </w:r>
      <w:r>
        <w:rPr>
          <w:rFonts w:ascii="宋体" w:hAnsi="宋体" w:cs="宋体"/>
          <w:szCs w:val="21"/>
        </w:rPr>
        <w:t>特种</w:t>
      </w:r>
      <w:r>
        <w:rPr>
          <w:rFonts w:hint="eastAsia" w:ascii="宋体" w:hAnsi="宋体" w:cs="宋体"/>
          <w:szCs w:val="21"/>
        </w:rPr>
        <w:t>设备检验合格证和特种</w:t>
      </w:r>
      <w:r>
        <w:rPr>
          <w:rFonts w:ascii="宋体" w:hAnsi="宋体" w:cs="宋体"/>
          <w:szCs w:val="21"/>
        </w:rPr>
        <w:t>作业人员</w:t>
      </w:r>
      <w:r>
        <w:rPr>
          <w:rFonts w:hint="eastAsia" w:ascii="宋体" w:hAnsi="宋体" w:cs="宋体"/>
          <w:szCs w:val="21"/>
        </w:rPr>
        <w:t>资质</w:t>
      </w:r>
      <w:r>
        <w:rPr>
          <w:rFonts w:ascii="宋体" w:hAnsi="宋体" w:cs="宋体"/>
          <w:szCs w:val="21"/>
        </w:rPr>
        <w:t>报甲方备案。</w:t>
      </w:r>
      <w:r>
        <w:rPr>
          <w:rFonts w:hint="eastAsia" w:ascii="宋体" w:hAnsi="宋体" w:cs="宋体"/>
          <w:szCs w:val="21"/>
        </w:rPr>
        <w:t xml:space="preserve"> </w:t>
      </w:r>
    </w:p>
    <w:p>
      <w:pPr>
        <w:spacing w:line="360" w:lineRule="auto"/>
        <w:ind w:firstLine="420" w:firstLineChars="200"/>
        <w:rPr>
          <w:rFonts w:hint="eastAsia" w:ascii="宋体" w:hAnsi="宋体" w:cs="宋体"/>
          <w:szCs w:val="21"/>
        </w:rPr>
      </w:pPr>
      <w:r>
        <w:rPr>
          <w:rFonts w:ascii="宋体" w:hAnsi="宋体" w:cs="宋体"/>
          <w:szCs w:val="21"/>
        </w:rPr>
        <w:t>8</w:t>
      </w:r>
      <w:r>
        <w:rPr>
          <w:rFonts w:hint="eastAsia" w:ascii="宋体" w:hAnsi="宋体" w:cs="宋体"/>
          <w:szCs w:val="21"/>
        </w:rPr>
        <w:t>.监督检查施工现场安全措施检验合格后方可使用，大型机械设备安装或拆除、大型脚手架、高支模、深基坑等高风险施工项目必须编制专项施工方案，经监理批准后方可投入使用。</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9.安排专职或兼职安全管理人员对施工现场和施工人员进行安全监督和管理，认真落实各项安全保障措施和各级安全管理职责，现场监督危险性较大的分部分项工程安全专项施工方案实施</w:t>
      </w:r>
      <w:r>
        <w:rPr>
          <w:rFonts w:hint="eastAsia" w:ascii="宋体" w:hAnsi="宋体" w:cs="宋体"/>
          <w:szCs w:val="21"/>
          <w:highlight w:val="none"/>
          <w:lang w:eastAsia="zh-CN"/>
        </w:rPr>
        <w:t>，</w:t>
      </w:r>
      <w:r>
        <w:rPr>
          <w:rFonts w:hint="eastAsia" w:ascii="宋体" w:hAnsi="宋体" w:cs="宋体"/>
          <w:szCs w:val="21"/>
          <w:highlight w:val="none"/>
        </w:rPr>
        <w:t>做到“不安全不施工”。对检查中发现的安全事故隐患，应当立即处理；不能处理的，应当及时报告项目负责人和企业安全生产管理机构</w:t>
      </w:r>
      <w:r>
        <w:rPr>
          <w:rFonts w:hint="eastAsia" w:ascii="宋体" w:hAnsi="宋体" w:cs="宋体"/>
          <w:szCs w:val="21"/>
          <w:highlight w:val="none"/>
          <w:lang w:eastAsia="zh-CN"/>
        </w:rPr>
        <w:t>，</w:t>
      </w:r>
      <w:r>
        <w:rPr>
          <w:rFonts w:hint="eastAsia" w:ascii="宋体" w:hAnsi="宋体" w:cs="宋体"/>
          <w:szCs w:val="21"/>
          <w:highlight w:val="none"/>
        </w:rPr>
        <w:t>项目负责人应当及时处理。检查及处理情况应当记入</w:t>
      </w:r>
      <w:r>
        <w:rPr>
          <w:rFonts w:hint="eastAsia" w:ascii="宋体" w:hAnsi="宋体" w:cs="宋体"/>
          <w:szCs w:val="21"/>
          <w:highlight w:val="none"/>
          <w:lang w:val="en-US" w:eastAsia="zh-CN"/>
        </w:rPr>
        <w:t>广州发展智慧工程安全管控平台</w:t>
      </w:r>
      <w:r>
        <w:rPr>
          <w:rFonts w:hint="eastAsia" w:ascii="宋体" w:hAnsi="宋体" w:cs="宋体"/>
          <w:szCs w:val="21"/>
          <w:highlight w:val="none"/>
          <w:lang w:eastAsia="zh-CN"/>
        </w:rPr>
        <w:t>。</w:t>
      </w:r>
      <w:r>
        <w:rPr>
          <w:rFonts w:hint="eastAsia" w:ascii="宋体" w:hAnsi="宋体" w:cs="宋体"/>
          <w:szCs w:val="21"/>
          <w:highlight w:val="none"/>
        </w:rPr>
        <w:t xml:space="preserve"> </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 xml:space="preserve">10.对施工现场每日进行安全检查和隐患排查，发现问题及时处理。存在人身伤害或严重影响施工安全的隐患，应立即停工整改；对施工安全影响较小，不能立即整改的隐患，按照隐患整改“五落实”的要求限期整改。 </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11.杜绝违章指挥，及时对施工现场违章行为给予纠正和考核。</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12.在施工过程中，存在交叉作业的要完善安全防护措施；与其他施工单位存在交叉作业的作业面，要签订安全协议，明确各自责任范围和具体安全防护措施。</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13.针对施工现场实际情况，制定应急处置方案并予以公布，明确应急管理职责和应急处置程序，并定期组织演练。</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 xml:space="preserve">14.乙方如确需对部分施工作业进行劳务分包，应严格对劳务分包单位进行安全资质审查，履行报批手续，报监理和甲方审核批准后，方可签订劳务分包合同和安全协议，明确安全责任，并将分包单位纳入乙方的安全管理责任范围。 </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15.乙方必须按规定使用安全防护措施费，不得挪用、虚开安全防护措施费；因安全措施不到位导致不安全事件发生，造成的经济损失和工期延误等由乙方负全责。</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16.施工过程中发生不安全事件或影响甲方正常生产经营的事件，应及时、如实向甲方报告。</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17.</w:t>
      </w:r>
      <w:r>
        <w:rPr>
          <w:rFonts w:hint="eastAsia" w:ascii="宋体" w:hAnsi="宋体" w:cs="宋体"/>
          <w:szCs w:val="21"/>
          <w:highlight w:val="none"/>
          <w:lang w:val="en-US" w:eastAsia="zh-CN"/>
        </w:rPr>
        <w:t>乙方应加强对工程质量安全的过程控制和管理，不得以任何方式要求设计单位或者相关单位违反工程建设强制性标准，降低工程质量；不得以任何方式要求检测机构出具虚假报告；不得使用不合格或者不符合设计要求的材料和设备。</w:t>
      </w:r>
    </w:p>
    <w:p>
      <w:pPr>
        <w:spacing w:line="360" w:lineRule="auto"/>
        <w:ind w:firstLine="420" w:firstLineChars="200"/>
        <w:rPr>
          <w:rFonts w:ascii="宋体" w:hAnsi="宋体" w:cs="宋体"/>
          <w:szCs w:val="21"/>
          <w:highlight w:val="none"/>
        </w:rPr>
      </w:pPr>
      <w:r>
        <w:rPr>
          <w:rFonts w:hint="eastAsia" w:ascii="宋体" w:hAnsi="宋体" w:cs="宋体"/>
          <w:szCs w:val="21"/>
          <w:highlight w:val="none"/>
          <w:lang w:val="en-US" w:eastAsia="zh-CN"/>
        </w:rPr>
        <w:t>18.</w:t>
      </w:r>
      <w:r>
        <w:rPr>
          <w:rFonts w:hint="eastAsia" w:ascii="宋体" w:hAnsi="宋体" w:cs="宋体"/>
          <w:szCs w:val="21"/>
          <w:highlight w:val="none"/>
        </w:rPr>
        <w:t>乙方必须接受甲方的监督、管理和指导。乙方对甲方提出的意见必须及时整改，并接受甲方安全管理部门和工程技术管理部门的监督。发生人身事故或危及生产运行的不安全情况或人身安全受到威胁，乙方有责任立即处理并立即报告甲方和场地业主方。</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19.</w:t>
      </w:r>
      <w:r>
        <w:rPr>
          <w:rFonts w:hint="eastAsia" w:ascii="宋体" w:hAnsi="宋体" w:cs="宋体"/>
          <w:szCs w:val="21"/>
          <w:highlight w:val="none"/>
        </w:rPr>
        <w:t>乙方要根据季节变化，采取相应的安全防范措施，如防台、防汛、防雷、防暑降温、防火、防潮防静电、防小动物等，并加强建设工程的安健环管理，确保建设工程不发生安全事件和安全事故。</w:t>
      </w:r>
    </w:p>
    <w:p>
      <w:pPr>
        <w:spacing w:line="400" w:lineRule="exact"/>
        <w:ind w:firstLine="422" w:firstLineChars="200"/>
        <w:rPr>
          <w:rFonts w:hint="default" w:ascii="宋体" w:hAnsi="宋体" w:eastAsia="宋体" w:cs="宋体"/>
          <w:b/>
          <w:i/>
          <w:szCs w:val="21"/>
          <w:shd w:val="pct10" w:color="auto" w:fill="FFFFFF"/>
          <w:lang w:val="en-US" w:eastAsia="zh-CN"/>
        </w:rPr>
      </w:pPr>
      <w:r>
        <w:rPr>
          <w:rFonts w:hint="eastAsia" w:ascii="宋体" w:hAnsi="宋体" w:cs="宋体"/>
          <w:b/>
          <w:kern w:val="0"/>
          <w:szCs w:val="21"/>
        </w:rPr>
        <w:t>三、</w:t>
      </w:r>
      <w:r>
        <w:rPr>
          <w:rFonts w:hint="eastAsia" w:ascii="宋体" w:hAnsi="宋体" w:cs="宋体"/>
          <w:b/>
          <w:kern w:val="0"/>
          <w:szCs w:val="21"/>
          <w:lang w:val="en-US" w:eastAsia="zh-CN"/>
        </w:rPr>
        <w:t>绿色施工</w:t>
      </w:r>
      <w:r>
        <w:rPr>
          <w:rFonts w:hint="eastAsia" w:ascii="宋体" w:hAnsi="宋体" w:cs="宋体"/>
          <w:b/>
          <w:kern w:val="0"/>
          <w:szCs w:val="21"/>
        </w:rPr>
        <w:t>安全</w:t>
      </w:r>
      <w:r>
        <w:rPr>
          <w:rFonts w:hint="eastAsia" w:ascii="宋体" w:hAnsi="宋体" w:cs="宋体"/>
          <w:b/>
          <w:kern w:val="0"/>
          <w:szCs w:val="21"/>
          <w:lang w:val="en-US" w:eastAsia="zh-CN"/>
        </w:rPr>
        <w:t>防护措施费</w:t>
      </w:r>
      <w:r>
        <w:rPr>
          <w:rFonts w:hint="eastAsia" w:ascii="宋体" w:hAnsi="宋体" w:cs="宋体"/>
          <w:b/>
          <w:kern w:val="0"/>
          <w:szCs w:val="21"/>
        </w:rPr>
        <w:t>的</w:t>
      </w:r>
      <w:r>
        <w:rPr>
          <w:rFonts w:hint="eastAsia" w:ascii="宋体" w:hAnsi="宋体" w:cs="宋体"/>
          <w:b/>
          <w:kern w:val="0"/>
          <w:szCs w:val="21"/>
          <w:lang w:val="en-US" w:eastAsia="zh-CN"/>
        </w:rPr>
        <w:t>设立、</w:t>
      </w:r>
      <w:r>
        <w:rPr>
          <w:rFonts w:hint="eastAsia" w:ascii="宋体" w:hAnsi="宋体" w:cs="宋体"/>
          <w:b/>
          <w:kern w:val="0"/>
          <w:szCs w:val="21"/>
        </w:rPr>
        <w:t>使用</w:t>
      </w:r>
      <w:r>
        <w:rPr>
          <w:rFonts w:hint="eastAsia" w:ascii="宋体" w:hAnsi="宋体" w:cs="宋体"/>
          <w:b/>
          <w:kern w:val="0"/>
          <w:szCs w:val="21"/>
          <w:lang w:val="en-US" w:eastAsia="zh-CN"/>
        </w:rPr>
        <w:t>和支付</w:t>
      </w:r>
    </w:p>
    <w:p>
      <w:pPr>
        <w:spacing w:line="360" w:lineRule="auto"/>
        <w:ind w:firstLine="420" w:firstLineChars="200"/>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一</w:t>
      </w:r>
      <w:r>
        <w:rPr>
          <w:rFonts w:hint="eastAsia" w:ascii="宋体" w:hAnsi="宋体" w:cs="宋体"/>
          <w:szCs w:val="21"/>
        </w:rPr>
        <w:t>）</w:t>
      </w:r>
      <w:r>
        <w:rPr>
          <w:rFonts w:hint="eastAsia" w:ascii="宋体" w:hAnsi="宋体" w:cs="宋体"/>
          <w:szCs w:val="21"/>
          <w:lang w:val="en-US" w:eastAsia="zh-CN"/>
        </w:rPr>
        <w:t>绿色施工</w:t>
      </w:r>
      <w:r>
        <w:rPr>
          <w:rFonts w:hint="eastAsia" w:ascii="宋体" w:hAnsi="宋体" w:cs="宋体"/>
          <w:szCs w:val="21"/>
        </w:rPr>
        <w:t>安全防护措施费</w:t>
      </w:r>
      <w:r>
        <w:rPr>
          <w:rFonts w:hint="eastAsia" w:ascii="宋体" w:hAnsi="宋体" w:cs="宋体"/>
          <w:szCs w:val="21"/>
          <w:lang w:val="en-US" w:eastAsia="zh-CN"/>
        </w:rPr>
        <w:t>设立</w:t>
      </w:r>
      <w:r>
        <w:rPr>
          <w:rFonts w:hint="eastAsia" w:ascii="宋体" w:hAnsi="宋体" w:cs="宋体"/>
          <w:szCs w:val="21"/>
        </w:rPr>
        <w:t>和使用</w:t>
      </w:r>
    </w:p>
    <w:p>
      <w:pPr>
        <w:pageBreakBefore w:val="0"/>
        <w:kinsoku/>
        <w:wordWrap/>
        <w:overflowPunct/>
        <w:topLinePunct w:val="0"/>
        <w:autoSpaceDE/>
        <w:autoSpaceDN/>
        <w:bidi w:val="0"/>
        <w:adjustRightInd/>
        <w:spacing w:line="400" w:lineRule="exact"/>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rPr>
        <w:t>1.</w:t>
      </w:r>
      <w:r>
        <w:rPr>
          <w:rFonts w:hint="eastAsia" w:ascii="宋体" w:hAnsi="宋体" w:cs="宋体"/>
          <w:szCs w:val="21"/>
          <w:highlight w:val="none"/>
          <w:lang w:val="en-US" w:eastAsia="zh-CN"/>
        </w:rPr>
        <w:t>绿色施工安全防护措施费依据</w:t>
      </w:r>
      <w:r>
        <w:rPr>
          <w:rFonts w:hint="eastAsia" w:ascii="宋体" w:hAnsi="宋体" w:eastAsia="宋体" w:cs="宋体"/>
          <w:bCs w:val="0"/>
          <w:kern w:val="2"/>
          <w:sz w:val="21"/>
          <w:szCs w:val="21"/>
          <w:highlight w:val="none"/>
        </w:rPr>
        <w:t>广东省住房和城乡建设厅颁布的《广东省建设工程计价依据》</w:t>
      </w:r>
      <w:r>
        <w:rPr>
          <w:rFonts w:hint="eastAsia" w:ascii="宋体" w:hAnsi="宋体" w:cs="宋体"/>
          <w:bCs w:val="0"/>
          <w:kern w:val="2"/>
          <w:sz w:val="21"/>
          <w:szCs w:val="21"/>
          <w:highlight w:val="none"/>
          <w:lang w:val="en-US" w:eastAsia="zh-CN"/>
        </w:rPr>
        <w:t>提取，其中安全防护措施费的使用应符合</w:t>
      </w:r>
      <w:r>
        <w:rPr>
          <w:rFonts w:hint="eastAsia" w:ascii="宋体" w:hAnsi="宋体" w:eastAsia="宋体" w:cs="宋体"/>
          <w:szCs w:val="21"/>
          <w:highlight w:val="none"/>
        </w:rPr>
        <w:t>《建筑工程安全防护、文明施工措施费用及使用管理规定》《企业安全生产费用提取和使用管理办法》和《广州发展</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三外</w:t>
      </w:r>
      <w:r>
        <w:rPr>
          <w:rFonts w:hint="eastAsia" w:ascii="宋体" w:hAnsi="宋体" w:eastAsia="宋体" w:cs="宋体"/>
          <w:szCs w:val="21"/>
          <w:highlight w:val="none"/>
          <w:lang w:eastAsia="zh-CN"/>
        </w:rPr>
        <w:t>”</w:t>
      </w:r>
      <w:r>
        <w:rPr>
          <w:rFonts w:hint="eastAsia" w:ascii="宋体" w:hAnsi="宋体" w:eastAsia="宋体" w:cs="宋体"/>
          <w:szCs w:val="21"/>
          <w:highlight w:val="none"/>
        </w:rPr>
        <w:t>安全管理办法》相关规定，以该项目建筑安装工程造价为依据，</w:t>
      </w:r>
      <w:r>
        <w:rPr>
          <w:rFonts w:hint="eastAsia" w:ascii="宋体" w:hAnsi="宋体" w:eastAsia="宋体" w:cs="宋体"/>
          <w:szCs w:val="21"/>
          <w:highlight w:val="none"/>
          <w:lang w:val="en-US" w:eastAsia="zh-CN"/>
        </w:rPr>
        <w:t>甲方在</w:t>
      </w:r>
      <w:r>
        <w:rPr>
          <w:rFonts w:hint="eastAsia" w:ascii="宋体" w:hAnsi="宋体" w:eastAsia="宋体" w:cs="宋体"/>
          <w:szCs w:val="21"/>
          <w:highlight w:val="none"/>
        </w:rPr>
        <w:t>编制</w:t>
      </w:r>
      <w:r>
        <w:rPr>
          <w:rFonts w:hint="eastAsia" w:ascii="宋体" w:hAnsi="宋体" w:eastAsia="宋体" w:cs="宋体"/>
          <w:szCs w:val="21"/>
          <w:highlight w:val="none"/>
          <w:lang w:val="en-US" w:eastAsia="zh-CN"/>
        </w:rPr>
        <w:t>项目造价时单独</w:t>
      </w:r>
      <w:r>
        <w:rPr>
          <w:rFonts w:hint="default" w:ascii="宋体" w:hAnsi="宋体" w:eastAsia="宋体" w:cs="宋体"/>
          <w:szCs w:val="21"/>
          <w:highlight w:val="none"/>
        </w:rPr>
        <w:t>设立</w:t>
      </w:r>
      <w:r>
        <w:rPr>
          <w:rFonts w:hint="eastAsia" w:ascii="宋体" w:hAnsi="宋体" w:eastAsia="宋体" w:cs="宋体"/>
          <w:szCs w:val="21"/>
          <w:highlight w:val="none"/>
          <w:lang w:eastAsia="zh-CN"/>
        </w:rPr>
        <w:t>，</w:t>
      </w:r>
      <w:r>
        <w:rPr>
          <w:rFonts w:hint="default" w:ascii="宋体" w:hAnsi="宋体" w:eastAsia="宋体" w:cs="宋体"/>
          <w:szCs w:val="21"/>
          <w:highlight w:val="none"/>
        </w:rPr>
        <w:t>在工程施工招标中单列，不将其作为招标投标竞价条件。</w:t>
      </w:r>
      <w:r>
        <w:rPr>
          <w:rFonts w:hint="eastAsia" w:ascii="宋体" w:hAnsi="宋体" w:eastAsia="宋体" w:cs="宋体"/>
          <w:szCs w:val="21"/>
          <w:highlight w:val="none"/>
          <w:lang w:val="en-US" w:eastAsia="zh-CN"/>
        </w:rPr>
        <w:t>乙方</w:t>
      </w:r>
      <w:r>
        <w:rPr>
          <w:rFonts w:hint="eastAsia" w:ascii="宋体" w:hAnsi="宋体" w:eastAsia="宋体" w:cs="宋体"/>
          <w:szCs w:val="21"/>
          <w:highlight w:val="none"/>
        </w:rPr>
        <w:t>竞标时不得</w:t>
      </w:r>
      <w:r>
        <w:rPr>
          <w:rFonts w:hint="eastAsia" w:ascii="宋体" w:hAnsi="宋体" w:eastAsia="宋体" w:cs="宋体"/>
          <w:szCs w:val="21"/>
          <w:highlight w:val="none"/>
          <w:lang w:val="en-US" w:eastAsia="zh-CN"/>
        </w:rPr>
        <w:t>对该项费用进行</w:t>
      </w:r>
      <w:r>
        <w:rPr>
          <w:rFonts w:hint="eastAsia" w:ascii="宋体" w:hAnsi="宋体" w:eastAsia="宋体" w:cs="宋体"/>
          <w:szCs w:val="21"/>
          <w:highlight w:val="none"/>
        </w:rPr>
        <w:t>删减。</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2、绿色施工</w:t>
      </w:r>
      <w:r>
        <w:rPr>
          <w:rFonts w:hint="eastAsia" w:ascii="宋体" w:hAnsi="宋体" w:cs="宋体"/>
          <w:szCs w:val="21"/>
          <w:highlight w:val="none"/>
        </w:rPr>
        <w:t>安全防护措施费使用范围</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绿色施工安全防护措施费的使用范围应符合</w:t>
      </w:r>
      <w:r>
        <w:rPr>
          <w:rFonts w:hint="eastAsia" w:ascii="宋体" w:hAnsi="宋体" w:eastAsia="宋体" w:cs="宋体"/>
          <w:kern w:val="2"/>
          <w:sz w:val="21"/>
          <w:szCs w:val="21"/>
          <w:highlight w:val="none"/>
          <w:lang w:val="en-US" w:eastAsia="zh-CN"/>
        </w:rPr>
        <w:t>广东省市政工程综合定额（2018）第一册通用项目中</w:t>
      </w:r>
      <w:r>
        <w:rPr>
          <w:rFonts w:hint="eastAsia" w:ascii="宋体" w:hAnsi="宋体" w:eastAsia="宋体" w:cs="宋体"/>
          <w:kern w:val="2"/>
          <w:sz w:val="21"/>
          <w:szCs w:val="21"/>
          <w:highlight w:val="none"/>
          <w:lang w:val="en-US" w:eastAsia="zh-CN" w:bidi="ar"/>
        </w:rPr>
        <w:t>《绿色施工安全防护措施费项目工作内容构成表》</w:t>
      </w:r>
      <w:r>
        <w:rPr>
          <w:rFonts w:hint="eastAsia" w:ascii="宋体" w:hAnsi="宋体" w:eastAsia="宋体" w:cs="宋体"/>
          <w:kern w:val="2"/>
          <w:sz w:val="21"/>
          <w:szCs w:val="21"/>
          <w:highlight w:val="none"/>
          <w:lang w:val="en-US" w:eastAsia="zh-CN"/>
        </w:rPr>
        <w:t>的规定范围</w:t>
      </w:r>
      <w:r>
        <w:rPr>
          <w:rFonts w:hint="eastAsia" w:ascii="宋体" w:hAnsi="宋体" w:cs="宋体"/>
          <w:kern w:val="2"/>
          <w:sz w:val="21"/>
          <w:szCs w:val="21"/>
          <w:highlight w:val="none"/>
          <w:lang w:val="en-US" w:eastAsia="zh-CN"/>
        </w:rPr>
        <w:t>，其中</w:t>
      </w:r>
      <w:r>
        <w:rPr>
          <w:rFonts w:hint="eastAsia" w:ascii="宋体" w:hAnsi="宋体" w:eastAsia="宋体" w:cs="宋体"/>
          <w:kern w:val="2"/>
          <w:sz w:val="21"/>
          <w:szCs w:val="21"/>
          <w:highlight w:val="none"/>
          <w:lang w:val="en-US" w:eastAsia="zh-CN" w:bidi="ar"/>
        </w:rPr>
        <w:t>安全防护措施费</w:t>
      </w:r>
      <w:r>
        <w:rPr>
          <w:rFonts w:hint="eastAsia" w:ascii="宋体" w:hAnsi="宋体" w:cs="宋体"/>
          <w:kern w:val="2"/>
          <w:sz w:val="21"/>
          <w:szCs w:val="21"/>
          <w:highlight w:val="none"/>
          <w:lang w:val="en-US" w:eastAsia="zh-CN" w:bidi="ar"/>
        </w:rPr>
        <w:t>是</w:t>
      </w:r>
      <w:r>
        <w:rPr>
          <w:rFonts w:hint="eastAsia" w:ascii="宋体" w:hAnsi="宋体" w:cs="宋体"/>
          <w:szCs w:val="21"/>
          <w:highlight w:val="none"/>
          <w:lang w:val="en-US" w:eastAsia="zh-CN"/>
        </w:rPr>
        <w:t>绿色施工安全防护措施费的一部分，</w:t>
      </w:r>
      <w:r>
        <w:rPr>
          <w:rFonts w:hint="eastAsia" w:ascii="宋体" w:hAnsi="宋体" w:eastAsia="宋体" w:cs="宋体"/>
          <w:kern w:val="2"/>
          <w:sz w:val="21"/>
          <w:szCs w:val="21"/>
          <w:highlight w:val="none"/>
          <w:lang w:val="en-US" w:eastAsia="zh-CN" w:bidi="ar"/>
        </w:rPr>
        <w:t>安全防护措施费</w:t>
      </w:r>
      <w:r>
        <w:rPr>
          <w:rFonts w:hint="eastAsia" w:ascii="宋体" w:hAnsi="宋体" w:cs="宋体"/>
          <w:kern w:val="2"/>
          <w:sz w:val="21"/>
          <w:szCs w:val="21"/>
          <w:highlight w:val="none"/>
          <w:lang w:val="en-US" w:eastAsia="zh-CN" w:bidi="ar"/>
        </w:rPr>
        <w:t>的使用应符合以下范围：</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完善、改造和维护安全防护设施设备支出（不含“三同时”要求初期投入的安全设施），包括施工现场临时用电系统、洞口或临边防护、高处作业或交叉作业防护、临时安全防护、支护及防治边坡滑坡、工程有害气体监测和通风、保障安全的机械设备、防火、防爆、防触电、防尘、防毒、防雷、防台风、防地质灾害等设施设备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应急救援技术装备、设施配置及维护保养支出，事故逃生和紧急避难设施设备的配置和应急救援队伍建设、应急预案制修订与应急演练支出；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开展施工现场重大危险源检测、评估、监控支出，安全风险分级管控和事故隐患排查整改支出，工程项目安全生产信息化建设、运维和网络安全支出；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eastAsia="zh-CN"/>
        </w:rPr>
        <w:t>安全生产检查检测、评估评价（不含新建、改建、扩建项目安全评价）、评审、咨询和标准化建设支出；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lang w:eastAsia="zh-CN"/>
        </w:rPr>
        <w:t>配备和更新现场作业人员安全防护用品支出；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安全生产宣传、教育、培训和从业人员发现并报告事故隐患的奖励支出；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lang w:eastAsia="zh-CN"/>
        </w:rPr>
        <w:t>安全生产适用的新技术、新标准、新工艺、新装备的推广应用支出；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安全设施及特种设备检测检验、检定校准支出；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lang w:eastAsia="zh-CN"/>
        </w:rPr>
        <w:t>安全生产责任保险等与安全生产直接相关的法定保险支出；</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lang w:eastAsia="zh-CN"/>
        </w:rPr>
        <w:t>与安全生产直接相关的其他支出。</w:t>
      </w:r>
    </w:p>
    <w:p>
      <w:pPr>
        <w:spacing w:line="360" w:lineRule="auto"/>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（二）</w:t>
      </w:r>
      <w:r>
        <w:rPr>
          <w:rFonts w:hint="eastAsia" w:ascii="宋体" w:hAnsi="宋体" w:cs="宋体"/>
          <w:szCs w:val="21"/>
          <w:highlight w:val="none"/>
          <w:lang w:val="en-US" w:eastAsia="zh-CN"/>
        </w:rPr>
        <w:t>绿色施工</w:t>
      </w:r>
      <w:r>
        <w:rPr>
          <w:rFonts w:hint="eastAsia" w:ascii="宋体" w:hAnsi="宋体" w:eastAsia="宋体" w:cs="宋体"/>
          <w:szCs w:val="21"/>
          <w:highlight w:val="none"/>
          <w:lang w:val="en-US" w:eastAsia="zh-CN"/>
        </w:rPr>
        <w:t>安全防护措施费用的支付</w:t>
      </w:r>
    </w:p>
    <w:p>
      <w:pPr>
        <w:spacing w:line="360" w:lineRule="auto"/>
        <w:ind w:firstLine="420" w:firstLineChars="200"/>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1.施工进度款项是指扣除</w:t>
      </w:r>
      <w:r>
        <w:rPr>
          <w:rFonts w:hint="eastAsia" w:ascii="宋体" w:hAnsi="宋体" w:cs="宋体"/>
          <w:szCs w:val="21"/>
          <w:highlight w:val="none"/>
          <w:lang w:val="en-US" w:eastAsia="zh-CN"/>
        </w:rPr>
        <w:t>绿色施工</w:t>
      </w:r>
      <w:r>
        <w:rPr>
          <w:rFonts w:hint="eastAsia" w:ascii="宋体" w:hAnsi="宋体" w:eastAsia="宋体" w:cs="宋体"/>
          <w:szCs w:val="21"/>
          <w:highlight w:val="none"/>
        </w:rPr>
        <w:t>安全防护</w:t>
      </w:r>
      <w:r>
        <w:rPr>
          <w:rFonts w:hint="eastAsia" w:ascii="宋体" w:hAnsi="宋体" w:eastAsia="宋体" w:cs="宋体"/>
          <w:szCs w:val="21"/>
          <w:highlight w:val="none"/>
          <w:lang w:val="en-US" w:eastAsia="zh-CN"/>
        </w:rPr>
        <w:t>措施费用后的施工费用。甲方在支付工程进度款项时，应单独核算</w:t>
      </w:r>
      <w:r>
        <w:rPr>
          <w:rFonts w:hint="eastAsia" w:ascii="宋体" w:hAnsi="宋体" w:cs="宋体"/>
          <w:szCs w:val="21"/>
          <w:highlight w:val="none"/>
          <w:lang w:val="en-US" w:eastAsia="zh-CN"/>
        </w:rPr>
        <w:t>绿色施工</w:t>
      </w:r>
      <w:r>
        <w:rPr>
          <w:rFonts w:hint="eastAsia" w:ascii="宋体" w:hAnsi="宋体" w:eastAsia="宋体" w:cs="宋体"/>
          <w:szCs w:val="21"/>
          <w:highlight w:val="none"/>
        </w:rPr>
        <w:t>安全防护</w:t>
      </w:r>
      <w:r>
        <w:rPr>
          <w:rFonts w:hint="eastAsia" w:ascii="宋体" w:hAnsi="宋体" w:eastAsia="宋体" w:cs="宋体"/>
          <w:szCs w:val="21"/>
          <w:highlight w:val="none"/>
          <w:lang w:val="en-US" w:eastAsia="zh-CN"/>
        </w:rPr>
        <w:t>措施费用并进行支付。</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.乙方编制分</w:t>
      </w:r>
      <w:r>
        <w:rPr>
          <w:rFonts w:hint="eastAsia" w:ascii="宋体" w:hAnsi="宋体" w:eastAsia="宋体" w:cs="宋体"/>
          <w:szCs w:val="21"/>
          <w:highlight w:val="none"/>
        </w:rPr>
        <w:t>阶段</w:t>
      </w:r>
      <w:r>
        <w:rPr>
          <w:rFonts w:hint="eastAsia" w:ascii="宋体" w:hAnsi="宋体" w:cs="宋体"/>
          <w:szCs w:val="21"/>
          <w:highlight w:val="none"/>
          <w:lang w:val="en-US" w:eastAsia="zh-CN"/>
        </w:rPr>
        <w:t>绿色施工</w:t>
      </w:r>
      <w:r>
        <w:rPr>
          <w:rFonts w:hint="eastAsia" w:ascii="宋体" w:hAnsi="宋体" w:eastAsia="宋体" w:cs="宋体"/>
          <w:szCs w:val="21"/>
          <w:highlight w:val="none"/>
        </w:rPr>
        <w:t>安全防护</w:t>
      </w:r>
      <w:r>
        <w:rPr>
          <w:rFonts w:hint="eastAsia" w:ascii="宋体" w:hAnsi="宋体" w:eastAsia="宋体" w:cs="宋体"/>
          <w:szCs w:val="21"/>
          <w:highlight w:val="none"/>
          <w:lang w:val="en-US" w:eastAsia="zh-CN"/>
        </w:rPr>
        <w:t>措施计划，经监理审核</w:t>
      </w:r>
      <w:r>
        <w:rPr>
          <w:rFonts w:hint="eastAsia" w:ascii="宋体" w:hAnsi="宋体" w:cs="宋体"/>
          <w:szCs w:val="21"/>
          <w:highlight w:val="none"/>
        </w:rPr>
        <w:t>后，</w:t>
      </w:r>
      <w:r>
        <w:rPr>
          <w:rFonts w:hint="eastAsia" w:ascii="宋体" w:hAnsi="宋体" w:eastAsia="宋体" w:cs="宋体"/>
          <w:szCs w:val="21"/>
          <w:highlight w:val="none"/>
        </w:rPr>
        <w:t>甲方于工程开工日一个月内预付</w:t>
      </w:r>
      <w:r>
        <w:rPr>
          <w:rFonts w:hint="eastAsia" w:ascii="宋体" w:hAnsi="宋体" w:cs="宋体"/>
          <w:szCs w:val="21"/>
          <w:highlight w:val="none"/>
          <w:lang w:val="en-US" w:eastAsia="zh-CN"/>
        </w:rPr>
        <w:t>绿色施工</w:t>
      </w:r>
      <w:r>
        <w:rPr>
          <w:rFonts w:hint="eastAsia" w:ascii="宋体" w:hAnsi="宋体" w:eastAsia="宋体" w:cs="宋体"/>
          <w:szCs w:val="21"/>
          <w:highlight w:val="none"/>
        </w:rPr>
        <w:t>安全防护措施费</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u w:val="none"/>
          <w:lang w:val="en-US" w:eastAsia="zh-CN"/>
        </w:rPr>
        <w:t>元</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备注：</w:t>
      </w:r>
      <w:r>
        <w:rPr>
          <w:rFonts w:hint="eastAsia" w:ascii="宋体" w:hAnsi="宋体" w:eastAsia="宋体" w:cs="宋体"/>
          <w:szCs w:val="21"/>
          <w:highlight w:val="none"/>
        </w:rPr>
        <w:t>根据工程</w:t>
      </w:r>
      <w:r>
        <w:rPr>
          <w:rFonts w:hint="eastAsia" w:ascii="宋体" w:hAnsi="宋体" w:cs="宋体"/>
          <w:szCs w:val="21"/>
          <w:highlight w:val="none"/>
        </w:rPr>
        <w:t>特点，</w:t>
      </w:r>
      <w:r>
        <w:rPr>
          <w:rFonts w:hint="eastAsia" w:ascii="宋体" w:hAnsi="宋体" w:eastAsia="宋体" w:cs="宋体"/>
          <w:szCs w:val="21"/>
          <w:highlight w:val="none"/>
        </w:rPr>
        <w:t>合同工期在一年以内的，预付</w:t>
      </w:r>
      <w:r>
        <w:rPr>
          <w:rFonts w:hint="eastAsia" w:ascii="宋体" w:hAnsi="宋体" w:cs="宋体"/>
          <w:szCs w:val="21"/>
          <w:highlight w:val="none"/>
          <w:lang w:val="en-US" w:eastAsia="zh-CN"/>
        </w:rPr>
        <w:t>绿色施工</w:t>
      </w:r>
      <w:r>
        <w:rPr>
          <w:rFonts w:hint="eastAsia" w:ascii="宋体" w:hAnsi="宋体" w:eastAsia="宋体" w:cs="宋体"/>
          <w:szCs w:val="21"/>
          <w:highlight w:val="none"/>
        </w:rPr>
        <w:t>安全防护措施费用总额的</w:t>
      </w:r>
      <w:r>
        <w:rPr>
          <w:rFonts w:hint="eastAsia" w:ascii="宋体" w:hAnsi="宋体" w:cs="宋体"/>
          <w:szCs w:val="21"/>
          <w:highlight w:val="none"/>
          <w:lang w:val="en-US" w:eastAsia="zh-CN"/>
        </w:rPr>
        <w:t>60</w:t>
      </w:r>
      <w:r>
        <w:rPr>
          <w:rFonts w:hint="eastAsia" w:ascii="宋体" w:hAnsi="宋体" w:eastAsia="宋体" w:cs="宋体"/>
          <w:szCs w:val="21"/>
          <w:highlight w:val="none"/>
        </w:rPr>
        <w:t>％；合同工期在一年以上的（含一年），预付该</w:t>
      </w:r>
      <w:r>
        <w:rPr>
          <w:rFonts w:hint="eastAsia" w:ascii="宋体" w:hAnsi="宋体" w:eastAsia="宋体" w:cs="宋体"/>
          <w:szCs w:val="21"/>
          <w:highlight w:val="none"/>
          <w:lang w:val="en-US" w:eastAsia="zh-CN"/>
        </w:rPr>
        <w:t>项目</w:t>
      </w:r>
      <w:r>
        <w:rPr>
          <w:rFonts w:hint="eastAsia" w:ascii="宋体" w:hAnsi="宋体" w:eastAsia="宋体" w:cs="宋体"/>
          <w:szCs w:val="21"/>
          <w:highlight w:val="none"/>
        </w:rPr>
        <w:t>费用</w:t>
      </w:r>
      <w:r>
        <w:rPr>
          <w:rFonts w:hint="eastAsia" w:ascii="宋体" w:hAnsi="宋体" w:cs="宋体"/>
          <w:szCs w:val="21"/>
          <w:highlight w:val="none"/>
          <w:lang w:val="en-US" w:eastAsia="zh-CN"/>
        </w:rPr>
        <w:t>绿色施工</w:t>
      </w:r>
      <w:r>
        <w:rPr>
          <w:rFonts w:hint="eastAsia" w:ascii="宋体" w:hAnsi="宋体" w:eastAsia="宋体" w:cs="宋体"/>
          <w:szCs w:val="21"/>
          <w:highlight w:val="none"/>
        </w:rPr>
        <w:t>安全防护措施费用年度预算总额的</w:t>
      </w:r>
      <w:r>
        <w:rPr>
          <w:rFonts w:hint="eastAsia" w:ascii="宋体" w:hAnsi="宋体" w:cs="宋体"/>
          <w:szCs w:val="21"/>
          <w:highlight w:val="none"/>
          <w:lang w:val="en-US" w:eastAsia="zh-CN"/>
        </w:rPr>
        <w:t>60</w:t>
      </w:r>
      <w:r>
        <w:rPr>
          <w:rFonts w:hint="eastAsia" w:ascii="宋体" w:hAnsi="宋体" w:eastAsia="宋体" w:cs="宋体"/>
          <w:szCs w:val="21"/>
          <w:highlight w:val="none"/>
        </w:rPr>
        <w:t>％）用于</w:t>
      </w:r>
      <w:r>
        <w:rPr>
          <w:rFonts w:hint="eastAsia" w:ascii="宋体" w:hAnsi="宋体" w:cs="宋体"/>
          <w:szCs w:val="21"/>
          <w:highlight w:val="none"/>
          <w:lang w:val="en-US" w:eastAsia="zh-CN"/>
        </w:rPr>
        <w:t>绿色施工</w:t>
      </w:r>
      <w:r>
        <w:rPr>
          <w:rFonts w:hint="eastAsia" w:ascii="宋体" w:hAnsi="宋体" w:eastAsia="宋体" w:cs="宋体"/>
          <w:szCs w:val="21"/>
          <w:highlight w:val="none"/>
        </w:rPr>
        <w:t>安全措施投入，</w:t>
      </w:r>
      <w:r>
        <w:rPr>
          <w:rFonts w:hint="eastAsia" w:ascii="宋体" w:hAnsi="宋体" w:cs="宋体"/>
          <w:szCs w:val="21"/>
          <w:highlight w:val="none"/>
        </w:rPr>
        <w:t>其余费用</w:t>
      </w:r>
      <w:r>
        <w:rPr>
          <w:rFonts w:ascii="宋体" w:hAnsi="宋体" w:cs="宋体"/>
          <w:szCs w:val="21"/>
          <w:highlight w:val="none"/>
        </w:rPr>
        <w:t>按照工程进展情况以及</w:t>
      </w:r>
      <w:r>
        <w:rPr>
          <w:rFonts w:hint="eastAsia" w:ascii="宋体" w:hAnsi="宋体" w:cs="宋体"/>
          <w:szCs w:val="21"/>
          <w:highlight w:val="none"/>
        </w:rPr>
        <w:t>甲、乙、监理三方共同核定的</w:t>
      </w:r>
      <w:r>
        <w:rPr>
          <w:rFonts w:hint="eastAsia" w:ascii="宋体" w:hAnsi="宋体" w:cs="宋体"/>
          <w:szCs w:val="21"/>
          <w:highlight w:val="none"/>
          <w:lang w:val="en-US" w:eastAsia="zh-CN"/>
        </w:rPr>
        <w:t>绿色施工</w:t>
      </w:r>
      <w:r>
        <w:rPr>
          <w:rFonts w:hint="eastAsia" w:ascii="宋体" w:hAnsi="宋体" w:cs="宋体"/>
          <w:szCs w:val="21"/>
          <w:highlight w:val="none"/>
        </w:rPr>
        <w:t>安全措施落实情况分阶段</w:t>
      </w:r>
      <w:r>
        <w:rPr>
          <w:rFonts w:ascii="宋体" w:hAnsi="宋体" w:cs="宋体"/>
          <w:szCs w:val="21"/>
          <w:highlight w:val="none"/>
        </w:rPr>
        <w:t>支付。</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3</w:t>
      </w:r>
      <w:r>
        <w:rPr>
          <w:rFonts w:hint="eastAsia" w:ascii="宋体" w:hAnsi="宋体" w:cs="宋体"/>
          <w:szCs w:val="21"/>
          <w:highlight w:val="none"/>
        </w:rPr>
        <w:t>.</w:t>
      </w:r>
      <w:r>
        <w:rPr>
          <w:rFonts w:ascii="宋体" w:hAnsi="宋体" w:cs="宋体"/>
          <w:szCs w:val="21"/>
          <w:highlight w:val="none"/>
        </w:rPr>
        <w:t>乙方应按规定用于</w:t>
      </w:r>
      <w:r>
        <w:rPr>
          <w:rFonts w:hint="eastAsia" w:ascii="宋体" w:hAnsi="宋体" w:cs="宋体"/>
          <w:szCs w:val="21"/>
          <w:highlight w:val="none"/>
          <w:lang w:val="en-US" w:eastAsia="zh-CN"/>
        </w:rPr>
        <w:t>绿色施工</w:t>
      </w:r>
      <w:r>
        <w:rPr>
          <w:rFonts w:ascii="宋体" w:hAnsi="宋体" w:cs="宋体"/>
          <w:szCs w:val="21"/>
          <w:highlight w:val="none"/>
        </w:rPr>
        <w:t>安全施工措施等相关支出，不得</w:t>
      </w:r>
      <w:r>
        <w:rPr>
          <w:rFonts w:hint="eastAsia" w:ascii="宋体" w:hAnsi="宋体" w:cs="宋体"/>
          <w:szCs w:val="21"/>
          <w:highlight w:val="none"/>
        </w:rPr>
        <w:t>挤占、</w:t>
      </w:r>
      <w:r>
        <w:rPr>
          <w:rFonts w:ascii="宋体" w:hAnsi="宋体" w:cs="宋体"/>
          <w:szCs w:val="21"/>
          <w:highlight w:val="none"/>
        </w:rPr>
        <w:t>挪用</w:t>
      </w:r>
      <w:r>
        <w:rPr>
          <w:rFonts w:hint="eastAsia" w:ascii="宋体" w:hAnsi="宋体" w:cs="宋体"/>
          <w:szCs w:val="21"/>
          <w:highlight w:val="none"/>
        </w:rPr>
        <w:t>、欠用，</w:t>
      </w:r>
      <w:r>
        <w:rPr>
          <w:rFonts w:ascii="宋体" w:hAnsi="宋体" w:cs="宋体"/>
          <w:szCs w:val="21"/>
          <w:highlight w:val="none"/>
        </w:rPr>
        <w:t>有关使用情况应接受</w:t>
      </w:r>
      <w:r>
        <w:rPr>
          <w:rFonts w:hint="eastAsia" w:ascii="宋体" w:hAnsi="宋体" w:cs="宋体"/>
          <w:szCs w:val="21"/>
          <w:highlight w:val="none"/>
        </w:rPr>
        <w:t>监理和</w:t>
      </w:r>
      <w:r>
        <w:rPr>
          <w:rFonts w:ascii="宋体" w:hAnsi="宋体" w:cs="宋体"/>
          <w:szCs w:val="21"/>
          <w:highlight w:val="none"/>
        </w:rPr>
        <w:t>甲方的监督。</w:t>
      </w:r>
      <w:r>
        <w:rPr>
          <w:rFonts w:hint="eastAsia" w:ascii="宋体" w:hAnsi="宋体" w:cs="宋体"/>
          <w:szCs w:val="21"/>
          <w:highlight w:val="none"/>
        </w:rPr>
        <w:t>如果乙方未按照施工方案落实工程安全防护措施，甲方或监理单位可向乙方发出书面通知，要求乙方在规定时间内落实，在规定时间内仍不落实的，甲方或监理单位有权委托第三方实施全部或部分</w:t>
      </w:r>
      <w:r>
        <w:rPr>
          <w:rFonts w:hint="eastAsia" w:ascii="宋体" w:hAnsi="宋体" w:cs="宋体"/>
          <w:szCs w:val="21"/>
          <w:highlight w:val="none"/>
          <w:lang w:val="en-US" w:eastAsia="zh-CN"/>
        </w:rPr>
        <w:t>绿色施工</w:t>
      </w:r>
      <w:r>
        <w:rPr>
          <w:rFonts w:hint="eastAsia" w:ascii="宋体" w:hAnsi="宋体" w:cs="宋体"/>
          <w:szCs w:val="21"/>
          <w:highlight w:val="none"/>
        </w:rPr>
        <w:t>安全防护措施，所产生的费用由乙方承担。</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.提取的</w:t>
      </w:r>
      <w:r>
        <w:rPr>
          <w:rFonts w:hint="eastAsia" w:ascii="宋体" w:hAnsi="宋体" w:cs="宋体"/>
          <w:szCs w:val="21"/>
          <w:highlight w:val="none"/>
          <w:lang w:val="en-US" w:eastAsia="zh-CN"/>
        </w:rPr>
        <w:t>绿色施工</w:t>
      </w:r>
      <w:r>
        <w:rPr>
          <w:rFonts w:hint="eastAsia" w:ascii="宋体" w:hAnsi="宋体" w:cs="宋体"/>
          <w:szCs w:val="21"/>
          <w:highlight w:val="none"/>
        </w:rPr>
        <w:t>安全防护措施费不足时，不足部分在合同价款中列支；</w:t>
      </w:r>
      <w:r>
        <w:rPr>
          <w:rFonts w:hint="eastAsia" w:ascii="宋体" w:hAnsi="宋体" w:cs="宋体"/>
          <w:szCs w:val="21"/>
          <w:highlight w:val="none"/>
          <w:lang w:val="en-US" w:eastAsia="zh-CN"/>
        </w:rPr>
        <w:t>绿色施工</w:t>
      </w:r>
      <w:r>
        <w:rPr>
          <w:rFonts w:hint="eastAsia" w:ascii="宋体" w:hAnsi="宋体" w:cs="宋体"/>
          <w:szCs w:val="21"/>
          <w:highlight w:val="none"/>
        </w:rPr>
        <w:t>安全防护措施费未足额使用，结余部分用于该项目质保期内或需要在后期实施的安全技术改造、完善、升级或隐患整改，不再支付给施工单位。</w:t>
      </w:r>
    </w:p>
    <w:p>
      <w:pPr>
        <w:spacing w:line="360" w:lineRule="auto"/>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依法</w:t>
      </w:r>
      <w:r>
        <w:rPr>
          <w:rFonts w:hint="eastAsia" w:ascii="宋体" w:hAnsi="宋体" w:eastAsia="宋体" w:cs="宋体"/>
          <w:szCs w:val="21"/>
          <w:highlight w:val="none"/>
          <w:lang w:val="en-US" w:eastAsia="zh-CN"/>
        </w:rPr>
        <w:t>实施</w:t>
      </w:r>
      <w:r>
        <w:rPr>
          <w:rFonts w:hint="eastAsia" w:ascii="宋体" w:hAnsi="宋体" w:eastAsia="宋体" w:cs="宋体"/>
          <w:szCs w:val="21"/>
          <w:highlight w:val="none"/>
        </w:rPr>
        <w:t>工程分包的，总承包单位与分包单位应当</w:t>
      </w:r>
      <w:r>
        <w:rPr>
          <w:rFonts w:hint="eastAsia" w:ascii="宋体" w:hAnsi="宋体" w:eastAsia="宋体" w:cs="宋体"/>
          <w:szCs w:val="21"/>
          <w:highlight w:val="none"/>
          <w:lang w:val="en-US" w:eastAsia="zh-CN"/>
        </w:rPr>
        <w:t>参照本协议</w:t>
      </w:r>
      <w:r>
        <w:rPr>
          <w:rFonts w:hint="eastAsia" w:ascii="宋体" w:hAnsi="宋体" w:eastAsia="宋体" w:cs="宋体"/>
          <w:szCs w:val="21"/>
          <w:highlight w:val="none"/>
        </w:rPr>
        <w:t>在合同中单独约定并于分包工程开工日一个月内将至少</w:t>
      </w:r>
      <w:r>
        <w:rPr>
          <w:rFonts w:hint="eastAsia" w:ascii="宋体" w:hAnsi="宋体" w:cs="宋体"/>
          <w:szCs w:val="21"/>
          <w:highlight w:val="none"/>
          <w:lang w:val="en-US" w:eastAsia="zh-CN"/>
        </w:rPr>
        <w:t>6</w:t>
      </w:r>
      <w:r>
        <w:rPr>
          <w:rFonts w:hint="eastAsia" w:ascii="宋体" w:hAnsi="宋体" w:eastAsia="宋体" w:cs="宋体"/>
          <w:szCs w:val="21"/>
          <w:highlight w:val="none"/>
        </w:rPr>
        <w:t>0%</w:t>
      </w:r>
      <w:r>
        <w:rPr>
          <w:rFonts w:hint="eastAsia" w:ascii="宋体" w:hAnsi="宋体" w:eastAsia="宋体" w:cs="宋体"/>
          <w:szCs w:val="21"/>
          <w:highlight w:val="none"/>
          <w:lang w:val="en-US" w:eastAsia="zh-CN"/>
        </w:rPr>
        <w:t>分包项目</w:t>
      </w:r>
      <w:r>
        <w:rPr>
          <w:rFonts w:hint="eastAsia" w:ascii="宋体" w:hAnsi="宋体" w:cs="宋体"/>
          <w:szCs w:val="21"/>
          <w:highlight w:val="none"/>
          <w:lang w:val="en-US" w:eastAsia="zh-CN"/>
        </w:rPr>
        <w:t>绿色施工</w:t>
      </w:r>
      <w:r>
        <w:rPr>
          <w:rFonts w:hint="eastAsia" w:ascii="宋体" w:hAnsi="宋体" w:eastAsia="宋体" w:cs="宋体"/>
          <w:szCs w:val="21"/>
          <w:highlight w:val="none"/>
          <w:lang w:val="en-US" w:eastAsia="zh-CN"/>
        </w:rPr>
        <w:t>安</w:t>
      </w:r>
      <w:r>
        <w:rPr>
          <w:rFonts w:hint="eastAsia" w:ascii="宋体" w:hAnsi="宋体" w:eastAsia="宋体" w:cs="宋体"/>
          <w:szCs w:val="21"/>
          <w:highlight w:val="none"/>
        </w:rPr>
        <w:t>全防护措施费用直接支付分包单位并监督使用，分包单位不再重复提取</w:t>
      </w:r>
      <w:r>
        <w:rPr>
          <w:rFonts w:hint="eastAsia" w:ascii="宋体" w:hAnsi="宋体" w:eastAsia="宋体" w:cs="宋体"/>
          <w:szCs w:val="21"/>
          <w:highlight w:val="none"/>
          <w:lang w:eastAsia="zh-CN"/>
        </w:rPr>
        <w:t>，</w:t>
      </w:r>
      <w:r>
        <w:rPr>
          <w:rFonts w:hint="eastAsia" w:ascii="宋体" w:hAnsi="宋体" w:eastAsia="宋体" w:cs="宋体"/>
          <w:szCs w:val="21"/>
          <w:highlight w:val="none"/>
        </w:rPr>
        <w:t>总承包</w:t>
      </w:r>
      <w:r>
        <w:rPr>
          <w:rFonts w:hint="eastAsia" w:ascii="宋体" w:hAnsi="宋体" w:eastAsia="宋体" w:cs="宋体"/>
          <w:szCs w:val="21"/>
          <w:highlight w:val="none"/>
          <w:lang w:val="en-US" w:eastAsia="zh-CN"/>
        </w:rPr>
        <w:t>方严格</w:t>
      </w:r>
      <w:r>
        <w:rPr>
          <w:rFonts w:hint="eastAsia" w:ascii="宋体" w:hAnsi="宋体" w:eastAsia="宋体" w:cs="宋体"/>
          <w:szCs w:val="21"/>
          <w:highlight w:val="none"/>
        </w:rPr>
        <w:t>履约、按时支付</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不得截留</w:t>
      </w:r>
      <w:r>
        <w:rPr>
          <w:rFonts w:hint="eastAsia" w:ascii="宋体" w:hAnsi="宋体" w:eastAsia="宋体" w:cs="宋体"/>
          <w:szCs w:val="21"/>
          <w:highlight w:val="none"/>
        </w:rPr>
        <w:t>。</w:t>
      </w:r>
    </w:p>
    <w:p>
      <w:pPr>
        <w:spacing w:line="360" w:lineRule="auto"/>
        <w:ind w:firstLine="422" w:firstLineChars="200"/>
        <w:rPr>
          <w:rFonts w:hint="eastAsia" w:ascii="宋体" w:hAnsi="宋体" w:eastAsia="宋体" w:cs="宋体"/>
          <w:b/>
          <w:kern w:val="0"/>
          <w:szCs w:val="21"/>
          <w:highlight w:val="none"/>
          <w:lang w:val="en-US" w:eastAsia="zh-CN"/>
        </w:rPr>
      </w:pPr>
      <w:r>
        <w:rPr>
          <w:rFonts w:hint="eastAsia" w:ascii="宋体" w:hAnsi="宋体" w:eastAsia="宋体" w:cs="宋体"/>
          <w:b/>
          <w:kern w:val="0"/>
          <w:szCs w:val="21"/>
          <w:highlight w:val="none"/>
          <w:lang w:val="en-US" w:eastAsia="zh-CN"/>
        </w:rPr>
        <w:t>四、安全文明施工保障费用的提取和使用</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一</w:t>
      </w:r>
      <w:r>
        <w:rPr>
          <w:rFonts w:hint="eastAsia" w:ascii="宋体" w:hAnsi="宋体" w:cs="宋体"/>
          <w:szCs w:val="21"/>
          <w:highlight w:val="none"/>
          <w:lang w:eastAsia="zh-CN"/>
        </w:rPr>
        <w:t>）</w:t>
      </w:r>
      <w:r>
        <w:rPr>
          <w:rFonts w:hint="eastAsia" w:ascii="宋体" w:hAnsi="宋体" w:cs="宋体"/>
          <w:szCs w:val="21"/>
          <w:highlight w:val="none"/>
        </w:rPr>
        <w:t>安全文明施工保障</w:t>
      </w:r>
      <w:r>
        <w:rPr>
          <w:rFonts w:hint="eastAsia" w:ascii="宋体" w:hAnsi="宋体" w:cs="宋体"/>
          <w:szCs w:val="21"/>
          <w:highlight w:val="none"/>
          <w:lang w:val="en-US" w:eastAsia="zh-CN"/>
        </w:rPr>
        <w:t>费用</w:t>
      </w:r>
      <w:r>
        <w:rPr>
          <w:rFonts w:hint="eastAsia" w:ascii="宋体" w:hAnsi="宋体" w:cs="宋体"/>
          <w:szCs w:val="21"/>
          <w:highlight w:val="none"/>
        </w:rPr>
        <w:t>用于施工期间安全考核、安全生产事故救援抢险及善后处理、行政处罚等费用支出。安全文明施工保障</w:t>
      </w:r>
      <w:r>
        <w:rPr>
          <w:rFonts w:hint="eastAsia" w:ascii="宋体" w:hAnsi="宋体" w:cs="宋体"/>
          <w:szCs w:val="21"/>
          <w:highlight w:val="none"/>
          <w:lang w:val="en-US" w:eastAsia="zh-CN"/>
        </w:rPr>
        <w:t>费用在支付首笔工程预付款时提取，由甲方暂存，工程完工后按规定返还，</w:t>
      </w:r>
      <w:r>
        <w:rPr>
          <w:rFonts w:hint="eastAsia" w:ascii="宋体" w:hAnsi="宋体" w:cs="宋体"/>
          <w:szCs w:val="21"/>
          <w:highlight w:val="none"/>
        </w:rPr>
        <w:t>提取标准为合同总价的【 %】。（提取标准：合同总价</w:t>
      </w:r>
      <w:r>
        <w:rPr>
          <w:rFonts w:hint="eastAsia" w:ascii="宋体" w:hAnsi="宋体" w:cs="宋体"/>
          <w:szCs w:val="21"/>
          <w:highlight w:val="none"/>
          <w:lang w:val="en-US" w:eastAsia="zh-CN"/>
        </w:rPr>
        <w:t>40</w:t>
      </w:r>
      <w:r>
        <w:rPr>
          <w:rFonts w:hint="eastAsia" w:ascii="宋体" w:hAnsi="宋体" w:cs="宋体"/>
          <w:szCs w:val="21"/>
          <w:highlight w:val="none"/>
        </w:rPr>
        <w:t>0万元至1000万元按1.5%提取，1000万元至5000万元按1%提取，5000万元以上按0.8%提取，提取金额最高不超过100万元。设备采购和生产咨询服务类等不在生产现场进行施工的项目无需提取。合同总价</w:t>
      </w:r>
      <w:r>
        <w:rPr>
          <w:rFonts w:hint="eastAsia" w:ascii="宋体" w:hAnsi="宋体" w:cs="宋体"/>
          <w:szCs w:val="21"/>
          <w:highlight w:val="none"/>
          <w:lang w:val="en-US" w:eastAsia="zh-CN"/>
        </w:rPr>
        <w:t>400</w:t>
      </w:r>
      <w:r>
        <w:rPr>
          <w:rFonts w:hint="eastAsia" w:ascii="宋体" w:hAnsi="宋体" w:cs="宋体"/>
          <w:szCs w:val="21"/>
          <w:highlight w:val="none"/>
        </w:rPr>
        <w:t>万元以下的项目，建设单位可根据项目安全实际情况决定是否提取安全文明施工保障</w:t>
      </w:r>
      <w:r>
        <w:rPr>
          <w:rFonts w:hint="eastAsia" w:ascii="宋体" w:hAnsi="宋体" w:cs="宋体"/>
          <w:szCs w:val="21"/>
          <w:highlight w:val="none"/>
          <w:lang w:val="en-US" w:eastAsia="zh-CN"/>
        </w:rPr>
        <w:t>费用</w:t>
      </w:r>
      <w:r>
        <w:rPr>
          <w:rFonts w:hint="eastAsia" w:ascii="宋体" w:hAnsi="宋体" w:cs="宋体"/>
          <w:szCs w:val="21"/>
          <w:highlight w:val="none"/>
        </w:rPr>
        <w:t>。）</w:t>
      </w:r>
    </w:p>
    <w:p>
      <w:pPr>
        <w:spacing w:line="360" w:lineRule="auto"/>
        <w:ind w:firstLine="420" w:firstLineChars="200"/>
        <w:rPr>
          <w:rFonts w:hint="eastAsia"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二</w:t>
      </w:r>
      <w:r>
        <w:rPr>
          <w:rFonts w:hint="eastAsia" w:ascii="宋体" w:hAnsi="宋体" w:cs="宋体"/>
          <w:szCs w:val="21"/>
          <w:lang w:eastAsia="zh-CN"/>
        </w:rPr>
        <w:t>）</w:t>
      </w:r>
      <w:r>
        <w:rPr>
          <w:rFonts w:hint="eastAsia" w:ascii="宋体" w:hAnsi="宋体" w:cs="宋体"/>
          <w:szCs w:val="21"/>
        </w:rPr>
        <w:t>施工期间发生下列情况之一，</w:t>
      </w:r>
      <w:r>
        <w:rPr>
          <w:rFonts w:hint="eastAsia" w:ascii="宋体" w:hAnsi="宋体"/>
          <w:kern w:val="0"/>
          <w:szCs w:val="21"/>
        </w:rPr>
        <w:t>可</w:t>
      </w:r>
      <w:r>
        <w:rPr>
          <w:rFonts w:hint="eastAsia" w:ascii="宋体" w:hAnsi="宋体" w:cs="宋体"/>
          <w:szCs w:val="21"/>
        </w:rPr>
        <w:t>在安全文明施工保障</w:t>
      </w:r>
      <w:r>
        <w:rPr>
          <w:rFonts w:hint="eastAsia" w:ascii="宋体" w:hAnsi="宋体" w:cs="宋体"/>
          <w:szCs w:val="21"/>
          <w:lang w:val="en-US" w:eastAsia="zh-CN"/>
        </w:rPr>
        <w:t>费用</w:t>
      </w:r>
      <w:r>
        <w:rPr>
          <w:rFonts w:hint="eastAsia" w:ascii="宋体" w:hAnsi="宋体" w:cs="宋体"/>
          <w:szCs w:val="21"/>
        </w:rPr>
        <w:t>中支付相关费用：</w:t>
      </w:r>
    </w:p>
    <w:p>
      <w:pPr>
        <w:spacing w:line="360" w:lineRule="auto"/>
        <w:ind w:firstLine="420" w:firstLineChars="200"/>
        <w:rPr>
          <w:rFonts w:hint="eastAsia" w:ascii="宋体" w:hAnsi="宋体" w:cs="宋体"/>
          <w:szCs w:val="21"/>
        </w:rPr>
      </w:pPr>
      <w:r>
        <w:rPr>
          <w:rFonts w:hint="eastAsia" w:ascii="宋体" w:hAnsi="宋体" w:cs="宋体"/>
          <w:szCs w:val="21"/>
        </w:rPr>
        <w:t>（1）乙方发生人身伤亡事故或其它安全生产事故后，不采取有效处置措施并支付费用的。</w:t>
      </w:r>
    </w:p>
    <w:p>
      <w:pPr>
        <w:spacing w:line="360" w:lineRule="auto"/>
        <w:ind w:firstLine="420" w:firstLineChars="200"/>
        <w:rPr>
          <w:rFonts w:hint="eastAsia" w:ascii="宋体" w:hAnsi="宋体" w:cs="宋体"/>
          <w:szCs w:val="21"/>
        </w:rPr>
      </w:pPr>
      <w:r>
        <w:rPr>
          <w:rFonts w:hint="eastAsia" w:ascii="宋体" w:hAnsi="宋体" w:cs="宋体"/>
          <w:szCs w:val="21"/>
        </w:rPr>
        <w:t>（2）乙方受到政府部门行政处罚未及时处理的。</w:t>
      </w:r>
    </w:p>
    <w:p>
      <w:pPr>
        <w:spacing w:line="360" w:lineRule="auto"/>
        <w:ind w:firstLine="420" w:firstLineChars="200"/>
        <w:rPr>
          <w:rFonts w:hint="eastAsia" w:ascii="宋体" w:hAnsi="宋体" w:cs="宋体"/>
          <w:szCs w:val="21"/>
        </w:rPr>
      </w:pPr>
      <w:r>
        <w:rPr>
          <w:rFonts w:hint="eastAsia" w:ascii="宋体" w:hAnsi="宋体" w:cs="宋体"/>
          <w:szCs w:val="21"/>
        </w:rPr>
        <w:t>（3）甲方或监理单位对乙方进行安全考核的。</w:t>
      </w:r>
    </w:p>
    <w:p>
      <w:pPr>
        <w:spacing w:line="360" w:lineRule="auto"/>
        <w:ind w:firstLine="420" w:firstLineChars="200"/>
        <w:rPr>
          <w:rFonts w:hint="eastAsia" w:ascii="宋体" w:hAnsi="宋体" w:cs="宋体"/>
          <w:szCs w:val="21"/>
        </w:rPr>
      </w:pPr>
      <w:r>
        <w:rPr>
          <w:rFonts w:hint="eastAsia" w:ascii="宋体" w:hAnsi="宋体" w:cs="宋体"/>
          <w:szCs w:val="21"/>
        </w:rPr>
        <w:t>如果安全文明施工保障</w:t>
      </w:r>
      <w:r>
        <w:rPr>
          <w:rFonts w:hint="eastAsia" w:ascii="宋体" w:hAnsi="宋体" w:cs="宋体"/>
          <w:szCs w:val="21"/>
          <w:lang w:val="en-US" w:eastAsia="zh-CN"/>
        </w:rPr>
        <w:t>费用</w:t>
      </w:r>
      <w:r>
        <w:rPr>
          <w:rFonts w:hint="eastAsia" w:ascii="宋体" w:hAnsi="宋体" w:cs="宋体"/>
          <w:szCs w:val="21"/>
        </w:rPr>
        <w:t>剩余金额低于应提取金额50%，甲方在支付下一次工程进度款时补足相应数额。</w:t>
      </w:r>
    </w:p>
    <w:p>
      <w:pPr>
        <w:spacing w:line="360" w:lineRule="auto"/>
        <w:ind w:firstLine="420" w:firstLineChars="200"/>
        <w:rPr>
          <w:rFonts w:hint="eastAsia" w:ascii="仿宋" w:hAnsi="仿宋" w:eastAsia="仿宋" w:cs="仿宋"/>
          <w:color w:val="auto"/>
          <w:sz w:val="24"/>
          <w:szCs w:val="24"/>
        </w:rPr>
      </w:pPr>
      <w:r>
        <w:rPr>
          <w:rFonts w:hint="eastAsia" w:ascii="宋体" w:hAnsi="宋体" w:cs="宋体"/>
          <w:szCs w:val="21"/>
          <w:highlight w:val="none"/>
          <w:lang w:eastAsia="zh-CN"/>
        </w:rPr>
        <w:t>（</w:t>
      </w:r>
      <w:r>
        <w:rPr>
          <w:rFonts w:hint="eastAsia" w:ascii="宋体" w:hAnsi="宋体" w:cs="宋体"/>
          <w:szCs w:val="21"/>
          <w:highlight w:val="none"/>
          <w:lang w:val="en-US" w:eastAsia="zh-CN"/>
        </w:rPr>
        <w:t>三</w:t>
      </w:r>
      <w:r>
        <w:rPr>
          <w:rFonts w:hint="eastAsia" w:ascii="宋体" w:hAnsi="宋体" w:cs="宋体"/>
          <w:szCs w:val="21"/>
          <w:highlight w:val="none"/>
          <w:lang w:eastAsia="zh-CN"/>
        </w:rPr>
        <w:t>）</w:t>
      </w:r>
      <w:r>
        <w:rPr>
          <w:rFonts w:hint="eastAsia" w:ascii="宋体" w:hAnsi="宋体" w:cs="宋体"/>
          <w:szCs w:val="21"/>
          <w:highlight w:val="none"/>
        </w:rPr>
        <w:t>工程完工后，乙方凭甲方</w:t>
      </w:r>
      <w:r>
        <w:rPr>
          <w:rFonts w:hint="eastAsia" w:ascii="宋体" w:hAnsi="宋体" w:cs="宋体"/>
          <w:szCs w:val="21"/>
          <w:highlight w:val="none"/>
          <w:lang w:val="en-US" w:eastAsia="zh-CN"/>
        </w:rPr>
        <w:t>项目</w:t>
      </w:r>
      <w:r>
        <w:rPr>
          <w:rFonts w:hint="eastAsia" w:ascii="宋体" w:hAnsi="宋体" w:cs="宋体"/>
          <w:szCs w:val="21"/>
          <w:highlight w:val="none"/>
        </w:rPr>
        <w:t>管理部门确认的考核结果办理安全文明施工保障</w:t>
      </w:r>
      <w:r>
        <w:rPr>
          <w:rFonts w:hint="eastAsia" w:ascii="宋体" w:hAnsi="宋体" w:cs="宋体"/>
          <w:szCs w:val="21"/>
          <w:highlight w:val="none"/>
          <w:lang w:val="en-US" w:eastAsia="zh-CN"/>
        </w:rPr>
        <w:t>费用</w:t>
      </w:r>
      <w:r>
        <w:rPr>
          <w:rFonts w:hint="eastAsia" w:ascii="宋体" w:hAnsi="宋体" w:cs="宋体"/>
          <w:szCs w:val="21"/>
          <w:highlight w:val="none"/>
        </w:rPr>
        <w:t>返还手续。如果发生的安全责任事故、行政处罚或安全考核都已处理完成，则将剩余的保障</w:t>
      </w:r>
      <w:r>
        <w:rPr>
          <w:rFonts w:hint="eastAsia" w:ascii="宋体" w:hAnsi="宋体" w:cs="宋体"/>
          <w:szCs w:val="21"/>
          <w:highlight w:val="none"/>
          <w:lang w:val="en-US" w:eastAsia="zh-CN"/>
        </w:rPr>
        <w:t>费用</w:t>
      </w:r>
      <w:r>
        <w:rPr>
          <w:rFonts w:hint="eastAsia" w:ascii="宋体" w:hAnsi="宋体" w:cs="宋体"/>
          <w:szCs w:val="21"/>
          <w:highlight w:val="none"/>
        </w:rPr>
        <w:t>返还给乙方</w:t>
      </w:r>
      <w:r>
        <w:rPr>
          <w:rFonts w:hint="eastAsia" w:ascii="宋体" w:hAnsi="宋体" w:cs="宋体"/>
          <w:szCs w:val="21"/>
          <w:highlight w:val="none"/>
          <w:lang w:eastAsia="zh-CN"/>
        </w:rPr>
        <w:t>，</w:t>
      </w:r>
      <w:r>
        <w:rPr>
          <w:rFonts w:hint="eastAsia" w:ascii="宋体" w:hAnsi="宋体" w:cs="宋体"/>
          <w:szCs w:val="21"/>
          <w:highlight w:val="none"/>
        </w:rPr>
        <w:t>否则甲方拒绝</w:t>
      </w:r>
      <w:r>
        <w:rPr>
          <w:rFonts w:hint="eastAsia" w:ascii="宋体" w:hAnsi="宋体" w:cs="宋体"/>
          <w:szCs w:val="21"/>
          <w:highlight w:val="none"/>
          <w:lang w:val="en-US" w:eastAsia="zh-CN"/>
        </w:rPr>
        <w:t>返还</w:t>
      </w:r>
      <w:r>
        <w:rPr>
          <w:rFonts w:hint="eastAsia" w:ascii="宋体" w:hAnsi="宋体" w:cs="宋体"/>
          <w:szCs w:val="21"/>
          <w:highlight w:val="none"/>
        </w:rPr>
        <w:t>。</w:t>
      </w:r>
    </w:p>
    <w:p>
      <w:pPr>
        <w:spacing w:line="360" w:lineRule="auto"/>
        <w:ind w:firstLine="482" w:firstLineChars="200"/>
        <w:rPr>
          <w:rFonts w:ascii="仿宋" w:hAnsi="仿宋" w:eastAsia="仿宋" w:cs="仿宋"/>
          <w:b/>
          <w:kern w:val="0"/>
          <w:sz w:val="24"/>
          <w:szCs w:val="24"/>
        </w:rPr>
      </w:pPr>
      <w:r>
        <w:rPr>
          <w:rFonts w:hint="eastAsia" w:ascii="仿宋" w:hAnsi="仿宋" w:eastAsia="仿宋" w:cs="仿宋"/>
          <w:b/>
          <w:kern w:val="0"/>
          <w:sz w:val="24"/>
          <w:szCs w:val="24"/>
          <w:lang w:val="en-US" w:eastAsia="zh-CN"/>
        </w:rPr>
        <w:t>五</w:t>
      </w:r>
      <w:r>
        <w:rPr>
          <w:rFonts w:hint="eastAsia" w:ascii="仿宋" w:hAnsi="仿宋" w:eastAsia="仿宋" w:cs="仿宋"/>
          <w:b/>
          <w:kern w:val="0"/>
          <w:sz w:val="24"/>
          <w:szCs w:val="24"/>
        </w:rPr>
        <w:t>、安全考核和奖励细则</w:t>
      </w:r>
    </w:p>
    <w:p>
      <w:pPr>
        <w:spacing w:line="400" w:lineRule="exact"/>
        <w:ind w:firstLine="360" w:firstLineChars="150"/>
        <w:rPr>
          <w:rFonts w:ascii="仿宋" w:hAnsi="仿宋" w:eastAsia="仿宋" w:cs="仿宋"/>
          <w:kern w:val="0"/>
          <w:sz w:val="24"/>
          <w:szCs w:val="24"/>
        </w:rPr>
      </w:pPr>
      <w:r>
        <w:rPr>
          <w:rFonts w:hint="eastAsia" w:ascii="仿宋" w:hAnsi="仿宋" w:eastAsia="仿宋" w:cs="仿宋"/>
          <w:kern w:val="0"/>
          <w:sz w:val="24"/>
          <w:szCs w:val="24"/>
        </w:rPr>
        <w:t>（一）考核细则</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1.同一外委施工人员第一次违章按考核标准进行考核；第二次违章除按考核标准进行考核外，违章人员停工1天进行安全学习；第三次违章将禁止入场施工。</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2.出现下列情况之一，甲方对乙方按照合同相关考核条款进行考核：</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1）乙方累计违章次数达到在场施工人数5%。</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2）乙方同一次违章人数超过3人。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3）乙方发生负有责任的人身伤害、火灾、环境污染或设备损坏等不安全事件。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4）乙方因未履行安全管理职责而导致施工人员违章的。</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5）甲方或监理单位提出的合理的整改建议未在规定期限内落实整改措施的。</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3.乙方违章次数达到施工总人数10%，情节严重且现场安全形势不可控的，由甲方安健环管理部门组织乙方全体施工人员安全学习半天；以后违章次数每增加5%，再次由甲方安健环管理部门组织乙方全体施工人员安全学习半天。</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4.实行工程总承包的建设项目，现场违章次数达到施工总人数10%，情节严重且现场安全形势不可控的，总承包单位组织所有施工人员集体停工学习半天，并将学习情况向甲方报告。</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5.考核条款：</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1）乙方项目负责人施工期间不在施工现场，且没有指定能胜任的人代替履行职责的，考核</w:t>
      </w:r>
      <w:r>
        <w:rPr>
          <w:rFonts w:ascii="仿宋" w:hAnsi="仿宋" w:eastAsia="仿宋" w:cs="仿宋"/>
          <w:sz w:val="24"/>
          <w:szCs w:val="24"/>
          <w:u w:val="single"/>
        </w:rPr>
        <w:t xml:space="preserve">   10000  </w:t>
      </w:r>
      <w:r>
        <w:rPr>
          <w:rFonts w:hint="eastAsia" w:ascii="仿宋" w:hAnsi="仿宋" w:eastAsia="仿宋" w:cs="仿宋"/>
          <w:sz w:val="24"/>
          <w:szCs w:val="24"/>
        </w:rPr>
        <w:t>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2）乙方施工前没有对施工人员进行安全交底和技术交底的，考核</w:t>
      </w:r>
      <w:r>
        <w:rPr>
          <w:rFonts w:ascii="仿宋" w:hAnsi="仿宋" w:eastAsia="仿宋" w:cs="仿宋"/>
          <w:sz w:val="24"/>
          <w:szCs w:val="24"/>
          <w:u w:val="single"/>
        </w:rPr>
        <w:t xml:space="preserve">   5000  </w:t>
      </w:r>
      <w:r>
        <w:rPr>
          <w:rFonts w:hint="eastAsia" w:ascii="仿宋" w:hAnsi="仿宋" w:eastAsia="仿宋" w:cs="仿宋"/>
          <w:sz w:val="24"/>
          <w:szCs w:val="24"/>
        </w:rPr>
        <w:t>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3）乙方对施工人员违章行为没有立即制止和纠正的，考核</w:t>
      </w:r>
      <w:r>
        <w:rPr>
          <w:rFonts w:ascii="仿宋" w:hAnsi="仿宋" w:eastAsia="仿宋" w:cs="仿宋"/>
          <w:sz w:val="24"/>
          <w:szCs w:val="24"/>
          <w:u w:val="single"/>
        </w:rPr>
        <w:t xml:space="preserve">  5000   </w:t>
      </w:r>
      <w:r>
        <w:rPr>
          <w:rFonts w:hint="eastAsia" w:ascii="仿宋" w:hAnsi="仿宋" w:eastAsia="仿宋" w:cs="仿宋"/>
          <w:sz w:val="24"/>
          <w:szCs w:val="24"/>
        </w:rPr>
        <w:t>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4）乙方没有办理开工手续就开始施工的，考核</w:t>
      </w:r>
      <w:r>
        <w:rPr>
          <w:rFonts w:ascii="仿宋" w:hAnsi="仿宋" w:eastAsia="仿宋" w:cs="仿宋"/>
          <w:sz w:val="24"/>
          <w:szCs w:val="24"/>
          <w:u w:val="single"/>
        </w:rPr>
        <w:t xml:space="preserve">  10000   </w:t>
      </w:r>
      <w:r>
        <w:rPr>
          <w:rFonts w:hint="eastAsia" w:ascii="仿宋" w:hAnsi="仿宋" w:eastAsia="仿宋" w:cs="仿宋"/>
          <w:sz w:val="24"/>
          <w:szCs w:val="24"/>
        </w:rPr>
        <w:t>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5）乙方发现重大安全隐患没有立即采取安全防范措施，并及时向甲方或监理报告的，考核</w:t>
      </w:r>
      <w:r>
        <w:rPr>
          <w:rFonts w:ascii="仿宋" w:hAnsi="仿宋" w:eastAsia="仿宋" w:cs="仿宋"/>
          <w:sz w:val="24"/>
          <w:szCs w:val="24"/>
          <w:u w:val="single"/>
        </w:rPr>
        <w:t xml:space="preserve">  10000   </w:t>
      </w:r>
      <w:r>
        <w:rPr>
          <w:rFonts w:hint="eastAsia" w:ascii="仿宋" w:hAnsi="仿宋" w:eastAsia="仿宋" w:cs="仿宋"/>
          <w:sz w:val="24"/>
          <w:szCs w:val="24"/>
        </w:rPr>
        <w:t>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6）监理或甲方安全管理人员提出的正确合理的整改意见在规定期限内没有落实整改措施的，考核</w:t>
      </w:r>
      <w:r>
        <w:rPr>
          <w:rFonts w:ascii="仿宋" w:hAnsi="仿宋" w:eastAsia="仿宋" w:cs="仿宋"/>
          <w:sz w:val="24"/>
          <w:szCs w:val="24"/>
          <w:u w:val="single"/>
        </w:rPr>
        <w:t xml:space="preserve">  10000   </w:t>
      </w:r>
      <w:r>
        <w:rPr>
          <w:rFonts w:hint="eastAsia" w:ascii="仿宋" w:hAnsi="仿宋" w:eastAsia="仿宋" w:cs="仿宋"/>
          <w:sz w:val="24"/>
          <w:szCs w:val="24"/>
        </w:rPr>
        <w:t>元。</w:t>
      </w:r>
    </w:p>
    <w:p>
      <w:pPr>
        <w:spacing w:line="400" w:lineRule="exact"/>
        <w:ind w:firstLine="482" w:firstLineChars="200"/>
        <w:rPr>
          <w:rFonts w:ascii="仿宋" w:hAnsi="仿宋" w:eastAsia="仿宋" w:cs="仿宋"/>
          <w:b/>
          <w:sz w:val="24"/>
          <w:szCs w:val="24"/>
        </w:rPr>
      </w:pPr>
      <w:r>
        <w:rPr>
          <w:rFonts w:hint="eastAsia" w:ascii="仿宋" w:hAnsi="仿宋" w:eastAsia="仿宋" w:cs="仿宋"/>
          <w:b/>
          <w:kern w:val="0"/>
          <w:sz w:val="24"/>
          <w:szCs w:val="24"/>
          <w:lang w:val="en-US" w:eastAsia="zh-CN"/>
        </w:rPr>
        <w:t>六</w:t>
      </w:r>
      <w:r>
        <w:rPr>
          <w:rFonts w:hint="eastAsia" w:ascii="仿宋" w:hAnsi="仿宋" w:eastAsia="仿宋" w:cs="仿宋"/>
          <w:b/>
          <w:kern w:val="0"/>
          <w:sz w:val="24"/>
          <w:szCs w:val="24"/>
        </w:rPr>
        <w:t>、不安全事件报告及处理</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 xml:space="preserve">1.工程发生不安全事件时，属乙方负责，由乙方组织调查、分析和处理，甲方应给予配合，乙方应将结论书面报甲方安健环管理部门；发生影响或损失较大的不安全事件时，可由甲方组织调查、分析和处理。 </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t xml:space="preserve"> </w:t>
      </w:r>
      <w:r>
        <w:rPr>
          <w:rFonts w:hint="eastAsia" w:ascii="仿宋" w:hAnsi="仿宋" w:eastAsia="仿宋" w:cs="仿宋"/>
          <w:sz w:val="24"/>
          <w:szCs w:val="24"/>
        </w:rPr>
        <w:t>乙方在施工过程中发生一般及以上生产安全事故，乙方应在</w:t>
      </w:r>
      <w:r>
        <w:rPr>
          <w:rFonts w:ascii="仿宋" w:hAnsi="仿宋" w:eastAsia="仿宋" w:cs="仿宋"/>
          <w:sz w:val="24"/>
          <w:szCs w:val="24"/>
        </w:rPr>
        <w:t xml:space="preserve">10分钟内向甲方单位电话报告、15 </w:t>
      </w:r>
      <w:r>
        <w:rPr>
          <w:rFonts w:hint="eastAsia" w:ascii="仿宋" w:hAnsi="仿宋" w:eastAsia="仿宋" w:cs="仿宋"/>
          <w:sz w:val="24"/>
          <w:szCs w:val="24"/>
        </w:rPr>
        <w:t>分钟内向甲方单位书面报告（手机短信、企业邮件、企业微信等方式），并及时续报处置进展情况；发生人身伤亡事故，乙方应按国家有关规定立即向属地政府安监部门报告，同时告知甲方；发生事故后，乙方</w:t>
      </w:r>
      <w:r>
        <w:rPr>
          <w:rFonts w:hint="eastAsia" w:ascii="仿宋" w:hAnsi="仿宋" w:eastAsia="仿宋" w:cs="仿宋"/>
          <w:bCs/>
          <w:sz w:val="24"/>
          <w:szCs w:val="24"/>
        </w:rPr>
        <w:t>应迅速组织抢救伤员和现场应急处置，派专人保护事故现场，</w:t>
      </w:r>
      <w:r>
        <w:rPr>
          <w:rFonts w:hint="eastAsia" w:ascii="仿宋" w:hAnsi="仿宋" w:eastAsia="仿宋" w:cs="仿宋"/>
          <w:sz w:val="24"/>
          <w:szCs w:val="24"/>
        </w:rPr>
        <w:t>积极配合并接受相应级别政府调查组调查处理，积极做好善后处理工作。</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3.因乙方发生不安全事件造成工程项目经济上的损失、工期延误等损失由乙方承担。</w:t>
      </w:r>
    </w:p>
    <w:p>
      <w:pPr>
        <w:spacing w:line="400" w:lineRule="exact"/>
        <w:ind w:firstLine="482" w:firstLineChars="200"/>
        <w:rPr>
          <w:rFonts w:ascii="仿宋" w:hAnsi="仿宋" w:eastAsia="仿宋" w:cs="仿宋"/>
          <w:b/>
          <w:kern w:val="0"/>
          <w:sz w:val="24"/>
          <w:szCs w:val="24"/>
        </w:rPr>
      </w:pPr>
      <w:r>
        <w:rPr>
          <w:rFonts w:hint="eastAsia" w:ascii="仿宋" w:hAnsi="仿宋" w:eastAsia="仿宋" w:cs="仿宋"/>
          <w:b/>
          <w:kern w:val="0"/>
          <w:sz w:val="24"/>
          <w:szCs w:val="24"/>
          <w:lang w:val="en-US" w:eastAsia="zh-CN"/>
        </w:rPr>
        <w:t>七</w:t>
      </w:r>
      <w:r>
        <w:rPr>
          <w:rFonts w:hint="eastAsia" w:ascii="仿宋" w:hAnsi="仿宋" w:eastAsia="仿宋" w:cs="仿宋"/>
          <w:b/>
          <w:kern w:val="0"/>
          <w:sz w:val="24"/>
          <w:szCs w:val="24"/>
        </w:rPr>
        <w:t>、附则</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1.本协议约定的各项条款，经双方签字、盖章后生效，与合同具有同等法律效力。因违反本协议造成的安全事故或环境影响事件，由违约方承担相应的法律责任和经济责任。</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2.本协议内容如与国家有关法律、法规和规定不一致，按照国家有关规定执行。</w:t>
      </w:r>
    </w:p>
    <w:p>
      <w:pPr>
        <w:adjustRightInd w:val="0"/>
        <w:snapToGrid w:val="0"/>
        <w:spacing w:line="360" w:lineRule="auto"/>
        <w:ind w:firstLine="480" w:firstLineChars="200"/>
        <w:rPr>
          <w:rFonts w:hint="eastAsia" w:ascii="仿宋" w:hAnsi="仿宋" w:eastAsia="仿宋" w:cs="仿宋"/>
          <w:sz w:val="24"/>
          <w:szCs w:val="24"/>
        </w:rPr>
      </w:pPr>
      <w:r>
        <w:rPr>
          <w:rFonts w:ascii="仿宋" w:hAnsi="仿宋" w:eastAsia="仿宋" w:cs="仿宋"/>
          <w:sz w:val="24"/>
          <w:szCs w:val="24"/>
        </w:rPr>
        <w:t>3.在协议有效期内，施工内容、范围发生变动，可能影响协议相关内容时，应及</w:t>
      </w:r>
      <w:r>
        <w:rPr>
          <w:rFonts w:hint="eastAsia" w:ascii="仿宋" w:hAnsi="仿宋" w:eastAsia="仿宋" w:cs="仿宋"/>
          <w:sz w:val="24"/>
          <w:szCs w:val="24"/>
        </w:rPr>
        <w:t>时签订补充协议。</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4.本协议一式  壹拾贰  份，甲方执 捌 份，乙方执 肆 份，具有同等法律效力。</w:t>
      </w:r>
    </w:p>
    <w:p>
      <w:pPr>
        <w:adjustRightInd w:val="0"/>
        <w:snapToGrid w:val="0"/>
        <w:spacing w:line="360" w:lineRule="auto"/>
        <w:ind w:firstLine="480" w:firstLineChars="200"/>
        <w:rPr>
          <w:rFonts w:hint="eastAsia" w:ascii="仿宋" w:hAnsi="仿宋" w:eastAsia="仿宋" w:cs="仿宋"/>
          <w:sz w:val="24"/>
          <w:szCs w:val="24"/>
        </w:rPr>
      </w:pPr>
    </w:p>
    <w:p>
      <w:pPr>
        <w:adjustRightInd w:val="0"/>
        <w:snapToGrid w:val="0"/>
        <w:spacing w:line="360" w:lineRule="auto"/>
        <w:ind w:firstLine="480" w:firstLineChars="200"/>
        <w:rPr>
          <w:rFonts w:hint="eastAsia" w:ascii="仿宋" w:hAnsi="仿宋" w:eastAsia="仿宋" w:cs="仿宋"/>
          <w:sz w:val="24"/>
          <w:szCs w:val="24"/>
        </w:rPr>
      </w:pP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发包人：（盖章）                承包人：（盖章）</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法定代表人：（签字）            法定代表人：（签字）</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（或委托代理人）：             （或委托代理人）：             </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   年    月   日                     年    月   日</w:t>
      </w:r>
    </w:p>
    <w:p/>
    <w:p>
      <w:pPr>
        <w:pStyle w:val="2"/>
        <w:ind w:left="0" w:leftChars="0" w:firstLine="0" w:firstLineChars="0"/>
        <w:rPr>
          <w:rFonts w:ascii="宋体" w:hAnsi="宋体" w:cs="宋体"/>
          <w:color w:val="auto"/>
          <w:highlight w:val="none"/>
        </w:rPr>
      </w:pPr>
    </w:p>
    <w:p/>
    <w:p>
      <w:pPr>
        <w:pStyle w:val="2"/>
      </w:pPr>
    </w:p>
    <w:p>
      <w:pPr>
        <w:pStyle w:val="2"/>
        <w:ind w:left="0" w:leftChars="0" w:firstLine="0" w:firstLineChars="0"/>
        <w:rPr>
          <w:rFonts w:ascii="宋体" w:hAnsi="宋体" w:cs="宋体"/>
          <w:color w:val="auto"/>
          <w:highlight w:val="none"/>
        </w:rPr>
      </w:pPr>
    </w:p>
    <w:sectPr>
      <w:footerReference r:id="rId26" w:type="default"/>
      <w:pgSz w:w="11906" w:h="16838"/>
      <w:pgMar w:top="1440" w:right="1559" w:bottom="1440" w:left="1559"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alisto MT">
    <w:altName w:val="Segoe Print"/>
    <w:panose1 w:val="02040603050505030304"/>
    <w:charset w:val="00"/>
    <w:family w:val="roman"/>
    <w:pitch w:val="default"/>
    <w:sig w:usb0="00000000" w:usb1="00000000" w:usb2="00000000" w:usb3="00000000" w:csb0="20000001"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Batang">
    <w:altName w:val="Malgun Gothic"/>
    <w:panose1 w:val="02030600000101010101"/>
    <w:charset w:val="81"/>
    <w:family w:val="roman"/>
    <w:pitch w:val="default"/>
    <w:sig w:usb0="00000000" w:usb1="00000000" w:usb2="00000030" w:usb3="00000000" w:csb0="4008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92"/>
      <w:jc w:val="right"/>
      <w:rPr>
        <w:rStyle w:val="43"/>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jc w:val="center"/>
                          </w:pPr>
                          <w:r>
                            <w:fldChar w:fldCharType="begin"/>
                          </w:r>
                          <w:r>
                            <w:rPr>
                              <w:rStyle w:val="43"/>
                            </w:rPr>
                            <w:instrText xml:space="preserve"> PAGE </w:instrText>
                          </w:r>
                          <w:r>
                            <w:fldChar w:fldCharType="separate"/>
                          </w:r>
                          <w:r>
                            <w:rPr>
                              <w:rStyle w:val="43"/>
                            </w:rPr>
                            <w:t>50</w:t>
                          </w:r>
                          <w: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DOFFZcQBAACPAwAADgAAAAAAAAABACAAAAAeAQAAZHJzL2Uyb0RvYy54bWxQ&#10;SwUGAAAAAAYABgBZAQAAVAUAAAAA&#10;">
              <v:fill on="f" focussize="0,0"/>
              <v:stroke on="f"/>
              <v:imagedata o:title=""/>
              <o:lock v:ext="edit" aspectratio="f"/>
              <v:textbox inset="0mm,0mm,0mm,0mm" style="mso-fit-shape-to-text:t;">
                <w:txbxContent>
                  <w:p>
                    <w:pPr>
                      <w:pStyle w:val="26"/>
                      <w:jc w:val="center"/>
                    </w:pPr>
                    <w:r>
                      <w:fldChar w:fldCharType="begin"/>
                    </w:r>
                    <w:r>
                      <w:rPr>
                        <w:rStyle w:val="43"/>
                      </w:rPr>
                      <w:instrText xml:space="preserve"> PAGE </w:instrText>
                    </w:r>
                    <w:r>
                      <w:fldChar w:fldCharType="separate"/>
                    </w:r>
                    <w:r>
                      <w:rPr>
                        <w:rStyle w:val="43"/>
                      </w:rPr>
                      <w:t>50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jc w:val="center"/>
                            <w:rPr>
                              <w:rStyle w:val="43"/>
                            </w:rPr>
                          </w:pPr>
                          <w:r>
                            <w:fldChar w:fldCharType="begin"/>
                          </w:r>
                          <w:r>
                            <w:rPr>
                              <w:rStyle w:val="43"/>
                            </w:rPr>
                            <w:instrText xml:space="preserve">PAGE  </w:instrText>
                          </w:r>
                          <w:r>
                            <w:fldChar w:fldCharType="separate"/>
                          </w:r>
                          <w:r>
                            <w:rPr>
                              <w:rStyle w:val="43"/>
                            </w:rPr>
                            <w:t>53</w:t>
                          </w:r>
                          <w:r>
                            <w:fldChar w:fldCharType="end"/>
                          </w:r>
                        </w:p>
                        <w:p>
                          <w:pPr>
                            <w:pStyle w:val="26"/>
                            <w:ind w:left="-4410" w:leftChars="-2100" w:right="-4439" w:rightChars="-2114"/>
                            <w:rPr>
                              <w:rStyle w:val="43"/>
                            </w:rPr>
                          </w:pPr>
                        </w:p>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TC9/xcQBAACPAwAADgAAAAAAAAABACAAAAAeAQAAZHJzL2Uyb0RvYy54bWxQ&#10;SwUGAAAAAAYABgBZAQAAVAUAAAAA&#10;">
              <v:fill on="f" focussize="0,0"/>
              <v:stroke on="f"/>
              <v:imagedata o:title=""/>
              <o:lock v:ext="edit" aspectratio="f"/>
              <v:textbox inset="0mm,0mm,0mm,0mm" style="mso-fit-shape-to-text:t;">
                <w:txbxContent>
                  <w:p>
                    <w:pPr>
                      <w:pStyle w:val="26"/>
                      <w:jc w:val="center"/>
                      <w:rPr>
                        <w:rStyle w:val="43"/>
                      </w:rPr>
                    </w:pPr>
                    <w:r>
                      <w:fldChar w:fldCharType="begin"/>
                    </w:r>
                    <w:r>
                      <w:rPr>
                        <w:rStyle w:val="43"/>
                      </w:rPr>
                      <w:instrText xml:space="preserve">PAGE  </w:instrText>
                    </w:r>
                    <w:r>
                      <w:fldChar w:fldCharType="separate"/>
                    </w:r>
                    <w:r>
                      <w:rPr>
                        <w:rStyle w:val="43"/>
                      </w:rPr>
                      <w:t>53</w:t>
                    </w:r>
                    <w:r>
                      <w:fldChar w:fldCharType="end"/>
                    </w:r>
                  </w:p>
                  <w:p>
                    <w:pPr>
                      <w:pStyle w:val="26"/>
                      <w:ind w:left="-4410" w:leftChars="-2100" w:right="-4439" w:rightChars="-2114"/>
                      <w:rPr>
                        <w:rStyle w:val="43"/>
                      </w:rPr>
                    </w:pPr>
                  </w:p>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jc w:val="center"/>
                          </w:pPr>
                          <w:r>
                            <w:fldChar w:fldCharType="begin"/>
                          </w:r>
                          <w:r>
                            <w:rPr>
                              <w:rStyle w:val="43"/>
                            </w:rPr>
                            <w:instrText xml:space="preserve"> PAGE </w:instrText>
                          </w:r>
                          <w:r>
                            <w:fldChar w:fldCharType="separate"/>
                          </w:r>
                          <w:r>
                            <w:rPr>
                              <w:rStyle w:val="43"/>
                            </w:rPr>
                            <w:t>50</w:t>
                          </w:r>
                          <w: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v5dVlwwEAAI8DAAAOAAAAAAAAAAEAIAAAAB4BAABkcnMvZTJvRG9jLnhtbFBL&#10;BQYAAAAABgAGAFkBAABTBQAAAAA=&#10;">
              <v:fill on="f" focussize="0,0"/>
              <v:stroke on="f"/>
              <v:imagedata o:title=""/>
              <o:lock v:ext="edit" aspectratio="f"/>
              <v:textbox inset="0mm,0mm,0mm,0mm" style="mso-fit-shape-to-text:t;">
                <w:txbxContent>
                  <w:p>
                    <w:pPr>
                      <w:pStyle w:val="26"/>
                      <w:jc w:val="center"/>
                    </w:pPr>
                    <w:r>
                      <w:fldChar w:fldCharType="begin"/>
                    </w:r>
                    <w:r>
                      <w:rPr>
                        <w:rStyle w:val="43"/>
                      </w:rPr>
                      <w:instrText xml:space="preserve"> PAGE </w:instrText>
                    </w:r>
                    <w:r>
                      <w:fldChar w:fldCharType="separate"/>
                    </w:r>
                    <w:r>
                      <w:rPr>
                        <w:rStyle w:val="43"/>
                      </w:rPr>
                      <w:t>50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p>
    <w:pPr>
      <w:pStyle w:val="2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jc w:val="center"/>
                          </w:pPr>
                          <w:r>
                            <w:fldChar w:fldCharType="begin"/>
                          </w:r>
                          <w:r>
                            <w:instrText xml:space="preserve">PAGE   \* MERGEFORMAT</w:instrText>
                          </w:r>
                          <w:r>
                            <w:fldChar w:fldCharType="separate"/>
                          </w:r>
                          <w:r>
                            <w:rPr>
                              <w:lang w:val="zh-CN"/>
                            </w:rPr>
                            <w:t>80</w:t>
                          </w:r>
                          <w:r>
                            <w:rPr>
                              <w:lang w:val="zh-CN"/>
                            </w:rP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keYJMMBAACPAwAADgAAAGRycy9lMm9Eb2MueG1srVPNjtMwEL4j8Q6W&#10;79TZagV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vURPHLY78/OP7+efv869v&#10;5E0WqA9QY959wMw0vPUDrs3sB3Rm3oOKNn+REcE4Qp0u8sohEZEfrZarVYUhgbH5gvjs4XmIkN5J&#10;b0k2GhpxfkVWfvwAaUydU3I15++0MWWGxv3jQMzsYbn3scdspWE3TIR2vj0hnx5H31CHm06Jee9Q&#10;WewvzUacjd1k5BoQbg8JC5d+MuoINRXDORVG007lRfj7XrIe/qP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CR5gkwwEAAI8DAAAOAAAAAAAAAAEAIAAAAB4BAABkcnMvZTJvRG9jLnhtbFBL&#10;BQYAAAAABgAGAFkBAABTBQAAAAA=&#10;">
              <v:fill on="f" focussize="0,0"/>
              <v:stroke on="f"/>
              <v:imagedata o:title=""/>
              <o:lock v:ext="edit" aspectratio="f"/>
              <v:textbox inset="0mm,0mm,0mm,0mm" style="mso-fit-shape-to-text:t;">
                <w:txbxContent>
                  <w:p>
                    <w:pPr>
                      <w:pStyle w:val="26"/>
                      <w:jc w:val="center"/>
                    </w:pPr>
                    <w:r>
                      <w:fldChar w:fldCharType="begin"/>
                    </w:r>
                    <w:r>
                      <w:instrText xml:space="preserve">PAGE   \* MERGEFORMAT</w:instrText>
                    </w:r>
                    <w:r>
                      <w:fldChar w:fldCharType="separate"/>
                    </w:r>
                    <w:r>
                      <w:rPr>
                        <w:lang w:val="zh-CN"/>
                      </w:rPr>
                      <w:t>80</w:t>
                    </w:r>
                    <w:r>
                      <w:rPr>
                        <w:lang w:val="zh-CN"/>
                      </w:rPr>
                      <w:fldChar w:fldCharType="end"/>
                    </w:r>
                  </w:p>
                </w:txbxContent>
              </v:textbox>
            </v:shape>
          </w:pict>
        </mc:Fallback>
      </mc:AlternateContent>
    </w:r>
  </w:p>
  <w:p>
    <w:pPr>
      <w:pStyle w:val="2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p>
    <w:pPr>
      <w:pStyle w:val="26"/>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3" name="文本框 4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6"/>
                            <w:jc w:val="center"/>
                          </w:pPr>
                          <w:r>
                            <w:fldChar w:fldCharType="begin"/>
                          </w:r>
                          <w:r>
                            <w:instrText xml:space="preserve">PAGE   \* MERGEFORMAT</w:instrText>
                          </w:r>
                          <w:r>
                            <w:fldChar w:fldCharType="separate"/>
                          </w:r>
                          <w:r>
                            <w:rPr>
                              <w:lang w:val="zh-CN"/>
                            </w:rPr>
                            <w:t>80</w:t>
                          </w:r>
                          <w:r>
                            <w:rPr>
                              <w:lang w:val="zh-CN"/>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N1RhyQEAAJ8DAAAOAAAAAAAAAAEAIAAAAB4BAABkcnMvZTJvRG9j&#10;LnhtbFBLBQYAAAAABgAGAFkBAABZBQAAAAA=&#10;">
              <v:fill on="f" focussize="0,0"/>
              <v:stroke on="f"/>
              <v:imagedata o:title=""/>
              <o:lock v:ext="edit" aspectratio="f"/>
              <v:textbox inset="0mm,0mm,0mm,0mm" style="mso-fit-shape-to-text:t;">
                <w:txbxContent>
                  <w:p>
                    <w:pPr>
                      <w:pStyle w:val="26"/>
                      <w:jc w:val="center"/>
                    </w:pPr>
                    <w:r>
                      <w:fldChar w:fldCharType="begin"/>
                    </w:r>
                    <w:r>
                      <w:instrText xml:space="preserve">PAGE   \* MERGEFORMAT</w:instrText>
                    </w:r>
                    <w:r>
                      <w:fldChar w:fldCharType="separate"/>
                    </w:r>
                    <w:r>
                      <w:rPr>
                        <w:lang w:val="zh-CN"/>
                      </w:rPr>
                      <w:t>80</w:t>
                    </w:r>
                    <w:r>
                      <w:rPr>
                        <w:lang w:val="zh-CN"/>
                      </w:rPr>
                      <w:fldChar w:fldCharType="end"/>
                    </w:r>
                  </w:p>
                </w:txbxContent>
              </v:textbox>
            </v:shape>
          </w:pict>
        </mc:Fallback>
      </mc:AlternateContent>
    </w:r>
  </w:p>
  <w:p>
    <w:pPr>
      <w:pStyle w:val="26"/>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p>
    <w:pPr>
      <w:pStyle w:val="26"/>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4" name="文本框 4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6"/>
                            <w:jc w:val="center"/>
                          </w:pPr>
                          <w:r>
                            <w:fldChar w:fldCharType="begin"/>
                          </w:r>
                          <w:r>
                            <w:instrText xml:space="preserve">PAGE   \* MERGEFORMAT</w:instrText>
                          </w:r>
                          <w:r>
                            <w:fldChar w:fldCharType="separate"/>
                          </w:r>
                          <w:r>
                            <w:rPr>
                              <w:lang w:val="zh-CN"/>
                            </w:rPr>
                            <w:t>80</w:t>
                          </w:r>
                          <w:r>
                            <w:rPr>
                              <w:lang w:val="zh-CN"/>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vSVxvIAQAAnwMAAA4AAAAAAAAAAQAgAAAAHgEAAGRycy9lMm9Eb2Mu&#10;eG1sUEsFBgAAAAAGAAYAWQEAAFgFAAAAAA==&#10;">
              <v:fill on="f" focussize="0,0"/>
              <v:stroke on="f"/>
              <v:imagedata o:title=""/>
              <o:lock v:ext="edit" aspectratio="f"/>
              <v:textbox inset="0mm,0mm,0mm,0mm" style="mso-fit-shape-to-text:t;">
                <w:txbxContent>
                  <w:p>
                    <w:pPr>
                      <w:pStyle w:val="26"/>
                      <w:jc w:val="center"/>
                    </w:pPr>
                    <w:r>
                      <w:fldChar w:fldCharType="begin"/>
                    </w:r>
                    <w:r>
                      <w:instrText xml:space="preserve">PAGE   \* MERGEFORMAT</w:instrText>
                    </w:r>
                    <w:r>
                      <w:fldChar w:fldCharType="separate"/>
                    </w:r>
                    <w:r>
                      <w:rPr>
                        <w:lang w:val="zh-CN"/>
                      </w:rPr>
                      <w:t>80</w:t>
                    </w:r>
                    <w:r>
                      <w:rPr>
                        <w:lang w:val="zh-CN"/>
                      </w:rPr>
                      <w:fldChar w:fldCharType="end"/>
                    </w:r>
                  </w:p>
                </w:txbxContent>
              </v:textbox>
            </v:shape>
          </w:pict>
        </mc:Fallback>
      </mc:AlternateContent>
    </w:r>
  </w:p>
  <w:p>
    <w:pPr>
      <w:pStyle w:val="26"/>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1" name="文本框 4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6"/>
                            <w:jc w:val="center"/>
                          </w:pPr>
                          <w:r>
                            <w:fldChar w:fldCharType="begin"/>
                          </w:r>
                          <w:r>
                            <w:instrText xml:space="preserve"> PAGE   \* MERGEFORMAT </w:instrText>
                          </w:r>
                          <w:r>
                            <w:fldChar w:fldCharType="separate"/>
                          </w:r>
                          <w:r>
                            <w:rPr>
                              <w:lang w:val="zh-CN"/>
                            </w:rPr>
                            <w:t>301</w:t>
                          </w:r>
                          <w:r>
                            <w:rPr>
                              <w:lang w:val="zh-CN"/>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q84RskBAACfAwAADgAAAGRycy9lMm9Eb2MueG1srVPNjtMwEL4j8Q6W&#10;7zRptU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7lZcuaEpSe//Ph++fn78usb&#10;S0GSqPdYUeW9p9o4vIWBFmeOIwUT86ENNn2JE6M8CXy+CqyGyGS6tF6t1yWlJOVmh/CLh+s+YHyn&#10;wLJk1DzQC2ZhxekDxrF0LkndHNxpY/IrGvdXgDDHiMprMN1OTMaJkxWH/TDR20NzJnY9rULNHW0+&#10;Z+a9I6XT1sxGmI39ZKSO6N8cI42Rp0uoIxSxSg69W+Y37VhajMd+rnr4r7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yrzhGyQEAAJ8DAAAOAAAAAAAAAAEAIAAAAB4BAABkcnMvZTJvRG9j&#10;LnhtbFBLBQYAAAAABgAGAFkBAABZBQAAAAA=&#10;">
              <v:fill on="f" focussize="0,0"/>
              <v:stroke on="f"/>
              <v:imagedata o:title=""/>
              <o:lock v:ext="edit" aspectratio="f"/>
              <v:textbox inset="0mm,0mm,0mm,0mm" style="mso-fit-shape-to-text:t;">
                <w:txbxContent>
                  <w:p>
                    <w:pPr>
                      <w:pStyle w:val="26"/>
                      <w:jc w:val="center"/>
                    </w:pPr>
                    <w:r>
                      <w:fldChar w:fldCharType="begin"/>
                    </w:r>
                    <w:r>
                      <w:instrText xml:space="preserve"> PAGE   \* MERGEFORMAT </w:instrText>
                    </w:r>
                    <w:r>
                      <w:fldChar w:fldCharType="separate"/>
                    </w:r>
                    <w:r>
                      <w:rPr>
                        <w:lang w:val="zh-CN"/>
                      </w:rPr>
                      <w:t>301</w:t>
                    </w:r>
                    <w:r>
                      <w:rPr>
                        <w:lang w:val="zh-CN"/>
                      </w:rPr>
                      <w:fldChar w:fldCharType="end"/>
                    </w:r>
                  </w:p>
                </w:txbxContent>
              </v:textbox>
            </v:shape>
          </w:pict>
        </mc:Fallback>
      </mc:AlternateContent>
    </w:r>
  </w:p>
  <w:p>
    <w:pPr>
      <w:pStyle w:val="2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6"/>
                            <w:jc w:val="center"/>
                          </w:pPr>
                          <w:r>
                            <w:fldChar w:fldCharType="begin"/>
                          </w:r>
                          <w:r>
                            <w:instrText xml:space="preserve"> PAGE   \* MERGEFORMAT </w:instrText>
                          </w:r>
                          <w:r>
                            <w:fldChar w:fldCharType="separate"/>
                          </w:r>
                          <w:r>
                            <w:rPr>
                              <w:lang w:val="zh-CN"/>
                            </w:rPr>
                            <w:t>301</w:t>
                          </w:r>
                          <w:r>
                            <w:rPr>
                              <w:lang w:val="zh-CN"/>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wXDx3FAQAAmwMAAA4AAAAAAAAAAQAgAAAAHgEAAGRycy9lMm9Eb2MueG1s&#10;UEsFBgAAAAAGAAYAWQEAAFUFAAAAAA==&#10;">
              <v:fill on="f" focussize="0,0"/>
              <v:stroke on="f"/>
              <v:imagedata o:title=""/>
              <o:lock v:ext="edit" aspectratio="f"/>
              <v:textbox inset="0mm,0mm,0mm,0mm" style="mso-fit-shape-to-text:t;">
                <w:txbxContent>
                  <w:p>
                    <w:pPr>
                      <w:pStyle w:val="26"/>
                      <w:jc w:val="center"/>
                    </w:pPr>
                    <w:r>
                      <w:fldChar w:fldCharType="begin"/>
                    </w:r>
                    <w:r>
                      <w:instrText xml:space="preserve"> PAGE   \* MERGEFORMAT </w:instrText>
                    </w:r>
                    <w:r>
                      <w:fldChar w:fldCharType="separate"/>
                    </w:r>
                    <w:r>
                      <w:rPr>
                        <w:lang w:val="zh-CN"/>
                      </w:rPr>
                      <w:t>301</w:t>
                    </w:r>
                    <w:r>
                      <w:rPr>
                        <w:lang w:val="zh-CN"/>
                      </w:rPr>
                      <w:fldChar w:fldCharType="end"/>
                    </w:r>
                  </w:p>
                </w:txbxContent>
              </v:textbox>
            </v:shape>
          </w:pict>
        </mc:Fallback>
      </mc:AlternateContent>
    </w:r>
  </w:p>
  <w:p>
    <w:pPr>
      <w:pStyle w:val="26"/>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jc w:val="center"/>
                          </w:pPr>
                          <w:r>
                            <w:fldChar w:fldCharType="begin"/>
                          </w:r>
                          <w:r>
                            <w:instrText xml:space="preserve"> PAGE   \* MERGEFORMAT </w:instrText>
                          </w:r>
                          <w:r>
                            <w:fldChar w:fldCharType="separate"/>
                          </w:r>
                          <w:r>
                            <w:rPr>
                              <w:lang w:val="zh-CN"/>
                            </w:rPr>
                            <w:t>301</w:t>
                          </w:r>
                          <w:r>
                            <w:rPr>
                              <w:lang w:val="zh-CN"/>
                            </w:rPr>
                            <w:fldChar w:fldCharType="end"/>
                          </w:r>
                        </w:p>
                      </w:txbxContent>
                    </wps:txbx>
                    <wps:bodyPr wrap="none" lIns="0" tIns="0" rIns="0" bIns="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A1ZVPMEBAACNAwAADgAAAAAAAAABACAAAAAeAQAAZHJzL2Uyb0RvYy54bWxQSwUG&#10;AAAAAAYABgBZAQAAUQUAAAAA&#10;">
              <v:fill on="f" focussize="0,0"/>
              <v:stroke on="f"/>
              <v:imagedata o:title=""/>
              <o:lock v:ext="edit" aspectratio="f"/>
              <v:textbox inset="0mm,0mm,0mm,0mm" style="mso-fit-shape-to-text:t;">
                <w:txbxContent>
                  <w:p>
                    <w:pPr>
                      <w:pStyle w:val="26"/>
                      <w:jc w:val="center"/>
                    </w:pPr>
                    <w:r>
                      <w:fldChar w:fldCharType="begin"/>
                    </w:r>
                    <w:r>
                      <w:instrText xml:space="preserve"> PAGE   \* MERGEFORMAT </w:instrText>
                    </w:r>
                    <w:r>
                      <w:fldChar w:fldCharType="separate"/>
                    </w:r>
                    <w:r>
                      <w:rPr>
                        <w:lang w:val="zh-CN"/>
                      </w:rPr>
                      <w:t>301</w:t>
                    </w:r>
                    <w:r>
                      <w:rPr>
                        <w:lang w:val="zh-CN"/>
                      </w:rPr>
                      <w:fldChar w:fldCharType="end"/>
                    </w:r>
                  </w:p>
                </w:txbxContent>
              </v:textbox>
            </v:shape>
          </w:pict>
        </mc:Fallback>
      </mc:AlternateContent>
    </w: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92"/>
      <w:rPr>
        <w:rStyle w:val="43"/>
      </w:rPr>
    </w:pPr>
    <w:r>
      <w:fldChar w:fldCharType="begin"/>
    </w:r>
    <w:r>
      <w:rPr>
        <w:rStyle w:val="43"/>
      </w:rPr>
      <w:instrText xml:space="preserve">PAGE  </w:instrText>
    </w:r>
    <w:r>
      <w:fldChar w:fldCharType="separate"/>
    </w:r>
    <w:r>
      <w:rPr>
        <w:rStyle w:val="43"/>
        <w:rFonts w:hint="eastAsia"/>
      </w:rPr>
      <w:t>一</w:t>
    </w:r>
    <w:r>
      <w:rPr>
        <w:rStyle w:val="43"/>
      </w:rPr>
      <w:t>–2</w:t>
    </w:r>
    <w:r>
      <w:fldChar w:fldCharType="end"/>
    </w:r>
  </w:p>
  <w:p>
    <w:pPr>
      <w:pStyle w:val="26"/>
      <w:ind w:firstLine="392"/>
    </w:pPr>
    <w:r>
      <w:rPr>
        <w:kern w:val="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9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92"/>
      <w:jc w:val="right"/>
      <w:rPr>
        <w:rStyle w:val="43"/>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92"/>
      <w:jc w:val="right"/>
      <w:rPr>
        <w:rStyle w:val="43"/>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ind w:firstLine="392"/>
                            <w:jc w:val="right"/>
                          </w:pPr>
                          <w:r>
                            <w:fldChar w:fldCharType="begin"/>
                          </w:r>
                          <w:r>
                            <w:rPr>
                              <w:rStyle w:val="43"/>
                            </w:rPr>
                            <w:instrText xml:space="preserve">PAGE  </w:instrText>
                          </w:r>
                          <w:r>
                            <w:fldChar w:fldCharType="separate"/>
                          </w:r>
                          <w:r>
                            <w:rPr>
                              <w:rStyle w:val="43"/>
                            </w:rPr>
                            <w:t>49</w:t>
                          </w:r>
                          <w: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LhaXcMBAACPAwAADgAAAGRycy9lMm9Eb2MueG1srVPNjtMwEL4j8Q6W&#10;79TZakF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vcfCOWxz5+cf388/f51/f&#10;yOssUB+gxrz7gJlpeOsHXJvZD+jMvAcVbf4iI4JxlPd0kVcOiYj8aLVcrSoMCYzNF8RnD89DhPRO&#10;ekuy0dCI8yuy8uMHSGPqnJKrOX+njSkzNO4fB2JmD8u9jz1mKw27YSK08+0J+fQ4+oY63HRKzHuH&#10;yuYtmY04G7vJyDUg3B4SFi79ZNQRaiqGcyqMpp3Ki/D3vWQ9/Ee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QuFpdwwEAAI8DAAAOAAAAAAAAAAEAIAAAAB4BAABkcnMvZTJvRG9jLnhtbFBL&#10;BQYAAAAABgAGAFkBAABTBQAAAAA=&#10;">
              <v:fill on="f" focussize="0,0"/>
              <v:stroke on="f"/>
              <v:imagedata o:title=""/>
              <o:lock v:ext="edit" aspectratio="f"/>
              <v:textbox inset="0mm,0mm,0mm,0mm" style="mso-fit-shape-to-text:t;">
                <w:txbxContent>
                  <w:p>
                    <w:pPr>
                      <w:pStyle w:val="26"/>
                      <w:ind w:firstLine="392"/>
                      <w:jc w:val="right"/>
                    </w:pPr>
                    <w:r>
                      <w:fldChar w:fldCharType="begin"/>
                    </w:r>
                    <w:r>
                      <w:rPr>
                        <w:rStyle w:val="43"/>
                      </w:rPr>
                      <w:instrText xml:space="preserve">PAGE  </w:instrText>
                    </w:r>
                    <w:r>
                      <w:fldChar w:fldCharType="separate"/>
                    </w:r>
                    <w:r>
                      <w:rPr>
                        <w:rStyle w:val="43"/>
                      </w:rPr>
                      <w:t>49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92"/>
      <w:jc w:val="right"/>
      <w:rPr>
        <w:rStyle w:val="43"/>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ind w:firstLine="392"/>
                            <w:jc w:val="right"/>
                          </w:pPr>
                          <w:r>
                            <w:fldChar w:fldCharType="begin"/>
                          </w:r>
                          <w:r>
                            <w:rPr>
                              <w:rStyle w:val="43"/>
                            </w:rPr>
                            <w:instrText xml:space="preserve">PAGE  </w:instrText>
                          </w:r>
                          <w:r>
                            <w:fldChar w:fldCharType="separate"/>
                          </w:r>
                          <w:r>
                            <w:rPr>
                              <w:rStyle w:val="43"/>
                            </w:rPr>
                            <w:t>49</w:t>
                          </w:r>
                          <w: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py8xUMQBAACPAwAADgAAAAAAAAABACAAAAAeAQAAZHJzL2Uyb0RvYy54bWxQ&#10;SwUGAAAAAAYABgBZAQAAVAUAAAAA&#10;">
              <v:fill on="f" focussize="0,0"/>
              <v:stroke on="f"/>
              <v:imagedata o:title=""/>
              <o:lock v:ext="edit" aspectratio="f"/>
              <v:textbox inset="0mm,0mm,0mm,0mm" style="mso-fit-shape-to-text:t;">
                <w:txbxContent>
                  <w:p>
                    <w:pPr>
                      <w:pStyle w:val="26"/>
                      <w:ind w:firstLine="392"/>
                      <w:jc w:val="right"/>
                    </w:pPr>
                    <w:r>
                      <w:fldChar w:fldCharType="begin"/>
                    </w:r>
                    <w:r>
                      <w:rPr>
                        <w:rStyle w:val="43"/>
                      </w:rPr>
                      <w:instrText xml:space="preserve">PAGE  </w:instrText>
                    </w:r>
                    <w:r>
                      <w:fldChar w:fldCharType="separate"/>
                    </w:r>
                    <w:r>
                      <w:rPr>
                        <w:rStyle w:val="43"/>
                      </w:rPr>
                      <w:t>49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9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ind w:firstLine="392"/>
                          </w:pPr>
                          <w:r>
                            <w:fldChar w:fldCharType="begin"/>
                          </w:r>
                          <w:r>
                            <w:rPr>
                              <w:rStyle w:val="43"/>
                            </w:rPr>
                            <w:instrText xml:space="preserve"> PAGE </w:instrText>
                          </w:r>
                          <w:r>
                            <w:fldChar w:fldCharType="separate"/>
                          </w:r>
                          <w:r>
                            <w:rPr>
                              <w:rStyle w:val="43"/>
                            </w:rPr>
                            <w:t>48</w:t>
                          </w:r>
                          <w: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uiIzG8QBAACPAwAADgAAAAAAAAABACAAAAAeAQAAZHJzL2Uyb0RvYy54bWxQ&#10;SwUGAAAAAAYABgBZAQAAVAUAAAAA&#10;">
              <v:fill on="f" focussize="0,0"/>
              <v:stroke on="f"/>
              <v:imagedata o:title=""/>
              <o:lock v:ext="edit" aspectratio="f"/>
              <v:textbox inset="0mm,0mm,0mm,0mm" style="mso-fit-shape-to-text:t;">
                <w:txbxContent>
                  <w:p>
                    <w:pPr>
                      <w:pStyle w:val="26"/>
                      <w:ind w:firstLine="392"/>
                    </w:pPr>
                    <w:r>
                      <w:fldChar w:fldCharType="begin"/>
                    </w:r>
                    <w:r>
                      <w:rPr>
                        <w:rStyle w:val="43"/>
                      </w:rPr>
                      <w:instrText xml:space="preserve"> PAGE </w:instrText>
                    </w:r>
                    <w:r>
                      <w:fldChar w:fldCharType="separate"/>
                    </w:r>
                    <w:r>
                      <w:rPr>
                        <w:rStyle w:val="43"/>
                      </w:rPr>
                      <w:t>48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jc w:val="center"/>
                            <w:rPr>
                              <w:rStyle w:val="43"/>
                            </w:rPr>
                          </w:pPr>
                          <w:r>
                            <w:fldChar w:fldCharType="begin"/>
                          </w:r>
                          <w:r>
                            <w:rPr>
                              <w:rStyle w:val="43"/>
                            </w:rPr>
                            <w:instrText xml:space="preserve">PAGE  </w:instrText>
                          </w:r>
                          <w:r>
                            <w:fldChar w:fldCharType="separate"/>
                          </w:r>
                          <w:r>
                            <w:rPr>
                              <w:rStyle w:val="43"/>
                            </w:rPr>
                            <w:t>53</w:t>
                          </w:r>
                          <w:r>
                            <w:fldChar w:fldCharType="end"/>
                          </w:r>
                        </w:p>
                        <w:p>
                          <w:pPr>
                            <w:pStyle w:val="26"/>
                            <w:ind w:left="-4410" w:leftChars="-2100" w:right="-4439" w:rightChars="-2114"/>
                            <w:rPr>
                              <w:rStyle w:val="43"/>
                            </w:rPr>
                          </w:pPr>
                        </w:p>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VU1dycQBAACPAwAADgAAAAAAAAABACAAAAAeAQAAZHJzL2Uyb0RvYy54bWxQ&#10;SwUGAAAAAAYABgBZAQAAVAUAAAAA&#10;">
              <v:fill on="f" focussize="0,0"/>
              <v:stroke on="f"/>
              <v:imagedata o:title=""/>
              <o:lock v:ext="edit" aspectratio="f"/>
              <v:textbox inset="0mm,0mm,0mm,0mm" style="mso-fit-shape-to-text:t;">
                <w:txbxContent>
                  <w:p>
                    <w:pPr>
                      <w:pStyle w:val="26"/>
                      <w:jc w:val="center"/>
                      <w:rPr>
                        <w:rStyle w:val="43"/>
                      </w:rPr>
                    </w:pPr>
                    <w:r>
                      <w:fldChar w:fldCharType="begin"/>
                    </w:r>
                    <w:r>
                      <w:rPr>
                        <w:rStyle w:val="43"/>
                      </w:rPr>
                      <w:instrText xml:space="preserve">PAGE  </w:instrText>
                    </w:r>
                    <w:r>
                      <w:fldChar w:fldCharType="separate"/>
                    </w:r>
                    <w:r>
                      <w:rPr>
                        <w:rStyle w:val="43"/>
                      </w:rPr>
                      <w:t>53</w:t>
                    </w:r>
                    <w:r>
                      <w:fldChar w:fldCharType="end"/>
                    </w:r>
                  </w:p>
                  <w:p>
                    <w:pPr>
                      <w:pStyle w:val="26"/>
                      <w:ind w:left="-4410" w:leftChars="-2100" w:right="-4439" w:rightChars="-2114"/>
                      <w:rPr>
                        <w:rStyle w:val="43"/>
                      </w:rPr>
                    </w:pPr>
                  </w:p>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outside" w:y="1"/>
      <w:rPr>
        <w:rStyle w:val="43"/>
      </w:rPr>
    </w:pPr>
    <w:r>
      <w:fldChar w:fldCharType="begin"/>
    </w:r>
    <w:r>
      <w:rPr>
        <w:rStyle w:val="43"/>
      </w:rPr>
      <w:instrText xml:space="preserve">PAGE  </w:instrText>
    </w:r>
    <w:r>
      <w:fldChar w:fldCharType="separate"/>
    </w:r>
    <w:r>
      <w:rPr>
        <w:rStyle w:val="43"/>
        <w:rFonts w:hint="eastAsia"/>
      </w:rPr>
      <w:t>一</w:t>
    </w:r>
    <w:r>
      <w:rPr>
        <w:rStyle w:val="43"/>
      </w:rPr>
      <w:t>–2</w:t>
    </w:r>
    <w:r>
      <w:fldChar w:fldCharType="end"/>
    </w:r>
  </w:p>
  <w:p>
    <w:pPr>
      <w:pStyle w:val="26"/>
      <w:ind w:right="360" w:firstLine="360"/>
      <w:jc w:val="center"/>
    </w:pPr>
    <w:r>
      <w:rPr>
        <w:kern w:val="0"/>
        <w:sz w:val="20"/>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ind w:firstLine="39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92"/>
    </w:pPr>
    <w:r>
      <w:rPr>
        <w:rFonts w:hint="eastAsia"/>
      </w:rPr>
      <w:t>横枝岗路道路排水改造工程招标文件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i/>
        <w:iCs/>
      </w:rPr>
    </w:pPr>
    <w:r>
      <w:rPr>
        <w:rFonts w:hint="eastAsia"/>
        <w:i/>
        <w:iCs/>
      </w:rPr>
      <w:t>横枝岗路道路排水改造工程招标文件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right"/>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EBD8E"/>
    <w:multiLevelType w:val="singleLevel"/>
    <w:tmpl w:val="81EEBD8E"/>
    <w:lvl w:ilvl="0" w:tentative="0">
      <w:start w:val="1"/>
      <w:numFmt w:val="decimal"/>
      <w:suff w:val="nothing"/>
      <w:lvlText w:val="%1、"/>
      <w:lvlJc w:val="left"/>
    </w:lvl>
  </w:abstractNum>
  <w:abstractNum w:abstractNumId="1">
    <w:nsid w:val="A22B3723"/>
    <w:multiLevelType w:val="singleLevel"/>
    <w:tmpl w:val="A22B3723"/>
    <w:lvl w:ilvl="0" w:tentative="0">
      <w:start w:val="1"/>
      <w:numFmt w:val="decimal"/>
      <w:suff w:val="space"/>
      <w:lvlText w:val="%1."/>
      <w:lvlJc w:val="left"/>
    </w:lvl>
  </w:abstractNum>
  <w:abstractNum w:abstractNumId="2">
    <w:nsid w:val="C3DBCBC3"/>
    <w:multiLevelType w:val="singleLevel"/>
    <w:tmpl w:val="C3DBCBC3"/>
    <w:lvl w:ilvl="0" w:tentative="0">
      <w:start w:val="1"/>
      <w:numFmt w:val="decimal"/>
      <w:suff w:val="space"/>
      <w:lvlText w:val="%1."/>
      <w:lvlJc w:val="left"/>
    </w:lvl>
  </w:abstractNum>
  <w:abstractNum w:abstractNumId="3">
    <w:nsid w:val="DC44F678"/>
    <w:multiLevelType w:val="singleLevel"/>
    <w:tmpl w:val="DC44F678"/>
    <w:lvl w:ilvl="0" w:tentative="0">
      <w:start w:val="2"/>
      <w:numFmt w:val="decimal"/>
      <w:suff w:val="nothing"/>
      <w:lvlText w:val="（%1）"/>
      <w:lvlJc w:val="left"/>
    </w:lvl>
  </w:abstractNum>
  <w:abstractNum w:abstractNumId="4">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B044B62"/>
    <w:multiLevelType w:val="multilevel"/>
    <w:tmpl w:val="0B044B6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EF61F1C"/>
    <w:multiLevelType w:val="multilevel"/>
    <w:tmpl w:val="0EF61F1C"/>
    <w:lvl w:ilvl="0" w:tentative="0">
      <w:start w:val="1"/>
      <w:numFmt w:val="decimal"/>
      <w:lvlText w:val="（%1）"/>
      <w:lvlJc w:val="left"/>
      <w:pPr>
        <w:tabs>
          <w:tab w:val="left" w:pos="960"/>
        </w:tabs>
        <w:ind w:left="96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259905B5"/>
    <w:multiLevelType w:val="multilevel"/>
    <w:tmpl w:val="259905B5"/>
    <w:lvl w:ilvl="0" w:tentative="0">
      <w:start w:val="1"/>
      <w:numFmt w:val="chineseCountingThousand"/>
      <w:pStyle w:val="66"/>
      <w:suff w:val="space"/>
      <w:lvlText w:val="第%1章"/>
      <w:lvlJc w:val="left"/>
      <w:pPr>
        <w:ind w:left="567" w:hanging="279"/>
      </w:pPr>
      <w:rPr>
        <w:rFonts w:hint="eastAsia" w:ascii="宋体" w:eastAsia="宋体" w:cs="Times New Roman"/>
        <w:b/>
        <w:i w:val="0"/>
        <w:spacing w:val="0"/>
        <w:position w:val="0"/>
        <w:sz w:val="44"/>
      </w:rPr>
    </w:lvl>
    <w:lvl w:ilvl="1" w:tentative="0">
      <w:start w:val="1"/>
      <w:numFmt w:val="decimal"/>
      <w:suff w:val="space"/>
      <w:lvlText w:val="%2."/>
      <w:lvlJc w:val="left"/>
      <w:pPr>
        <w:ind w:left="454" w:hanging="454"/>
      </w:pPr>
      <w:rPr>
        <w:rFonts w:hint="eastAsia" w:ascii="宋体" w:eastAsia="宋体" w:cs="Times New Roman"/>
        <w:b/>
        <w:i w:val="0"/>
        <w:sz w:val="32"/>
      </w:rPr>
    </w:lvl>
    <w:lvl w:ilvl="2" w:tentative="0">
      <w:start w:val="1"/>
      <w:numFmt w:val="decimal"/>
      <w:suff w:val="space"/>
      <w:lvlText w:val="%2.%3"/>
      <w:lvlJc w:val="left"/>
      <w:pPr>
        <w:ind w:left="454" w:hanging="454"/>
      </w:pPr>
      <w:rPr>
        <w:rFonts w:hint="eastAsia" w:ascii="宋体" w:eastAsia="宋体" w:cs="Times New Roman"/>
        <w:b/>
        <w:i w:val="0"/>
        <w:sz w:val="28"/>
      </w:rPr>
    </w:lvl>
    <w:lvl w:ilvl="3" w:tentative="0">
      <w:start w:val="1"/>
      <w:numFmt w:val="decimal"/>
      <w:pStyle w:val="8"/>
      <w:suff w:val="space"/>
      <w:lvlText w:val="%2.%3.%4"/>
      <w:lvlJc w:val="left"/>
      <w:pPr>
        <w:ind w:left="284" w:hanging="284"/>
      </w:pPr>
      <w:rPr>
        <w:rFonts w:hint="eastAsia" w:ascii="宋体" w:eastAsia="宋体" w:cs="Times New Roman"/>
        <w:b/>
        <w:i w:val="0"/>
        <w:sz w:val="28"/>
      </w:rPr>
    </w:lvl>
    <w:lvl w:ilvl="4" w:tentative="0">
      <w:start w:val="1"/>
      <w:numFmt w:val="decimal"/>
      <w:pStyle w:val="10"/>
      <w:isLgl/>
      <w:suff w:val="space"/>
      <w:lvlText w:val="%2.%3.%4.%5"/>
      <w:lvlJc w:val="left"/>
      <w:pPr>
        <w:ind w:left="284" w:hanging="284"/>
      </w:pPr>
      <w:rPr>
        <w:rFonts w:hint="eastAsia" w:ascii="宋体" w:eastAsia="宋体" w:cs="Times New Roman"/>
        <w:b/>
        <w:i w:val="0"/>
        <w:strike w:val="0"/>
        <w:dstrike w:val="0"/>
        <w:sz w:val="28"/>
      </w:rPr>
    </w:lvl>
    <w:lvl w:ilvl="5" w:tentative="0">
      <w:start w:val="1"/>
      <w:numFmt w:val="decimal"/>
      <w:lvlRestart w:val="0"/>
      <w:suff w:val="space"/>
      <w:lvlText w:val="1.1.1.1.1.%6%5"/>
      <w:lvlJc w:val="left"/>
      <w:rPr>
        <w:rFonts w:hint="eastAsia" w:ascii="宋体" w:eastAsia="宋体" w:cs="Times New Roman"/>
        <w:b/>
        <w:i w:val="0"/>
        <w:sz w:val="28"/>
      </w:rPr>
    </w:lvl>
    <w:lvl w:ilvl="6" w:tentative="0">
      <w:start w:val="1"/>
      <w:numFmt w:val="none"/>
      <w:pStyle w:val="12"/>
      <w:suff w:val="nothing"/>
      <w:lvlText w:val=""/>
      <w:lvlJc w:val="left"/>
      <w:rPr>
        <w:rFonts w:hint="eastAsia" w:cs="Times New Roman"/>
      </w:rPr>
    </w:lvl>
    <w:lvl w:ilvl="7" w:tentative="0">
      <w:start w:val="1"/>
      <w:numFmt w:val="none"/>
      <w:pStyle w:val="13"/>
      <w:suff w:val="nothing"/>
      <w:lvlText w:val=""/>
      <w:lvlJc w:val="left"/>
      <w:rPr>
        <w:rFonts w:hint="eastAsia" w:cs="Times New Roman"/>
      </w:rPr>
    </w:lvl>
    <w:lvl w:ilvl="8" w:tentative="0">
      <w:start w:val="1"/>
      <w:numFmt w:val="none"/>
      <w:pStyle w:val="14"/>
      <w:suff w:val="nothing"/>
      <w:lvlText w:val=""/>
      <w:lvlJc w:val="left"/>
      <w:rPr>
        <w:rFonts w:hint="eastAsia" w:cs="Times New Roman"/>
      </w:rPr>
    </w:lvl>
  </w:abstractNum>
  <w:abstractNum w:abstractNumId="11">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4BE837E6"/>
    <w:multiLevelType w:val="multilevel"/>
    <w:tmpl w:val="4BE837E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1880536"/>
    <w:multiLevelType w:val="multilevel"/>
    <w:tmpl w:val="51880536"/>
    <w:lvl w:ilvl="0" w:tentative="0">
      <w:start w:val="1"/>
      <w:numFmt w:val="decimal"/>
      <w:lvlText w:val="（%1）"/>
      <w:lvlJc w:val="left"/>
      <w:pPr>
        <w:tabs>
          <w:tab w:val="left" w:pos="840"/>
        </w:tabs>
        <w:ind w:left="84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6830454"/>
    <w:multiLevelType w:val="multilevel"/>
    <w:tmpl w:val="6683045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0">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74FB0463"/>
    <w:multiLevelType w:val="multilevel"/>
    <w:tmpl w:val="74FB0463"/>
    <w:lvl w:ilvl="0" w:tentative="0">
      <w:start w:val="1"/>
      <w:numFmt w:val="decimal"/>
      <w:suff w:val="nothing"/>
      <w:lvlText w:val="第%1篇"/>
      <w:lvlJc w:val="left"/>
      <w:rPr>
        <w:rFonts w:hint="eastAsia" w:cs="Times New Roman"/>
        <w:spacing w:val="60"/>
      </w:rPr>
    </w:lvl>
    <w:lvl w:ilvl="1" w:tentative="0">
      <w:start w:val="1"/>
      <w:numFmt w:val="none"/>
      <w:suff w:val="nothing"/>
      <w:lvlText w:val=""/>
      <w:lvlJc w:val="left"/>
      <w:rPr>
        <w:rFonts w:hint="eastAsia" w:cs="Times New Roman"/>
      </w:rPr>
    </w:lvl>
    <w:lvl w:ilvl="2" w:tentative="0">
      <w:start w:val="1"/>
      <w:numFmt w:val="none"/>
      <w:suff w:val="nothing"/>
      <w:lvlText w:val=""/>
      <w:lvlJc w:val="left"/>
      <w:rPr>
        <w:rFonts w:hint="eastAsia" w:cs="Times New Roman"/>
      </w:rPr>
    </w:lvl>
    <w:lvl w:ilvl="3" w:tentative="0">
      <w:start w:val="1"/>
      <w:numFmt w:val="none"/>
      <w:suff w:val="nothing"/>
      <w:lvlText w:val=""/>
      <w:lvlJc w:val="left"/>
      <w:rPr>
        <w:rFonts w:hint="eastAsia" w:cs="Times New Roman"/>
      </w:rPr>
    </w:lvl>
    <w:lvl w:ilvl="4" w:tentative="0">
      <w:start w:val="1"/>
      <w:numFmt w:val="none"/>
      <w:suff w:val="nothing"/>
      <w:lvlText w:val=""/>
      <w:lvlJc w:val="center"/>
      <w:pPr>
        <w:ind w:firstLine="288"/>
      </w:pPr>
      <w:rPr>
        <w:rFonts w:hint="eastAsia" w:cs="Times New Roman"/>
      </w:rPr>
    </w:lvl>
    <w:lvl w:ilvl="5" w:tentative="0">
      <w:start w:val="1"/>
      <w:numFmt w:val="none"/>
      <w:pStyle w:val="11"/>
      <w:suff w:val="nothing"/>
      <w:lvlText w:val=""/>
      <w:lvlJc w:val="left"/>
      <w:rPr>
        <w:rFonts w:hint="eastAsia" w:cs="Times New Roman"/>
      </w:rPr>
    </w:lvl>
    <w:lvl w:ilvl="6" w:tentative="0">
      <w:start w:val="1"/>
      <w:numFmt w:val="none"/>
      <w:suff w:val="nothing"/>
      <w:lvlText w:val=""/>
      <w:lvlJc w:val="left"/>
      <w:rPr>
        <w:rFonts w:hint="eastAsia" w:cs="Times New Roman"/>
      </w:rPr>
    </w:lvl>
    <w:lvl w:ilvl="7" w:tentative="0">
      <w:start w:val="1"/>
      <w:numFmt w:val="none"/>
      <w:suff w:val="nothing"/>
      <w:lvlText w:val=""/>
      <w:lvlJc w:val="left"/>
      <w:rPr>
        <w:rFonts w:hint="eastAsia" w:cs="Times New Roman"/>
      </w:rPr>
    </w:lvl>
    <w:lvl w:ilvl="8" w:tentative="0">
      <w:start w:val="1"/>
      <w:numFmt w:val="none"/>
      <w:suff w:val="nothing"/>
      <w:lvlText w:val=""/>
      <w:lvlJc w:val="left"/>
      <w:rPr>
        <w:rFonts w:hint="eastAsia" w:cs="Times New Roman"/>
      </w:rPr>
    </w:lvl>
  </w:abstractNum>
  <w:abstractNum w:abstractNumId="32">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4">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0"/>
  </w:num>
  <w:num w:numId="2">
    <w:abstractNumId w:val="31"/>
  </w:num>
  <w:num w:numId="3">
    <w:abstractNumId w:val="0"/>
  </w:num>
  <w:num w:numId="4">
    <w:abstractNumId w:val="5"/>
  </w:num>
  <w:num w:numId="5">
    <w:abstractNumId w:val="2"/>
  </w:num>
  <w:num w:numId="6">
    <w:abstractNumId w:val="1"/>
  </w:num>
  <w:num w:numId="7">
    <w:abstractNumId w:val="26"/>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endnotePr>
    <w:numFmt w:val="decimal"/>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2ZmFmNmMzMWEyOTcwMzE4YjA0MjdkMjMyYWEyNDIifQ=="/>
    <w:docVar w:name="KSO_WPS_MARK_KEY" w:val="c6946a90-ba99-4049-8378-85028cf4b638"/>
  </w:docVars>
  <w:rsids>
    <w:rsidRoot w:val="00172A27"/>
    <w:rsid w:val="00022036"/>
    <w:rsid w:val="00117252"/>
    <w:rsid w:val="001526F2"/>
    <w:rsid w:val="00155A2F"/>
    <w:rsid w:val="00160C92"/>
    <w:rsid w:val="00172A27"/>
    <w:rsid w:val="0017496D"/>
    <w:rsid w:val="00185FA4"/>
    <w:rsid w:val="001A728F"/>
    <w:rsid w:val="001D2DF1"/>
    <w:rsid w:val="001D6DE9"/>
    <w:rsid w:val="002008D8"/>
    <w:rsid w:val="00201C27"/>
    <w:rsid w:val="00202235"/>
    <w:rsid w:val="002033EF"/>
    <w:rsid w:val="00254BE5"/>
    <w:rsid w:val="002746BA"/>
    <w:rsid w:val="002A043C"/>
    <w:rsid w:val="002B26CE"/>
    <w:rsid w:val="002C0CF1"/>
    <w:rsid w:val="002D70E6"/>
    <w:rsid w:val="003152EC"/>
    <w:rsid w:val="00330290"/>
    <w:rsid w:val="00375CC8"/>
    <w:rsid w:val="003C2951"/>
    <w:rsid w:val="00415BF0"/>
    <w:rsid w:val="004412B4"/>
    <w:rsid w:val="004653C1"/>
    <w:rsid w:val="004734AE"/>
    <w:rsid w:val="004F023D"/>
    <w:rsid w:val="004F64E8"/>
    <w:rsid w:val="005036C3"/>
    <w:rsid w:val="00512CDF"/>
    <w:rsid w:val="00537136"/>
    <w:rsid w:val="005500F9"/>
    <w:rsid w:val="005728E2"/>
    <w:rsid w:val="005A440D"/>
    <w:rsid w:val="005A6BA3"/>
    <w:rsid w:val="005C606C"/>
    <w:rsid w:val="005D7740"/>
    <w:rsid w:val="005D7F7A"/>
    <w:rsid w:val="005E757E"/>
    <w:rsid w:val="00612E7E"/>
    <w:rsid w:val="00634702"/>
    <w:rsid w:val="006633F5"/>
    <w:rsid w:val="00666498"/>
    <w:rsid w:val="0068043D"/>
    <w:rsid w:val="006B083B"/>
    <w:rsid w:val="006B6B0D"/>
    <w:rsid w:val="006D15A4"/>
    <w:rsid w:val="00714836"/>
    <w:rsid w:val="00726F3F"/>
    <w:rsid w:val="00765055"/>
    <w:rsid w:val="00782F49"/>
    <w:rsid w:val="0078437D"/>
    <w:rsid w:val="00793EFA"/>
    <w:rsid w:val="007B41BE"/>
    <w:rsid w:val="007C33A0"/>
    <w:rsid w:val="007C6400"/>
    <w:rsid w:val="007F2D5C"/>
    <w:rsid w:val="00825811"/>
    <w:rsid w:val="00845721"/>
    <w:rsid w:val="008604E7"/>
    <w:rsid w:val="00885C38"/>
    <w:rsid w:val="008A45C8"/>
    <w:rsid w:val="008B52CE"/>
    <w:rsid w:val="008C4820"/>
    <w:rsid w:val="009173CF"/>
    <w:rsid w:val="009A4D22"/>
    <w:rsid w:val="009B7EFE"/>
    <w:rsid w:val="009E1A0D"/>
    <w:rsid w:val="00A04B6C"/>
    <w:rsid w:val="00A575D1"/>
    <w:rsid w:val="00A84835"/>
    <w:rsid w:val="00AA2158"/>
    <w:rsid w:val="00AE0CCF"/>
    <w:rsid w:val="00B13125"/>
    <w:rsid w:val="00B254A2"/>
    <w:rsid w:val="00B50880"/>
    <w:rsid w:val="00B6185E"/>
    <w:rsid w:val="00BA5E70"/>
    <w:rsid w:val="00BC063D"/>
    <w:rsid w:val="00BF229B"/>
    <w:rsid w:val="00BF3D46"/>
    <w:rsid w:val="00C0639C"/>
    <w:rsid w:val="00C32163"/>
    <w:rsid w:val="00C408D3"/>
    <w:rsid w:val="00C64CDC"/>
    <w:rsid w:val="00C91AB2"/>
    <w:rsid w:val="00CA7B82"/>
    <w:rsid w:val="00CC2133"/>
    <w:rsid w:val="00CD28B1"/>
    <w:rsid w:val="00CE0A60"/>
    <w:rsid w:val="00CF219A"/>
    <w:rsid w:val="00CF60CB"/>
    <w:rsid w:val="00D50292"/>
    <w:rsid w:val="00D64FFC"/>
    <w:rsid w:val="00DA7270"/>
    <w:rsid w:val="00E26394"/>
    <w:rsid w:val="00E63CD4"/>
    <w:rsid w:val="00F934ED"/>
    <w:rsid w:val="00F9487D"/>
    <w:rsid w:val="00FB0572"/>
    <w:rsid w:val="00FC0B8E"/>
    <w:rsid w:val="00FF5B87"/>
    <w:rsid w:val="01084024"/>
    <w:rsid w:val="010A0F24"/>
    <w:rsid w:val="0119565C"/>
    <w:rsid w:val="0119785A"/>
    <w:rsid w:val="011A5927"/>
    <w:rsid w:val="011E1AE4"/>
    <w:rsid w:val="015516E9"/>
    <w:rsid w:val="017737CC"/>
    <w:rsid w:val="018A1867"/>
    <w:rsid w:val="01E115F3"/>
    <w:rsid w:val="01E51FC5"/>
    <w:rsid w:val="020A481E"/>
    <w:rsid w:val="02121F4E"/>
    <w:rsid w:val="022C3B07"/>
    <w:rsid w:val="026F16E9"/>
    <w:rsid w:val="027E7342"/>
    <w:rsid w:val="02896C7C"/>
    <w:rsid w:val="028D53ED"/>
    <w:rsid w:val="02B80B29"/>
    <w:rsid w:val="02C0571F"/>
    <w:rsid w:val="02CA41C9"/>
    <w:rsid w:val="02D63872"/>
    <w:rsid w:val="034857C7"/>
    <w:rsid w:val="03C073A3"/>
    <w:rsid w:val="03DF1C08"/>
    <w:rsid w:val="03E62F58"/>
    <w:rsid w:val="0401052C"/>
    <w:rsid w:val="041641DD"/>
    <w:rsid w:val="047B1CED"/>
    <w:rsid w:val="04B63191"/>
    <w:rsid w:val="04BF0955"/>
    <w:rsid w:val="04C7208C"/>
    <w:rsid w:val="04ED6E69"/>
    <w:rsid w:val="05183349"/>
    <w:rsid w:val="053F0678"/>
    <w:rsid w:val="05476983"/>
    <w:rsid w:val="05586721"/>
    <w:rsid w:val="0564312A"/>
    <w:rsid w:val="059B6ED6"/>
    <w:rsid w:val="05AD29E4"/>
    <w:rsid w:val="05B71925"/>
    <w:rsid w:val="05BF2A28"/>
    <w:rsid w:val="05E036F4"/>
    <w:rsid w:val="05FB6462"/>
    <w:rsid w:val="06027E91"/>
    <w:rsid w:val="061130AB"/>
    <w:rsid w:val="06263993"/>
    <w:rsid w:val="063D5FAF"/>
    <w:rsid w:val="064C4D02"/>
    <w:rsid w:val="06506DF8"/>
    <w:rsid w:val="06540D99"/>
    <w:rsid w:val="065956BD"/>
    <w:rsid w:val="067E09BD"/>
    <w:rsid w:val="06860170"/>
    <w:rsid w:val="06925028"/>
    <w:rsid w:val="06B93CFC"/>
    <w:rsid w:val="06C6511C"/>
    <w:rsid w:val="06CF19BA"/>
    <w:rsid w:val="06D532A5"/>
    <w:rsid w:val="06E120BD"/>
    <w:rsid w:val="07190B35"/>
    <w:rsid w:val="074E6A99"/>
    <w:rsid w:val="07634847"/>
    <w:rsid w:val="077559CB"/>
    <w:rsid w:val="07A52958"/>
    <w:rsid w:val="08540A5E"/>
    <w:rsid w:val="087939A9"/>
    <w:rsid w:val="08914E9E"/>
    <w:rsid w:val="089947AC"/>
    <w:rsid w:val="08A50F3E"/>
    <w:rsid w:val="08B344E6"/>
    <w:rsid w:val="08C76EB9"/>
    <w:rsid w:val="091D6C80"/>
    <w:rsid w:val="09215687"/>
    <w:rsid w:val="093F79E9"/>
    <w:rsid w:val="094B12F4"/>
    <w:rsid w:val="09680543"/>
    <w:rsid w:val="09826C77"/>
    <w:rsid w:val="099D0853"/>
    <w:rsid w:val="09A22DA8"/>
    <w:rsid w:val="09AB19F8"/>
    <w:rsid w:val="09B26135"/>
    <w:rsid w:val="09BA11DF"/>
    <w:rsid w:val="09BB0373"/>
    <w:rsid w:val="09CB67C0"/>
    <w:rsid w:val="09CC1B02"/>
    <w:rsid w:val="0A457394"/>
    <w:rsid w:val="0A4A48C5"/>
    <w:rsid w:val="0A573505"/>
    <w:rsid w:val="0A6131A6"/>
    <w:rsid w:val="0A8B402E"/>
    <w:rsid w:val="0AB627E8"/>
    <w:rsid w:val="0AC82801"/>
    <w:rsid w:val="0B1559CF"/>
    <w:rsid w:val="0B542017"/>
    <w:rsid w:val="0B597F7C"/>
    <w:rsid w:val="0B5B5858"/>
    <w:rsid w:val="0B70426A"/>
    <w:rsid w:val="0B7A2363"/>
    <w:rsid w:val="0B7B0F82"/>
    <w:rsid w:val="0B9B0319"/>
    <w:rsid w:val="0BA35725"/>
    <w:rsid w:val="0BD05811"/>
    <w:rsid w:val="0BDE56BA"/>
    <w:rsid w:val="0BE22C8C"/>
    <w:rsid w:val="0BE30377"/>
    <w:rsid w:val="0BEF4520"/>
    <w:rsid w:val="0BFB17C7"/>
    <w:rsid w:val="0C0A4B30"/>
    <w:rsid w:val="0C231B92"/>
    <w:rsid w:val="0C2352EC"/>
    <w:rsid w:val="0C464F2F"/>
    <w:rsid w:val="0C556C2E"/>
    <w:rsid w:val="0C706BAB"/>
    <w:rsid w:val="0C9211C2"/>
    <w:rsid w:val="0C9615C8"/>
    <w:rsid w:val="0C961C11"/>
    <w:rsid w:val="0C98323A"/>
    <w:rsid w:val="0CA110FA"/>
    <w:rsid w:val="0CD470E5"/>
    <w:rsid w:val="0CEF12B6"/>
    <w:rsid w:val="0D156B4F"/>
    <w:rsid w:val="0D283C58"/>
    <w:rsid w:val="0D2C5AC8"/>
    <w:rsid w:val="0D38219F"/>
    <w:rsid w:val="0D4C0A39"/>
    <w:rsid w:val="0D7E079D"/>
    <w:rsid w:val="0D8B0A2F"/>
    <w:rsid w:val="0DB8738F"/>
    <w:rsid w:val="0DC10EC6"/>
    <w:rsid w:val="0E320C06"/>
    <w:rsid w:val="0E785332"/>
    <w:rsid w:val="0EB27BF7"/>
    <w:rsid w:val="0EDC4833"/>
    <w:rsid w:val="0EE43454"/>
    <w:rsid w:val="0F62386B"/>
    <w:rsid w:val="0F6C5EDC"/>
    <w:rsid w:val="0F72768D"/>
    <w:rsid w:val="0F84795B"/>
    <w:rsid w:val="0FA835CA"/>
    <w:rsid w:val="0FF83141"/>
    <w:rsid w:val="100D13A8"/>
    <w:rsid w:val="100F5C3A"/>
    <w:rsid w:val="10291946"/>
    <w:rsid w:val="1036377D"/>
    <w:rsid w:val="10525952"/>
    <w:rsid w:val="107278B0"/>
    <w:rsid w:val="10802265"/>
    <w:rsid w:val="10C93DED"/>
    <w:rsid w:val="10DB28A7"/>
    <w:rsid w:val="1104238C"/>
    <w:rsid w:val="1135070F"/>
    <w:rsid w:val="115F3866"/>
    <w:rsid w:val="11641C95"/>
    <w:rsid w:val="116F64C1"/>
    <w:rsid w:val="118A2047"/>
    <w:rsid w:val="11AD67D9"/>
    <w:rsid w:val="11B72816"/>
    <w:rsid w:val="11CF49BB"/>
    <w:rsid w:val="12072A16"/>
    <w:rsid w:val="120D282C"/>
    <w:rsid w:val="12480F59"/>
    <w:rsid w:val="124B24A6"/>
    <w:rsid w:val="12753A2E"/>
    <w:rsid w:val="12B85942"/>
    <w:rsid w:val="12BF7CEB"/>
    <w:rsid w:val="12C35844"/>
    <w:rsid w:val="13045A22"/>
    <w:rsid w:val="131D6689"/>
    <w:rsid w:val="134B48AB"/>
    <w:rsid w:val="13580D49"/>
    <w:rsid w:val="138C3411"/>
    <w:rsid w:val="138D02A6"/>
    <w:rsid w:val="13C14CCD"/>
    <w:rsid w:val="13C7154F"/>
    <w:rsid w:val="13D56659"/>
    <w:rsid w:val="1407543B"/>
    <w:rsid w:val="14370BB7"/>
    <w:rsid w:val="144D6E86"/>
    <w:rsid w:val="14522441"/>
    <w:rsid w:val="147757B0"/>
    <w:rsid w:val="14837CE2"/>
    <w:rsid w:val="14863FB7"/>
    <w:rsid w:val="14C8254A"/>
    <w:rsid w:val="15157CDC"/>
    <w:rsid w:val="15376982"/>
    <w:rsid w:val="15410789"/>
    <w:rsid w:val="1559233C"/>
    <w:rsid w:val="15A86181"/>
    <w:rsid w:val="15C629F9"/>
    <w:rsid w:val="15D471AB"/>
    <w:rsid w:val="15EB32EB"/>
    <w:rsid w:val="1633769F"/>
    <w:rsid w:val="16462CF9"/>
    <w:rsid w:val="165E4770"/>
    <w:rsid w:val="166D0619"/>
    <w:rsid w:val="169C4691"/>
    <w:rsid w:val="16A40CB1"/>
    <w:rsid w:val="16A55658"/>
    <w:rsid w:val="16C624EA"/>
    <w:rsid w:val="16CD692D"/>
    <w:rsid w:val="16FD3BA6"/>
    <w:rsid w:val="172872D5"/>
    <w:rsid w:val="174F66A0"/>
    <w:rsid w:val="17656F96"/>
    <w:rsid w:val="17913BB0"/>
    <w:rsid w:val="17AE768A"/>
    <w:rsid w:val="181175D7"/>
    <w:rsid w:val="181E3AE5"/>
    <w:rsid w:val="18217867"/>
    <w:rsid w:val="1827036A"/>
    <w:rsid w:val="1835425B"/>
    <w:rsid w:val="18504329"/>
    <w:rsid w:val="185449B0"/>
    <w:rsid w:val="18573E08"/>
    <w:rsid w:val="18723BEF"/>
    <w:rsid w:val="18731BED"/>
    <w:rsid w:val="188B71CF"/>
    <w:rsid w:val="18A8403A"/>
    <w:rsid w:val="18B711DB"/>
    <w:rsid w:val="18DF12C2"/>
    <w:rsid w:val="18E447AB"/>
    <w:rsid w:val="191F3026"/>
    <w:rsid w:val="19265164"/>
    <w:rsid w:val="195254A4"/>
    <w:rsid w:val="195A6D58"/>
    <w:rsid w:val="19772978"/>
    <w:rsid w:val="199620C8"/>
    <w:rsid w:val="19DB14B6"/>
    <w:rsid w:val="19E82350"/>
    <w:rsid w:val="19F40235"/>
    <w:rsid w:val="1A395708"/>
    <w:rsid w:val="1A460EED"/>
    <w:rsid w:val="1A4C0190"/>
    <w:rsid w:val="1A5C0DCD"/>
    <w:rsid w:val="1A5E56B6"/>
    <w:rsid w:val="1A8E1FEB"/>
    <w:rsid w:val="1A9148BB"/>
    <w:rsid w:val="1AC06EAF"/>
    <w:rsid w:val="1AD6646C"/>
    <w:rsid w:val="1AFE3D2E"/>
    <w:rsid w:val="1B4D5EE5"/>
    <w:rsid w:val="1B6E1E0D"/>
    <w:rsid w:val="1B750A9E"/>
    <w:rsid w:val="1B784F83"/>
    <w:rsid w:val="1B8A7657"/>
    <w:rsid w:val="1B9133C8"/>
    <w:rsid w:val="1B974A15"/>
    <w:rsid w:val="1BAB603E"/>
    <w:rsid w:val="1BC72CFF"/>
    <w:rsid w:val="1BE62AD2"/>
    <w:rsid w:val="1BEB6F5A"/>
    <w:rsid w:val="1C651FAD"/>
    <w:rsid w:val="1C6914A7"/>
    <w:rsid w:val="1C6D6221"/>
    <w:rsid w:val="1C705AD5"/>
    <w:rsid w:val="1C8220D9"/>
    <w:rsid w:val="1C9F5E25"/>
    <w:rsid w:val="1CB549AD"/>
    <w:rsid w:val="1CC22CE1"/>
    <w:rsid w:val="1CC27F63"/>
    <w:rsid w:val="1CD40CF0"/>
    <w:rsid w:val="1CE10D3E"/>
    <w:rsid w:val="1CF67201"/>
    <w:rsid w:val="1D0A5E58"/>
    <w:rsid w:val="1D130B70"/>
    <w:rsid w:val="1D173015"/>
    <w:rsid w:val="1D524EB3"/>
    <w:rsid w:val="1D715E5C"/>
    <w:rsid w:val="1D7B3642"/>
    <w:rsid w:val="1D8D3EAB"/>
    <w:rsid w:val="1D9301A0"/>
    <w:rsid w:val="1D9A72AD"/>
    <w:rsid w:val="1D9D3DB8"/>
    <w:rsid w:val="1DB65CAB"/>
    <w:rsid w:val="1DC345E1"/>
    <w:rsid w:val="1DC93563"/>
    <w:rsid w:val="1DD508D3"/>
    <w:rsid w:val="1DDF34E1"/>
    <w:rsid w:val="1E3B7DD6"/>
    <w:rsid w:val="1EBA70F8"/>
    <w:rsid w:val="1ECD0795"/>
    <w:rsid w:val="1EEE1380"/>
    <w:rsid w:val="1F143BE2"/>
    <w:rsid w:val="1F1C14E2"/>
    <w:rsid w:val="1F21671B"/>
    <w:rsid w:val="1F6574DC"/>
    <w:rsid w:val="1FA916F0"/>
    <w:rsid w:val="1FB33437"/>
    <w:rsid w:val="1FD93CCC"/>
    <w:rsid w:val="1FF544B6"/>
    <w:rsid w:val="206805CD"/>
    <w:rsid w:val="207F7BF3"/>
    <w:rsid w:val="209E2790"/>
    <w:rsid w:val="20A041EA"/>
    <w:rsid w:val="20AC7FBE"/>
    <w:rsid w:val="20E612A9"/>
    <w:rsid w:val="211F4E70"/>
    <w:rsid w:val="212321D9"/>
    <w:rsid w:val="212A7E0A"/>
    <w:rsid w:val="21754BDF"/>
    <w:rsid w:val="21781E3E"/>
    <w:rsid w:val="21931D7C"/>
    <w:rsid w:val="21A60FF2"/>
    <w:rsid w:val="21AF0F55"/>
    <w:rsid w:val="21CE2E82"/>
    <w:rsid w:val="21F376B7"/>
    <w:rsid w:val="22026D4B"/>
    <w:rsid w:val="220C5B43"/>
    <w:rsid w:val="220E63E7"/>
    <w:rsid w:val="22135B75"/>
    <w:rsid w:val="228B3A0E"/>
    <w:rsid w:val="22A730ED"/>
    <w:rsid w:val="22AC524A"/>
    <w:rsid w:val="22B159DA"/>
    <w:rsid w:val="22B63C63"/>
    <w:rsid w:val="22B71FC6"/>
    <w:rsid w:val="22BB4F96"/>
    <w:rsid w:val="22D96BA7"/>
    <w:rsid w:val="22DF2808"/>
    <w:rsid w:val="22F37B0E"/>
    <w:rsid w:val="22F56AE8"/>
    <w:rsid w:val="23237B2A"/>
    <w:rsid w:val="23255684"/>
    <w:rsid w:val="2354632A"/>
    <w:rsid w:val="237E2163"/>
    <w:rsid w:val="239813F6"/>
    <w:rsid w:val="23CE62D0"/>
    <w:rsid w:val="23CE7A39"/>
    <w:rsid w:val="23DD2F6E"/>
    <w:rsid w:val="23EB4795"/>
    <w:rsid w:val="23EF328F"/>
    <w:rsid w:val="23F1401F"/>
    <w:rsid w:val="242C729C"/>
    <w:rsid w:val="24500FEE"/>
    <w:rsid w:val="245927F2"/>
    <w:rsid w:val="245B1180"/>
    <w:rsid w:val="247054BC"/>
    <w:rsid w:val="24854EE4"/>
    <w:rsid w:val="24B050BF"/>
    <w:rsid w:val="24FD15A8"/>
    <w:rsid w:val="250848CE"/>
    <w:rsid w:val="2522748E"/>
    <w:rsid w:val="25695685"/>
    <w:rsid w:val="256B4972"/>
    <w:rsid w:val="256E7AF5"/>
    <w:rsid w:val="25774177"/>
    <w:rsid w:val="25774D30"/>
    <w:rsid w:val="259839C9"/>
    <w:rsid w:val="259F40AF"/>
    <w:rsid w:val="25C96E72"/>
    <w:rsid w:val="25DF794F"/>
    <w:rsid w:val="25F64BA8"/>
    <w:rsid w:val="26200075"/>
    <w:rsid w:val="264A728C"/>
    <w:rsid w:val="264B0E41"/>
    <w:rsid w:val="26554B33"/>
    <w:rsid w:val="266543D4"/>
    <w:rsid w:val="26856F98"/>
    <w:rsid w:val="26993D7D"/>
    <w:rsid w:val="26A03C64"/>
    <w:rsid w:val="26BD1CC5"/>
    <w:rsid w:val="26D903CC"/>
    <w:rsid w:val="26F948A9"/>
    <w:rsid w:val="270357F4"/>
    <w:rsid w:val="271436A9"/>
    <w:rsid w:val="278E3E49"/>
    <w:rsid w:val="27A16CBF"/>
    <w:rsid w:val="27CA0AA2"/>
    <w:rsid w:val="27D0036E"/>
    <w:rsid w:val="27D01EC6"/>
    <w:rsid w:val="28044392"/>
    <w:rsid w:val="280A239D"/>
    <w:rsid w:val="281B223C"/>
    <w:rsid w:val="281D27E5"/>
    <w:rsid w:val="28250DAF"/>
    <w:rsid w:val="28486084"/>
    <w:rsid w:val="28582DDD"/>
    <w:rsid w:val="286262E6"/>
    <w:rsid w:val="28840DF5"/>
    <w:rsid w:val="28DA754A"/>
    <w:rsid w:val="29095A04"/>
    <w:rsid w:val="290B223D"/>
    <w:rsid w:val="291D1D3D"/>
    <w:rsid w:val="29722049"/>
    <w:rsid w:val="297C57E3"/>
    <w:rsid w:val="29951F8E"/>
    <w:rsid w:val="29A958AB"/>
    <w:rsid w:val="29B1213B"/>
    <w:rsid w:val="29B17A11"/>
    <w:rsid w:val="29CA4E9C"/>
    <w:rsid w:val="29F0739F"/>
    <w:rsid w:val="2A0F54D3"/>
    <w:rsid w:val="2A2F5290"/>
    <w:rsid w:val="2A3113C8"/>
    <w:rsid w:val="2A363FD7"/>
    <w:rsid w:val="2A3B38B7"/>
    <w:rsid w:val="2A57025D"/>
    <w:rsid w:val="2A6F54DA"/>
    <w:rsid w:val="2A8474BE"/>
    <w:rsid w:val="2A8E5893"/>
    <w:rsid w:val="2A9845F0"/>
    <w:rsid w:val="2AB96736"/>
    <w:rsid w:val="2AD85114"/>
    <w:rsid w:val="2ADE3D45"/>
    <w:rsid w:val="2B330FAB"/>
    <w:rsid w:val="2B332D41"/>
    <w:rsid w:val="2B3C4D3A"/>
    <w:rsid w:val="2B5D66C3"/>
    <w:rsid w:val="2B731A8B"/>
    <w:rsid w:val="2B8C411C"/>
    <w:rsid w:val="2B8E0B67"/>
    <w:rsid w:val="2B906D86"/>
    <w:rsid w:val="2BB01E07"/>
    <w:rsid w:val="2BB90500"/>
    <w:rsid w:val="2BDD2119"/>
    <w:rsid w:val="2BEF6F96"/>
    <w:rsid w:val="2BFD5568"/>
    <w:rsid w:val="2C003A26"/>
    <w:rsid w:val="2C092334"/>
    <w:rsid w:val="2C0F02ED"/>
    <w:rsid w:val="2C194112"/>
    <w:rsid w:val="2C321754"/>
    <w:rsid w:val="2C7C2AD6"/>
    <w:rsid w:val="2C8D7985"/>
    <w:rsid w:val="2CC541AE"/>
    <w:rsid w:val="2CCC3D9D"/>
    <w:rsid w:val="2CCF5384"/>
    <w:rsid w:val="2D0942EC"/>
    <w:rsid w:val="2D4D76B0"/>
    <w:rsid w:val="2D6F3D99"/>
    <w:rsid w:val="2D740368"/>
    <w:rsid w:val="2D7415D9"/>
    <w:rsid w:val="2D77165D"/>
    <w:rsid w:val="2D806A5F"/>
    <w:rsid w:val="2D815862"/>
    <w:rsid w:val="2DAC7415"/>
    <w:rsid w:val="2DB645A4"/>
    <w:rsid w:val="2DDE6EA8"/>
    <w:rsid w:val="2E0E5885"/>
    <w:rsid w:val="2E1210D1"/>
    <w:rsid w:val="2E531274"/>
    <w:rsid w:val="2E5A41E3"/>
    <w:rsid w:val="2E7F1BB6"/>
    <w:rsid w:val="2E8B033D"/>
    <w:rsid w:val="2E9637FB"/>
    <w:rsid w:val="2EC84E57"/>
    <w:rsid w:val="2EDF84F9"/>
    <w:rsid w:val="2EE3223F"/>
    <w:rsid w:val="2EF84F3C"/>
    <w:rsid w:val="2F1403D1"/>
    <w:rsid w:val="2F194481"/>
    <w:rsid w:val="2F506321"/>
    <w:rsid w:val="2F6B6C28"/>
    <w:rsid w:val="2F9155E2"/>
    <w:rsid w:val="2F966078"/>
    <w:rsid w:val="2F9D1396"/>
    <w:rsid w:val="2FC668D4"/>
    <w:rsid w:val="2FE37E91"/>
    <w:rsid w:val="2FFB2085"/>
    <w:rsid w:val="300957BB"/>
    <w:rsid w:val="301B3CB2"/>
    <w:rsid w:val="30225EB4"/>
    <w:rsid w:val="30324A31"/>
    <w:rsid w:val="3033152B"/>
    <w:rsid w:val="30594B11"/>
    <w:rsid w:val="305A21E2"/>
    <w:rsid w:val="306F1059"/>
    <w:rsid w:val="30BA6545"/>
    <w:rsid w:val="30D931A2"/>
    <w:rsid w:val="30DD6C2D"/>
    <w:rsid w:val="30DE6D38"/>
    <w:rsid w:val="310C5DBB"/>
    <w:rsid w:val="311C2D95"/>
    <w:rsid w:val="312D35BD"/>
    <w:rsid w:val="31317880"/>
    <w:rsid w:val="314F256D"/>
    <w:rsid w:val="31627191"/>
    <w:rsid w:val="31AB2C2B"/>
    <w:rsid w:val="31D52296"/>
    <w:rsid w:val="325D5B07"/>
    <w:rsid w:val="32797451"/>
    <w:rsid w:val="329868D3"/>
    <w:rsid w:val="329A3CE1"/>
    <w:rsid w:val="32E86567"/>
    <w:rsid w:val="32FC2F9D"/>
    <w:rsid w:val="330863D2"/>
    <w:rsid w:val="3331177E"/>
    <w:rsid w:val="33353386"/>
    <w:rsid w:val="334352C2"/>
    <w:rsid w:val="334C2FFB"/>
    <w:rsid w:val="3391620D"/>
    <w:rsid w:val="339A5FA9"/>
    <w:rsid w:val="33C32BE3"/>
    <w:rsid w:val="33C5760E"/>
    <w:rsid w:val="33D12564"/>
    <w:rsid w:val="33D5427E"/>
    <w:rsid w:val="33EC0D9A"/>
    <w:rsid w:val="33F50D56"/>
    <w:rsid w:val="33F8464E"/>
    <w:rsid w:val="33FD5BDC"/>
    <w:rsid w:val="34085A3E"/>
    <w:rsid w:val="340D4232"/>
    <w:rsid w:val="3412436B"/>
    <w:rsid w:val="3416356F"/>
    <w:rsid w:val="34177E12"/>
    <w:rsid w:val="3426696D"/>
    <w:rsid w:val="343B6287"/>
    <w:rsid w:val="344D6560"/>
    <w:rsid w:val="34587B5E"/>
    <w:rsid w:val="346E3CF6"/>
    <w:rsid w:val="34A50503"/>
    <w:rsid w:val="34AF46BE"/>
    <w:rsid w:val="34E53D53"/>
    <w:rsid w:val="350A79A5"/>
    <w:rsid w:val="354E0C21"/>
    <w:rsid w:val="355B08F0"/>
    <w:rsid w:val="358B7CE3"/>
    <w:rsid w:val="35BF6369"/>
    <w:rsid w:val="35C05EC9"/>
    <w:rsid w:val="35C34243"/>
    <w:rsid w:val="35F54551"/>
    <w:rsid w:val="36137F2D"/>
    <w:rsid w:val="36146354"/>
    <w:rsid w:val="36293BE7"/>
    <w:rsid w:val="362A5761"/>
    <w:rsid w:val="365302AE"/>
    <w:rsid w:val="365537B1"/>
    <w:rsid w:val="366B0870"/>
    <w:rsid w:val="367F1F8F"/>
    <w:rsid w:val="3682255F"/>
    <w:rsid w:val="36984011"/>
    <w:rsid w:val="36AE706D"/>
    <w:rsid w:val="36C4095C"/>
    <w:rsid w:val="36E3461B"/>
    <w:rsid w:val="36E84031"/>
    <w:rsid w:val="36FD2CC6"/>
    <w:rsid w:val="370957AA"/>
    <w:rsid w:val="3716158D"/>
    <w:rsid w:val="373373FE"/>
    <w:rsid w:val="37507A38"/>
    <w:rsid w:val="375D20AC"/>
    <w:rsid w:val="37611A86"/>
    <w:rsid w:val="379A2D54"/>
    <w:rsid w:val="37E00D3A"/>
    <w:rsid w:val="37F6760C"/>
    <w:rsid w:val="3823516B"/>
    <w:rsid w:val="38320678"/>
    <w:rsid w:val="38330BDE"/>
    <w:rsid w:val="383346A1"/>
    <w:rsid w:val="387A6C6E"/>
    <w:rsid w:val="38907859"/>
    <w:rsid w:val="38AD4C0A"/>
    <w:rsid w:val="38B377D1"/>
    <w:rsid w:val="38B848E3"/>
    <w:rsid w:val="38F11F81"/>
    <w:rsid w:val="38F60F15"/>
    <w:rsid w:val="391229FC"/>
    <w:rsid w:val="391818E5"/>
    <w:rsid w:val="39247BE7"/>
    <w:rsid w:val="3927360B"/>
    <w:rsid w:val="399D65E6"/>
    <w:rsid w:val="39A329A9"/>
    <w:rsid w:val="39DF68CC"/>
    <w:rsid w:val="3A153B71"/>
    <w:rsid w:val="3A173454"/>
    <w:rsid w:val="3A3C1234"/>
    <w:rsid w:val="3A7E1052"/>
    <w:rsid w:val="3A986546"/>
    <w:rsid w:val="3ADB7134"/>
    <w:rsid w:val="3B2A1BC4"/>
    <w:rsid w:val="3B397533"/>
    <w:rsid w:val="3B575AB1"/>
    <w:rsid w:val="3B6B5BDE"/>
    <w:rsid w:val="3B802143"/>
    <w:rsid w:val="3B8361C9"/>
    <w:rsid w:val="3B974D9D"/>
    <w:rsid w:val="3BA270AF"/>
    <w:rsid w:val="3BA92701"/>
    <w:rsid w:val="3BAD255A"/>
    <w:rsid w:val="3BB126FE"/>
    <w:rsid w:val="3BF93ABB"/>
    <w:rsid w:val="3BFC231F"/>
    <w:rsid w:val="3C0E551B"/>
    <w:rsid w:val="3C166A9C"/>
    <w:rsid w:val="3C193310"/>
    <w:rsid w:val="3C1F7F37"/>
    <w:rsid w:val="3C21169E"/>
    <w:rsid w:val="3C331CC1"/>
    <w:rsid w:val="3C3A3657"/>
    <w:rsid w:val="3C3F53B0"/>
    <w:rsid w:val="3C4302E0"/>
    <w:rsid w:val="3C5D7AE6"/>
    <w:rsid w:val="3C731000"/>
    <w:rsid w:val="3C886FC3"/>
    <w:rsid w:val="3C8F1340"/>
    <w:rsid w:val="3CA20B6B"/>
    <w:rsid w:val="3CA67D0E"/>
    <w:rsid w:val="3CAA2DA9"/>
    <w:rsid w:val="3CC328A9"/>
    <w:rsid w:val="3CDB2766"/>
    <w:rsid w:val="3CDE7E6E"/>
    <w:rsid w:val="3CDF1D72"/>
    <w:rsid w:val="3CF76F98"/>
    <w:rsid w:val="3D71500D"/>
    <w:rsid w:val="3DC5306A"/>
    <w:rsid w:val="3E290801"/>
    <w:rsid w:val="3E411C16"/>
    <w:rsid w:val="3E667CEF"/>
    <w:rsid w:val="3EC04E62"/>
    <w:rsid w:val="3EDC288D"/>
    <w:rsid w:val="3EFE2E96"/>
    <w:rsid w:val="3F904C49"/>
    <w:rsid w:val="3F9103D2"/>
    <w:rsid w:val="3FBA0879"/>
    <w:rsid w:val="3FE43260"/>
    <w:rsid w:val="3FEE10EC"/>
    <w:rsid w:val="3FEF4C3D"/>
    <w:rsid w:val="3FF85084"/>
    <w:rsid w:val="4009352E"/>
    <w:rsid w:val="401B0E5D"/>
    <w:rsid w:val="4053706F"/>
    <w:rsid w:val="405417DB"/>
    <w:rsid w:val="405E56A7"/>
    <w:rsid w:val="408A12DC"/>
    <w:rsid w:val="4092377C"/>
    <w:rsid w:val="40B44600"/>
    <w:rsid w:val="41046039"/>
    <w:rsid w:val="411A3775"/>
    <w:rsid w:val="412C0DB2"/>
    <w:rsid w:val="412E1FE2"/>
    <w:rsid w:val="41446CBE"/>
    <w:rsid w:val="414C1CB1"/>
    <w:rsid w:val="41693785"/>
    <w:rsid w:val="41713EE6"/>
    <w:rsid w:val="4191167E"/>
    <w:rsid w:val="41A67226"/>
    <w:rsid w:val="41B037C1"/>
    <w:rsid w:val="41B3658F"/>
    <w:rsid w:val="41C0440F"/>
    <w:rsid w:val="41FE64DE"/>
    <w:rsid w:val="428A38B6"/>
    <w:rsid w:val="4295528E"/>
    <w:rsid w:val="42A930B0"/>
    <w:rsid w:val="42BA7CB6"/>
    <w:rsid w:val="42F21FE1"/>
    <w:rsid w:val="431502B0"/>
    <w:rsid w:val="43236C93"/>
    <w:rsid w:val="436528EA"/>
    <w:rsid w:val="436C0251"/>
    <w:rsid w:val="436E5866"/>
    <w:rsid w:val="43923C9C"/>
    <w:rsid w:val="43933A26"/>
    <w:rsid w:val="439F2E37"/>
    <w:rsid w:val="43C74670"/>
    <w:rsid w:val="43DE7F19"/>
    <w:rsid w:val="43EC2737"/>
    <w:rsid w:val="440E6321"/>
    <w:rsid w:val="4426286A"/>
    <w:rsid w:val="44284A97"/>
    <w:rsid w:val="44473292"/>
    <w:rsid w:val="445138C5"/>
    <w:rsid w:val="445E243B"/>
    <w:rsid w:val="449A5006"/>
    <w:rsid w:val="44C953A4"/>
    <w:rsid w:val="44F724B4"/>
    <w:rsid w:val="44FE2077"/>
    <w:rsid w:val="45105748"/>
    <w:rsid w:val="45170878"/>
    <w:rsid w:val="452C0B9D"/>
    <w:rsid w:val="454F7B26"/>
    <w:rsid w:val="456618EC"/>
    <w:rsid w:val="45677D31"/>
    <w:rsid w:val="457F2762"/>
    <w:rsid w:val="45E021B5"/>
    <w:rsid w:val="46145E89"/>
    <w:rsid w:val="461A0E1B"/>
    <w:rsid w:val="462C0B65"/>
    <w:rsid w:val="4631002D"/>
    <w:rsid w:val="464147FD"/>
    <w:rsid w:val="466C2D73"/>
    <w:rsid w:val="466E2B68"/>
    <w:rsid w:val="46724E4C"/>
    <w:rsid w:val="467A2DC5"/>
    <w:rsid w:val="46931338"/>
    <w:rsid w:val="46961529"/>
    <w:rsid w:val="46BE5ECB"/>
    <w:rsid w:val="46D410D2"/>
    <w:rsid w:val="46F76C86"/>
    <w:rsid w:val="47016CEC"/>
    <w:rsid w:val="472D60AA"/>
    <w:rsid w:val="475172B8"/>
    <w:rsid w:val="4768693A"/>
    <w:rsid w:val="47691236"/>
    <w:rsid w:val="478273A6"/>
    <w:rsid w:val="47AB309D"/>
    <w:rsid w:val="47BF32CC"/>
    <w:rsid w:val="47F64D83"/>
    <w:rsid w:val="483A3C5F"/>
    <w:rsid w:val="48630AD4"/>
    <w:rsid w:val="48927486"/>
    <w:rsid w:val="489F6AFD"/>
    <w:rsid w:val="48CF114F"/>
    <w:rsid w:val="48D2139B"/>
    <w:rsid w:val="48F43BBE"/>
    <w:rsid w:val="48FD384B"/>
    <w:rsid w:val="490329FA"/>
    <w:rsid w:val="490F3F87"/>
    <w:rsid w:val="49220BFF"/>
    <w:rsid w:val="49262A22"/>
    <w:rsid w:val="492A2F19"/>
    <w:rsid w:val="4941119E"/>
    <w:rsid w:val="49501A83"/>
    <w:rsid w:val="49AE3CDF"/>
    <w:rsid w:val="49BD7FA4"/>
    <w:rsid w:val="49DD35CE"/>
    <w:rsid w:val="49F12153"/>
    <w:rsid w:val="49F41B79"/>
    <w:rsid w:val="49F7258C"/>
    <w:rsid w:val="4A184BFC"/>
    <w:rsid w:val="4A2D426F"/>
    <w:rsid w:val="4A35537D"/>
    <w:rsid w:val="4A5455E6"/>
    <w:rsid w:val="4A6B20F3"/>
    <w:rsid w:val="4A7864AB"/>
    <w:rsid w:val="4A93151C"/>
    <w:rsid w:val="4AAD1654"/>
    <w:rsid w:val="4ABD3D96"/>
    <w:rsid w:val="4ACA368F"/>
    <w:rsid w:val="4B05109C"/>
    <w:rsid w:val="4B341CF5"/>
    <w:rsid w:val="4B5C2572"/>
    <w:rsid w:val="4B721FAC"/>
    <w:rsid w:val="4B8148DD"/>
    <w:rsid w:val="4BA83306"/>
    <w:rsid w:val="4BB02823"/>
    <w:rsid w:val="4BB75B73"/>
    <w:rsid w:val="4BEB48C2"/>
    <w:rsid w:val="4BF247F7"/>
    <w:rsid w:val="4BF51861"/>
    <w:rsid w:val="4BF80EE7"/>
    <w:rsid w:val="4C131BDF"/>
    <w:rsid w:val="4C1C78B2"/>
    <w:rsid w:val="4C1E6BF7"/>
    <w:rsid w:val="4C4045CE"/>
    <w:rsid w:val="4C5F23C3"/>
    <w:rsid w:val="4CBD6244"/>
    <w:rsid w:val="4D183A0B"/>
    <w:rsid w:val="4D1F7C77"/>
    <w:rsid w:val="4D343415"/>
    <w:rsid w:val="4D39466D"/>
    <w:rsid w:val="4D404EBA"/>
    <w:rsid w:val="4D600804"/>
    <w:rsid w:val="4D640287"/>
    <w:rsid w:val="4D6F34DA"/>
    <w:rsid w:val="4D7632E3"/>
    <w:rsid w:val="4D9A1676"/>
    <w:rsid w:val="4E0D44D2"/>
    <w:rsid w:val="4E1743FD"/>
    <w:rsid w:val="4E2216E2"/>
    <w:rsid w:val="4E2D392A"/>
    <w:rsid w:val="4E330CE2"/>
    <w:rsid w:val="4E4153D3"/>
    <w:rsid w:val="4E5E2FF7"/>
    <w:rsid w:val="4E662E90"/>
    <w:rsid w:val="4ED6647D"/>
    <w:rsid w:val="4EE97FAF"/>
    <w:rsid w:val="4EEC4189"/>
    <w:rsid w:val="4EF04A2C"/>
    <w:rsid w:val="4EF86618"/>
    <w:rsid w:val="4F08012E"/>
    <w:rsid w:val="4F09068B"/>
    <w:rsid w:val="4F0A09C7"/>
    <w:rsid w:val="4F10038E"/>
    <w:rsid w:val="4F35568B"/>
    <w:rsid w:val="4F7052A4"/>
    <w:rsid w:val="4F9976B8"/>
    <w:rsid w:val="4FB46AF8"/>
    <w:rsid w:val="4FBC26CE"/>
    <w:rsid w:val="4FE73AE6"/>
    <w:rsid w:val="50335F6D"/>
    <w:rsid w:val="507C3CDE"/>
    <w:rsid w:val="50801093"/>
    <w:rsid w:val="50854995"/>
    <w:rsid w:val="50A23AD9"/>
    <w:rsid w:val="50BB5639"/>
    <w:rsid w:val="50C3267E"/>
    <w:rsid w:val="50DB36A9"/>
    <w:rsid w:val="50E83BA8"/>
    <w:rsid w:val="51042B69"/>
    <w:rsid w:val="511A4D5A"/>
    <w:rsid w:val="511F3052"/>
    <w:rsid w:val="512C7D0E"/>
    <w:rsid w:val="51473871"/>
    <w:rsid w:val="51607DCF"/>
    <w:rsid w:val="51A34D5B"/>
    <w:rsid w:val="51AC0C65"/>
    <w:rsid w:val="51B52A12"/>
    <w:rsid w:val="51C17285"/>
    <w:rsid w:val="51CB6BEB"/>
    <w:rsid w:val="51D5508B"/>
    <w:rsid w:val="521051AA"/>
    <w:rsid w:val="52107298"/>
    <w:rsid w:val="52156622"/>
    <w:rsid w:val="52615DA0"/>
    <w:rsid w:val="526B5AC6"/>
    <w:rsid w:val="526C62BA"/>
    <w:rsid w:val="52917C4E"/>
    <w:rsid w:val="529878FB"/>
    <w:rsid w:val="52DF5A85"/>
    <w:rsid w:val="52EB3A96"/>
    <w:rsid w:val="53235275"/>
    <w:rsid w:val="533829D5"/>
    <w:rsid w:val="535E5C00"/>
    <w:rsid w:val="53A55A47"/>
    <w:rsid w:val="53C042DB"/>
    <w:rsid w:val="54283D71"/>
    <w:rsid w:val="543512F5"/>
    <w:rsid w:val="54605CBA"/>
    <w:rsid w:val="546278B5"/>
    <w:rsid w:val="5471229C"/>
    <w:rsid w:val="5494250D"/>
    <w:rsid w:val="54980709"/>
    <w:rsid w:val="549B1A84"/>
    <w:rsid w:val="54AC3F44"/>
    <w:rsid w:val="54B46EE4"/>
    <w:rsid w:val="54E4544F"/>
    <w:rsid w:val="54F06370"/>
    <w:rsid w:val="54F36412"/>
    <w:rsid w:val="54FB4AFB"/>
    <w:rsid w:val="54FB7079"/>
    <w:rsid w:val="55034066"/>
    <w:rsid w:val="5538603E"/>
    <w:rsid w:val="55481872"/>
    <w:rsid w:val="555E4080"/>
    <w:rsid w:val="5572671D"/>
    <w:rsid w:val="557C43A3"/>
    <w:rsid w:val="557D53BA"/>
    <w:rsid w:val="55933087"/>
    <w:rsid w:val="55B54E97"/>
    <w:rsid w:val="55BD75FE"/>
    <w:rsid w:val="55BE1A71"/>
    <w:rsid w:val="55C36AC2"/>
    <w:rsid w:val="55CB1DDD"/>
    <w:rsid w:val="55F75ED0"/>
    <w:rsid w:val="56067FE7"/>
    <w:rsid w:val="561A3C9D"/>
    <w:rsid w:val="56282713"/>
    <w:rsid w:val="56306BC7"/>
    <w:rsid w:val="56500F0A"/>
    <w:rsid w:val="56941399"/>
    <w:rsid w:val="56B46ECE"/>
    <w:rsid w:val="56E733A1"/>
    <w:rsid w:val="57105165"/>
    <w:rsid w:val="57160908"/>
    <w:rsid w:val="57327D21"/>
    <w:rsid w:val="57486C67"/>
    <w:rsid w:val="576014CE"/>
    <w:rsid w:val="57757ADD"/>
    <w:rsid w:val="577708F0"/>
    <w:rsid w:val="57792650"/>
    <w:rsid w:val="57BE202C"/>
    <w:rsid w:val="57C16588"/>
    <w:rsid w:val="57CF5152"/>
    <w:rsid w:val="57D26850"/>
    <w:rsid w:val="57D54A3F"/>
    <w:rsid w:val="57D736AB"/>
    <w:rsid w:val="57E82C92"/>
    <w:rsid w:val="57F54E0D"/>
    <w:rsid w:val="5809697C"/>
    <w:rsid w:val="58255FB2"/>
    <w:rsid w:val="583C2158"/>
    <w:rsid w:val="584A266F"/>
    <w:rsid w:val="588D6C3A"/>
    <w:rsid w:val="588D77A9"/>
    <w:rsid w:val="58CE79BF"/>
    <w:rsid w:val="59667F3B"/>
    <w:rsid w:val="598F4815"/>
    <w:rsid w:val="599C5EDA"/>
    <w:rsid w:val="59A07D17"/>
    <w:rsid w:val="59AE5719"/>
    <w:rsid w:val="59C6301A"/>
    <w:rsid w:val="59F365C9"/>
    <w:rsid w:val="59F667E4"/>
    <w:rsid w:val="5A0C11D2"/>
    <w:rsid w:val="5A217402"/>
    <w:rsid w:val="5A2537F3"/>
    <w:rsid w:val="5A284778"/>
    <w:rsid w:val="5A3C5A2E"/>
    <w:rsid w:val="5A406C41"/>
    <w:rsid w:val="5A470DDC"/>
    <w:rsid w:val="5A475C1D"/>
    <w:rsid w:val="5A635B91"/>
    <w:rsid w:val="5A7D756D"/>
    <w:rsid w:val="5A902EA3"/>
    <w:rsid w:val="5AAD2021"/>
    <w:rsid w:val="5AB370E2"/>
    <w:rsid w:val="5AC54162"/>
    <w:rsid w:val="5AE43DF7"/>
    <w:rsid w:val="5B1C60A0"/>
    <w:rsid w:val="5B397E38"/>
    <w:rsid w:val="5B412B1B"/>
    <w:rsid w:val="5B457F5C"/>
    <w:rsid w:val="5B6E7F8E"/>
    <w:rsid w:val="5B7053D9"/>
    <w:rsid w:val="5B813674"/>
    <w:rsid w:val="5B8A6D99"/>
    <w:rsid w:val="5B913480"/>
    <w:rsid w:val="5B94467C"/>
    <w:rsid w:val="5BBE703E"/>
    <w:rsid w:val="5BC462FA"/>
    <w:rsid w:val="5BD63CB2"/>
    <w:rsid w:val="5BF37BD0"/>
    <w:rsid w:val="5C5541F9"/>
    <w:rsid w:val="5C934A94"/>
    <w:rsid w:val="5C986B30"/>
    <w:rsid w:val="5CAC68E9"/>
    <w:rsid w:val="5CAC7697"/>
    <w:rsid w:val="5CB53F2C"/>
    <w:rsid w:val="5CC91F79"/>
    <w:rsid w:val="5CCD775E"/>
    <w:rsid w:val="5CE6040B"/>
    <w:rsid w:val="5D0339EF"/>
    <w:rsid w:val="5D5F5357"/>
    <w:rsid w:val="5D614253"/>
    <w:rsid w:val="5D8717FB"/>
    <w:rsid w:val="5D9733DF"/>
    <w:rsid w:val="5DA75A56"/>
    <w:rsid w:val="5DD9676F"/>
    <w:rsid w:val="5DE12315"/>
    <w:rsid w:val="5E061250"/>
    <w:rsid w:val="5E2E29D3"/>
    <w:rsid w:val="5E40582E"/>
    <w:rsid w:val="5E5902E6"/>
    <w:rsid w:val="5E660776"/>
    <w:rsid w:val="5E7154E3"/>
    <w:rsid w:val="5E734283"/>
    <w:rsid w:val="5ECC2CAB"/>
    <w:rsid w:val="5ED42BA2"/>
    <w:rsid w:val="5EDC21AD"/>
    <w:rsid w:val="5EDE485E"/>
    <w:rsid w:val="5EEC6EC6"/>
    <w:rsid w:val="5EFD4EBC"/>
    <w:rsid w:val="5EFD5879"/>
    <w:rsid w:val="5EFF5FB7"/>
    <w:rsid w:val="5F163D75"/>
    <w:rsid w:val="5F2120D9"/>
    <w:rsid w:val="5F26430B"/>
    <w:rsid w:val="5F2D185D"/>
    <w:rsid w:val="5F41642A"/>
    <w:rsid w:val="5F727271"/>
    <w:rsid w:val="5F8232A3"/>
    <w:rsid w:val="5FBD3AAD"/>
    <w:rsid w:val="5FE151C4"/>
    <w:rsid w:val="5FF81D87"/>
    <w:rsid w:val="602A379F"/>
    <w:rsid w:val="605D5D9B"/>
    <w:rsid w:val="606A3911"/>
    <w:rsid w:val="60881C9D"/>
    <w:rsid w:val="60881E97"/>
    <w:rsid w:val="60AD42FD"/>
    <w:rsid w:val="60BF5B6D"/>
    <w:rsid w:val="60C26B4A"/>
    <w:rsid w:val="60C31321"/>
    <w:rsid w:val="60D26DE5"/>
    <w:rsid w:val="60EB785D"/>
    <w:rsid w:val="60FD144A"/>
    <w:rsid w:val="61006118"/>
    <w:rsid w:val="61187559"/>
    <w:rsid w:val="614152B1"/>
    <w:rsid w:val="61494E9F"/>
    <w:rsid w:val="615C1C34"/>
    <w:rsid w:val="61947569"/>
    <w:rsid w:val="61C831F4"/>
    <w:rsid w:val="61E32600"/>
    <w:rsid w:val="61F73326"/>
    <w:rsid w:val="620E05D6"/>
    <w:rsid w:val="624C1D34"/>
    <w:rsid w:val="62855FC7"/>
    <w:rsid w:val="63025E0F"/>
    <w:rsid w:val="6302762D"/>
    <w:rsid w:val="6305741A"/>
    <w:rsid w:val="631B549D"/>
    <w:rsid w:val="63275EB3"/>
    <w:rsid w:val="632F716F"/>
    <w:rsid w:val="63405CDD"/>
    <w:rsid w:val="63417E63"/>
    <w:rsid w:val="63633078"/>
    <w:rsid w:val="636A0BC4"/>
    <w:rsid w:val="63745B22"/>
    <w:rsid w:val="63840928"/>
    <w:rsid w:val="63896059"/>
    <w:rsid w:val="639332E1"/>
    <w:rsid w:val="63962703"/>
    <w:rsid w:val="639B721A"/>
    <w:rsid w:val="639F3B5E"/>
    <w:rsid w:val="63B71B43"/>
    <w:rsid w:val="63C57C20"/>
    <w:rsid w:val="63E568B9"/>
    <w:rsid w:val="64001FF5"/>
    <w:rsid w:val="64067739"/>
    <w:rsid w:val="6424595A"/>
    <w:rsid w:val="646A3B6C"/>
    <w:rsid w:val="647A0D5F"/>
    <w:rsid w:val="64A357A5"/>
    <w:rsid w:val="64B465DA"/>
    <w:rsid w:val="64C30962"/>
    <w:rsid w:val="64EA1D0D"/>
    <w:rsid w:val="64EC0B76"/>
    <w:rsid w:val="650221E6"/>
    <w:rsid w:val="651D3B8F"/>
    <w:rsid w:val="65367FBF"/>
    <w:rsid w:val="65407D4B"/>
    <w:rsid w:val="655442DE"/>
    <w:rsid w:val="655817C1"/>
    <w:rsid w:val="658916B3"/>
    <w:rsid w:val="65B975F2"/>
    <w:rsid w:val="65BF3E3E"/>
    <w:rsid w:val="65F66165"/>
    <w:rsid w:val="6602685F"/>
    <w:rsid w:val="6607280C"/>
    <w:rsid w:val="660D094F"/>
    <w:rsid w:val="66163D30"/>
    <w:rsid w:val="667A6B18"/>
    <w:rsid w:val="669C4FA4"/>
    <w:rsid w:val="66C95E27"/>
    <w:rsid w:val="66D91562"/>
    <w:rsid w:val="66E0395C"/>
    <w:rsid w:val="66E71456"/>
    <w:rsid w:val="66E768D3"/>
    <w:rsid w:val="67154391"/>
    <w:rsid w:val="6719559D"/>
    <w:rsid w:val="675533F0"/>
    <w:rsid w:val="675C14AE"/>
    <w:rsid w:val="677009FE"/>
    <w:rsid w:val="678136F9"/>
    <w:rsid w:val="678B4C26"/>
    <w:rsid w:val="678D1228"/>
    <w:rsid w:val="679E073D"/>
    <w:rsid w:val="679F6FA2"/>
    <w:rsid w:val="67DF4D79"/>
    <w:rsid w:val="67E52DCB"/>
    <w:rsid w:val="67EB1539"/>
    <w:rsid w:val="6808751C"/>
    <w:rsid w:val="680D329B"/>
    <w:rsid w:val="681B3C4D"/>
    <w:rsid w:val="688B5943"/>
    <w:rsid w:val="688C1208"/>
    <w:rsid w:val="68A367FF"/>
    <w:rsid w:val="68A512BF"/>
    <w:rsid w:val="68C600C5"/>
    <w:rsid w:val="68D70B30"/>
    <w:rsid w:val="68FE71B7"/>
    <w:rsid w:val="68FF1E16"/>
    <w:rsid w:val="69157500"/>
    <w:rsid w:val="691D58BB"/>
    <w:rsid w:val="694E70B6"/>
    <w:rsid w:val="69AE4FB3"/>
    <w:rsid w:val="69B9610C"/>
    <w:rsid w:val="69CA68FC"/>
    <w:rsid w:val="69EF2AD0"/>
    <w:rsid w:val="69F24A94"/>
    <w:rsid w:val="69FC4749"/>
    <w:rsid w:val="69FF27F5"/>
    <w:rsid w:val="6A0333FA"/>
    <w:rsid w:val="6A0B1F30"/>
    <w:rsid w:val="6A1438AF"/>
    <w:rsid w:val="6A1831C8"/>
    <w:rsid w:val="6A1D1429"/>
    <w:rsid w:val="6A622DAE"/>
    <w:rsid w:val="6A6D5027"/>
    <w:rsid w:val="6A872E58"/>
    <w:rsid w:val="6AB11233"/>
    <w:rsid w:val="6ACB2303"/>
    <w:rsid w:val="6ADE6048"/>
    <w:rsid w:val="6AFC5936"/>
    <w:rsid w:val="6B1375BE"/>
    <w:rsid w:val="6B1C1C53"/>
    <w:rsid w:val="6B326EFB"/>
    <w:rsid w:val="6B9067E9"/>
    <w:rsid w:val="6B987A2F"/>
    <w:rsid w:val="6BC76A80"/>
    <w:rsid w:val="6BE04ECD"/>
    <w:rsid w:val="6BE91C07"/>
    <w:rsid w:val="6BF825B0"/>
    <w:rsid w:val="6C0049FF"/>
    <w:rsid w:val="6C2A58AE"/>
    <w:rsid w:val="6C3B49B9"/>
    <w:rsid w:val="6C5A6266"/>
    <w:rsid w:val="6C620CBD"/>
    <w:rsid w:val="6C693E99"/>
    <w:rsid w:val="6CA71CE2"/>
    <w:rsid w:val="6CB330A7"/>
    <w:rsid w:val="6CBC5656"/>
    <w:rsid w:val="6CE175A7"/>
    <w:rsid w:val="6CF2C61C"/>
    <w:rsid w:val="6D0B0206"/>
    <w:rsid w:val="6D8F4525"/>
    <w:rsid w:val="6DD90A9D"/>
    <w:rsid w:val="6DDA7C24"/>
    <w:rsid w:val="6DDD157E"/>
    <w:rsid w:val="6DF1163E"/>
    <w:rsid w:val="6E1509CD"/>
    <w:rsid w:val="6E3B76D4"/>
    <w:rsid w:val="6E616504"/>
    <w:rsid w:val="6E6352EA"/>
    <w:rsid w:val="6E6B3F08"/>
    <w:rsid w:val="6E830B61"/>
    <w:rsid w:val="6E871FB0"/>
    <w:rsid w:val="6E9C3E88"/>
    <w:rsid w:val="6EA9360E"/>
    <w:rsid w:val="6EB2282A"/>
    <w:rsid w:val="6EB64297"/>
    <w:rsid w:val="6EC977C0"/>
    <w:rsid w:val="6EF029B6"/>
    <w:rsid w:val="6F0417E1"/>
    <w:rsid w:val="6F0A5417"/>
    <w:rsid w:val="6F263C3C"/>
    <w:rsid w:val="6F2E7B74"/>
    <w:rsid w:val="6F8846F5"/>
    <w:rsid w:val="6F99041A"/>
    <w:rsid w:val="6FA03F75"/>
    <w:rsid w:val="6FD25BC7"/>
    <w:rsid w:val="6FDE34E3"/>
    <w:rsid w:val="6FF715E6"/>
    <w:rsid w:val="700C31EE"/>
    <w:rsid w:val="70124031"/>
    <w:rsid w:val="701C0D41"/>
    <w:rsid w:val="702C4F95"/>
    <w:rsid w:val="706F416D"/>
    <w:rsid w:val="70D23953"/>
    <w:rsid w:val="70DC0B34"/>
    <w:rsid w:val="70FD3746"/>
    <w:rsid w:val="710B7A30"/>
    <w:rsid w:val="712C0A64"/>
    <w:rsid w:val="713D3157"/>
    <w:rsid w:val="714512A4"/>
    <w:rsid w:val="714F41B3"/>
    <w:rsid w:val="7158784F"/>
    <w:rsid w:val="71872470"/>
    <w:rsid w:val="718D1B7E"/>
    <w:rsid w:val="719921EC"/>
    <w:rsid w:val="719A7212"/>
    <w:rsid w:val="719E2417"/>
    <w:rsid w:val="71B02186"/>
    <w:rsid w:val="71B042A0"/>
    <w:rsid w:val="71B45EEF"/>
    <w:rsid w:val="71BC6FEB"/>
    <w:rsid w:val="71C04FAD"/>
    <w:rsid w:val="71D77AD2"/>
    <w:rsid w:val="722608B3"/>
    <w:rsid w:val="72271FAA"/>
    <w:rsid w:val="72312AC1"/>
    <w:rsid w:val="725467FF"/>
    <w:rsid w:val="726E7219"/>
    <w:rsid w:val="7277276A"/>
    <w:rsid w:val="727B7F09"/>
    <w:rsid w:val="72820A96"/>
    <w:rsid w:val="72982F11"/>
    <w:rsid w:val="729E5B4A"/>
    <w:rsid w:val="72A05657"/>
    <w:rsid w:val="72D15192"/>
    <w:rsid w:val="72DE6833"/>
    <w:rsid w:val="72FB6E73"/>
    <w:rsid w:val="730B5227"/>
    <w:rsid w:val="73143237"/>
    <w:rsid w:val="73191193"/>
    <w:rsid w:val="731F6255"/>
    <w:rsid w:val="732112BE"/>
    <w:rsid w:val="73471C72"/>
    <w:rsid w:val="734B3502"/>
    <w:rsid w:val="738471D8"/>
    <w:rsid w:val="73B14CB5"/>
    <w:rsid w:val="73DF3E97"/>
    <w:rsid w:val="740E6E9B"/>
    <w:rsid w:val="74210653"/>
    <w:rsid w:val="74347C55"/>
    <w:rsid w:val="74472CAB"/>
    <w:rsid w:val="747C257B"/>
    <w:rsid w:val="747E63C6"/>
    <w:rsid w:val="748313C2"/>
    <w:rsid w:val="74A470E1"/>
    <w:rsid w:val="74E129D0"/>
    <w:rsid w:val="74F25790"/>
    <w:rsid w:val="74FF4D2B"/>
    <w:rsid w:val="750251CB"/>
    <w:rsid w:val="753418BD"/>
    <w:rsid w:val="75587D93"/>
    <w:rsid w:val="75591E75"/>
    <w:rsid w:val="755A6869"/>
    <w:rsid w:val="756D02AE"/>
    <w:rsid w:val="75991C74"/>
    <w:rsid w:val="759967C7"/>
    <w:rsid w:val="75AF7BBC"/>
    <w:rsid w:val="75B53112"/>
    <w:rsid w:val="75EA6933"/>
    <w:rsid w:val="76144C91"/>
    <w:rsid w:val="76447E5D"/>
    <w:rsid w:val="76477F09"/>
    <w:rsid w:val="765756E4"/>
    <w:rsid w:val="766143BF"/>
    <w:rsid w:val="769E1D5F"/>
    <w:rsid w:val="76C73716"/>
    <w:rsid w:val="77112567"/>
    <w:rsid w:val="77182584"/>
    <w:rsid w:val="772A1B8E"/>
    <w:rsid w:val="7738591E"/>
    <w:rsid w:val="77433C8A"/>
    <w:rsid w:val="774C112B"/>
    <w:rsid w:val="776971C2"/>
    <w:rsid w:val="77A26008"/>
    <w:rsid w:val="77C452CB"/>
    <w:rsid w:val="77C804D1"/>
    <w:rsid w:val="78106988"/>
    <w:rsid w:val="7837750A"/>
    <w:rsid w:val="783842C9"/>
    <w:rsid w:val="78892964"/>
    <w:rsid w:val="78AD6183"/>
    <w:rsid w:val="78C80EB7"/>
    <w:rsid w:val="78CA3F5C"/>
    <w:rsid w:val="78CB70BB"/>
    <w:rsid w:val="78DF0249"/>
    <w:rsid w:val="78E56831"/>
    <w:rsid w:val="78FA0450"/>
    <w:rsid w:val="793B7903"/>
    <w:rsid w:val="795A0C9E"/>
    <w:rsid w:val="795D6AC0"/>
    <w:rsid w:val="79690B0F"/>
    <w:rsid w:val="7973083E"/>
    <w:rsid w:val="797F181F"/>
    <w:rsid w:val="79835825"/>
    <w:rsid w:val="798C3CAF"/>
    <w:rsid w:val="79996B8B"/>
    <w:rsid w:val="79AE0B99"/>
    <w:rsid w:val="79F653ED"/>
    <w:rsid w:val="79F65524"/>
    <w:rsid w:val="7A250DDB"/>
    <w:rsid w:val="7A336EA6"/>
    <w:rsid w:val="7A4F68AD"/>
    <w:rsid w:val="7A761B7B"/>
    <w:rsid w:val="7A812719"/>
    <w:rsid w:val="7A885873"/>
    <w:rsid w:val="7A8E7BBE"/>
    <w:rsid w:val="7AB822C6"/>
    <w:rsid w:val="7AD8117C"/>
    <w:rsid w:val="7AE26CA4"/>
    <w:rsid w:val="7B172BF9"/>
    <w:rsid w:val="7B1D7A9D"/>
    <w:rsid w:val="7B222A93"/>
    <w:rsid w:val="7B227210"/>
    <w:rsid w:val="7BA2247B"/>
    <w:rsid w:val="7BAB5214"/>
    <w:rsid w:val="7BAF1FFB"/>
    <w:rsid w:val="7BCF214B"/>
    <w:rsid w:val="7BF254B9"/>
    <w:rsid w:val="7C10460B"/>
    <w:rsid w:val="7C2E0CCC"/>
    <w:rsid w:val="7C2E7554"/>
    <w:rsid w:val="7C395D62"/>
    <w:rsid w:val="7C4F648D"/>
    <w:rsid w:val="7C54469F"/>
    <w:rsid w:val="7C684851"/>
    <w:rsid w:val="7C75215F"/>
    <w:rsid w:val="7C9F7014"/>
    <w:rsid w:val="7CA827B6"/>
    <w:rsid w:val="7CA95D92"/>
    <w:rsid w:val="7CB55C35"/>
    <w:rsid w:val="7CB650A7"/>
    <w:rsid w:val="7CB70D7A"/>
    <w:rsid w:val="7CD266EE"/>
    <w:rsid w:val="7CDE16F1"/>
    <w:rsid w:val="7CEA5C90"/>
    <w:rsid w:val="7D2620BD"/>
    <w:rsid w:val="7D48035E"/>
    <w:rsid w:val="7D4A4E8A"/>
    <w:rsid w:val="7D604767"/>
    <w:rsid w:val="7D7735FA"/>
    <w:rsid w:val="7D987C19"/>
    <w:rsid w:val="7D9A699F"/>
    <w:rsid w:val="7DAE3731"/>
    <w:rsid w:val="7DB2752F"/>
    <w:rsid w:val="7DB3037D"/>
    <w:rsid w:val="7DBC5FEC"/>
    <w:rsid w:val="7DC33D88"/>
    <w:rsid w:val="7DD45379"/>
    <w:rsid w:val="7DFF1076"/>
    <w:rsid w:val="7E05195D"/>
    <w:rsid w:val="7E087607"/>
    <w:rsid w:val="7E0E2699"/>
    <w:rsid w:val="7E213C5F"/>
    <w:rsid w:val="7E5A497C"/>
    <w:rsid w:val="7E9008BE"/>
    <w:rsid w:val="7EA706AA"/>
    <w:rsid w:val="7EC34313"/>
    <w:rsid w:val="7EDC282E"/>
    <w:rsid w:val="7EDF255C"/>
    <w:rsid w:val="7EF5270E"/>
    <w:rsid w:val="7F004724"/>
    <w:rsid w:val="7F346740"/>
    <w:rsid w:val="7F392BC8"/>
    <w:rsid w:val="7F396753"/>
    <w:rsid w:val="7F6E3331"/>
    <w:rsid w:val="7FDC66E8"/>
    <w:rsid w:val="7FEB4BEA"/>
    <w:rsid w:val="7FFD0387"/>
    <w:rsid w:val="95F27964"/>
    <w:rsid w:val="CEFF9B7B"/>
    <w:rsid w:val="D6F5049C"/>
    <w:rsid w:val="F3BF7FB6"/>
    <w:rsid w:val="F9FE47C8"/>
    <w:rsid w:val="FCFB0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
    <w:name w:val="heading 1"/>
    <w:basedOn w:val="1"/>
    <w:next w:val="1"/>
    <w:link w:val="110"/>
    <w:qFormat/>
    <w:uiPriority w:val="0"/>
    <w:pPr>
      <w:keepNext/>
      <w:keepLines/>
      <w:spacing w:after="120" w:line="360" w:lineRule="auto"/>
      <w:jc w:val="left"/>
      <w:outlineLvl w:val="0"/>
    </w:pPr>
    <w:rPr>
      <w:kern w:val="44"/>
      <w:sz w:val="28"/>
      <w:szCs w:val="28"/>
    </w:rPr>
  </w:style>
  <w:style w:type="paragraph" w:styleId="6">
    <w:name w:val="heading 2"/>
    <w:basedOn w:val="1"/>
    <w:next w:val="1"/>
    <w:link w:val="106"/>
    <w:qFormat/>
    <w:uiPriority w:val="0"/>
    <w:pPr>
      <w:keepNext/>
      <w:keepLines/>
      <w:tabs>
        <w:tab w:val="right" w:leader="dot" w:pos="9060"/>
      </w:tabs>
      <w:spacing w:before="120" w:after="120" w:line="415" w:lineRule="auto"/>
      <w:ind w:left="454"/>
      <w:jc w:val="center"/>
      <w:outlineLvl w:val="1"/>
    </w:pPr>
    <w:rPr>
      <w:rFonts w:ascii="Arial" w:hAnsi="Arial"/>
      <w:b/>
      <w:color w:val="000000"/>
      <w:sz w:val="24"/>
      <w:szCs w:val="24"/>
    </w:rPr>
  </w:style>
  <w:style w:type="paragraph" w:styleId="7">
    <w:name w:val="heading 3"/>
    <w:basedOn w:val="1"/>
    <w:next w:val="1"/>
    <w:link w:val="90"/>
    <w:qFormat/>
    <w:uiPriority w:val="0"/>
    <w:pPr>
      <w:widowControl/>
      <w:spacing w:before="100" w:beforeAutospacing="1" w:after="100" w:afterAutospacing="1"/>
      <w:jc w:val="left"/>
      <w:outlineLvl w:val="2"/>
    </w:pPr>
    <w:rPr>
      <w:rFonts w:ascii="宋体" w:hAnsi="宋体" w:cs="宋体"/>
      <w:kern w:val="0"/>
      <w:sz w:val="27"/>
      <w:szCs w:val="27"/>
    </w:rPr>
  </w:style>
  <w:style w:type="paragraph" w:styleId="8">
    <w:name w:val="heading 4"/>
    <w:basedOn w:val="7"/>
    <w:next w:val="9"/>
    <w:link w:val="138"/>
    <w:qFormat/>
    <w:uiPriority w:val="0"/>
    <w:pPr>
      <w:keepNext/>
      <w:keepLines/>
      <w:widowControl w:val="0"/>
      <w:numPr>
        <w:ilvl w:val="3"/>
        <w:numId w:val="1"/>
      </w:numPr>
      <w:spacing w:before="0" w:beforeLines="50" w:beforeAutospacing="0" w:after="0" w:afterLines="50" w:afterAutospacing="0" w:line="360" w:lineRule="auto"/>
      <w:outlineLvl w:val="3"/>
    </w:pPr>
    <w:rPr>
      <w:rFonts w:ascii="Arial" w:hAnsi="Arial" w:cs="Times New Roman"/>
      <w:color w:val="000000"/>
      <w:kern w:val="2"/>
      <w:sz w:val="21"/>
      <w:szCs w:val="21"/>
    </w:rPr>
  </w:style>
  <w:style w:type="paragraph" w:styleId="10">
    <w:name w:val="heading 5"/>
    <w:basedOn w:val="8"/>
    <w:next w:val="9"/>
    <w:link w:val="139"/>
    <w:qFormat/>
    <w:uiPriority w:val="0"/>
    <w:pPr>
      <w:numPr>
        <w:ilvl w:val="4"/>
      </w:numPr>
      <w:spacing w:line="240" w:lineRule="exact"/>
      <w:outlineLvl w:val="4"/>
    </w:pPr>
  </w:style>
  <w:style w:type="paragraph" w:styleId="11">
    <w:name w:val="heading 6"/>
    <w:basedOn w:val="1"/>
    <w:next w:val="1"/>
    <w:link w:val="134"/>
    <w:qFormat/>
    <w:uiPriority w:val="0"/>
    <w:pPr>
      <w:keepNext/>
      <w:keepLines/>
      <w:numPr>
        <w:ilvl w:val="5"/>
        <w:numId w:val="2"/>
      </w:numPr>
      <w:spacing w:before="240" w:after="64" w:line="320" w:lineRule="auto"/>
      <w:outlineLvl w:val="5"/>
    </w:pPr>
    <w:rPr>
      <w:rFonts w:ascii="Arial" w:hAnsi="Arial" w:eastAsia="黑体"/>
      <w:b/>
      <w:bCs/>
      <w:sz w:val="24"/>
      <w:szCs w:val="24"/>
    </w:rPr>
  </w:style>
  <w:style w:type="paragraph" w:styleId="12">
    <w:name w:val="heading 7"/>
    <w:basedOn w:val="1"/>
    <w:next w:val="9"/>
    <w:link w:val="101"/>
    <w:qFormat/>
    <w:uiPriority w:val="0"/>
    <w:pPr>
      <w:keepNext/>
      <w:keepLines/>
      <w:numPr>
        <w:ilvl w:val="6"/>
        <w:numId w:val="1"/>
      </w:numPr>
      <w:spacing w:before="240" w:after="64" w:line="320" w:lineRule="auto"/>
      <w:outlineLvl w:val="6"/>
    </w:pPr>
    <w:rPr>
      <w:b/>
      <w:sz w:val="24"/>
      <w:szCs w:val="20"/>
    </w:rPr>
  </w:style>
  <w:style w:type="paragraph" w:styleId="13">
    <w:name w:val="heading 8"/>
    <w:basedOn w:val="1"/>
    <w:next w:val="9"/>
    <w:link w:val="125"/>
    <w:qFormat/>
    <w:uiPriority w:val="0"/>
    <w:pPr>
      <w:keepNext/>
      <w:keepLines/>
      <w:numPr>
        <w:ilvl w:val="7"/>
        <w:numId w:val="1"/>
      </w:numPr>
      <w:spacing w:before="240" w:after="64" w:line="320" w:lineRule="auto"/>
      <w:outlineLvl w:val="7"/>
    </w:pPr>
    <w:rPr>
      <w:rFonts w:ascii="Arial" w:hAnsi="Arial" w:eastAsia="黑体"/>
      <w:sz w:val="24"/>
      <w:szCs w:val="20"/>
    </w:rPr>
  </w:style>
  <w:style w:type="paragraph" w:styleId="14">
    <w:name w:val="heading 9"/>
    <w:basedOn w:val="1"/>
    <w:next w:val="9"/>
    <w:link w:val="118"/>
    <w:qFormat/>
    <w:uiPriority w:val="0"/>
    <w:pPr>
      <w:keepNext/>
      <w:keepLines/>
      <w:numPr>
        <w:ilvl w:val="8"/>
        <w:numId w:val="1"/>
      </w:numPr>
      <w:spacing w:before="240" w:after="64" w:line="320" w:lineRule="auto"/>
      <w:outlineLvl w:val="8"/>
    </w:pPr>
    <w:rPr>
      <w:rFonts w:ascii="Arial" w:hAnsi="Arial" w:eastAsia="黑体"/>
      <w:szCs w:val="20"/>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widowControl/>
      <w:spacing w:after="120"/>
      <w:ind w:left="420" w:leftChars="200" w:firstLine="420" w:firstLineChars="200"/>
      <w:jc w:val="left"/>
    </w:pPr>
    <w:rPr>
      <w:sz w:val="21"/>
    </w:rPr>
  </w:style>
  <w:style w:type="paragraph" w:styleId="3">
    <w:name w:val="Body Text Indent"/>
    <w:basedOn w:val="1"/>
    <w:next w:val="4"/>
    <w:link w:val="137"/>
    <w:qFormat/>
    <w:uiPriority w:val="0"/>
    <w:pPr>
      <w:ind w:firstLine="570"/>
    </w:pPr>
    <w:rPr>
      <w:sz w:val="28"/>
      <w:szCs w:val="20"/>
    </w:rPr>
  </w:style>
  <w:style w:type="paragraph" w:styleId="4">
    <w:name w:val="toc 9"/>
    <w:basedOn w:val="1"/>
    <w:next w:val="1"/>
    <w:qFormat/>
    <w:uiPriority w:val="39"/>
    <w:pPr>
      <w:ind w:left="1680"/>
    </w:pPr>
    <w:rPr>
      <w:sz w:val="18"/>
      <w:szCs w:val="18"/>
    </w:rPr>
  </w:style>
  <w:style w:type="paragraph" w:styleId="9">
    <w:name w:val="Normal Indent"/>
    <w:basedOn w:val="1"/>
    <w:next w:val="1"/>
    <w:qFormat/>
    <w:uiPriority w:val="0"/>
    <w:pPr>
      <w:ind w:firstLine="420"/>
    </w:pPr>
    <w:rPr>
      <w:szCs w:val="20"/>
    </w:rPr>
  </w:style>
  <w:style w:type="paragraph" w:styleId="15">
    <w:name w:val="Document Map"/>
    <w:basedOn w:val="1"/>
    <w:link w:val="131"/>
    <w:qFormat/>
    <w:uiPriority w:val="0"/>
    <w:pPr>
      <w:shd w:val="clear" w:color="auto" w:fill="000080"/>
    </w:pPr>
    <w:rPr>
      <w:szCs w:val="20"/>
    </w:rPr>
  </w:style>
  <w:style w:type="paragraph" w:styleId="16">
    <w:name w:val="annotation text"/>
    <w:basedOn w:val="1"/>
    <w:link w:val="111"/>
    <w:qFormat/>
    <w:uiPriority w:val="0"/>
    <w:pPr>
      <w:spacing w:line="360" w:lineRule="auto"/>
      <w:ind w:firstLine="523" w:firstLineChars="218"/>
      <w:jc w:val="left"/>
    </w:pPr>
    <w:rPr>
      <w:rFonts w:ascii="宋体" w:hAnsi="宋体"/>
      <w:sz w:val="24"/>
      <w:szCs w:val="24"/>
    </w:rPr>
  </w:style>
  <w:style w:type="paragraph" w:styleId="17">
    <w:name w:val="Salutation"/>
    <w:basedOn w:val="1"/>
    <w:next w:val="1"/>
    <w:qFormat/>
    <w:uiPriority w:val="0"/>
    <w:pPr>
      <w:adjustRightInd w:val="0"/>
      <w:snapToGrid w:val="0"/>
      <w:spacing w:line="500" w:lineRule="atLeast"/>
      <w:textAlignment w:val="baseline"/>
    </w:pPr>
    <w:rPr>
      <w:rFonts w:ascii="宋体"/>
      <w:b/>
      <w:kern w:val="0"/>
      <w:sz w:val="28"/>
      <w:szCs w:val="20"/>
    </w:rPr>
  </w:style>
  <w:style w:type="paragraph" w:styleId="18">
    <w:name w:val="Body Text 3"/>
    <w:basedOn w:val="1"/>
    <w:unhideWhenUsed/>
    <w:qFormat/>
    <w:uiPriority w:val="99"/>
    <w:rPr>
      <w:rFonts w:ascii="宋体"/>
      <w:sz w:val="24"/>
      <w:szCs w:val="20"/>
    </w:rPr>
  </w:style>
  <w:style w:type="paragraph" w:styleId="19">
    <w:name w:val="Body Text"/>
    <w:basedOn w:val="1"/>
    <w:link w:val="94"/>
    <w:qFormat/>
    <w:uiPriority w:val="0"/>
    <w:pPr>
      <w:spacing w:after="120"/>
    </w:pPr>
    <w:rPr>
      <w:szCs w:val="20"/>
    </w:rPr>
  </w:style>
  <w:style w:type="paragraph" w:styleId="20">
    <w:name w:val="toc 3"/>
    <w:basedOn w:val="1"/>
    <w:next w:val="1"/>
    <w:qFormat/>
    <w:uiPriority w:val="39"/>
    <w:pPr>
      <w:snapToGrid w:val="0"/>
      <w:spacing w:line="360" w:lineRule="auto"/>
      <w:ind w:left="400" w:leftChars="400"/>
      <w:jc w:val="left"/>
    </w:pPr>
    <w:rPr>
      <w:sz w:val="24"/>
      <w:szCs w:val="20"/>
    </w:rPr>
  </w:style>
  <w:style w:type="paragraph" w:styleId="21">
    <w:name w:val="Plain Text"/>
    <w:basedOn w:val="1"/>
    <w:link w:val="98"/>
    <w:qFormat/>
    <w:uiPriority w:val="0"/>
    <w:rPr>
      <w:rFonts w:ascii="宋体" w:hAnsi="Courier New"/>
      <w:szCs w:val="20"/>
    </w:rPr>
  </w:style>
  <w:style w:type="paragraph" w:styleId="22">
    <w:name w:val="Date"/>
    <w:basedOn w:val="1"/>
    <w:next w:val="1"/>
    <w:link w:val="85"/>
    <w:qFormat/>
    <w:uiPriority w:val="0"/>
    <w:rPr>
      <w:szCs w:val="20"/>
    </w:rPr>
  </w:style>
  <w:style w:type="paragraph" w:styleId="23">
    <w:name w:val="Body Text Indent 2"/>
    <w:basedOn w:val="1"/>
    <w:link w:val="102"/>
    <w:qFormat/>
    <w:uiPriority w:val="0"/>
    <w:pPr>
      <w:spacing w:line="400" w:lineRule="exact"/>
      <w:ind w:left="425"/>
    </w:pPr>
    <w:rPr>
      <w:color w:val="000000"/>
      <w:sz w:val="24"/>
      <w:szCs w:val="20"/>
    </w:rPr>
  </w:style>
  <w:style w:type="paragraph" w:styleId="24">
    <w:name w:val="endnote text"/>
    <w:basedOn w:val="1"/>
    <w:link w:val="87"/>
    <w:qFormat/>
    <w:uiPriority w:val="0"/>
    <w:pPr>
      <w:snapToGrid w:val="0"/>
      <w:jc w:val="left"/>
    </w:pPr>
    <w:rPr>
      <w:szCs w:val="20"/>
    </w:rPr>
  </w:style>
  <w:style w:type="paragraph" w:styleId="25">
    <w:name w:val="Balloon Text"/>
    <w:basedOn w:val="1"/>
    <w:link w:val="88"/>
    <w:qFormat/>
    <w:uiPriority w:val="0"/>
    <w:rPr>
      <w:sz w:val="18"/>
      <w:szCs w:val="18"/>
    </w:rPr>
  </w:style>
  <w:style w:type="paragraph" w:styleId="26">
    <w:name w:val="footer"/>
    <w:basedOn w:val="1"/>
    <w:link w:val="104"/>
    <w:unhideWhenUsed/>
    <w:qFormat/>
    <w:uiPriority w:val="0"/>
    <w:pPr>
      <w:tabs>
        <w:tab w:val="center" w:pos="4153"/>
        <w:tab w:val="right" w:pos="8306"/>
      </w:tabs>
      <w:snapToGrid w:val="0"/>
      <w:jc w:val="left"/>
    </w:pPr>
    <w:rPr>
      <w:sz w:val="18"/>
      <w:szCs w:val="18"/>
    </w:rPr>
  </w:style>
  <w:style w:type="paragraph" w:styleId="27">
    <w:name w:val="header"/>
    <w:basedOn w:val="1"/>
    <w:link w:val="122"/>
    <w:unhideWhenUsed/>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tabs>
        <w:tab w:val="right" w:leader="dot" w:pos="9060"/>
      </w:tabs>
      <w:adjustRightInd w:val="0"/>
      <w:snapToGrid w:val="0"/>
      <w:spacing w:line="360" w:lineRule="auto"/>
      <w:jc w:val="left"/>
      <w:textAlignment w:val="baseline"/>
    </w:pPr>
    <w:rPr>
      <w:rFonts w:ascii="宋体" w:hAnsi="宋体"/>
      <w:caps/>
      <w:kern w:val="0"/>
      <w:sz w:val="24"/>
      <w:szCs w:val="32"/>
    </w:rPr>
  </w:style>
  <w:style w:type="paragraph" w:styleId="29">
    <w:name w:val="footnote text"/>
    <w:basedOn w:val="1"/>
    <w:link w:val="133"/>
    <w:qFormat/>
    <w:uiPriority w:val="0"/>
    <w:pPr>
      <w:snapToGrid w:val="0"/>
      <w:spacing w:line="360" w:lineRule="auto"/>
      <w:ind w:firstLine="523" w:firstLineChars="218"/>
      <w:jc w:val="left"/>
    </w:pPr>
    <w:rPr>
      <w:rFonts w:ascii="宋体" w:hAnsi="宋体"/>
      <w:sz w:val="18"/>
      <w:szCs w:val="18"/>
    </w:rPr>
  </w:style>
  <w:style w:type="paragraph" w:styleId="30">
    <w:name w:val="Body Text Indent 3"/>
    <w:basedOn w:val="1"/>
    <w:link w:val="116"/>
    <w:qFormat/>
    <w:uiPriority w:val="0"/>
    <w:pPr>
      <w:tabs>
        <w:tab w:val="left" w:pos="0"/>
      </w:tabs>
      <w:spacing w:line="400" w:lineRule="exact"/>
      <w:ind w:left="563" w:leftChars="228" w:hanging="84" w:hangingChars="35"/>
    </w:pPr>
    <w:rPr>
      <w:color w:val="000000"/>
      <w:sz w:val="24"/>
      <w:szCs w:val="20"/>
    </w:rPr>
  </w:style>
  <w:style w:type="paragraph" w:styleId="31">
    <w:name w:val="toc 2"/>
    <w:basedOn w:val="1"/>
    <w:next w:val="1"/>
    <w:qFormat/>
    <w:uiPriority w:val="39"/>
    <w:pPr>
      <w:tabs>
        <w:tab w:val="right" w:leader="dot" w:pos="9060"/>
      </w:tabs>
      <w:snapToGrid w:val="0"/>
      <w:spacing w:line="360" w:lineRule="auto"/>
      <w:ind w:left="420" w:leftChars="200"/>
      <w:jc w:val="left"/>
    </w:pPr>
    <w:rPr>
      <w:sz w:val="24"/>
      <w:szCs w:val="24"/>
    </w:rPr>
  </w:style>
  <w:style w:type="paragraph" w:styleId="32">
    <w:name w:val="Body Text 2"/>
    <w:basedOn w:val="1"/>
    <w:link w:val="135"/>
    <w:qFormat/>
    <w:uiPriority w:val="0"/>
    <w:rPr>
      <w:rFonts w:ascii="宋体" w:hAnsi="宋体"/>
      <w:szCs w:val="24"/>
      <w:u w:val="single"/>
    </w:rPr>
  </w:style>
  <w:style w:type="paragraph" w:styleId="33">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34">
    <w:name w:val="index 1"/>
    <w:basedOn w:val="1"/>
    <w:next w:val="1"/>
    <w:qFormat/>
    <w:uiPriority w:val="0"/>
    <w:rPr>
      <w:rFonts w:eastAsia="仿宋_GB2312"/>
      <w:sz w:val="28"/>
      <w:szCs w:val="20"/>
    </w:rPr>
  </w:style>
  <w:style w:type="paragraph" w:styleId="35">
    <w:name w:val="Title"/>
    <w:basedOn w:val="1"/>
    <w:link w:val="95"/>
    <w:qFormat/>
    <w:uiPriority w:val="0"/>
    <w:pPr>
      <w:spacing w:before="120" w:after="60"/>
      <w:jc w:val="center"/>
    </w:pPr>
    <w:rPr>
      <w:rFonts w:ascii="Arial" w:hAnsi="Arial"/>
      <w:b/>
      <w:sz w:val="44"/>
      <w:szCs w:val="20"/>
    </w:rPr>
  </w:style>
  <w:style w:type="paragraph" w:styleId="36">
    <w:name w:val="annotation subject"/>
    <w:basedOn w:val="16"/>
    <w:next w:val="16"/>
    <w:link w:val="91"/>
    <w:qFormat/>
    <w:uiPriority w:val="0"/>
    <w:rPr>
      <w:b/>
      <w:bCs/>
    </w:rPr>
  </w:style>
  <w:style w:type="paragraph" w:styleId="37">
    <w:name w:val="Body Text First Indent"/>
    <w:basedOn w:val="19"/>
    <w:link w:val="97"/>
    <w:qFormat/>
    <w:uiPriority w:val="0"/>
    <w:pPr>
      <w:ind w:firstLine="420"/>
    </w:p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0"/>
    <w:rPr>
      <w:b/>
    </w:rPr>
  </w:style>
  <w:style w:type="character" w:styleId="42">
    <w:name w:val="endnote reference"/>
    <w:qFormat/>
    <w:uiPriority w:val="0"/>
    <w:rPr>
      <w:vertAlign w:val="superscript"/>
    </w:rPr>
  </w:style>
  <w:style w:type="character" w:styleId="43">
    <w:name w:val="page number"/>
    <w:qFormat/>
    <w:uiPriority w:val="0"/>
    <w:rPr>
      <w:rFonts w:cs="Times New Roman"/>
    </w:rPr>
  </w:style>
  <w:style w:type="character" w:styleId="44">
    <w:name w:val="FollowedHyperlink"/>
    <w:unhideWhenUsed/>
    <w:qFormat/>
    <w:uiPriority w:val="99"/>
    <w:rPr>
      <w:color w:val="954F72"/>
      <w:u w:val="single"/>
    </w:rPr>
  </w:style>
  <w:style w:type="character" w:styleId="45">
    <w:name w:val="Emphasis"/>
    <w:qFormat/>
    <w:uiPriority w:val="20"/>
    <w:rPr>
      <w:color w:val="CC0000"/>
    </w:rPr>
  </w:style>
  <w:style w:type="character" w:styleId="46">
    <w:name w:val="HTML Definition"/>
    <w:basedOn w:val="40"/>
    <w:unhideWhenUsed/>
    <w:qFormat/>
    <w:uiPriority w:val="99"/>
  </w:style>
  <w:style w:type="character" w:styleId="47">
    <w:name w:val="HTML Acronym"/>
    <w:basedOn w:val="40"/>
    <w:unhideWhenUsed/>
    <w:qFormat/>
    <w:uiPriority w:val="99"/>
  </w:style>
  <w:style w:type="character" w:styleId="48">
    <w:name w:val="HTML Variable"/>
    <w:basedOn w:val="40"/>
    <w:unhideWhenUsed/>
    <w:qFormat/>
    <w:uiPriority w:val="99"/>
  </w:style>
  <w:style w:type="character" w:styleId="49">
    <w:name w:val="Hyperlink"/>
    <w:basedOn w:val="40"/>
    <w:qFormat/>
    <w:uiPriority w:val="99"/>
    <w:rPr>
      <w:color w:val="000000"/>
      <w:u w:val="none"/>
    </w:rPr>
  </w:style>
  <w:style w:type="character" w:styleId="50">
    <w:name w:val="HTML Code"/>
    <w:basedOn w:val="40"/>
    <w:unhideWhenUsed/>
    <w:qFormat/>
    <w:uiPriority w:val="99"/>
    <w:rPr>
      <w:rFonts w:ascii="Courier New" w:hAnsi="Courier New"/>
      <w:sz w:val="20"/>
    </w:rPr>
  </w:style>
  <w:style w:type="character" w:styleId="51">
    <w:name w:val="annotation reference"/>
    <w:qFormat/>
    <w:uiPriority w:val="0"/>
    <w:rPr>
      <w:sz w:val="21"/>
      <w:szCs w:val="21"/>
    </w:rPr>
  </w:style>
  <w:style w:type="character" w:styleId="52">
    <w:name w:val="HTML Cite"/>
    <w:basedOn w:val="40"/>
    <w:unhideWhenUsed/>
    <w:qFormat/>
    <w:uiPriority w:val="99"/>
  </w:style>
  <w:style w:type="character" w:styleId="53">
    <w:name w:val="footnote reference"/>
    <w:qFormat/>
    <w:uiPriority w:val="0"/>
    <w:rPr>
      <w:vertAlign w:val="superscript"/>
    </w:rPr>
  </w:style>
  <w:style w:type="paragraph" w:customStyle="1" w:styleId="54">
    <w:name w:val="样式 正文首行缩进 2 + Arial"/>
    <w:basedOn w:val="1"/>
    <w:next w:val="1"/>
    <w:qFormat/>
    <w:uiPriority w:val="0"/>
    <w:pPr>
      <w:spacing w:before="100" w:beforeAutospacing="1" w:after="120" w:line="320" w:lineRule="atLeast"/>
      <w:ind w:firstLine="200" w:firstLineChars="200"/>
    </w:pPr>
    <w:rPr>
      <w:rFonts w:ascii="Arial" w:hAnsi="Arial" w:cs="Arial"/>
    </w:rPr>
  </w:style>
  <w:style w:type="paragraph" w:customStyle="1" w:styleId="55">
    <w:name w:val="Default"/>
    <w:next w:val="9"/>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6">
    <w:name w:val="公文标题"/>
    <w:basedOn w:val="7"/>
    <w:qFormat/>
    <w:uiPriority w:val="0"/>
    <w:pPr>
      <w:keepNext/>
      <w:keepLines/>
      <w:widowControl w:val="0"/>
      <w:spacing w:before="0" w:beforeAutospacing="0" w:after="0" w:afterAutospacing="0"/>
      <w:ind w:left="1469" w:right="1542"/>
    </w:pPr>
    <w:rPr>
      <w:rFonts w:hAnsi="Times New Roman" w:cs="Times New Roman"/>
      <w:b/>
      <w:kern w:val="2"/>
      <w:sz w:val="44"/>
      <w:szCs w:val="21"/>
    </w:rPr>
  </w:style>
  <w:style w:type="paragraph" w:customStyle="1" w:styleId="57">
    <w:name w:val="表头"/>
    <w:basedOn w:val="1"/>
    <w:qFormat/>
    <w:uiPriority w:val="0"/>
    <w:pPr>
      <w:spacing w:line="360" w:lineRule="auto"/>
      <w:jc w:val="center"/>
    </w:pPr>
    <w:rPr>
      <w:rFonts w:ascii="黑体" w:eastAsia="黑体"/>
      <w:kern w:val="0"/>
      <w:sz w:val="24"/>
      <w:szCs w:val="20"/>
    </w:rPr>
  </w:style>
  <w:style w:type="paragraph" w:customStyle="1" w:styleId="58">
    <w:name w:val="正题"/>
    <w:basedOn w:val="59"/>
    <w:next w:val="59"/>
    <w:qFormat/>
    <w:uiPriority w:val="0"/>
    <w:pPr>
      <w:ind w:firstLine="0" w:firstLineChars="0"/>
      <w:jc w:val="center"/>
    </w:pPr>
    <w:rPr>
      <w:rFonts w:eastAsia="黑体"/>
      <w:b/>
      <w:sz w:val="36"/>
      <w:szCs w:val="36"/>
    </w:rPr>
  </w:style>
  <w:style w:type="paragraph" w:customStyle="1" w:styleId="59">
    <w:name w:val="文一"/>
    <w:basedOn w:val="1"/>
    <w:qFormat/>
    <w:uiPriority w:val="0"/>
    <w:pPr>
      <w:topLinePunct/>
      <w:adjustRightInd w:val="0"/>
      <w:snapToGrid w:val="0"/>
      <w:spacing w:line="360" w:lineRule="auto"/>
      <w:ind w:firstLine="200" w:firstLineChars="200"/>
    </w:pPr>
    <w:rPr>
      <w:spacing w:val="4"/>
      <w:kern w:val="0"/>
      <w:sz w:val="24"/>
      <w:szCs w:val="24"/>
    </w:rPr>
  </w:style>
  <w:style w:type="paragraph" w:customStyle="1" w:styleId="60">
    <w:name w:val="文一 New"/>
    <w:basedOn w:val="1"/>
    <w:qFormat/>
    <w:uiPriority w:val="0"/>
    <w:pPr>
      <w:topLinePunct/>
      <w:adjustRightInd w:val="0"/>
      <w:snapToGrid w:val="0"/>
      <w:spacing w:line="360" w:lineRule="auto"/>
      <w:ind w:firstLine="200" w:firstLineChars="200"/>
    </w:pPr>
    <w:rPr>
      <w:snapToGrid w:val="0"/>
      <w:spacing w:val="4"/>
      <w:sz w:val="24"/>
      <w:szCs w:val="24"/>
    </w:rPr>
  </w:style>
  <w:style w:type="paragraph" w:customStyle="1" w:styleId="6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62">
    <w:name w:val="_Style 25"/>
    <w:basedOn w:val="1"/>
    <w:next w:val="1"/>
    <w:qFormat/>
    <w:uiPriority w:val="0"/>
  </w:style>
  <w:style w:type="paragraph" w:customStyle="1" w:styleId="63">
    <w:name w:val="_Style 61"/>
    <w:basedOn w:val="5"/>
    <w:next w:val="1"/>
    <w:qFormat/>
    <w:uiPriority w:val="39"/>
    <w:pPr>
      <w:widowControl/>
      <w:spacing w:before="480" w:after="0" w:line="276" w:lineRule="auto"/>
      <w:outlineLvl w:val="9"/>
    </w:pPr>
    <w:rPr>
      <w:rFonts w:ascii="Cambria" w:hAnsi="Cambria"/>
      <w:color w:val="365F91"/>
      <w:kern w:val="0"/>
    </w:rPr>
  </w:style>
  <w:style w:type="paragraph" w:customStyle="1" w:styleId="64">
    <w:name w:val="封四"/>
    <w:basedOn w:val="59"/>
    <w:next w:val="59"/>
    <w:qFormat/>
    <w:uiPriority w:val="0"/>
    <w:pPr>
      <w:jc w:val="left"/>
    </w:pPr>
    <w:rPr>
      <w:sz w:val="30"/>
      <w:szCs w:val="30"/>
    </w:rPr>
  </w:style>
  <w:style w:type="paragraph" w:customStyle="1" w:styleId="65">
    <w:name w:val="A正文"/>
    <w:basedOn w:val="1"/>
    <w:qFormat/>
    <w:uiPriority w:val="0"/>
    <w:pPr>
      <w:overflowPunct w:val="0"/>
      <w:autoSpaceDE w:val="0"/>
      <w:autoSpaceDN w:val="0"/>
      <w:spacing w:line="360" w:lineRule="auto"/>
      <w:ind w:firstLine="200" w:firstLineChars="200"/>
    </w:pPr>
    <w:rPr>
      <w:rFonts w:ascii="等线" w:hAnsi="等线" w:eastAsia="仿宋_GB2312" w:cs="黑体"/>
      <w:sz w:val="24"/>
      <w:szCs w:val="24"/>
    </w:rPr>
  </w:style>
  <w:style w:type="paragraph" w:customStyle="1" w:styleId="66">
    <w:name w:val="Char1"/>
    <w:basedOn w:val="1"/>
    <w:qFormat/>
    <w:uiPriority w:val="0"/>
    <w:pPr>
      <w:numPr>
        <w:ilvl w:val="0"/>
        <w:numId w:val="1"/>
      </w:numPr>
    </w:pPr>
    <w:rPr>
      <w:sz w:val="24"/>
      <w:szCs w:val="24"/>
    </w:rPr>
  </w:style>
  <w:style w:type="paragraph" w:customStyle="1" w:styleId="67">
    <w:name w:val="文二"/>
    <w:basedOn w:val="1"/>
    <w:qFormat/>
    <w:uiPriority w:val="0"/>
    <w:pPr>
      <w:jc w:val="left"/>
    </w:pPr>
    <w:rPr>
      <w:rFonts w:ascii="宋体" w:hAnsi="宋体"/>
      <w:szCs w:val="21"/>
    </w:rPr>
  </w:style>
  <w:style w:type="paragraph" w:customStyle="1" w:styleId="68">
    <w:name w:val="TOC 标题1"/>
    <w:basedOn w:val="5"/>
    <w:next w:val="1"/>
    <w:qFormat/>
    <w:uiPriority w:val="0"/>
    <w:pPr>
      <w:widowControl/>
      <w:spacing w:before="480" w:after="0" w:line="276" w:lineRule="auto"/>
      <w:outlineLvl w:val="9"/>
    </w:pPr>
    <w:rPr>
      <w:rFonts w:ascii="Cambria" w:hAnsi="Cambria"/>
      <w:color w:val="365F91"/>
      <w:kern w:val="0"/>
      <w:szCs w:val="20"/>
    </w:rPr>
  </w:style>
  <w:style w:type="paragraph" w:customStyle="1" w:styleId="69">
    <w:name w:val="封一"/>
    <w:basedOn w:val="59"/>
    <w:next w:val="59"/>
    <w:qFormat/>
    <w:uiPriority w:val="0"/>
    <w:pPr>
      <w:ind w:firstLine="0" w:firstLineChars="0"/>
      <w:jc w:val="center"/>
    </w:pPr>
    <w:rPr>
      <w:rFonts w:eastAsia="黑体"/>
      <w:b/>
      <w:sz w:val="84"/>
      <w:szCs w:val="84"/>
    </w:rPr>
  </w:style>
  <w:style w:type="paragraph" w:customStyle="1" w:styleId="70">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71">
    <w:name w:val="发文落款"/>
    <w:basedOn w:val="70"/>
    <w:qFormat/>
    <w:uiPriority w:val="0"/>
    <w:pPr>
      <w:ind w:left="4094" w:right="607" w:firstLine="0"/>
      <w:jc w:val="center"/>
    </w:pPr>
  </w:style>
  <w:style w:type="paragraph" w:customStyle="1" w:styleId="72">
    <w:name w:val="公文抬头"/>
    <w:basedOn w:val="9"/>
    <w:qFormat/>
    <w:uiPriority w:val="0"/>
    <w:pPr>
      <w:ind w:firstLine="0"/>
    </w:pPr>
    <w:rPr>
      <w:rFonts w:ascii="仿宋_GB2312" w:eastAsia="仿宋_GB2312"/>
      <w:sz w:val="30"/>
      <w:szCs w:val="24"/>
    </w:rPr>
  </w:style>
  <w:style w:type="paragraph" w:customStyle="1" w:styleId="73">
    <w:name w:val="正文文本3"/>
    <w:basedOn w:val="1"/>
    <w:qFormat/>
    <w:uiPriority w:val="0"/>
    <w:pPr>
      <w:shd w:val="clear" w:color="auto" w:fill="FFFFFF"/>
      <w:spacing w:line="0" w:lineRule="atLeast"/>
      <w:jc w:val="left"/>
    </w:pPr>
    <w:rPr>
      <w:rFonts w:ascii="宋体" w:hAnsi="宋体"/>
      <w:kern w:val="0"/>
      <w:sz w:val="19"/>
      <w:szCs w:val="19"/>
    </w:rPr>
  </w:style>
  <w:style w:type="paragraph" w:customStyle="1" w:styleId="74">
    <w:name w:val="_Style 3"/>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75">
    <w:name w:val="Normal Indent1"/>
    <w:basedOn w:val="1"/>
    <w:qFormat/>
    <w:uiPriority w:val="0"/>
    <w:pPr>
      <w:ind w:firstLine="624"/>
      <w:jc w:val="left"/>
    </w:pPr>
  </w:style>
  <w:style w:type="paragraph" w:customStyle="1" w:styleId="76">
    <w:name w:val="章节三"/>
    <w:basedOn w:val="59"/>
    <w:next w:val="59"/>
    <w:qFormat/>
    <w:uiPriority w:val="0"/>
    <w:pPr>
      <w:spacing w:before="156" w:beforeLines="50" w:after="156" w:afterLines="50" w:line="240" w:lineRule="auto"/>
      <w:ind w:firstLine="0" w:firstLineChars="0"/>
      <w:jc w:val="left"/>
      <w:outlineLvl w:val="2"/>
    </w:pPr>
    <w:rPr>
      <w:rFonts w:ascii="黑体" w:hAnsi="宋体" w:eastAsia="黑体"/>
      <w:b/>
    </w:rPr>
  </w:style>
  <w:style w:type="paragraph" w:customStyle="1" w:styleId="77">
    <w:name w:val="Char Char Char Char"/>
    <w:basedOn w:val="1"/>
    <w:qFormat/>
    <w:uiPriority w:val="0"/>
    <w:rPr>
      <w:sz w:val="30"/>
      <w:szCs w:val="24"/>
    </w:rPr>
  </w:style>
  <w:style w:type="paragraph" w:styleId="78">
    <w:name w:val="List Paragraph"/>
    <w:basedOn w:val="1"/>
    <w:qFormat/>
    <w:uiPriority w:val="34"/>
    <w:pPr>
      <w:ind w:firstLine="420" w:firstLineChars="200"/>
    </w:pPr>
    <w:rPr>
      <w:szCs w:val="20"/>
    </w:rPr>
  </w:style>
  <w:style w:type="paragraph" w:customStyle="1" w:styleId="79">
    <w:name w:val="Char Char Char1 Char"/>
    <w:basedOn w:val="15"/>
    <w:qFormat/>
    <w:uiPriority w:val="0"/>
    <w:rPr>
      <w:rFonts w:ascii="Tahoma" w:hAnsi="Tahoma"/>
      <w:sz w:val="24"/>
      <w:szCs w:val="24"/>
    </w:rPr>
  </w:style>
  <w:style w:type="paragraph" w:customStyle="1" w:styleId="80">
    <w:name w:val="_Style 78"/>
    <w:semiHidden/>
    <w:qFormat/>
    <w:uiPriority w:val="99"/>
    <w:rPr>
      <w:rFonts w:ascii="Times New Roman" w:hAnsi="Times New Roman" w:eastAsia="宋体" w:cs="Times New Roman"/>
      <w:kern w:val="2"/>
      <w:sz w:val="21"/>
      <w:lang w:val="en-US" w:eastAsia="zh-CN" w:bidi="ar-SA"/>
    </w:rPr>
  </w:style>
  <w:style w:type="paragraph" w:customStyle="1" w:styleId="81">
    <w:name w:val="Char"/>
    <w:basedOn w:val="1"/>
    <w:qFormat/>
    <w:uiPriority w:val="0"/>
    <w:rPr>
      <w:rFonts w:ascii="Tahoma" w:hAnsi="Tahoma"/>
      <w:sz w:val="24"/>
      <w:szCs w:val="20"/>
    </w:rPr>
  </w:style>
  <w:style w:type="paragraph" w:customStyle="1" w:styleId="82">
    <w:name w:val="普通(网站) Char"/>
    <w:basedOn w:val="1"/>
    <w:qFormat/>
    <w:uiPriority w:val="0"/>
    <w:pPr>
      <w:spacing w:before="100" w:beforeAutospacing="1" w:after="100" w:afterAutospacing="1"/>
      <w:jc w:val="left"/>
    </w:pPr>
    <w:rPr>
      <w:rFonts w:hint="eastAsia" w:ascii="宋体" w:hAnsi="宋体"/>
      <w:kern w:val="0"/>
      <w:sz w:val="24"/>
      <w:szCs w:val="24"/>
    </w:rPr>
  </w:style>
  <w:style w:type="paragraph" w:customStyle="1" w:styleId="83">
    <w:name w:val="封二"/>
    <w:basedOn w:val="59"/>
    <w:next w:val="59"/>
    <w:qFormat/>
    <w:uiPriority w:val="0"/>
    <w:pPr>
      <w:ind w:firstLine="0" w:firstLineChars="0"/>
      <w:jc w:val="center"/>
    </w:pPr>
    <w:rPr>
      <w:rFonts w:eastAsia="黑体"/>
      <w:b/>
      <w:sz w:val="36"/>
      <w:szCs w:val="36"/>
    </w:rPr>
  </w:style>
  <w:style w:type="character" w:customStyle="1" w:styleId="84">
    <w:name w:val="页眉 字符"/>
    <w:semiHidden/>
    <w:qFormat/>
    <w:uiPriority w:val="99"/>
    <w:rPr>
      <w:rFonts w:ascii="Calibri" w:hAnsi="Calibri" w:eastAsia="宋体" w:cs="Times New Roman"/>
      <w:sz w:val="18"/>
      <w:szCs w:val="18"/>
    </w:rPr>
  </w:style>
  <w:style w:type="character" w:customStyle="1" w:styleId="85">
    <w:name w:val="日期 字符1"/>
    <w:link w:val="22"/>
    <w:qFormat/>
    <w:uiPriority w:val="0"/>
    <w:rPr>
      <w:rFonts w:ascii="Times New Roman" w:hAnsi="Times New Roman" w:eastAsia="宋体" w:cs="Times New Roman"/>
      <w:szCs w:val="20"/>
    </w:rPr>
  </w:style>
  <w:style w:type="character" w:customStyle="1" w:styleId="86">
    <w:name w:val="标题 1 字符"/>
    <w:qFormat/>
    <w:uiPriority w:val="9"/>
    <w:rPr>
      <w:rFonts w:ascii="Calibri" w:hAnsi="Calibri" w:eastAsia="宋体" w:cs="Times New Roman"/>
      <w:b/>
      <w:bCs/>
      <w:kern w:val="44"/>
      <w:sz w:val="44"/>
      <w:szCs w:val="44"/>
    </w:rPr>
  </w:style>
  <w:style w:type="character" w:customStyle="1" w:styleId="87">
    <w:name w:val="尾注文本 字符1"/>
    <w:link w:val="24"/>
    <w:qFormat/>
    <w:uiPriority w:val="0"/>
    <w:rPr>
      <w:rFonts w:ascii="Times New Roman" w:hAnsi="Times New Roman" w:eastAsia="宋体" w:cs="Times New Roman"/>
      <w:szCs w:val="20"/>
    </w:rPr>
  </w:style>
  <w:style w:type="character" w:customStyle="1" w:styleId="88">
    <w:name w:val="批注框文本 字符1"/>
    <w:link w:val="25"/>
    <w:qFormat/>
    <w:uiPriority w:val="0"/>
    <w:rPr>
      <w:rFonts w:ascii="Times New Roman" w:hAnsi="Times New Roman" w:eastAsia="宋体" w:cs="Times New Roman"/>
      <w:sz w:val="18"/>
      <w:szCs w:val="18"/>
    </w:rPr>
  </w:style>
  <w:style w:type="character" w:customStyle="1" w:styleId="89">
    <w:name w:val="hover"/>
    <w:basedOn w:val="40"/>
    <w:qFormat/>
    <w:uiPriority w:val="0"/>
    <w:rPr>
      <w:color w:val="0063BA"/>
    </w:rPr>
  </w:style>
  <w:style w:type="character" w:customStyle="1" w:styleId="90">
    <w:name w:val="标题 3 字符1"/>
    <w:link w:val="7"/>
    <w:qFormat/>
    <w:uiPriority w:val="0"/>
    <w:rPr>
      <w:rFonts w:ascii="宋体" w:hAnsi="宋体" w:eastAsia="宋体" w:cs="宋体"/>
      <w:kern w:val="0"/>
      <w:sz w:val="27"/>
      <w:szCs w:val="27"/>
    </w:rPr>
  </w:style>
  <w:style w:type="character" w:customStyle="1" w:styleId="91">
    <w:name w:val="批注主题 字符1"/>
    <w:link w:val="36"/>
    <w:qFormat/>
    <w:uiPriority w:val="0"/>
    <w:rPr>
      <w:rFonts w:ascii="宋体" w:hAnsi="宋体" w:eastAsia="宋体" w:cs="Times New Roman"/>
      <w:b/>
      <w:bCs/>
      <w:sz w:val="24"/>
      <w:szCs w:val="24"/>
    </w:rPr>
  </w:style>
  <w:style w:type="character" w:customStyle="1" w:styleId="92">
    <w:name w:val="标题 8 字符"/>
    <w:semiHidden/>
    <w:qFormat/>
    <w:uiPriority w:val="9"/>
    <w:rPr>
      <w:rFonts w:ascii="等线 Light" w:hAnsi="等线 Light" w:eastAsia="等线 Light" w:cs="Times New Roman"/>
      <w:sz w:val="24"/>
      <w:szCs w:val="24"/>
    </w:rPr>
  </w:style>
  <w:style w:type="character" w:customStyle="1" w:styleId="93">
    <w:name w:val="批注文字 字符"/>
    <w:semiHidden/>
    <w:qFormat/>
    <w:uiPriority w:val="99"/>
    <w:rPr>
      <w:rFonts w:ascii="Calibri" w:hAnsi="Calibri" w:eastAsia="宋体" w:cs="Times New Roman"/>
    </w:rPr>
  </w:style>
  <w:style w:type="character" w:customStyle="1" w:styleId="94">
    <w:name w:val="正文文本 字符1"/>
    <w:link w:val="19"/>
    <w:qFormat/>
    <w:uiPriority w:val="0"/>
    <w:rPr>
      <w:rFonts w:ascii="Times New Roman" w:hAnsi="Times New Roman" w:eastAsia="宋体" w:cs="Times New Roman"/>
      <w:szCs w:val="20"/>
    </w:rPr>
  </w:style>
  <w:style w:type="character" w:customStyle="1" w:styleId="95">
    <w:name w:val="标题 字符1"/>
    <w:link w:val="35"/>
    <w:qFormat/>
    <w:uiPriority w:val="0"/>
    <w:rPr>
      <w:rFonts w:ascii="Arial" w:hAnsi="Arial" w:eastAsia="宋体" w:cs="Times New Roman"/>
      <w:b/>
      <w:sz w:val="44"/>
      <w:szCs w:val="20"/>
    </w:rPr>
  </w:style>
  <w:style w:type="character" w:customStyle="1" w:styleId="96">
    <w:name w:val="尾注文本 字符"/>
    <w:semiHidden/>
    <w:qFormat/>
    <w:uiPriority w:val="99"/>
    <w:rPr>
      <w:rFonts w:ascii="Calibri" w:hAnsi="Calibri" w:eastAsia="宋体" w:cs="Times New Roman"/>
    </w:rPr>
  </w:style>
  <w:style w:type="character" w:customStyle="1" w:styleId="97">
    <w:name w:val="正文首行缩进 字符1"/>
    <w:link w:val="37"/>
    <w:qFormat/>
    <w:uiPriority w:val="0"/>
  </w:style>
  <w:style w:type="character" w:customStyle="1" w:styleId="98">
    <w:name w:val="纯文本 字符1"/>
    <w:link w:val="21"/>
    <w:qFormat/>
    <w:uiPriority w:val="0"/>
    <w:rPr>
      <w:rFonts w:ascii="宋体" w:hAnsi="Courier New" w:eastAsia="宋体" w:cs="Times New Roman"/>
      <w:szCs w:val="20"/>
    </w:rPr>
  </w:style>
  <w:style w:type="character" w:customStyle="1" w:styleId="99">
    <w:name w:val="正文文本缩进 3 字符"/>
    <w:semiHidden/>
    <w:qFormat/>
    <w:uiPriority w:val="99"/>
    <w:rPr>
      <w:rFonts w:ascii="Calibri" w:hAnsi="Calibri" w:eastAsia="宋体" w:cs="Times New Roman"/>
      <w:sz w:val="16"/>
      <w:szCs w:val="16"/>
    </w:rPr>
  </w:style>
  <w:style w:type="character" w:customStyle="1" w:styleId="100">
    <w:name w:val="标题 字符"/>
    <w:qFormat/>
    <w:uiPriority w:val="10"/>
    <w:rPr>
      <w:rFonts w:ascii="等线 Light" w:hAnsi="等线 Light" w:eastAsia="等线 Light" w:cs="Times New Roman"/>
      <w:b/>
      <w:bCs/>
      <w:sz w:val="32"/>
      <w:szCs w:val="32"/>
    </w:rPr>
  </w:style>
  <w:style w:type="character" w:customStyle="1" w:styleId="101">
    <w:name w:val="标题 7 字符1"/>
    <w:link w:val="12"/>
    <w:qFormat/>
    <w:uiPriority w:val="0"/>
    <w:rPr>
      <w:rFonts w:ascii="Times New Roman" w:hAnsi="Times New Roman" w:eastAsia="宋体" w:cs="Times New Roman"/>
      <w:b/>
      <w:sz w:val="24"/>
      <w:szCs w:val="20"/>
    </w:rPr>
  </w:style>
  <w:style w:type="character" w:customStyle="1" w:styleId="102">
    <w:name w:val="正文文本缩进 2 字符1"/>
    <w:link w:val="23"/>
    <w:qFormat/>
    <w:uiPriority w:val="0"/>
    <w:rPr>
      <w:rFonts w:ascii="Times New Roman" w:hAnsi="Times New Roman" w:eastAsia="宋体" w:cs="Times New Roman"/>
      <w:color w:val="000000"/>
      <w:sz w:val="24"/>
      <w:szCs w:val="20"/>
    </w:rPr>
  </w:style>
  <w:style w:type="character" w:customStyle="1" w:styleId="103">
    <w:name w:val="日期 字符"/>
    <w:semiHidden/>
    <w:qFormat/>
    <w:uiPriority w:val="99"/>
    <w:rPr>
      <w:rFonts w:ascii="Calibri" w:hAnsi="Calibri" w:eastAsia="宋体" w:cs="Times New Roman"/>
    </w:rPr>
  </w:style>
  <w:style w:type="character" w:customStyle="1" w:styleId="104">
    <w:name w:val="页脚 字符1"/>
    <w:link w:val="26"/>
    <w:qFormat/>
    <w:uiPriority w:val="0"/>
    <w:rPr>
      <w:rFonts w:ascii="Calibri" w:hAnsi="Calibri" w:eastAsia="宋体" w:cs="Times New Roman"/>
      <w:sz w:val="18"/>
      <w:szCs w:val="18"/>
    </w:rPr>
  </w:style>
  <w:style w:type="character" w:customStyle="1" w:styleId="105">
    <w:name w:val="标题 2 Char"/>
    <w:qFormat/>
    <w:uiPriority w:val="0"/>
    <w:rPr>
      <w:rFonts w:ascii="Arial" w:hAnsi="Arial" w:eastAsia="宋体" w:cs="Times New Roman"/>
      <w:b/>
      <w:color w:val="000000"/>
      <w:sz w:val="24"/>
      <w:szCs w:val="24"/>
    </w:rPr>
  </w:style>
  <w:style w:type="character" w:customStyle="1" w:styleId="106">
    <w:name w:val="标题 2 字符"/>
    <w:link w:val="6"/>
    <w:semiHidden/>
    <w:qFormat/>
    <w:uiPriority w:val="9"/>
    <w:rPr>
      <w:rFonts w:ascii="等线 Light" w:hAnsi="等线 Light" w:eastAsia="等线 Light" w:cs="Times New Roman"/>
      <w:b/>
      <w:bCs/>
      <w:sz w:val="32"/>
      <w:szCs w:val="32"/>
    </w:rPr>
  </w:style>
  <w:style w:type="character" w:customStyle="1" w:styleId="107">
    <w:name w:val="active6"/>
    <w:basedOn w:val="40"/>
    <w:qFormat/>
    <w:uiPriority w:val="0"/>
    <w:rPr>
      <w:color w:val="FFFFFF"/>
      <w:shd w:val="clear" w:color="auto" w:fill="E22323"/>
    </w:rPr>
  </w:style>
  <w:style w:type="character" w:customStyle="1" w:styleId="108">
    <w:name w:val="标题 4 Char"/>
    <w:qFormat/>
    <w:uiPriority w:val="0"/>
    <w:rPr>
      <w:rFonts w:ascii="Arial" w:hAnsi="Arial" w:eastAsia="宋体" w:cs="Times New Roman"/>
      <w:color w:val="000000"/>
      <w:szCs w:val="21"/>
    </w:rPr>
  </w:style>
  <w:style w:type="character" w:customStyle="1" w:styleId="109">
    <w:name w:val="margin_right202"/>
    <w:basedOn w:val="40"/>
    <w:qFormat/>
    <w:uiPriority w:val="0"/>
  </w:style>
  <w:style w:type="character" w:customStyle="1" w:styleId="110">
    <w:name w:val="标题 1 字符1"/>
    <w:link w:val="5"/>
    <w:qFormat/>
    <w:uiPriority w:val="0"/>
    <w:rPr>
      <w:rFonts w:ascii="Arial" w:hAnsi="Arial" w:eastAsia="宋体" w:cs="Times New Roman"/>
      <w:b/>
      <w:kern w:val="44"/>
      <w:sz w:val="28"/>
      <w:szCs w:val="28"/>
    </w:rPr>
  </w:style>
  <w:style w:type="character" w:customStyle="1" w:styleId="111">
    <w:name w:val="批注文字 字符1"/>
    <w:link w:val="16"/>
    <w:qFormat/>
    <w:uiPriority w:val="0"/>
    <w:rPr>
      <w:rFonts w:ascii="宋体" w:hAnsi="宋体" w:eastAsia="宋体" w:cs="Times New Roman"/>
      <w:sz w:val="24"/>
      <w:szCs w:val="24"/>
    </w:rPr>
  </w:style>
  <w:style w:type="character" w:customStyle="1" w:styleId="112">
    <w:name w:val="正文文本 2 字符"/>
    <w:semiHidden/>
    <w:qFormat/>
    <w:uiPriority w:val="99"/>
    <w:rPr>
      <w:rFonts w:ascii="Calibri" w:hAnsi="Calibri" w:eastAsia="宋体" w:cs="Times New Roman"/>
    </w:rPr>
  </w:style>
  <w:style w:type="character" w:customStyle="1" w:styleId="113">
    <w:name w:val="标题 6 字符"/>
    <w:semiHidden/>
    <w:qFormat/>
    <w:uiPriority w:val="9"/>
    <w:rPr>
      <w:rFonts w:ascii="等线 Light" w:hAnsi="等线 Light" w:eastAsia="等线 Light" w:cs="Times New Roman"/>
      <w:b/>
      <w:bCs/>
      <w:sz w:val="24"/>
      <w:szCs w:val="24"/>
    </w:rPr>
  </w:style>
  <w:style w:type="character" w:customStyle="1" w:styleId="114">
    <w:name w:val="批注主题 字符"/>
    <w:semiHidden/>
    <w:qFormat/>
    <w:uiPriority w:val="99"/>
    <w:rPr>
      <w:rFonts w:ascii="Calibri" w:hAnsi="Calibri" w:eastAsia="宋体" w:cs="Times New Roman"/>
      <w:b/>
      <w:bCs/>
    </w:rPr>
  </w:style>
  <w:style w:type="character" w:customStyle="1" w:styleId="115">
    <w:name w:val="标题 3 字符"/>
    <w:semiHidden/>
    <w:qFormat/>
    <w:uiPriority w:val="9"/>
    <w:rPr>
      <w:rFonts w:ascii="Calibri" w:hAnsi="Calibri" w:eastAsia="宋体" w:cs="Times New Roman"/>
      <w:b/>
      <w:bCs/>
      <w:sz w:val="32"/>
      <w:szCs w:val="32"/>
    </w:rPr>
  </w:style>
  <w:style w:type="character" w:customStyle="1" w:styleId="116">
    <w:name w:val="正文文本缩进 3 字符1"/>
    <w:link w:val="30"/>
    <w:qFormat/>
    <w:uiPriority w:val="0"/>
    <w:rPr>
      <w:rFonts w:ascii="Times New Roman" w:hAnsi="Times New Roman" w:eastAsia="宋体" w:cs="Times New Roman"/>
      <w:color w:val="000000"/>
      <w:sz w:val="24"/>
      <w:szCs w:val="20"/>
    </w:rPr>
  </w:style>
  <w:style w:type="character" w:customStyle="1" w:styleId="117">
    <w:name w:val="标题 9 字符"/>
    <w:semiHidden/>
    <w:qFormat/>
    <w:uiPriority w:val="9"/>
    <w:rPr>
      <w:rFonts w:ascii="等线 Light" w:hAnsi="等线 Light" w:eastAsia="等线 Light" w:cs="Times New Roman"/>
      <w:szCs w:val="21"/>
    </w:rPr>
  </w:style>
  <w:style w:type="character" w:customStyle="1" w:styleId="118">
    <w:name w:val="标题 9 字符1"/>
    <w:link w:val="14"/>
    <w:qFormat/>
    <w:uiPriority w:val="0"/>
    <w:rPr>
      <w:rFonts w:ascii="Arial" w:hAnsi="Arial" w:eastAsia="黑体" w:cs="Times New Roman"/>
      <w:szCs w:val="20"/>
    </w:rPr>
  </w:style>
  <w:style w:type="character" w:customStyle="1" w:styleId="119">
    <w:name w:val="正文首行缩进 字符"/>
    <w:basedOn w:val="120"/>
    <w:semiHidden/>
    <w:qFormat/>
    <w:uiPriority w:val="99"/>
    <w:rPr>
      <w:rFonts w:ascii="Calibri" w:hAnsi="Calibri" w:eastAsia="宋体" w:cs="Times New Roman"/>
    </w:rPr>
  </w:style>
  <w:style w:type="character" w:customStyle="1" w:styleId="120">
    <w:name w:val="正文文本 字符"/>
    <w:semiHidden/>
    <w:qFormat/>
    <w:uiPriority w:val="99"/>
    <w:rPr>
      <w:rFonts w:ascii="Calibri" w:hAnsi="Calibri" w:eastAsia="宋体" w:cs="Times New Roman"/>
    </w:rPr>
  </w:style>
  <w:style w:type="character" w:customStyle="1" w:styleId="121">
    <w:name w:val="标题 5 字符"/>
    <w:semiHidden/>
    <w:qFormat/>
    <w:uiPriority w:val="9"/>
    <w:rPr>
      <w:rFonts w:ascii="Calibri" w:hAnsi="Calibri" w:eastAsia="宋体" w:cs="Times New Roman"/>
      <w:b/>
      <w:bCs/>
      <w:sz w:val="28"/>
      <w:szCs w:val="28"/>
    </w:rPr>
  </w:style>
  <w:style w:type="character" w:customStyle="1" w:styleId="122">
    <w:name w:val="页眉 字符1"/>
    <w:link w:val="27"/>
    <w:qFormat/>
    <w:uiPriority w:val="0"/>
    <w:rPr>
      <w:rFonts w:ascii="Calibri" w:hAnsi="Calibri" w:eastAsia="宋体" w:cs="Times New Roman"/>
      <w:sz w:val="18"/>
      <w:szCs w:val="18"/>
    </w:rPr>
  </w:style>
  <w:style w:type="character" w:customStyle="1" w:styleId="123">
    <w:name w:val="页脚 字符"/>
    <w:semiHidden/>
    <w:qFormat/>
    <w:uiPriority w:val="99"/>
    <w:rPr>
      <w:rFonts w:ascii="Calibri" w:hAnsi="Calibri" w:eastAsia="宋体" w:cs="Times New Roman"/>
      <w:sz w:val="18"/>
      <w:szCs w:val="18"/>
    </w:rPr>
  </w:style>
  <w:style w:type="character" w:customStyle="1" w:styleId="124">
    <w:name w:val="hover5"/>
    <w:basedOn w:val="40"/>
    <w:qFormat/>
    <w:uiPriority w:val="0"/>
    <w:rPr>
      <w:color w:val="0063BA"/>
    </w:rPr>
  </w:style>
  <w:style w:type="character" w:customStyle="1" w:styleId="125">
    <w:name w:val="标题 8 字符1"/>
    <w:link w:val="13"/>
    <w:qFormat/>
    <w:uiPriority w:val="0"/>
    <w:rPr>
      <w:rFonts w:ascii="Arial" w:hAnsi="Arial" w:eastAsia="黑体" w:cs="Times New Roman"/>
      <w:sz w:val="24"/>
      <w:szCs w:val="20"/>
    </w:rPr>
  </w:style>
  <w:style w:type="character" w:customStyle="1" w:styleId="126">
    <w:name w:val="正文文本缩进 2 字符"/>
    <w:semiHidden/>
    <w:qFormat/>
    <w:uiPriority w:val="99"/>
    <w:rPr>
      <w:rFonts w:ascii="Calibri" w:hAnsi="Calibri" w:eastAsia="宋体" w:cs="Times New Roman"/>
    </w:rPr>
  </w:style>
  <w:style w:type="character" w:customStyle="1" w:styleId="127">
    <w:name w:val="批注框文本 字符"/>
    <w:semiHidden/>
    <w:qFormat/>
    <w:uiPriority w:val="99"/>
    <w:rPr>
      <w:rFonts w:ascii="Calibri" w:hAnsi="Calibri" w:eastAsia="宋体" w:cs="Times New Roman"/>
      <w:sz w:val="18"/>
      <w:szCs w:val="18"/>
    </w:rPr>
  </w:style>
  <w:style w:type="character" w:customStyle="1" w:styleId="128">
    <w:name w:val="before"/>
    <w:basedOn w:val="40"/>
    <w:qFormat/>
    <w:uiPriority w:val="0"/>
    <w:rPr>
      <w:shd w:val="clear" w:color="auto" w:fill="E22323"/>
    </w:rPr>
  </w:style>
  <w:style w:type="character" w:customStyle="1" w:styleId="129">
    <w:name w:val="标题 7 字符"/>
    <w:semiHidden/>
    <w:qFormat/>
    <w:uiPriority w:val="9"/>
    <w:rPr>
      <w:rFonts w:ascii="Calibri" w:hAnsi="Calibri" w:eastAsia="宋体" w:cs="Times New Roman"/>
      <w:b/>
      <w:bCs/>
      <w:sz w:val="24"/>
      <w:szCs w:val="24"/>
    </w:rPr>
  </w:style>
  <w:style w:type="character" w:customStyle="1" w:styleId="130">
    <w:name w:val="纯文本 字符"/>
    <w:semiHidden/>
    <w:qFormat/>
    <w:uiPriority w:val="99"/>
    <w:rPr>
      <w:rFonts w:ascii="等线" w:hAnsi="Courier New" w:cs="Courier New"/>
    </w:rPr>
  </w:style>
  <w:style w:type="character" w:customStyle="1" w:styleId="131">
    <w:name w:val="文档结构图 字符1"/>
    <w:link w:val="15"/>
    <w:qFormat/>
    <w:uiPriority w:val="0"/>
    <w:rPr>
      <w:rFonts w:ascii="Times New Roman" w:hAnsi="Times New Roman" w:eastAsia="宋体" w:cs="Times New Roman"/>
      <w:szCs w:val="20"/>
      <w:shd w:val="clear" w:color="auto" w:fill="000080"/>
    </w:rPr>
  </w:style>
  <w:style w:type="character" w:customStyle="1" w:styleId="132">
    <w:name w:val="文档结构图 字符"/>
    <w:semiHidden/>
    <w:qFormat/>
    <w:uiPriority w:val="99"/>
    <w:rPr>
      <w:rFonts w:ascii="Microsoft YaHei UI" w:hAnsi="Calibri" w:eastAsia="Microsoft YaHei UI" w:cs="Times New Roman"/>
      <w:sz w:val="18"/>
      <w:szCs w:val="18"/>
    </w:rPr>
  </w:style>
  <w:style w:type="character" w:customStyle="1" w:styleId="133">
    <w:name w:val="脚注文本 字符1"/>
    <w:link w:val="29"/>
    <w:qFormat/>
    <w:uiPriority w:val="0"/>
    <w:rPr>
      <w:rFonts w:ascii="宋体" w:hAnsi="宋体" w:eastAsia="宋体" w:cs="Times New Roman"/>
      <w:sz w:val="18"/>
      <w:szCs w:val="18"/>
    </w:rPr>
  </w:style>
  <w:style w:type="character" w:customStyle="1" w:styleId="134">
    <w:name w:val="标题 6 字符1"/>
    <w:link w:val="11"/>
    <w:qFormat/>
    <w:uiPriority w:val="0"/>
    <w:rPr>
      <w:rFonts w:ascii="Arial" w:hAnsi="Arial" w:eastAsia="黑体" w:cs="Times New Roman"/>
      <w:b/>
      <w:bCs/>
      <w:sz w:val="24"/>
      <w:szCs w:val="24"/>
    </w:rPr>
  </w:style>
  <w:style w:type="character" w:customStyle="1" w:styleId="135">
    <w:name w:val="正文文本 2 字符1"/>
    <w:link w:val="32"/>
    <w:qFormat/>
    <w:uiPriority w:val="0"/>
    <w:rPr>
      <w:rFonts w:ascii="宋体" w:hAnsi="宋体" w:eastAsia="宋体" w:cs="Times New Roman"/>
      <w:szCs w:val="24"/>
      <w:u w:val="single"/>
    </w:rPr>
  </w:style>
  <w:style w:type="character" w:customStyle="1" w:styleId="136">
    <w:name w:val="脚注文本 字符"/>
    <w:semiHidden/>
    <w:qFormat/>
    <w:uiPriority w:val="99"/>
    <w:rPr>
      <w:rFonts w:ascii="Calibri" w:hAnsi="Calibri" w:eastAsia="宋体" w:cs="Times New Roman"/>
      <w:sz w:val="18"/>
      <w:szCs w:val="18"/>
    </w:rPr>
  </w:style>
  <w:style w:type="character" w:customStyle="1" w:styleId="137">
    <w:name w:val="正文文本缩进 字符1"/>
    <w:link w:val="3"/>
    <w:qFormat/>
    <w:uiPriority w:val="0"/>
    <w:rPr>
      <w:rFonts w:ascii="Times New Roman" w:hAnsi="Times New Roman" w:eastAsia="宋体" w:cs="Times New Roman"/>
      <w:sz w:val="28"/>
      <w:szCs w:val="20"/>
    </w:rPr>
  </w:style>
  <w:style w:type="character" w:customStyle="1" w:styleId="138">
    <w:name w:val="标题 4 字符"/>
    <w:link w:val="8"/>
    <w:semiHidden/>
    <w:qFormat/>
    <w:uiPriority w:val="9"/>
    <w:rPr>
      <w:rFonts w:ascii="等线 Light" w:hAnsi="等线 Light" w:eastAsia="等线 Light" w:cs="Times New Roman"/>
      <w:b/>
      <w:bCs/>
      <w:sz w:val="28"/>
      <w:szCs w:val="28"/>
    </w:rPr>
  </w:style>
  <w:style w:type="character" w:customStyle="1" w:styleId="139">
    <w:name w:val="标题 5 字符1"/>
    <w:link w:val="10"/>
    <w:qFormat/>
    <w:uiPriority w:val="0"/>
    <w:rPr>
      <w:rFonts w:ascii="Arial" w:hAnsi="Arial" w:eastAsia="宋体" w:cs="Times New Roman"/>
      <w:color w:val="000000"/>
      <w:szCs w:val="21"/>
    </w:rPr>
  </w:style>
  <w:style w:type="character" w:customStyle="1" w:styleId="140">
    <w:name w:val="正文文本缩进 字符"/>
    <w:semiHidden/>
    <w:qFormat/>
    <w:uiPriority w:val="99"/>
    <w:rPr>
      <w:rFonts w:ascii="Calibri" w:hAnsi="Calibri" w:eastAsia="宋体" w:cs="Times New Roman"/>
    </w:rPr>
  </w:style>
  <w:style w:type="character" w:customStyle="1" w:styleId="141">
    <w:name w:val="s15"/>
    <w:qFormat/>
    <w:uiPriority w:val="0"/>
    <w:rPr>
      <w:color w:val="2131A1"/>
    </w:rPr>
  </w:style>
  <w:style w:type="paragraph" w:customStyle="1" w:styleId="142">
    <w:name w:val="BodyText"/>
    <w:basedOn w:val="1"/>
    <w:qFormat/>
    <w:uiPriority w:val="0"/>
    <w:pPr>
      <w:spacing w:after="120"/>
    </w:pPr>
    <w:rPr>
      <w:kern w:val="0"/>
      <w:sz w:val="20"/>
      <w:szCs w:val="20"/>
    </w:rPr>
  </w:style>
  <w:style w:type="paragraph" w:customStyle="1" w:styleId="143">
    <w:name w:val="_Style 1"/>
    <w:qFormat/>
    <w:uiPriority w:val="1"/>
    <w:pPr>
      <w:widowControl w:val="0"/>
      <w:jc w:val="both"/>
    </w:pPr>
    <w:rPr>
      <w:rFonts w:asciiTheme="minorHAnsi" w:hAnsiTheme="minorHAnsi" w:eastAsiaTheme="minorEastAsia" w:cstheme="minorBidi"/>
      <w:kern w:val="2"/>
      <w:sz w:val="21"/>
      <w:szCs w:val="24"/>
      <w:lang w:val="en-US" w:eastAsia="zh-CN" w:bidi="ar-SA"/>
    </w:rPr>
  </w:style>
  <w:style w:type="paragraph" w:customStyle="1" w:styleId="144">
    <w:name w:val="正文缩进1"/>
    <w:basedOn w:val="1"/>
    <w:qFormat/>
    <w:uiPriority w:val="0"/>
    <w:pPr>
      <w:keepNext w:val="0"/>
      <w:keepLines w:val="0"/>
      <w:widowControl w:val="0"/>
      <w:suppressLineNumbers w:val="0"/>
      <w:spacing w:before="0" w:beforeAutospacing="0" w:after="0" w:afterAutospacing="0" w:line="360" w:lineRule="auto"/>
      <w:ind w:left="0" w:right="0" w:firstLine="420" w:firstLineChars="200"/>
      <w:jc w:val="both"/>
    </w:pPr>
    <w:rPr>
      <w:rFonts w:hint="default" w:ascii="Times New Roman" w:hAnsi="Times New Roman" w:eastAsia="仿宋" w:cs="Times New Roman"/>
      <w:kern w:val="2"/>
      <w:sz w:val="28"/>
      <w:szCs w:val="28"/>
      <w:lang w:val="en-US" w:eastAsia="zh-CN" w:bidi="ar"/>
    </w:rPr>
  </w:style>
  <w:style w:type="paragraph" w:customStyle="1" w:styleId="145">
    <w:name w:val="列表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315</Pages>
  <Words>175755</Words>
  <Characters>186345</Characters>
  <Lines>1549</Lines>
  <Paragraphs>436</Paragraphs>
  <TotalTime>5</TotalTime>
  <ScaleCrop>false</ScaleCrop>
  <LinksUpToDate>false</LinksUpToDate>
  <CharactersWithSpaces>194348</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2022-06-09T05:48:00Z</dcterms:created>
  <dc:creator>管理员</dc:creator>
  <cp:lastModifiedBy>HP</cp:lastModifiedBy>
  <cp:lastPrinted>2021-05-08T19:16:00Z</cp:lastPrinted>
  <dcterms:modified xsi:type="dcterms:W3CDTF">2025-06-06T11:22:54Z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583FB5745C784234B8406E389771F8C3</vt:lpwstr>
  </property>
  <property fmtid="{D5CDD505-2E9C-101B-9397-08002B2CF9AE}" pid="4" name="KSOTemplateDocerSaveRecord">
    <vt:lpwstr>eyJoZGlkIjoiOGE3MTgwNjljODJmMjMxYTkwOTk2NmNjZjczZWNiYzMiLCJ1c2VySWQiOiI5MDk2MTc4OTkifQ==</vt:lpwstr>
  </property>
</Properties>
</file>