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F1F82">
      <w:pPr>
        <w:wordWrap w:val="0"/>
        <w:rPr>
          <w:rFonts w:hint="eastAsia" w:ascii="宋体" w:hAnsi="宋体" w:eastAsia="宋体" w:cs="Times New Roman"/>
          <w:color w:val="auto"/>
          <w:highlight w:val="none"/>
        </w:rPr>
      </w:pPr>
    </w:p>
    <w:p w14:paraId="00C23D5A">
      <w:pPr>
        <w:wordWrap w:val="0"/>
        <w:ind w:left="-1" w:leftChars="-200" w:right="-313" w:rightChars="-149" w:hanging="419" w:hangingChars="87"/>
        <w:jc w:val="center"/>
        <w:rPr>
          <w:rFonts w:hint="eastAsia" w:ascii="宋体" w:hAnsi="宋体" w:eastAsia="宋体" w:cs="宋体"/>
          <w:b/>
          <w:color w:val="auto"/>
          <w:sz w:val="48"/>
          <w:szCs w:val="48"/>
          <w:highlight w:val="none"/>
        </w:rPr>
      </w:pPr>
      <w:bookmarkStart w:id="0" w:name="_Toc144974479"/>
      <w:bookmarkStart w:id="1" w:name="_Toc152045511"/>
      <w:bookmarkStart w:id="2" w:name="_Toc152042287"/>
    </w:p>
    <w:p w14:paraId="4AC61A84">
      <w:pPr>
        <w:wordWrap w:val="0"/>
        <w:ind w:left="-1" w:leftChars="-200" w:right="-313" w:rightChars="-149" w:hanging="419" w:hangingChars="87"/>
        <w:jc w:val="center"/>
        <w:rPr>
          <w:rFonts w:hint="eastAsia" w:ascii="宋体" w:hAnsi="宋体" w:eastAsia="宋体" w:cs="宋体"/>
          <w:b/>
          <w:color w:val="auto"/>
          <w:sz w:val="48"/>
          <w:szCs w:val="48"/>
          <w:highlight w:val="none"/>
        </w:rPr>
      </w:pPr>
    </w:p>
    <w:p w14:paraId="4756C71F">
      <w:pPr>
        <w:wordWrap w:val="0"/>
        <w:jc w:val="center"/>
        <w:rPr>
          <w:rFonts w:hint="eastAsia" w:ascii="宋体" w:hAnsi="宋体" w:eastAsia="宋体" w:cs="Times New Roman"/>
          <w:color w:val="auto"/>
          <w:sz w:val="72"/>
          <w:szCs w:val="72"/>
          <w:highlight w:val="none"/>
        </w:rPr>
      </w:pPr>
      <w:r>
        <w:rPr>
          <w:rFonts w:hint="eastAsia" w:ascii="宋体" w:hAnsi="宋体" w:eastAsia="宋体" w:cs="宋体"/>
          <w:b/>
          <w:color w:val="auto"/>
          <w:sz w:val="52"/>
          <w:szCs w:val="52"/>
          <w:highlight w:val="none"/>
        </w:rPr>
        <w:t>城维计划-桥梁中修专项经费-官洲隧道中修工程监理</w:t>
      </w:r>
    </w:p>
    <w:p w14:paraId="78B3C9C6">
      <w:pPr>
        <w:widowControl/>
        <w:wordWrap w:val="0"/>
        <w:rPr>
          <w:rFonts w:hint="eastAsia" w:ascii="宋体" w:hAnsi="宋体" w:eastAsia="宋体" w:cs="Times New Roman"/>
          <w:color w:val="auto"/>
          <w:kern w:val="0"/>
          <w:highlight w:val="none"/>
        </w:rPr>
      </w:pPr>
    </w:p>
    <w:p w14:paraId="61C14102">
      <w:pPr>
        <w:widowControl/>
        <w:wordWrap w:val="0"/>
        <w:rPr>
          <w:rFonts w:hint="eastAsia" w:ascii="宋体" w:hAnsi="宋体" w:eastAsia="宋体" w:cs="Times New Roman"/>
          <w:color w:val="auto"/>
          <w:szCs w:val="24"/>
          <w:highlight w:val="none"/>
        </w:rPr>
      </w:pPr>
    </w:p>
    <w:p w14:paraId="270D8AC0">
      <w:pPr>
        <w:widowControl/>
        <w:wordWrap w:val="0"/>
        <w:rPr>
          <w:rFonts w:hint="eastAsia" w:ascii="宋体" w:hAnsi="宋体" w:eastAsia="宋体" w:cs="Times New Roman"/>
          <w:color w:val="auto"/>
          <w:kern w:val="0"/>
          <w:highlight w:val="none"/>
        </w:rPr>
      </w:pPr>
    </w:p>
    <w:p w14:paraId="662C31D6">
      <w:pPr>
        <w:widowControl/>
        <w:wordWrap w:val="0"/>
        <w:rPr>
          <w:rFonts w:hint="eastAsia" w:ascii="宋体" w:hAnsi="宋体" w:eastAsia="宋体" w:cs="Times New Roman"/>
          <w:color w:val="auto"/>
          <w:kern w:val="0"/>
          <w:highlight w:val="none"/>
        </w:rPr>
      </w:pPr>
    </w:p>
    <w:p w14:paraId="61E314C2">
      <w:pPr>
        <w:widowControl/>
        <w:wordWrap w:val="0"/>
        <w:rPr>
          <w:rFonts w:hint="eastAsia" w:ascii="宋体" w:hAnsi="宋体" w:eastAsia="宋体" w:cs="Times New Roman"/>
          <w:color w:val="auto"/>
          <w:kern w:val="0"/>
          <w:highlight w:val="none"/>
        </w:rPr>
      </w:pPr>
    </w:p>
    <w:p w14:paraId="02B5FA62">
      <w:pPr>
        <w:widowControl/>
        <w:wordWrap w:val="0"/>
        <w:rPr>
          <w:rFonts w:hint="eastAsia" w:ascii="宋体" w:hAnsi="宋体" w:eastAsia="宋体" w:cs="Times New Roman"/>
          <w:color w:val="auto"/>
          <w:kern w:val="0"/>
          <w:highlight w:val="none"/>
        </w:rPr>
      </w:pPr>
    </w:p>
    <w:p w14:paraId="606DC5D7">
      <w:pPr>
        <w:widowControl/>
        <w:wordWrap w:val="0"/>
        <w:rPr>
          <w:rFonts w:hint="eastAsia" w:ascii="宋体" w:hAnsi="宋体" w:eastAsia="宋体" w:cs="Times New Roman"/>
          <w:color w:val="auto"/>
          <w:kern w:val="0"/>
          <w:highlight w:val="none"/>
        </w:rPr>
      </w:pPr>
    </w:p>
    <w:p w14:paraId="25A9252D">
      <w:pPr>
        <w:widowControl/>
        <w:wordWrap w:val="0"/>
        <w:rPr>
          <w:rFonts w:hint="eastAsia" w:ascii="宋体" w:hAnsi="宋体" w:eastAsia="宋体" w:cs="Times New Roman"/>
          <w:color w:val="auto"/>
          <w:kern w:val="0"/>
          <w:highlight w:val="none"/>
        </w:rPr>
      </w:pPr>
    </w:p>
    <w:p w14:paraId="4FF5A8D6">
      <w:pPr>
        <w:wordWrap w:val="0"/>
        <w:jc w:val="center"/>
        <w:rPr>
          <w:rFonts w:hint="eastAsia" w:ascii="宋体" w:hAnsi="宋体" w:eastAsia="宋体" w:cs="Times New Roman"/>
          <w:color w:val="auto"/>
          <w:sz w:val="72"/>
          <w:szCs w:val="72"/>
          <w:highlight w:val="none"/>
        </w:rPr>
      </w:pPr>
    </w:p>
    <w:p w14:paraId="6160D6C6">
      <w:pPr>
        <w:wordWrap w:val="0"/>
        <w:jc w:val="center"/>
        <w:rPr>
          <w:rFonts w:hint="eastAsia" w:ascii="宋体" w:hAnsi="宋体" w:eastAsia="宋体" w:cs="宋体"/>
          <w:color w:val="auto"/>
          <w:sz w:val="84"/>
          <w:szCs w:val="84"/>
          <w:highlight w:val="none"/>
        </w:rPr>
      </w:pPr>
      <w:r>
        <w:rPr>
          <w:rFonts w:hint="eastAsia" w:ascii="宋体" w:hAnsi="宋体" w:eastAsia="宋体" w:cs="宋体"/>
          <w:b/>
          <w:bCs/>
          <w:color w:val="auto"/>
          <w:sz w:val="84"/>
          <w:szCs w:val="84"/>
          <w:highlight w:val="none"/>
          <w:lang w:bidi="ar"/>
        </w:rPr>
        <w:t>招 标 文 件</w:t>
      </w:r>
    </w:p>
    <w:p w14:paraId="5DA706F4">
      <w:pPr>
        <w:wordWrap w:val="0"/>
        <w:jc w:val="center"/>
        <w:rPr>
          <w:rFonts w:hint="eastAsia" w:ascii="宋体" w:hAnsi="宋体" w:eastAsia="宋体" w:cs="宋体"/>
          <w:color w:val="auto"/>
          <w:sz w:val="48"/>
          <w:szCs w:val="21"/>
          <w:highlight w:val="none"/>
        </w:rPr>
      </w:pPr>
    </w:p>
    <w:p w14:paraId="751816EA">
      <w:pPr>
        <w:wordWrap w:val="0"/>
        <w:jc w:val="center"/>
        <w:rPr>
          <w:rFonts w:hint="eastAsia" w:ascii="宋体" w:hAnsi="宋体" w:eastAsia="宋体" w:cs="宋体"/>
          <w:color w:val="auto"/>
          <w:sz w:val="32"/>
          <w:szCs w:val="32"/>
          <w:highlight w:val="none"/>
        </w:rPr>
      </w:pPr>
    </w:p>
    <w:p w14:paraId="154EB63D">
      <w:pPr>
        <w:widowControl/>
        <w:wordWrap w:val="0"/>
        <w:rPr>
          <w:rFonts w:hint="eastAsia" w:ascii="宋体" w:hAnsi="宋体" w:eastAsia="宋体" w:cs="Times New Roman"/>
          <w:color w:val="auto"/>
          <w:kern w:val="0"/>
          <w:highlight w:val="none"/>
        </w:rPr>
      </w:pPr>
    </w:p>
    <w:p w14:paraId="196CE530">
      <w:pPr>
        <w:wordWrap w:val="0"/>
        <w:spacing w:line="400" w:lineRule="exact"/>
        <w:jc w:val="center"/>
        <w:rPr>
          <w:rFonts w:hint="eastAsia" w:ascii="宋体" w:hAnsi="宋体" w:eastAsia="宋体" w:cs="宋体"/>
          <w:b/>
          <w:color w:val="auto"/>
          <w:spacing w:val="-22"/>
          <w:sz w:val="72"/>
          <w:szCs w:val="72"/>
          <w:highlight w:val="none"/>
        </w:rPr>
      </w:pPr>
    </w:p>
    <w:p w14:paraId="27CF314D">
      <w:pPr>
        <w:wordWrap w:val="0"/>
        <w:spacing w:line="400" w:lineRule="exact"/>
        <w:jc w:val="center"/>
        <w:rPr>
          <w:rFonts w:hint="eastAsia" w:ascii="宋体" w:hAnsi="宋体" w:eastAsia="宋体" w:cs="宋体"/>
          <w:color w:val="auto"/>
          <w:highlight w:val="none"/>
        </w:rPr>
      </w:pPr>
    </w:p>
    <w:p w14:paraId="589581E3">
      <w:pPr>
        <w:widowControl/>
        <w:wordWrap w:val="0"/>
        <w:rPr>
          <w:rFonts w:hint="eastAsia" w:ascii="宋体" w:hAnsi="宋体" w:eastAsia="宋体" w:cs="Times New Roman"/>
          <w:color w:val="auto"/>
          <w:kern w:val="0"/>
          <w:szCs w:val="24"/>
          <w:highlight w:val="none"/>
        </w:rPr>
      </w:pPr>
    </w:p>
    <w:p w14:paraId="2948E5F6">
      <w:pPr>
        <w:wordWrap w:val="0"/>
        <w:spacing w:line="400" w:lineRule="exact"/>
        <w:jc w:val="center"/>
        <w:rPr>
          <w:rFonts w:hint="eastAsia" w:ascii="宋体" w:hAnsi="宋体" w:eastAsia="宋体" w:cs="宋体"/>
          <w:color w:val="auto"/>
          <w:highlight w:val="none"/>
        </w:rPr>
      </w:pPr>
    </w:p>
    <w:p w14:paraId="33660C8E">
      <w:pPr>
        <w:wordWrap w:val="0"/>
        <w:spacing w:line="400" w:lineRule="exact"/>
        <w:jc w:val="center"/>
        <w:rPr>
          <w:rFonts w:hint="eastAsia" w:ascii="宋体" w:hAnsi="宋体" w:eastAsia="宋体" w:cs="宋体"/>
          <w:color w:val="auto"/>
          <w:highlight w:val="none"/>
        </w:rPr>
      </w:pPr>
    </w:p>
    <w:p w14:paraId="3344F6CA">
      <w:pPr>
        <w:wordWrap w:val="0"/>
        <w:spacing w:line="360" w:lineRule="auto"/>
        <w:ind w:left="420" w:leftChars="200" w:firstLine="855" w:firstLineChars="266"/>
        <w:jc w:val="left"/>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bidi="ar"/>
        </w:rPr>
        <w:t>招   标   人：</w:t>
      </w:r>
      <w:r>
        <w:rPr>
          <w:rFonts w:hint="eastAsia" w:ascii="宋体" w:hAnsi="宋体" w:eastAsia="宋体" w:cs="宋体"/>
          <w:b/>
          <w:color w:val="auto"/>
          <w:sz w:val="32"/>
          <w:szCs w:val="32"/>
          <w:highlight w:val="none"/>
          <w:lang w:eastAsia="zh-CN" w:bidi="ar"/>
        </w:rPr>
        <w:t>广州市道路事务中心</w:t>
      </w:r>
    </w:p>
    <w:p w14:paraId="0D72A533">
      <w:pPr>
        <w:wordWrap w:val="0"/>
        <w:spacing w:line="360" w:lineRule="auto"/>
        <w:ind w:left="420" w:leftChars="200" w:firstLine="855" w:firstLineChars="266"/>
        <w:jc w:val="left"/>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bidi="ar"/>
        </w:rPr>
        <w:t>招标代理机构：</w:t>
      </w:r>
      <w:r>
        <w:rPr>
          <w:rFonts w:hint="eastAsia" w:ascii="宋体" w:hAnsi="宋体" w:eastAsia="宋体" w:cs="Times New Roman"/>
          <w:b/>
          <w:color w:val="auto"/>
          <w:sz w:val="32"/>
          <w:szCs w:val="32"/>
          <w:highlight w:val="none"/>
          <w:lang w:eastAsia="zh-CN"/>
        </w:rPr>
        <w:t>广东重工建设监理有限公司</w:t>
      </w:r>
    </w:p>
    <w:p w14:paraId="0D9A4105">
      <w:pPr>
        <w:wordWrap w:val="0"/>
        <w:spacing w:line="360" w:lineRule="auto"/>
        <w:ind w:left="420" w:leftChars="200" w:firstLine="855" w:firstLineChars="266"/>
        <w:jc w:val="left"/>
        <w:rPr>
          <w:rFonts w:hint="eastAsia"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日        期：</w:t>
      </w:r>
      <w:r>
        <w:rPr>
          <w:rFonts w:hint="eastAsia" w:ascii="宋体" w:hAnsi="宋体" w:eastAsia="宋体" w:cs="宋体"/>
          <w:b/>
          <w:color w:val="auto"/>
          <w:kern w:val="0"/>
          <w:sz w:val="32"/>
          <w:szCs w:val="32"/>
          <w:highlight w:val="none"/>
          <w:u w:val="single"/>
          <w:lang w:bidi="ar"/>
        </w:rPr>
        <w:t>2025</w:t>
      </w:r>
      <w:r>
        <w:rPr>
          <w:rFonts w:hint="eastAsia" w:ascii="宋体" w:hAnsi="宋体" w:eastAsia="宋体" w:cs="宋体"/>
          <w:b/>
          <w:color w:val="auto"/>
          <w:kern w:val="0"/>
          <w:sz w:val="32"/>
          <w:szCs w:val="32"/>
          <w:highlight w:val="none"/>
          <w:lang w:bidi="ar"/>
        </w:rPr>
        <w:t>年</w:t>
      </w:r>
      <w:r>
        <w:rPr>
          <w:rFonts w:hint="eastAsia" w:ascii="宋体" w:hAnsi="宋体" w:eastAsia="宋体" w:cs="宋体"/>
          <w:b/>
          <w:color w:val="auto"/>
          <w:kern w:val="0"/>
          <w:sz w:val="32"/>
          <w:szCs w:val="32"/>
          <w:highlight w:val="none"/>
          <w:u w:val="single"/>
          <w:lang w:val="en-US" w:eastAsia="zh-CN" w:bidi="ar"/>
        </w:rPr>
        <w:t>5</w:t>
      </w:r>
      <w:r>
        <w:rPr>
          <w:rFonts w:hint="eastAsia" w:ascii="宋体" w:hAnsi="宋体" w:eastAsia="宋体" w:cs="宋体"/>
          <w:b/>
          <w:color w:val="auto"/>
          <w:kern w:val="0"/>
          <w:sz w:val="32"/>
          <w:szCs w:val="32"/>
          <w:highlight w:val="none"/>
          <w:lang w:bidi="ar"/>
        </w:rPr>
        <w:t>月</w:t>
      </w:r>
    </w:p>
    <w:p w14:paraId="5B9F7B65">
      <w:pPr>
        <w:wordWrap w:val="0"/>
        <w:spacing w:line="600" w:lineRule="exact"/>
        <w:jc w:val="center"/>
        <w:rPr>
          <w:rFonts w:hint="eastAsia" w:ascii="宋体" w:hAnsi="宋体" w:eastAsia="宋体" w:cs="Times New Roman"/>
          <w:bCs/>
          <w:color w:val="auto"/>
          <w:sz w:val="52"/>
          <w:highlight w:val="none"/>
        </w:rPr>
      </w:pPr>
      <w:r>
        <w:rPr>
          <w:rFonts w:ascii="宋体" w:hAnsi="宋体" w:eastAsia="宋体" w:cs="Times New Roman"/>
          <w:b/>
          <w:color w:val="auto"/>
          <w:highlight w:val="none"/>
          <w:lang w:val="zh-CN"/>
        </w:rPr>
        <w:br w:type="page"/>
      </w:r>
      <w:bookmarkStart w:id="3" w:name="_Toc154921241"/>
      <w:bookmarkStart w:id="4" w:name="_Toc154922225"/>
      <w:r>
        <w:rPr>
          <w:rFonts w:hint="eastAsia" w:ascii="宋体" w:hAnsi="宋体" w:eastAsia="宋体" w:cs="Times New Roman"/>
          <w:bCs/>
          <w:color w:val="auto"/>
          <w:sz w:val="52"/>
          <w:highlight w:val="none"/>
        </w:rPr>
        <w:t>重要提示</w:t>
      </w:r>
    </w:p>
    <w:p w14:paraId="5AA91161">
      <w:pPr>
        <w:wordWrap w:val="0"/>
        <w:spacing w:line="360" w:lineRule="auto"/>
        <w:ind w:firstLine="537" w:firstLineChars="224"/>
        <w:jc w:val="center"/>
        <w:rPr>
          <w:rFonts w:hint="eastAsia" w:ascii="宋体" w:hAnsi="宋体" w:eastAsia="宋体" w:cs="Times New Roman"/>
          <w:bCs/>
          <w:color w:val="auto"/>
          <w:sz w:val="24"/>
          <w:highlight w:val="none"/>
        </w:rPr>
      </w:pPr>
    </w:p>
    <w:p w14:paraId="2292B158">
      <w:pPr>
        <w:wordWrap w:val="0"/>
        <w:spacing w:line="360" w:lineRule="auto"/>
        <w:ind w:firstLine="480" w:firstLineChars="200"/>
        <w:rPr>
          <w:rFonts w:hint="eastAsia" w:ascii="宋体" w:hAnsi="宋体" w:eastAsia="宋体" w:cs="Times New Roman"/>
          <w:b/>
          <w:color w:val="auto"/>
          <w:highlight w:val="none"/>
          <w:u w:val="single"/>
          <w:lang w:val="zh-CN"/>
        </w:rPr>
      </w:pPr>
      <w:r>
        <w:rPr>
          <w:rFonts w:hint="eastAsia" w:ascii="宋体" w:hAnsi="宋体" w:eastAsia="宋体" w:cs="Times New Roman"/>
          <w:color w:val="auto"/>
          <w:sz w:val="24"/>
          <w:highlight w:val="none"/>
          <w:u w:val="single"/>
        </w:rPr>
        <w:t>本项目实施电子招投标。</w:t>
      </w:r>
      <w:bookmarkEnd w:id="3"/>
      <w:bookmarkEnd w:id="4"/>
    </w:p>
    <w:p w14:paraId="2F70B8AF">
      <w:pPr>
        <w:wordWrap w:val="0"/>
        <w:jc w:val="center"/>
        <w:rPr>
          <w:rFonts w:hint="eastAsia" w:ascii="宋体" w:hAnsi="宋体" w:eastAsia="宋体" w:cs="Times New Roman"/>
          <w:b/>
          <w:color w:val="auto"/>
          <w:sz w:val="24"/>
          <w:szCs w:val="24"/>
          <w:highlight w:val="none"/>
        </w:rPr>
      </w:pPr>
      <w:r>
        <w:rPr>
          <w:rFonts w:ascii="宋体" w:hAnsi="宋体" w:eastAsia="宋体" w:cs="Times New Roman"/>
          <w:color w:val="auto"/>
          <w:highlight w:val="none"/>
          <w:lang w:val="zh-CN"/>
        </w:rPr>
        <w:br w:type="page"/>
      </w:r>
      <w:r>
        <w:rPr>
          <w:rFonts w:hint="eastAsia" w:ascii="宋体" w:hAnsi="宋体" w:eastAsia="宋体" w:cs="Times New Roman"/>
          <w:b/>
          <w:color w:val="auto"/>
          <w:sz w:val="40"/>
          <w:szCs w:val="40"/>
          <w:highlight w:val="none"/>
          <w:lang w:val="zh-CN"/>
        </w:rPr>
        <w:t>目</w:t>
      </w:r>
      <w:r>
        <w:rPr>
          <w:rFonts w:ascii="宋体" w:hAnsi="宋体" w:eastAsia="宋体" w:cs="Times New Roman"/>
          <w:b/>
          <w:color w:val="auto"/>
          <w:sz w:val="40"/>
          <w:szCs w:val="40"/>
          <w:highlight w:val="none"/>
          <w:lang w:val="zh-CN"/>
        </w:rPr>
        <w:t xml:space="preserve">  </w:t>
      </w:r>
      <w:r>
        <w:rPr>
          <w:rFonts w:hint="eastAsia" w:ascii="宋体" w:hAnsi="宋体" w:eastAsia="宋体" w:cs="Times New Roman"/>
          <w:b/>
          <w:color w:val="auto"/>
          <w:sz w:val="40"/>
          <w:szCs w:val="40"/>
          <w:highlight w:val="none"/>
          <w:lang w:val="zh-CN"/>
        </w:rPr>
        <w:t>录</w:t>
      </w:r>
    </w:p>
    <w:p w14:paraId="08E62887">
      <w:pPr>
        <w:tabs>
          <w:tab w:val="right" w:leader="dot" w:pos="8630"/>
        </w:tabs>
        <w:wordWrap w:val="0"/>
        <w:jc w:val="center"/>
        <w:rPr>
          <w:rFonts w:hint="eastAsia" w:ascii="宋体" w:hAnsi="宋体" w:eastAsia="宋体" w:cs="Times New Roman"/>
          <w:color w:val="auto"/>
          <w:highlight w:val="none"/>
        </w:rPr>
      </w:pPr>
    </w:p>
    <w:p w14:paraId="4ADEB503">
      <w:pPr>
        <w:tabs>
          <w:tab w:val="right" w:leader="dot" w:pos="9063"/>
        </w:tabs>
        <w:wordWrap w:val="0"/>
        <w:spacing w:line="560" w:lineRule="exact"/>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fldChar w:fldCharType="begin"/>
      </w:r>
      <w:r>
        <w:rPr>
          <w:rFonts w:ascii="宋体" w:hAnsi="宋体" w:eastAsia="宋体" w:cs="Times New Roman"/>
          <w:color w:val="auto"/>
          <w:sz w:val="24"/>
          <w:szCs w:val="24"/>
          <w:highlight w:val="none"/>
        </w:rPr>
        <w:instrText xml:space="preserve"> TOC \o "1-3" \h \z \u </w:instrText>
      </w:r>
      <w:r>
        <w:rPr>
          <w:rFonts w:ascii="宋体" w:hAnsi="宋体" w:eastAsia="宋体" w:cs="Times New Roman"/>
          <w:color w:val="auto"/>
          <w:sz w:val="24"/>
          <w:szCs w:val="24"/>
          <w:highlight w:val="none"/>
        </w:rPr>
        <w:fldChar w:fldCharType="separate"/>
      </w:r>
      <w:r>
        <w:rPr>
          <w:color w:val="auto"/>
          <w:highlight w:val="none"/>
        </w:rPr>
        <w:fldChar w:fldCharType="begin"/>
      </w:r>
      <w:r>
        <w:rPr>
          <w:color w:val="auto"/>
          <w:highlight w:val="none"/>
        </w:rPr>
        <w:instrText xml:space="preserve"> HYPERLINK \l "_Toc59200677" </w:instrText>
      </w:r>
      <w:r>
        <w:rPr>
          <w:color w:val="auto"/>
          <w:highlight w:val="none"/>
        </w:rPr>
        <w:fldChar w:fldCharType="separate"/>
      </w:r>
      <w:r>
        <w:rPr>
          <w:rFonts w:ascii="宋体" w:hAnsi="宋体" w:eastAsia="宋体" w:cs="Times New Roman"/>
          <w:color w:val="auto"/>
          <w:sz w:val="24"/>
          <w:szCs w:val="24"/>
          <w:highlight w:val="none"/>
        </w:rPr>
        <w:t>第一卷</w:t>
      </w:r>
      <w:r>
        <w:rPr>
          <w:rFonts w:ascii="宋体" w:hAnsi="宋体" w:eastAsia="宋体" w:cs="Times New Roman"/>
          <w:color w:val="auto"/>
          <w:sz w:val="24"/>
          <w:szCs w:val="24"/>
          <w:highlight w:val="none"/>
        </w:rPr>
        <w:tab/>
      </w:r>
      <w:r>
        <w:rPr>
          <w:rFonts w:ascii="宋体" w:hAnsi="宋体" w:eastAsia="宋体" w:cs="Times New Roman"/>
          <w:color w:val="auto"/>
          <w:sz w:val="24"/>
          <w:szCs w:val="24"/>
          <w:highlight w:val="none"/>
        </w:rPr>
        <w:fldChar w:fldCharType="begin"/>
      </w:r>
      <w:r>
        <w:rPr>
          <w:rFonts w:ascii="宋体" w:hAnsi="宋体" w:eastAsia="宋体" w:cs="Times New Roman"/>
          <w:color w:val="auto"/>
          <w:sz w:val="24"/>
          <w:szCs w:val="24"/>
          <w:highlight w:val="none"/>
        </w:rPr>
        <w:instrText xml:space="preserve"> PAGEREF _Toc59200677 \h </w:instrText>
      </w:r>
      <w:r>
        <w:rPr>
          <w:rFonts w:ascii="宋体" w:hAnsi="宋体" w:eastAsia="宋体" w:cs="Times New Roman"/>
          <w:color w:val="auto"/>
          <w:sz w:val="24"/>
          <w:szCs w:val="24"/>
          <w:highlight w:val="none"/>
        </w:rPr>
        <w:fldChar w:fldCharType="separate"/>
      </w:r>
      <w:r>
        <w:rPr>
          <w:rFonts w:ascii="宋体" w:hAnsi="宋体" w:eastAsia="宋体" w:cs="Times New Roman"/>
          <w:color w:val="auto"/>
          <w:sz w:val="24"/>
          <w:szCs w:val="24"/>
          <w:highlight w:val="none"/>
        </w:rPr>
        <w:t>4</w:t>
      </w:r>
      <w:r>
        <w:rPr>
          <w:rFonts w:ascii="宋体" w:hAnsi="宋体" w:eastAsia="宋体" w:cs="Times New Roman"/>
          <w:color w:val="auto"/>
          <w:sz w:val="24"/>
          <w:szCs w:val="24"/>
          <w:highlight w:val="none"/>
        </w:rPr>
        <w:fldChar w:fldCharType="end"/>
      </w:r>
      <w:r>
        <w:rPr>
          <w:rFonts w:ascii="宋体" w:hAnsi="宋体" w:eastAsia="宋体" w:cs="Times New Roman"/>
          <w:color w:val="auto"/>
          <w:sz w:val="24"/>
          <w:szCs w:val="24"/>
          <w:highlight w:val="none"/>
        </w:rPr>
        <w:fldChar w:fldCharType="end"/>
      </w:r>
    </w:p>
    <w:p w14:paraId="680504B1">
      <w:pPr>
        <w:tabs>
          <w:tab w:val="right" w:leader="dot" w:pos="9063"/>
        </w:tabs>
        <w:wordWrap w:val="0"/>
        <w:spacing w:line="560" w:lineRule="exact"/>
        <w:rPr>
          <w:rFonts w:hint="eastAsia" w:ascii="宋体" w:hAnsi="宋体" w:eastAsia="宋体" w:cs="Times New Roman"/>
          <w:color w:val="auto"/>
          <w:sz w:val="24"/>
          <w:szCs w:val="24"/>
          <w:highlight w:val="none"/>
        </w:rPr>
      </w:pPr>
      <w:r>
        <w:rPr>
          <w:color w:val="auto"/>
          <w:highlight w:val="none"/>
        </w:rPr>
        <w:fldChar w:fldCharType="begin"/>
      </w:r>
      <w:r>
        <w:rPr>
          <w:color w:val="auto"/>
          <w:highlight w:val="none"/>
        </w:rPr>
        <w:instrText xml:space="preserve"> HYPERLINK \l "_Toc59200678" </w:instrText>
      </w:r>
      <w:r>
        <w:rPr>
          <w:color w:val="auto"/>
          <w:highlight w:val="none"/>
        </w:rPr>
        <w:fldChar w:fldCharType="separate"/>
      </w:r>
      <w:r>
        <w:rPr>
          <w:rFonts w:ascii="宋体" w:hAnsi="宋体" w:eastAsia="宋体" w:cs="Times New Roman"/>
          <w:color w:val="auto"/>
          <w:sz w:val="24"/>
          <w:szCs w:val="24"/>
          <w:highlight w:val="none"/>
        </w:rPr>
        <w:t>第一章 招标公告</w:t>
      </w:r>
      <w:r>
        <w:rPr>
          <w:rFonts w:ascii="宋体" w:hAnsi="宋体" w:eastAsia="宋体" w:cs="Times New Roman"/>
          <w:color w:val="auto"/>
          <w:sz w:val="24"/>
          <w:szCs w:val="24"/>
          <w:highlight w:val="none"/>
        </w:rPr>
        <w:tab/>
      </w:r>
      <w:r>
        <w:rPr>
          <w:rFonts w:ascii="宋体" w:hAnsi="宋体" w:eastAsia="宋体" w:cs="Times New Roman"/>
          <w:color w:val="auto"/>
          <w:sz w:val="24"/>
          <w:szCs w:val="24"/>
          <w:highlight w:val="none"/>
        </w:rPr>
        <w:fldChar w:fldCharType="begin"/>
      </w:r>
      <w:r>
        <w:rPr>
          <w:rFonts w:ascii="宋体" w:hAnsi="宋体" w:eastAsia="宋体" w:cs="Times New Roman"/>
          <w:color w:val="auto"/>
          <w:sz w:val="24"/>
          <w:szCs w:val="24"/>
          <w:highlight w:val="none"/>
        </w:rPr>
        <w:instrText xml:space="preserve"> PAGEREF _Toc59200678 \h </w:instrText>
      </w:r>
      <w:r>
        <w:rPr>
          <w:rFonts w:ascii="宋体" w:hAnsi="宋体" w:eastAsia="宋体" w:cs="Times New Roman"/>
          <w:color w:val="auto"/>
          <w:sz w:val="24"/>
          <w:szCs w:val="24"/>
          <w:highlight w:val="none"/>
        </w:rPr>
        <w:fldChar w:fldCharType="separate"/>
      </w:r>
      <w:r>
        <w:rPr>
          <w:rFonts w:ascii="宋体" w:hAnsi="宋体" w:eastAsia="宋体" w:cs="Times New Roman"/>
          <w:color w:val="auto"/>
          <w:sz w:val="24"/>
          <w:szCs w:val="24"/>
          <w:highlight w:val="none"/>
        </w:rPr>
        <w:t>4</w:t>
      </w:r>
      <w:r>
        <w:rPr>
          <w:rFonts w:ascii="宋体" w:hAnsi="宋体" w:eastAsia="宋体" w:cs="Times New Roman"/>
          <w:color w:val="auto"/>
          <w:sz w:val="24"/>
          <w:szCs w:val="24"/>
          <w:highlight w:val="none"/>
        </w:rPr>
        <w:fldChar w:fldCharType="end"/>
      </w:r>
      <w:r>
        <w:rPr>
          <w:rFonts w:ascii="宋体" w:hAnsi="宋体" w:eastAsia="宋体" w:cs="Times New Roman"/>
          <w:color w:val="auto"/>
          <w:sz w:val="24"/>
          <w:szCs w:val="24"/>
          <w:highlight w:val="none"/>
        </w:rPr>
        <w:fldChar w:fldCharType="end"/>
      </w:r>
    </w:p>
    <w:p w14:paraId="6DE7753F">
      <w:pPr>
        <w:tabs>
          <w:tab w:val="right" w:leader="dot" w:pos="9063"/>
        </w:tabs>
        <w:wordWrap w:val="0"/>
        <w:spacing w:line="560" w:lineRule="exact"/>
        <w:rPr>
          <w:rFonts w:hint="eastAsia" w:ascii="宋体" w:hAnsi="宋体" w:eastAsia="宋体" w:cs="Times New Roman"/>
          <w:color w:val="auto"/>
          <w:sz w:val="24"/>
          <w:szCs w:val="24"/>
          <w:highlight w:val="none"/>
        </w:rPr>
      </w:pPr>
      <w:r>
        <w:rPr>
          <w:color w:val="auto"/>
          <w:highlight w:val="none"/>
        </w:rPr>
        <w:fldChar w:fldCharType="begin"/>
      </w:r>
      <w:r>
        <w:rPr>
          <w:color w:val="auto"/>
          <w:highlight w:val="none"/>
        </w:rPr>
        <w:instrText xml:space="preserve"> HYPERLINK \l "_Toc59200679" </w:instrText>
      </w:r>
      <w:r>
        <w:rPr>
          <w:color w:val="auto"/>
          <w:highlight w:val="none"/>
        </w:rPr>
        <w:fldChar w:fldCharType="separate"/>
      </w:r>
      <w:r>
        <w:rPr>
          <w:rFonts w:ascii="宋体" w:hAnsi="宋体" w:eastAsia="宋体" w:cs="Times New Roman"/>
          <w:color w:val="auto"/>
          <w:sz w:val="24"/>
          <w:szCs w:val="24"/>
          <w:highlight w:val="none"/>
        </w:rPr>
        <w:t>第二章 投标人须知</w:t>
      </w:r>
      <w:r>
        <w:rPr>
          <w:rFonts w:ascii="宋体" w:hAnsi="宋体" w:eastAsia="宋体" w:cs="Times New Roman"/>
          <w:color w:val="auto"/>
          <w:sz w:val="24"/>
          <w:szCs w:val="24"/>
          <w:highlight w:val="none"/>
        </w:rPr>
        <w:tab/>
      </w:r>
      <w:r>
        <w:rPr>
          <w:rFonts w:ascii="宋体" w:hAnsi="宋体" w:eastAsia="宋体" w:cs="Times New Roman"/>
          <w:color w:val="auto"/>
          <w:sz w:val="24"/>
          <w:szCs w:val="24"/>
          <w:highlight w:val="none"/>
        </w:rPr>
        <w:fldChar w:fldCharType="begin"/>
      </w:r>
      <w:r>
        <w:rPr>
          <w:rFonts w:ascii="宋体" w:hAnsi="宋体" w:eastAsia="宋体" w:cs="Times New Roman"/>
          <w:color w:val="auto"/>
          <w:sz w:val="24"/>
          <w:szCs w:val="24"/>
          <w:highlight w:val="none"/>
        </w:rPr>
        <w:instrText xml:space="preserve"> PAGEREF _Toc59200679 \h </w:instrText>
      </w:r>
      <w:r>
        <w:rPr>
          <w:rFonts w:ascii="宋体" w:hAnsi="宋体" w:eastAsia="宋体" w:cs="Times New Roman"/>
          <w:color w:val="auto"/>
          <w:sz w:val="24"/>
          <w:szCs w:val="24"/>
          <w:highlight w:val="none"/>
        </w:rPr>
        <w:fldChar w:fldCharType="separate"/>
      </w:r>
      <w:r>
        <w:rPr>
          <w:rFonts w:ascii="宋体" w:hAnsi="宋体" w:eastAsia="宋体" w:cs="Times New Roman"/>
          <w:color w:val="auto"/>
          <w:sz w:val="24"/>
          <w:szCs w:val="24"/>
          <w:highlight w:val="none"/>
        </w:rPr>
        <w:t>5</w:t>
      </w:r>
      <w:r>
        <w:rPr>
          <w:rFonts w:ascii="宋体" w:hAnsi="宋体" w:eastAsia="宋体" w:cs="Times New Roman"/>
          <w:color w:val="auto"/>
          <w:sz w:val="24"/>
          <w:szCs w:val="24"/>
          <w:highlight w:val="none"/>
        </w:rPr>
        <w:fldChar w:fldCharType="end"/>
      </w:r>
      <w:r>
        <w:rPr>
          <w:rFonts w:ascii="宋体" w:hAnsi="宋体" w:eastAsia="宋体" w:cs="Times New Roman"/>
          <w:color w:val="auto"/>
          <w:sz w:val="24"/>
          <w:szCs w:val="24"/>
          <w:highlight w:val="none"/>
        </w:rPr>
        <w:fldChar w:fldCharType="end"/>
      </w:r>
    </w:p>
    <w:p w14:paraId="7B37A83F">
      <w:pPr>
        <w:tabs>
          <w:tab w:val="right" w:leader="dot" w:pos="9063"/>
        </w:tabs>
        <w:wordWrap w:val="0"/>
        <w:spacing w:line="560" w:lineRule="exact"/>
        <w:rPr>
          <w:rFonts w:hint="eastAsia" w:ascii="宋体" w:hAnsi="宋体" w:eastAsia="宋体" w:cs="Times New Roman"/>
          <w:color w:val="auto"/>
          <w:sz w:val="24"/>
          <w:szCs w:val="24"/>
          <w:highlight w:val="none"/>
        </w:rPr>
      </w:pPr>
      <w:r>
        <w:rPr>
          <w:color w:val="auto"/>
          <w:highlight w:val="none"/>
        </w:rPr>
        <w:fldChar w:fldCharType="begin"/>
      </w:r>
      <w:r>
        <w:rPr>
          <w:color w:val="auto"/>
          <w:highlight w:val="none"/>
        </w:rPr>
        <w:instrText xml:space="preserve"> HYPERLINK \l "_Toc59200686" </w:instrText>
      </w:r>
      <w:r>
        <w:rPr>
          <w:color w:val="auto"/>
          <w:highlight w:val="none"/>
        </w:rPr>
        <w:fldChar w:fldCharType="separate"/>
      </w:r>
      <w:r>
        <w:rPr>
          <w:rFonts w:ascii="宋体" w:hAnsi="宋体" w:eastAsia="宋体" w:cs="Times New Roman"/>
          <w:color w:val="auto"/>
          <w:sz w:val="24"/>
          <w:szCs w:val="24"/>
          <w:highlight w:val="none"/>
        </w:rPr>
        <w:t>第三章</w:t>
      </w:r>
      <w:r>
        <w:rPr>
          <w:rFonts w:hint="eastAsia" w:ascii="宋体" w:hAnsi="宋体" w:eastAsia="宋体" w:cs="Times New Roman"/>
          <w:color w:val="auto"/>
          <w:sz w:val="24"/>
          <w:szCs w:val="24"/>
          <w:highlight w:val="none"/>
        </w:rPr>
        <w:t xml:space="preserve"> </w:t>
      </w:r>
      <w:r>
        <w:rPr>
          <w:rFonts w:ascii="宋体" w:hAnsi="宋体" w:eastAsia="宋体" w:cs="Times New Roman"/>
          <w:color w:val="auto"/>
          <w:sz w:val="24"/>
          <w:szCs w:val="24"/>
          <w:highlight w:val="none"/>
        </w:rPr>
        <w:t>评标办法（综合评估法）</w:t>
      </w:r>
      <w:r>
        <w:rPr>
          <w:rFonts w:ascii="宋体" w:hAnsi="宋体" w:eastAsia="宋体" w:cs="Times New Roman"/>
          <w:color w:val="auto"/>
          <w:sz w:val="24"/>
          <w:szCs w:val="24"/>
          <w:highlight w:val="none"/>
        </w:rPr>
        <w:tab/>
      </w:r>
      <w:r>
        <w:rPr>
          <w:rFonts w:ascii="宋体" w:hAnsi="宋体" w:eastAsia="宋体" w:cs="Times New Roman"/>
          <w:color w:val="auto"/>
          <w:sz w:val="24"/>
          <w:szCs w:val="24"/>
          <w:highlight w:val="none"/>
        </w:rPr>
        <w:fldChar w:fldCharType="begin"/>
      </w:r>
      <w:r>
        <w:rPr>
          <w:rFonts w:ascii="宋体" w:hAnsi="宋体" w:eastAsia="宋体" w:cs="Times New Roman"/>
          <w:color w:val="auto"/>
          <w:sz w:val="24"/>
          <w:szCs w:val="24"/>
          <w:highlight w:val="none"/>
        </w:rPr>
        <w:instrText xml:space="preserve"> PAGEREF _Toc59200686 \h </w:instrText>
      </w:r>
      <w:r>
        <w:rPr>
          <w:rFonts w:ascii="宋体" w:hAnsi="宋体" w:eastAsia="宋体" w:cs="Times New Roman"/>
          <w:color w:val="auto"/>
          <w:sz w:val="24"/>
          <w:szCs w:val="24"/>
          <w:highlight w:val="none"/>
        </w:rPr>
        <w:fldChar w:fldCharType="separate"/>
      </w:r>
      <w:r>
        <w:rPr>
          <w:rFonts w:ascii="宋体" w:hAnsi="宋体" w:eastAsia="宋体" w:cs="Times New Roman"/>
          <w:color w:val="auto"/>
          <w:sz w:val="24"/>
          <w:szCs w:val="24"/>
          <w:highlight w:val="none"/>
        </w:rPr>
        <w:t>23</w:t>
      </w:r>
      <w:r>
        <w:rPr>
          <w:rFonts w:ascii="宋体" w:hAnsi="宋体" w:eastAsia="宋体" w:cs="Times New Roman"/>
          <w:color w:val="auto"/>
          <w:sz w:val="24"/>
          <w:szCs w:val="24"/>
          <w:highlight w:val="none"/>
        </w:rPr>
        <w:fldChar w:fldCharType="end"/>
      </w:r>
      <w:r>
        <w:rPr>
          <w:rFonts w:ascii="宋体" w:hAnsi="宋体" w:eastAsia="宋体" w:cs="Times New Roman"/>
          <w:color w:val="auto"/>
          <w:sz w:val="24"/>
          <w:szCs w:val="24"/>
          <w:highlight w:val="none"/>
        </w:rPr>
        <w:fldChar w:fldCharType="end"/>
      </w:r>
    </w:p>
    <w:p w14:paraId="53EEDD51">
      <w:pPr>
        <w:tabs>
          <w:tab w:val="right" w:leader="dot" w:pos="9063"/>
        </w:tabs>
        <w:wordWrap w:val="0"/>
        <w:spacing w:line="560" w:lineRule="exact"/>
        <w:rPr>
          <w:rFonts w:hint="eastAsia" w:ascii="宋体" w:hAnsi="宋体" w:eastAsia="宋体" w:cs="Times New Roman"/>
          <w:color w:val="auto"/>
          <w:sz w:val="24"/>
          <w:szCs w:val="24"/>
          <w:highlight w:val="none"/>
        </w:rPr>
      </w:pPr>
      <w:r>
        <w:rPr>
          <w:color w:val="auto"/>
          <w:highlight w:val="none"/>
        </w:rPr>
        <w:fldChar w:fldCharType="begin"/>
      </w:r>
      <w:r>
        <w:rPr>
          <w:color w:val="auto"/>
          <w:highlight w:val="none"/>
        </w:rPr>
        <w:instrText xml:space="preserve"> HYPERLINK \l "_Toc59200694" </w:instrText>
      </w:r>
      <w:r>
        <w:rPr>
          <w:color w:val="auto"/>
          <w:highlight w:val="none"/>
        </w:rPr>
        <w:fldChar w:fldCharType="separate"/>
      </w:r>
      <w:r>
        <w:rPr>
          <w:rFonts w:ascii="宋体" w:hAnsi="宋体" w:eastAsia="宋体" w:cs="Times New Roman"/>
          <w:color w:val="auto"/>
          <w:sz w:val="24"/>
          <w:szCs w:val="24"/>
          <w:highlight w:val="none"/>
        </w:rPr>
        <w:t>第四章 合同条款及格式</w:t>
      </w:r>
      <w:r>
        <w:rPr>
          <w:rFonts w:ascii="宋体" w:hAnsi="宋体" w:eastAsia="宋体" w:cs="Times New Roman"/>
          <w:color w:val="auto"/>
          <w:sz w:val="24"/>
          <w:szCs w:val="24"/>
          <w:highlight w:val="none"/>
        </w:rPr>
        <w:tab/>
      </w:r>
      <w:r>
        <w:rPr>
          <w:rFonts w:ascii="宋体" w:hAnsi="宋体" w:eastAsia="宋体" w:cs="Times New Roman"/>
          <w:color w:val="auto"/>
          <w:sz w:val="24"/>
          <w:szCs w:val="24"/>
          <w:highlight w:val="none"/>
        </w:rPr>
        <w:fldChar w:fldCharType="begin"/>
      </w:r>
      <w:r>
        <w:rPr>
          <w:rFonts w:ascii="宋体" w:hAnsi="宋体" w:eastAsia="宋体" w:cs="Times New Roman"/>
          <w:color w:val="auto"/>
          <w:sz w:val="24"/>
          <w:szCs w:val="24"/>
          <w:highlight w:val="none"/>
        </w:rPr>
        <w:instrText xml:space="preserve"> PAGEREF _Toc59200694 \h </w:instrText>
      </w:r>
      <w:r>
        <w:rPr>
          <w:rFonts w:ascii="宋体" w:hAnsi="宋体" w:eastAsia="宋体" w:cs="Times New Roman"/>
          <w:color w:val="auto"/>
          <w:sz w:val="24"/>
          <w:szCs w:val="24"/>
          <w:highlight w:val="none"/>
        </w:rPr>
        <w:fldChar w:fldCharType="separate"/>
      </w:r>
      <w:r>
        <w:rPr>
          <w:rFonts w:ascii="宋体" w:hAnsi="宋体" w:eastAsia="宋体" w:cs="Times New Roman"/>
          <w:color w:val="auto"/>
          <w:sz w:val="24"/>
          <w:szCs w:val="24"/>
          <w:highlight w:val="none"/>
        </w:rPr>
        <w:t>35</w:t>
      </w:r>
      <w:r>
        <w:rPr>
          <w:rFonts w:ascii="宋体" w:hAnsi="宋体" w:eastAsia="宋体" w:cs="Times New Roman"/>
          <w:color w:val="auto"/>
          <w:sz w:val="24"/>
          <w:szCs w:val="24"/>
          <w:highlight w:val="none"/>
        </w:rPr>
        <w:fldChar w:fldCharType="end"/>
      </w:r>
      <w:r>
        <w:rPr>
          <w:rFonts w:ascii="宋体" w:hAnsi="宋体" w:eastAsia="宋体" w:cs="Times New Roman"/>
          <w:color w:val="auto"/>
          <w:sz w:val="24"/>
          <w:szCs w:val="24"/>
          <w:highlight w:val="none"/>
        </w:rPr>
        <w:fldChar w:fldCharType="end"/>
      </w:r>
    </w:p>
    <w:p w14:paraId="22052A09">
      <w:pPr>
        <w:tabs>
          <w:tab w:val="right" w:leader="dot" w:pos="9063"/>
        </w:tabs>
        <w:wordWrap w:val="0"/>
        <w:spacing w:line="560" w:lineRule="exact"/>
        <w:rPr>
          <w:rFonts w:hint="eastAsia" w:ascii="宋体" w:hAnsi="宋体" w:eastAsia="宋体" w:cs="Times New Roman"/>
          <w:color w:val="auto"/>
          <w:sz w:val="24"/>
          <w:szCs w:val="24"/>
          <w:highlight w:val="none"/>
        </w:rPr>
      </w:pPr>
      <w:r>
        <w:rPr>
          <w:color w:val="auto"/>
          <w:highlight w:val="none"/>
        </w:rPr>
        <w:fldChar w:fldCharType="begin"/>
      </w:r>
      <w:r>
        <w:rPr>
          <w:color w:val="auto"/>
          <w:highlight w:val="none"/>
        </w:rPr>
        <w:instrText xml:space="preserve"> HYPERLINK \l "_Toc59200695" </w:instrText>
      </w:r>
      <w:r>
        <w:rPr>
          <w:color w:val="auto"/>
          <w:highlight w:val="none"/>
        </w:rPr>
        <w:fldChar w:fldCharType="separate"/>
      </w:r>
      <w:r>
        <w:rPr>
          <w:rFonts w:ascii="宋体" w:hAnsi="宋体" w:eastAsia="宋体" w:cs="Times New Roman"/>
          <w:color w:val="auto"/>
          <w:sz w:val="24"/>
          <w:szCs w:val="24"/>
          <w:highlight w:val="none"/>
        </w:rPr>
        <w:t>第二卷</w:t>
      </w:r>
      <w:r>
        <w:rPr>
          <w:rFonts w:ascii="宋体" w:hAnsi="宋体" w:eastAsia="宋体" w:cs="Times New Roman"/>
          <w:color w:val="auto"/>
          <w:sz w:val="24"/>
          <w:szCs w:val="24"/>
          <w:highlight w:val="none"/>
        </w:rPr>
        <w:tab/>
      </w:r>
      <w:r>
        <w:rPr>
          <w:rFonts w:ascii="宋体" w:hAnsi="宋体" w:eastAsia="宋体" w:cs="Times New Roman"/>
          <w:color w:val="auto"/>
          <w:sz w:val="24"/>
          <w:szCs w:val="24"/>
          <w:highlight w:val="none"/>
        </w:rPr>
        <w:fldChar w:fldCharType="begin"/>
      </w:r>
      <w:r>
        <w:rPr>
          <w:rFonts w:ascii="宋体" w:hAnsi="宋体" w:eastAsia="宋体" w:cs="Times New Roman"/>
          <w:color w:val="auto"/>
          <w:sz w:val="24"/>
          <w:szCs w:val="24"/>
          <w:highlight w:val="none"/>
        </w:rPr>
        <w:instrText xml:space="preserve"> PAGEREF _Toc59200695 \h </w:instrText>
      </w:r>
      <w:r>
        <w:rPr>
          <w:rFonts w:ascii="宋体" w:hAnsi="宋体" w:eastAsia="宋体" w:cs="Times New Roman"/>
          <w:color w:val="auto"/>
          <w:sz w:val="24"/>
          <w:szCs w:val="24"/>
          <w:highlight w:val="none"/>
        </w:rPr>
        <w:fldChar w:fldCharType="separate"/>
      </w:r>
      <w:r>
        <w:rPr>
          <w:rFonts w:ascii="宋体" w:hAnsi="宋体" w:eastAsia="宋体" w:cs="Times New Roman"/>
          <w:color w:val="auto"/>
          <w:sz w:val="24"/>
          <w:szCs w:val="24"/>
          <w:highlight w:val="none"/>
        </w:rPr>
        <w:t>36</w:t>
      </w:r>
      <w:r>
        <w:rPr>
          <w:rFonts w:ascii="宋体" w:hAnsi="宋体" w:eastAsia="宋体" w:cs="Times New Roman"/>
          <w:color w:val="auto"/>
          <w:sz w:val="24"/>
          <w:szCs w:val="24"/>
          <w:highlight w:val="none"/>
        </w:rPr>
        <w:fldChar w:fldCharType="end"/>
      </w:r>
      <w:r>
        <w:rPr>
          <w:rFonts w:ascii="宋体" w:hAnsi="宋体" w:eastAsia="宋体" w:cs="Times New Roman"/>
          <w:color w:val="auto"/>
          <w:sz w:val="24"/>
          <w:szCs w:val="24"/>
          <w:highlight w:val="none"/>
        </w:rPr>
        <w:fldChar w:fldCharType="end"/>
      </w:r>
    </w:p>
    <w:p w14:paraId="1258924F">
      <w:pPr>
        <w:tabs>
          <w:tab w:val="right" w:leader="dot" w:pos="9063"/>
        </w:tabs>
        <w:wordWrap w:val="0"/>
        <w:spacing w:line="560" w:lineRule="exact"/>
        <w:rPr>
          <w:rFonts w:hint="eastAsia" w:ascii="宋体" w:hAnsi="宋体" w:eastAsia="宋体" w:cs="Times New Roman"/>
          <w:color w:val="auto"/>
          <w:sz w:val="24"/>
          <w:szCs w:val="24"/>
          <w:highlight w:val="none"/>
        </w:rPr>
      </w:pPr>
      <w:r>
        <w:rPr>
          <w:color w:val="auto"/>
          <w:highlight w:val="none"/>
        </w:rPr>
        <w:fldChar w:fldCharType="begin"/>
      </w:r>
      <w:r>
        <w:rPr>
          <w:color w:val="auto"/>
          <w:highlight w:val="none"/>
        </w:rPr>
        <w:instrText xml:space="preserve"> HYPERLINK \l "_Toc59200696" </w:instrText>
      </w:r>
      <w:r>
        <w:rPr>
          <w:color w:val="auto"/>
          <w:highlight w:val="none"/>
        </w:rPr>
        <w:fldChar w:fldCharType="separate"/>
      </w:r>
      <w:r>
        <w:rPr>
          <w:rFonts w:ascii="宋体" w:hAnsi="宋体" w:eastAsia="宋体" w:cs="Times New Roman"/>
          <w:color w:val="auto"/>
          <w:sz w:val="24"/>
          <w:szCs w:val="24"/>
          <w:highlight w:val="none"/>
        </w:rPr>
        <w:t>第五章 委托人要求</w:t>
      </w:r>
      <w:r>
        <w:rPr>
          <w:rFonts w:ascii="宋体" w:hAnsi="宋体" w:eastAsia="宋体" w:cs="Times New Roman"/>
          <w:color w:val="auto"/>
          <w:sz w:val="24"/>
          <w:szCs w:val="24"/>
          <w:highlight w:val="none"/>
        </w:rPr>
        <w:tab/>
      </w:r>
      <w:r>
        <w:rPr>
          <w:rFonts w:ascii="宋体" w:hAnsi="宋体" w:eastAsia="宋体" w:cs="Times New Roman"/>
          <w:color w:val="auto"/>
          <w:sz w:val="24"/>
          <w:szCs w:val="24"/>
          <w:highlight w:val="none"/>
        </w:rPr>
        <w:fldChar w:fldCharType="begin"/>
      </w:r>
      <w:r>
        <w:rPr>
          <w:rFonts w:ascii="宋体" w:hAnsi="宋体" w:eastAsia="宋体" w:cs="Times New Roman"/>
          <w:color w:val="auto"/>
          <w:sz w:val="24"/>
          <w:szCs w:val="24"/>
          <w:highlight w:val="none"/>
        </w:rPr>
        <w:instrText xml:space="preserve"> PAGEREF _Toc59200696 \h </w:instrText>
      </w:r>
      <w:r>
        <w:rPr>
          <w:rFonts w:ascii="宋体" w:hAnsi="宋体" w:eastAsia="宋体" w:cs="Times New Roman"/>
          <w:color w:val="auto"/>
          <w:sz w:val="24"/>
          <w:szCs w:val="24"/>
          <w:highlight w:val="none"/>
        </w:rPr>
        <w:fldChar w:fldCharType="separate"/>
      </w:r>
      <w:r>
        <w:rPr>
          <w:rFonts w:ascii="宋体" w:hAnsi="宋体" w:eastAsia="宋体" w:cs="Times New Roman"/>
          <w:color w:val="auto"/>
          <w:sz w:val="24"/>
          <w:szCs w:val="24"/>
          <w:highlight w:val="none"/>
        </w:rPr>
        <w:t>36</w:t>
      </w:r>
      <w:r>
        <w:rPr>
          <w:rFonts w:ascii="宋体" w:hAnsi="宋体" w:eastAsia="宋体" w:cs="Times New Roman"/>
          <w:color w:val="auto"/>
          <w:sz w:val="24"/>
          <w:szCs w:val="24"/>
          <w:highlight w:val="none"/>
        </w:rPr>
        <w:fldChar w:fldCharType="end"/>
      </w:r>
      <w:r>
        <w:rPr>
          <w:rFonts w:ascii="宋体" w:hAnsi="宋体" w:eastAsia="宋体" w:cs="Times New Roman"/>
          <w:color w:val="auto"/>
          <w:sz w:val="24"/>
          <w:szCs w:val="24"/>
          <w:highlight w:val="none"/>
        </w:rPr>
        <w:fldChar w:fldCharType="end"/>
      </w:r>
    </w:p>
    <w:p w14:paraId="5BA133D5">
      <w:pPr>
        <w:tabs>
          <w:tab w:val="right" w:leader="dot" w:pos="9063"/>
        </w:tabs>
        <w:wordWrap w:val="0"/>
        <w:spacing w:line="560" w:lineRule="exact"/>
        <w:rPr>
          <w:rFonts w:hint="eastAsia" w:ascii="宋体" w:hAnsi="宋体" w:eastAsia="宋体" w:cs="Times New Roman"/>
          <w:color w:val="auto"/>
          <w:sz w:val="24"/>
          <w:szCs w:val="24"/>
          <w:highlight w:val="none"/>
        </w:rPr>
      </w:pPr>
      <w:r>
        <w:rPr>
          <w:color w:val="auto"/>
          <w:highlight w:val="none"/>
        </w:rPr>
        <w:fldChar w:fldCharType="begin"/>
      </w:r>
      <w:r>
        <w:rPr>
          <w:color w:val="auto"/>
          <w:highlight w:val="none"/>
        </w:rPr>
        <w:instrText xml:space="preserve"> HYPERLINK \l "_Toc59200707" </w:instrText>
      </w:r>
      <w:r>
        <w:rPr>
          <w:color w:val="auto"/>
          <w:highlight w:val="none"/>
        </w:rPr>
        <w:fldChar w:fldCharType="separate"/>
      </w:r>
      <w:r>
        <w:rPr>
          <w:rFonts w:ascii="宋体" w:hAnsi="宋体" w:eastAsia="宋体" w:cs="Times New Roman"/>
          <w:color w:val="auto"/>
          <w:sz w:val="24"/>
          <w:szCs w:val="24"/>
          <w:highlight w:val="none"/>
        </w:rPr>
        <w:t>第三卷</w:t>
      </w:r>
      <w:r>
        <w:rPr>
          <w:rFonts w:ascii="宋体" w:hAnsi="宋体" w:eastAsia="宋体" w:cs="Times New Roman"/>
          <w:color w:val="auto"/>
          <w:sz w:val="24"/>
          <w:szCs w:val="24"/>
          <w:highlight w:val="none"/>
        </w:rPr>
        <w:tab/>
      </w:r>
      <w:r>
        <w:rPr>
          <w:rFonts w:ascii="宋体" w:hAnsi="宋体" w:eastAsia="宋体" w:cs="Times New Roman"/>
          <w:color w:val="auto"/>
          <w:sz w:val="24"/>
          <w:szCs w:val="24"/>
          <w:highlight w:val="none"/>
        </w:rPr>
        <w:fldChar w:fldCharType="begin"/>
      </w:r>
      <w:r>
        <w:rPr>
          <w:rFonts w:ascii="宋体" w:hAnsi="宋体" w:eastAsia="宋体" w:cs="Times New Roman"/>
          <w:color w:val="auto"/>
          <w:sz w:val="24"/>
          <w:szCs w:val="24"/>
          <w:highlight w:val="none"/>
        </w:rPr>
        <w:instrText xml:space="preserve"> PAGEREF _Toc59200707 \h </w:instrText>
      </w:r>
      <w:r>
        <w:rPr>
          <w:rFonts w:ascii="宋体" w:hAnsi="宋体" w:eastAsia="宋体" w:cs="Times New Roman"/>
          <w:color w:val="auto"/>
          <w:sz w:val="24"/>
          <w:szCs w:val="24"/>
          <w:highlight w:val="none"/>
        </w:rPr>
        <w:fldChar w:fldCharType="separate"/>
      </w:r>
      <w:r>
        <w:rPr>
          <w:rFonts w:ascii="宋体" w:hAnsi="宋体" w:eastAsia="宋体" w:cs="Times New Roman"/>
          <w:color w:val="auto"/>
          <w:sz w:val="24"/>
          <w:szCs w:val="24"/>
          <w:highlight w:val="none"/>
        </w:rPr>
        <w:t>42</w:t>
      </w:r>
      <w:r>
        <w:rPr>
          <w:rFonts w:ascii="宋体" w:hAnsi="宋体" w:eastAsia="宋体" w:cs="Times New Roman"/>
          <w:color w:val="auto"/>
          <w:sz w:val="24"/>
          <w:szCs w:val="24"/>
          <w:highlight w:val="none"/>
        </w:rPr>
        <w:fldChar w:fldCharType="end"/>
      </w:r>
      <w:r>
        <w:rPr>
          <w:rFonts w:ascii="宋体" w:hAnsi="宋体" w:eastAsia="宋体" w:cs="Times New Roman"/>
          <w:color w:val="auto"/>
          <w:sz w:val="24"/>
          <w:szCs w:val="24"/>
          <w:highlight w:val="none"/>
        </w:rPr>
        <w:fldChar w:fldCharType="end"/>
      </w:r>
    </w:p>
    <w:p w14:paraId="1FABF551">
      <w:pPr>
        <w:tabs>
          <w:tab w:val="right" w:leader="dot" w:pos="9063"/>
        </w:tabs>
        <w:wordWrap w:val="0"/>
        <w:spacing w:line="560" w:lineRule="exact"/>
        <w:rPr>
          <w:rFonts w:hint="eastAsia" w:ascii="宋体" w:hAnsi="宋体" w:eastAsia="宋体" w:cs="Times New Roman"/>
          <w:color w:val="auto"/>
          <w:sz w:val="24"/>
          <w:szCs w:val="24"/>
          <w:highlight w:val="none"/>
        </w:rPr>
      </w:pPr>
      <w:r>
        <w:rPr>
          <w:color w:val="auto"/>
          <w:highlight w:val="none"/>
        </w:rPr>
        <w:fldChar w:fldCharType="begin"/>
      </w:r>
      <w:r>
        <w:rPr>
          <w:color w:val="auto"/>
          <w:highlight w:val="none"/>
        </w:rPr>
        <w:instrText xml:space="preserve"> HYPERLINK \l "_Toc59200708" </w:instrText>
      </w:r>
      <w:r>
        <w:rPr>
          <w:color w:val="auto"/>
          <w:highlight w:val="none"/>
        </w:rPr>
        <w:fldChar w:fldCharType="separate"/>
      </w:r>
      <w:r>
        <w:rPr>
          <w:rFonts w:ascii="宋体" w:hAnsi="宋体" w:eastAsia="宋体" w:cs="宋体"/>
          <w:color w:val="auto"/>
          <w:sz w:val="24"/>
          <w:szCs w:val="24"/>
          <w:highlight w:val="none"/>
        </w:rPr>
        <w:t>第六章 投标文件格式</w:t>
      </w:r>
      <w:r>
        <w:rPr>
          <w:rFonts w:ascii="宋体" w:hAnsi="宋体" w:eastAsia="宋体" w:cs="Times New Roman"/>
          <w:color w:val="auto"/>
          <w:sz w:val="24"/>
          <w:szCs w:val="24"/>
          <w:highlight w:val="none"/>
        </w:rPr>
        <w:tab/>
      </w:r>
      <w:r>
        <w:rPr>
          <w:rFonts w:ascii="宋体" w:hAnsi="宋体" w:eastAsia="宋体" w:cs="Times New Roman"/>
          <w:color w:val="auto"/>
          <w:sz w:val="24"/>
          <w:szCs w:val="24"/>
          <w:highlight w:val="none"/>
        </w:rPr>
        <w:fldChar w:fldCharType="begin"/>
      </w:r>
      <w:r>
        <w:rPr>
          <w:rFonts w:ascii="宋体" w:hAnsi="宋体" w:eastAsia="宋体" w:cs="Times New Roman"/>
          <w:color w:val="auto"/>
          <w:sz w:val="24"/>
          <w:szCs w:val="24"/>
          <w:highlight w:val="none"/>
        </w:rPr>
        <w:instrText xml:space="preserve"> PAGEREF _Toc59200708 \h </w:instrText>
      </w:r>
      <w:r>
        <w:rPr>
          <w:rFonts w:ascii="宋体" w:hAnsi="宋体" w:eastAsia="宋体" w:cs="Times New Roman"/>
          <w:color w:val="auto"/>
          <w:sz w:val="24"/>
          <w:szCs w:val="24"/>
          <w:highlight w:val="none"/>
        </w:rPr>
        <w:fldChar w:fldCharType="separate"/>
      </w:r>
      <w:r>
        <w:rPr>
          <w:rFonts w:ascii="宋体" w:hAnsi="宋体" w:eastAsia="宋体" w:cs="Times New Roman"/>
          <w:color w:val="auto"/>
          <w:sz w:val="24"/>
          <w:szCs w:val="24"/>
          <w:highlight w:val="none"/>
        </w:rPr>
        <w:t>42</w:t>
      </w:r>
      <w:r>
        <w:rPr>
          <w:rFonts w:ascii="宋体" w:hAnsi="宋体" w:eastAsia="宋体" w:cs="Times New Roman"/>
          <w:color w:val="auto"/>
          <w:sz w:val="24"/>
          <w:szCs w:val="24"/>
          <w:highlight w:val="none"/>
        </w:rPr>
        <w:fldChar w:fldCharType="end"/>
      </w:r>
      <w:r>
        <w:rPr>
          <w:rFonts w:ascii="宋体" w:hAnsi="宋体" w:eastAsia="宋体" w:cs="Times New Roman"/>
          <w:color w:val="auto"/>
          <w:sz w:val="24"/>
          <w:szCs w:val="24"/>
          <w:highlight w:val="none"/>
        </w:rPr>
        <w:fldChar w:fldCharType="end"/>
      </w:r>
    </w:p>
    <w:p w14:paraId="1301A6A1">
      <w:pPr>
        <w:tabs>
          <w:tab w:val="right" w:leader="dot" w:pos="8640"/>
        </w:tabs>
        <w:wordWrap w:val="0"/>
        <w:spacing w:line="560" w:lineRule="exact"/>
        <w:rPr>
          <w:rFonts w:hint="eastAsia" w:ascii="宋体" w:hAnsi="宋体" w:eastAsia="宋体" w:cs="Times New Roman"/>
          <w:color w:val="auto"/>
          <w:highlight w:val="none"/>
        </w:rPr>
      </w:pPr>
      <w:r>
        <w:rPr>
          <w:rFonts w:ascii="宋体" w:hAnsi="宋体" w:eastAsia="宋体" w:cs="Times New Roman"/>
          <w:color w:val="auto"/>
          <w:sz w:val="24"/>
          <w:szCs w:val="24"/>
          <w:highlight w:val="none"/>
        </w:rPr>
        <w:fldChar w:fldCharType="end"/>
      </w:r>
    </w:p>
    <w:p w14:paraId="2E24B316">
      <w:pPr>
        <w:wordWrap w:val="0"/>
        <w:spacing w:before="340" w:after="330"/>
        <w:jc w:val="center"/>
        <w:outlineLvl w:val="0"/>
        <w:rPr>
          <w:rFonts w:hint="eastAsia" w:ascii="宋体" w:hAnsi="宋体" w:eastAsia="宋体" w:cs="Times New Roman"/>
          <w:b/>
          <w:color w:val="auto"/>
          <w:kern w:val="44"/>
          <w:sz w:val="44"/>
          <w:szCs w:val="20"/>
          <w:highlight w:val="none"/>
        </w:rPr>
      </w:pPr>
      <w:bookmarkStart w:id="5" w:name="_Toc511557024"/>
      <w:bookmarkStart w:id="6" w:name="_Toc526786482"/>
      <w:bookmarkStart w:id="7" w:name="_Toc21021"/>
      <w:r>
        <w:rPr>
          <w:rFonts w:ascii="宋体" w:hAnsi="宋体" w:eastAsia="宋体" w:cs="Times New Roman"/>
          <w:b/>
          <w:color w:val="auto"/>
          <w:kern w:val="44"/>
          <w:sz w:val="44"/>
          <w:szCs w:val="20"/>
          <w:highlight w:val="none"/>
        </w:rPr>
        <w:br w:type="page"/>
      </w:r>
      <w:bookmarkStart w:id="8" w:name="_Toc59200677"/>
      <w:r>
        <w:rPr>
          <w:rFonts w:hint="eastAsia" w:ascii="宋体" w:hAnsi="宋体" w:eastAsia="宋体" w:cs="Times New Roman"/>
          <w:b/>
          <w:color w:val="auto"/>
          <w:kern w:val="44"/>
          <w:sz w:val="44"/>
          <w:szCs w:val="20"/>
          <w:highlight w:val="none"/>
        </w:rPr>
        <w:t>第</w:t>
      </w:r>
      <w:bookmarkEnd w:id="0"/>
      <w:bookmarkEnd w:id="1"/>
      <w:bookmarkEnd w:id="2"/>
      <w:bookmarkEnd w:id="5"/>
      <w:r>
        <w:rPr>
          <w:rFonts w:hint="eastAsia" w:ascii="宋体" w:hAnsi="宋体" w:eastAsia="宋体" w:cs="Times New Roman"/>
          <w:b/>
          <w:color w:val="auto"/>
          <w:kern w:val="44"/>
          <w:sz w:val="44"/>
          <w:szCs w:val="20"/>
          <w:highlight w:val="none"/>
        </w:rPr>
        <w:t>一卷</w:t>
      </w:r>
      <w:bookmarkEnd w:id="6"/>
      <w:bookmarkEnd w:id="7"/>
      <w:bookmarkEnd w:id="8"/>
    </w:p>
    <w:p w14:paraId="0A596C4D">
      <w:pPr>
        <w:wordWrap w:val="0"/>
        <w:spacing w:before="340" w:after="330"/>
        <w:jc w:val="center"/>
        <w:outlineLvl w:val="0"/>
        <w:rPr>
          <w:rFonts w:hint="eastAsia" w:ascii="宋体" w:hAnsi="宋体" w:eastAsia="宋体" w:cs="Times New Roman"/>
          <w:b/>
          <w:color w:val="auto"/>
          <w:kern w:val="44"/>
          <w:sz w:val="44"/>
          <w:szCs w:val="20"/>
          <w:highlight w:val="none"/>
        </w:rPr>
      </w:pPr>
      <w:bookmarkStart w:id="9" w:name="_Toc59200678"/>
      <w:bookmarkStart w:id="10" w:name="_Toc526786483"/>
      <w:bookmarkStart w:id="11" w:name="_Toc153"/>
      <w:r>
        <w:rPr>
          <w:rFonts w:hint="eastAsia" w:ascii="宋体" w:hAnsi="宋体" w:eastAsia="宋体" w:cs="Times New Roman"/>
          <w:b/>
          <w:color w:val="auto"/>
          <w:kern w:val="44"/>
          <w:sz w:val="44"/>
          <w:szCs w:val="20"/>
          <w:highlight w:val="none"/>
        </w:rPr>
        <w:t>第一章</w:t>
      </w:r>
      <w:r>
        <w:rPr>
          <w:rFonts w:ascii="宋体" w:hAnsi="宋体" w:eastAsia="宋体" w:cs="Times New Roman"/>
          <w:b/>
          <w:color w:val="auto"/>
          <w:kern w:val="44"/>
          <w:sz w:val="44"/>
          <w:szCs w:val="20"/>
          <w:highlight w:val="none"/>
        </w:rPr>
        <w:t xml:space="preserve"> </w:t>
      </w:r>
      <w:r>
        <w:rPr>
          <w:rFonts w:hint="eastAsia" w:ascii="宋体" w:hAnsi="宋体" w:eastAsia="宋体" w:cs="Times New Roman"/>
          <w:b/>
          <w:color w:val="auto"/>
          <w:kern w:val="44"/>
          <w:sz w:val="44"/>
          <w:szCs w:val="20"/>
          <w:highlight w:val="none"/>
        </w:rPr>
        <w:t>招标公告</w:t>
      </w:r>
      <w:bookmarkEnd w:id="9"/>
      <w:bookmarkEnd w:id="10"/>
      <w:bookmarkEnd w:id="11"/>
    </w:p>
    <w:p w14:paraId="1856DF41">
      <w:pPr>
        <w:pStyle w:val="3"/>
        <w:widowControl/>
        <w:rPr>
          <w:rFonts w:hint="eastAsia" w:ascii="宋体" w:hAnsi="宋体" w:eastAsia="宋体" w:cs="Times New Roman"/>
          <w:b/>
          <w:bCs/>
          <w:color w:val="auto"/>
          <w:kern w:val="2"/>
          <w:sz w:val="32"/>
          <w:szCs w:val="32"/>
          <w:highlight w:val="none"/>
        </w:rPr>
      </w:pPr>
      <w:bookmarkStart w:id="12" w:name="_Toc152042299"/>
      <w:bookmarkEnd w:id="12"/>
      <w:bookmarkStart w:id="13" w:name="_Toc361508560"/>
      <w:bookmarkEnd w:id="13"/>
      <w:bookmarkStart w:id="14" w:name="_Toc152045523"/>
      <w:bookmarkEnd w:id="14"/>
      <w:bookmarkStart w:id="15" w:name="_Toc300834943"/>
      <w:bookmarkEnd w:id="15"/>
      <w:bookmarkStart w:id="16" w:name="_Toc384308205"/>
      <w:bookmarkEnd w:id="16"/>
      <w:bookmarkStart w:id="17" w:name="_Toc14865"/>
      <w:bookmarkEnd w:id="17"/>
      <w:bookmarkStart w:id="18" w:name="_Toc300834930"/>
      <w:bookmarkEnd w:id="18"/>
      <w:bookmarkStart w:id="19" w:name="_Toc352691453"/>
      <w:bookmarkEnd w:id="19"/>
      <w:bookmarkStart w:id="20" w:name="_Toc247513934"/>
      <w:bookmarkEnd w:id="20"/>
      <w:bookmarkStart w:id="21" w:name="_Toc19438"/>
      <w:bookmarkEnd w:id="21"/>
      <w:bookmarkStart w:id="22" w:name="_Toc352691469"/>
      <w:bookmarkEnd w:id="22"/>
      <w:bookmarkStart w:id="23" w:name="_Toc492300546"/>
      <w:bookmarkEnd w:id="23"/>
      <w:bookmarkStart w:id="24" w:name="_Toc13816"/>
      <w:bookmarkEnd w:id="24"/>
      <w:bookmarkStart w:id="25" w:name="_Toc4607"/>
      <w:bookmarkEnd w:id="25"/>
      <w:bookmarkStart w:id="26" w:name="_Toc369531498"/>
      <w:bookmarkEnd w:id="26"/>
      <w:bookmarkStart w:id="27" w:name="_Toc300834929"/>
      <w:bookmarkEnd w:id="27"/>
      <w:bookmarkStart w:id="28" w:name="_Toc300834941"/>
      <w:bookmarkEnd w:id="28"/>
      <w:bookmarkStart w:id="29" w:name="_Toc7616"/>
      <w:bookmarkEnd w:id="29"/>
      <w:bookmarkStart w:id="30" w:name="_Toc152042301"/>
      <w:bookmarkEnd w:id="30"/>
      <w:bookmarkStart w:id="31" w:name="_Toc30817"/>
      <w:bookmarkEnd w:id="31"/>
      <w:bookmarkStart w:id="32" w:name="_Toc152045513"/>
      <w:bookmarkEnd w:id="32"/>
      <w:bookmarkStart w:id="33" w:name="_Toc247513935"/>
      <w:bookmarkEnd w:id="33"/>
      <w:bookmarkStart w:id="34" w:name="_Toc361508563"/>
      <w:bookmarkEnd w:id="34"/>
      <w:bookmarkStart w:id="35" w:name="_Toc12249"/>
      <w:bookmarkEnd w:id="35"/>
      <w:bookmarkStart w:id="36" w:name="_Toc144974480"/>
      <w:bookmarkEnd w:id="36"/>
      <w:bookmarkStart w:id="37" w:name="_Toc384308187"/>
      <w:bookmarkEnd w:id="37"/>
      <w:bookmarkStart w:id="38" w:name="_Toc384308188"/>
      <w:bookmarkEnd w:id="38"/>
      <w:bookmarkStart w:id="39" w:name="_Toc361508578"/>
      <w:bookmarkEnd w:id="39"/>
      <w:bookmarkStart w:id="40" w:name="_Toc369531497"/>
      <w:bookmarkEnd w:id="40"/>
      <w:bookmarkStart w:id="41" w:name="_Toc352691456"/>
      <w:bookmarkEnd w:id="41"/>
      <w:bookmarkStart w:id="42" w:name="_Toc361508562"/>
      <w:bookmarkEnd w:id="42"/>
      <w:bookmarkStart w:id="43" w:name="_Toc247527549"/>
      <w:bookmarkEnd w:id="43"/>
      <w:bookmarkStart w:id="44" w:name="_Toc369531495"/>
      <w:bookmarkEnd w:id="44"/>
      <w:bookmarkStart w:id="45" w:name="_Toc152045525"/>
      <w:bookmarkEnd w:id="45"/>
      <w:bookmarkStart w:id="46" w:name="_Toc17972"/>
      <w:bookmarkEnd w:id="46"/>
      <w:bookmarkStart w:id="47" w:name="_Toc247527536"/>
      <w:bookmarkEnd w:id="47"/>
      <w:bookmarkStart w:id="48" w:name="_Toc247527535"/>
      <w:bookmarkEnd w:id="48"/>
      <w:bookmarkStart w:id="49" w:name="_Toc247527547"/>
      <w:bookmarkEnd w:id="49"/>
      <w:bookmarkStart w:id="50" w:name="_Toc19309"/>
      <w:bookmarkEnd w:id="50"/>
      <w:bookmarkStart w:id="51" w:name="_Toc384308185"/>
      <w:bookmarkEnd w:id="51"/>
      <w:bookmarkStart w:id="52" w:name="_Toc19794"/>
      <w:bookmarkEnd w:id="52"/>
      <w:bookmarkStart w:id="53" w:name="_Toc247513948"/>
      <w:bookmarkEnd w:id="53"/>
      <w:bookmarkStart w:id="54" w:name="_Toc6984"/>
      <w:bookmarkEnd w:id="54"/>
      <w:bookmarkStart w:id="55" w:name="_Toc152042289"/>
      <w:bookmarkEnd w:id="55"/>
      <w:bookmarkStart w:id="56" w:name="_Toc14321"/>
      <w:bookmarkEnd w:id="56"/>
      <w:bookmarkStart w:id="57" w:name="_Toc369531511"/>
      <w:bookmarkEnd w:id="57"/>
      <w:bookmarkStart w:id="58" w:name="_Toc152045512"/>
      <w:bookmarkEnd w:id="58"/>
      <w:bookmarkStart w:id="59" w:name="_Toc384308203"/>
      <w:bookmarkEnd w:id="59"/>
      <w:bookmarkStart w:id="60" w:name="_Toc29260"/>
      <w:bookmarkEnd w:id="60"/>
      <w:bookmarkStart w:id="61" w:name="_Toc152042288"/>
      <w:bookmarkEnd w:id="61"/>
      <w:bookmarkStart w:id="62" w:name="_Toc300834927"/>
      <w:bookmarkEnd w:id="62"/>
      <w:bookmarkStart w:id="63" w:name="_Toc144974481"/>
      <w:bookmarkEnd w:id="63"/>
      <w:bookmarkStart w:id="64" w:name="_Toc10785"/>
      <w:bookmarkEnd w:id="64"/>
      <w:bookmarkStart w:id="65" w:name="_Toc247513946"/>
      <w:bookmarkEnd w:id="65"/>
      <w:bookmarkStart w:id="66" w:name="_Toc361508580"/>
      <w:bookmarkEnd w:id="66"/>
      <w:bookmarkStart w:id="67" w:name="_Toc144974491"/>
      <w:bookmarkEnd w:id="67"/>
      <w:bookmarkStart w:id="68" w:name="_Toc352691467"/>
      <w:bookmarkEnd w:id="68"/>
      <w:bookmarkStart w:id="69" w:name="_Toc144974493"/>
      <w:bookmarkEnd w:id="69"/>
      <w:bookmarkStart w:id="70" w:name="_Toc369531509"/>
      <w:bookmarkEnd w:id="70"/>
      <w:bookmarkStart w:id="71" w:name="_Toc352691455"/>
      <w:bookmarkEnd w:id="71"/>
      <w:bookmarkStart w:id="72" w:name="_Toc8669"/>
      <w:bookmarkStart w:id="73" w:name="_Toc526786484"/>
      <w:bookmarkStart w:id="74" w:name="_Toc18055"/>
      <w:bookmarkStart w:id="75" w:name="_Toc59200679"/>
      <w:r>
        <w:rPr>
          <w:rFonts w:hint="eastAsia" w:ascii="宋体" w:hAnsi="宋体" w:eastAsia="宋体" w:cs="宋体"/>
          <w:b/>
          <w:bCs/>
          <w:color w:val="auto"/>
          <w:kern w:val="2"/>
          <w:sz w:val="32"/>
          <w:szCs w:val="32"/>
          <w:highlight w:val="none"/>
        </w:rPr>
        <w:t>1.招标条件</w:t>
      </w:r>
      <w:bookmarkEnd w:id="72"/>
    </w:p>
    <w:p w14:paraId="2DA5DE4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本招标项目</w:t>
      </w:r>
      <w:r>
        <w:rPr>
          <w:rFonts w:hint="eastAsia" w:ascii="宋体" w:hAnsi="宋体" w:eastAsia="宋体" w:cs="宋体"/>
          <w:color w:val="auto"/>
          <w:kern w:val="2"/>
          <w:sz w:val="24"/>
          <w:szCs w:val="24"/>
          <w:highlight w:val="none"/>
          <w:u w:val="single"/>
          <w:lang w:val="en-US" w:eastAsia="zh-CN" w:bidi="ar"/>
        </w:rPr>
        <w:t>城维计划-桥梁中修专项经费-官洲隧道中修工程</w:t>
      </w:r>
      <w:r>
        <w:rPr>
          <w:rFonts w:hint="eastAsia" w:ascii="宋体" w:hAnsi="宋体" w:eastAsia="宋体" w:cs="宋体"/>
          <w:color w:val="auto"/>
          <w:kern w:val="2"/>
          <w:sz w:val="24"/>
          <w:szCs w:val="24"/>
          <w:highlight w:val="none"/>
          <w:lang w:val="en-US" w:eastAsia="zh-CN" w:bidi="ar"/>
        </w:rPr>
        <w:t>已</w:t>
      </w:r>
      <w:r>
        <w:rPr>
          <w:rFonts w:hint="eastAsia" w:ascii="宋体" w:hAnsi="宋体" w:eastAsia="宋体" w:cs="宋体"/>
          <w:color w:val="auto"/>
          <w:spacing w:val="0"/>
          <w:kern w:val="2"/>
          <w:sz w:val="24"/>
          <w:szCs w:val="24"/>
          <w:highlight w:val="none"/>
          <w:lang w:val="en-US" w:eastAsia="zh-CN" w:bidi="ar"/>
        </w:rPr>
        <w:t>由</w:t>
      </w:r>
      <w:r>
        <w:rPr>
          <w:rFonts w:hint="eastAsia" w:ascii="宋体" w:hAnsi="宋体" w:eastAsia="宋体" w:cs="宋体"/>
          <w:color w:val="auto"/>
          <w:kern w:val="2"/>
          <w:sz w:val="24"/>
          <w:szCs w:val="24"/>
          <w:highlight w:val="none"/>
          <w:u w:val="single"/>
          <w:lang w:val="en-US" w:eastAsia="zh-CN" w:bidi="ar"/>
        </w:rPr>
        <w:t>广州市交通运输局</w:t>
      </w:r>
      <w:r>
        <w:rPr>
          <w:rFonts w:hint="eastAsia" w:ascii="宋体" w:hAnsi="宋体" w:eastAsia="宋体" w:cs="宋体"/>
          <w:color w:val="auto"/>
          <w:spacing w:val="0"/>
          <w:kern w:val="2"/>
          <w:sz w:val="24"/>
          <w:szCs w:val="24"/>
          <w:highlight w:val="none"/>
          <w:lang w:val="en-US" w:eastAsia="zh-CN" w:bidi="ar"/>
        </w:rPr>
        <w:t>以</w:t>
      </w:r>
      <w:r>
        <w:rPr>
          <w:rFonts w:hint="eastAsia" w:ascii="宋体" w:hAnsi="宋体" w:eastAsia="宋体" w:cs="宋体"/>
          <w:color w:val="auto"/>
          <w:kern w:val="2"/>
          <w:sz w:val="24"/>
          <w:szCs w:val="24"/>
          <w:highlight w:val="none"/>
          <w:u w:val="single"/>
          <w:lang w:val="en-US" w:eastAsia="zh-CN" w:bidi="ar"/>
        </w:rPr>
        <w:t>穗交运函[2024]65号</w:t>
      </w:r>
      <w:r>
        <w:rPr>
          <w:rFonts w:hint="eastAsia" w:ascii="宋体" w:hAnsi="宋体" w:eastAsia="宋体" w:cs="宋体"/>
          <w:color w:val="auto"/>
          <w:spacing w:val="0"/>
          <w:kern w:val="2"/>
          <w:sz w:val="24"/>
          <w:szCs w:val="24"/>
          <w:highlight w:val="none"/>
          <w:lang w:val="en-US" w:eastAsia="zh-CN" w:bidi="ar"/>
        </w:rPr>
        <w:t>批</w:t>
      </w:r>
      <w:r>
        <w:rPr>
          <w:rFonts w:hint="eastAsia" w:ascii="宋体" w:hAnsi="宋体" w:eastAsia="宋体" w:cs="宋体"/>
          <w:color w:val="auto"/>
          <w:kern w:val="2"/>
          <w:sz w:val="24"/>
          <w:szCs w:val="24"/>
          <w:highlight w:val="none"/>
          <w:lang w:val="en-US" w:eastAsia="zh-CN" w:bidi="ar"/>
        </w:rPr>
        <w:t>准建</w:t>
      </w:r>
      <w:r>
        <w:rPr>
          <w:rFonts w:hint="eastAsia" w:ascii="宋体" w:hAnsi="宋体" w:eastAsia="宋体" w:cs="宋体"/>
          <w:color w:val="auto"/>
          <w:spacing w:val="0"/>
          <w:kern w:val="2"/>
          <w:sz w:val="24"/>
          <w:szCs w:val="24"/>
          <w:highlight w:val="none"/>
          <w:lang w:val="en-US" w:eastAsia="zh-CN" w:bidi="ar"/>
        </w:rPr>
        <w:t>设，</w:t>
      </w:r>
      <w:r>
        <w:rPr>
          <w:rFonts w:hint="eastAsia" w:ascii="宋体" w:hAnsi="宋体" w:eastAsia="宋体" w:cs="宋体"/>
          <w:color w:val="auto"/>
          <w:kern w:val="2"/>
          <w:sz w:val="24"/>
          <w:szCs w:val="24"/>
          <w:highlight w:val="none"/>
          <w:lang w:val="en-US" w:eastAsia="zh-CN" w:bidi="ar"/>
        </w:rPr>
        <w:t>项</w:t>
      </w:r>
      <w:r>
        <w:rPr>
          <w:rFonts w:hint="eastAsia" w:ascii="宋体" w:hAnsi="宋体" w:eastAsia="宋体" w:cs="宋体"/>
          <w:color w:val="auto"/>
          <w:spacing w:val="0"/>
          <w:kern w:val="2"/>
          <w:sz w:val="24"/>
          <w:szCs w:val="24"/>
          <w:highlight w:val="none"/>
          <w:lang w:val="en-US" w:eastAsia="zh-CN" w:bidi="ar"/>
        </w:rPr>
        <w:t>目</w:t>
      </w:r>
      <w:r>
        <w:rPr>
          <w:rFonts w:hint="eastAsia" w:ascii="宋体" w:hAnsi="宋体" w:eastAsia="宋体" w:cs="宋体"/>
          <w:color w:val="auto"/>
          <w:kern w:val="2"/>
          <w:sz w:val="24"/>
          <w:szCs w:val="24"/>
          <w:highlight w:val="none"/>
          <w:lang w:val="en-US" w:eastAsia="zh-CN" w:bidi="ar"/>
        </w:rPr>
        <w:t>业</w:t>
      </w:r>
      <w:r>
        <w:rPr>
          <w:rFonts w:hint="eastAsia" w:ascii="宋体" w:hAnsi="宋体" w:eastAsia="宋体" w:cs="宋体"/>
          <w:color w:val="auto"/>
          <w:spacing w:val="0"/>
          <w:kern w:val="2"/>
          <w:sz w:val="24"/>
          <w:szCs w:val="24"/>
          <w:highlight w:val="none"/>
          <w:lang w:val="en-US" w:eastAsia="zh-CN" w:bidi="ar"/>
        </w:rPr>
        <w:t>主为</w:t>
      </w:r>
      <w:r>
        <w:rPr>
          <w:rFonts w:hint="eastAsia" w:ascii="宋体" w:hAnsi="宋体" w:eastAsia="宋体" w:cs="宋体"/>
          <w:color w:val="auto"/>
          <w:kern w:val="2"/>
          <w:sz w:val="24"/>
          <w:szCs w:val="24"/>
          <w:highlight w:val="none"/>
          <w:u w:val="single"/>
          <w:lang w:val="en-US" w:eastAsia="zh-CN" w:bidi="ar"/>
        </w:rPr>
        <w:t>广州市道路事务中心</w:t>
      </w:r>
      <w:r>
        <w:rPr>
          <w:rFonts w:hint="eastAsia" w:ascii="宋体" w:hAnsi="宋体" w:eastAsia="宋体" w:cs="宋体"/>
          <w:color w:val="auto"/>
          <w:spacing w:val="0"/>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建</w:t>
      </w:r>
      <w:r>
        <w:rPr>
          <w:rFonts w:hint="eastAsia" w:ascii="宋体" w:hAnsi="宋体" w:eastAsia="宋体" w:cs="宋体"/>
          <w:color w:val="auto"/>
          <w:spacing w:val="0"/>
          <w:kern w:val="2"/>
          <w:sz w:val="24"/>
          <w:szCs w:val="24"/>
          <w:highlight w:val="none"/>
          <w:lang w:val="en-US" w:eastAsia="zh-CN" w:bidi="ar"/>
        </w:rPr>
        <w:t>设</w:t>
      </w:r>
      <w:r>
        <w:rPr>
          <w:rFonts w:hint="eastAsia" w:ascii="宋体" w:hAnsi="宋体" w:eastAsia="宋体" w:cs="宋体"/>
          <w:color w:val="auto"/>
          <w:kern w:val="2"/>
          <w:sz w:val="24"/>
          <w:szCs w:val="24"/>
          <w:highlight w:val="none"/>
          <w:lang w:val="en-US" w:eastAsia="zh-CN" w:bidi="ar"/>
        </w:rPr>
        <w:t>资</w:t>
      </w:r>
      <w:r>
        <w:rPr>
          <w:rFonts w:hint="eastAsia" w:ascii="宋体" w:hAnsi="宋体" w:eastAsia="宋体" w:cs="宋体"/>
          <w:color w:val="auto"/>
          <w:spacing w:val="0"/>
          <w:kern w:val="2"/>
          <w:sz w:val="24"/>
          <w:szCs w:val="24"/>
          <w:highlight w:val="none"/>
          <w:lang w:val="en-US" w:eastAsia="zh-CN" w:bidi="ar"/>
        </w:rPr>
        <w:t>金</w:t>
      </w:r>
      <w:r>
        <w:rPr>
          <w:rFonts w:hint="eastAsia" w:ascii="宋体" w:hAnsi="宋体" w:eastAsia="宋体" w:cs="宋体"/>
          <w:color w:val="auto"/>
          <w:kern w:val="2"/>
          <w:sz w:val="24"/>
          <w:szCs w:val="24"/>
          <w:highlight w:val="none"/>
          <w:lang w:val="en-US" w:eastAsia="zh-CN" w:bidi="ar"/>
        </w:rPr>
        <w:t>来</w:t>
      </w:r>
      <w:r>
        <w:rPr>
          <w:rFonts w:hint="eastAsia" w:ascii="宋体" w:hAnsi="宋体" w:eastAsia="宋体" w:cs="宋体"/>
          <w:color w:val="auto"/>
          <w:spacing w:val="0"/>
          <w:kern w:val="2"/>
          <w:sz w:val="24"/>
          <w:szCs w:val="24"/>
          <w:highlight w:val="none"/>
          <w:lang w:val="en-US" w:eastAsia="zh-CN" w:bidi="ar"/>
        </w:rPr>
        <w:t>自</w:t>
      </w:r>
      <w:r>
        <w:rPr>
          <w:rFonts w:hint="eastAsia" w:ascii="宋体" w:hAnsi="宋体" w:eastAsia="宋体" w:cs="宋体"/>
          <w:color w:val="auto"/>
          <w:kern w:val="2"/>
          <w:sz w:val="24"/>
          <w:szCs w:val="24"/>
          <w:highlight w:val="none"/>
          <w:u w:val="single"/>
          <w:lang w:val="en-US" w:eastAsia="zh-CN" w:bidi="ar"/>
        </w:rPr>
        <w:t>财政资金</w:t>
      </w:r>
      <w:r>
        <w:rPr>
          <w:rFonts w:hint="eastAsia" w:ascii="宋体" w:hAnsi="宋体" w:eastAsia="宋体" w:cs="宋体"/>
          <w:color w:val="auto"/>
          <w:kern w:val="2"/>
          <w:sz w:val="24"/>
          <w:szCs w:val="24"/>
          <w:highlight w:val="none"/>
          <w:lang w:val="en-US" w:eastAsia="zh-CN" w:bidi="ar"/>
        </w:rPr>
        <w:t>，出</w:t>
      </w:r>
      <w:r>
        <w:rPr>
          <w:rFonts w:hint="eastAsia" w:ascii="宋体" w:hAnsi="宋体" w:eastAsia="宋体" w:cs="宋体"/>
          <w:color w:val="auto"/>
          <w:spacing w:val="0"/>
          <w:kern w:val="2"/>
          <w:sz w:val="24"/>
          <w:szCs w:val="24"/>
          <w:highlight w:val="none"/>
          <w:lang w:val="en-US" w:eastAsia="zh-CN" w:bidi="ar"/>
        </w:rPr>
        <w:t>资</w:t>
      </w:r>
      <w:r>
        <w:rPr>
          <w:rFonts w:hint="eastAsia" w:ascii="宋体" w:hAnsi="宋体" w:eastAsia="宋体" w:cs="宋体"/>
          <w:color w:val="auto"/>
          <w:kern w:val="2"/>
          <w:sz w:val="24"/>
          <w:szCs w:val="24"/>
          <w:highlight w:val="none"/>
          <w:lang w:val="en-US" w:eastAsia="zh-CN" w:bidi="ar"/>
        </w:rPr>
        <w:t>比</w:t>
      </w:r>
      <w:r>
        <w:rPr>
          <w:rFonts w:hint="eastAsia" w:ascii="宋体" w:hAnsi="宋体" w:eastAsia="宋体" w:cs="宋体"/>
          <w:color w:val="auto"/>
          <w:spacing w:val="0"/>
          <w:kern w:val="2"/>
          <w:sz w:val="24"/>
          <w:szCs w:val="24"/>
          <w:highlight w:val="none"/>
          <w:lang w:val="en-US" w:eastAsia="zh-CN" w:bidi="ar"/>
        </w:rPr>
        <w:t>例</w:t>
      </w:r>
      <w:r>
        <w:rPr>
          <w:rFonts w:hint="eastAsia" w:ascii="宋体" w:hAnsi="宋体" w:eastAsia="宋体" w:cs="宋体"/>
          <w:color w:val="auto"/>
          <w:kern w:val="2"/>
          <w:sz w:val="24"/>
          <w:szCs w:val="24"/>
          <w:highlight w:val="none"/>
          <w:lang w:val="en-US" w:eastAsia="zh-CN" w:bidi="ar"/>
        </w:rPr>
        <w:t>为</w:t>
      </w:r>
      <w:r>
        <w:rPr>
          <w:rFonts w:hint="eastAsia" w:ascii="宋体" w:hAnsi="宋体" w:eastAsia="宋体" w:cs="宋体"/>
          <w:color w:val="auto"/>
          <w:kern w:val="2"/>
          <w:sz w:val="24"/>
          <w:szCs w:val="24"/>
          <w:highlight w:val="none"/>
          <w:u w:val="single"/>
          <w:lang w:val="en-US" w:eastAsia="zh-CN" w:bidi="ar"/>
        </w:rPr>
        <w:t>100%</w:t>
      </w:r>
      <w:r>
        <w:rPr>
          <w:rFonts w:hint="eastAsia" w:ascii="宋体" w:hAnsi="宋体" w:eastAsia="宋体" w:cs="宋体"/>
          <w:color w:val="auto"/>
          <w:spacing w:val="0"/>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招</w:t>
      </w:r>
      <w:r>
        <w:rPr>
          <w:rFonts w:hint="eastAsia" w:ascii="宋体" w:hAnsi="宋体" w:eastAsia="宋体" w:cs="宋体"/>
          <w:color w:val="auto"/>
          <w:spacing w:val="0"/>
          <w:kern w:val="2"/>
          <w:sz w:val="24"/>
          <w:szCs w:val="24"/>
          <w:highlight w:val="none"/>
          <w:lang w:val="en-US" w:eastAsia="zh-CN" w:bidi="ar"/>
        </w:rPr>
        <w:t>标</w:t>
      </w:r>
      <w:r>
        <w:rPr>
          <w:rFonts w:hint="eastAsia" w:ascii="宋体" w:hAnsi="宋体" w:eastAsia="宋体" w:cs="宋体"/>
          <w:color w:val="auto"/>
          <w:kern w:val="2"/>
          <w:sz w:val="24"/>
          <w:szCs w:val="24"/>
          <w:highlight w:val="none"/>
          <w:lang w:val="en-US" w:eastAsia="zh-CN" w:bidi="ar"/>
        </w:rPr>
        <w:t>人</w:t>
      </w:r>
      <w:r>
        <w:rPr>
          <w:rFonts w:hint="eastAsia" w:ascii="宋体" w:hAnsi="宋体" w:eastAsia="宋体" w:cs="宋体"/>
          <w:color w:val="auto"/>
          <w:spacing w:val="0"/>
          <w:kern w:val="2"/>
          <w:sz w:val="24"/>
          <w:szCs w:val="24"/>
          <w:highlight w:val="none"/>
          <w:lang w:val="en-US" w:eastAsia="zh-CN" w:bidi="ar"/>
        </w:rPr>
        <w:t>为</w:t>
      </w:r>
      <w:r>
        <w:rPr>
          <w:rFonts w:hint="eastAsia" w:ascii="宋体" w:hAnsi="宋体" w:eastAsia="宋体" w:cs="宋体"/>
          <w:color w:val="auto"/>
          <w:kern w:val="2"/>
          <w:sz w:val="24"/>
          <w:szCs w:val="24"/>
          <w:highlight w:val="none"/>
          <w:u w:val="single"/>
          <w:lang w:val="en-US" w:eastAsia="zh-CN" w:bidi="ar"/>
        </w:rPr>
        <w:t>广州市道路事务中心</w:t>
      </w:r>
      <w:r>
        <w:rPr>
          <w:rFonts w:hint="eastAsia" w:ascii="宋体" w:hAnsi="宋体" w:eastAsia="宋体" w:cs="宋体"/>
          <w:color w:val="auto"/>
          <w:spacing w:val="0"/>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项目</w:t>
      </w:r>
      <w:r>
        <w:rPr>
          <w:rFonts w:hint="eastAsia" w:ascii="宋体" w:hAnsi="宋体" w:eastAsia="宋体" w:cs="宋体"/>
          <w:color w:val="auto"/>
          <w:spacing w:val="0"/>
          <w:kern w:val="2"/>
          <w:sz w:val="24"/>
          <w:szCs w:val="24"/>
          <w:highlight w:val="none"/>
          <w:lang w:val="en-US" w:eastAsia="zh-CN" w:bidi="ar"/>
        </w:rPr>
        <w:t>已</w:t>
      </w:r>
      <w:r>
        <w:rPr>
          <w:rFonts w:hint="eastAsia" w:ascii="宋体" w:hAnsi="宋体" w:eastAsia="宋体" w:cs="宋体"/>
          <w:color w:val="auto"/>
          <w:kern w:val="2"/>
          <w:sz w:val="24"/>
          <w:szCs w:val="24"/>
          <w:highlight w:val="none"/>
          <w:lang w:val="en-US" w:eastAsia="zh-CN" w:bidi="ar"/>
        </w:rPr>
        <w:t>具</w:t>
      </w:r>
      <w:r>
        <w:rPr>
          <w:rFonts w:hint="eastAsia" w:ascii="宋体" w:hAnsi="宋体" w:eastAsia="宋体" w:cs="宋体"/>
          <w:color w:val="auto"/>
          <w:spacing w:val="0"/>
          <w:kern w:val="2"/>
          <w:sz w:val="24"/>
          <w:szCs w:val="24"/>
          <w:highlight w:val="none"/>
          <w:lang w:val="en-US" w:eastAsia="zh-CN" w:bidi="ar"/>
        </w:rPr>
        <w:t>备招</w:t>
      </w:r>
      <w:r>
        <w:rPr>
          <w:rFonts w:hint="eastAsia" w:ascii="宋体" w:hAnsi="宋体" w:eastAsia="宋体" w:cs="宋体"/>
          <w:color w:val="auto"/>
          <w:kern w:val="2"/>
          <w:sz w:val="24"/>
          <w:szCs w:val="24"/>
          <w:highlight w:val="none"/>
          <w:lang w:val="en-US" w:eastAsia="zh-CN" w:bidi="ar"/>
        </w:rPr>
        <w:t>标条件，现对</w:t>
      </w:r>
      <w:r>
        <w:rPr>
          <w:rFonts w:hint="eastAsia" w:ascii="宋体" w:hAnsi="宋体" w:eastAsia="宋体" w:cs="宋体"/>
          <w:color w:val="auto"/>
          <w:kern w:val="2"/>
          <w:sz w:val="24"/>
          <w:szCs w:val="24"/>
          <w:highlight w:val="none"/>
          <w:u w:val="single"/>
          <w:lang w:val="en-US" w:eastAsia="zh-CN" w:bidi="ar"/>
        </w:rPr>
        <w:t>城维计划-桥梁中修专项经费-官洲隧道中修工程监理</w:t>
      </w:r>
      <w:r>
        <w:rPr>
          <w:rFonts w:hint="eastAsia" w:ascii="宋体" w:hAnsi="宋体" w:eastAsia="宋体" w:cs="宋体"/>
          <w:color w:val="auto"/>
          <w:kern w:val="2"/>
          <w:sz w:val="24"/>
          <w:szCs w:val="24"/>
          <w:highlight w:val="none"/>
          <w:lang w:val="en-US" w:eastAsia="zh-CN" w:bidi="ar"/>
        </w:rPr>
        <w:t>进行公开招标。</w:t>
      </w:r>
    </w:p>
    <w:p w14:paraId="3C8D6661">
      <w:pPr>
        <w:pStyle w:val="3"/>
        <w:widowControl/>
        <w:rPr>
          <w:rFonts w:hint="eastAsia" w:ascii="宋体" w:hAnsi="宋体" w:eastAsia="宋体" w:cs="Times New Roman"/>
          <w:b/>
          <w:bCs/>
          <w:color w:val="auto"/>
          <w:kern w:val="2"/>
          <w:sz w:val="32"/>
          <w:szCs w:val="32"/>
          <w:highlight w:val="none"/>
        </w:rPr>
      </w:pPr>
      <w:bookmarkStart w:id="76" w:name="_Toc9097"/>
      <w:bookmarkEnd w:id="76"/>
      <w:bookmarkStart w:id="77" w:name="_Toc15996"/>
      <w:bookmarkEnd w:id="77"/>
      <w:bookmarkStart w:id="78" w:name="_Toc8135"/>
      <w:bookmarkEnd w:id="78"/>
      <w:bookmarkStart w:id="79" w:name="_Toc20915"/>
      <w:bookmarkEnd w:id="79"/>
      <w:bookmarkStart w:id="80" w:name="_Toc12610"/>
      <w:bookmarkEnd w:id="80"/>
      <w:bookmarkStart w:id="81" w:name="_Toc26461"/>
      <w:bookmarkEnd w:id="81"/>
      <w:bookmarkStart w:id="82" w:name="_Toc17994"/>
      <w:bookmarkEnd w:id="82"/>
      <w:bookmarkStart w:id="83" w:name="_Toc16756"/>
      <w:bookmarkEnd w:id="83"/>
      <w:bookmarkStart w:id="84" w:name="_Toc5569"/>
      <w:bookmarkEnd w:id="84"/>
      <w:bookmarkStart w:id="85" w:name="_Toc492300547"/>
      <w:bookmarkEnd w:id="85"/>
      <w:bookmarkStart w:id="86" w:name="_Toc23202"/>
      <w:r>
        <w:rPr>
          <w:rFonts w:hint="eastAsia" w:ascii="宋体" w:hAnsi="宋体" w:eastAsia="宋体" w:cs="宋体"/>
          <w:b/>
          <w:bCs/>
          <w:color w:val="auto"/>
          <w:kern w:val="2"/>
          <w:sz w:val="32"/>
          <w:szCs w:val="32"/>
          <w:highlight w:val="none"/>
        </w:rPr>
        <w:t>2.项目概况与招标范围</w:t>
      </w:r>
      <w:bookmarkEnd w:id="86"/>
    </w:p>
    <w:p w14:paraId="28851FFC">
      <w:pPr>
        <w:keepNext w:val="0"/>
        <w:keepLines w:val="0"/>
        <w:widowControl w:val="0"/>
        <w:suppressLineNumbers w:val="0"/>
        <w:wordWrap w:val="0"/>
        <w:autoSpaceDE w:val="0"/>
        <w:autoSpaceDN w:val="0"/>
        <w:spacing w:before="0" w:beforeAutospacing="0" w:after="0" w:afterAutospacing="0" w:line="360" w:lineRule="auto"/>
        <w:ind w:left="0" w:right="0" w:firstLine="484" w:firstLineChars="202"/>
        <w:jc w:val="both"/>
        <w:rPr>
          <w:rFonts w:hint="eastAsia" w:ascii="宋体" w:hAnsi="宋体" w:eastAsia="宋体" w:cs="Times New Roman"/>
          <w:color w:val="auto"/>
          <w:kern w:val="2"/>
          <w:sz w:val="24"/>
          <w:szCs w:val="24"/>
          <w:highlight w:val="none"/>
        </w:rPr>
      </w:pPr>
      <w:bookmarkStart w:id="87" w:name="_Toc17345"/>
      <w:bookmarkEnd w:id="87"/>
      <w:r>
        <w:rPr>
          <w:rFonts w:hint="eastAsia" w:ascii="宋体" w:hAnsi="宋体" w:eastAsia="宋体" w:cs="Times New Roman"/>
          <w:color w:val="auto"/>
          <w:kern w:val="2"/>
          <w:sz w:val="24"/>
          <w:szCs w:val="24"/>
          <w:highlight w:val="none"/>
          <w:lang w:val="en-US" w:eastAsia="zh-CN" w:bidi="ar"/>
        </w:rPr>
        <w:t xml:space="preserve">2.1 </w:t>
      </w:r>
      <w:r>
        <w:rPr>
          <w:rFonts w:hint="eastAsia" w:ascii="宋体" w:hAnsi="宋体" w:eastAsia="宋体" w:cs="宋体"/>
          <w:color w:val="auto"/>
          <w:kern w:val="2"/>
          <w:sz w:val="24"/>
          <w:szCs w:val="24"/>
          <w:highlight w:val="none"/>
          <w:lang w:val="en-US" w:eastAsia="zh-CN" w:bidi="ar"/>
        </w:rPr>
        <w:t>招标项目概况</w:t>
      </w:r>
    </w:p>
    <w:p w14:paraId="56A76503">
      <w:pPr>
        <w:keepNext w:val="0"/>
        <w:keepLines w:val="0"/>
        <w:widowControl w:val="0"/>
        <w:suppressLineNumbers w:val="0"/>
        <w:wordWrap w:val="0"/>
        <w:autoSpaceDE w:val="0"/>
        <w:autoSpaceDN w:val="0"/>
        <w:spacing w:before="0" w:beforeAutospacing="0" w:after="0" w:afterAutospacing="0" w:line="360" w:lineRule="auto"/>
        <w:ind w:left="0" w:right="0" w:firstLine="484" w:firstLineChars="202"/>
        <w:jc w:val="both"/>
        <w:rPr>
          <w:rFonts w:hint="eastAsia" w:ascii="宋体" w:hAnsi="宋体" w:eastAsia="宋体" w:cs="Times New Roman"/>
          <w:color w:val="auto"/>
          <w:kern w:val="2"/>
          <w:sz w:val="24"/>
          <w:szCs w:val="24"/>
          <w:highlight w:val="none"/>
          <w:u w:val="single"/>
        </w:rPr>
      </w:pPr>
      <w:bookmarkStart w:id="88" w:name="_Toc13481"/>
      <w:bookmarkEnd w:id="88"/>
      <w:r>
        <w:rPr>
          <w:rFonts w:hint="eastAsia" w:ascii="宋体" w:hAnsi="宋体" w:eastAsia="宋体" w:cs="Times New Roman"/>
          <w:color w:val="auto"/>
          <w:kern w:val="2"/>
          <w:sz w:val="24"/>
          <w:szCs w:val="24"/>
          <w:highlight w:val="none"/>
          <w:lang w:val="en-US" w:eastAsia="zh-CN" w:bidi="ar"/>
        </w:rPr>
        <w:t>2.1.</w:t>
      </w:r>
      <w:r>
        <w:rPr>
          <w:rFonts w:hint="eastAsia" w:ascii="宋体" w:hAnsi="宋体" w:eastAsia="宋体" w:cs="宋体"/>
          <w:color w:val="auto"/>
          <w:kern w:val="2"/>
          <w:sz w:val="24"/>
          <w:szCs w:val="24"/>
          <w:highlight w:val="none"/>
          <w:lang w:val="en-US" w:eastAsia="zh-CN" w:bidi="ar"/>
        </w:rPr>
        <w:t>1 招标项目固定资产投资项目代码：</w:t>
      </w:r>
      <w:r>
        <w:rPr>
          <w:rFonts w:hint="eastAsia" w:ascii="宋体" w:hAnsi="宋体" w:eastAsia="宋体" w:cs="宋体"/>
          <w:color w:val="auto"/>
          <w:kern w:val="2"/>
          <w:sz w:val="24"/>
          <w:szCs w:val="24"/>
          <w:highlight w:val="none"/>
          <w:u w:val="single"/>
          <w:lang w:val="en-US" w:eastAsia="zh-CN" w:bidi="ar"/>
        </w:rPr>
        <w:t>2401-440100-04-05-431849</w:t>
      </w:r>
    </w:p>
    <w:p w14:paraId="24CBFCC4">
      <w:pPr>
        <w:keepNext w:val="0"/>
        <w:keepLines w:val="0"/>
        <w:widowControl w:val="0"/>
        <w:suppressLineNumbers w:val="0"/>
        <w:wordWrap w:val="0"/>
        <w:autoSpaceDE w:val="0"/>
        <w:autoSpaceDN w:val="0"/>
        <w:spacing w:before="0" w:beforeAutospacing="0" w:after="0" w:afterAutospacing="0" w:line="360" w:lineRule="auto"/>
        <w:ind w:left="0" w:right="0" w:firstLine="484" w:firstLineChars="202"/>
        <w:jc w:val="both"/>
        <w:rPr>
          <w:rFonts w:hint="eastAsia" w:ascii="宋体" w:hAnsi="宋体"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2.1.2 招标项目名称：</w:t>
      </w:r>
      <w:r>
        <w:rPr>
          <w:rFonts w:hint="eastAsia" w:ascii="宋体" w:hAnsi="宋体" w:eastAsia="宋体" w:cs="宋体"/>
          <w:color w:val="auto"/>
          <w:kern w:val="2"/>
          <w:sz w:val="24"/>
          <w:szCs w:val="24"/>
          <w:highlight w:val="none"/>
          <w:u w:val="single"/>
          <w:lang w:val="en-US" w:eastAsia="zh-CN" w:bidi="ar"/>
        </w:rPr>
        <w:t>城维计划-桥梁中修专项经费-官洲隧道中修工程监理</w:t>
      </w:r>
    </w:p>
    <w:p w14:paraId="03E3673F">
      <w:pPr>
        <w:keepNext w:val="0"/>
        <w:keepLines w:val="0"/>
        <w:widowControl w:val="0"/>
        <w:suppressLineNumbers w:val="0"/>
        <w:wordWrap w:val="0"/>
        <w:autoSpaceDE w:val="0"/>
        <w:autoSpaceDN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2.1.3 工程建设地点：</w:t>
      </w:r>
      <w:r>
        <w:rPr>
          <w:rFonts w:hint="eastAsia" w:ascii="宋体" w:hAnsi="宋体" w:eastAsia="宋体" w:cs="宋体"/>
          <w:color w:val="auto"/>
          <w:kern w:val="2"/>
          <w:sz w:val="24"/>
          <w:szCs w:val="24"/>
          <w:highlight w:val="none"/>
          <w:u w:val="single"/>
          <w:lang w:val="en-US" w:eastAsia="zh-CN" w:bidi="ar"/>
        </w:rPr>
        <w:t>本项目位于广州市</w:t>
      </w:r>
      <w:r>
        <w:rPr>
          <w:rFonts w:hint="eastAsia" w:ascii="宋体" w:hAnsi="宋体" w:eastAsia="宋体" w:cs="宋体"/>
          <w:bCs/>
          <w:color w:val="auto"/>
          <w:kern w:val="2"/>
          <w:sz w:val="24"/>
          <w:szCs w:val="24"/>
          <w:highlight w:val="none"/>
          <w:u w:val="single"/>
          <w:lang w:val="en-US" w:eastAsia="zh-CN" w:bidi="ar"/>
        </w:rPr>
        <w:t>。</w:t>
      </w:r>
    </w:p>
    <w:p w14:paraId="3C4C72DA">
      <w:pPr>
        <w:keepNext w:val="0"/>
        <w:keepLines w:val="0"/>
        <w:widowControl w:val="0"/>
        <w:suppressLineNumbers w:val="0"/>
        <w:wordWrap w:val="0"/>
        <w:spacing w:before="0" w:beforeAutospacing="0" w:after="0" w:afterAutospacing="0" w:line="360" w:lineRule="auto"/>
        <w:ind w:left="0" w:right="0" w:firstLine="417" w:firstLineChars="174"/>
        <w:jc w:val="both"/>
        <w:rPr>
          <w:rFonts w:hint="eastAsia" w:ascii="宋体" w:hAnsi="宋体" w:eastAsia="宋体" w:cs="Times New Roman"/>
          <w:color w:val="auto"/>
          <w:kern w:val="2"/>
          <w:sz w:val="24"/>
          <w:szCs w:val="24"/>
          <w:highlight w:val="none"/>
          <w:u w:val="single"/>
        </w:rPr>
      </w:pPr>
      <w:r>
        <w:rPr>
          <w:rFonts w:hint="eastAsia" w:ascii="宋体" w:hAnsi="宋体" w:eastAsia="宋体" w:cs="Times New Roman"/>
          <w:color w:val="auto"/>
          <w:kern w:val="2"/>
          <w:sz w:val="24"/>
          <w:szCs w:val="24"/>
          <w:highlight w:val="none"/>
          <w:lang w:val="en-US" w:eastAsia="zh-CN" w:bidi="ar"/>
        </w:rPr>
        <w:t>2.1.</w:t>
      </w:r>
      <w:r>
        <w:rPr>
          <w:rFonts w:hint="eastAsia" w:ascii="宋体" w:hAnsi="宋体" w:eastAsia="宋体" w:cs="宋体"/>
          <w:color w:val="auto"/>
          <w:kern w:val="2"/>
          <w:sz w:val="24"/>
          <w:szCs w:val="24"/>
          <w:highlight w:val="none"/>
          <w:lang w:val="en-US" w:eastAsia="zh-CN" w:bidi="ar"/>
        </w:rPr>
        <w:t>4 工程建设规模：</w:t>
      </w:r>
      <w:r>
        <w:rPr>
          <w:rFonts w:hint="eastAsia" w:ascii="宋体" w:hAnsi="宋体" w:eastAsia="宋体" w:cs="宋体"/>
          <w:color w:val="auto"/>
          <w:kern w:val="2"/>
          <w:sz w:val="24"/>
          <w:szCs w:val="24"/>
          <w:highlight w:val="none"/>
          <w:u w:val="single"/>
          <w:lang w:val="en-US" w:eastAsia="zh-CN" w:bidi="ar"/>
        </w:rPr>
        <w:t>广州生物岛-大学城隧道（又称“官洲隧道”）位于广州市海珠区东南部，是连接仑头-生物岛-大学城主干道的二期工程，线路呈近南北走向。起点位于仑头-生物岛隧道与生物岛东西向主干道中线交汇处，下穿官洲河，终点止于大学城26号路与中环交叉口。隧道养护类别为Ⅰ类。</w:t>
      </w:r>
    </w:p>
    <w:p w14:paraId="44236DFB">
      <w:pPr>
        <w:keepNext w:val="0"/>
        <w:keepLines w:val="0"/>
        <w:widowControl w:val="0"/>
        <w:suppressLineNumbers w:val="0"/>
        <w:wordWrap w:val="0"/>
        <w:spacing w:before="0" w:beforeAutospacing="0" w:after="0" w:afterAutospacing="0" w:line="360" w:lineRule="auto"/>
        <w:ind w:left="0" w:right="0" w:firstLine="417" w:firstLineChars="174"/>
        <w:jc w:val="both"/>
        <w:rPr>
          <w:rFonts w:hint="eastAsia" w:ascii="宋体" w:hAnsi="宋体"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u w:val="single"/>
          <w:lang w:val="en-US" w:eastAsia="zh-CN" w:bidi="ar"/>
        </w:rPr>
        <w:t>全隧道由北端岸上敞开段、北端岸上暗埋段、沉管段、南端岸上暗埋段和南端岸上敞开段组成。其中，南、北岸上段采用明挖法施工，中间为沉管段。隧道断面采用合洞隔墙的形式进行设计，双向四车道，隧道路面采用沥青混凝土铺装。</w:t>
      </w:r>
    </w:p>
    <w:p w14:paraId="1EA86F97">
      <w:pPr>
        <w:keepNext w:val="0"/>
        <w:keepLines w:val="0"/>
        <w:widowControl w:val="0"/>
        <w:suppressLineNumbers w:val="0"/>
        <w:wordWrap w:val="0"/>
        <w:spacing w:before="0" w:beforeAutospacing="0" w:after="0" w:afterAutospacing="0" w:line="360" w:lineRule="auto"/>
        <w:ind w:left="0" w:right="0" w:firstLine="417" w:firstLineChars="174"/>
        <w:jc w:val="both"/>
        <w:rPr>
          <w:rFonts w:hint="eastAsia" w:ascii="宋体" w:hAnsi="宋体"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u w:val="single"/>
          <w:lang w:val="en-US" w:eastAsia="zh-CN" w:bidi="ar"/>
        </w:rPr>
        <w:t>前期检测结果显示，江中管节相较于暗埋段存在差异沉降，剪切键出现不同程度的病害。本次拟对隧道基础垫层和受损剪切键进行加固修复，并建立隧道健康监测系统。</w:t>
      </w:r>
    </w:p>
    <w:p w14:paraId="37E079B3">
      <w:pPr>
        <w:keepNext w:val="0"/>
        <w:keepLines w:val="0"/>
        <w:widowControl w:val="0"/>
        <w:suppressLineNumbers w:val="0"/>
        <w:wordWrap w:val="0"/>
        <w:autoSpaceDE w:val="0"/>
        <w:autoSpaceDN w:val="0"/>
        <w:spacing w:before="0" w:beforeAutospacing="0" w:after="0" w:afterAutospacing="0" w:line="360" w:lineRule="auto"/>
        <w:ind w:left="0" w:right="0" w:firstLine="484" w:firstLineChars="202"/>
        <w:jc w:val="both"/>
        <w:rPr>
          <w:rFonts w:hint="eastAsia" w:ascii="宋体" w:hAnsi="宋体" w:eastAsia="宋体" w:cs="Times New Roman"/>
          <w:color w:val="auto"/>
          <w:kern w:val="2"/>
          <w:sz w:val="24"/>
          <w:szCs w:val="24"/>
          <w:highlight w:val="none"/>
          <w:u w:val="single"/>
        </w:rPr>
      </w:pPr>
      <w:r>
        <w:rPr>
          <w:rFonts w:hint="eastAsia" w:ascii="宋体" w:hAnsi="宋体" w:eastAsia="宋体" w:cs="Times New Roman"/>
          <w:color w:val="auto"/>
          <w:kern w:val="2"/>
          <w:sz w:val="24"/>
          <w:szCs w:val="24"/>
          <w:highlight w:val="none"/>
          <w:lang w:val="en-US" w:eastAsia="zh-CN" w:bidi="ar"/>
        </w:rPr>
        <w:t>2.1.</w:t>
      </w:r>
      <w:r>
        <w:rPr>
          <w:rFonts w:hint="eastAsia" w:ascii="宋体" w:hAnsi="宋体" w:eastAsia="宋体" w:cs="宋体"/>
          <w:color w:val="auto"/>
          <w:kern w:val="2"/>
          <w:sz w:val="24"/>
          <w:szCs w:val="24"/>
          <w:highlight w:val="none"/>
          <w:lang w:val="en-US" w:eastAsia="zh-CN" w:bidi="ar"/>
        </w:rPr>
        <w:t>5 工程概算建筑安装工程费：</w:t>
      </w:r>
      <w:r>
        <w:rPr>
          <w:rFonts w:hint="eastAsia" w:ascii="宋体" w:hAnsi="宋体" w:eastAsia="宋体" w:cs="宋体"/>
          <w:color w:val="auto"/>
          <w:kern w:val="2"/>
          <w:sz w:val="24"/>
          <w:szCs w:val="24"/>
          <w:highlight w:val="none"/>
          <w:u w:val="single"/>
          <w:lang w:val="en-US" w:eastAsia="zh-CN" w:bidi="ar"/>
        </w:rPr>
        <w:t>35385199.26元。</w:t>
      </w:r>
    </w:p>
    <w:p w14:paraId="456B455A">
      <w:pPr>
        <w:keepNext w:val="0"/>
        <w:keepLines w:val="0"/>
        <w:widowControl w:val="0"/>
        <w:suppressLineNumbers w:val="0"/>
        <w:wordWrap w:val="0"/>
        <w:spacing w:before="0" w:beforeAutospacing="0" w:after="0" w:afterAutospacing="0" w:line="360" w:lineRule="auto"/>
        <w:ind w:left="0" w:right="0" w:firstLine="484" w:firstLineChars="202"/>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 xml:space="preserve">2.2 </w:t>
      </w:r>
      <w:r>
        <w:rPr>
          <w:rFonts w:hint="eastAsia" w:ascii="宋体" w:hAnsi="宋体" w:eastAsia="宋体" w:cs="宋体"/>
          <w:color w:val="auto"/>
          <w:kern w:val="2"/>
          <w:sz w:val="24"/>
          <w:szCs w:val="24"/>
          <w:highlight w:val="none"/>
          <w:lang w:val="en-US" w:eastAsia="zh-CN" w:bidi="ar"/>
        </w:rPr>
        <w:t>招标范围</w:t>
      </w:r>
    </w:p>
    <w:p w14:paraId="2B141FAA">
      <w:pPr>
        <w:keepNext w:val="0"/>
        <w:keepLines w:val="0"/>
        <w:widowControl w:val="0"/>
        <w:suppressLineNumbers w:val="0"/>
        <w:wordWrap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2.2.1</w:t>
      </w:r>
      <w:r>
        <w:rPr>
          <w:rFonts w:hint="eastAsia" w:ascii="宋体" w:hAnsi="宋体" w:eastAsia="宋体" w:cs="宋体"/>
          <w:color w:val="auto"/>
          <w:kern w:val="2"/>
          <w:sz w:val="24"/>
          <w:szCs w:val="24"/>
          <w:highlight w:val="none"/>
          <w:lang w:val="en-US" w:eastAsia="zh-CN" w:bidi="ar"/>
        </w:rPr>
        <w:t>监理标段划分：</w:t>
      </w:r>
      <w:r>
        <w:rPr>
          <w:rFonts w:hint="eastAsia" w:ascii="宋体" w:hAnsi="宋体" w:eastAsia="宋体" w:cs="宋体"/>
          <w:color w:val="auto"/>
          <w:kern w:val="0"/>
          <w:sz w:val="24"/>
          <w:szCs w:val="24"/>
          <w:highlight w:val="none"/>
          <w:u w:val="single"/>
          <w:lang w:val="en-US" w:eastAsia="zh-CN" w:bidi="ar"/>
        </w:rPr>
        <w:t>1</w:t>
      </w:r>
      <w:r>
        <w:rPr>
          <w:rFonts w:hint="eastAsia" w:ascii="宋体" w:hAnsi="宋体" w:eastAsia="宋体" w:cs="宋体"/>
          <w:color w:val="auto"/>
          <w:kern w:val="0"/>
          <w:sz w:val="24"/>
          <w:szCs w:val="24"/>
          <w:highlight w:val="none"/>
          <w:lang w:val="en-US" w:eastAsia="zh-CN" w:bidi="ar"/>
        </w:rPr>
        <w:t>个标段。</w:t>
      </w:r>
    </w:p>
    <w:p w14:paraId="36810CAA">
      <w:pPr>
        <w:keepNext w:val="0"/>
        <w:keepLines w:val="0"/>
        <w:widowControl w:val="0"/>
        <w:suppressLineNumbers w:val="0"/>
        <w:wordWrap w:val="0"/>
        <w:spacing w:before="0" w:beforeAutospacing="0" w:after="0" w:afterAutospacing="0" w:line="360" w:lineRule="auto"/>
        <w:ind w:left="0" w:right="0" w:firstLine="484" w:firstLineChars="202"/>
        <w:jc w:val="both"/>
        <w:rPr>
          <w:rFonts w:hint="eastAsia" w:ascii="宋体" w:hAnsi="宋体" w:eastAsia="宋体" w:cs="Times New Roman"/>
          <w:b w:val="0"/>
          <w:bCs w:val="0"/>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2.2.2</w:t>
      </w:r>
      <w:r>
        <w:rPr>
          <w:rFonts w:hint="eastAsia" w:ascii="宋体" w:hAnsi="宋体" w:eastAsia="宋体" w:cs="宋体"/>
          <w:color w:val="auto"/>
          <w:kern w:val="2"/>
          <w:sz w:val="24"/>
          <w:szCs w:val="24"/>
          <w:highlight w:val="none"/>
          <w:lang w:val="en-US" w:eastAsia="zh-CN" w:bidi="ar"/>
        </w:rPr>
        <w:t>招标范围：</w:t>
      </w:r>
      <w:r>
        <w:rPr>
          <w:rFonts w:hint="eastAsia" w:ascii="宋体" w:hAnsi="宋体" w:eastAsia="宋体" w:cs="宋体"/>
          <w:b w:val="0"/>
          <w:bCs w:val="0"/>
          <w:color w:val="auto"/>
          <w:kern w:val="2"/>
          <w:sz w:val="24"/>
          <w:szCs w:val="24"/>
          <w:highlight w:val="none"/>
          <w:u w:val="single"/>
          <w:lang w:val="en-US" w:eastAsia="zh-CN" w:bidi="ar"/>
        </w:rPr>
        <w:t>负责</w:t>
      </w:r>
      <w:r>
        <w:rPr>
          <w:rFonts w:hint="eastAsia" w:ascii="宋体" w:hAnsi="宋体" w:eastAsia="宋体" w:cs="宋体"/>
          <w:color w:val="auto"/>
          <w:kern w:val="2"/>
          <w:sz w:val="24"/>
          <w:szCs w:val="24"/>
          <w:highlight w:val="none"/>
          <w:u w:val="single"/>
          <w:lang w:val="en-US" w:eastAsia="zh-CN" w:bidi="ar"/>
        </w:rPr>
        <w:t>本项目的勘察阶段（如需）、设计阶段（如需）、预算编制阶段（如需）、施工准备阶段、施工阶段、工程收尾阶段（包括但不限于竣工验收、整改、工程移交及实物移交、工程结算等）及工程质量保修阶段的质量控制、安全生产、健康监测系统、检（监）测、投资控制、进度控制、合同管理、信息管理、环境保护、组织协调等监理工作。参与开工前期的准备和筹划工作，协助发包人制定各参建方职责及有关事务性工作等。</w:t>
      </w:r>
    </w:p>
    <w:p w14:paraId="4A958B18">
      <w:pPr>
        <w:keepNext w:val="0"/>
        <w:keepLines w:val="0"/>
        <w:widowControl w:val="0"/>
        <w:suppressLineNumbers w:val="0"/>
        <w:wordWrap w:val="0"/>
        <w:spacing w:before="0" w:beforeAutospacing="0" w:after="0" w:afterAutospacing="0" w:line="360" w:lineRule="auto"/>
        <w:ind w:left="0" w:right="0" w:firstLine="484" w:firstLineChars="202"/>
        <w:jc w:val="both"/>
        <w:rPr>
          <w:rFonts w:hint="eastAsia" w:ascii="宋体" w:hAnsi="宋体" w:eastAsia="宋体" w:cs="Times New Roman"/>
          <w:color w:val="auto"/>
          <w:kern w:val="2"/>
          <w:sz w:val="24"/>
          <w:szCs w:val="24"/>
          <w:highlight w:val="none"/>
          <w:u w:val="single"/>
        </w:rPr>
      </w:pPr>
      <w:r>
        <w:rPr>
          <w:rFonts w:hint="eastAsia" w:ascii="宋体" w:hAnsi="宋体" w:eastAsia="宋体" w:cs="Times New Roman"/>
          <w:color w:val="auto"/>
          <w:kern w:val="2"/>
          <w:sz w:val="24"/>
          <w:szCs w:val="24"/>
          <w:highlight w:val="none"/>
          <w:lang w:val="en-US" w:eastAsia="zh-CN" w:bidi="ar"/>
        </w:rPr>
        <w:t>2.2.3监理服务期：</w:t>
      </w:r>
      <w:r>
        <w:rPr>
          <w:rFonts w:hint="eastAsia" w:ascii="宋体" w:hAnsi="宋体" w:eastAsia="宋体" w:cs="宋体"/>
          <w:color w:val="auto"/>
          <w:kern w:val="2"/>
          <w:sz w:val="24"/>
          <w:szCs w:val="24"/>
          <w:highlight w:val="none"/>
          <w:u w:val="single"/>
          <w:lang w:val="en-US" w:eastAsia="zh-CN" w:bidi="ar"/>
        </w:rPr>
        <w:t>自合同签订之日起至质量保修期满之日止。</w:t>
      </w:r>
    </w:p>
    <w:p w14:paraId="6478355F">
      <w:pPr>
        <w:keepNext w:val="0"/>
        <w:keepLines w:val="0"/>
        <w:widowControl w:val="0"/>
        <w:suppressLineNumbers w:val="0"/>
        <w:wordWrap w:val="0"/>
        <w:spacing w:before="0" w:beforeAutospacing="0" w:after="0" w:afterAutospacing="0" w:line="360" w:lineRule="auto"/>
        <w:ind w:left="0" w:right="0" w:firstLine="484" w:firstLineChars="202"/>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2.2.</w:t>
      </w:r>
      <w:r>
        <w:rPr>
          <w:rFonts w:hint="eastAsia" w:ascii="宋体" w:hAnsi="宋体" w:eastAsia="宋体" w:cs="宋体"/>
          <w:color w:val="auto"/>
          <w:kern w:val="2"/>
          <w:sz w:val="24"/>
          <w:szCs w:val="24"/>
          <w:highlight w:val="none"/>
          <w:lang w:val="en-US" w:eastAsia="zh-CN" w:bidi="ar"/>
        </w:rPr>
        <w:t>4监理服务阶段：</w:t>
      </w:r>
      <w:r>
        <w:rPr>
          <w:rFonts w:hint="eastAsia" w:ascii="宋体" w:hAnsi="宋体" w:eastAsia="宋体" w:cs="宋体"/>
          <w:color w:val="auto"/>
          <w:kern w:val="2"/>
          <w:sz w:val="24"/>
          <w:szCs w:val="24"/>
          <w:highlight w:val="none"/>
          <w:u w:val="single"/>
          <w:lang w:val="en-US" w:eastAsia="zh-CN" w:bidi="ar"/>
        </w:rPr>
        <w:t>监理人还须按委托人或发包人的要求提前进场参与本工程开工前期的准备和筹划工作，协助委托人或发包人制定本监理工程的工程管理办法、各参建方职责及有关事务性工作等</w:t>
      </w:r>
      <w:r>
        <w:rPr>
          <w:rFonts w:hint="eastAsia" w:ascii="宋体" w:hAnsi="宋体" w:eastAsia="宋体" w:cs="宋体"/>
          <w:color w:val="auto"/>
          <w:kern w:val="2"/>
          <w:sz w:val="24"/>
          <w:szCs w:val="24"/>
          <w:highlight w:val="none"/>
          <w:lang w:val="en-US" w:eastAsia="zh-CN" w:bidi="ar"/>
        </w:rPr>
        <w:t>。</w:t>
      </w:r>
    </w:p>
    <w:p w14:paraId="19831AB0">
      <w:pPr>
        <w:keepNext w:val="0"/>
        <w:keepLines w:val="0"/>
        <w:widowControl w:val="0"/>
        <w:suppressLineNumbers w:val="0"/>
        <w:wordWrap w:val="0"/>
        <w:spacing w:before="0" w:beforeAutospacing="0" w:after="0" w:afterAutospacing="0" w:line="360" w:lineRule="auto"/>
        <w:ind w:left="0" w:right="0" w:firstLine="484" w:firstLineChars="202"/>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2.2.5监理服务最高投标限价：</w:t>
      </w:r>
      <w:r>
        <w:rPr>
          <w:rFonts w:hint="eastAsia" w:ascii="宋体" w:hAnsi="宋体" w:eastAsia="宋体" w:cs="宋体"/>
          <w:b/>
          <w:bCs/>
          <w:color w:val="auto"/>
          <w:kern w:val="2"/>
          <w:sz w:val="24"/>
          <w:szCs w:val="24"/>
          <w:highlight w:val="none"/>
          <w:u w:val="single"/>
          <w:lang w:val="en-US" w:eastAsia="zh-CN" w:bidi="ar"/>
        </w:rPr>
        <w:t>1133407.12</w:t>
      </w:r>
      <w:r>
        <w:rPr>
          <w:rFonts w:hint="eastAsia" w:ascii="宋体" w:hAnsi="宋体" w:eastAsia="宋体" w:cs="宋体"/>
          <w:b/>
          <w:bCs w:val="0"/>
          <w:color w:val="auto"/>
          <w:kern w:val="2"/>
          <w:sz w:val="24"/>
          <w:szCs w:val="24"/>
          <w:highlight w:val="none"/>
          <w:lang w:val="en-US" w:eastAsia="zh-CN" w:bidi="ar"/>
        </w:rPr>
        <w:t>元</w:t>
      </w:r>
    </w:p>
    <w:p w14:paraId="5282788F">
      <w:pPr>
        <w:pStyle w:val="3"/>
        <w:widowControl/>
        <w:rPr>
          <w:rFonts w:hint="eastAsia" w:ascii="宋体" w:hAnsi="宋体" w:eastAsia="宋体" w:cs="Times New Roman"/>
          <w:b/>
          <w:bCs/>
          <w:color w:val="auto"/>
          <w:kern w:val="2"/>
          <w:sz w:val="32"/>
          <w:szCs w:val="32"/>
          <w:highlight w:val="none"/>
        </w:rPr>
      </w:pPr>
      <w:bookmarkStart w:id="89" w:name="_Toc14304"/>
      <w:bookmarkEnd w:id="89"/>
      <w:bookmarkStart w:id="90" w:name="_Toc11352"/>
      <w:bookmarkEnd w:id="90"/>
      <w:bookmarkStart w:id="91" w:name="_Toc26825"/>
      <w:bookmarkEnd w:id="91"/>
      <w:bookmarkStart w:id="92" w:name="_Toc29683"/>
      <w:bookmarkEnd w:id="92"/>
      <w:bookmarkStart w:id="93" w:name="_Toc13318"/>
      <w:bookmarkEnd w:id="93"/>
      <w:bookmarkStart w:id="94" w:name="_Toc20643"/>
      <w:r>
        <w:rPr>
          <w:rFonts w:hint="eastAsia" w:ascii="宋体" w:hAnsi="宋体" w:eastAsia="宋体" w:cs="宋体"/>
          <w:b/>
          <w:bCs/>
          <w:color w:val="auto"/>
          <w:kern w:val="2"/>
          <w:sz w:val="32"/>
          <w:szCs w:val="32"/>
          <w:highlight w:val="none"/>
        </w:rPr>
        <w:t>3.投标人资格要求</w:t>
      </w:r>
      <w:bookmarkEnd w:id="94"/>
    </w:p>
    <w:p w14:paraId="33F7F3BB">
      <w:pPr>
        <w:keepNext w:val="0"/>
        <w:keepLines w:val="0"/>
        <w:widowControl w:val="0"/>
        <w:suppressLineNumbers w:val="0"/>
        <w:wordWrap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u w:val="none"/>
          <w:lang w:val="en-US" w:eastAsia="zh-CN" w:bidi="ar"/>
        </w:rPr>
      </w:pPr>
      <w:r>
        <w:rPr>
          <w:rFonts w:hint="eastAsia" w:ascii="宋体" w:hAnsi="宋体" w:eastAsia="宋体" w:cs="宋体"/>
          <w:color w:val="auto"/>
          <w:kern w:val="2"/>
          <w:sz w:val="24"/>
          <w:szCs w:val="24"/>
          <w:highlight w:val="none"/>
          <w:u w:val="none"/>
          <w:lang w:val="en-US" w:eastAsia="zh-CN" w:bidi="ar"/>
        </w:rPr>
        <w:t>3.1 投标人参加投标的意思表达清楚，投标人代表被授权有效。</w:t>
      </w:r>
    </w:p>
    <w:p w14:paraId="223AFC9A">
      <w:pPr>
        <w:keepNext w:val="0"/>
        <w:keepLines w:val="0"/>
        <w:widowControl w:val="0"/>
        <w:suppressLineNumbers w:val="0"/>
        <w:wordWrap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u w:val="none"/>
          <w:lang w:val="en-US" w:eastAsia="zh-CN" w:bidi="ar"/>
        </w:rPr>
      </w:pPr>
      <w:r>
        <w:rPr>
          <w:rFonts w:hint="eastAsia" w:ascii="宋体" w:hAnsi="宋体" w:eastAsia="宋体" w:cs="宋体"/>
          <w:color w:val="auto"/>
          <w:kern w:val="2"/>
          <w:sz w:val="24"/>
          <w:szCs w:val="24"/>
          <w:highlight w:val="none"/>
          <w:u w:val="none"/>
          <w:lang w:val="en-US" w:eastAsia="zh-CN" w:bidi="ar"/>
        </w:rPr>
        <w:t>3.2投标人是法人或其他组织，按国家法律经营；</w:t>
      </w:r>
    </w:p>
    <w:p w14:paraId="721E3DEE">
      <w:pPr>
        <w:keepNext w:val="0"/>
        <w:keepLines w:val="0"/>
        <w:widowControl w:val="0"/>
        <w:suppressLineNumbers w:val="0"/>
        <w:wordWrap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u w:val="none"/>
          <w:lang w:val="en-US" w:eastAsia="zh-CN" w:bidi="ar"/>
        </w:rPr>
      </w:pPr>
      <w:r>
        <w:rPr>
          <w:rFonts w:hint="eastAsia" w:ascii="宋体" w:hAnsi="宋体" w:eastAsia="宋体" w:cs="宋体"/>
          <w:color w:val="auto"/>
          <w:kern w:val="2"/>
          <w:sz w:val="24"/>
          <w:szCs w:val="24"/>
          <w:highlight w:val="none"/>
          <w:u w:val="none"/>
          <w:lang w:val="en-US" w:eastAsia="zh-CN" w:bidi="ar"/>
        </w:rPr>
        <w:t>3.3投标人须具备建设行政主管部门颁发的</w:t>
      </w:r>
      <w:r>
        <w:rPr>
          <w:rFonts w:hint="eastAsia" w:ascii="宋体" w:hAnsi="宋体" w:eastAsia="宋体" w:cs="宋体"/>
          <w:color w:val="auto"/>
          <w:kern w:val="2"/>
          <w:sz w:val="24"/>
          <w:szCs w:val="24"/>
          <w:highlight w:val="none"/>
          <w:u w:val="single"/>
          <w:lang w:val="en-US" w:eastAsia="zh-CN" w:bidi="ar"/>
        </w:rPr>
        <w:t>工程监理综合资质或市政公用工程监理</w:t>
      </w:r>
      <w:r>
        <w:rPr>
          <w:rFonts w:hint="eastAsia" w:ascii="宋体" w:hAnsi="宋体" w:eastAsia="宋体" w:cs="宋体"/>
          <w:b/>
          <w:bCs/>
          <w:color w:val="auto"/>
          <w:kern w:val="2"/>
          <w:sz w:val="24"/>
          <w:szCs w:val="24"/>
          <w:highlight w:val="none"/>
          <w:u w:val="single"/>
          <w:lang w:val="en-US" w:eastAsia="zh-CN" w:bidi="ar"/>
        </w:rPr>
        <w:t>甲级</w:t>
      </w:r>
      <w:r>
        <w:rPr>
          <w:rFonts w:hint="eastAsia" w:ascii="宋体" w:hAnsi="宋体" w:eastAsia="宋体" w:cs="宋体"/>
          <w:color w:val="auto"/>
          <w:kern w:val="2"/>
          <w:sz w:val="24"/>
          <w:szCs w:val="24"/>
          <w:highlight w:val="none"/>
          <w:u w:val="none"/>
          <w:lang w:val="en-US" w:eastAsia="zh-CN" w:bidi="ar"/>
        </w:rPr>
        <w:t>资质。</w:t>
      </w:r>
    </w:p>
    <w:p w14:paraId="136D21A7">
      <w:pPr>
        <w:keepNext w:val="0"/>
        <w:keepLines w:val="0"/>
        <w:widowControl w:val="0"/>
        <w:suppressLineNumbers w:val="0"/>
        <w:wordWrap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u w:val="none"/>
          <w:lang w:val="en-US" w:eastAsia="zh-CN" w:bidi="ar"/>
        </w:rPr>
      </w:pPr>
      <w:r>
        <w:rPr>
          <w:rFonts w:hint="eastAsia" w:ascii="宋体" w:hAnsi="宋体" w:eastAsia="宋体" w:cs="宋体"/>
          <w:color w:val="auto"/>
          <w:kern w:val="2"/>
          <w:sz w:val="24"/>
          <w:szCs w:val="24"/>
          <w:highlight w:val="none"/>
          <w:u w:val="none"/>
          <w:lang w:val="en-US" w:eastAsia="zh-CN" w:bidi="ar"/>
        </w:rPr>
        <w:t>对应所设置资质要求的规模指标：</w:t>
      </w:r>
      <w:r>
        <w:rPr>
          <w:rFonts w:hint="eastAsia" w:ascii="宋体" w:hAnsi="宋体" w:eastAsia="宋体" w:cs="宋体"/>
          <w:color w:val="auto"/>
          <w:kern w:val="2"/>
          <w:sz w:val="24"/>
          <w:szCs w:val="24"/>
          <w:highlight w:val="none"/>
          <w:u w:val="single"/>
          <w:lang w:val="en-US" w:eastAsia="zh-CN" w:bidi="ar"/>
        </w:rPr>
        <w:t>■长度1000米以上的隧道。</w:t>
      </w:r>
    </w:p>
    <w:p w14:paraId="36010DAC">
      <w:pPr>
        <w:pStyle w:val="24"/>
        <w:keepNext w:val="0"/>
        <w:keepLines w:val="0"/>
        <w:widowControl w:val="0"/>
        <w:suppressLineNumbers w:val="0"/>
        <w:kinsoku w:val="0"/>
        <w:wordWrap w:val="0"/>
        <w:overflowPunct w:val="0"/>
        <w:spacing w:before="0" w:beforeAutospacing="1" w:after="0" w:afterAutospacing="0" w:line="360" w:lineRule="auto"/>
        <w:ind w:left="0" w:right="213" w:firstLine="484" w:firstLineChars="202"/>
        <w:jc w:val="both"/>
        <w:rPr>
          <w:rFonts w:hint="eastAsia" w:ascii="宋体" w:hAnsi="宋体" w:eastAsia="宋体" w:cs="楷体_GB2312"/>
          <w:color w:val="auto"/>
          <w:kern w:val="2"/>
          <w:sz w:val="24"/>
          <w:szCs w:val="24"/>
          <w:highlight w:val="none"/>
          <w:u w:val="single"/>
        </w:rPr>
      </w:pPr>
      <w:r>
        <w:rPr>
          <w:rFonts w:hint="eastAsia" w:ascii="宋体" w:hAnsi="宋体" w:eastAsia="宋体" w:cs="宋体"/>
          <w:color w:val="auto"/>
          <w:kern w:val="2"/>
          <w:sz w:val="24"/>
          <w:szCs w:val="24"/>
          <w:highlight w:val="none"/>
          <w:u w:val="single"/>
          <w:lang w:val="en-US" w:eastAsia="zh-CN" w:bidi="ar"/>
        </w:rPr>
        <w:t>注：（1）香港企业参加投标的，须已在广东省住房和城乡建设主管部门备案且备案的业务范围满足本项目招标文件要求。香港企业备案的业务范围依据《广东省住房和城乡建设厅关于印发香港工程建设咨询企业和专业人士在粤港澳大湾区内地城市开业执业试点管理暂行办法的通知》（粤建规范[2020]1号，详见链接：</w:t>
      </w:r>
      <w:r>
        <w:rPr>
          <w:rFonts w:hint="default" w:ascii="Times New Roman" w:hAnsi="Times New Roman" w:eastAsia="宋体" w:cs="Times New Roman"/>
          <w:color w:val="auto"/>
          <w:kern w:val="2"/>
          <w:sz w:val="21"/>
          <w:szCs w:val="21"/>
          <w:highlight w:val="none"/>
          <w:lang w:val="en-US" w:eastAsia="zh-CN" w:bidi="ar"/>
        </w:rPr>
        <w:fldChar w:fldCharType="begin"/>
      </w:r>
      <w:r>
        <w:rPr>
          <w:rFonts w:hint="default" w:ascii="Times New Roman" w:hAnsi="Times New Roman" w:eastAsia="宋体" w:cs="Times New Roman"/>
          <w:color w:val="auto"/>
          <w:kern w:val="2"/>
          <w:sz w:val="21"/>
          <w:szCs w:val="21"/>
          <w:highlight w:val="none"/>
          <w:lang w:val="en-US" w:eastAsia="zh-CN" w:bidi="ar"/>
        </w:rPr>
        <w:instrText xml:space="preserve"> HYPERLINK "http://zfcxjst.gd.gov.cn/xxgk/wjtz/content/post_3137220.html）确定。香港企业须提供满足招标文件要求的相应资质证书及备案证明资料扫描件。" </w:instrText>
      </w:r>
      <w:r>
        <w:rPr>
          <w:rFonts w:hint="default" w:ascii="Times New Roman" w:hAnsi="Times New Roman" w:eastAsia="宋体" w:cs="Times New Roman"/>
          <w:color w:val="auto"/>
          <w:kern w:val="2"/>
          <w:sz w:val="21"/>
          <w:szCs w:val="21"/>
          <w:highlight w:val="none"/>
          <w:lang w:val="en-US" w:eastAsia="zh-CN" w:bidi="ar"/>
        </w:rPr>
        <w:fldChar w:fldCharType="separate"/>
      </w:r>
      <w:r>
        <w:rPr>
          <w:rStyle w:val="34"/>
          <w:rFonts w:hint="eastAsia" w:ascii="宋体" w:hAnsi="宋体" w:eastAsia="宋体" w:cs="宋体"/>
          <w:color w:val="auto"/>
          <w:kern w:val="2"/>
          <w:sz w:val="24"/>
          <w:szCs w:val="24"/>
          <w:highlight w:val="none"/>
          <w:u w:val="single"/>
        </w:rPr>
        <w:t>http://zfcxjst.gd.gov.cn/xxgk/wjtz/content/post_3137220.html）确定。香港企业须提供满足招标文件要求的相应资质证书及备案证明资料扫描件。</w:t>
      </w:r>
      <w:r>
        <w:rPr>
          <w:rFonts w:hint="default" w:ascii="Times New Roman" w:hAnsi="Times New Roman" w:eastAsia="宋体" w:cs="Times New Roman"/>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u w:val="single"/>
          <w:lang w:val="en-US" w:eastAsia="zh-CN" w:bidi="ar"/>
        </w:rPr>
        <w:t>（2）工程监理企业资质的要求和证书有效期按《工程监理企业资质管理规定》（中华人民共和国建设部令第158号）、《住房城乡建设部关于简化建筑业企业资质标准部分指标的通知》(建市〔2016〕226号)、《住房和城乡建设部关于印发建设工程企业资质管理制度改革方案的通知》（建市〔2020〕94号）、《住房和城乡建设部办公厅关于做好建筑业“证照分离”改革衔接有关工作的通知》（建办市〔2021〕30号）、《住房和城乡建设部办公厅关于建设工程企业资质统一延续有关事项的通知》（建办市函〔2021〕510号）、《广东省住房和城乡建设厅关于建设工程企业资质有效期延期的通知》（粤建许函〔2021〕849号）、《住房和城乡建设部办公厅关于建设工程企业资质有关事宜的通知》（建办市函〔2022〕361号）、《广东省住房和城乡建设厅关于建设工程企业资质有关事宜的通知》（粤建许函〔2022〕846号）、《住房和城乡建设部关于进一步加强建设工程企业资质审批管理工作的通知》（建市规〔2023〕3号）、《住房城乡建设部办公厅关于做好有关建设工程企业资质证书换领和延续工作的通知》（建办市〔2023〕47号）、《广东省住房和城乡建设厅关于建设工程企业资质延续有关事项的通知》（粤建许函〔2023〕820号）、《住房城乡建设部建筑市场监管司关于建设工程企业资质延续有关事项的通知》（建司局函市〔2023〕116号）、《广东省住房和城乡建设厅关于做好有关建设工程企业资质证书换领工作的通知》（粤建许函〔2024〕124号）等相关文件执行。根据上述文件的要求，投标人需办理企业资质有效期延续的，应当按照相关规定及时办理。招标期间如行政主管部门对建设工程企业资质有效期发布新规定的，按新规定相应调整执行。</w:t>
      </w:r>
    </w:p>
    <w:p w14:paraId="62660326">
      <w:pPr>
        <w:keepNext w:val="0"/>
        <w:keepLines w:val="0"/>
        <w:widowControl w:val="0"/>
        <w:suppressLineNumbers w:val="0"/>
        <w:wordWrap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3.4拟委派项目负责人（总监理工程师）须具备</w:t>
      </w:r>
      <w:r>
        <w:rPr>
          <w:rFonts w:hint="eastAsia" w:ascii="宋体" w:hAnsi="宋体" w:eastAsia="宋体" w:cs="宋体"/>
          <w:color w:val="auto"/>
          <w:kern w:val="2"/>
          <w:sz w:val="24"/>
          <w:szCs w:val="24"/>
          <w:highlight w:val="none"/>
          <w:u w:val="single"/>
          <w:lang w:val="en-US" w:eastAsia="zh-CN" w:bidi="ar"/>
        </w:rPr>
        <w:t>建设部2006年4月1日后颁发的中华人民共和国注册监理工程师注册执业证书且其注册证书专业为</w:t>
      </w:r>
      <w:r>
        <w:rPr>
          <w:rFonts w:hint="eastAsia" w:ascii="宋体" w:hAnsi="宋体" w:eastAsia="宋体" w:cs="宋体"/>
          <w:b/>
          <w:bCs/>
          <w:color w:val="auto"/>
          <w:kern w:val="2"/>
          <w:sz w:val="24"/>
          <w:szCs w:val="24"/>
          <w:highlight w:val="none"/>
          <w:u w:val="single"/>
          <w:lang w:val="en-US" w:eastAsia="zh-CN" w:bidi="ar"/>
        </w:rPr>
        <w:t>市政公用工程</w:t>
      </w:r>
      <w:r>
        <w:rPr>
          <w:rFonts w:hint="eastAsia" w:ascii="宋体" w:hAnsi="宋体" w:eastAsia="宋体" w:cs="宋体"/>
          <w:color w:val="auto"/>
          <w:kern w:val="2"/>
          <w:sz w:val="24"/>
          <w:szCs w:val="24"/>
          <w:highlight w:val="none"/>
          <w:u w:val="single"/>
          <w:lang w:val="en-US" w:eastAsia="zh-CN" w:bidi="ar"/>
        </w:rPr>
        <w:t>。需提供离投标截止时间最近的至少1个月（即</w:t>
      </w:r>
      <w:r>
        <w:rPr>
          <w:rFonts w:hint="eastAsia" w:ascii="宋体" w:hAnsi="宋体" w:eastAsia="宋体" w:cs="宋体"/>
          <w:b/>
          <w:bCs/>
          <w:color w:val="auto"/>
          <w:kern w:val="2"/>
          <w:sz w:val="24"/>
          <w:szCs w:val="24"/>
          <w:highlight w:val="none"/>
          <w:u w:val="single"/>
          <w:lang w:val="en-US" w:eastAsia="zh-CN" w:bidi="ar"/>
        </w:rPr>
        <w:t>2025年5月</w:t>
      </w:r>
      <w:r>
        <w:rPr>
          <w:rFonts w:hint="eastAsia" w:ascii="宋体" w:hAnsi="宋体" w:eastAsia="宋体" w:cs="宋体"/>
          <w:color w:val="auto"/>
          <w:kern w:val="2"/>
          <w:sz w:val="24"/>
          <w:szCs w:val="24"/>
          <w:highlight w:val="none"/>
          <w:u w:val="single"/>
          <w:lang w:val="en-US" w:eastAsia="zh-CN" w:bidi="ar"/>
        </w:rPr>
        <w:t>）在本单位缴纳的社保证明文件。</w:t>
      </w:r>
    </w:p>
    <w:p w14:paraId="6EEBFB1C">
      <w:pPr>
        <w:pStyle w:val="24"/>
        <w:keepNext w:val="0"/>
        <w:keepLines w:val="0"/>
        <w:widowControl w:val="0"/>
        <w:suppressLineNumbers w:val="0"/>
        <w:kinsoku w:val="0"/>
        <w:wordWrap w:val="0"/>
        <w:overflowPunct w:val="0"/>
        <w:spacing w:before="0" w:beforeAutospacing="1" w:after="0" w:afterAutospacing="0" w:line="360" w:lineRule="auto"/>
        <w:ind w:left="0" w:right="213" w:firstLine="484" w:firstLineChars="202"/>
        <w:jc w:val="both"/>
        <w:rPr>
          <w:rFonts w:hint="eastAsia" w:ascii="宋体" w:hAnsi="宋体" w:eastAsia="宋体" w:cs="楷体_GB2312"/>
          <w:color w:val="auto"/>
          <w:kern w:val="2"/>
          <w:sz w:val="24"/>
          <w:szCs w:val="24"/>
          <w:highlight w:val="none"/>
          <w:u w:val="single"/>
        </w:rPr>
      </w:pPr>
      <w:r>
        <w:rPr>
          <w:rFonts w:hint="eastAsia" w:ascii="宋体" w:hAnsi="宋体" w:eastAsia="宋体" w:cs="宋体"/>
          <w:color w:val="auto"/>
          <w:kern w:val="2"/>
          <w:sz w:val="24"/>
          <w:szCs w:val="24"/>
          <w:highlight w:val="none"/>
          <w:u w:val="single"/>
          <w:lang w:val="en-US" w:eastAsia="zh-CN" w:bidi="ar"/>
        </w:rPr>
        <w:t>注：若拟委派的项目负责人（总监理工程师）为香港专业人士，须已在广东省住房和城乡建设主管部门备案且备案的业务范围相当于注册监理工程师的香港专业人士[香港专业人士的备案业务范围依据《广东省住房和城乡建设厅关于印发香港工程建设咨询企业和专业人士在粤港澳大湾区内地城市开业执业试点管理暂行办法的通知》（粤建规范[2020]1号）确定]。</w:t>
      </w:r>
    </w:p>
    <w:p w14:paraId="12627D47">
      <w:pPr>
        <w:pStyle w:val="24"/>
        <w:keepNext w:val="0"/>
        <w:keepLines w:val="0"/>
        <w:widowControl w:val="0"/>
        <w:suppressLineNumbers w:val="0"/>
        <w:kinsoku w:val="0"/>
        <w:wordWrap w:val="0"/>
        <w:overflowPunct w:val="0"/>
        <w:spacing w:before="0" w:beforeAutospacing="1" w:after="0" w:afterAutospacing="0" w:line="360" w:lineRule="auto"/>
        <w:ind w:left="0" w:right="213"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3.5 投标申请人业绩要求（</w:t>
      </w:r>
      <w:r>
        <w:rPr>
          <w:rFonts w:hint="eastAsia" w:ascii="宋体" w:hAnsi="宋体" w:eastAsia="宋体" w:cs="宋体"/>
          <w:color w:val="auto"/>
          <w:kern w:val="2"/>
          <w:sz w:val="24"/>
          <w:szCs w:val="24"/>
          <w:highlight w:val="none"/>
          <w:lang w:val="en-US" w:eastAsia="zh-CN" w:bidi="ar"/>
        </w:rPr>
        <w:sym w:font="Wingdings 2" w:char="00A3"/>
      </w:r>
      <w:r>
        <w:rPr>
          <w:rFonts w:hint="eastAsia" w:ascii="宋体" w:hAnsi="宋体" w:eastAsia="宋体" w:cs="宋体"/>
          <w:color w:val="auto"/>
          <w:kern w:val="2"/>
          <w:sz w:val="24"/>
          <w:szCs w:val="24"/>
          <w:highlight w:val="none"/>
          <w:lang w:val="en-US" w:eastAsia="zh-CN" w:bidi="ar"/>
        </w:rPr>
        <w:t>需要 /■不需要）。</w:t>
      </w:r>
    </w:p>
    <w:p w14:paraId="08E1961B">
      <w:pPr>
        <w:keepNext w:val="0"/>
        <w:keepLines w:val="0"/>
        <w:widowControl w:val="0"/>
        <w:suppressLineNumbers w:val="0"/>
        <w:wordWrap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3.6关于联合体投标：</w:t>
      </w:r>
    </w:p>
    <w:p w14:paraId="08DEAD15">
      <w:pPr>
        <w:keepNext w:val="0"/>
        <w:keepLines w:val="0"/>
        <w:widowControl w:val="0"/>
        <w:suppressLineNumbers w:val="0"/>
        <w:wordWrap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3.6.1本次招标（</w:t>
      </w:r>
      <w:r>
        <w:rPr>
          <w:rFonts w:hint="eastAsia" w:ascii="宋体" w:hAnsi="宋体" w:eastAsia="宋体" w:cs="宋体"/>
          <w:color w:val="auto"/>
          <w:kern w:val="2"/>
          <w:sz w:val="24"/>
          <w:szCs w:val="24"/>
          <w:highlight w:val="none"/>
          <w:lang w:val="en-US" w:eastAsia="zh-CN" w:bidi="ar"/>
        </w:rPr>
        <w:sym w:font="Wingdings 2" w:char="00A3"/>
      </w:r>
      <w:r>
        <w:rPr>
          <w:rFonts w:hint="eastAsia" w:ascii="宋体" w:hAnsi="宋体" w:eastAsia="宋体" w:cs="宋体"/>
          <w:color w:val="auto"/>
          <w:kern w:val="2"/>
          <w:sz w:val="24"/>
          <w:szCs w:val="24"/>
          <w:highlight w:val="none"/>
          <w:lang w:val="en-US" w:eastAsia="zh-CN" w:bidi="ar"/>
        </w:rPr>
        <w:t>接受 /■不接受）联合体投标。</w:t>
      </w:r>
    </w:p>
    <w:p w14:paraId="71A23993">
      <w:pPr>
        <w:keepNext w:val="0"/>
        <w:keepLines w:val="0"/>
        <w:widowControl w:val="0"/>
        <w:suppressLineNumbers w:val="0"/>
        <w:wordWrap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3.7</w:t>
      </w:r>
      <w:r>
        <w:rPr>
          <w:rFonts w:hint="eastAsia" w:ascii="宋体" w:hAnsi="宋体" w:eastAsia="宋体" w:cs="宋体"/>
          <w:color w:val="auto"/>
          <w:kern w:val="2"/>
          <w:sz w:val="24"/>
          <w:szCs w:val="24"/>
          <w:highlight w:val="none"/>
          <w:u w:val="single"/>
          <w:lang w:val="en-US" w:eastAsia="zh-CN" w:bidi="ar"/>
        </w:rPr>
        <w:t>投标人（如为联合体，则联合体各方）已在“广州市交通建设项目企业信息库”（网址http://112.94.68.79:8088/entHome/index）建立企业信用档案。拟委派的项目负责人须是本企业信用档案中的在册人员（提供网页截图）</w:t>
      </w:r>
    </w:p>
    <w:p w14:paraId="3308AB7A">
      <w:pPr>
        <w:keepNext w:val="0"/>
        <w:keepLines w:val="0"/>
        <w:widowControl w:val="0"/>
        <w:suppressLineNumbers w:val="0"/>
        <w:wordWrap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3.8投标人未出现招标文件第二章投标人须知第1.4.3项所规定的任何一种情形，并已按规定格式签名盖章《投标人声明》（按投标人提供的《投标人声明》内容进行评审）。</w:t>
      </w:r>
    </w:p>
    <w:p w14:paraId="681D9E76">
      <w:pPr>
        <w:keepNext w:val="0"/>
        <w:keepLines w:val="0"/>
        <w:widowControl w:val="0"/>
        <w:suppressLineNumbers w:val="0"/>
        <w:wordWrap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3.9在投标截止时间前，投标人未被列入拖欠农民工工资失信联合惩戒对象名单。</w:t>
      </w:r>
    </w:p>
    <w:p w14:paraId="02362880">
      <w:pPr>
        <w:keepNext w:val="0"/>
        <w:keepLines w:val="0"/>
        <w:widowControl w:val="0"/>
        <w:suppressLineNumbers w:val="0"/>
        <w:wordWrap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3.10政府投资项目，在投标截止时间前，投标人未被列入“失信被执行人”名单。</w:t>
      </w:r>
    </w:p>
    <w:p w14:paraId="11E10D6D">
      <w:pPr>
        <w:keepNext w:val="0"/>
        <w:keepLines w:val="0"/>
        <w:widowControl w:val="0"/>
        <w:suppressLineNumbers w:val="0"/>
        <w:wordWrap w:val="0"/>
        <w:spacing w:before="0" w:beforeAutospacing="0" w:after="0" w:afterAutospacing="0" w:line="360" w:lineRule="auto"/>
        <w:ind w:left="0" w:right="0" w:firstLine="484" w:firstLineChars="202"/>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 xml:space="preserve"> </w:t>
      </w:r>
    </w:p>
    <w:p w14:paraId="458D24F4">
      <w:pPr>
        <w:pStyle w:val="3"/>
        <w:widowControl/>
        <w:rPr>
          <w:rFonts w:hint="eastAsia" w:ascii="宋体" w:hAnsi="宋体" w:eastAsia="宋体" w:cs="Times New Roman"/>
          <w:b/>
          <w:bCs/>
          <w:color w:val="auto"/>
          <w:kern w:val="2"/>
          <w:sz w:val="32"/>
          <w:szCs w:val="32"/>
          <w:highlight w:val="none"/>
        </w:rPr>
      </w:pPr>
      <w:bookmarkStart w:id="95" w:name="_Toc21595"/>
      <w:bookmarkEnd w:id="95"/>
      <w:bookmarkStart w:id="96" w:name="_Toc2300"/>
      <w:bookmarkEnd w:id="96"/>
      <w:bookmarkStart w:id="97" w:name="_Toc17136"/>
      <w:bookmarkEnd w:id="97"/>
      <w:bookmarkStart w:id="98" w:name="_Toc5034"/>
      <w:bookmarkEnd w:id="98"/>
      <w:bookmarkStart w:id="99" w:name="_Toc32692"/>
      <w:bookmarkEnd w:id="99"/>
      <w:bookmarkStart w:id="100" w:name="_Toc1349"/>
      <w:bookmarkEnd w:id="100"/>
      <w:bookmarkStart w:id="101" w:name="_Toc31269"/>
      <w:bookmarkEnd w:id="101"/>
      <w:bookmarkStart w:id="102" w:name="_Toc25355"/>
      <w:bookmarkEnd w:id="102"/>
      <w:bookmarkStart w:id="103" w:name="_Toc10789"/>
      <w:bookmarkEnd w:id="103"/>
      <w:bookmarkStart w:id="104" w:name="_Toc492300549"/>
      <w:bookmarkEnd w:id="104"/>
      <w:bookmarkStart w:id="105" w:name="_Toc7384"/>
      <w:r>
        <w:rPr>
          <w:rFonts w:hint="eastAsia" w:ascii="宋体" w:hAnsi="宋体" w:eastAsia="宋体" w:cs="宋体"/>
          <w:b/>
          <w:bCs/>
          <w:color w:val="auto"/>
          <w:kern w:val="2"/>
          <w:sz w:val="32"/>
          <w:szCs w:val="32"/>
          <w:highlight w:val="none"/>
        </w:rPr>
        <w:t>4.招标文件的获取</w:t>
      </w:r>
      <w:bookmarkEnd w:id="105"/>
    </w:p>
    <w:p w14:paraId="40BC4297">
      <w:pPr>
        <w:keepNext w:val="0"/>
        <w:keepLines w:val="0"/>
        <w:widowControl w:val="0"/>
        <w:suppressLineNumbers w:val="0"/>
        <w:wordWrap w:val="0"/>
        <w:spacing w:before="0" w:beforeAutospacing="0" w:after="0" w:afterAutospacing="0" w:line="360" w:lineRule="auto"/>
        <w:ind w:left="0" w:right="0" w:firstLine="484" w:firstLineChars="202"/>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4.1</w:t>
      </w:r>
      <w:r>
        <w:rPr>
          <w:rFonts w:hint="eastAsia" w:ascii="宋体" w:hAnsi="宋体" w:eastAsia="宋体" w:cs="宋体"/>
          <w:color w:val="auto"/>
          <w:kern w:val="2"/>
          <w:sz w:val="24"/>
          <w:szCs w:val="24"/>
          <w:highlight w:val="none"/>
          <w:lang w:val="en-US" w:eastAsia="zh-CN" w:bidi="ar"/>
        </w:rPr>
        <w:t>凡有意参加投标者，请于</w:t>
      </w:r>
      <w:r>
        <w:rPr>
          <w:rFonts w:hint="eastAsia" w:ascii="宋体" w:hAnsi="宋体" w:eastAsia="宋体" w:cs="Times New Roman"/>
          <w:color w:val="auto"/>
          <w:kern w:val="2"/>
          <w:sz w:val="24"/>
          <w:szCs w:val="24"/>
          <w:highlight w:val="none"/>
          <w:u w:val="single"/>
          <w:lang w:val="en-US" w:eastAsia="zh-CN" w:bidi="ar"/>
        </w:rPr>
        <w:t>2025</w:t>
      </w:r>
      <w:r>
        <w:rPr>
          <w:rFonts w:hint="eastAsia" w:ascii="宋体" w:hAnsi="宋体" w:eastAsia="宋体" w:cs="宋体"/>
          <w:color w:val="auto"/>
          <w:kern w:val="2"/>
          <w:sz w:val="24"/>
          <w:szCs w:val="24"/>
          <w:highlight w:val="none"/>
          <w:lang w:val="en-US" w:eastAsia="zh-CN" w:bidi="ar"/>
        </w:rPr>
        <w:t>年</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时</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分至</w:t>
      </w:r>
      <w:r>
        <w:rPr>
          <w:rFonts w:hint="eastAsia" w:ascii="宋体" w:hAnsi="宋体" w:eastAsia="宋体" w:cs="Times New Roman"/>
          <w:color w:val="auto"/>
          <w:kern w:val="2"/>
          <w:sz w:val="24"/>
          <w:szCs w:val="24"/>
          <w:highlight w:val="none"/>
          <w:u w:val="single"/>
          <w:lang w:val="en-US" w:eastAsia="zh-CN" w:bidi="ar"/>
        </w:rPr>
        <w:t>2025</w:t>
      </w:r>
      <w:r>
        <w:rPr>
          <w:rFonts w:hint="eastAsia" w:ascii="宋体" w:hAnsi="宋体" w:eastAsia="宋体" w:cs="宋体"/>
          <w:color w:val="auto"/>
          <w:kern w:val="2"/>
          <w:sz w:val="24"/>
          <w:szCs w:val="24"/>
          <w:highlight w:val="none"/>
          <w:lang w:val="en-US" w:eastAsia="zh-CN" w:bidi="ar"/>
        </w:rPr>
        <w:t>年</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时</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分</w:t>
      </w:r>
      <w:r>
        <w:rPr>
          <w:rFonts w:hint="eastAsia" w:ascii="宋体" w:hAnsi="宋体"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北京时间，下同</w:t>
      </w:r>
      <w:r>
        <w:rPr>
          <w:rFonts w:hint="eastAsia" w:ascii="宋体" w:hAnsi="宋体"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，登录</w:t>
      </w:r>
      <w:r>
        <w:rPr>
          <w:rFonts w:hint="eastAsia" w:ascii="宋体" w:hAnsi="宋体" w:eastAsia="宋体" w:cs="宋体"/>
          <w:color w:val="auto"/>
          <w:kern w:val="2"/>
          <w:sz w:val="24"/>
          <w:szCs w:val="24"/>
          <w:highlight w:val="none"/>
          <w:u w:val="single"/>
          <w:lang w:val="en-US" w:eastAsia="zh-CN" w:bidi="ar"/>
        </w:rPr>
        <w:t>广州交易集团有限公司（广州公共资源交易中心）网站（http://www.gzggzy.cn/）</w:t>
      </w:r>
      <w:r>
        <w:rPr>
          <w:rFonts w:hint="eastAsia" w:ascii="宋体" w:hAnsi="宋体" w:eastAsia="宋体" w:cs="宋体"/>
          <w:color w:val="auto"/>
          <w:kern w:val="2"/>
          <w:sz w:val="24"/>
          <w:szCs w:val="24"/>
          <w:highlight w:val="none"/>
          <w:lang w:val="en-US" w:eastAsia="zh-CN" w:bidi="ar"/>
        </w:rPr>
        <w:t>下载电子招标文件。</w:t>
      </w:r>
    </w:p>
    <w:p w14:paraId="0C65D415">
      <w:pPr>
        <w:keepNext w:val="0"/>
        <w:keepLines w:val="0"/>
        <w:widowControl w:val="0"/>
        <w:suppressLineNumbers w:val="0"/>
        <w:wordWrap w:val="0"/>
        <w:spacing w:before="0" w:beforeAutospacing="0" w:after="0" w:afterAutospacing="0" w:line="360" w:lineRule="auto"/>
        <w:ind w:left="0" w:right="0" w:firstLine="484" w:firstLineChars="202"/>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4.2发布招标公告时间（含本日）：</w:t>
      </w:r>
      <w:r>
        <w:rPr>
          <w:rFonts w:hint="eastAsia" w:ascii="宋体" w:hAnsi="宋体" w:eastAsia="宋体" w:cs="Times New Roman"/>
          <w:color w:val="auto"/>
          <w:kern w:val="2"/>
          <w:sz w:val="24"/>
          <w:szCs w:val="24"/>
          <w:highlight w:val="none"/>
          <w:u w:val="single"/>
          <w:lang w:val="en-US" w:eastAsia="zh-CN" w:bidi="ar"/>
        </w:rPr>
        <w:t>2025</w:t>
      </w:r>
      <w:r>
        <w:rPr>
          <w:rFonts w:hint="eastAsia" w:ascii="宋体" w:hAnsi="宋体" w:eastAsia="宋体" w:cs="宋体"/>
          <w:color w:val="auto"/>
          <w:kern w:val="2"/>
          <w:sz w:val="24"/>
          <w:szCs w:val="24"/>
          <w:highlight w:val="none"/>
          <w:lang w:val="en-US" w:eastAsia="zh-CN" w:bidi="ar"/>
        </w:rPr>
        <w:t>年</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时</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分至</w:t>
      </w:r>
      <w:r>
        <w:rPr>
          <w:rFonts w:hint="eastAsia" w:ascii="宋体" w:hAnsi="宋体" w:eastAsia="宋体" w:cs="Times New Roman"/>
          <w:color w:val="auto"/>
          <w:kern w:val="2"/>
          <w:sz w:val="24"/>
          <w:szCs w:val="24"/>
          <w:highlight w:val="none"/>
          <w:u w:val="single"/>
          <w:lang w:val="en-US" w:eastAsia="zh-CN" w:bidi="ar"/>
        </w:rPr>
        <w:t>2025</w:t>
      </w:r>
      <w:r>
        <w:rPr>
          <w:rFonts w:hint="eastAsia" w:ascii="宋体" w:hAnsi="宋体" w:eastAsia="宋体" w:cs="宋体"/>
          <w:color w:val="auto"/>
          <w:kern w:val="2"/>
          <w:sz w:val="24"/>
          <w:szCs w:val="24"/>
          <w:highlight w:val="none"/>
          <w:lang w:val="en-US" w:eastAsia="zh-CN" w:bidi="ar"/>
        </w:rPr>
        <w:t>年</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时</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分。</w:t>
      </w:r>
    </w:p>
    <w:p w14:paraId="0FADE688">
      <w:pPr>
        <w:keepNext w:val="0"/>
        <w:keepLines w:val="0"/>
        <w:widowControl w:val="0"/>
        <w:suppressLineNumbers w:val="0"/>
        <w:wordWrap w:val="0"/>
        <w:spacing w:before="0" w:beforeAutospacing="0" w:after="0" w:afterAutospacing="0" w:line="360" w:lineRule="auto"/>
        <w:ind w:left="0" w:right="0" w:firstLine="484" w:firstLineChars="202"/>
        <w:jc w:val="both"/>
        <w:rPr>
          <w:rFonts w:hint="eastAsia" w:ascii="宋体" w:hAnsi="宋体" w:eastAsia="宋体" w:cs="楷体_GB2312"/>
          <w:color w:val="auto"/>
          <w:kern w:val="2"/>
          <w:sz w:val="24"/>
          <w:szCs w:val="24"/>
          <w:highlight w:val="none"/>
          <w:u w:val="single"/>
        </w:rPr>
      </w:pPr>
      <w:r>
        <w:rPr>
          <w:rFonts w:hint="eastAsia" w:ascii="宋体" w:hAnsi="宋体" w:eastAsia="宋体" w:cs="宋体"/>
          <w:color w:val="auto"/>
          <w:kern w:val="2"/>
          <w:sz w:val="24"/>
          <w:szCs w:val="24"/>
          <w:highlight w:val="none"/>
          <w:u w:val="single"/>
          <w:lang w:val="en-US" w:eastAsia="zh-CN" w:bidi="ar"/>
        </w:rPr>
        <w:t>注：本公告发布之日起开始发布招标文件，发布招标公告的时间为招标公告发出之日起至递交投标文件截止时间止,并从招标公告发布之日起开始计算备标时间。</w:t>
      </w:r>
    </w:p>
    <w:p w14:paraId="2F3426EA">
      <w:pPr>
        <w:keepNext w:val="0"/>
        <w:keepLines w:val="0"/>
        <w:widowControl w:val="0"/>
        <w:suppressLineNumbers w:val="0"/>
        <w:wordWrap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4.3本项目招标文件随招标公告一并在</w:t>
      </w:r>
      <w:r>
        <w:rPr>
          <w:rFonts w:hint="eastAsia" w:ascii="宋体" w:hAnsi="宋体" w:eastAsia="宋体" w:cs="宋体"/>
          <w:color w:val="auto"/>
          <w:kern w:val="2"/>
          <w:sz w:val="24"/>
          <w:szCs w:val="24"/>
          <w:highlight w:val="none"/>
          <w:u w:val="single"/>
          <w:lang w:val="en-US" w:eastAsia="zh-CN" w:bidi="ar"/>
        </w:rPr>
        <w:t>广州交易集团有限公司（广州公共资源交易中心）电子交易平台</w:t>
      </w:r>
      <w:r>
        <w:rPr>
          <w:rFonts w:hint="eastAsia" w:ascii="宋体" w:hAnsi="宋体" w:eastAsia="宋体" w:cs="宋体"/>
          <w:color w:val="auto"/>
          <w:kern w:val="2"/>
          <w:sz w:val="24"/>
          <w:szCs w:val="24"/>
          <w:highlight w:val="none"/>
          <w:lang w:val="en-US" w:eastAsia="zh-CN" w:bidi="ar"/>
        </w:rPr>
        <w:t>发布。招标文件一经在交易平台发布，视为发出给投标人，招标文件由投标人自行在交易平台下载。</w:t>
      </w:r>
    </w:p>
    <w:p w14:paraId="660EA589">
      <w:pPr>
        <w:pStyle w:val="3"/>
        <w:widowControl/>
        <w:rPr>
          <w:rFonts w:hint="eastAsia" w:ascii="宋体" w:hAnsi="宋体" w:eastAsia="宋体" w:cs="Times New Roman"/>
          <w:b/>
          <w:bCs/>
          <w:color w:val="auto"/>
          <w:kern w:val="2"/>
          <w:sz w:val="32"/>
          <w:szCs w:val="32"/>
          <w:highlight w:val="none"/>
        </w:rPr>
      </w:pPr>
      <w:bookmarkStart w:id="106" w:name="_Toc492300550"/>
      <w:bookmarkEnd w:id="106"/>
      <w:bookmarkStart w:id="107" w:name="_Toc6915"/>
      <w:bookmarkEnd w:id="107"/>
      <w:bookmarkStart w:id="108" w:name="_Toc16837"/>
      <w:bookmarkEnd w:id="108"/>
      <w:bookmarkStart w:id="109" w:name="_Toc14445"/>
      <w:bookmarkEnd w:id="109"/>
      <w:bookmarkStart w:id="110" w:name="_Toc18670"/>
      <w:bookmarkEnd w:id="110"/>
      <w:bookmarkStart w:id="111" w:name="_Toc22166"/>
      <w:bookmarkEnd w:id="111"/>
      <w:bookmarkStart w:id="112" w:name="_Toc30981"/>
      <w:bookmarkEnd w:id="112"/>
      <w:bookmarkStart w:id="113" w:name="_Toc13305"/>
      <w:bookmarkEnd w:id="113"/>
      <w:bookmarkStart w:id="114" w:name="_Toc3582"/>
      <w:bookmarkEnd w:id="114"/>
      <w:bookmarkStart w:id="115" w:name="_Toc3884"/>
      <w:bookmarkEnd w:id="115"/>
      <w:bookmarkStart w:id="116" w:name="_Toc30270"/>
      <w:r>
        <w:rPr>
          <w:rFonts w:hint="eastAsia" w:ascii="宋体" w:hAnsi="宋体" w:eastAsia="宋体" w:cs="宋体"/>
          <w:b/>
          <w:bCs/>
          <w:color w:val="auto"/>
          <w:kern w:val="2"/>
          <w:sz w:val="32"/>
          <w:szCs w:val="32"/>
          <w:highlight w:val="none"/>
        </w:rPr>
        <w:t>5.投标文件的递交</w:t>
      </w:r>
      <w:bookmarkEnd w:id="116"/>
    </w:p>
    <w:p w14:paraId="487BCAFD">
      <w:pPr>
        <w:keepNext w:val="0"/>
        <w:keepLines w:val="0"/>
        <w:widowControl w:val="0"/>
        <w:suppressLineNumbers w:val="0"/>
        <w:wordWrap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bookmarkStart w:id="117" w:name="_Toc9454"/>
      <w:bookmarkEnd w:id="117"/>
      <w:bookmarkStart w:id="118" w:name="_Toc5954"/>
      <w:bookmarkEnd w:id="118"/>
      <w:bookmarkStart w:id="119" w:name="_Toc5148"/>
      <w:bookmarkEnd w:id="119"/>
      <w:bookmarkStart w:id="120" w:name="_Toc492300551"/>
      <w:bookmarkEnd w:id="120"/>
      <w:bookmarkStart w:id="121" w:name="_Toc996"/>
      <w:bookmarkEnd w:id="121"/>
      <w:bookmarkStart w:id="122" w:name="_Toc28330"/>
      <w:bookmarkEnd w:id="122"/>
      <w:bookmarkStart w:id="123" w:name="_Toc25776"/>
      <w:bookmarkEnd w:id="123"/>
      <w:bookmarkStart w:id="124" w:name="_Toc14276"/>
      <w:bookmarkEnd w:id="124"/>
      <w:bookmarkStart w:id="125" w:name="_Toc8942"/>
      <w:bookmarkEnd w:id="125"/>
      <w:bookmarkStart w:id="126" w:name="_Toc3643"/>
      <w:r>
        <w:rPr>
          <w:rFonts w:hint="eastAsia" w:ascii="宋体" w:hAnsi="宋体" w:eastAsia="宋体" w:cs="宋体"/>
          <w:color w:val="auto"/>
          <w:kern w:val="2"/>
          <w:sz w:val="24"/>
          <w:szCs w:val="24"/>
          <w:highlight w:val="none"/>
          <w:lang w:val="en-US" w:eastAsia="zh-CN" w:bidi="ar"/>
        </w:rPr>
        <w:t>5.1投标文件递交的截止时间（投标截止时间，下同）为</w:t>
      </w:r>
      <w:bookmarkEnd w:id="126"/>
      <w:r>
        <w:rPr>
          <w:rFonts w:hint="eastAsia" w:ascii="宋体" w:hAnsi="宋体" w:eastAsia="宋体" w:cs="Times New Roman"/>
          <w:color w:val="auto"/>
          <w:kern w:val="2"/>
          <w:sz w:val="24"/>
          <w:szCs w:val="24"/>
          <w:highlight w:val="none"/>
          <w:u w:val="single"/>
          <w:lang w:val="en-US" w:eastAsia="zh-CN" w:bidi="ar"/>
        </w:rPr>
        <w:t>2025</w:t>
      </w:r>
      <w:r>
        <w:rPr>
          <w:rFonts w:hint="eastAsia" w:ascii="宋体" w:hAnsi="宋体" w:eastAsia="宋体" w:cs="宋体"/>
          <w:color w:val="auto"/>
          <w:kern w:val="2"/>
          <w:sz w:val="24"/>
          <w:szCs w:val="24"/>
          <w:highlight w:val="none"/>
          <w:lang w:val="en-US" w:eastAsia="zh-CN" w:bidi="ar"/>
        </w:rPr>
        <w:t>年</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时</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分，投标人应在截止时间前通过</w:t>
      </w:r>
      <w:r>
        <w:rPr>
          <w:rFonts w:hint="eastAsia" w:ascii="宋体" w:hAnsi="宋体" w:eastAsia="宋体" w:cs="宋体"/>
          <w:color w:val="auto"/>
          <w:kern w:val="2"/>
          <w:sz w:val="24"/>
          <w:szCs w:val="24"/>
          <w:highlight w:val="none"/>
          <w:u w:val="single"/>
          <w:lang w:val="en-US" w:eastAsia="zh-CN" w:bidi="ar"/>
        </w:rPr>
        <w:t>广州交易集团有限公司（广州公共资源交易中心）电子交易平台</w:t>
      </w:r>
      <w:r>
        <w:rPr>
          <w:rFonts w:hint="eastAsia" w:ascii="宋体" w:hAnsi="宋体" w:eastAsia="宋体" w:cs="宋体"/>
          <w:color w:val="auto"/>
          <w:kern w:val="2"/>
          <w:sz w:val="24"/>
          <w:szCs w:val="24"/>
          <w:highlight w:val="none"/>
          <w:lang w:val="en-US" w:eastAsia="zh-CN" w:bidi="ar"/>
        </w:rPr>
        <w:t>递交电子投标文件。投标人完成电子投标文件上传后，交易平台即时向投标人发出递交回执通知。递交时间以递交回执通知载明的传输完成时间为准。</w:t>
      </w:r>
    </w:p>
    <w:p w14:paraId="1A7582BA">
      <w:pPr>
        <w:keepNext w:val="0"/>
        <w:keepLines w:val="0"/>
        <w:widowControl/>
        <w:suppressLineNumbers w:val="0"/>
        <w:wordWrap w:val="0"/>
        <w:topLinePunct/>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在投标截止时间后</w:t>
      </w:r>
      <w:r>
        <w:rPr>
          <w:rFonts w:hint="eastAsia" w:ascii="宋体" w:hAnsi="宋体" w:eastAsia="宋体" w:cs="宋体"/>
          <w:b/>
          <w:bCs/>
          <w:color w:val="auto"/>
          <w:kern w:val="2"/>
          <w:sz w:val="24"/>
          <w:szCs w:val="24"/>
          <w:highlight w:val="none"/>
          <w:u w:val="single"/>
          <w:lang w:val="en-US" w:eastAsia="zh-CN" w:bidi="ar"/>
        </w:rPr>
        <w:t>1</w:t>
      </w:r>
      <w:r>
        <w:rPr>
          <w:rFonts w:hint="eastAsia" w:ascii="宋体" w:hAnsi="宋体" w:eastAsia="宋体" w:cs="宋体"/>
          <w:color w:val="auto"/>
          <w:kern w:val="2"/>
          <w:sz w:val="24"/>
          <w:szCs w:val="24"/>
          <w:highlight w:val="none"/>
          <w:lang w:val="en-US" w:eastAsia="zh-CN" w:bidi="ar"/>
        </w:rPr>
        <w:t>小时内，投标人通过</w:t>
      </w:r>
      <w:r>
        <w:rPr>
          <w:rFonts w:hint="eastAsia" w:ascii="宋体" w:hAnsi="宋体" w:eastAsia="宋体" w:cs="宋体"/>
          <w:color w:val="auto"/>
          <w:kern w:val="2"/>
          <w:sz w:val="24"/>
          <w:szCs w:val="24"/>
          <w:highlight w:val="none"/>
          <w:u w:val="single"/>
          <w:lang w:val="en-US" w:eastAsia="zh-CN" w:bidi="ar"/>
        </w:rPr>
        <w:t>广州交易集团有限公司（广州公共资源交易中心）电子交易平台</w:t>
      </w:r>
      <w:r>
        <w:rPr>
          <w:rFonts w:hint="eastAsia" w:ascii="宋体" w:hAnsi="宋体" w:eastAsia="宋体" w:cs="宋体"/>
          <w:color w:val="auto"/>
          <w:kern w:val="2"/>
          <w:sz w:val="24"/>
          <w:szCs w:val="24"/>
          <w:highlight w:val="none"/>
          <w:lang w:val="en-US" w:eastAsia="zh-CN" w:bidi="ar"/>
        </w:rPr>
        <w:t>对已递交的电子投标文件进行解密。</w:t>
      </w:r>
    </w:p>
    <w:p w14:paraId="18D06A43">
      <w:pPr>
        <w:pStyle w:val="24"/>
        <w:keepNext w:val="0"/>
        <w:keepLines w:val="0"/>
        <w:widowControl w:val="0"/>
        <w:suppressLineNumbers w:val="0"/>
        <w:kinsoku w:val="0"/>
        <w:wordWrap w:val="0"/>
        <w:overflowPunct w:val="0"/>
        <w:autoSpaceDE w:val="0"/>
        <w:autoSpaceDN w:val="0"/>
        <w:spacing w:before="0" w:beforeAutospacing="1" w:after="0" w:afterAutospacing="0" w:line="360" w:lineRule="auto"/>
        <w:ind w:left="0" w:right="113" w:firstLine="484" w:firstLineChars="202"/>
        <w:jc w:val="both"/>
        <w:rPr>
          <w:rFonts w:hint="eastAsia" w:ascii="宋体" w:hAnsi="宋体"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5.2投标人应在递交投标文件截止时间前，登录</w:t>
      </w:r>
      <w:r>
        <w:rPr>
          <w:rFonts w:hint="eastAsia" w:ascii="宋体" w:hAnsi="宋体" w:eastAsia="宋体" w:cs="宋体"/>
          <w:color w:val="auto"/>
          <w:kern w:val="2"/>
          <w:sz w:val="24"/>
          <w:szCs w:val="24"/>
          <w:highlight w:val="none"/>
          <w:u w:val="single"/>
          <w:lang w:val="en-US" w:eastAsia="zh-CN" w:bidi="ar"/>
        </w:rPr>
        <w:t>广州交易集团有限公司（广州公共资源交易中心）电子交易平台</w:t>
      </w:r>
      <w:r>
        <w:rPr>
          <w:rFonts w:hint="eastAsia" w:ascii="宋体" w:hAnsi="宋体" w:eastAsia="宋体" w:cs="宋体"/>
          <w:color w:val="auto"/>
          <w:kern w:val="2"/>
          <w:sz w:val="24"/>
          <w:szCs w:val="24"/>
          <w:highlight w:val="none"/>
          <w:lang w:val="en-US" w:eastAsia="zh-CN" w:bidi="ar"/>
        </w:rPr>
        <w:t>办理网上投标登记手续；投标登记时间（含本日）：</w:t>
      </w:r>
      <w:r>
        <w:rPr>
          <w:rFonts w:hint="eastAsia" w:ascii="宋体" w:hAnsi="宋体" w:eastAsia="宋体" w:cs="Times New Roman"/>
          <w:color w:val="auto"/>
          <w:kern w:val="2"/>
          <w:sz w:val="24"/>
          <w:szCs w:val="24"/>
          <w:highlight w:val="none"/>
          <w:u w:val="single"/>
          <w:lang w:val="en-US" w:eastAsia="zh-CN" w:bidi="ar"/>
        </w:rPr>
        <w:t>2025</w:t>
      </w:r>
      <w:r>
        <w:rPr>
          <w:rFonts w:hint="eastAsia" w:ascii="宋体" w:hAnsi="宋体" w:eastAsia="宋体" w:cs="宋体"/>
          <w:color w:val="auto"/>
          <w:kern w:val="2"/>
          <w:sz w:val="24"/>
          <w:szCs w:val="24"/>
          <w:highlight w:val="none"/>
          <w:lang w:val="en-US" w:eastAsia="zh-CN" w:bidi="ar"/>
        </w:rPr>
        <w:t>年</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时</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分至</w:t>
      </w:r>
      <w:r>
        <w:rPr>
          <w:rFonts w:hint="eastAsia" w:ascii="宋体" w:hAnsi="宋体" w:eastAsia="宋体" w:cs="Times New Roman"/>
          <w:color w:val="auto"/>
          <w:kern w:val="2"/>
          <w:sz w:val="24"/>
          <w:szCs w:val="24"/>
          <w:highlight w:val="none"/>
          <w:u w:val="single"/>
          <w:lang w:val="en-US" w:eastAsia="zh-CN" w:bidi="ar"/>
        </w:rPr>
        <w:t>2025</w:t>
      </w:r>
      <w:r>
        <w:rPr>
          <w:rFonts w:hint="eastAsia" w:ascii="宋体" w:hAnsi="宋体" w:eastAsia="宋体" w:cs="宋体"/>
          <w:color w:val="auto"/>
          <w:kern w:val="2"/>
          <w:sz w:val="24"/>
          <w:szCs w:val="24"/>
          <w:highlight w:val="none"/>
          <w:lang w:val="en-US" w:eastAsia="zh-CN" w:bidi="ar"/>
        </w:rPr>
        <w:t>年</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时</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分。</w:t>
      </w:r>
    </w:p>
    <w:p w14:paraId="5A18CC51">
      <w:pPr>
        <w:pStyle w:val="24"/>
        <w:keepNext w:val="0"/>
        <w:keepLines w:val="0"/>
        <w:widowControl w:val="0"/>
        <w:suppressLineNumbers w:val="0"/>
        <w:kinsoku w:val="0"/>
        <w:wordWrap w:val="0"/>
        <w:overflowPunct w:val="0"/>
        <w:autoSpaceDE w:val="0"/>
        <w:autoSpaceDN w:val="0"/>
        <w:spacing w:before="0" w:beforeAutospacing="1" w:after="0" w:afterAutospacing="0" w:line="360" w:lineRule="auto"/>
        <w:ind w:left="0" w:right="113" w:firstLine="484" w:firstLineChars="202"/>
        <w:jc w:val="both"/>
        <w:rPr>
          <w:rFonts w:hint="eastAsia" w:ascii="宋体" w:hAnsi="宋体" w:eastAsia="宋体" w:cs="楷体_GB2312"/>
          <w:color w:val="auto"/>
          <w:kern w:val="2"/>
          <w:sz w:val="24"/>
          <w:szCs w:val="24"/>
          <w:highlight w:val="none"/>
          <w:u w:val="single"/>
        </w:rPr>
      </w:pPr>
      <w:r>
        <w:rPr>
          <w:rFonts w:hint="eastAsia" w:ascii="宋体" w:hAnsi="宋体" w:eastAsia="宋体" w:cs="宋体"/>
          <w:color w:val="auto"/>
          <w:kern w:val="2"/>
          <w:sz w:val="24"/>
          <w:szCs w:val="24"/>
          <w:highlight w:val="none"/>
          <w:u w:val="single"/>
          <w:lang w:val="en-US" w:eastAsia="zh-CN" w:bidi="ar"/>
        </w:rPr>
        <w:t>注：详见电子招标投标交易平台网站发布的最新版操作指引。</w:t>
      </w:r>
    </w:p>
    <w:p w14:paraId="2CC88D3A">
      <w:pPr>
        <w:keepNext w:val="0"/>
        <w:keepLines w:val="0"/>
        <w:widowControl w:val="0"/>
        <w:suppressLineNumbers w:val="0"/>
        <w:wordWrap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5.3开标开始时间：</w:t>
      </w:r>
      <w:r>
        <w:rPr>
          <w:rFonts w:hint="eastAsia" w:ascii="宋体" w:hAnsi="宋体" w:eastAsia="宋体" w:cs="Times New Roman"/>
          <w:color w:val="auto"/>
          <w:kern w:val="2"/>
          <w:sz w:val="24"/>
          <w:szCs w:val="24"/>
          <w:highlight w:val="none"/>
          <w:u w:val="single"/>
          <w:lang w:val="en-US" w:eastAsia="zh-CN" w:bidi="ar"/>
        </w:rPr>
        <w:t>2025</w:t>
      </w:r>
      <w:r>
        <w:rPr>
          <w:rFonts w:hint="eastAsia" w:ascii="宋体" w:hAnsi="宋体" w:eastAsia="宋体" w:cs="宋体"/>
          <w:color w:val="auto"/>
          <w:kern w:val="2"/>
          <w:sz w:val="24"/>
          <w:szCs w:val="24"/>
          <w:highlight w:val="none"/>
          <w:lang w:val="en-US" w:eastAsia="zh-CN" w:bidi="ar"/>
        </w:rPr>
        <w:t>年</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时</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分；地点：</w:t>
      </w:r>
      <w:r>
        <w:rPr>
          <w:rFonts w:hint="eastAsia" w:ascii="宋体" w:hAnsi="宋体" w:eastAsia="宋体" w:cs="宋体"/>
          <w:color w:val="auto"/>
          <w:kern w:val="2"/>
          <w:sz w:val="24"/>
          <w:szCs w:val="24"/>
          <w:highlight w:val="none"/>
          <w:u w:val="single"/>
          <w:lang w:val="en-US" w:eastAsia="zh-CN" w:bidi="ar"/>
        </w:rPr>
        <w:t>广州交易集团有限公司（广州公共资源交易中心）第</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开标室</w:t>
      </w:r>
      <w:r>
        <w:rPr>
          <w:rFonts w:hint="eastAsia" w:ascii="宋体" w:hAnsi="宋体" w:eastAsia="宋体" w:cs="宋体"/>
          <w:color w:val="auto"/>
          <w:kern w:val="2"/>
          <w:sz w:val="24"/>
          <w:szCs w:val="24"/>
          <w:highlight w:val="none"/>
          <w:lang w:val="en-US" w:eastAsia="zh-CN" w:bidi="ar"/>
        </w:rPr>
        <w:t>。</w:t>
      </w:r>
    </w:p>
    <w:p w14:paraId="3848E0CA">
      <w:pPr>
        <w:keepNext w:val="0"/>
        <w:keepLines w:val="0"/>
        <w:widowControl w:val="0"/>
        <w:suppressLineNumbers w:val="0"/>
        <w:wordWrap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5.4投标文件光盘（备用）递交时间：</w:t>
      </w:r>
      <w:r>
        <w:rPr>
          <w:rFonts w:hint="eastAsia" w:ascii="宋体" w:hAnsi="宋体" w:eastAsia="宋体" w:cs="Times New Roman"/>
          <w:color w:val="auto"/>
          <w:kern w:val="2"/>
          <w:sz w:val="24"/>
          <w:szCs w:val="24"/>
          <w:highlight w:val="none"/>
          <w:u w:val="single"/>
          <w:lang w:val="en-US" w:eastAsia="zh-CN" w:bidi="ar"/>
        </w:rPr>
        <w:t>2025</w:t>
      </w:r>
      <w:r>
        <w:rPr>
          <w:rFonts w:hint="eastAsia" w:ascii="宋体" w:hAnsi="宋体" w:eastAsia="宋体" w:cs="宋体"/>
          <w:color w:val="auto"/>
          <w:kern w:val="2"/>
          <w:sz w:val="24"/>
          <w:szCs w:val="24"/>
          <w:highlight w:val="none"/>
          <w:lang w:val="en-US" w:eastAsia="zh-CN" w:bidi="ar"/>
        </w:rPr>
        <w:t>年</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时</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分至</w:t>
      </w:r>
      <w:r>
        <w:rPr>
          <w:rFonts w:hint="eastAsia" w:ascii="宋体" w:hAnsi="宋体" w:eastAsia="宋体" w:cs="Times New Roman"/>
          <w:color w:val="auto"/>
          <w:kern w:val="2"/>
          <w:sz w:val="24"/>
          <w:szCs w:val="24"/>
          <w:highlight w:val="none"/>
          <w:u w:val="single"/>
          <w:lang w:val="en-US" w:eastAsia="zh-CN" w:bidi="ar"/>
        </w:rPr>
        <w:t>2025</w:t>
      </w:r>
      <w:r>
        <w:rPr>
          <w:rFonts w:hint="eastAsia" w:ascii="宋体" w:hAnsi="宋体" w:eastAsia="宋体" w:cs="宋体"/>
          <w:color w:val="auto"/>
          <w:kern w:val="2"/>
          <w:sz w:val="24"/>
          <w:szCs w:val="24"/>
          <w:highlight w:val="none"/>
          <w:lang w:val="en-US" w:eastAsia="zh-CN" w:bidi="ar"/>
        </w:rPr>
        <w:t>年</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时</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分；地点：</w:t>
      </w:r>
      <w:r>
        <w:rPr>
          <w:rFonts w:hint="eastAsia" w:ascii="宋体" w:hAnsi="宋体" w:eastAsia="宋体" w:cs="宋体"/>
          <w:color w:val="auto"/>
          <w:kern w:val="2"/>
          <w:sz w:val="24"/>
          <w:szCs w:val="24"/>
          <w:highlight w:val="none"/>
          <w:u w:val="single"/>
          <w:lang w:val="en-US" w:eastAsia="zh-CN" w:bidi="ar"/>
        </w:rPr>
        <w:t>广州交易集团有限公司（广州公共资源交易中心）第</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开标室</w:t>
      </w:r>
      <w:r>
        <w:rPr>
          <w:rFonts w:hint="eastAsia" w:ascii="宋体" w:hAnsi="宋体" w:eastAsia="宋体" w:cs="宋体"/>
          <w:color w:val="auto"/>
          <w:kern w:val="2"/>
          <w:sz w:val="24"/>
          <w:szCs w:val="24"/>
          <w:highlight w:val="none"/>
          <w:lang w:val="en-US" w:eastAsia="zh-CN" w:bidi="ar"/>
        </w:rPr>
        <w:t>。（投标人自行决定是否递交备用电子光盘，若提交电子光盘需则按规定封装。投标人将数据刻录到光盘之后，投标前自行检查文件是否可以读取）。逾期送达的投标文件光盘（备用），招标人将予以拒收。</w:t>
      </w:r>
    </w:p>
    <w:p w14:paraId="0CA460F0">
      <w:pPr>
        <w:keepNext w:val="0"/>
        <w:keepLines w:val="0"/>
        <w:widowControl w:val="0"/>
        <w:suppressLineNumbers w:val="0"/>
        <w:wordWrap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5.5投标文件解密时间为：</w:t>
      </w:r>
      <w:r>
        <w:rPr>
          <w:rFonts w:hint="eastAsia" w:ascii="宋体" w:hAnsi="宋体" w:eastAsia="宋体" w:cs="Times New Roman"/>
          <w:color w:val="auto"/>
          <w:kern w:val="2"/>
          <w:sz w:val="24"/>
          <w:szCs w:val="24"/>
          <w:highlight w:val="none"/>
          <w:u w:val="single"/>
          <w:lang w:val="en-US" w:eastAsia="zh-CN" w:bidi="ar"/>
        </w:rPr>
        <w:t>2025</w:t>
      </w:r>
      <w:r>
        <w:rPr>
          <w:rFonts w:hint="eastAsia" w:ascii="宋体" w:hAnsi="宋体" w:eastAsia="宋体" w:cs="宋体"/>
          <w:color w:val="auto"/>
          <w:kern w:val="2"/>
          <w:sz w:val="24"/>
          <w:szCs w:val="24"/>
          <w:highlight w:val="none"/>
          <w:lang w:val="en-US" w:eastAsia="zh-CN" w:bidi="ar"/>
        </w:rPr>
        <w:t>年</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时</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分至</w:t>
      </w:r>
      <w:r>
        <w:rPr>
          <w:rFonts w:hint="eastAsia" w:ascii="宋体" w:hAnsi="宋体" w:eastAsia="宋体" w:cs="Times New Roman"/>
          <w:color w:val="auto"/>
          <w:kern w:val="2"/>
          <w:sz w:val="24"/>
          <w:szCs w:val="24"/>
          <w:highlight w:val="none"/>
          <w:u w:val="single"/>
          <w:lang w:val="en-US" w:eastAsia="zh-CN" w:bidi="ar"/>
        </w:rPr>
        <w:t>2025</w:t>
      </w:r>
      <w:r>
        <w:rPr>
          <w:rFonts w:hint="eastAsia" w:ascii="宋体" w:hAnsi="宋体" w:eastAsia="宋体" w:cs="宋体"/>
          <w:color w:val="auto"/>
          <w:kern w:val="2"/>
          <w:sz w:val="24"/>
          <w:szCs w:val="24"/>
          <w:highlight w:val="none"/>
          <w:lang w:val="en-US" w:eastAsia="zh-CN" w:bidi="ar"/>
        </w:rPr>
        <w:t>年</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时</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分，投标人应在截止时间前通过</w:t>
      </w:r>
      <w:r>
        <w:rPr>
          <w:rFonts w:hint="eastAsia" w:ascii="宋体" w:hAnsi="宋体" w:eastAsia="宋体" w:cs="宋体"/>
          <w:color w:val="auto"/>
          <w:kern w:val="2"/>
          <w:sz w:val="24"/>
          <w:szCs w:val="24"/>
          <w:highlight w:val="none"/>
          <w:u w:val="single"/>
          <w:lang w:val="en-US" w:eastAsia="zh-CN" w:bidi="ar"/>
        </w:rPr>
        <w:t>广州交易集团有限公司（广州公共资源交易中心）电子交易平台</w:t>
      </w:r>
      <w:r>
        <w:rPr>
          <w:rFonts w:hint="eastAsia" w:ascii="宋体" w:hAnsi="宋体" w:eastAsia="宋体" w:cs="宋体"/>
          <w:color w:val="auto"/>
          <w:kern w:val="2"/>
          <w:sz w:val="24"/>
          <w:szCs w:val="24"/>
          <w:highlight w:val="none"/>
          <w:lang w:val="en-US" w:eastAsia="zh-CN" w:bidi="ar"/>
        </w:rPr>
        <w:t>对电子投标文件进行投标文件解密。</w:t>
      </w:r>
    </w:p>
    <w:p w14:paraId="77946DC2">
      <w:pPr>
        <w:keepNext w:val="0"/>
        <w:keepLines w:val="0"/>
        <w:widowControl w:val="0"/>
        <w:suppressLineNumbers w:val="0"/>
        <w:wordWrap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5.6逾期送达的投标文件，电子招标投标交易平台将予以拒收。</w:t>
      </w:r>
    </w:p>
    <w:p w14:paraId="4053B412">
      <w:pPr>
        <w:keepNext w:val="0"/>
        <w:keepLines w:val="0"/>
        <w:widowControl w:val="0"/>
        <w:suppressLineNumbers w:val="0"/>
        <w:wordWrap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5.7递交投标文件截止时间及开标时间是否有变化，请密切留意</w:t>
      </w:r>
      <w:r>
        <w:rPr>
          <w:rFonts w:hint="eastAsia" w:ascii="宋体" w:hAnsi="宋体" w:eastAsia="宋体" w:cs="宋体"/>
          <w:color w:val="auto"/>
          <w:kern w:val="2"/>
          <w:sz w:val="24"/>
          <w:szCs w:val="24"/>
          <w:highlight w:val="none"/>
          <w:u w:val="single"/>
          <w:lang w:val="en-US" w:eastAsia="zh-CN" w:bidi="ar"/>
        </w:rPr>
        <w:t>广州交易集团有限公司（广州公共资源交易中心）网站</w:t>
      </w:r>
      <w:r>
        <w:rPr>
          <w:rFonts w:hint="eastAsia" w:ascii="宋体" w:hAnsi="宋体" w:eastAsia="宋体" w:cs="宋体"/>
          <w:color w:val="auto"/>
          <w:kern w:val="2"/>
          <w:sz w:val="24"/>
          <w:szCs w:val="24"/>
          <w:highlight w:val="none"/>
          <w:lang w:val="en-US" w:eastAsia="zh-CN" w:bidi="ar"/>
        </w:rPr>
        <w:t>中的相关信息。递交投标文件截止时间后，投标文件评审时间因故推迟的，相关资审信息仍以原递交投标文件截止时间的信息为准。</w:t>
      </w:r>
    </w:p>
    <w:p w14:paraId="3765C0BF">
      <w:pPr>
        <w:pStyle w:val="3"/>
        <w:widowControl/>
        <w:rPr>
          <w:rFonts w:hint="eastAsia" w:ascii="宋体" w:hAnsi="宋体" w:eastAsia="宋体" w:cs="Times New Roman"/>
          <w:b/>
          <w:bCs/>
          <w:color w:val="auto"/>
          <w:kern w:val="2"/>
          <w:sz w:val="32"/>
          <w:szCs w:val="32"/>
          <w:highlight w:val="none"/>
        </w:rPr>
      </w:pPr>
      <w:bookmarkStart w:id="127" w:name="_Toc4976"/>
      <w:bookmarkEnd w:id="127"/>
      <w:r>
        <w:rPr>
          <w:rFonts w:hint="eastAsia" w:ascii="宋体" w:hAnsi="宋体" w:eastAsia="宋体" w:cs="宋体"/>
          <w:b/>
          <w:bCs/>
          <w:color w:val="auto"/>
          <w:kern w:val="2"/>
          <w:sz w:val="32"/>
          <w:szCs w:val="32"/>
          <w:highlight w:val="none"/>
        </w:rPr>
        <w:t>6.发布公告的媒介</w:t>
      </w:r>
    </w:p>
    <w:p w14:paraId="5FA8FA5F">
      <w:pPr>
        <w:keepNext w:val="0"/>
        <w:keepLines w:val="0"/>
        <w:widowControl w:val="0"/>
        <w:suppressLineNumbers w:val="0"/>
        <w:wordWrap w:val="0"/>
        <w:spacing w:before="0" w:beforeAutospacing="0" w:after="0" w:afterAutospacing="0" w:line="360" w:lineRule="auto"/>
        <w:ind w:left="0" w:right="0" w:firstLine="484" w:firstLineChars="202"/>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本次招标公告同时在</w:t>
      </w:r>
      <w:r>
        <w:rPr>
          <w:rFonts w:hint="eastAsia" w:ascii="宋体" w:hAnsi="宋体" w:eastAsia="宋体" w:cs="宋体"/>
          <w:color w:val="auto"/>
          <w:kern w:val="2"/>
          <w:sz w:val="24"/>
          <w:szCs w:val="24"/>
          <w:highlight w:val="none"/>
          <w:u w:val="single"/>
          <w:lang w:val="en-US" w:eastAsia="zh-CN" w:bidi="ar"/>
        </w:rPr>
        <w:t>广州交易集团有限公司（广州公共资源交易中心）网站（http://www.gzggzy.cn/）</w:t>
      </w:r>
      <w:r>
        <w:rPr>
          <w:rFonts w:hint="eastAsia" w:ascii="宋体" w:hAnsi="宋体" w:eastAsia="宋体" w:cs="宋体"/>
          <w:color w:val="auto"/>
          <w:kern w:val="2"/>
          <w:sz w:val="24"/>
          <w:szCs w:val="24"/>
          <w:highlight w:val="none"/>
          <w:lang w:val="en-US" w:eastAsia="zh-CN" w:bidi="ar"/>
        </w:rPr>
        <w:t>、广东省招标投标监管网（网址： http://zbtb.gd.gov.cn/login）、中国招标投标公共服务平台（网址：http://www.cebpubservice.com/）上发布。本公告的修改、补充，在</w:t>
      </w:r>
      <w:r>
        <w:rPr>
          <w:rFonts w:hint="eastAsia" w:ascii="宋体" w:hAnsi="宋体" w:eastAsia="宋体" w:cs="宋体"/>
          <w:color w:val="auto"/>
          <w:kern w:val="2"/>
          <w:sz w:val="24"/>
          <w:szCs w:val="24"/>
          <w:highlight w:val="none"/>
          <w:u w:val="single"/>
          <w:lang w:val="en-US" w:eastAsia="zh-CN" w:bidi="ar"/>
        </w:rPr>
        <w:t>广州交易集团有限公司（广州公共资源交易中心）网站</w:t>
      </w:r>
      <w:r>
        <w:rPr>
          <w:rFonts w:hint="eastAsia" w:ascii="宋体" w:hAnsi="宋体" w:eastAsia="宋体" w:cs="宋体"/>
          <w:color w:val="auto"/>
          <w:kern w:val="2"/>
          <w:sz w:val="24"/>
          <w:szCs w:val="24"/>
          <w:highlight w:val="none"/>
          <w:lang w:val="en-US" w:eastAsia="zh-CN" w:bidi="ar"/>
        </w:rPr>
        <w:t>、广东省招标投标监管网和中国招标投标公共服务平台发布。招标公告、公示信息的发布时间和内容，以在广东省招标投标监管网(网址: http://zbtb.gd.gov.cn/) 发布的为准。本项目相关附件具体详见</w:t>
      </w:r>
      <w:r>
        <w:rPr>
          <w:rFonts w:hint="eastAsia" w:ascii="宋体" w:hAnsi="宋体" w:eastAsia="宋体" w:cs="宋体"/>
          <w:color w:val="auto"/>
          <w:kern w:val="2"/>
          <w:sz w:val="24"/>
          <w:szCs w:val="24"/>
          <w:highlight w:val="none"/>
          <w:u w:val="single"/>
          <w:lang w:val="en-US" w:eastAsia="zh-CN" w:bidi="ar"/>
        </w:rPr>
        <w:t>广州交易集团有限公司（广州公共资源交易中心）网站</w:t>
      </w:r>
      <w:r>
        <w:rPr>
          <w:rFonts w:hint="eastAsia" w:ascii="宋体" w:hAnsi="宋体" w:eastAsia="宋体" w:cs="宋体"/>
          <w:color w:val="auto"/>
          <w:kern w:val="2"/>
          <w:sz w:val="24"/>
          <w:szCs w:val="24"/>
          <w:highlight w:val="none"/>
          <w:lang w:val="en-US" w:eastAsia="zh-CN" w:bidi="ar"/>
        </w:rPr>
        <w:t>。</w:t>
      </w:r>
    </w:p>
    <w:p w14:paraId="5EFDCACF">
      <w:pPr>
        <w:pStyle w:val="3"/>
        <w:widowControl/>
        <w:rPr>
          <w:rFonts w:hint="eastAsia" w:ascii="宋体" w:hAnsi="宋体" w:eastAsia="宋体" w:cs="Times New Roman"/>
          <w:b/>
          <w:bCs/>
          <w:color w:val="auto"/>
          <w:kern w:val="2"/>
          <w:sz w:val="32"/>
          <w:szCs w:val="32"/>
          <w:highlight w:val="none"/>
        </w:rPr>
      </w:pPr>
      <w:bookmarkStart w:id="128" w:name="_Toc26465"/>
      <w:bookmarkEnd w:id="128"/>
      <w:bookmarkStart w:id="129" w:name="_Toc17274"/>
      <w:bookmarkEnd w:id="129"/>
      <w:bookmarkStart w:id="130" w:name="_Toc492300552"/>
      <w:bookmarkEnd w:id="130"/>
      <w:bookmarkStart w:id="131" w:name="_Toc31630"/>
      <w:bookmarkEnd w:id="131"/>
      <w:bookmarkStart w:id="132" w:name="_Toc22894"/>
      <w:bookmarkEnd w:id="132"/>
      <w:bookmarkStart w:id="133" w:name="_Toc4765"/>
      <w:bookmarkEnd w:id="133"/>
      <w:bookmarkStart w:id="134" w:name="_Toc29446"/>
      <w:bookmarkEnd w:id="134"/>
      <w:bookmarkStart w:id="135" w:name="_Toc19129"/>
      <w:bookmarkEnd w:id="135"/>
      <w:bookmarkStart w:id="136" w:name="_Toc2596"/>
      <w:bookmarkEnd w:id="136"/>
      <w:bookmarkStart w:id="137" w:name="_Toc14159"/>
      <w:bookmarkEnd w:id="137"/>
      <w:bookmarkStart w:id="138" w:name="_Toc12872"/>
      <w:r>
        <w:rPr>
          <w:rFonts w:hint="eastAsia" w:ascii="宋体" w:hAnsi="宋体" w:eastAsia="宋体" w:cs="宋体"/>
          <w:b/>
          <w:bCs/>
          <w:color w:val="auto"/>
          <w:kern w:val="2"/>
          <w:sz w:val="32"/>
          <w:szCs w:val="32"/>
          <w:highlight w:val="none"/>
        </w:rPr>
        <w:t>7.</w:t>
      </w:r>
      <w:bookmarkEnd w:id="138"/>
      <w:r>
        <w:rPr>
          <w:rFonts w:hint="eastAsia" w:ascii="宋体" w:hAnsi="宋体" w:eastAsia="宋体" w:cs="宋体"/>
          <w:b/>
          <w:bCs/>
          <w:color w:val="auto"/>
          <w:kern w:val="2"/>
          <w:sz w:val="32"/>
          <w:szCs w:val="32"/>
          <w:highlight w:val="none"/>
        </w:rPr>
        <w:t>资格审查方式</w:t>
      </w:r>
    </w:p>
    <w:p w14:paraId="7F5A04F8">
      <w:pPr>
        <w:keepNext w:val="0"/>
        <w:keepLines w:val="0"/>
        <w:widowControl w:val="0"/>
        <w:suppressLineNumbers w:val="0"/>
        <w:wordWrap w:val="0"/>
        <w:autoSpaceDE w:val="0"/>
        <w:autoSpaceDN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7.1本工程采用资格后审方式，由评标委员会负责资格审查。</w:t>
      </w:r>
    </w:p>
    <w:p w14:paraId="078F0415">
      <w:pPr>
        <w:keepNext w:val="0"/>
        <w:keepLines w:val="0"/>
        <w:widowControl w:val="0"/>
        <w:suppressLineNumbers w:val="0"/>
        <w:wordWrap w:val="0"/>
        <w:autoSpaceDE w:val="0"/>
        <w:autoSpaceDN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7.2资格审查结果将在</w:t>
      </w:r>
      <w:r>
        <w:rPr>
          <w:rFonts w:hint="eastAsia" w:ascii="宋体" w:hAnsi="宋体" w:eastAsia="宋体" w:cs="宋体"/>
          <w:color w:val="auto"/>
          <w:kern w:val="2"/>
          <w:sz w:val="24"/>
          <w:szCs w:val="24"/>
          <w:highlight w:val="none"/>
          <w:u w:val="single"/>
          <w:lang w:val="en-US" w:eastAsia="zh-CN" w:bidi="ar"/>
        </w:rPr>
        <w:t>广州交易集团有限公司（广州公共资源交易中心）网站</w:t>
      </w:r>
      <w:r>
        <w:rPr>
          <w:rFonts w:hint="eastAsia" w:ascii="宋体" w:hAnsi="宋体" w:eastAsia="宋体" w:cs="宋体"/>
          <w:color w:val="auto"/>
          <w:kern w:val="2"/>
          <w:sz w:val="24"/>
          <w:szCs w:val="24"/>
          <w:highlight w:val="none"/>
          <w:lang w:val="en-US" w:eastAsia="zh-CN" w:bidi="ar"/>
        </w:rPr>
        <w:t>和广东省招标投标监管网公示，公示时间不得少于3日，最后一天应为工作日。</w:t>
      </w:r>
    </w:p>
    <w:p w14:paraId="33D3478F">
      <w:pPr>
        <w:pStyle w:val="3"/>
        <w:widowControl/>
        <w:rPr>
          <w:rFonts w:hint="eastAsia" w:ascii="宋体" w:hAnsi="宋体" w:eastAsia="宋体" w:cs="Times New Roman"/>
          <w:b/>
          <w:bCs/>
          <w:color w:val="auto"/>
          <w:kern w:val="2"/>
          <w:sz w:val="32"/>
          <w:szCs w:val="32"/>
          <w:highlight w:val="none"/>
        </w:rPr>
      </w:pPr>
      <w:bookmarkStart w:id="139" w:name="_Toc748"/>
      <w:bookmarkEnd w:id="139"/>
      <w:r>
        <w:rPr>
          <w:rFonts w:hint="eastAsia" w:ascii="宋体" w:hAnsi="宋体" w:eastAsia="宋体" w:cs="宋体"/>
          <w:b/>
          <w:bCs/>
          <w:color w:val="auto"/>
          <w:kern w:val="2"/>
          <w:sz w:val="32"/>
          <w:szCs w:val="32"/>
          <w:highlight w:val="none"/>
        </w:rPr>
        <w:t>8.疑问、异议、投诉处理</w:t>
      </w:r>
    </w:p>
    <w:p w14:paraId="2953425C">
      <w:pPr>
        <w:keepNext w:val="0"/>
        <w:keepLines w:val="0"/>
        <w:widowControl w:val="0"/>
        <w:suppressLineNumbers w:val="0"/>
        <w:wordWrap w:val="0"/>
        <w:autoSpaceDE w:val="0"/>
        <w:autoSpaceDN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8.1关于疑问、异议、投诉的基本概念和处理程序详见《中华人民共和国招标投标法》、《中华人民共和国招标投标法实施条例》、《工程建设项目招标投标活动投诉处理办法》。</w:t>
      </w:r>
    </w:p>
    <w:p w14:paraId="6AEEE72C">
      <w:pPr>
        <w:keepNext w:val="0"/>
        <w:keepLines w:val="0"/>
        <w:widowControl w:val="0"/>
        <w:suppressLineNumbers w:val="0"/>
        <w:wordWrap w:val="0"/>
        <w:autoSpaceDE w:val="0"/>
        <w:autoSpaceDN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8.2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14:paraId="6802E286">
      <w:pPr>
        <w:keepNext w:val="0"/>
        <w:keepLines w:val="0"/>
        <w:widowControl w:val="0"/>
        <w:suppressLineNumbers w:val="0"/>
        <w:wordWrap w:val="0"/>
        <w:autoSpaceDE w:val="0"/>
        <w:autoSpaceDN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8.3潜在投标人或利害关系人对本招标公告、招标文件有异议的，应当在招标投标相关法律法规规定的时间内（投标截止时间</w:t>
      </w:r>
      <w:r>
        <w:rPr>
          <w:rFonts w:hint="eastAsia" w:ascii="宋体" w:hAnsi="宋体" w:eastAsia="宋体" w:cs="宋体"/>
          <w:color w:val="auto"/>
          <w:kern w:val="2"/>
          <w:sz w:val="24"/>
          <w:szCs w:val="24"/>
          <w:highlight w:val="none"/>
          <w:u w:val="single"/>
          <w:lang w:val="en-US" w:eastAsia="zh-CN" w:bidi="ar"/>
        </w:rPr>
        <w:t>10</w:t>
      </w:r>
      <w:r>
        <w:rPr>
          <w:rFonts w:hint="eastAsia" w:ascii="宋体" w:hAnsi="宋体" w:eastAsia="宋体" w:cs="宋体"/>
          <w:color w:val="auto"/>
          <w:kern w:val="2"/>
          <w:sz w:val="24"/>
          <w:szCs w:val="24"/>
          <w:highlight w:val="none"/>
          <w:lang w:val="en-US" w:eastAsia="zh-CN" w:bidi="ar"/>
        </w:rPr>
        <w:t>日前）通过电子交易系统向招标人提出，具体按照</w:t>
      </w:r>
      <w:r>
        <w:rPr>
          <w:rFonts w:hint="eastAsia" w:ascii="宋体" w:hAnsi="宋体" w:eastAsia="宋体" w:cs="宋体"/>
          <w:color w:val="auto"/>
          <w:kern w:val="2"/>
          <w:sz w:val="24"/>
          <w:szCs w:val="24"/>
          <w:highlight w:val="none"/>
          <w:u w:val="single"/>
          <w:lang w:val="en-US" w:eastAsia="zh-CN" w:bidi="ar"/>
        </w:rPr>
        <w:t>广州交易集团有限公司（广州公共资源交易中心）电子交易平台</w:t>
      </w:r>
      <w:r>
        <w:rPr>
          <w:rFonts w:hint="eastAsia" w:ascii="宋体" w:hAnsi="宋体" w:eastAsia="宋体" w:cs="宋体"/>
          <w:color w:val="auto"/>
          <w:kern w:val="2"/>
          <w:sz w:val="24"/>
          <w:szCs w:val="24"/>
          <w:highlight w:val="none"/>
          <w:lang w:val="en-US" w:eastAsia="zh-CN" w:bidi="ar"/>
        </w:rPr>
        <w:t>相关指南进行操作；尚未登记注册的，可</w:t>
      </w:r>
      <w:r>
        <w:rPr>
          <w:rFonts w:hint="eastAsia" w:ascii="宋体" w:hAnsi="宋体" w:eastAsia="宋体" w:cs="宋体"/>
          <w:color w:val="auto"/>
          <w:kern w:val="2"/>
          <w:sz w:val="24"/>
          <w:szCs w:val="24"/>
          <w:highlight w:val="none"/>
          <w:u w:val="single"/>
          <w:lang w:val="en-US" w:eastAsia="zh-CN" w:bidi="ar"/>
        </w:rPr>
        <w:t>书面</w:t>
      </w:r>
      <w:r>
        <w:rPr>
          <w:rFonts w:hint="eastAsia" w:ascii="宋体" w:hAnsi="宋体" w:eastAsia="宋体" w:cs="宋体"/>
          <w:color w:val="auto"/>
          <w:kern w:val="2"/>
          <w:sz w:val="24"/>
          <w:szCs w:val="24"/>
          <w:highlight w:val="none"/>
          <w:lang w:val="en-US" w:eastAsia="zh-CN" w:bidi="ar"/>
        </w:rPr>
        <w:t>向招标人提出。招标人应当在规定的异议答复期限内作出答复；作出答复前，应当暂停招标投标活动。招标人依法作出答复、发布招标文件澄清或者修改文件的，应当通过电子交易系统进行。</w:t>
      </w:r>
    </w:p>
    <w:p w14:paraId="61615BE2">
      <w:pPr>
        <w:keepNext w:val="0"/>
        <w:keepLines w:val="0"/>
        <w:widowControl w:val="0"/>
        <w:suppressLineNumbers w:val="0"/>
        <w:wordWrap w:val="0"/>
        <w:autoSpaceDE w:val="0"/>
        <w:autoSpaceDN w:val="0"/>
        <w:spacing w:before="0" w:beforeAutospacing="0" w:after="0" w:afterAutospacing="0" w:line="360" w:lineRule="auto"/>
        <w:ind w:left="0" w:right="0" w:firstLine="484" w:firstLineChars="202"/>
        <w:jc w:val="both"/>
        <w:rPr>
          <w:rFonts w:hint="eastAsia" w:ascii="宋体" w:hAnsi="宋体"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异议受理部门：</w:t>
      </w:r>
      <w:r>
        <w:rPr>
          <w:rFonts w:hint="eastAsia" w:ascii="宋体" w:hAnsi="宋体" w:eastAsia="宋体" w:cs="宋体"/>
          <w:color w:val="auto"/>
          <w:kern w:val="2"/>
          <w:sz w:val="24"/>
          <w:szCs w:val="24"/>
          <w:highlight w:val="none"/>
          <w:u w:val="single"/>
          <w:lang w:val="en-US" w:eastAsia="zh-CN" w:bidi="ar"/>
        </w:rPr>
        <w:t>广州市道路事务中心</w:t>
      </w:r>
    </w:p>
    <w:p w14:paraId="28AB24A1">
      <w:pPr>
        <w:keepNext w:val="0"/>
        <w:keepLines w:val="0"/>
        <w:widowControl w:val="0"/>
        <w:suppressLineNumbers w:val="0"/>
        <w:wordWrap w:val="0"/>
        <w:autoSpaceDE w:val="0"/>
        <w:autoSpaceDN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异议受理电话：</w:t>
      </w:r>
      <w:r>
        <w:rPr>
          <w:rFonts w:hint="eastAsia" w:ascii="宋体" w:hAnsi="宋体" w:eastAsia="宋体" w:cs="Times New Roman"/>
          <w:color w:val="auto"/>
          <w:kern w:val="2"/>
          <w:sz w:val="24"/>
          <w:szCs w:val="24"/>
          <w:highlight w:val="none"/>
          <w:u w:val="single"/>
          <w:lang w:val="en-US" w:eastAsia="zh-CN" w:bidi="ar"/>
        </w:rPr>
        <w:t>020-</w:t>
      </w:r>
      <w:r>
        <w:rPr>
          <w:rFonts w:hint="eastAsia" w:ascii="宋体" w:hAnsi="宋体" w:eastAsia="宋体" w:cs="宋体"/>
          <w:color w:val="auto"/>
          <w:kern w:val="2"/>
          <w:sz w:val="24"/>
          <w:szCs w:val="24"/>
          <w:highlight w:val="none"/>
          <w:u w:val="single"/>
          <w:lang w:val="en-US" w:eastAsia="zh-CN" w:bidi="ar"/>
        </w:rPr>
        <w:t>85200284</w:t>
      </w:r>
    </w:p>
    <w:p w14:paraId="1050285C">
      <w:pPr>
        <w:keepNext w:val="0"/>
        <w:keepLines w:val="0"/>
        <w:widowControl w:val="0"/>
        <w:suppressLineNumbers w:val="0"/>
        <w:wordWrap w:val="0"/>
        <w:autoSpaceDE w:val="0"/>
        <w:autoSpaceDN w:val="0"/>
        <w:spacing w:before="0" w:beforeAutospacing="0" w:after="0" w:afterAutospacing="0" w:line="360" w:lineRule="auto"/>
        <w:ind w:left="0" w:right="0" w:firstLine="484" w:firstLineChars="202"/>
        <w:jc w:val="both"/>
        <w:rPr>
          <w:rFonts w:hint="eastAsia" w:ascii="宋体" w:hAnsi="宋体"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地址：</w:t>
      </w:r>
      <w:bookmarkStart w:id="140" w:name="_Toc27994"/>
      <w:bookmarkEnd w:id="140"/>
      <w:r>
        <w:rPr>
          <w:rFonts w:hint="eastAsia" w:ascii="宋体" w:hAnsi="宋体" w:eastAsia="宋体" w:cs="宋体"/>
          <w:color w:val="auto"/>
          <w:kern w:val="2"/>
          <w:sz w:val="24"/>
          <w:szCs w:val="24"/>
          <w:highlight w:val="none"/>
          <w:u w:val="single"/>
          <w:lang w:val="en-US" w:eastAsia="zh-CN" w:bidi="ar"/>
        </w:rPr>
        <w:t>广州市天河区天润路87号广建大厦</w:t>
      </w:r>
    </w:p>
    <w:p w14:paraId="1D940E1B">
      <w:pPr>
        <w:keepNext w:val="0"/>
        <w:keepLines w:val="0"/>
        <w:widowControl w:val="0"/>
        <w:suppressLineNumbers w:val="0"/>
        <w:wordWrap w:val="0"/>
        <w:autoSpaceDE w:val="0"/>
        <w:autoSpaceDN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8.4 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广州市交通建设项目企业信息库诚信评价管理系统。在招投标过程中，投诉人投诉事项经查实不属实的恶意投诉，招标人将提请行政主管部门，并按《中华人民共和国招标投标法实施条例》、《工程建设项目招标投标活动投诉处理办法》等进行处理，同时将记录到广州市交通建设项目企业信息库诚信评价管理系统。</w:t>
      </w:r>
    </w:p>
    <w:p w14:paraId="3B607119">
      <w:pPr>
        <w:pStyle w:val="3"/>
        <w:widowControl/>
        <w:rPr>
          <w:rFonts w:hint="eastAsia" w:ascii="宋体" w:hAnsi="宋体" w:eastAsia="宋体" w:cs="Times New Roman"/>
          <w:b/>
          <w:bCs/>
          <w:color w:val="auto"/>
          <w:kern w:val="2"/>
          <w:sz w:val="32"/>
          <w:szCs w:val="32"/>
          <w:highlight w:val="none"/>
        </w:rPr>
      </w:pPr>
      <w:bookmarkStart w:id="141" w:name="_Toc11636"/>
      <w:bookmarkEnd w:id="141"/>
      <w:r>
        <w:rPr>
          <w:rFonts w:hint="eastAsia" w:ascii="宋体" w:hAnsi="宋体" w:eastAsia="宋体" w:cs="宋体"/>
          <w:b/>
          <w:bCs/>
          <w:color w:val="auto"/>
          <w:kern w:val="2"/>
          <w:sz w:val="32"/>
          <w:szCs w:val="32"/>
          <w:highlight w:val="none"/>
        </w:rPr>
        <w:t>9.其它事项</w:t>
      </w:r>
    </w:p>
    <w:p w14:paraId="7B310B3D">
      <w:pPr>
        <w:keepNext w:val="0"/>
        <w:keepLines w:val="0"/>
        <w:widowControl w:val="0"/>
        <w:suppressLineNumbers w:val="0"/>
        <w:wordWrap w:val="0"/>
        <w:autoSpaceDE w:val="0"/>
        <w:autoSpaceDN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9.1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741DCF14">
      <w:pPr>
        <w:pStyle w:val="3"/>
        <w:widowControl/>
        <w:rPr>
          <w:rFonts w:hint="eastAsia" w:ascii="宋体" w:hAnsi="宋体" w:eastAsia="宋体" w:cs="Times New Roman"/>
          <w:b/>
          <w:bCs/>
          <w:color w:val="auto"/>
          <w:kern w:val="2"/>
          <w:sz w:val="32"/>
          <w:szCs w:val="32"/>
          <w:highlight w:val="none"/>
        </w:rPr>
      </w:pPr>
      <w:bookmarkStart w:id="142" w:name="_Toc20345"/>
      <w:bookmarkEnd w:id="142"/>
      <w:bookmarkStart w:id="143" w:name="_Toc15585"/>
      <w:bookmarkEnd w:id="143"/>
      <w:bookmarkStart w:id="144" w:name="_Toc13798"/>
      <w:bookmarkEnd w:id="144"/>
      <w:bookmarkStart w:id="145" w:name="_Toc26307"/>
      <w:bookmarkEnd w:id="145"/>
      <w:bookmarkStart w:id="146" w:name="_Toc9802"/>
      <w:bookmarkEnd w:id="146"/>
      <w:bookmarkStart w:id="147" w:name="bookmark9"/>
      <w:bookmarkEnd w:id="147"/>
      <w:bookmarkStart w:id="148" w:name="_Toc25287"/>
      <w:r>
        <w:rPr>
          <w:rFonts w:hint="eastAsia" w:ascii="宋体" w:hAnsi="宋体" w:eastAsia="宋体" w:cs="宋体"/>
          <w:b/>
          <w:bCs/>
          <w:color w:val="auto"/>
          <w:kern w:val="2"/>
          <w:sz w:val="32"/>
          <w:szCs w:val="32"/>
          <w:highlight w:val="none"/>
        </w:rPr>
        <w:t>10.联系方式</w:t>
      </w:r>
      <w:bookmarkEnd w:id="148"/>
    </w:p>
    <w:p w14:paraId="7FC7183F">
      <w:pPr>
        <w:pStyle w:val="24"/>
        <w:keepNext w:val="0"/>
        <w:keepLines w:val="0"/>
        <w:widowControl w:val="0"/>
        <w:suppressLineNumbers w:val="0"/>
        <w:kinsoku w:val="0"/>
        <w:overflowPunct w:val="0"/>
        <w:spacing w:before="0" w:beforeAutospacing="1" w:after="120" w:afterAutospacing="0" w:line="240" w:lineRule="auto"/>
        <w:ind w:left="0" w:right="915"/>
        <w:jc w:val="both"/>
        <w:rPr>
          <w:rFonts w:hint="default" w:ascii="Times New Roman" w:hAnsi="Times New Roman"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招</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标</w:t>
      </w:r>
      <w:r>
        <w:rPr>
          <w:rFonts w:hint="default" w:ascii="Times New Roman" w:hAnsi="Times New Roman" w:eastAsia="宋体" w:cs="Times New Roman"/>
          <w:color w:val="auto"/>
          <w:spacing w:val="0"/>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人：</w:t>
      </w:r>
      <w:r>
        <w:rPr>
          <w:rFonts w:hint="eastAsia" w:ascii="宋体" w:hAnsi="宋体" w:eastAsia="宋体" w:cs="宋体"/>
          <w:color w:val="auto"/>
          <w:kern w:val="2"/>
          <w:sz w:val="24"/>
          <w:szCs w:val="24"/>
          <w:highlight w:val="none"/>
          <w:u w:val="single"/>
          <w:lang w:val="en-US" w:eastAsia="zh-CN" w:bidi="ar"/>
        </w:rPr>
        <w:t>广州市道路事务中心</w:t>
      </w:r>
    </w:p>
    <w:p w14:paraId="1F0A810E">
      <w:pPr>
        <w:pStyle w:val="24"/>
        <w:keepNext w:val="0"/>
        <w:keepLines w:val="0"/>
        <w:widowControl w:val="0"/>
        <w:suppressLineNumbers w:val="0"/>
        <w:kinsoku w:val="0"/>
        <w:overflowPunct w:val="0"/>
        <w:spacing w:before="0" w:beforeAutospacing="1" w:after="120" w:afterAutospacing="0" w:line="240" w:lineRule="auto"/>
        <w:ind w:left="0" w:right="915"/>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邮政编码：</w:t>
      </w:r>
      <w:r>
        <w:rPr>
          <w:rFonts w:hint="default" w:ascii="Times New Roman" w:hAnsi="Times New Roman" w:eastAsia="宋体" w:cs="Times New Roman"/>
          <w:color w:val="auto"/>
          <w:kern w:val="2"/>
          <w:sz w:val="24"/>
          <w:szCs w:val="24"/>
          <w:highlight w:val="none"/>
          <w:u w:val="single"/>
          <w:lang w:val="en-US" w:eastAsia="zh-CN" w:bidi="ar"/>
        </w:rPr>
        <w:t>510635</w:t>
      </w:r>
    </w:p>
    <w:p w14:paraId="36CF8332">
      <w:pPr>
        <w:pStyle w:val="24"/>
        <w:keepNext w:val="0"/>
        <w:keepLines w:val="0"/>
        <w:widowControl w:val="0"/>
        <w:suppressLineNumbers w:val="0"/>
        <w:kinsoku w:val="0"/>
        <w:overflowPunct w:val="0"/>
        <w:spacing w:before="0" w:beforeAutospacing="1" w:after="120" w:afterAutospacing="0" w:line="240" w:lineRule="auto"/>
        <w:ind w:left="0" w:right="915"/>
        <w:jc w:val="both"/>
        <w:rPr>
          <w:rFonts w:hint="default" w:ascii="Times New Roman" w:hAnsi="Times New Roman"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地</w:t>
      </w:r>
      <w:r>
        <w:rPr>
          <w:rFonts w:hint="eastAsia"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址：</w:t>
      </w:r>
      <w:r>
        <w:rPr>
          <w:rFonts w:hint="eastAsia" w:ascii="宋体" w:hAnsi="宋体" w:eastAsia="宋体" w:cs="宋体"/>
          <w:color w:val="auto"/>
          <w:kern w:val="2"/>
          <w:sz w:val="24"/>
          <w:szCs w:val="24"/>
          <w:highlight w:val="none"/>
          <w:u w:val="single"/>
          <w:lang w:val="en-US" w:eastAsia="zh-CN" w:bidi="ar"/>
        </w:rPr>
        <w:t>广州市天河区天润路</w:t>
      </w:r>
      <w:r>
        <w:rPr>
          <w:rFonts w:hint="eastAsia"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87 </w:t>
      </w:r>
      <w:r>
        <w:rPr>
          <w:rFonts w:hint="eastAsia" w:ascii="宋体" w:hAnsi="宋体" w:eastAsia="宋体" w:cs="宋体"/>
          <w:color w:val="auto"/>
          <w:kern w:val="2"/>
          <w:sz w:val="24"/>
          <w:szCs w:val="24"/>
          <w:highlight w:val="none"/>
          <w:u w:val="single"/>
          <w:lang w:val="en-US" w:eastAsia="zh-CN" w:bidi="ar"/>
        </w:rPr>
        <w:t>号广建大厦</w:t>
      </w:r>
    </w:p>
    <w:p w14:paraId="7394F26A">
      <w:pPr>
        <w:pStyle w:val="24"/>
        <w:keepNext w:val="0"/>
        <w:keepLines w:val="0"/>
        <w:widowControl w:val="0"/>
        <w:suppressLineNumbers w:val="0"/>
        <w:kinsoku w:val="0"/>
        <w:overflowPunct w:val="0"/>
        <w:spacing w:before="0" w:beforeAutospacing="1" w:after="120" w:afterAutospacing="0" w:line="240" w:lineRule="auto"/>
        <w:ind w:left="0" w:right="915"/>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联系电话：</w:t>
      </w:r>
      <w:r>
        <w:rPr>
          <w:rFonts w:hint="default" w:ascii="Times New Roman" w:hAnsi="Times New Roman" w:eastAsia="宋体" w:cs="Times New Roman"/>
          <w:color w:val="auto"/>
          <w:kern w:val="2"/>
          <w:sz w:val="24"/>
          <w:szCs w:val="24"/>
          <w:highlight w:val="none"/>
          <w:u w:val="single"/>
          <w:lang w:val="en-US" w:eastAsia="zh-CN" w:bidi="ar"/>
        </w:rPr>
        <w:t>020-85200284</w:t>
      </w:r>
    </w:p>
    <w:p w14:paraId="373AD3FF">
      <w:pPr>
        <w:pStyle w:val="24"/>
        <w:keepNext w:val="0"/>
        <w:keepLines w:val="0"/>
        <w:widowControl w:val="0"/>
        <w:suppressLineNumbers w:val="0"/>
        <w:kinsoku w:val="0"/>
        <w:overflowPunct w:val="0"/>
        <w:spacing w:before="0" w:beforeAutospacing="1" w:after="120" w:afterAutospacing="0" w:line="240" w:lineRule="auto"/>
        <w:ind w:left="0" w:right="915"/>
        <w:jc w:val="both"/>
        <w:rPr>
          <w:rFonts w:hint="eastAsia" w:ascii="Times New Roman" w:hAnsi="Times New Roman"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传真号码：</w:t>
      </w:r>
      <w:r>
        <w:rPr>
          <w:rFonts w:hint="default" w:ascii="Times New Roman" w:hAnsi="Times New Roman" w:eastAsia="宋体" w:cs="Times New Roman"/>
          <w:color w:val="auto"/>
          <w:kern w:val="2"/>
          <w:sz w:val="24"/>
          <w:szCs w:val="24"/>
          <w:highlight w:val="none"/>
          <w:u w:val="single"/>
          <w:lang w:val="en-US" w:eastAsia="zh-CN" w:bidi="ar"/>
        </w:rPr>
        <w:t>/</w:t>
      </w:r>
    </w:p>
    <w:p w14:paraId="4CC97771">
      <w:pPr>
        <w:pStyle w:val="24"/>
        <w:keepNext w:val="0"/>
        <w:keepLines w:val="0"/>
        <w:widowControl w:val="0"/>
        <w:suppressLineNumbers w:val="0"/>
        <w:kinsoku w:val="0"/>
        <w:overflowPunct w:val="0"/>
        <w:spacing w:before="0" w:beforeAutospacing="1" w:after="120" w:afterAutospacing="0" w:line="240" w:lineRule="auto"/>
        <w:ind w:left="0" w:right="915"/>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电子邮箱：</w:t>
      </w:r>
      <w:r>
        <w:rPr>
          <w:rFonts w:hint="default" w:ascii="Times New Roman" w:hAnsi="Times New Roman" w:eastAsia="宋体" w:cs="Times New Roman"/>
          <w:color w:val="auto"/>
          <w:kern w:val="2"/>
          <w:sz w:val="24"/>
          <w:szCs w:val="24"/>
          <w:highlight w:val="none"/>
          <w:u w:val="single"/>
          <w:lang w:val="en-US" w:eastAsia="zh-CN" w:bidi="ar"/>
        </w:rPr>
        <w:t>/</w:t>
      </w:r>
    </w:p>
    <w:p w14:paraId="5E2D295C">
      <w:pPr>
        <w:pStyle w:val="24"/>
        <w:keepNext w:val="0"/>
        <w:keepLines w:val="0"/>
        <w:widowControl w:val="0"/>
        <w:suppressLineNumbers w:val="0"/>
        <w:kinsoku w:val="0"/>
        <w:overflowPunct w:val="0"/>
        <w:spacing w:before="0" w:beforeAutospacing="1" w:after="120" w:afterAutospacing="0" w:line="240" w:lineRule="auto"/>
        <w:ind w:left="0" w:right="915"/>
        <w:jc w:val="both"/>
        <w:rPr>
          <w:rFonts w:hint="eastAsia" w:ascii="宋体" w:hAnsi="宋体" w:eastAsia="宋体" w:cs="宋体"/>
          <w:color w:val="auto"/>
          <w:kern w:val="2"/>
          <w:sz w:val="24"/>
          <w:szCs w:val="24"/>
          <w:highlight w:val="none"/>
          <w:lang w:val="en-US" w:eastAsia="zh-CN" w:bidi="ar"/>
        </w:rPr>
      </w:pPr>
    </w:p>
    <w:p w14:paraId="1E4B3295">
      <w:pPr>
        <w:pStyle w:val="24"/>
        <w:keepNext w:val="0"/>
        <w:keepLines w:val="0"/>
        <w:widowControl w:val="0"/>
        <w:suppressLineNumbers w:val="0"/>
        <w:kinsoku w:val="0"/>
        <w:overflowPunct w:val="0"/>
        <w:spacing w:before="0" w:beforeAutospacing="1" w:after="120" w:afterAutospacing="0" w:line="240" w:lineRule="auto"/>
        <w:ind w:left="0" w:right="915"/>
        <w:jc w:val="both"/>
        <w:rPr>
          <w:rFonts w:hint="default" w:ascii="Times New Roman" w:hAnsi="Times New Roman"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招标代理机构：</w:t>
      </w:r>
      <w:r>
        <w:rPr>
          <w:rFonts w:hint="eastAsia" w:ascii="宋体" w:hAnsi="宋体" w:eastAsia="宋体" w:cs="宋体"/>
          <w:color w:val="auto"/>
          <w:kern w:val="2"/>
          <w:sz w:val="24"/>
          <w:szCs w:val="24"/>
          <w:highlight w:val="none"/>
          <w:u w:val="single"/>
          <w:lang w:val="en-US" w:eastAsia="zh-CN" w:bidi="ar"/>
        </w:rPr>
        <w:t>广东重工建设监理有限公司</w:t>
      </w:r>
    </w:p>
    <w:p w14:paraId="0ACCDFEE">
      <w:pPr>
        <w:pStyle w:val="24"/>
        <w:keepNext w:val="0"/>
        <w:keepLines w:val="0"/>
        <w:widowControl w:val="0"/>
        <w:suppressLineNumbers w:val="0"/>
        <w:kinsoku w:val="0"/>
        <w:overflowPunct w:val="0"/>
        <w:spacing w:before="0" w:beforeAutospacing="1" w:after="120" w:afterAutospacing="0" w:line="240" w:lineRule="auto"/>
        <w:ind w:left="0" w:right="915"/>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邮政编码：</w:t>
      </w:r>
      <w:r>
        <w:rPr>
          <w:rFonts w:hint="default" w:ascii="Times New Roman" w:hAnsi="Times New Roman" w:eastAsia="宋体" w:cs="Times New Roman"/>
          <w:color w:val="auto"/>
          <w:kern w:val="2"/>
          <w:sz w:val="24"/>
          <w:szCs w:val="24"/>
          <w:highlight w:val="none"/>
          <w:u w:val="single"/>
          <w:lang w:val="en-US" w:eastAsia="zh-CN" w:bidi="ar"/>
        </w:rPr>
        <w:t>510000</w:t>
      </w:r>
    </w:p>
    <w:p w14:paraId="6A248540">
      <w:pPr>
        <w:pStyle w:val="24"/>
        <w:keepNext w:val="0"/>
        <w:keepLines w:val="0"/>
        <w:widowControl w:val="0"/>
        <w:suppressLineNumbers w:val="0"/>
        <w:kinsoku w:val="0"/>
        <w:overflowPunct w:val="0"/>
        <w:spacing w:before="0" w:beforeAutospacing="1" w:after="120" w:afterAutospacing="0" w:line="240" w:lineRule="auto"/>
        <w:ind w:left="0" w:right="915"/>
        <w:jc w:val="both"/>
        <w:rPr>
          <w:rFonts w:hint="default" w:ascii="Times New Roman" w:hAnsi="Times New Roman"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地</w:t>
      </w:r>
      <w:r>
        <w:rPr>
          <w:rFonts w:hint="eastAsia"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址：</w:t>
      </w:r>
      <w:r>
        <w:rPr>
          <w:rFonts w:hint="eastAsia" w:ascii="宋体" w:hAnsi="宋体" w:eastAsia="宋体" w:cs="宋体"/>
          <w:color w:val="auto"/>
          <w:kern w:val="2"/>
          <w:sz w:val="24"/>
          <w:szCs w:val="24"/>
          <w:highlight w:val="none"/>
          <w:u w:val="single"/>
          <w:lang w:val="en-US" w:eastAsia="zh-CN" w:bidi="ar"/>
        </w:rPr>
        <w:t>广州市黄埔区揽月路</w:t>
      </w:r>
      <w:r>
        <w:rPr>
          <w:rFonts w:hint="default" w:ascii="Times New Roman" w:hAnsi="Times New Roman" w:eastAsia="宋体" w:cs="Times New Roman"/>
          <w:color w:val="auto"/>
          <w:kern w:val="2"/>
          <w:sz w:val="24"/>
          <w:szCs w:val="24"/>
          <w:highlight w:val="none"/>
          <w:u w:val="single"/>
          <w:lang w:val="en-US" w:eastAsia="zh-CN" w:bidi="ar"/>
        </w:rPr>
        <w:t>101</w:t>
      </w:r>
      <w:r>
        <w:rPr>
          <w:rFonts w:hint="eastAsia" w:ascii="宋体" w:hAnsi="宋体" w:eastAsia="宋体" w:cs="宋体"/>
          <w:color w:val="auto"/>
          <w:kern w:val="2"/>
          <w:sz w:val="24"/>
          <w:szCs w:val="24"/>
          <w:highlight w:val="none"/>
          <w:u w:val="single"/>
          <w:lang w:val="en-US" w:eastAsia="zh-CN" w:bidi="ar"/>
        </w:rPr>
        <w:t>号保利中科广场</w:t>
      </w:r>
      <w:r>
        <w:rPr>
          <w:rFonts w:hint="default" w:ascii="Times New Roman" w:hAnsi="Times New Roman" w:eastAsia="宋体" w:cs="Times New Roman"/>
          <w:color w:val="auto"/>
          <w:kern w:val="2"/>
          <w:sz w:val="24"/>
          <w:szCs w:val="24"/>
          <w:highlight w:val="none"/>
          <w:u w:val="single"/>
          <w:lang w:val="en-US" w:eastAsia="zh-CN" w:bidi="ar"/>
        </w:rPr>
        <w:t>A</w:t>
      </w:r>
      <w:r>
        <w:rPr>
          <w:rFonts w:hint="eastAsia" w:ascii="宋体" w:hAnsi="宋体" w:eastAsia="宋体" w:cs="宋体"/>
          <w:color w:val="auto"/>
          <w:kern w:val="2"/>
          <w:sz w:val="24"/>
          <w:szCs w:val="24"/>
          <w:highlight w:val="none"/>
          <w:u w:val="single"/>
          <w:lang w:val="en-US" w:eastAsia="zh-CN" w:bidi="ar"/>
        </w:rPr>
        <w:t>座</w:t>
      </w:r>
      <w:r>
        <w:rPr>
          <w:rFonts w:hint="default" w:ascii="Times New Roman" w:hAnsi="Times New Roman" w:eastAsia="宋体" w:cs="Times New Roman"/>
          <w:color w:val="auto"/>
          <w:kern w:val="2"/>
          <w:sz w:val="24"/>
          <w:szCs w:val="24"/>
          <w:highlight w:val="none"/>
          <w:u w:val="single"/>
          <w:lang w:val="en-US" w:eastAsia="zh-CN" w:bidi="ar"/>
        </w:rPr>
        <w:t>7</w:t>
      </w:r>
      <w:r>
        <w:rPr>
          <w:rFonts w:hint="eastAsia" w:ascii="宋体" w:hAnsi="宋体" w:eastAsia="宋体" w:cs="宋体"/>
          <w:color w:val="auto"/>
          <w:kern w:val="2"/>
          <w:sz w:val="24"/>
          <w:szCs w:val="24"/>
          <w:highlight w:val="none"/>
          <w:u w:val="single"/>
          <w:lang w:val="en-US" w:eastAsia="zh-CN" w:bidi="ar"/>
        </w:rPr>
        <w:t>楼</w:t>
      </w:r>
    </w:p>
    <w:p w14:paraId="28824098">
      <w:pPr>
        <w:pStyle w:val="24"/>
        <w:keepNext w:val="0"/>
        <w:keepLines w:val="0"/>
        <w:widowControl w:val="0"/>
        <w:suppressLineNumbers w:val="0"/>
        <w:kinsoku w:val="0"/>
        <w:overflowPunct w:val="0"/>
        <w:spacing w:before="0" w:beforeAutospacing="1" w:after="120" w:afterAutospacing="0" w:line="240" w:lineRule="auto"/>
        <w:ind w:left="0" w:right="915"/>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联系电话：</w:t>
      </w:r>
      <w:r>
        <w:rPr>
          <w:rFonts w:hint="default" w:ascii="Times New Roman" w:hAnsi="Times New Roman" w:eastAsia="宋体" w:cs="Times New Roman"/>
          <w:color w:val="auto"/>
          <w:kern w:val="2"/>
          <w:sz w:val="24"/>
          <w:szCs w:val="24"/>
          <w:highlight w:val="none"/>
          <w:u w:val="single"/>
          <w:lang w:val="en-US" w:eastAsia="zh-CN" w:bidi="ar"/>
        </w:rPr>
        <w:t>13535014481</w:t>
      </w:r>
      <w:r>
        <w:rPr>
          <w:rFonts w:hint="eastAsia" w:ascii="宋体" w:hAnsi="宋体" w:eastAsia="宋体" w:cs="宋体"/>
          <w:color w:val="auto"/>
          <w:kern w:val="2"/>
          <w:sz w:val="24"/>
          <w:szCs w:val="24"/>
          <w:highlight w:val="none"/>
          <w:u w:val="single"/>
          <w:lang w:val="en-US" w:eastAsia="zh-CN" w:bidi="ar"/>
        </w:rPr>
        <w:t>、</w:t>
      </w:r>
      <w:r>
        <w:rPr>
          <w:rFonts w:hint="default" w:ascii="Times New Roman" w:hAnsi="Times New Roman" w:eastAsia="宋体" w:cs="Times New Roman"/>
          <w:color w:val="auto"/>
          <w:kern w:val="2"/>
          <w:sz w:val="24"/>
          <w:szCs w:val="24"/>
          <w:highlight w:val="none"/>
          <w:u w:val="single"/>
          <w:lang w:val="en-US" w:eastAsia="zh-CN" w:bidi="ar"/>
        </w:rPr>
        <w:t>15710716013</w:t>
      </w:r>
    </w:p>
    <w:p w14:paraId="6BF14DFA">
      <w:pPr>
        <w:pStyle w:val="24"/>
        <w:keepNext w:val="0"/>
        <w:keepLines w:val="0"/>
        <w:widowControl w:val="0"/>
        <w:suppressLineNumbers w:val="0"/>
        <w:kinsoku w:val="0"/>
        <w:overflowPunct w:val="0"/>
        <w:spacing w:before="0" w:beforeAutospacing="1" w:after="120" w:afterAutospacing="0" w:line="240" w:lineRule="auto"/>
        <w:ind w:left="0" w:right="915"/>
        <w:jc w:val="both"/>
        <w:rPr>
          <w:rFonts w:hint="eastAsia" w:ascii="Times New Roman" w:hAnsi="Times New Roman"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传真号码：</w:t>
      </w:r>
      <w:r>
        <w:rPr>
          <w:rFonts w:hint="default" w:ascii="Times New Roman" w:hAnsi="Times New Roman" w:eastAsia="宋体" w:cs="Times New Roman"/>
          <w:color w:val="auto"/>
          <w:kern w:val="2"/>
          <w:sz w:val="24"/>
          <w:szCs w:val="24"/>
          <w:highlight w:val="none"/>
          <w:u w:val="single"/>
          <w:lang w:val="en-US" w:eastAsia="zh-CN" w:bidi="ar"/>
        </w:rPr>
        <w:t>/</w:t>
      </w:r>
    </w:p>
    <w:p w14:paraId="6ADF6C74">
      <w:pPr>
        <w:pStyle w:val="24"/>
        <w:keepNext w:val="0"/>
        <w:keepLines w:val="0"/>
        <w:widowControl w:val="0"/>
        <w:suppressLineNumbers w:val="0"/>
        <w:kinsoku w:val="0"/>
        <w:overflowPunct w:val="0"/>
        <w:spacing w:before="0" w:beforeAutospacing="1" w:after="120" w:afterAutospacing="0" w:line="240" w:lineRule="auto"/>
        <w:ind w:left="0" w:right="915"/>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电子邮箱：</w:t>
      </w:r>
      <w:r>
        <w:rPr>
          <w:rFonts w:hint="default" w:ascii="Times New Roman" w:hAnsi="Times New Roman" w:eastAsia="宋体" w:cs="Times New Roman"/>
          <w:color w:val="auto"/>
          <w:kern w:val="2"/>
          <w:sz w:val="24"/>
          <w:szCs w:val="24"/>
          <w:highlight w:val="none"/>
          <w:u w:val="single"/>
          <w:lang w:val="en-US" w:eastAsia="zh-CN" w:bidi="ar"/>
        </w:rPr>
        <w:t>58659267@qq.com</w:t>
      </w:r>
    </w:p>
    <w:p w14:paraId="51266ECD">
      <w:pPr>
        <w:pStyle w:val="24"/>
        <w:keepNext w:val="0"/>
        <w:keepLines w:val="0"/>
        <w:widowControl w:val="0"/>
        <w:suppressLineNumbers w:val="0"/>
        <w:kinsoku w:val="0"/>
        <w:overflowPunct w:val="0"/>
        <w:spacing w:before="0" w:beforeAutospacing="1" w:after="120" w:afterAutospacing="0" w:line="240" w:lineRule="auto"/>
        <w:ind w:left="0" w:right="915"/>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1199ACA1">
      <w:pPr>
        <w:pStyle w:val="24"/>
        <w:keepNext w:val="0"/>
        <w:keepLines w:val="0"/>
        <w:widowControl w:val="0"/>
        <w:suppressLineNumbers w:val="0"/>
        <w:kinsoku w:val="0"/>
        <w:overflowPunct w:val="0"/>
        <w:spacing w:before="0" w:beforeAutospacing="1" w:after="120" w:afterAutospacing="0" w:line="240" w:lineRule="auto"/>
        <w:ind w:left="0" w:right="915"/>
        <w:jc w:val="both"/>
        <w:rPr>
          <w:rFonts w:hint="default" w:ascii="Times New Roman" w:hAnsi="Times New Roman"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招标管理机构：</w:t>
      </w:r>
      <w:r>
        <w:rPr>
          <w:rFonts w:hint="eastAsia" w:ascii="宋体" w:hAnsi="宋体" w:eastAsia="宋体" w:cs="宋体"/>
          <w:color w:val="auto"/>
          <w:kern w:val="2"/>
          <w:sz w:val="24"/>
          <w:szCs w:val="24"/>
          <w:highlight w:val="none"/>
          <w:u w:val="single"/>
          <w:lang w:val="en-US" w:eastAsia="zh-CN" w:bidi="ar"/>
        </w:rPr>
        <w:t>广州市交通运输局建设管理处</w:t>
      </w:r>
    </w:p>
    <w:p w14:paraId="6B1B32C5">
      <w:pPr>
        <w:pStyle w:val="24"/>
        <w:keepNext w:val="0"/>
        <w:keepLines w:val="0"/>
        <w:widowControl w:val="0"/>
        <w:suppressLineNumbers w:val="0"/>
        <w:kinsoku w:val="0"/>
        <w:overflowPunct w:val="0"/>
        <w:spacing w:before="0" w:beforeAutospacing="1" w:after="120" w:afterAutospacing="0" w:line="240" w:lineRule="auto"/>
        <w:ind w:left="0" w:right="915"/>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邮政编码：</w:t>
      </w:r>
      <w:r>
        <w:rPr>
          <w:rFonts w:hint="default" w:ascii="Times New Roman" w:hAnsi="Times New Roman" w:eastAsia="宋体" w:cs="Times New Roman"/>
          <w:color w:val="auto"/>
          <w:kern w:val="2"/>
          <w:sz w:val="24"/>
          <w:szCs w:val="24"/>
          <w:highlight w:val="none"/>
          <w:u w:val="single"/>
          <w:lang w:val="en-US" w:eastAsia="zh-CN" w:bidi="ar"/>
        </w:rPr>
        <w:t>510620</w:t>
      </w:r>
    </w:p>
    <w:p w14:paraId="7F25A92E">
      <w:pPr>
        <w:pStyle w:val="24"/>
        <w:keepNext w:val="0"/>
        <w:keepLines w:val="0"/>
        <w:widowControl w:val="0"/>
        <w:suppressLineNumbers w:val="0"/>
        <w:kinsoku w:val="0"/>
        <w:overflowPunct w:val="0"/>
        <w:spacing w:before="0" w:beforeAutospacing="1" w:after="120" w:afterAutospacing="0" w:line="240" w:lineRule="auto"/>
        <w:ind w:left="0" w:right="915"/>
        <w:jc w:val="both"/>
        <w:rPr>
          <w:rFonts w:hint="default" w:ascii="Times New Roman" w:hAnsi="Times New Roman"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地</w:t>
      </w:r>
      <w:r>
        <w:rPr>
          <w:rFonts w:hint="eastAsia"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址：</w:t>
      </w:r>
      <w:r>
        <w:rPr>
          <w:rFonts w:hint="eastAsia" w:ascii="宋体" w:hAnsi="宋体" w:eastAsia="宋体" w:cs="宋体"/>
          <w:color w:val="auto"/>
          <w:kern w:val="2"/>
          <w:sz w:val="24"/>
          <w:szCs w:val="24"/>
          <w:highlight w:val="none"/>
          <w:u w:val="single"/>
          <w:lang w:val="en-US" w:eastAsia="zh-CN" w:bidi="ar"/>
        </w:rPr>
        <w:t>广州市天河区天河南二路</w:t>
      </w:r>
      <w:r>
        <w:rPr>
          <w:rFonts w:hint="default" w:ascii="Times New Roman" w:hAnsi="Times New Roman" w:eastAsia="宋体" w:cs="Times New Roman"/>
          <w:color w:val="auto"/>
          <w:kern w:val="2"/>
          <w:sz w:val="24"/>
          <w:szCs w:val="24"/>
          <w:highlight w:val="none"/>
          <w:u w:val="single"/>
          <w:lang w:val="en-US" w:eastAsia="zh-CN" w:bidi="ar"/>
        </w:rPr>
        <w:t>1</w:t>
      </w:r>
      <w:r>
        <w:rPr>
          <w:rFonts w:hint="eastAsia" w:ascii="宋体" w:hAnsi="宋体" w:eastAsia="宋体" w:cs="宋体"/>
          <w:color w:val="auto"/>
          <w:kern w:val="2"/>
          <w:sz w:val="24"/>
          <w:szCs w:val="24"/>
          <w:highlight w:val="none"/>
          <w:u w:val="single"/>
          <w:lang w:val="en-US" w:eastAsia="zh-CN" w:bidi="ar"/>
        </w:rPr>
        <w:t>号</w:t>
      </w:r>
    </w:p>
    <w:p w14:paraId="27D85444">
      <w:pPr>
        <w:pStyle w:val="24"/>
        <w:keepNext w:val="0"/>
        <w:keepLines w:val="0"/>
        <w:widowControl w:val="0"/>
        <w:suppressLineNumbers w:val="0"/>
        <w:kinsoku w:val="0"/>
        <w:overflowPunct w:val="0"/>
        <w:spacing w:before="0" w:beforeAutospacing="1" w:after="120" w:afterAutospacing="0" w:line="240" w:lineRule="auto"/>
        <w:ind w:left="0" w:right="915"/>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电</w:t>
      </w:r>
      <w:r>
        <w:rPr>
          <w:rFonts w:hint="eastAsia"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话：</w:t>
      </w:r>
      <w:r>
        <w:rPr>
          <w:rFonts w:hint="default" w:ascii="Times New Roman" w:hAnsi="Times New Roman" w:eastAsia="宋体" w:cs="Times New Roman"/>
          <w:color w:val="auto"/>
          <w:kern w:val="2"/>
          <w:sz w:val="24"/>
          <w:szCs w:val="24"/>
          <w:highlight w:val="none"/>
          <w:u w:val="single"/>
          <w:lang w:val="en-US" w:eastAsia="zh-CN" w:bidi="ar"/>
        </w:rPr>
        <w:t>020-38180260</w:t>
      </w:r>
    </w:p>
    <w:p w14:paraId="3626840C">
      <w:pPr>
        <w:keepNext w:val="0"/>
        <w:keepLines w:val="0"/>
        <w:widowControl w:val="0"/>
        <w:suppressLineNumbers w:val="0"/>
        <w:spacing w:before="0" w:beforeAutospacing="0" w:after="0" w:afterAutospacing="0" w:line="240" w:lineRule="auto"/>
        <w:ind w:left="0" w:right="0"/>
        <w:jc w:val="both"/>
        <w:rPr>
          <w:rFonts w:hint="eastAsia" w:ascii="Calibri" w:hAnsi="Calibri" w:eastAsia="宋体" w:cs="Times New Roman"/>
          <w:color w:val="auto"/>
          <w:kern w:val="2"/>
          <w:sz w:val="24"/>
          <w:szCs w:val="24"/>
          <w:highlight w:val="none"/>
        </w:rPr>
      </w:pPr>
      <w:r>
        <w:rPr>
          <w:rFonts w:hint="eastAsia" w:ascii="Calibri" w:hAnsi="Calibri" w:eastAsia="宋体" w:cs="Times New Roman"/>
          <w:color w:val="auto"/>
          <w:kern w:val="2"/>
          <w:sz w:val="24"/>
          <w:szCs w:val="24"/>
          <w:highlight w:val="none"/>
          <w:lang w:val="en-US" w:eastAsia="zh-CN" w:bidi="ar"/>
        </w:rPr>
        <w:t xml:space="preserve"> </w:t>
      </w:r>
    </w:p>
    <w:p w14:paraId="05373047">
      <w:pPr>
        <w:spacing w:line="240" w:lineRule="auto"/>
        <w:rPr>
          <w:sz w:val="24"/>
          <w:szCs w:val="24"/>
        </w:rPr>
      </w:pPr>
      <w:r>
        <w:rPr>
          <w:rFonts w:hint="eastAsia" w:ascii="宋体" w:hAnsi="宋体" w:eastAsia="宋体" w:cs="宋体"/>
          <w:color w:val="auto"/>
          <w:kern w:val="2"/>
          <w:sz w:val="24"/>
          <w:szCs w:val="24"/>
          <w:highlight w:val="none"/>
          <w:lang w:val="en-US" w:eastAsia="zh-CN" w:bidi="ar"/>
        </w:rPr>
        <w:t>2025年</w:t>
      </w:r>
      <w:r>
        <w:rPr>
          <w:rFonts w:hint="eastAsia" w:ascii="宋体" w:hAnsi="宋体"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eastAsia" w:ascii="宋体" w:hAnsi="宋体"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2716322C">
      <w:pPr>
        <w:wordWrap w:val="0"/>
        <w:spacing w:before="340" w:after="330"/>
        <w:jc w:val="center"/>
        <w:outlineLvl w:val="0"/>
        <w:rPr>
          <w:rFonts w:hint="eastAsia" w:ascii="宋体" w:hAnsi="宋体" w:eastAsia="宋体" w:cs="Times New Roman"/>
          <w:b/>
          <w:color w:val="auto"/>
          <w:kern w:val="44"/>
          <w:sz w:val="44"/>
          <w:szCs w:val="20"/>
          <w:highlight w:val="none"/>
        </w:rPr>
      </w:pPr>
      <w:r>
        <w:rPr>
          <w:rFonts w:ascii="宋体" w:hAnsi="宋体" w:eastAsia="宋体" w:cs="Times New Roman"/>
          <w:b/>
          <w:color w:val="auto"/>
          <w:kern w:val="44"/>
          <w:sz w:val="44"/>
          <w:szCs w:val="20"/>
          <w:highlight w:val="none"/>
        </w:rPr>
        <w:br w:type="page"/>
      </w:r>
      <w:r>
        <w:rPr>
          <w:rFonts w:hint="eastAsia" w:ascii="宋体" w:hAnsi="宋体" w:eastAsia="宋体" w:cs="Times New Roman"/>
          <w:b/>
          <w:color w:val="auto"/>
          <w:kern w:val="44"/>
          <w:sz w:val="44"/>
          <w:szCs w:val="20"/>
          <w:highlight w:val="none"/>
        </w:rPr>
        <w:t>第二章</w:t>
      </w:r>
      <w:r>
        <w:rPr>
          <w:rFonts w:ascii="宋体" w:hAnsi="宋体" w:eastAsia="宋体" w:cs="Times New Roman"/>
          <w:b/>
          <w:color w:val="auto"/>
          <w:kern w:val="44"/>
          <w:sz w:val="44"/>
          <w:szCs w:val="20"/>
          <w:highlight w:val="none"/>
        </w:rPr>
        <w:t xml:space="preserve"> </w:t>
      </w:r>
      <w:r>
        <w:rPr>
          <w:rFonts w:hint="eastAsia" w:ascii="宋体" w:hAnsi="宋体" w:eastAsia="宋体" w:cs="Times New Roman"/>
          <w:b/>
          <w:color w:val="auto"/>
          <w:kern w:val="44"/>
          <w:sz w:val="44"/>
          <w:szCs w:val="20"/>
          <w:highlight w:val="none"/>
        </w:rPr>
        <w:t>投标人须知</w:t>
      </w:r>
      <w:bookmarkEnd w:id="73"/>
      <w:bookmarkEnd w:id="74"/>
      <w:bookmarkEnd w:id="75"/>
    </w:p>
    <w:p w14:paraId="69EFBD1C">
      <w:pPr>
        <w:wordWrap w:val="0"/>
        <w:jc w:val="center"/>
        <w:outlineLvl w:val="1"/>
        <w:rPr>
          <w:rFonts w:hint="eastAsia" w:ascii="宋体" w:hAnsi="宋体" w:eastAsia="宋体" w:cs="Times New Roman"/>
          <w:b/>
          <w:color w:val="auto"/>
          <w:sz w:val="32"/>
          <w:szCs w:val="20"/>
          <w:highlight w:val="none"/>
        </w:rPr>
      </w:pPr>
      <w:bookmarkStart w:id="149" w:name="_Toc31679"/>
      <w:bookmarkStart w:id="150" w:name="_Toc12876"/>
      <w:bookmarkStart w:id="151" w:name="_Toc526786485"/>
      <w:bookmarkStart w:id="152" w:name="_Toc59200680"/>
      <w:r>
        <w:rPr>
          <w:rFonts w:hint="eastAsia" w:ascii="宋体" w:hAnsi="宋体" w:eastAsia="宋体" w:cs="Times New Roman"/>
          <w:b/>
          <w:color w:val="auto"/>
          <w:sz w:val="32"/>
          <w:szCs w:val="20"/>
          <w:highlight w:val="none"/>
        </w:rPr>
        <w:t>投标人须知前附表</w:t>
      </w:r>
      <w:bookmarkEnd w:id="149"/>
      <w:bookmarkEnd w:id="150"/>
      <w:bookmarkEnd w:id="151"/>
      <w:bookmarkEnd w:id="152"/>
    </w:p>
    <w:tbl>
      <w:tblPr>
        <w:tblStyle w:val="29"/>
        <w:tblW w:w="9463"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01"/>
        <w:gridCol w:w="2976"/>
        <w:gridCol w:w="5386"/>
      </w:tblGrid>
      <w:tr w14:paraId="23A1B0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blHeader/>
        </w:trPr>
        <w:tc>
          <w:tcPr>
            <w:tcW w:w="1101" w:type="dxa"/>
            <w:tcBorders>
              <w:top w:val="single" w:color="auto" w:sz="4" w:space="0"/>
            </w:tcBorders>
            <w:vAlign w:val="center"/>
          </w:tcPr>
          <w:p w14:paraId="14116C8B">
            <w:pPr>
              <w:wordWrap w:val="0"/>
              <w:snapToGrid w:val="0"/>
              <w:spacing w:line="276" w:lineRule="auto"/>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条款号</w:t>
            </w:r>
          </w:p>
        </w:tc>
        <w:tc>
          <w:tcPr>
            <w:tcW w:w="2976" w:type="dxa"/>
            <w:tcBorders>
              <w:top w:val="single" w:color="auto" w:sz="4" w:space="0"/>
            </w:tcBorders>
            <w:vAlign w:val="center"/>
          </w:tcPr>
          <w:p w14:paraId="0EC3FC2A">
            <w:pPr>
              <w:wordWrap w:val="0"/>
              <w:snapToGrid w:val="0"/>
              <w:spacing w:line="276" w:lineRule="auto"/>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条款名称</w:t>
            </w:r>
          </w:p>
        </w:tc>
        <w:tc>
          <w:tcPr>
            <w:tcW w:w="5386" w:type="dxa"/>
            <w:tcBorders>
              <w:top w:val="single" w:color="auto" w:sz="4" w:space="0"/>
            </w:tcBorders>
            <w:vAlign w:val="center"/>
          </w:tcPr>
          <w:p w14:paraId="285A2A04">
            <w:pPr>
              <w:wordWrap w:val="0"/>
              <w:snapToGrid w:val="0"/>
              <w:spacing w:line="276" w:lineRule="auto"/>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编列内容</w:t>
            </w:r>
          </w:p>
        </w:tc>
      </w:tr>
      <w:tr w14:paraId="730168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01ABF525">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1.1.2</w:t>
            </w:r>
          </w:p>
        </w:tc>
        <w:tc>
          <w:tcPr>
            <w:tcW w:w="2976" w:type="dxa"/>
            <w:vAlign w:val="center"/>
          </w:tcPr>
          <w:p w14:paraId="0972F7A9">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招标人</w:t>
            </w:r>
          </w:p>
        </w:tc>
        <w:tc>
          <w:tcPr>
            <w:tcW w:w="5386" w:type="dxa"/>
            <w:vAlign w:val="center"/>
          </w:tcPr>
          <w:p w14:paraId="11BE21DA">
            <w:pPr>
              <w:wordWrap w:val="0"/>
              <w:snapToGrid w:val="0"/>
              <w:spacing w:line="276" w:lineRule="auto"/>
              <w:ind w:left="630" w:hanging="630" w:hangingChars="3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名称：</w:t>
            </w:r>
            <w:r>
              <w:rPr>
                <w:rFonts w:hint="eastAsia" w:ascii="宋体" w:hAnsi="宋体" w:eastAsia="宋体" w:cs="Times New Roman"/>
                <w:color w:val="auto"/>
                <w:szCs w:val="21"/>
                <w:highlight w:val="none"/>
                <w:u w:val="single"/>
                <w:lang w:eastAsia="zh-CN"/>
              </w:rPr>
              <w:t>广州市道路事务中心</w:t>
            </w:r>
          </w:p>
          <w:p w14:paraId="4011AA7A">
            <w:pPr>
              <w:wordWrap w:val="0"/>
              <w:snapToGrid w:val="0"/>
              <w:spacing w:line="276" w:lineRule="auto"/>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地址：</w:t>
            </w:r>
            <w:r>
              <w:rPr>
                <w:rFonts w:hint="eastAsia" w:ascii="宋体" w:hAnsi="宋体" w:eastAsia="宋体" w:cs="Times New Roman"/>
                <w:color w:val="auto"/>
                <w:szCs w:val="21"/>
                <w:highlight w:val="none"/>
                <w:u w:val="single"/>
                <w:lang w:eastAsia="zh-CN"/>
              </w:rPr>
              <w:t>广州市天河区天润路 87 号广建大厦</w:t>
            </w:r>
          </w:p>
          <w:p w14:paraId="6900AD92">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联系人：</w:t>
            </w:r>
            <w:r>
              <w:rPr>
                <w:rFonts w:hint="eastAsia" w:ascii="宋体" w:hAnsi="宋体" w:eastAsia="宋体" w:cs="Times New Roman"/>
                <w:color w:val="auto"/>
                <w:szCs w:val="21"/>
                <w:highlight w:val="none"/>
                <w:u w:val="single"/>
                <w:lang w:val="en-US" w:eastAsia="zh-CN"/>
              </w:rPr>
              <w:t>丁</w:t>
            </w:r>
            <w:r>
              <w:rPr>
                <w:rFonts w:hint="eastAsia" w:ascii="宋体" w:hAnsi="宋体" w:eastAsia="宋体" w:cs="Times New Roman"/>
                <w:color w:val="auto"/>
                <w:szCs w:val="21"/>
                <w:highlight w:val="none"/>
                <w:u w:val="single"/>
              </w:rPr>
              <w:t>工</w:t>
            </w:r>
          </w:p>
          <w:p w14:paraId="609D41A3">
            <w:pPr>
              <w:wordWrap w:val="0"/>
              <w:snapToGrid w:val="0"/>
              <w:spacing w:line="276" w:lineRule="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电话：</w:t>
            </w:r>
            <w:r>
              <w:rPr>
                <w:rFonts w:hint="eastAsia" w:ascii="宋体" w:hAnsi="宋体" w:eastAsia="宋体" w:cs="Times New Roman"/>
                <w:color w:val="auto"/>
                <w:szCs w:val="21"/>
                <w:highlight w:val="none"/>
                <w:u w:val="single"/>
                <w:lang w:eastAsia="zh-CN"/>
              </w:rPr>
              <w:t>020-85200284</w:t>
            </w:r>
          </w:p>
        </w:tc>
      </w:tr>
      <w:tr w14:paraId="4C384B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230ABD82">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1.1.3</w:t>
            </w:r>
          </w:p>
        </w:tc>
        <w:tc>
          <w:tcPr>
            <w:tcW w:w="2976" w:type="dxa"/>
            <w:vAlign w:val="center"/>
          </w:tcPr>
          <w:p w14:paraId="30F62103">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招标代理机构</w:t>
            </w:r>
          </w:p>
        </w:tc>
        <w:tc>
          <w:tcPr>
            <w:tcW w:w="5386" w:type="dxa"/>
            <w:vAlign w:val="center"/>
          </w:tcPr>
          <w:p w14:paraId="73DD7E2B">
            <w:pPr>
              <w:wordWrap w:val="0"/>
              <w:snapToGrid w:val="0"/>
              <w:spacing w:line="276" w:lineRule="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名称：</w:t>
            </w:r>
            <w:r>
              <w:rPr>
                <w:rFonts w:hint="eastAsia" w:ascii="宋体" w:hAnsi="宋体" w:eastAsia="宋体" w:cs="宋体"/>
                <w:color w:val="auto"/>
                <w:szCs w:val="21"/>
                <w:highlight w:val="none"/>
                <w:u w:val="single"/>
                <w:lang w:eastAsia="zh-CN"/>
              </w:rPr>
              <w:t>广东重工建设监理有限公司</w:t>
            </w:r>
          </w:p>
          <w:p w14:paraId="61827BEA">
            <w:pPr>
              <w:wordWrap w:val="0"/>
              <w:snapToGrid w:val="0"/>
              <w:spacing w:line="276" w:lineRule="auto"/>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地址：</w:t>
            </w:r>
            <w:r>
              <w:rPr>
                <w:rFonts w:hint="eastAsia" w:ascii="宋体" w:hAnsi="宋体" w:eastAsia="宋体" w:cs="Times New Roman"/>
                <w:color w:val="auto"/>
                <w:szCs w:val="21"/>
                <w:highlight w:val="none"/>
                <w:u w:val="single"/>
              </w:rPr>
              <w:t>广州市黄埔区揽月路101号保利中科广场A座7楼</w:t>
            </w:r>
          </w:p>
          <w:p w14:paraId="303BDA07">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联系人：</w:t>
            </w:r>
            <w:r>
              <w:rPr>
                <w:rFonts w:hint="eastAsia" w:ascii="宋体" w:hAnsi="宋体" w:eastAsia="宋体" w:cs="Times New Roman"/>
                <w:color w:val="auto"/>
                <w:szCs w:val="21"/>
                <w:highlight w:val="none"/>
                <w:u w:val="single"/>
                <w:lang w:val="en-US" w:eastAsia="zh-CN"/>
              </w:rPr>
              <w:t>薛工、黄</w:t>
            </w:r>
            <w:r>
              <w:rPr>
                <w:rFonts w:hint="eastAsia" w:ascii="宋体" w:hAnsi="宋体" w:eastAsia="宋体" w:cs="Times New Roman"/>
                <w:color w:val="auto"/>
                <w:szCs w:val="21"/>
                <w:highlight w:val="none"/>
                <w:u w:val="single"/>
              </w:rPr>
              <w:t>工</w:t>
            </w:r>
          </w:p>
          <w:p w14:paraId="12FEE8DC">
            <w:pPr>
              <w:wordWrap w:val="0"/>
              <w:snapToGrid w:val="0"/>
              <w:spacing w:line="276" w:lineRule="auto"/>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电话：</w:t>
            </w:r>
            <w:r>
              <w:rPr>
                <w:rFonts w:hint="eastAsia" w:ascii="宋体" w:hAnsi="宋体" w:eastAsia="宋体" w:cs="Times New Roman"/>
                <w:color w:val="auto"/>
                <w:szCs w:val="21"/>
                <w:highlight w:val="none"/>
                <w:u w:val="single"/>
                <w:lang w:val="en-US" w:eastAsia="zh-CN"/>
              </w:rPr>
              <w:t>13535014481、15710716013</w:t>
            </w:r>
          </w:p>
        </w:tc>
      </w:tr>
      <w:tr w14:paraId="0597B7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1FB27DC6">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1.1.4</w:t>
            </w:r>
          </w:p>
        </w:tc>
        <w:tc>
          <w:tcPr>
            <w:tcW w:w="2976" w:type="dxa"/>
            <w:vAlign w:val="center"/>
          </w:tcPr>
          <w:p w14:paraId="43566287">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招标项目名称</w:t>
            </w:r>
          </w:p>
        </w:tc>
        <w:tc>
          <w:tcPr>
            <w:tcW w:w="5386" w:type="dxa"/>
            <w:vAlign w:val="center"/>
          </w:tcPr>
          <w:p w14:paraId="1F820456">
            <w:pPr>
              <w:wordWrap w:val="0"/>
              <w:snapToGrid w:val="0"/>
              <w:spacing w:line="276"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城维计划-桥梁中修专项经费-官洲隧道中修工程监理</w:t>
            </w:r>
          </w:p>
        </w:tc>
      </w:tr>
      <w:tr w14:paraId="745918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531473D7">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1.1.5</w:t>
            </w:r>
          </w:p>
        </w:tc>
        <w:tc>
          <w:tcPr>
            <w:tcW w:w="2976" w:type="dxa"/>
            <w:vAlign w:val="center"/>
          </w:tcPr>
          <w:p w14:paraId="3B692461">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项目建设地点</w:t>
            </w:r>
          </w:p>
        </w:tc>
        <w:tc>
          <w:tcPr>
            <w:tcW w:w="5386" w:type="dxa"/>
            <w:vAlign w:val="center"/>
          </w:tcPr>
          <w:p w14:paraId="1DF91F0C">
            <w:pPr>
              <w:wordWrap w:val="0"/>
              <w:snapToGrid w:val="0"/>
              <w:spacing w:line="276"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详见招标公告</w:t>
            </w:r>
          </w:p>
        </w:tc>
      </w:tr>
      <w:tr w14:paraId="28C07E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6CEFC9CF">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1.1.6</w:t>
            </w:r>
          </w:p>
        </w:tc>
        <w:tc>
          <w:tcPr>
            <w:tcW w:w="2976" w:type="dxa"/>
            <w:vAlign w:val="center"/>
          </w:tcPr>
          <w:p w14:paraId="0D879EEA">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项目建设规模</w:t>
            </w:r>
          </w:p>
        </w:tc>
        <w:tc>
          <w:tcPr>
            <w:tcW w:w="5386" w:type="dxa"/>
          </w:tcPr>
          <w:p w14:paraId="1DD0276F">
            <w:pPr>
              <w:wordWrap w:val="0"/>
              <w:snapToGrid w:val="0"/>
              <w:spacing w:line="276" w:lineRule="auto"/>
              <w:ind w:right="10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详见招标公告</w:t>
            </w:r>
          </w:p>
        </w:tc>
      </w:tr>
      <w:tr w14:paraId="40E58A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379D2E26">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1.1.7</w:t>
            </w:r>
          </w:p>
        </w:tc>
        <w:tc>
          <w:tcPr>
            <w:tcW w:w="2976" w:type="dxa"/>
            <w:vAlign w:val="center"/>
          </w:tcPr>
          <w:p w14:paraId="24D12F9B">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工程项目施工预计开工日期和建设周期</w:t>
            </w:r>
          </w:p>
        </w:tc>
        <w:tc>
          <w:tcPr>
            <w:tcW w:w="5386" w:type="dxa"/>
            <w:vAlign w:val="center"/>
          </w:tcPr>
          <w:p w14:paraId="407639B5">
            <w:pPr>
              <w:wordWrap w:val="0"/>
              <w:spacing w:line="276" w:lineRule="auto"/>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详见招标公告</w:t>
            </w:r>
          </w:p>
        </w:tc>
      </w:tr>
      <w:tr w14:paraId="3DED90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6C1F0F39">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1.1.8</w:t>
            </w:r>
          </w:p>
        </w:tc>
        <w:tc>
          <w:tcPr>
            <w:tcW w:w="2976" w:type="dxa"/>
            <w:vAlign w:val="center"/>
          </w:tcPr>
          <w:p w14:paraId="00B5E9C6">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建筑安装工程费</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工程概算</w:t>
            </w:r>
          </w:p>
        </w:tc>
        <w:tc>
          <w:tcPr>
            <w:tcW w:w="5386" w:type="dxa"/>
            <w:shd w:val="clear" w:color="auto" w:fill="auto"/>
            <w:vAlign w:val="center"/>
          </w:tcPr>
          <w:p w14:paraId="4BE1FCBE">
            <w:pPr>
              <w:wordWrap w:val="0"/>
              <w:snapToGrid w:val="0"/>
              <w:spacing w:line="276" w:lineRule="auto"/>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详见招标公告</w:t>
            </w:r>
          </w:p>
        </w:tc>
      </w:tr>
      <w:tr w14:paraId="23F634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67BCB429">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1.2.1</w:t>
            </w:r>
          </w:p>
        </w:tc>
        <w:tc>
          <w:tcPr>
            <w:tcW w:w="2976" w:type="dxa"/>
            <w:vAlign w:val="center"/>
          </w:tcPr>
          <w:p w14:paraId="09883305">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资金来源及比例</w:t>
            </w:r>
          </w:p>
        </w:tc>
        <w:tc>
          <w:tcPr>
            <w:tcW w:w="5386" w:type="dxa"/>
            <w:vAlign w:val="center"/>
          </w:tcPr>
          <w:p w14:paraId="34734888">
            <w:pPr>
              <w:wordWrap w:val="0"/>
              <w:snapToGrid w:val="0"/>
              <w:spacing w:line="276"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详见招标公告</w:t>
            </w:r>
          </w:p>
        </w:tc>
      </w:tr>
      <w:tr w14:paraId="726281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59752268">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1.2.2</w:t>
            </w:r>
          </w:p>
        </w:tc>
        <w:tc>
          <w:tcPr>
            <w:tcW w:w="2976" w:type="dxa"/>
            <w:vAlign w:val="center"/>
          </w:tcPr>
          <w:p w14:paraId="31C774EB">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资金落实情况</w:t>
            </w:r>
          </w:p>
        </w:tc>
        <w:tc>
          <w:tcPr>
            <w:tcW w:w="5386" w:type="dxa"/>
            <w:vAlign w:val="center"/>
          </w:tcPr>
          <w:p w14:paraId="0C949480">
            <w:pPr>
              <w:wordWrap w:val="0"/>
              <w:snapToGrid w:val="0"/>
              <w:spacing w:line="276" w:lineRule="auto"/>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已落实</w:t>
            </w:r>
          </w:p>
        </w:tc>
      </w:tr>
      <w:tr w14:paraId="7EBFA4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7E03C062">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1.3.1</w:t>
            </w:r>
          </w:p>
        </w:tc>
        <w:tc>
          <w:tcPr>
            <w:tcW w:w="2976" w:type="dxa"/>
            <w:vAlign w:val="center"/>
          </w:tcPr>
          <w:p w14:paraId="28A998CD">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招标范围</w:t>
            </w:r>
          </w:p>
        </w:tc>
        <w:tc>
          <w:tcPr>
            <w:tcW w:w="5386" w:type="dxa"/>
          </w:tcPr>
          <w:p w14:paraId="4023D707">
            <w:pPr>
              <w:wordWrap w:val="0"/>
              <w:snapToGrid w:val="0"/>
              <w:spacing w:line="276" w:lineRule="auto"/>
              <w:ind w:right="10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详见招标公告</w:t>
            </w:r>
          </w:p>
        </w:tc>
      </w:tr>
      <w:tr w14:paraId="7B6BD1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32A81DD4">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1.3.2</w:t>
            </w:r>
          </w:p>
        </w:tc>
        <w:tc>
          <w:tcPr>
            <w:tcW w:w="2976" w:type="dxa"/>
            <w:vAlign w:val="center"/>
          </w:tcPr>
          <w:p w14:paraId="310C1B55">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监理服务期限</w:t>
            </w:r>
          </w:p>
        </w:tc>
        <w:tc>
          <w:tcPr>
            <w:tcW w:w="5386" w:type="dxa"/>
          </w:tcPr>
          <w:p w14:paraId="3FE5F5D4">
            <w:pPr>
              <w:wordWrap w:val="0"/>
              <w:snapToGrid w:val="0"/>
              <w:spacing w:line="276" w:lineRule="auto"/>
              <w:ind w:right="10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详见招标公告</w:t>
            </w:r>
          </w:p>
        </w:tc>
      </w:tr>
      <w:tr w14:paraId="7DAC11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7ECB7D26">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1.3.3</w:t>
            </w:r>
          </w:p>
        </w:tc>
        <w:tc>
          <w:tcPr>
            <w:tcW w:w="2976" w:type="dxa"/>
            <w:vAlign w:val="center"/>
          </w:tcPr>
          <w:p w14:paraId="36D72558">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质量标准</w:t>
            </w:r>
          </w:p>
        </w:tc>
        <w:tc>
          <w:tcPr>
            <w:tcW w:w="5386" w:type="dxa"/>
            <w:vAlign w:val="center"/>
          </w:tcPr>
          <w:p w14:paraId="2DA8727E">
            <w:pPr>
              <w:wordWrap w:val="0"/>
              <w:snapToGrid w:val="0"/>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质量控制目标：执行国家最新颁布《建筑工程施工质量验收统一标准》（GB50300-2013）及相应配套的各专业验收规范等，一次验收合格。</w:t>
            </w:r>
          </w:p>
        </w:tc>
      </w:tr>
      <w:tr w14:paraId="4A192E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35093710">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1.4.1</w:t>
            </w:r>
          </w:p>
        </w:tc>
        <w:tc>
          <w:tcPr>
            <w:tcW w:w="2976" w:type="dxa"/>
            <w:vAlign w:val="center"/>
          </w:tcPr>
          <w:p w14:paraId="43C481AA">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投标人资质条件、能力、信誉</w:t>
            </w:r>
          </w:p>
        </w:tc>
        <w:tc>
          <w:tcPr>
            <w:tcW w:w="5386" w:type="dxa"/>
            <w:vAlign w:val="center"/>
          </w:tcPr>
          <w:p w14:paraId="28B73D5B">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详见招标公告</w:t>
            </w:r>
          </w:p>
        </w:tc>
      </w:tr>
      <w:tr w14:paraId="35440D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1F04EFEE">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1.4.2</w:t>
            </w:r>
          </w:p>
        </w:tc>
        <w:tc>
          <w:tcPr>
            <w:tcW w:w="2976" w:type="dxa"/>
            <w:vAlign w:val="center"/>
          </w:tcPr>
          <w:p w14:paraId="5E1B28A8">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是否接受联合体投标</w:t>
            </w:r>
          </w:p>
        </w:tc>
        <w:tc>
          <w:tcPr>
            <w:tcW w:w="5386" w:type="dxa"/>
            <w:vAlign w:val="center"/>
          </w:tcPr>
          <w:p w14:paraId="4FB225F4">
            <w:pPr>
              <w:wordWrap w:val="0"/>
              <w:snapToGrid w:val="0"/>
              <w:spacing w:line="276" w:lineRule="auto"/>
              <w:ind w:right="-238"/>
              <w:rPr>
                <w:rFonts w:hint="eastAsia" w:ascii="宋体" w:hAnsi="宋体" w:eastAsia="宋体" w:cs="Times New Roman"/>
                <w:color w:val="auto"/>
                <w:szCs w:val="21"/>
                <w:highlight w:val="none"/>
              </w:rPr>
            </w:pPr>
            <w:r>
              <w:rPr>
                <w:rFonts w:ascii="Segoe UI Symbol" w:hAnsi="Segoe UI Symbol" w:eastAsia="宋体" w:cs="Segoe UI Symbol"/>
                <w:color w:val="auto"/>
                <w:szCs w:val="21"/>
                <w:highlight w:val="none"/>
                <w:shd w:val="clear" w:color="auto" w:fill="FFFFFF"/>
              </w:rPr>
              <w:t>☑</w:t>
            </w:r>
            <w:r>
              <w:rPr>
                <w:rFonts w:hint="eastAsia" w:ascii="宋体" w:hAnsi="宋体" w:eastAsia="宋体" w:cs="宋体"/>
                <w:color w:val="auto"/>
                <w:position w:val="3"/>
                <w:szCs w:val="21"/>
                <w:highlight w:val="none"/>
              </w:rPr>
              <w:t>不接受</w:t>
            </w:r>
          </w:p>
          <w:p w14:paraId="44BF6720">
            <w:pPr>
              <w:wordWrap w:val="0"/>
              <w:snapToGrid w:val="0"/>
              <w:spacing w:line="276" w:lineRule="auto"/>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□接受，应满足下列要求：</w:t>
            </w:r>
            <w:r>
              <w:rPr>
                <w:rFonts w:ascii="宋体" w:hAnsi="宋体" w:eastAsia="宋体" w:cs="宋体"/>
                <w:color w:val="auto"/>
                <w:szCs w:val="21"/>
                <w:highlight w:val="none"/>
                <w:u w:val="single"/>
              </w:rPr>
              <w:t xml:space="preserve">  / </w:t>
            </w:r>
          </w:p>
        </w:tc>
      </w:tr>
      <w:tr w14:paraId="4E5F3D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2F1840ED">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1.4.3</w:t>
            </w:r>
          </w:p>
        </w:tc>
        <w:tc>
          <w:tcPr>
            <w:tcW w:w="2976" w:type="dxa"/>
            <w:vAlign w:val="center"/>
          </w:tcPr>
          <w:p w14:paraId="4691E698">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投标人不得存在的其他情形</w:t>
            </w:r>
          </w:p>
        </w:tc>
        <w:tc>
          <w:tcPr>
            <w:tcW w:w="5386" w:type="dxa"/>
            <w:vAlign w:val="center"/>
          </w:tcPr>
          <w:p w14:paraId="0739FBDB">
            <w:pPr>
              <w:wordWrap w:val="0"/>
              <w:topLinePunct/>
              <w:snapToGrid w:val="0"/>
              <w:spacing w:line="276" w:lineRule="auto"/>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w:t>
            </w:r>
          </w:p>
        </w:tc>
      </w:tr>
      <w:tr w14:paraId="4C3DAC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5938547F">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1.9.1</w:t>
            </w:r>
          </w:p>
        </w:tc>
        <w:tc>
          <w:tcPr>
            <w:tcW w:w="2976" w:type="dxa"/>
            <w:vAlign w:val="center"/>
          </w:tcPr>
          <w:p w14:paraId="02090202">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踏勘现场</w:t>
            </w:r>
          </w:p>
        </w:tc>
        <w:tc>
          <w:tcPr>
            <w:tcW w:w="5386" w:type="dxa"/>
            <w:vAlign w:val="center"/>
          </w:tcPr>
          <w:p w14:paraId="7CC2FFEA">
            <w:pPr>
              <w:wordWrap w:val="0"/>
              <w:topLinePunct/>
              <w:snapToGrid w:val="0"/>
              <w:spacing w:line="276" w:lineRule="auto"/>
              <w:rPr>
                <w:rFonts w:hint="eastAsia" w:ascii="宋体" w:hAnsi="宋体" w:eastAsia="宋体" w:cs="Times New Roman"/>
                <w:color w:val="auto"/>
                <w:szCs w:val="21"/>
                <w:highlight w:val="none"/>
                <w:u w:val="single"/>
              </w:rPr>
            </w:pPr>
            <w:r>
              <w:rPr>
                <w:rFonts w:ascii="Segoe UI Symbol" w:hAnsi="Segoe UI Symbol" w:eastAsia="宋体" w:cs="Segoe UI Symbol"/>
                <w:color w:val="auto"/>
                <w:szCs w:val="21"/>
                <w:highlight w:val="none"/>
                <w:shd w:val="clear" w:color="auto" w:fill="FFFFFF"/>
              </w:rPr>
              <w:t>☑</w:t>
            </w:r>
            <w:r>
              <w:rPr>
                <w:rFonts w:hint="eastAsia" w:ascii="宋体" w:hAnsi="宋体" w:eastAsia="宋体" w:cs="Times New Roman"/>
                <w:color w:val="auto"/>
                <w:szCs w:val="21"/>
                <w:highlight w:val="none"/>
              </w:rPr>
              <w:t>招标人不集中组织，由投标人自行踏勘；自</w:t>
            </w:r>
            <w:r>
              <w:rPr>
                <w:rFonts w:hint="eastAsia" w:ascii="宋体" w:hAnsi="宋体" w:eastAsia="宋体" w:cs="Times New Roman"/>
                <w:color w:val="auto"/>
                <w:szCs w:val="21"/>
                <w:highlight w:val="none"/>
                <w:u w:val="single"/>
              </w:rPr>
              <w:t>招标公告发布之日起</w:t>
            </w:r>
            <w:r>
              <w:rPr>
                <w:rFonts w:hint="eastAsia" w:ascii="宋体" w:hAnsi="宋体" w:eastAsia="宋体" w:cs="Times New Roman"/>
                <w:color w:val="auto"/>
                <w:szCs w:val="21"/>
                <w:highlight w:val="none"/>
              </w:rPr>
              <w:t>具备现场踏勘条件；现场详细地点：</w:t>
            </w:r>
            <w:r>
              <w:rPr>
                <w:rFonts w:hint="eastAsia" w:ascii="宋体" w:hAnsi="宋体" w:eastAsia="宋体" w:cs="Times New Roman"/>
                <w:color w:val="auto"/>
                <w:szCs w:val="21"/>
                <w:highlight w:val="none"/>
                <w:u w:val="single"/>
              </w:rPr>
              <w:t>详见招标公告。</w:t>
            </w:r>
          </w:p>
          <w:p w14:paraId="1AE6B59C">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补充说明如下：</w:t>
            </w:r>
          </w:p>
          <w:p w14:paraId="4B7A9130">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投标人若认为必要时，也可以独自增加现场考察活动。</w:t>
            </w:r>
          </w:p>
          <w:p w14:paraId="2A14A8D2">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投标人及其代表必须承担那些进入现场后，由于他们的行为所造成的人身伤害（不管是否致命）、财产损失或损坏，以及其他任何原因造成的损失、损坏或费用。招标人在投标人及其代表考察过程中不负任何责任。</w:t>
            </w:r>
          </w:p>
          <w:p w14:paraId="0AD1A732">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（3）由招标人提供的资料和数据，只是为了使投标人能够利用招标人现有的资料。招标人对投标人由此而作出的推论、解释和结论概不负责。</w:t>
            </w:r>
          </w:p>
          <w:p w14:paraId="4C1C416A">
            <w:pPr>
              <w:wordWrap w:val="0"/>
              <w:topLinePunct/>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□组织，踏勘时间：</w:t>
            </w:r>
            <w:r>
              <w:rPr>
                <w:rFonts w:ascii="宋体" w:hAnsi="宋体" w:eastAsia="宋体" w:cs="Times New Roman"/>
                <w:color w:val="auto"/>
                <w:szCs w:val="21"/>
                <w:highlight w:val="none"/>
              </w:rPr>
              <w:t>/</w:t>
            </w:r>
          </w:p>
          <w:p w14:paraId="5798450B">
            <w:pPr>
              <w:wordWrap w:val="0"/>
              <w:topLinePunct/>
              <w:snapToGrid w:val="0"/>
              <w:spacing w:line="276" w:lineRule="auto"/>
              <w:ind w:firstLine="840" w:firstLineChars="4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踏勘集中地点：</w:t>
            </w:r>
            <w:r>
              <w:rPr>
                <w:rFonts w:ascii="宋体" w:hAnsi="宋体" w:eastAsia="宋体" w:cs="Times New Roman"/>
                <w:color w:val="auto"/>
                <w:szCs w:val="21"/>
                <w:highlight w:val="none"/>
              </w:rPr>
              <w:t>/</w:t>
            </w:r>
          </w:p>
        </w:tc>
      </w:tr>
      <w:tr w14:paraId="6C4064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13135C30">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1.10.1</w:t>
            </w:r>
          </w:p>
        </w:tc>
        <w:tc>
          <w:tcPr>
            <w:tcW w:w="2976" w:type="dxa"/>
            <w:vAlign w:val="center"/>
          </w:tcPr>
          <w:p w14:paraId="343F04CC">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投标预备会</w:t>
            </w:r>
          </w:p>
        </w:tc>
        <w:tc>
          <w:tcPr>
            <w:tcW w:w="5386" w:type="dxa"/>
            <w:vAlign w:val="center"/>
          </w:tcPr>
          <w:p w14:paraId="3CB6FE99">
            <w:pPr>
              <w:wordWrap w:val="0"/>
              <w:topLinePunct/>
              <w:snapToGrid w:val="0"/>
              <w:spacing w:line="276" w:lineRule="auto"/>
              <w:rPr>
                <w:rFonts w:hint="eastAsia" w:ascii="宋体" w:hAnsi="宋体" w:eastAsia="宋体" w:cs="Times New Roman"/>
                <w:color w:val="auto"/>
                <w:szCs w:val="21"/>
                <w:highlight w:val="none"/>
              </w:rPr>
            </w:pPr>
            <w:r>
              <w:rPr>
                <w:rFonts w:ascii="Segoe UI Symbol" w:hAnsi="Segoe UI Symbol" w:eastAsia="宋体" w:cs="Segoe UI Symbol"/>
                <w:color w:val="auto"/>
                <w:szCs w:val="21"/>
                <w:highlight w:val="none"/>
                <w:shd w:val="clear" w:color="auto" w:fill="FFFFFF"/>
              </w:rPr>
              <w:t>☑</w:t>
            </w:r>
            <w:r>
              <w:rPr>
                <w:rFonts w:hint="eastAsia" w:ascii="宋体" w:hAnsi="宋体" w:eastAsia="宋体" w:cs="Times New Roman"/>
                <w:color w:val="auto"/>
                <w:szCs w:val="21"/>
                <w:highlight w:val="none"/>
              </w:rPr>
              <w:t>不召开</w:t>
            </w:r>
          </w:p>
          <w:p w14:paraId="6EF827FE">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□召开，召开时间：</w:t>
            </w:r>
            <w:r>
              <w:rPr>
                <w:rFonts w:ascii="宋体" w:hAnsi="宋体" w:eastAsia="宋体" w:cs="Times New Roman"/>
                <w:color w:val="auto"/>
                <w:szCs w:val="21"/>
                <w:highlight w:val="none"/>
                <w:u w:val="single"/>
              </w:rPr>
              <w:t xml:space="preserve"> / </w:t>
            </w:r>
          </w:p>
          <w:p w14:paraId="2A411F22">
            <w:pPr>
              <w:wordWrap w:val="0"/>
              <w:snapToGrid w:val="0"/>
              <w:spacing w:line="276" w:lineRule="auto"/>
              <w:ind w:firstLine="840" w:firstLineChars="4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召开地点：</w:t>
            </w:r>
            <w:r>
              <w:rPr>
                <w:rFonts w:ascii="宋体" w:hAnsi="宋体" w:eastAsia="宋体" w:cs="Times New Roman"/>
                <w:color w:val="auto"/>
                <w:szCs w:val="21"/>
                <w:highlight w:val="none"/>
                <w:u w:val="single"/>
              </w:rPr>
              <w:t xml:space="preserve"> / </w:t>
            </w:r>
          </w:p>
        </w:tc>
      </w:tr>
      <w:tr w14:paraId="3E94DD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Merge w:val="restart"/>
            <w:vAlign w:val="center"/>
          </w:tcPr>
          <w:p w14:paraId="1458A904">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1.10.2</w:t>
            </w:r>
          </w:p>
        </w:tc>
        <w:tc>
          <w:tcPr>
            <w:tcW w:w="2976" w:type="dxa"/>
            <w:vMerge w:val="restart"/>
            <w:vAlign w:val="center"/>
          </w:tcPr>
          <w:p w14:paraId="6511FD7A">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投标人在投标预备会前提出问题</w:t>
            </w:r>
          </w:p>
        </w:tc>
        <w:tc>
          <w:tcPr>
            <w:tcW w:w="5386" w:type="dxa"/>
            <w:vAlign w:val="center"/>
          </w:tcPr>
          <w:p w14:paraId="715A5DF6">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时间：</w:t>
            </w:r>
            <w:r>
              <w:rPr>
                <w:rFonts w:ascii="宋体" w:hAnsi="宋体" w:eastAsia="宋体" w:cs="Times New Roman"/>
                <w:color w:val="auto"/>
                <w:szCs w:val="21"/>
                <w:highlight w:val="none"/>
                <w:u w:val="single"/>
              </w:rPr>
              <w:t xml:space="preserve"> / </w:t>
            </w:r>
          </w:p>
        </w:tc>
      </w:tr>
      <w:tr w14:paraId="06EAB2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Merge w:val="continue"/>
            <w:vAlign w:val="center"/>
          </w:tcPr>
          <w:p w14:paraId="691365ED">
            <w:pPr>
              <w:wordWrap w:val="0"/>
              <w:snapToGrid w:val="0"/>
              <w:spacing w:line="276" w:lineRule="auto"/>
              <w:jc w:val="center"/>
              <w:rPr>
                <w:rFonts w:hint="eastAsia" w:ascii="宋体" w:hAnsi="宋体" w:eastAsia="宋体" w:cs="Times New Roman"/>
                <w:color w:val="auto"/>
                <w:szCs w:val="21"/>
                <w:highlight w:val="none"/>
              </w:rPr>
            </w:pPr>
          </w:p>
        </w:tc>
        <w:tc>
          <w:tcPr>
            <w:tcW w:w="2976" w:type="dxa"/>
            <w:vMerge w:val="continue"/>
            <w:vAlign w:val="center"/>
          </w:tcPr>
          <w:p w14:paraId="6DDE03B4">
            <w:pPr>
              <w:wordWrap w:val="0"/>
              <w:snapToGrid w:val="0"/>
              <w:spacing w:line="276" w:lineRule="auto"/>
              <w:jc w:val="center"/>
              <w:rPr>
                <w:rFonts w:hint="eastAsia" w:ascii="宋体" w:hAnsi="宋体" w:eastAsia="宋体" w:cs="Times New Roman"/>
                <w:color w:val="auto"/>
                <w:szCs w:val="21"/>
                <w:highlight w:val="none"/>
              </w:rPr>
            </w:pPr>
          </w:p>
        </w:tc>
        <w:tc>
          <w:tcPr>
            <w:tcW w:w="5386" w:type="dxa"/>
            <w:vAlign w:val="center"/>
          </w:tcPr>
          <w:p w14:paraId="55C48CA9">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形式：</w:t>
            </w:r>
            <w:r>
              <w:rPr>
                <w:rFonts w:ascii="宋体" w:hAnsi="宋体" w:eastAsia="宋体" w:cs="Times New Roman"/>
                <w:color w:val="auto"/>
                <w:szCs w:val="21"/>
                <w:highlight w:val="none"/>
                <w:u w:val="single"/>
              </w:rPr>
              <w:t xml:space="preserve"> / </w:t>
            </w:r>
          </w:p>
        </w:tc>
      </w:tr>
      <w:tr w14:paraId="357E7C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73071282">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1.10.3</w:t>
            </w:r>
          </w:p>
        </w:tc>
        <w:tc>
          <w:tcPr>
            <w:tcW w:w="2976" w:type="dxa"/>
            <w:vAlign w:val="center"/>
          </w:tcPr>
          <w:p w14:paraId="1D5EDD1E">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招标文件澄清发出的形式</w:t>
            </w:r>
          </w:p>
        </w:tc>
        <w:tc>
          <w:tcPr>
            <w:tcW w:w="5386" w:type="dxa"/>
            <w:vAlign w:val="center"/>
          </w:tcPr>
          <w:p w14:paraId="3190197F">
            <w:pPr>
              <w:wordWrap w:val="0"/>
              <w:snapToGrid w:val="0"/>
              <w:spacing w:line="276" w:lineRule="auto"/>
              <w:rPr>
                <w:rFonts w:hint="eastAsia" w:ascii="宋体" w:hAnsi="宋体" w:eastAsia="宋体" w:cs="Times New Roman"/>
                <w:color w:val="auto"/>
                <w:szCs w:val="21"/>
                <w:highlight w:val="none"/>
              </w:rPr>
            </w:pPr>
            <w:r>
              <w:rPr>
                <w:rFonts w:ascii="宋体" w:hAnsi="宋体" w:eastAsia="宋体" w:cs="Times New Roman"/>
                <w:color w:val="auto"/>
                <w:szCs w:val="21"/>
                <w:highlight w:val="none"/>
                <w:u w:val="single"/>
              </w:rPr>
              <w:t>/</w:t>
            </w:r>
            <w:r>
              <w:rPr>
                <w:rFonts w:hint="eastAsia" w:ascii="宋体" w:hAnsi="宋体" w:eastAsia="宋体" w:cs="Times New Roman"/>
                <w:color w:val="auto"/>
                <w:szCs w:val="21"/>
                <w:highlight w:val="none"/>
              </w:rPr>
              <w:t>（此为投标预备会的答疑澄清）</w:t>
            </w:r>
          </w:p>
        </w:tc>
      </w:tr>
      <w:tr w14:paraId="304BF1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65C126F4">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1.12.1</w:t>
            </w:r>
          </w:p>
        </w:tc>
        <w:tc>
          <w:tcPr>
            <w:tcW w:w="2976" w:type="dxa"/>
            <w:vAlign w:val="center"/>
          </w:tcPr>
          <w:p w14:paraId="0D92D30E">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实质性要求和条件</w:t>
            </w:r>
          </w:p>
        </w:tc>
        <w:tc>
          <w:tcPr>
            <w:tcW w:w="5386" w:type="dxa"/>
            <w:vAlign w:val="center"/>
          </w:tcPr>
          <w:p w14:paraId="36ABAC76">
            <w:pPr>
              <w:wordWrap w:val="0"/>
              <w:topLinePunct/>
              <w:snapToGrid w:val="0"/>
              <w:spacing w:line="276" w:lineRule="auto"/>
              <w:rPr>
                <w:rFonts w:hint="eastAsia" w:ascii="宋体" w:hAnsi="宋体" w:eastAsia="宋体" w:cs="Times New Roman"/>
                <w:color w:val="auto"/>
                <w:szCs w:val="21"/>
                <w:highlight w:val="none"/>
                <w:u w:val="single"/>
              </w:rPr>
            </w:pPr>
            <w:r>
              <w:rPr>
                <w:rFonts w:ascii="宋体" w:hAnsi="宋体" w:eastAsia="宋体" w:cs="Times New Roman"/>
                <w:color w:val="auto"/>
                <w:szCs w:val="21"/>
                <w:highlight w:val="none"/>
                <w:u w:val="single"/>
              </w:rPr>
              <w:t>/</w:t>
            </w:r>
          </w:p>
        </w:tc>
      </w:tr>
      <w:tr w14:paraId="02F9CB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70232273">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1.12.3</w:t>
            </w:r>
          </w:p>
        </w:tc>
        <w:tc>
          <w:tcPr>
            <w:tcW w:w="2976" w:type="dxa"/>
            <w:vAlign w:val="center"/>
          </w:tcPr>
          <w:p w14:paraId="28A1B1F9">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偏差</w:t>
            </w:r>
          </w:p>
        </w:tc>
        <w:tc>
          <w:tcPr>
            <w:tcW w:w="5386" w:type="dxa"/>
          </w:tcPr>
          <w:p w14:paraId="05F12EBF">
            <w:pPr>
              <w:wordWrap w:val="0"/>
              <w:snapToGrid w:val="0"/>
              <w:spacing w:line="276" w:lineRule="auto"/>
              <w:rPr>
                <w:rFonts w:hint="eastAsia" w:ascii="宋体" w:hAnsi="宋体" w:eastAsia="宋体" w:cs="Times New Roman"/>
                <w:color w:val="auto"/>
                <w:szCs w:val="21"/>
                <w:highlight w:val="none"/>
              </w:rPr>
            </w:pPr>
            <w:r>
              <w:rPr>
                <w:rFonts w:ascii="Segoe UI Symbol" w:hAnsi="Segoe UI Symbol" w:eastAsia="宋体" w:cs="Segoe UI Symbol"/>
                <w:color w:val="auto"/>
                <w:szCs w:val="21"/>
                <w:highlight w:val="none"/>
                <w:shd w:val="clear" w:color="auto" w:fill="FFFFFF"/>
              </w:rPr>
              <w:t>☑</w:t>
            </w:r>
            <w:r>
              <w:rPr>
                <w:rFonts w:hint="eastAsia" w:ascii="宋体" w:hAnsi="宋体" w:eastAsia="宋体" w:cs="Times New Roman"/>
                <w:color w:val="auto"/>
                <w:szCs w:val="21"/>
                <w:highlight w:val="none"/>
              </w:rPr>
              <w:t>不允许</w:t>
            </w:r>
          </w:p>
          <w:p w14:paraId="7055E0EA">
            <w:pPr>
              <w:wordWrap w:val="0"/>
              <w:topLinePunct/>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□允许，偏差范围：</w:t>
            </w:r>
            <w:r>
              <w:rPr>
                <w:rFonts w:ascii="宋体" w:hAnsi="宋体" w:eastAsia="宋体" w:cs="Times New Roman"/>
                <w:color w:val="auto"/>
                <w:szCs w:val="21"/>
                <w:highlight w:val="none"/>
                <w:u w:val="single"/>
              </w:rPr>
              <w:t>/</w:t>
            </w:r>
          </w:p>
          <w:p w14:paraId="345F5CBB">
            <w:pPr>
              <w:wordWrap w:val="0"/>
              <w:topLinePunct/>
              <w:snapToGrid w:val="0"/>
              <w:spacing w:line="276" w:lineRule="auto"/>
              <w:ind w:firstLine="917" w:firstLineChars="43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偏差幅度：</w:t>
            </w:r>
            <w:r>
              <w:rPr>
                <w:rFonts w:ascii="宋体" w:hAnsi="宋体" w:eastAsia="宋体" w:cs="Times New Roman"/>
                <w:color w:val="auto"/>
                <w:szCs w:val="21"/>
                <w:highlight w:val="none"/>
                <w:u w:val="single"/>
              </w:rPr>
              <w:t>/</w:t>
            </w:r>
          </w:p>
        </w:tc>
      </w:tr>
      <w:tr w14:paraId="578641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63E487E0">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2.1</w:t>
            </w:r>
          </w:p>
        </w:tc>
        <w:tc>
          <w:tcPr>
            <w:tcW w:w="2976" w:type="dxa"/>
            <w:vAlign w:val="center"/>
          </w:tcPr>
          <w:p w14:paraId="0B439CE8">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构成招标文件的其他资料</w:t>
            </w:r>
          </w:p>
        </w:tc>
        <w:tc>
          <w:tcPr>
            <w:tcW w:w="5386" w:type="dxa"/>
            <w:vAlign w:val="center"/>
          </w:tcPr>
          <w:p w14:paraId="60EC272F">
            <w:pPr>
              <w:wordWrap w:val="0"/>
              <w:snapToGrid w:val="0"/>
              <w:spacing w:line="276" w:lineRule="auto"/>
              <w:rPr>
                <w:rFonts w:hint="eastAsia" w:ascii="宋体" w:hAnsi="宋体" w:eastAsia="宋体" w:cs="Times New Roman"/>
                <w:color w:val="auto"/>
                <w:szCs w:val="21"/>
                <w:highlight w:val="none"/>
              </w:rPr>
            </w:pPr>
            <w:r>
              <w:rPr>
                <w:rFonts w:ascii="宋体" w:hAnsi="宋体" w:eastAsia="宋体" w:cs="Times New Roman"/>
                <w:color w:val="auto"/>
                <w:szCs w:val="21"/>
                <w:highlight w:val="none"/>
                <w:u w:val="single"/>
              </w:rPr>
              <w:t>/</w:t>
            </w:r>
          </w:p>
        </w:tc>
      </w:tr>
      <w:tr w14:paraId="3A744B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3C104840">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2.2</w:t>
            </w:r>
          </w:p>
        </w:tc>
        <w:tc>
          <w:tcPr>
            <w:tcW w:w="2976" w:type="dxa"/>
            <w:vAlign w:val="center"/>
          </w:tcPr>
          <w:p w14:paraId="3F13C622">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招标答疑</w:t>
            </w:r>
          </w:p>
        </w:tc>
        <w:tc>
          <w:tcPr>
            <w:tcW w:w="5386" w:type="dxa"/>
            <w:vAlign w:val="center"/>
          </w:tcPr>
          <w:p w14:paraId="7778C9F1">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疑问提交时间：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时前；</w:t>
            </w:r>
          </w:p>
          <w:p w14:paraId="33CC0F5E">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形式：投标人的疑问通过</w:t>
            </w:r>
            <w:r>
              <w:rPr>
                <w:rFonts w:hint="eastAsia" w:ascii="宋体" w:hAnsi="宋体" w:eastAsia="宋体" w:cs="Times New Roman"/>
                <w:color w:val="auto"/>
                <w:szCs w:val="21"/>
                <w:highlight w:val="none"/>
                <w:u w:val="single"/>
              </w:rPr>
              <w:t>广州交易集团有限公司（广州公共资源交易中心）</w:t>
            </w:r>
            <w:r>
              <w:rPr>
                <w:rFonts w:hint="eastAsia" w:ascii="宋体" w:hAnsi="宋体" w:eastAsia="宋体" w:cs="Times New Roman"/>
                <w:color w:val="auto"/>
                <w:szCs w:val="21"/>
                <w:highlight w:val="none"/>
              </w:rPr>
              <w:t>网站提交。</w:t>
            </w:r>
          </w:p>
          <w:p w14:paraId="0E067B5E">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具体要求：按照</w:t>
            </w:r>
            <w:r>
              <w:rPr>
                <w:rFonts w:hint="eastAsia" w:ascii="宋体" w:hAnsi="宋体" w:eastAsia="宋体" w:cs="Times New Roman"/>
                <w:color w:val="auto"/>
                <w:szCs w:val="21"/>
                <w:highlight w:val="none"/>
                <w:u w:val="single"/>
              </w:rPr>
              <w:t>广州交易集团有限公司（广州公共资源交易中心）网站</w:t>
            </w:r>
            <w:r>
              <w:rPr>
                <w:rFonts w:hint="eastAsia" w:ascii="宋体" w:hAnsi="宋体" w:eastAsia="宋体" w:cs="Times New Roman"/>
                <w:color w:val="auto"/>
                <w:szCs w:val="21"/>
                <w:highlight w:val="none"/>
              </w:rPr>
              <w:t>关于全流程电子化项目的相关指南进行操作，提问一律不得署名。</w:t>
            </w:r>
          </w:p>
        </w:tc>
      </w:tr>
      <w:tr w14:paraId="7EED00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4190BABB">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2.3</w:t>
            </w:r>
          </w:p>
        </w:tc>
        <w:tc>
          <w:tcPr>
            <w:tcW w:w="2976" w:type="dxa"/>
            <w:vAlign w:val="center"/>
          </w:tcPr>
          <w:p w14:paraId="6D85A3CB">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招标文件的澄清和修改</w:t>
            </w:r>
          </w:p>
        </w:tc>
        <w:tc>
          <w:tcPr>
            <w:tcW w:w="5386" w:type="dxa"/>
            <w:vAlign w:val="center"/>
          </w:tcPr>
          <w:p w14:paraId="4B230F21">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招标文件的修改期限：在投标截止时间</w:t>
            </w:r>
            <w:r>
              <w:rPr>
                <w:rFonts w:hint="eastAsia" w:ascii="宋体" w:hAnsi="宋体" w:eastAsia="宋体" w:cs="Times New Roman"/>
                <w:color w:val="auto"/>
                <w:szCs w:val="21"/>
                <w:highlight w:val="none"/>
                <w:u w:val="single"/>
              </w:rPr>
              <w:t xml:space="preserve"> 15 </w:t>
            </w:r>
            <w:r>
              <w:rPr>
                <w:rFonts w:hint="eastAsia" w:ascii="宋体" w:hAnsi="宋体" w:eastAsia="宋体" w:cs="Times New Roman"/>
                <w:color w:val="auto"/>
                <w:szCs w:val="21"/>
                <w:highlight w:val="none"/>
              </w:rPr>
              <w:t>天前</w:t>
            </w:r>
          </w:p>
        </w:tc>
      </w:tr>
      <w:tr w14:paraId="28A069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4F1E548F">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3.1.1</w:t>
            </w:r>
          </w:p>
        </w:tc>
        <w:tc>
          <w:tcPr>
            <w:tcW w:w="2976" w:type="dxa"/>
            <w:vAlign w:val="center"/>
          </w:tcPr>
          <w:p w14:paraId="3524C6E7">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构成投标文件的其他资料</w:t>
            </w:r>
          </w:p>
        </w:tc>
        <w:tc>
          <w:tcPr>
            <w:tcW w:w="5386" w:type="dxa"/>
            <w:vAlign w:val="center"/>
          </w:tcPr>
          <w:p w14:paraId="402661F8">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满足本项目评审要求需提交的证明资料。</w:t>
            </w:r>
          </w:p>
        </w:tc>
      </w:tr>
      <w:tr w14:paraId="1C9732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6CA73809">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3.2.1</w:t>
            </w:r>
          </w:p>
        </w:tc>
        <w:tc>
          <w:tcPr>
            <w:tcW w:w="2976" w:type="dxa"/>
            <w:vAlign w:val="center"/>
          </w:tcPr>
          <w:p w14:paraId="6BF7B35B">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增值税税金的计算方法</w:t>
            </w:r>
          </w:p>
        </w:tc>
        <w:tc>
          <w:tcPr>
            <w:tcW w:w="5386" w:type="dxa"/>
            <w:vAlign w:val="center"/>
          </w:tcPr>
          <w:p w14:paraId="048247B4">
            <w:pPr>
              <w:wordWrap w:val="0"/>
              <w:snapToGrid w:val="0"/>
              <w:spacing w:line="276" w:lineRule="auto"/>
              <w:rPr>
                <w:rFonts w:hint="eastAsia" w:ascii="宋体" w:hAnsi="宋体" w:eastAsia="宋体" w:cs="Times New Roman"/>
                <w:color w:val="auto"/>
                <w:szCs w:val="21"/>
                <w:highlight w:val="none"/>
              </w:rPr>
            </w:pPr>
            <w:r>
              <w:rPr>
                <w:rFonts w:ascii="宋体" w:hAnsi="宋体" w:eastAsia="宋体" w:cs="Times New Roman"/>
                <w:color w:val="auto"/>
                <w:szCs w:val="21"/>
                <w:highlight w:val="none"/>
                <w:u w:val="single"/>
              </w:rPr>
              <w:t>/</w:t>
            </w:r>
          </w:p>
        </w:tc>
      </w:tr>
      <w:tr w14:paraId="24E0C1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12784CFE">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3.2.3</w:t>
            </w:r>
          </w:p>
        </w:tc>
        <w:tc>
          <w:tcPr>
            <w:tcW w:w="2976" w:type="dxa"/>
            <w:vAlign w:val="center"/>
          </w:tcPr>
          <w:p w14:paraId="1F86DB37">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报价方式</w:t>
            </w:r>
          </w:p>
        </w:tc>
        <w:tc>
          <w:tcPr>
            <w:tcW w:w="5386" w:type="dxa"/>
            <w:vAlign w:val="center"/>
          </w:tcPr>
          <w:p w14:paraId="0CB90ADC">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各投标单位根据企业自身实力进行报价（以“元”为单位，精确到小数位后2位）。</w:t>
            </w:r>
            <w:r>
              <w:rPr>
                <w:rFonts w:hint="eastAsia" w:ascii="宋体" w:hAnsi="宋体" w:eastAsia="宋体" w:cs="Times New Roman"/>
                <w:color w:val="auto"/>
                <w:szCs w:val="21"/>
                <w:highlight w:val="none"/>
                <w:u w:val="single"/>
              </w:rPr>
              <w:t>投标报价与投标下浮率不符时，以投标下浮率为准修正总价。</w:t>
            </w:r>
          </w:p>
          <w:p w14:paraId="7F7F201E">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结算方式：</w:t>
            </w:r>
            <w:r>
              <w:rPr>
                <w:rFonts w:hint="eastAsia" w:ascii="宋体" w:hAnsi="宋体" w:eastAsia="宋体" w:cs="Times New Roman"/>
                <w:color w:val="auto"/>
                <w:szCs w:val="21"/>
                <w:highlight w:val="none"/>
                <w:u w:val="single"/>
              </w:rPr>
              <w:t>按合同约定执行。</w:t>
            </w:r>
          </w:p>
        </w:tc>
      </w:tr>
      <w:tr w14:paraId="3CCCA1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5D58CE75">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3.2.4</w:t>
            </w:r>
          </w:p>
        </w:tc>
        <w:tc>
          <w:tcPr>
            <w:tcW w:w="2976" w:type="dxa"/>
            <w:vAlign w:val="center"/>
          </w:tcPr>
          <w:p w14:paraId="37409FA3">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最高投标限价</w:t>
            </w:r>
          </w:p>
        </w:tc>
        <w:tc>
          <w:tcPr>
            <w:tcW w:w="5386" w:type="dxa"/>
            <w:vAlign w:val="center"/>
          </w:tcPr>
          <w:p w14:paraId="1A771DD7">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□无</w:t>
            </w:r>
          </w:p>
          <w:p w14:paraId="117EE24E">
            <w:pPr>
              <w:tabs>
                <w:tab w:val="left" w:pos="7513"/>
              </w:tabs>
              <w:wordWrap w:val="0"/>
              <w:spacing w:line="276" w:lineRule="auto"/>
              <w:rPr>
                <w:rFonts w:hint="eastAsia" w:ascii="宋体" w:hAnsi="宋体" w:eastAsia="宋体" w:cs="宋体"/>
                <w:color w:val="auto"/>
                <w:szCs w:val="21"/>
                <w:highlight w:val="none"/>
                <w:u w:val="single"/>
                <w:lang w:bidi="ar"/>
              </w:rPr>
            </w:pPr>
            <w:r>
              <w:rPr>
                <w:rFonts w:ascii="Segoe UI Symbol" w:hAnsi="Segoe UI Symbol" w:eastAsia="宋体" w:cs="Segoe UI Symbol"/>
                <w:color w:val="auto"/>
                <w:szCs w:val="21"/>
                <w:highlight w:val="none"/>
                <w:shd w:val="clear" w:color="auto" w:fill="FFFFFF"/>
              </w:rPr>
              <w:t>☑</w:t>
            </w:r>
            <w:r>
              <w:rPr>
                <w:rFonts w:hint="eastAsia" w:ascii="宋体" w:hAnsi="宋体" w:eastAsia="宋体" w:cs="Times New Roman"/>
                <w:color w:val="auto"/>
                <w:szCs w:val="21"/>
                <w:highlight w:val="none"/>
              </w:rPr>
              <w:t>有，最高投标限价：</w:t>
            </w:r>
            <w:r>
              <w:rPr>
                <w:rFonts w:hint="eastAsia" w:ascii="宋体" w:hAnsi="宋体" w:eastAsia="宋体" w:cs="Times New Roman"/>
                <w:b/>
                <w:bCs/>
                <w:color w:val="auto"/>
                <w:szCs w:val="21"/>
                <w:highlight w:val="none"/>
                <w:u w:val="single"/>
              </w:rPr>
              <w:t>113.340712</w:t>
            </w:r>
            <w:r>
              <w:rPr>
                <w:rFonts w:hint="eastAsia" w:ascii="宋体" w:hAnsi="宋体" w:eastAsia="宋体" w:cs="宋体"/>
                <w:b/>
                <w:color w:val="auto"/>
                <w:szCs w:val="21"/>
                <w:highlight w:val="none"/>
                <w:lang w:bidi="ar"/>
              </w:rPr>
              <w:t>万元</w:t>
            </w:r>
          </w:p>
          <w:p w14:paraId="79EF79A0">
            <w:pPr>
              <w:wordWrap w:val="0"/>
              <w:spacing w:line="276" w:lineRule="auto"/>
              <w:rPr>
                <w:rFonts w:hint="eastAsia" w:ascii="宋体" w:hAnsi="宋体" w:eastAsia="宋体" w:cs="Times New Roman"/>
                <w:color w:val="auto"/>
                <w:szCs w:val="21"/>
                <w:highlight w:val="none"/>
                <w:u w:val="single"/>
                <w:lang w:bidi="ar"/>
              </w:rPr>
            </w:pPr>
            <w:r>
              <w:rPr>
                <w:rFonts w:hint="eastAsia" w:ascii="宋体" w:hAnsi="宋体" w:eastAsia="宋体" w:cs="Times New Roman"/>
                <w:b/>
                <w:bCs/>
                <w:snapToGrid w:val="0"/>
                <w:color w:val="auto"/>
                <w:spacing w:val="4"/>
                <w:kern w:val="0"/>
                <w:szCs w:val="21"/>
                <w:highlight w:val="none"/>
                <w:u w:val="single"/>
              </w:rPr>
              <w:t>注：投标报价不得超过最高投标限价。</w:t>
            </w:r>
          </w:p>
        </w:tc>
      </w:tr>
      <w:tr w14:paraId="1E82A1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40EF11FB">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3.2.5</w:t>
            </w:r>
          </w:p>
        </w:tc>
        <w:tc>
          <w:tcPr>
            <w:tcW w:w="2976" w:type="dxa"/>
            <w:vAlign w:val="center"/>
          </w:tcPr>
          <w:p w14:paraId="5FA15AEF">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投标报价的其他要求</w:t>
            </w:r>
          </w:p>
        </w:tc>
        <w:tc>
          <w:tcPr>
            <w:tcW w:w="5386" w:type="dxa"/>
            <w:vAlign w:val="center"/>
          </w:tcPr>
          <w:p w14:paraId="5BDF5CD2">
            <w:pPr>
              <w:wordWrap w:val="0"/>
              <w:snapToGrid w:val="0"/>
              <w:spacing w:line="276" w:lineRule="auto"/>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投标报价超过最高投标限价的投标文件将被否决其投标。</w:t>
            </w:r>
          </w:p>
          <w:p w14:paraId="4D686B4E">
            <w:pPr>
              <w:wordWrap w:val="0"/>
              <w:snapToGrid w:val="0"/>
              <w:spacing w:line="276" w:lineRule="auto"/>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投标人必须详细审阅全部招标文件及招标相关资料,充分考虑职责和义务,全面地理解招标文件对投标报价的要求,并按招标人提出的条件及内容进行报价。</w:t>
            </w:r>
          </w:p>
          <w:p w14:paraId="0B11D0CD">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u w:val="single"/>
              </w:rPr>
              <w:t>投标人的报价，应是其按第五章“委托人要求”完成监理工作的所有费用，包括人工费、试验、检测仪器、设备使用费、管理费和利润，以及检验检测费、保险费、合同明示或暗示的风险、责任和义务涉及费用等。</w:t>
            </w:r>
          </w:p>
        </w:tc>
      </w:tr>
      <w:tr w14:paraId="7257F7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238452B1">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3.3.1</w:t>
            </w:r>
          </w:p>
        </w:tc>
        <w:tc>
          <w:tcPr>
            <w:tcW w:w="2976" w:type="dxa"/>
            <w:vAlign w:val="center"/>
          </w:tcPr>
          <w:p w14:paraId="2B2A47AB">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投标有效期</w:t>
            </w:r>
          </w:p>
        </w:tc>
        <w:tc>
          <w:tcPr>
            <w:tcW w:w="5386" w:type="dxa"/>
            <w:vAlign w:val="center"/>
          </w:tcPr>
          <w:p w14:paraId="1F251644">
            <w:pPr>
              <w:wordWrap w:val="0"/>
              <w:snapToGrid w:val="0"/>
              <w:spacing w:line="276" w:lineRule="auto"/>
              <w:rPr>
                <w:rFonts w:hint="eastAsia" w:ascii="宋体" w:hAnsi="宋体" w:eastAsia="宋体" w:cs="Times New Roman"/>
                <w:color w:val="auto"/>
                <w:szCs w:val="21"/>
                <w:highlight w:val="none"/>
              </w:rPr>
            </w:pPr>
            <w:bookmarkStart w:id="153" w:name="_Toc300834946"/>
            <w:bookmarkStart w:id="154" w:name="_Toc369531512"/>
            <w:bookmarkStart w:id="155" w:name="_Toc384308207"/>
            <w:bookmarkStart w:id="156" w:name="_Toc352691470"/>
            <w:bookmarkStart w:id="157" w:name="_Toc361508582"/>
            <w:bookmarkStart w:id="158" w:name="_Toc1789"/>
            <w:r>
              <w:rPr>
                <w:rFonts w:hint="eastAsia" w:ascii="宋体" w:hAnsi="宋体" w:eastAsia="宋体" w:cs="Times New Roman"/>
                <w:b/>
                <w:color w:val="auto"/>
                <w:szCs w:val="21"/>
                <w:highlight w:val="none"/>
                <w:u w:val="single"/>
                <w:lang w:val="en-US" w:eastAsia="zh-CN"/>
              </w:rPr>
              <w:t>12</w:t>
            </w:r>
            <w:r>
              <w:rPr>
                <w:rFonts w:ascii="宋体" w:hAnsi="宋体" w:eastAsia="宋体" w:cs="Times New Roman"/>
                <w:b/>
                <w:color w:val="auto"/>
                <w:szCs w:val="21"/>
                <w:highlight w:val="none"/>
                <w:u w:val="single"/>
              </w:rPr>
              <w:t>0</w:t>
            </w:r>
            <w:r>
              <w:rPr>
                <w:rFonts w:hint="eastAsia" w:ascii="宋体" w:hAnsi="宋体" w:eastAsia="宋体" w:cs="Times New Roman"/>
                <w:color w:val="auto"/>
                <w:szCs w:val="21"/>
                <w:highlight w:val="none"/>
              </w:rPr>
              <w:t>日历天（从投标截止之日计起）</w:t>
            </w:r>
          </w:p>
          <w:bookmarkEnd w:id="153"/>
          <w:bookmarkEnd w:id="154"/>
          <w:bookmarkEnd w:id="155"/>
          <w:bookmarkEnd w:id="156"/>
          <w:bookmarkEnd w:id="157"/>
          <w:bookmarkEnd w:id="158"/>
        </w:tc>
      </w:tr>
      <w:tr w14:paraId="1DFA7B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50702B08">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3.4.1</w:t>
            </w:r>
          </w:p>
        </w:tc>
        <w:tc>
          <w:tcPr>
            <w:tcW w:w="2976" w:type="dxa"/>
            <w:vAlign w:val="center"/>
          </w:tcPr>
          <w:p w14:paraId="021D2930">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投标保证金</w:t>
            </w:r>
          </w:p>
        </w:tc>
        <w:tc>
          <w:tcPr>
            <w:tcW w:w="5386" w:type="dxa"/>
            <w:vAlign w:val="center"/>
          </w:tcPr>
          <w:p w14:paraId="5A78B783">
            <w:pPr>
              <w:wordWrap w:val="0"/>
              <w:topLinePunct/>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是否要求投标人递交投标保证金：</w:t>
            </w:r>
          </w:p>
          <w:p w14:paraId="218EDAC5">
            <w:pPr>
              <w:wordWrap w:val="0"/>
              <w:topLinePunct/>
              <w:spacing w:line="276" w:lineRule="auto"/>
              <w:rPr>
                <w:rFonts w:hint="eastAsia" w:ascii="宋体" w:hAnsi="宋体" w:eastAsia="宋体" w:cs="Times New Roman"/>
                <w:color w:val="auto"/>
                <w:szCs w:val="21"/>
                <w:highlight w:val="none"/>
              </w:rPr>
            </w:pPr>
            <w:r>
              <w:rPr>
                <w:rFonts w:hint="eastAsia" w:ascii="宋体" w:hAnsi="宋体" w:eastAsia="宋体" w:cs="Segoe UI Symbol"/>
                <w:color w:val="auto"/>
                <w:szCs w:val="21"/>
                <w:highlight w:val="none"/>
                <w:shd w:val="clear" w:color="auto" w:fill="FFFFFF"/>
              </w:rPr>
              <w:t>□</w:t>
            </w:r>
            <w:r>
              <w:rPr>
                <w:rFonts w:hint="eastAsia" w:ascii="宋体" w:hAnsi="宋体" w:eastAsia="宋体" w:cs="Times New Roman"/>
                <w:color w:val="auto"/>
                <w:szCs w:val="21"/>
                <w:highlight w:val="none"/>
              </w:rPr>
              <w:t>要求，投标保证金的金额：</w:t>
            </w:r>
          </w:p>
          <w:p w14:paraId="6DFCD9FD">
            <w:pPr>
              <w:wordWrap w:val="0"/>
              <w:topLinePunct/>
              <w:spacing w:line="276" w:lineRule="auto"/>
              <w:ind w:firstLine="840" w:firstLineChars="400"/>
              <w:rPr>
                <w:rFonts w:hint="eastAsia" w:ascii="宋体" w:hAnsi="宋体" w:eastAsia="宋体" w:cs="Segoe UI Symbol"/>
                <w:color w:val="auto"/>
                <w:szCs w:val="21"/>
                <w:highlight w:val="none"/>
              </w:rPr>
            </w:pPr>
            <w:r>
              <w:rPr>
                <w:rFonts w:hint="eastAsia" w:ascii="宋体" w:hAnsi="宋体" w:eastAsia="宋体" w:cs="Times New Roman"/>
                <w:color w:val="auto"/>
                <w:szCs w:val="21"/>
                <w:highlight w:val="none"/>
              </w:rPr>
              <w:t>投标保证金的形式：</w:t>
            </w:r>
          </w:p>
          <w:p w14:paraId="5768CC9E">
            <w:pPr>
              <w:wordWrap w:val="0"/>
              <w:topLinePunct/>
              <w:spacing w:line="276" w:lineRule="auto"/>
              <w:rPr>
                <w:rFonts w:hint="eastAsia" w:ascii="宋体" w:hAnsi="宋体" w:eastAsia="宋体" w:cs="Times New Roman"/>
                <w:color w:val="auto"/>
                <w:szCs w:val="21"/>
                <w:highlight w:val="none"/>
              </w:rPr>
            </w:pPr>
            <w:r>
              <w:rPr>
                <w:rFonts w:ascii="Segoe UI Symbol" w:hAnsi="Segoe UI Symbol" w:eastAsia="宋体" w:cs="Segoe UI Symbol"/>
                <w:color w:val="auto"/>
                <w:szCs w:val="21"/>
                <w:highlight w:val="none"/>
              </w:rPr>
              <w:t>☑</w:t>
            </w:r>
            <w:r>
              <w:rPr>
                <w:rFonts w:hint="eastAsia" w:ascii="宋体" w:hAnsi="宋体" w:eastAsia="宋体" w:cs="宋体"/>
                <w:color w:val="auto"/>
                <w:szCs w:val="21"/>
                <w:highlight w:val="none"/>
              </w:rPr>
              <w:t>不要求</w:t>
            </w:r>
          </w:p>
        </w:tc>
      </w:tr>
      <w:tr w14:paraId="260321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747D3C6E">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3.4.4</w:t>
            </w:r>
          </w:p>
        </w:tc>
        <w:tc>
          <w:tcPr>
            <w:tcW w:w="2976" w:type="dxa"/>
            <w:vAlign w:val="center"/>
          </w:tcPr>
          <w:p w14:paraId="1CA34434">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其他可以不予退还投标保证金的情形</w:t>
            </w:r>
          </w:p>
        </w:tc>
        <w:tc>
          <w:tcPr>
            <w:tcW w:w="5386" w:type="dxa"/>
            <w:vAlign w:val="center"/>
          </w:tcPr>
          <w:p w14:paraId="25434117">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u w:val="single"/>
              </w:rPr>
              <w:t>/</w:t>
            </w:r>
          </w:p>
        </w:tc>
      </w:tr>
      <w:tr w14:paraId="367E88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5DE3746E">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3.5</w:t>
            </w:r>
          </w:p>
        </w:tc>
        <w:tc>
          <w:tcPr>
            <w:tcW w:w="2976" w:type="dxa"/>
            <w:vAlign w:val="center"/>
          </w:tcPr>
          <w:p w14:paraId="18C57EFF">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资格审查资料的特殊要求</w:t>
            </w:r>
          </w:p>
        </w:tc>
        <w:tc>
          <w:tcPr>
            <w:tcW w:w="5386" w:type="dxa"/>
            <w:vAlign w:val="center"/>
          </w:tcPr>
          <w:p w14:paraId="29A32EA0">
            <w:pPr>
              <w:wordWrap w:val="0"/>
              <w:topLinePunct/>
              <w:snapToGrid w:val="0"/>
              <w:spacing w:line="276" w:lineRule="auto"/>
              <w:rPr>
                <w:rFonts w:hint="eastAsia" w:ascii="宋体" w:hAnsi="宋体" w:eastAsia="宋体" w:cs="Times New Roman"/>
                <w:color w:val="auto"/>
                <w:spacing w:val="-1"/>
                <w:szCs w:val="21"/>
                <w:highlight w:val="none"/>
              </w:rPr>
            </w:pPr>
            <w:r>
              <w:rPr>
                <w:rFonts w:hint="eastAsia" w:ascii="Segoe UI Symbol" w:hAnsi="Segoe UI Symbol" w:eastAsia="宋体" w:cs="Segoe UI Symbol"/>
                <w:color w:val="auto"/>
                <w:szCs w:val="21"/>
                <w:highlight w:val="none"/>
                <w:shd w:val="clear" w:color="auto" w:fill="FFFFFF"/>
                <w:lang w:eastAsia="zh-CN"/>
              </w:rPr>
              <w:t>□</w:t>
            </w:r>
            <w:r>
              <w:rPr>
                <w:rFonts w:hint="eastAsia" w:ascii="宋体" w:hAnsi="宋体" w:eastAsia="宋体" w:cs="Times New Roman"/>
                <w:color w:val="auto"/>
                <w:spacing w:val="-1"/>
                <w:szCs w:val="21"/>
                <w:highlight w:val="none"/>
              </w:rPr>
              <w:t>无</w:t>
            </w:r>
          </w:p>
          <w:p w14:paraId="49518968">
            <w:pPr>
              <w:wordWrap w:val="0"/>
              <w:topLinePunct/>
              <w:snapToGrid w:val="0"/>
              <w:spacing w:line="276" w:lineRule="auto"/>
              <w:rPr>
                <w:rFonts w:hint="eastAsia"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sym w:font="Wingdings 2" w:char="0052"/>
            </w:r>
            <w:r>
              <w:rPr>
                <w:rFonts w:hint="eastAsia" w:ascii="宋体" w:hAnsi="宋体" w:eastAsia="宋体" w:cs="Times New Roman"/>
                <w:color w:val="auto"/>
                <w:spacing w:val="-1"/>
                <w:szCs w:val="21"/>
                <w:highlight w:val="none"/>
              </w:rPr>
              <w:t>有，具体要求：1、本招标项目不要求提供“近年财务状况表”“近年发生的诉讼及仲裁情况”，相关内容不作为资格审查内容；本招标项目要求提供的“拟委任的主要人员汇总表”、“拟投入本项目的主要试验检测仪器设备表”资料，不作为资格审查内容，但（如有）需提供，仅作为投标人的评标（综合评分）资料进行考察。</w:t>
            </w:r>
          </w:p>
        </w:tc>
      </w:tr>
      <w:tr w14:paraId="40A316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0007B6A3">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3.5.</w:t>
            </w:r>
            <w:r>
              <w:rPr>
                <w:rFonts w:hint="eastAsia" w:ascii="宋体" w:hAnsi="宋体" w:eastAsia="宋体" w:cs="Times New Roman"/>
                <w:color w:val="auto"/>
                <w:szCs w:val="21"/>
                <w:highlight w:val="none"/>
              </w:rPr>
              <w:t>2</w:t>
            </w:r>
          </w:p>
        </w:tc>
        <w:tc>
          <w:tcPr>
            <w:tcW w:w="2976" w:type="dxa"/>
            <w:vAlign w:val="center"/>
          </w:tcPr>
          <w:p w14:paraId="352155DE">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近年完成的类似项目情况的时间要求</w:t>
            </w:r>
          </w:p>
        </w:tc>
        <w:tc>
          <w:tcPr>
            <w:tcW w:w="5386" w:type="dxa"/>
            <w:vAlign w:val="center"/>
          </w:tcPr>
          <w:p w14:paraId="7C4D18CF">
            <w:pPr>
              <w:wordWrap w:val="0"/>
              <w:spacing w:line="276" w:lineRule="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u w:val="single"/>
                <w:lang w:val="en-US" w:eastAsia="zh-CN"/>
              </w:rPr>
              <w:t>/</w:t>
            </w:r>
          </w:p>
        </w:tc>
      </w:tr>
      <w:tr w14:paraId="2ED718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2F3AB3B6">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3.6.1</w:t>
            </w:r>
          </w:p>
        </w:tc>
        <w:tc>
          <w:tcPr>
            <w:tcW w:w="2976" w:type="dxa"/>
            <w:vAlign w:val="center"/>
          </w:tcPr>
          <w:p w14:paraId="4E135D56">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是否允许递交备选投标方案</w:t>
            </w:r>
          </w:p>
        </w:tc>
        <w:tc>
          <w:tcPr>
            <w:tcW w:w="5386" w:type="dxa"/>
            <w:vAlign w:val="center"/>
          </w:tcPr>
          <w:p w14:paraId="5129446F">
            <w:pPr>
              <w:wordWrap w:val="0"/>
              <w:topLinePunct/>
              <w:snapToGrid w:val="0"/>
              <w:spacing w:line="276" w:lineRule="auto"/>
              <w:rPr>
                <w:rFonts w:hint="eastAsia" w:ascii="宋体" w:hAnsi="宋体" w:eastAsia="宋体" w:cs="Times New Roman"/>
                <w:color w:val="auto"/>
                <w:szCs w:val="21"/>
                <w:highlight w:val="none"/>
              </w:rPr>
            </w:pPr>
            <w:r>
              <w:rPr>
                <w:rFonts w:ascii="Segoe UI Symbol" w:hAnsi="Segoe UI Symbol" w:eastAsia="宋体" w:cs="Segoe UI Symbol"/>
                <w:color w:val="auto"/>
                <w:szCs w:val="21"/>
                <w:highlight w:val="none"/>
                <w:shd w:val="clear" w:color="auto" w:fill="FFFFFF"/>
              </w:rPr>
              <w:t>☑</w:t>
            </w:r>
            <w:r>
              <w:rPr>
                <w:rFonts w:hint="eastAsia" w:ascii="宋体" w:hAnsi="宋体" w:eastAsia="宋体" w:cs="Times New Roman"/>
                <w:color w:val="auto"/>
                <w:szCs w:val="21"/>
                <w:highlight w:val="none"/>
              </w:rPr>
              <w:t>不允许</w:t>
            </w:r>
          </w:p>
          <w:p w14:paraId="4876D94F">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□允许</w:t>
            </w:r>
          </w:p>
        </w:tc>
      </w:tr>
      <w:tr w14:paraId="408BDC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00E16C9F">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3.7.3</w:t>
            </w:r>
          </w:p>
        </w:tc>
        <w:tc>
          <w:tcPr>
            <w:tcW w:w="2976" w:type="dxa"/>
            <w:vAlign w:val="center"/>
          </w:tcPr>
          <w:p w14:paraId="01B1BA56">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投标文件签字或盖章要求</w:t>
            </w:r>
          </w:p>
        </w:tc>
        <w:tc>
          <w:tcPr>
            <w:tcW w:w="5386" w:type="dxa"/>
            <w:vAlign w:val="center"/>
          </w:tcPr>
          <w:p w14:paraId="4E03C391">
            <w:pPr>
              <w:wordWrap w:val="0"/>
              <w:topLinePunct/>
              <w:snapToGrid w:val="0"/>
              <w:spacing w:line="276" w:lineRule="auto"/>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投标文件格式规定需个人签字的，应签字或签章后扫描上传（可靠的电子签名与手写签名或者盖章具有同等的法律效力）。投标文件格式规定盖单位公章的页面必须盖单位公章或电子公章（公章与电子公章具有相同法律效力）。</w:t>
            </w:r>
          </w:p>
        </w:tc>
      </w:tr>
      <w:tr w14:paraId="21C936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495E3302">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4.2.1</w:t>
            </w:r>
          </w:p>
        </w:tc>
        <w:tc>
          <w:tcPr>
            <w:tcW w:w="2976" w:type="dxa"/>
            <w:vAlign w:val="center"/>
          </w:tcPr>
          <w:p w14:paraId="7716421C">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投标截止时间</w:t>
            </w:r>
          </w:p>
        </w:tc>
        <w:tc>
          <w:tcPr>
            <w:tcW w:w="5386" w:type="dxa"/>
            <w:vAlign w:val="center"/>
          </w:tcPr>
          <w:p w14:paraId="385DB8D9">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投标截止时间：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时</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分（北京时间）。</w:t>
            </w:r>
          </w:p>
        </w:tc>
      </w:tr>
      <w:tr w14:paraId="49D56C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42C89FFB">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5.1</w:t>
            </w:r>
          </w:p>
        </w:tc>
        <w:tc>
          <w:tcPr>
            <w:tcW w:w="2976" w:type="dxa"/>
            <w:vAlign w:val="center"/>
          </w:tcPr>
          <w:p w14:paraId="71128D5F">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开标时间和地点</w:t>
            </w:r>
          </w:p>
        </w:tc>
        <w:tc>
          <w:tcPr>
            <w:tcW w:w="5386" w:type="dxa"/>
            <w:vAlign w:val="center"/>
          </w:tcPr>
          <w:p w14:paraId="484AAEB0">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1.开标时间：同投标截止时间</w:t>
            </w:r>
          </w:p>
          <w:p w14:paraId="09C6A342">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2.开标地点：广州交易集团有限公司（广州公共资源交易中心）</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开标室</w:t>
            </w:r>
          </w:p>
          <w:p w14:paraId="4A7F0FC6">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3.（选择性条款）递交投标文件备用光盘时间：____年____月____日____时____分至____年____月____日____时____分；递交地点：____。</w:t>
            </w:r>
          </w:p>
          <w:p w14:paraId="2C2B2358">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4.（选择性条款）提交投标文件光盘备用</w:t>
            </w:r>
          </w:p>
          <w:p w14:paraId="5A0BD475">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投标人可制作非加密的电子投标文件（PDF 格式）刻入光盘（1份），在投标须知前附表规定的时间、地点</w:t>
            </w:r>
            <w:r>
              <w:rPr>
                <w:rFonts w:hint="eastAsia" w:ascii="宋体" w:hAnsi="宋体" w:eastAsia="宋体" w:cs="Times New Roman"/>
                <w:b/>
                <w:bCs/>
                <w:color w:val="auto"/>
                <w:szCs w:val="21"/>
                <w:highlight w:val="none"/>
              </w:rPr>
              <w:t>凭法定代表人证明书原件、法定代表人授权委托证明书原件（非法定代表人办理手续时提供）、本人身份证原件</w:t>
            </w:r>
            <w:r>
              <w:rPr>
                <w:rFonts w:hint="eastAsia" w:ascii="宋体" w:hAnsi="宋体" w:eastAsia="宋体" w:cs="Times New Roman"/>
                <w:color w:val="auto"/>
                <w:szCs w:val="21"/>
                <w:highlight w:val="none"/>
              </w:rPr>
              <w:t>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098C4621">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5.补救方案</w:t>
            </w:r>
          </w:p>
          <w:p w14:paraId="5C031EE1">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16F8D992">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（2）评标时突发情况的补救方案：若遇不可抗力发生（指网络瘫痪、服务器损坏、交易系统故障短期无法恢复等因素），由评标委员会开启投标人递交的全部投标文件光盘，并按光盘内容进行评审。</w:t>
            </w:r>
          </w:p>
          <w:p w14:paraId="4EE0A967">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（3）除发生上述情况外，开标评标均以投标人通过交易平台网上递交的电子投标文件为准。</w:t>
            </w:r>
          </w:p>
          <w:p w14:paraId="4ED146E9">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6.开标时，投标人代表有权参加现场开标或在线开标，也可以自主决定不参加开标，投标人选择参加在线开标的，具体按照交易平台相关指南进行操作。</w:t>
            </w:r>
          </w:p>
          <w:p w14:paraId="3F582BE3">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7.上述时间及地点是否有改变，请密切留意补充公告或招标答疑纪要的相关信息。</w:t>
            </w:r>
          </w:p>
        </w:tc>
      </w:tr>
      <w:tr w14:paraId="7B1BD2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5878BE0E">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6.1.1</w:t>
            </w:r>
          </w:p>
        </w:tc>
        <w:tc>
          <w:tcPr>
            <w:tcW w:w="2976" w:type="dxa"/>
            <w:vAlign w:val="center"/>
          </w:tcPr>
          <w:p w14:paraId="001195FE">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评标委员会的组建</w:t>
            </w:r>
          </w:p>
        </w:tc>
        <w:tc>
          <w:tcPr>
            <w:tcW w:w="5386" w:type="dxa"/>
            <w:vAlign w:val="center"/>
          </w:tcPr>
          <w:p w14:paraId="62D55577">
            <w:pPr>
              <w:wordWrap w:val="0"/>
              <w:snapToGrid w:val="0"/>
              <w:spacing w:line="276"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由招标人组建。</w:t>
            </w:r>
          </w:p>
        </w:tc>
      </w:tr>
      <w:tr w14:paraId="2ECCF4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5776F0FC">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6.2</w:t>
            </w:r>
          </w:p>
        </w:tc>
        <w:tc>
          <w:tcPr>
            <w:tcW w:w="2976" w:type="dxa"/>
            <w:vAlign w:val="center"/>
          </w:tcPr>
          <w:p w14:paraId="55E6E766">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定标委员会的组建</w:t>
            </w:r>
          </w:p>
        </w:tc>
        <w:tc>
          <w:tcPr>
            <w:tcW w:w="5386" w:type="dxa"/>
            <w:vAlign w:val="center"/>
          </w:tcPr>
          <w:p w14:paraId="687CC9A3">
            <w:pPr>
              <w:wordWrap w:val="0"/>
              <w:snapToGrid w:val="0"/>
              <w:spacing w:line="276" w:lineRule="auto"/>
              <w:jc w:val="left"/>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w:t>
            </w:r>
          </w:p>
        </w:tc>
      </w:tr>
      <w:tr w14:paraId="259FE0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7C631F4E">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6.3.2</w:t>
            </w:r>
          </w:p>
        </w:tc>
        <w:tc>
          <w:tcPr>
            <w:tcW w:w="2976" w:type="dxa"/>
            <w:vAlign w:val="center"/>
          </w:tcPr>
          <w:p w14:paraId="14DDC74B">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评标委员会推荐中标候选人的人数</w:t>
            </w:r>
          </w:p>
        </w:tc>
        <w:tc>
          <w:tcPr>
            <w:tcW w:w="5386" w:type="dxa"/>
            <w:vAlign w:val="center"/>
          </w:tcPr>
          <w:p w14:paraId="3E53D4D8">
            <w:pPr>
              <w:tabs>
                <w:tab w:val="left" w:pos="7513"/>
              </w:tabs>
              <w:wordWrap w:val="0"/>
              <w:spacing w:line="276" w:lineRule="auto"/>
              <w:rPr>
                <w:rFonts w:hint="eastAsia" w:ascii="宋体" w:hAnsi="宋体" w:eastAsia="宋体" w:cs="Times New Roman"/>
                <w:color w:val="auto"/>
                <w:szCs w:val="21"/>
                <w:highlight w:val="none"/>
              </w:rPr>
            </w:pPr>
            <w:r>
              <w:rPr>
                <w:rFonts w:ascii="宋体" w:hAnsi="宋体" w:eastAsia="宋体" w:cs="宋体"/>
                <w:color w:val="auto"/>
                <w:kern w:val="0"/>
                <w:szCs w:val="21"/>
                <w:highlight w:val="none"/>
                <w:u w:val="single"/>
              </w:rPr>
              <w:t>3</w:t>
            </w:r>
            <w:r>
              <w:rPr>
                <w:rFonts w:hint="eastAsia" w:ascii="宋体" w:hAnsi="宋体" w:eastAsia="宋体" w:cs="宋体"/>
                <w:color w:val="auto"/>
                <w:kern w:val="0"/>
                <w:szCs w:val="21"/>
                <w:highlight w:val="none"/>
                <w:u w:val="single"/>
              </w:rPr>
              <w:t>名</w:t>
            </w:r>
          </w:p>
        </w:tc>
      </w:tr>
      <w:tr w14:paraId="12C830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6995C8EB">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7.1</w:t>
            </w:r>
          </w:p>
        </w:tc>
        <w:tc>
          <w:tcPr>
            <w:tcW w:w="2976" w:type="dxa"/>
            <w:vAlign w:val="center"/>
          </w:tcPr>
          <w:p w14:paraId="4C1D7328">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中标候选人公示媒介及期限</w:t>
            </w:r>
          </w:p>
        </w:tc>
        <w:tc>
          <w:tcPr>
            <w:tcW w:w="5386" w:type="dxa"/>
            <w:vAlign w:val="center"/>
          </w:tcPr>
          <w:p w14:paraId="4DD93DC9">
            <w:pPr>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公示媒介：</w:t>
            </w:r>
            <w:r>
              <w:rPr>
                <w:rFonts w:hint="eastAsia" w:ascii="宋体" w:hAnsi="宋体" w:eastAsia="宋体" w:cs="宋体"/>
                <w:color w:val="auto"/>
                <w:szCs w:val="21"/>
                <w:highlight w:val="none"/>
                <w:u w:val="single"/>
              </w:rPr>
              <w:t>中国招标投标公共服务平台、广东省招标投标监管网、广州交易集团有限公司（广州公共资源交易中心）网站</w:t>
            </w:r>
          </w:p>
          <w:p w14:paraId="59DA2027">
            <w:pPr>
              <w:wordWrap w:val="0"/>
              <w:snapToGrid w:val="0"/>
              <w:spacing w:line="276" w:lineRule="auto"/>
              <w:ind w:right="106"/>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公示期限：</w:t>
            </w:r>
            <w:r>
              <w:rPr>
                <w:rFonts w:ascii="宋体" w:hAnsi="宋体" w:eastAsia="宋体" w:cs="宋体"/>
                <w:color w:val="auto"/>
                <w:szCs w:val="21"/>
                <w:highlight w:val="none"/>
                <w:u w:val="single"/>
              </w:rPr>
              <w:t xml:space="preserve"> 3 </w:t>
            </w:r>
            <w:r>
              <w:rPr>
                <w:rFonts w:hint="eastAsia" w:ascii="宋体" w:hAnsi="宋体" w:eastAsia="宋体" w:cs="宋体"/>
                <w:color w:val="auto"/>
                <w:szCs w:val="21"/>
                <w:highlight w:val="none"/>
              </w:rPr>
              <w:t>日，公示结束日为工作日。</w:t>
            </w:r>
          </w:p>
        </w:tc>
      </w:tr>
      <w:tr w14:paraId="20FC7D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4AE80907">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7.4</w:t>
            </w:r>
          </w:p>
        </w:tc>
        <w:tc>
          <w:tcPr>
            <w:tcW w:w="2976" w:type="dxa"/>
            <w:vAlign w:val="center"/>
          </w:tcPr>
          <w:p w14:paraId="578A21D0">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是否授权评标委员会确定中标人</w:t>
            </w:r>
          </w:p>
        </w:tc>
        <w:tc>
          <w:tcPr>
            <w:tcW w:w="5386" w:type="dxa"/>
            <w:vAlign w:val="center"/>
          </w:tcPr>
          <w:p w14:paraId="7FA45C36">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□是</w:t>
            </w:r>
          </w:p>
          <w:p w14:paraId="2AC12DC1">
            <w:pPr>
              <w:wordWrap w:val="0"/>
              <w:snapToGrid w:val="0"/>
              <w:spacing w:line="276" w:lineRule="auto"/>
              <w:rPr>
                <w:rFonts w:hint="eastAsia" w:ascii="宋体" w:hAnsi="宋体" w:eastAsia="宋体" w:cs="Times New Roman"/>
                <w:color w:val="auto"/>
                <w:szCs w:val="21"/>
                <w:highlight w:val="none"/>
              </w:rPr>
            </w:pPr>
            <w:r>
              <w:rPr>
                <w:rFonts w:ascii="Segoe UI Symbol" w:hAnsi="Segoe UI Symbol" w:eastAsia="宋体" w:cs="Segoe UI Symbol"/>
                <w:color w:val="auto"/>
                <w:szCs w:val="21"/>
                <w:highlight w:val="none"/>
                <w:shd w:val="clear" w:color="auto" w:fill="FFFFFF"/>
              </w:rPr>
              <w:t>☑</w:t>
            </w:r>
            <w:r>
              <w:rPr>
                <w:rFonts w:hint="eastAsia" w:ascii="宋体" w:hAnsi="宋体" w:eastAsia="宋体" w:cs="Times New Roman"/>
                <w:color w:val="auto"/>
                <w:szCs w:val="21"/>
                <w:highlight w:val="none"/>
              </w:rPr>
              <w:t>否</w:t>
            </w:r>
          </w:p>
        </w:tc>
      </w:tr>
      <w:tr w14:paraId="695526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28ADBE85">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7.6.1</w:t>
            </w:r>
          </w:p>
        </w:tc>
        <w:tc>
          <w:tcPr>
            <w:tcW w:w="2976" w:type="dxa"/>
            <w:vAlign w:val="center"/>
          </w:tcPr>
          <w:p w14:paraId="1AEABDAB">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履约保证金</w:t>
            </w:r>
          </w:p>
        </w:tc>
        <w:tc>
          <w:tcPr>
            <w:tcW w:w="5386" w:type="dxa"/>
            <w:vAlign w:val="center"/>
          </w:tcPr>
          <w:p w14:paraId="515F6A4D">
            <w:pPr>
              <w:wordWrap w:val="0"/>
              <w:topLinePunct/>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是否要求中标人提交履约保证金：</w:t>
            </w:r>
          </w:p>
          <w:p w14:paraId="12C0E410">
            <w:pPr>
              <w:wordWrap w:val="0"/>
              <w:topLinePunct/>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要求，履约保证金的形式：</w:t>
            </w:r>
            <w:r>
              <w:rPr>
                <w:rFonts w:hint="eastAsia" w:ascii="宋体" w:hAnsi="宋体" w:eastAsia="宋体" w:cs="Times New Roman"/>
                <w:color w:val="auto"/>
                <w:szCs w:val="21"/>
                <w:highlight w:val="none"/>
                <w:u w:val="single"/>
              </w:rPr>
              <w:t>中标人根据自身情况，自主选择提供履约保证金的形式。</w:t>
            </w:r>
          </w:p>
          <w:p w14:paraId="650420CD">
            <w:pPr>
              <w:wordWrap w:val="0"/>
              <w:spacing w:line="276" w:lineRule="auto"/>
              <w:ind w:left="2730" w:leftChars="400" w:hanging="1890" w:hangingChars="900"/>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履约保证金的金额：</w:t>
            </w:r>
            <w:r>
              <w:rPr>
                <w:rFonts w:hint="eastAsia" w:ascii="宋体" w:hAnsi="宋体" w:eastAsia="宋体" w:cs="Times New Roman"/>
                <w:color w:val="auto"/>
                <w:szCs w:val="21"/>
                <w:highlight w:val="none"/>
                <w:u w:val="single"/>
              </w:rPr>
              <w:t>合同价款的10%（中小企业为5%）</w:t>
            </w:r>
          </w:p>
          <w:p w14:paraId="76E82B5C">
            <w:pPr>
              <w:wordWrap w:val="0"/>
              <w:topLinePunct/>
              <w:snapToGrid w:val="0"/>
              <w:spacing w:line="276" w:lineRule="auto"/>
              <w:rPr>
                <w:rFonts w:hint="eastAsia" w:ascii="宋体" w:hAnsi="宋体" w:eastAsia="宋体" w:cs="Times New Roman"/>
                <w:color w:val="auto"/>
                <w:szCs w:val="21"/>
                <w:highlight w:val="none"/>
              </w:rPr>
            </w:pPr>
            <w:r>
              <w:rPr>
                <w:rFonts w:hint="eastAsia" w:ascii="Segoe UI Symbol" w:hAnsi="Segoe UI Symbol" w:eastAsia="宋体" w:cs="Segoe UI Symbol"/>
                <w:color w:val="auto"/>
                <w:szCs w:val="21"/>
                <w:highlight w:val="none"/>
                <w:shd w:val="clear" w:color="auto" w:fill="FFFFFF"/>
                <w:lang w:eastAsia="zh-CN"/>
              </w:rPr>
              <w:t>□</w:t>
            </w:r>
            <w:r>
              <w:rPr>
                <w:rFonts w:hint="eastAsia" w:ascii="宋体" w:hAnsi="宋体" w:eastAsia="宋体" w:cs="Times New Roman"/>
                <w:color w:val="auto"/>
                <w:szCs w:val="21"/>
                <w:highlight w:val="none"/>
              </w:rPr>
              <w:t>不要求</w:t>
            </w:r>
          </w:p>
        </w:tc>
      </w:tr>
      <w:tr w14:paraId="030141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70884E9C">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9</w:t>
            </w:r>
          </w:p>
        </w:tc>
        <w:tc>
          <w:tcPr>
            <w:tcW w:w="2976" w:type="dxa"/>
            <w:vAlign w:val="center"/>
          </w:tcPr>
          <w:p w14:paraId="71E9B4CB">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是否采用电子招标投标</w:t>
            </w:r>
          </w:p>
        </w:tc>
        <w:tc>
          <w:tcPr>
            <w:tcW w:w="5386" w:type="dxa"/>
            <w:vAlign w:val="center"/>
          </w:tcPr>
          <w:p w14:paraId="7CA52D9E">
            <w:pPr>
              <w:wordWrap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□否</w:t>
            </w:r>
          </w:p>
          <w:p w14:paraId="65E8B0AE">
            <w:pPr>
              <w:wordWrap w:val="0"/>
              <w:spacing w:line="276" w:lineRule="auto"/>
              <w:ind w:left="2099" w:leftChars="3" w:hanging="2093" w:hangingChars="997"/>
              <w:rPr>
                <w:rFonts w:hint="eastAsia" w:ascii="宋体" w:hAnsi="宋体" w:eastAsia="宋体" w:cs="Times New Roman"/>
                <w:color w:val="auto"/>
                <w:szCs w:val="21"/>
                <w:highlight w:val="none"/>
                <w:u w:val="single"/>
              </w:rPr>
            </w:pPr>
            <w:r>
              <w:rPr>
                <w:rFonts w:ascii="Segoe UI Symbol" w:hAnsi="Segoe UI Symbol" w:eastAsia="宋体" w:cs="Segoe UI Symbol"/>
                <w:color w:val="auto"/>
                <w:szCs w:val="21"/>
                <w:highlight w:val="none"/>
                <w:shd w:val="clear" w:color="auto" w:fill="FFFFFF"/>
              </w:rPr>
              <w:t>☑</w:t>
            </w:r>
            <w:r>
              <w:rPr>
                <w:rFonts w:hint="eastAsia" w:ascii="宋体" w:hAnsi="宋体" w:eastAsia="宋体" w:cs="Times New Roman"/>
                <w:color w:val="auto"/>
                <w:szCs w:val="21"/>
                <w:highlight w:val="none"/>
              </w:rPr>
              <w:t>是，采用全流程电子招标投标。</w:t>
            </w:r>
          </w:p>
        </w:tc>
      </w:tr>
      <w:tr w14:paraId="68CBB3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0AE3AA4E">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rPr>
              <w:t>1</w:t>
            </w:r>
          </w:p>
        </w:tc>
        <w:tc>
          <w:tcPr>
            <w:tcW w:w="8362" w:type="dxa"/>
            <w:gridSpan w:val="2"/>
            <w:vAlign w:val="center"/>
          </w:tcPr>
          <w:p w14:paraId="58C268E6">
            <w:pPr>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需要补充的其他内容</w:t>
            </w:r>
          </w:p>
        </w:tc>
      </w:tr>
      <w:tr w14:paraId="23A918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vAlign w:val="center"/>
          </w:tcPr>
          <w:p w14:paraId="63B303F8">
            <w:pPr>
              <w:wordWrap w:val="0"/>
              <w:snapToGrid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rPr>
              <w:t>1</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1</w:t>
            </w:r>
          </w:p>
        </w:tc>
        <w:tc>
          <w:tcPr>
            <w:tcW w:w="2976" w:type="dxa"/>
            <w:vAlign w:val="center"/>
          </w:tcPr>
          <w:p w14:paraId="5FBD55AD">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其他</w:t>
            </w:r>
          </w:p>
        </w:tc>
        <w:tc>
          <w:tcPr>
            <w:tcW w:w="5386" w:type="dxa"/>
            <w:vAlign w:val="center"/>
          </w:tcPr>
          <w:p w14:paraId="26633E20">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1、中标后，中标单位须提交与网上上传电子投标文件完全一致的纸质投标文件（1正4副，需加盖企业公章及法人章）给招标单位。</w:t>
            </w:r>
          </w:p>
          <w:p w14:paraId="6E25EC54">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2、中标人应交纳交易服务费，该费用包含在投标价中。</w:t>
            </w:r>
          </w:p>
          <w:p w14:paraId="63F0665B">
            <w:pPr>
              <w:wordWrap w:val="0"/>
              <w:snapToGrid w:val="0"/>
              <w:spacing w:line="276" w:lineRule="auto"/>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3、本项目招标代理服务费由中标人支付，招标代理服务费用按广东省物价局（粤价[2002]386号）规定的标准以中标金额作为计算基价收取。</w:t>
            </w:r>
          </w:p>
        </w:tc>
      </w:tr>
      <w:tr w14:paraId="4A6E2B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101" w:type="dxa"/>
            <w:tcBorders>
              <w:bottom w:val="single" w:color="auto" w:sz="4" w:space="0"/>
            </w:tcBorders>
            <w:vAlign w:val="center"/>
          </w:tcPr>
          <w:p w14:paraId="13B2780A">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11.2</w:t>
            </w:r>
          </w:p>
        </w:tc>
        <w:tc>
          <w:tcPr>
            <w:tcW w:w="2976" w:type="dxa"/>
            <w:tcBorders>
              <w:bottom w:val="single" w:color="auto" w:sz="4" w:space="0"/>
            </w:tcBorders>
            <w:vAlign w:val="center"/>
          </w:tcPr>
          <w:p w14:paraId="33F7FF0E">
            <w:pPr>
              <w:wordWrap w:val="0"/>
              <w:snapToGrid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投标报价得分评审优惠政策</w:t>
            </w:r>
          </w:p>
        </w:tc>
        <w:tc>
          <w:tcPr>
            <w:tcW w:w="5386" w:type="dxa"/>
            <w:tcBorders>
              <w:bottom w:val="single" w:color="auto" w:sz="4" w:space="0"/>
            </w:tcBorders>
            <w:vAlign w:val="center"/>
          </w:tcPr>
          <w:p w14:paraId="7F605A07">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（1）根据《广东省政府采购促进中小企业发展实施细则(试行)》要求，对符合《政府采购促进中小企业发展管理办法》的投标人，给予相应的价格评审优惠。</w:t>
            </w:r>
          </w:p>
          <w:p w14:paraId="1DAA2133">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（2）本招标项目评标计算价格分时，对小微企业投标的，在采用原报价进行评分的基础上增加其价格得分的</w:t>
            </w:r>
            <w:r>
              <w:rPr>
                <w:rFonts w:hint="eastAsia" w:ascii="宋体" w:hAnsi="宋体" w:eastAsia="宋体" w:cs="Times New Roman"/>
                <w:b/>
                <w:bCs/>
                <w:color w:val="auto"/>
                <w:szCs w:val="21"/>
                <w:highlight w:val="none"/>
              </w:rPr>
              <w:t>5%</w:t>
            </w:r>
            <w:r>
              <w:rPr>
                <w:rFonts w:hint="eastAsia" w:ascii="宋体" w:hAnsi="宋体" w:eastAsia="宋体" w:cs="Times New Roman"/>
                <w:color w:val="auto"/>
                <w:szCs w:val="21"/>
                <w:highlight w:val="none"/>
              </w:rPr>
              <w:t>作为其价格分，若原报价已满分，仍可突破满分上限继续享受加分优惠，以实际计算结果作为最终价格分。（分数出现小数点时，保留小数点后二位，第三位小数四舍五入）</w:t>
            </w:r>
          </w:p>
          <w:p w14:paraId="57ED9FE1">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投标人应按《政府采购促进中小企业发展管理办法》规定出具《中小企业声明函》，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4B7C1052">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（4）小微企业划分标准按照《工业和信息化部 国家统计局国家发展和改革委员会财政部关于印发中小企业划型标准规定的通知》(工信部联企业(2011)300号)执行。</w:t>
            </w:r>
            <w:r>
              <w:rPr>
                <w:rFonts w:hint="eastAsia" w:ascii="宋体" w:hAnsi="宋体" w:eastAsia="宋体" w:cs="Times New Roman"/>
                <w:b/>
                <w:bCs/>
                <w:color w:val="auto"/>
                <w:szCs w:val="21"/>
                <w:highlight w:val="none"/>
              </w:rPr>
              <w:t>本招标项目属于其他未列明行业</w:t>
            </w:r>
            <w:r>
              <w:rPr>
                <w:rFonts w:hint="eastAsia" w:ascii="宋体" w:hAnsi="宋体" w:eastAsia="宋体" w:cs="Times New Roman"/>
                <w:color w:val="auto"/>
                <w:szCs w:val="21"/>
                <w:highlight w:val="none"/>
              </w:rPr>
              <w:t>。从业人员300人以下的为中小微型企业。其中，从业人员100人及以上的为中型企业；从业人员10人及以上的为小型企业；从业人员10人以下的为微型企业。</w:t>
            </w:r>
          </w:p>
          <w:p w14:paraId="0E2CAE3A">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注:①中小微企业，是指在中华人民共和国境内依法设立，依据国务院批准的中小企业划分标准确定的中型企业、小型企业和微型企业，但与大企业的负责人为同一人，或者与大企业存在直接控股、管理关系的除外。</w:t>
            </w:r>
          </w:p>
          <w:p w14:paraId="2F1D30F7">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②根据财库〔2014〕68号《财政部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5C1ACB63">
            <w:pPr>
              <w:wordWrap w:val="0"/>
              <w:snapToGrid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③根据财库〔2017〕141号《财政部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tc>
      </w:tr>
    </w:tbl>
    <w:p w14:paraId="453FE059">
      <w:pPr>
        <w:widowControl/>
        <w:wordWrap w:val="0"/>
        <w:jc w:val="left"/>
        <w:rPr>
          <w:rFonts w:hint="eastAsia" w:ascii="宋体" w:hAnsi="宋体" w:eastAsia="宋体" w:cs="Times New Roman"/>
          <w:b/>
          <w:color w:val="auto"/>
          <w:sz w:val="28"/>
          <w:szCs w:val="20"/>
          <w:highlight w:val="none"/>
        </w:rPr>
      </w:pPr>
      <w:r>
        <w:rPr>
          <w:rFonts w:hint="eastAsia" w:ascii="宋体" w:hAnsi="宋体" w:eastAsia="宋体" w:cs="Times New Roman"/>
          <w:b/>
          <w:color w:val="auto"/>
          <w:sz w:val="28"/>
          <w:szCs w:val="20"/>
          <w:highlight w:val="none"/>
        </w:rPr>
        <w:br w:type="page"/>
      </w:r>
    </w:p>
    <w:p w14:paraId="7568F341">
      <w:pPr>
        <w:wordWrap w:val="0"/>
        <w:jc w:val="center"/>
        <w:outlineLvl w:val="1"/>
        <w:rPr>
          <w:rFonts w:hint="eastAsia" w:ascii="宋体" w:hAnsi="宋体" w:eastAsia="宋体" w:cs="Times New Roman"/>
          <w:b/>
          <w:color w:val="auto"/>
          <w:sz w:val="32"/>
          <w:szCs w:val="20"/>
          <w:highlight w:val="none"/>
        </w:rPr>
      </w:pPr>
      <w:r>
        <w:rPr>
          <w:rFonts w:ascii="宋体" w:hAnsi="宋体" w:eastAsia="宋体" w:cs="Times New Roman"/>
          <w:b/>
          <w:color w:val="auto"/>
          <w:sz w:val="32"/>
          <w:szCs w:val="20"/>
          <w:highlight w:val="none"/>
        </w:rPr>
        <w:t>投标须知修改表</w:t>
      </w:r>
    </w:p>
    <w:p w14:paraId="3CFC7483">
      <w:pPr>
        <w:pStyle w:val="27"/>
        <w:pBdr>
          <w:bottom w:val="single" w:color="auto" w:sz="6" w:space="1"/>
        </w:pBdr>
        <w:wordWrap w:val="0"/>
        <w:spacing w:line="360" w:lineRule="auto"/>
        <w:ind w:firstLine="369" w:firstLineChars="175"/>
        <w:rPr>
          <w:rFonts w:hint="eastAsia" w:ascii="宋体" w:hAnsi="宋体"/>
          <w:bCs/>
          <w:color w:val="auto"/>
          <w:szCs w:val="21"/>
          <w:highlight w:val="none"/>
        </w:rPr>
      </w:pPr>
      <w:r>
        <w:rPr>
          <w:rFonts w:ascii="宋体" w:hAnsi="宋体"/>
          <w:b/>
          <w:color w:val="auto"/>
          <w:szCs w:val="21"/>
          <w:highlight w:val="none"/>
        </w:rPr>
        <w:t>本投标须知使用</w:t>
      </w:r>
      <w:r>
        <w:rPr>
          <w:rFonts w:hint="eastAsia" w:ascii="宋体" w:hAnsi="宋体"/>
          <w:b/>
          <w:color w:val="auto"/>
          <w:szCs w:val="21"/>
          <w:highlight w:val="none"/>
        </w:rPr>
        <w:t>GZJTZB2025-2</w:t>
      </w:r>
      <w:r>
        <w:rPr>
          <w:rFonts w:ascii="宋体" w:hAnsi="宋体"/>
          <w:b/>
          <w:color w:val="auto"/>
          <w:szCs w:val="21"/>
          <w:highlight w:val="none"/>
        </w:rPr>
        <w:t>招标文件范本的投标须知通用条款，与该通用条款不同之处，均在本表中列明，并以现文为准，原文不再有效。</w:t>
      </w:r>
      <w:r>
        <w:rPr>
          <w:rFonts w:hint="eastAsia" w:ascii="宋体" w:hAnsi="宋体"/>
          <w:bCs/>
          <w:color w:val="auto"/>
          <w:szCs w:val="21"/>
          <w:highlight w:val="none"/>
        </w:rPr>
        <w:t>（注：招标人按《投标须知修改表》修改的内容对应修改通用条款，属于删除的采用“</w:t>
      </w:r>
      <w:r>
        <w:rPr>
          <w:rFonts w:hint="eastAsia" w:ascii="宋体" w:hAnsi="宋体"/>
          <w:bCs/>
          <w:strike/>
          <w:color w:val="auto"/>
          <w:szCs w:val="21"/>
          <w:highlight w:val="none"/>
        </w:rPr>
        <w:t xml:space="preserve">   </w:t>
      </w:r>
      <w:r>
        <w:rPr>
          <w:rFonts w:hint="eastAsia" w:ascii="宋体" w:hAnsi="宋体"/>
          <w:bCs/>
          <w:color w:val="auto"/>
          <w:szCs w:val="21"/>
          <w:highlight w:val="none"/>
        </w:rPr>
        <w:t>”表示，如“</w:t>
      </w:r>
      <w:r>
        <w:rPr>
          <w:rFonts w:hint="eastAsia" w:ascii="宋体" w:hAnsi="宋体"/>
          <w:bCs/>
          <w:strike/>
          <w:color w:val="auto"/>
          <w:szCs w:val="21"/>
          <w:highlight w:val="none"/>
        </w:rPr>
        <w:t>删除</w:t>
      </w:r>
      <w:r>
        <w:rPr>
          <w:rFonts w:hint="eastAsia" w:ascii="宋体" w:hAnsi="宋体"/>
          <w:bCs/>
          <w:color w:val="auto"/>
          <w:szCs w:val="21"/>
          <w:highlight w:val="none"/>
        </w:rPr>
        <w:t>”；属于新增、修改的内容，用</w:t>
      </w:r>
      <w:r>
        <w:rPr>
          <w:rFonts w:hint="eastAsia" w:ascii="宋体" w:hAnsi="宋体"/>
          <w:b/>
          <w:color w:val="auto"/>
          <w:szCs w:val="21"/>
          <w:highlight w:val="none"/>
        </w:rPr>
        <w:t>黑色加粗</w:t>
      </w:r>
      <w:r>
        <w:rPr>
          <w:rFonts w:hint="eastAsia" w:ascii="宋体" w:hAnsi="宋体"/>
          <w:bCs/>
          <w:color w:val="auto"/>
          <w:szCs w:val="21"/>
          <w:highlight w:val="none"/>
        </w:rPr>
        <w:t>字体显示,并加注下划线，如“</w:t>
      </w:r>
      <w:r>
        <w:rPr>
          <w:rFonts w:hint="eastAsia" w:ascii="宋体" w:hAnsi="宋体"/>
          <w:b/>
          <w:color w:val="auto"/>
          <w:szCs w:val="21"/>
          <w:highlight w:val="none"/>
          <w:u w:val="single"/>
        </w:rPr>
        <w:t>新增修改</w:t>
      </w:r>
      <w:r>
        <w:rPr>
          <w:rFonts w:hint="eastAsia" w:ascii="宋体" w:hAnsi="宋体"/>
          <w:bCs/>
          <w:color w:val="auto"/>
          <w:szCs w:val="21"/>
          <w:highlight w:val="none"/>
        </w:rPr>
        <w:t>”。）</w:t>
      </w:r>
    </w:p>
    <w:p w14:paraId="5C372B5E">
      <w:pPr>
        <w:spacing w:line="360" w:lineRule="auto"/>
        <w:ind w:firstLine="373" w:firstLineChars="177"/>
        <w:rPr>
          <w:rFonts w:hint="eastAsia" w:ascii="宋体" w:hAnsi="宋体" w:eastAsia="宋体"/>
          <w:b/>
          <w:bCs/>
          <w:color w:val="auto"/>
          <w:szCs w:val="21"/>
          <w:highlight w:val="none"/>
        </w:rPr>
      </w:pPr>
      <w:r>
        <w:rPr>
          <w:rFonts w:ascii="宋体" w:hAnsi="宋体" w:eastAsia="宋体"/>
          <w:b/>
          <w:bCs/>
          <w:color w:val="auto"/>
          <w:szCs w:val="21"/>
          <w:highlight w:val="none"/>
        </w:rPr>
        <w:t>条款号：</w:t>
      </w:r>
      <w:r>
        <w:rPr>
          <w:rFonts w:hint="eastAsia" w:ascii="宋体" w:hAnsi="宋体" w:eastAsia="宋体"/>
          <w:b/>
          <w:bCs/>
          <w:color w:val="auto"/>
          <w:szCs w:val="21"/>
          <w:highlight w:val="none"/>
        </w:rPr>
        <w:t>3.5.1至3.5.4</w:t>
      </w:r>
      <w:r>
        <w:rPr>
          <w:rFonts w:ascii="宋体" w:hAnsi="宋体" w:eastAsia="宋体"/>
          <w:b/>
          <w:bCs/>
          <w:color w:val="auto"/>
          <w:szCs w:val="21"/>
          <w:highlight w:val="none"/>
        </w:rPr>
        <w:t xml:space="preserve">         修改类型：修改</w:t>
      </w:r>
    </w:p>
    <w:p w14:paraId="16729FCC">
      <w:pPr>
        <w:spacing w:line="360" w:lineRule="auto"/>
        <w:ind w:firstLine="373" w:firstLineChars="177"/>
        <w:rPr>
          <w:rFonts w:hint="eastAsia" w:ascii="宋体" w:hAnsi="宋体" w:eastAsia="宋体"/>
          <w:color w:val="auto"/>
          <w:szCs w:val="21"/>
          <w:highlight w:val="none"/>
        </w:rPr>
      </w:pPr>
      <w:r>
        <w:rPr>
          <w:rFonts w:ascii="宋体" w:hAnsi="宋体" w:eastAsia="宋体"/>
          <w:b/>
          <w:bCs/>
          <w:color w:val="auto"/>
          <w:szCs w:val="21"/>
          <w:highlight w:val="none"/>
        </w:rPr>
        <w:t>原文：</w:t>
      </w:r>
      <w:r>
        <w:rPr>
          <w:rFonts w:hint="eastAsia" w:ascii="宋体" w:hAnsi="宋体" w:eastAsia="宋体"/>
          <w:color w:val="auto"/>
          <w:szCs w:val="21"/>
          <w:highlight w:val="none"/>
        </w:rPr>
        <w:t>3.5.1“投标人基本情况表”应附投标人营业执照和组织机构代码证的扫描件（按照“三证合一”或“五证合一”登记制度进行登记的，可仅提供营业执照扫描件）、投标人监理资质证书副本等材料的扫描件。</w:t>
      </w:r>
    </w:p>
    <w:p w14:paraId="77EC8955">
      <w:pPr>
        <w:spacing w:line="360" w:lineRule="auto"/>
        <w:ind w:firstLine="371" w:firstLineChars="177"/>
        <w:rPr>
          <w:rFonts w:hint="eastAsia" w:ascii="宋体" w:hAnsi="宋体" w:eastAsia="宋体"/>
          <w:color w:val="auto"/>
          <w:szCs w:val="21"/>
          <w:highlight w:val="none"/>
        </w:rPr>
      </w:pPr>
      <w:r>
        <w:rPr>
          <w:rFonts w:hint="eastAsia" w:ascii="宋体" w:hAnsi="宋体" w:eastAsia="宋体"/>
          <w:color w:val="auto"/>
          <w:szCs w:val="21"/>
          <w:highlight w:val="none"/>
        </w:rPr>
        <w:t>3.5.2“近年完成的类似监理项目情况表”应附中标通知书和（或）合同协议书、委托人出具的证明文件；具体时间要求见投标人须知前附表，每张表格只填写一个项目，并标明序号。</w:t>
      </w:r>
    </w:p>
    <w:p w14:paraId="15E56E97">
      <w:pPr>
        <w:spacing w:line="360" w:lineRule="auto"/>
        <w:ind w:firstLine="371" w:firstLineChars="177"/>
        <w:rPr>
          <w:rFonts w:hint="eastAsia" w:ascii="宋体" w:hAnsi="宋体" w:eastAsia="宋体"/>
          <w:color w:val="auto"/>
          <w:szCs w:val="21"/>
          <w:highlight w:val="none"/>
        </w:rPr>
      </w:pPr>
      <w:r>
        <w:rPr>
          <w:rFonts w:hint="eastAsia" w:ascii="宋体" w:hAnsi="宋体" w:eastAsia="宋体"/>
          <w:color w:val="auto"/>
          <w:szCs w:val="21"/>
          <w:highlight w:val="none"/>
        </w:rPr>
        <w:t>3.5.3“拟委任的主要人员汇总表”应填报满足本章第1.4.1项规定的总监理工程师和其他主要人员的相关信息。“主要人员简历表”中总监理工程师应附身份证、学历证、职称证、注册监理工程师执业证书和社保缴费证明，管理过的项目业绩须附合同协议书（如有）；其他主要人员应附身份证、学历证、职称证、有关证书和社保缴费证明（如有）。（注：以上人员社保要求：具有离投标截止时间最近的至少1个月在本单位缴纳的社保证明文件，由招标人自行确定。）</w:t>
      </w:r>
    </w:p>
    <w:p w14:paraId="6B00E022">
      <w:pPr>
        <w:spacing w:line="360" w:lineRule="auto"/>
        <w:ind w:firstLine="371" w:firstLineChars="177"/>
        <w:rPr>
          <w:rFonts w:hint="eastAsia" w:ascii="宋体" w:hAnsi="宋体" w:eastAsia="宋体"/>
          <w:b/>
          <w:bCs/>
          <w:color w:val="auto"/>
          <w:szCs w:val="21"/>
          <w:highlight w:val="none"/>
          <w:u w:val="single"/>
        </w:rPr>
      </w:pPr>
      <w:r>
        <w:rPr>
          <w:rFonts w:hint="eastAsia" w:ascii="宋体" w:hAnsi="宋体" w:eastAsia="宋体"/>
          <w:color w:val="auto"/>
          <w:szCs w:val="21"/>
          <w:highlight w:val="none"/>
        </w:rPr>
        <w:t>3.5.4投标人须知前附表规定接受联合体投标的，本章第3.5.1项至第3.5.3项规定的表格和资料应包括联合体各方相关情况。</w:t>
      </w:r>
    </w:p>
    <w:p w14:paraId="6E7CEE42">
      <w:pPr>
        <w:spacing w:line="360" w:lineRule="auto"/>
        <w:ind w:firstLine="373" w:firstLineChars="177"/>
        <w:rPr>
          <w:rFonts w:hint="eastAsia" w:ascii="宋体" w:hAnsi="宋体" w:eastAsia="宋体"/>
          <w:color w:val="auto"/>
          <w:szCs w:val="21"/>
          <w:highlight w:val="none"/>
        </w:rPr>
      </w:pPr>
      <w:r>
        <w:rPr>
          <w:rFonts w:hint="eastAsia" w:ascii="宋体" w:hAnsi="宋体" w:eastAsia="宋体"/>
          <w:b/>
          <w:bCs/>
          <w:color w:val="auto"/>
          <w:szCs w:val="21"/>
          <w:highlight w:val="none"/>
        </w:rPr>
        <w:t>现文：</w:t>
      </w:r>
      <w:r>
        <w:rPr>
          <w:rFonts w:hint="eastAsia" w:ascii="宋体" w:hAnsi="宋体" w:eastAsia="宋体"/>
          <w:color w:val="auto"/>
          <w:szCs w:val="21"/>
          <w:highlight w:val="none"/>
        </w:rPr>
        <w:t>3.5.1“投标人基本情况表”应附投标人营业执照和组织机构代码证的扫描件（按照“三证合一”或“五证合一”登记制度进行登记的，可仅提供营业执照扫描件）、投标人监理资质证书副本等材料的扫描件。</w:t>
      </w:r>
    </w:p>
    <w:p w14:paraId="4C73377F">
      <w:pPr>
        <w:spacing w:line="360" w:lineRule="auto"/>
        <w:ind w:firstLine="371" w:firstLineChars="177"/>
        <w:rPr>
          <w:rFonts w:hint="eastAsia" w:ascii="宋体" w:hAnsi="宋体" w:eastAsia="宋体"/>
          <w:color w:val="auto"/>
          <w:szCs w:val="21"/>
          <w:highlight w:val="none"/>
        </w:rPr>
      </w:pPr>
      <w:r>
        <w:rPr>
          <w:rFonts w:hint="eastAsia" w:ascii="宋体" w:hAnsi="宋体" w:eastAsia="宋体"/>
          <w:color w:val="auto"/>
          <w:szCs w:val="21"/>
          <w:highlight w:val="none"/>
        </w:rPr>
        <w:t>3.5.2</w:t>
      </w:r>
      <w:r>
        <w:rPr>
          <w:rFonts w:hint="eastAsia" w:ascii="宋体" w:hAnsi="宋体" w:eastAsia="宋体"/>
          <w:color w:val="auto"/>
          <w:szCs w:val="21"/>
          <w:highlight w:val="none"/>
          <w:u w:val="single"/>
        </w:rPr>
        <w:t>如有合格业绩要求，</w:t>
      </w:r>
      <w:r>
        <w:rPr>
          <w:rFonts w:hint="eastAsia" w:ascii="宋体" w:hAnsi="宋体" w:eastAsia="宋体"/>
          <w:color w:val="auto"/>
          <w:szCs w:val="21"/>
          <w:highlight w:val="none"/>
        </w:rPr>
        <w:t>“近年完成的类似监理项目情况表”</w:t>
      </w:r>
      <w:r>
        <w:rPr>
          <w:rFonts w:hint="eastAsia" w:ascii="宋体" w:hAnsi="宋体" w:eastAsia="宋体"/>
          <w:color w:val="auto"/>
          <w:szCs w:val="21"/>
          <w:highlight w:val="none"/>
          <w:u w:val="single"/>
        </w:rPr>
        <w:t>应按公告要求附相关资料</w:t>
      </w:r>
      <w:r>
        <w:rPr>
          <w:rFonts w:hint="eastAsia" w:ascii="宋体" w:hAnsi="宋体" w:eastAsia="宋体"/>
          <w:color w:val="auto"/>
          <w:szCs w:val="21"/>
          <w:highlight w:val="none"/>
        </w:rPr>
        <w:t>，每张表格只填写一个项目，并标明序号。</w:t>
      </w:r>
    </w:p>
    <w:p w14:paraId="0FFC6349">
      <w:pPr>
        <w:spacing w:line="360" w:lineRule="auto"/>
        <w:ind w:firstLine="371" w:firstLineChars="177"/>
        <w:rPr>
          <w:rFonts w:hint="eastAsia" w:ascii="宋体" w:hAnsi="宋体" w:eastAsia="宋体"/>
          <w:color w:val="auto"/>
          <w:szCs w:val="21"/>
          <w:highlight w:val="none"/>
        </w:rPr>
      </w:pPr>
      <w:r>
        <w:rPr>
          <w:rFonts w:hint="eastAsia" w:ascii="宋体" w:hAnsi="宋体" w:eastAsia="宋体"/>
          <w:color w:val="auto"/>
          <w:szCs w:val="21"/>
          <w:highlight w:val="none"/>
        </w:rPr>
        <w:t>3.5.3“拟委任的主要人员汇总表”应填报满足本章第1.4.1项规定的总监理工程师和其他主要人员的相关信息。“主要人员简历表”中总监理工程师应附</w:t>
      </w:r>
      <w:r>
        <w:rPr>
          <w:rFonts w:hint="eastAsia" w:ascii="宋体" w:hAnsi="宋体" w:eastAsia="宋体"/>
          <w:strike/>
          <w:color w:val="auto"/>
          <w:szCs w:val="21"/>
          <w:highlight w:val="none"/>
        </w:rPr>
        <w:t>身份证、</w:t>
      </w:r>
      <w:r>
        <w:rPr>
          <w:rFonts w:hint="eastAsia" w:ascii="宋体" w:hAnsi="宋体" w:eastAsia="宋体"/>
          <w:color w:val="auto"/>
          <w:szCs w:val="21"/>
          <w:highlight w:val="none"/>
        </w:rPr>
        <w:t>学历证、职称证、注册监理工程师执业证书和社保缴费证明，管理过的项目业绩须附合同协议书（如有）；其他主要人员应附</w:t>
      </w:r>
      <w:r>
        <w:rPr>
          <w:rFonts w:hint="eastAsia" w:ascii="宋体" w:hAnsi="宋体" w:eastAsia="宋体"/>
          <w:strike/>
          <w:color w:val="auto"/>
          <w:szCs w:val="21"/>
          <w:highlight w:val="none"/>
        </w:rPr>
        <w:t>身份证、</w:t>
      </w:r>
      <w:r>
        <w:rPr>
          <w:rFonts w:hint="eastAsia" w:ascii="宋体" w:hAnsi="宋体" w:eastAsia="宋体"/>
          <w:color w:val="auto"/>
          <w:szCs w:val="21"/>
          <w:highlight w:val="none"/>
        </w:rPr>
        <w:t>学历证、职称证、有关证书和社保缴费证明（如有）。</w:t>
      </w:r>
      <w:r>
        <w:rPr>
          <w:rFonts w:hint="eastAsia" w:ascii="宋体" w:hAnsi="宋体" w:eastAsia="宋体"/>
          <w:strike/>
          <w:color w:val="auto"/>
          <w:szCs w:val="21"/>
          <w:highlight w:val="none"/>
        </w:rPr>
        <w:t>（注：以上人员社保要求：具有离投标截止时间最近的至少1个月在本单位缴纳的社保证明文件，由招标人自行确定。）</w:t>
      </w:r>
    </w:p>
    <w:p w14:paraId="7F7738FD">
      <w:pPr>
        <w:pBdr>
          <w:bottom w:val="single" w:color="auto" w:sz="6" w:space="1"/>
        </w:pBdr>
        <w:wordWrap w:val="0"/>
        <w:spacing w:line="360" w:lineRule="auto"/>
        <w:ind w:firstLine="367" w:firstLineChars="175"/>
        <w:rPr>
          <w:rFonts w:hint="eastAsia" w:ascii="宋体" w:hAnsi="宋体" w:eastAsia="宋体"/>
          <w:b/>
          <w:bCs/>
          <w:color w:val="auto"/>
          <w:szCs w:val="21"/>
          <w:highlight w:val="none"/>
        </w:rPr>
      </w:pPr>
      <w:r>
        <w:rPr>
          <w:rFonts w:hint="eastAsia" w:ascii="宋体" w:hAnsi="宋体" w:eastAsia="宋体"/>
          <w:color w:val="auto"/>
          <w:szCs w:val="21"/>
          <w:highlight w:val="none"/>
        </w:rPr>
        <w:t>3.5.4投标人须知前附表规定接受联合体投标的，本章第3.5.1项至第3.5.3项规定的表格和资料应包括联合体各方相关情况。</w:t>
      </w:r>
    </w:p>
    <w:p w14:paraId="2178762C">
      <w:pPr>
        <w:pBdr>
          <w:bottom w:val="single" w:color="auto" w:sz="6" w:space="1"/>
        </w:pBdr>
        <w:wordWrap w:val="0"/>
        <w:spacing w:line="360" w:lineRule="auto"/>
        <w:ind w:firstLine="369" w:firstLineChars="175"/>
        <w:rPr>
          <w:rFonts w:hint="eastAsia" w:ascii="宋体" w:hAnsi="宋体" w:eastAsia="宋体"/>
          <w:b/>
          <w:bCs/>
          <w:color w:val="auto"/>
          <w:szCs w:val="21"/>
          <w:highlight w:val="none"/>
          <w:u w:val="single"/>
        </w:rPr>
      </w:pPr>
      <w:r>
        <w:rPr>
          <w:rFonts w:hint="eastAsia" w:ascii="宋体" w:hAnsi="宋体" w:eastAsia="宋体"/>
          <w:b/>
          <w:bCs/>
          <w:color w:val="auto"/>
          <w:szCs w:val="21"/>
          <w:highlight w:val="none"/>
          <w:u w:val="single"/>
        </w:rPr>
        <w:t>注：具体详见第六章“投标文件格式”。</w:t>
      </w:r>
    </w:p>
    <w:p w14:paraId="78D4EC5C">
      <w:pPr>
        <w:wordWrap w:val="0"/>
        <w:spacing w:line="360" w:lineRule="auto"/>
        <w:ind w:firstLine="367" w:firstLineChars="175"/>
        <w:rPr>
          <w:rFonts w:hint="eastAsia" w:ascii="宋体" w:hAnsi="宋体" w:eastAsia="宋体" w:cs="楷体_GB2312"/>
          <w:color w:val="auto"/>
          <w:szCs w:val="21"/>
          <w:highlight w:val="none"/>
        </w:rPr>
      </w:pPr>
      <w:r>
        <w:rPr>
          <w:rFonts w:ascii="宋体" w:hAnsi="宋体" w:eastAsia="宋体" w:cs="楷体_GB2312"/>
          <w:color w:val="auto"/>
          <w:szCs w:val="21"/>
          <w:highlight w:val="none"/>
        </w:rPr>
        <w:t>注：以上修改，仅限于本范本中有可供选择条款的情形。</w:t>
      </w:r>
    </w:p>
    <w:p w14:paraId="703C824A">
      <w:pPr>
        <w:wordWrap w:val="0"/>
        <w:spacing w:line="360" w:lineRule="auto"/>
        <w:ind w:firstLine="367" w:firstLineChars="175"/>
        <w:rPr>
          <w:rFonts w:hint="eastAsia" w:ascii="宋体" w:hAnsi="宋体" w:eastAsia="宋体"/>
          <w:color w:val="auto"/>
          <w:szCs w:val="21"/>
          <w:highlight w:val="none"/>
        </w:rPr>
      </w:pPr>
      <w:r>
        <w:rPr>
          <w:rFonts w:ascii="宋体" w:hAnsi="宋体" w:eastAsia="宋体"/>
          <w:color w:val="auto"/>
          <w:szCs w:val="21"/>
          <w:highlight w:val="none"/>
        </w:rPr>
        <w:t>（以下无正文）</w:t>
      </w:r>
    </w:p>
    <w:p w14:paraId="6E0B7B20">
      <w:pPr>
        <w:keepNext/>
        <w:keepLines/>
        <w:wordWrap w:val="0"/>
        <w:spacing w:line="360" w:lineRule="auto"/>
        <w:outlineLvl w:val="2"/>
        <w:rPr>
          <w:rFonts w:hint="eastAsia" w:ascii="宋体" w:hAnsi="宋体" w:eastAsia="宋体" w:cs="Times New Roman"/>
          <w:b/>
          <w:color w:val="auto"/>
          <w:sz w:val="28"/>
          <w:szCs w:val="20"/>
          <w:highlight w:val="none"/>
        </w:rPr>
      </w:pPr>
      <w:r>
        <w:rPr>
          <w:rFonts w:ascii="宋体" w:hAnsi="宋体" w:eastAsia="宋体" w:cs="Times New Roman"/>
          <w:b/>
          <w:color w:val="auto"/>
          <w:sz w:val="28"/>
          <w:szCs w:val="20"/>
          <w:highlight w:val="none"/>
        </w:rPr>
        <w:br w:type="page"/>
      </w:r>
      <w:r>
        <w:rPr>
          <w:rFonts w:ascii="宋体" w:hAnsi="宋体" w:eastAsia="宋体" w:cs="Times New Roman"/>
          <w:b/>
          <w:color w:val="auto"/>
          <w:sz w:val="28"/>
          <w:szCs w:val="20"/>
          <w:highlight w:val="none"/>
        </w:rPr>
        <w:t xml:space="preserve">1.  </w:t>
      </w:r>
      <w:r>
        <w:rPr>
          <w:rFonts w:hint="eastAsia" w:ascii="宋体" w:hAnsi="宋体" w:eastAsia="宋体" w:cs="Times New Roman"/>
          <w:b/>
          <w:color w:val="auto"/>
          <w:sz w:val="28"/>
          <w:szCs w:val="20"/>
          <w:highlight w:val="none"/>
        </w:rPr>
        <w:t>总则</w:t>
      </w:r>
    </w:p>
    <w:p w14:paraId="49B92B2B">
      <w:pPr>
        <w:keepNext/>
        <w:keepLines/>
        <w:wordWrap w:val="0"/>
        <w:spacing w:line="360" w:lineRule="auto"/>
        <w:outlineLvl w:val="3"/>
        <w:rPr>
          <w:rFonts w:hint="eastAsia" w:ascii="宋体" w:hAnsi="宋体" w:eastAsia="宋体" w:cs="Times New Roman"/>
          <w:b/>
          <w:color w:val="auto"/>
          <w:sz w:val="28"/>
          <w:szCs w:val="28"/>
          <w:highlight w:val="none"/>
        </w:rPr>
      </w:pPr>
      <w:bookmarkStart w:id="159" w:name="bookmark21"/>
      <w:bookmarkEnd w:id="159"/>
      <w:r>
        <w:rPr>
          <w:rFonts w:ascii="宋体" w:hAnsi="宋体" w:eastAsia="宋体" w:cs="Times New Roman"/>
          <w:b/>
          <w:color w:val="auto"/>
          <w:sz w:val="28"/>
          <w:szCs w:val="28"/>
          <w:highlight w:val="none"/>
        </w:rPr>
        <w:t>1.1</w:t>
      </w:r>
      <w:r>
        <w:rPr>
          <w:rFonts w:hint="eastAsia" w:ascii="宋体" w:hAnsi="宋体" w:eastAsia="宋体" w:cs="Times New Roman"/>
          <w:b/>
          <w:color w:val="auto"/>
          <w:sz w:val="28"/>
          <w:szCs w:val="28"/>
          <w:highlight w:val="none"/>
        </w:rPr>
        <w:t>招标项目概况</w:t>
      </w:r>
    </w:p>
    <w:p w14:paraId="60709A4D">
      <w:pPr>
        <w:kinsoku w:val="0"/>
        <w:wordWrap w:val="0"/>
        <w:overflowPunct w:val="0"/>
        <w:spacing w:line="360" w:lineRule="auto"/>
        <w:ind w:right="113" w:firstLine="424" w:firstLineChars="202"/>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1.1.1</w:t>
      </w:r>
      <w:r>
        <w:rPr>
          <w:rFonts w:hint="eastAsia" w:ascii="宋体" w:hAnsi="宋体" w:eastAsia="宋体" w:cs="Times New Roman"/>
          <w:color w:val="auto"/>
          <w:spacing w:val="-8"/>
          <w:szCs w:val="21"/>
          <w:highlight w:val="none"/>
        </w:rPr>
        <w:t>根据《中华人民共和国招标投标法》、《中华人民共和国招标投标法实施条例》等有关</w:t>
      </w:r>
      <w:r>
        <w:rPr>
          <w:rFonts w:hint="eastAsia" w:ascii="宋体" w:hAnsi="宋体" w:eastAsia="宋体" w:cs="Times New Roman"/>
          <w:color w:val="auto"/>
          <w:szCs w:val="21"/>
          <w:highlight w:val="none"/>
        </w:rPr>
        <w:t>法律、法规和规章的规定，本招标项目已具备招标条件，现对监理进行招标。</w:t>
      </w:r>
    </w:p>
    <w:p w14:paraId="3BD36FCB">
      <w:pPr>
        <w:kinsoku w:val="0"/>
        <w:wordWrap w:val="0"/>
        <w:overflowPunct w:val="0"/>
        <w:spacing w:line="360" w:lineRule="auto"/>
        <w:ind w:right="113" w:rightChars="54" w:firstLine="424" w:firstLineChars="202"/>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1.1.2</w:t>
      </w:r>
      <w:r>
        <w:rPr>
          <w:rFonts w:hint="eastAsia" w:ascii="宋体" w:hAnsi="宋体" w:eastAsia="宋体" w:cs="Times New Roman"/>
          <w:color w:val="auto"/>
          <w:szCs w:val="21"/>
          <w:highlight w:val="none"/>
        </w:rPr>
        <w:t>招标人：见投标人须知前附表。</w:t>
      </w:r>
    </w:p>
    <w:p w14:paraId="2492374C">
      <w:pPr>
        <w:kinsoku w:val="0"/>
        <w:wordWrap w:val="0"/>
        <w:overflowPunct w:val="0"/>
        <w:spacing w:line="360" w:lineRule="auto"/>
        <w:ind w:right="113" w:rightChars="54" w:firstLine="424" w:firstLineChars="202"/>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1.1.3</w:t>
      </w:r>
      <w:r>
        <w:rPr>
          <w:rFonts w:hint="eastAsia" w:ascii="宋体" w:hAnsi="宋体" w:eastAsia="宋体" w:cs="Times New Roman"/>
          <w:color w:val="auto"/>
          <w:szCs w:val="21"/>
          <w:highlight w:val="none"/>
        </w:rPr>
        <w:t>招标代理机构：见投标人须知前附表。</w:t>
      </w:r>
    </w:p>
    <w:p w14:paraId="78B1C60B">
      <w:pPr>
        <w:kinsoku w:val="0"/>
        <w:wordWrap w:val="0"/>
        <w:overflowPunct w:val="0"/>
        <w:spacing w:line="360" w:lineRule="auto"/>
        <w:ind w:right="113" w:rightChars="54" w:firstLine="424" w:firstLineChars="202"/>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1.1.4</w:t>
      </w:r>
      <w:r>
        <w:rPr>
          <w:rFonts w:hint="eastAsia" w:ascii="宋体" w:hAnsi="宋体" w:eastAsia="宋体" w:cs="Times New Roman"/>
          <w:color w:val="auto"/>
          <w:szCs w:val="21"/>
          <w:highlight w:val="none"/>
        </w:rPr>
        <w:t>招标项目名称：见投标人须知前附表。</w:t>
      </w:r>
    </w:p>
    <w:p w14:paraId="7EEDC8F9">
      <w:pPr>
        <w:kinsoku w:val="0"/>
        <w:wordWrap w:val="0"/>
        <w:overflowPunct w:val="0"/>
        <w:spacing w:line="360" w:lineRule="auto"/>
        <w:ind w:right="113" w:rightChars="54" w:firstLine="424" w:firstLineChars="202"/>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1.1.5</w:t>
      </w:r>
      <w:r>
        <w:rPr>
          <w:rFonts w:hint="eastAsia" w:ascii="宋体" w:hAnsi="宋体" w:eastAsia="宋体" w:cs="Times New Roman"/>
          <w:color w:val="auto"/>
          <w:szCs w:val="21"/>
          <w:highlight w:val="none"/>
        </w:rPr>
        <w:t>项目建设地点：见投标人须知前附表。</w:t>
      </w:r>
    </w:p>
    <w:p w14:paraId="3F31F955">
      <w:pPr>
        <w:kinsoku w:val="0"/>
        <w:wordWrap w:val="0"/>
        <w:overflowPunct w:val="0"/>
        <w:spacing w:line="360" w:lineRule="auto"/>
        <w:ind w:right="113" w:rightChars="54" w:firstLine="424" w:firstLineChars="202"/>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1.1.6</w:t>
      </w:r>
      <w:r>
        <w:rPr>
          <w:rFonts w:hint="eastAsia" w:ascii="宋体" w:hAnsi="宋体" w:eastAsia="宋体" w:cs="Times New Roman"/>
          <w:color w:val="auto"/>
          <w:szCs w:val="21"/>
          <w:highlight w:val="none"/>
        </w:rPr>
        <w:t>项目建设规模：见投标人须知前附表。</w:t>
      </w:r>
    </w:p>
    <w:p w14:paraId="44CAA0EE">
      <w:pPr>
        <w:kinsoku w:val="0"/>
        <w:wordWrap w:val="0"/>
        <w:overflowPunct w:val="0"/>
        <w:spacing w:line="360" w:lineRule="auto"/>
        <w:ind w:right="113" w:rightChars="54" w:firstLine="424" w:firstLineChars="202"/>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1.1.7</w:t>
      </w:r>
      <w:r>
        <w:rPr>
          <w:rFonts w:hint="eastAsia" w:ascii="宋体" w:hAnsi="宋体" w:eastAsia="宋体" w:cs="Times New Roman"/>
          <w:color w:val="auto"/>
          <w:szCs w:val="21"/>
          <w:highlight w:val="none"/>
        </w:rPr>
        <w:t>工程项目施工预计开工日期和建设周期：见投标人须知前附表。</w:t>
      </w:r>
    </w:p>
    <w:p w14:paraId="4522CC1D">
      <w:pPr>
        <w:kinsoku w:val="0"/>
        <w:wordWrap w:val="0"/>
        <w:overflowPunct w:val="0"/>
        <w:spacing w:line="360" w:lineRule="auto"/>
        <w:ind w:right="113" w:rightChars="54" w:firstLine="424" w:firstLineChars="202"/>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1.1.8</w:t>
      </w:r>
      <w:r>
        <w:rPr>
          <w:rFonts w:hint="eastAsia" w:ascii="宋体" w:hAnsi="宋体" w:eastAsia="宋体" w:cs="Times New Roman"/>
          <w:color w:val="auto"/>
          <w:szCs w:val="21"/>
          <w:highlight w:val="none"/>
        </w:rPr>
        <w:t>建筑安装工程费</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工程概算：见投标人须知前附表。</w:t>
      </w:r>
    </w:p>
    <w:p w14:paraId="0BA36D2E">
      <w:pPr>
        <w:keepNext/>
        <w:keepLines/>
        <w:wordWrap w:val="0"/>
        <w:spacing w:line="360" w:lineRule="auto"/>
        <w:outlineLvl w:val="3"/>
        <w:rPr>
          <w:rFonts w:hint="eastAsia" w:ascii="宋体" w:hAnsi="宋体" w:eastAsia="宋体" w:cs="Times New Roman"/>
          <w:b/>
          <w:color w:val="auto"/>
          <w:sz w:val="28"/>
          <w:szCs w:val="28"/>
          <w:highlight w:val="none"/>
        </w:rPr>
      </w:pPr>
      <w:bookmarkStart w:id="160" w:name="bookmark22"/>
      <w:bookmarkEnd w:id="160"/>
      <w:r>
        <w:rPr>
          <w:rFonts w:ascii="宋体" w:hAnsi="宋体" w:eastAsia="宋体" w:cs="Times New Roman"/>
          <w:b/>
          <w:color w:val="auto"/>
          <w:sz w:val="28"/>
          <w:szCs w:val="28"/>
          <w:highlight w:val="none"/>
        </w:rPr>
        <w:t>1.2</w:t>
      </w:r>
      <w:r>
        <w:rPr>
          <w:rFonts w:hint="eastAsia" w:ascii="宋体" w:hAnsi="宋体" w:eastAsia="宋体" w:cs="Times New Roman"/>
          <w:b/>
          <w:color w:val="auto"/>
          <w:sz w:val="28"/>
          <w:szCs w:val="28"/>
          <w:highlight w:val="none"/>
        </w:rPr>
        <w:t>招标项目的资金来源和落实情况</w:t>
      </w:r>
    </w:p>
    <w:p w14:paraId="4B1BEB33">
      <w:pPr>
        <w:kinsoku w:val="0"/>
        <w:wordWrap w:val="0"/>
        <w:overflowPunct w:val="0"/>
        <w:spacing w:line="360" w:lineRule="auto"/>
        <w:ind w:right="113" w:rightChars="54" w:firstLine="424" w:firstLineChars="202"/>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1.2.1</w:t>
      </w:r>
      <w:r>
        <w:rPr>
          <w:rFonts w:hint="eastAsia" w:ascii="宋体" w:hAnsi="宋体" w:eastAsia="宋体" w:cs="Times New Roman"/>
          <w:color w:val="auto"/>
          <w:szCs w:val="21"/>
          <w:highlight w:val="none"/>
        </w:rPr>
        <w:t>资金来源及比例：见投标人须知前附表。</w:t>
      </w:r>
    </w:p>
    <w:p w14:paraId="3BB18BAF">
      <w:pPr>
        <w:kinsoku w:val="0"/>
        <w:wordWrap w:val="0"/>
        <w:overflowPunct w:val="0"/>
        <w:spacing w:line="360" w:lineRule="auto"/>
        <w:ind w:right="113" w:rightChars="54" w:firstLine="424" w:firstLineChars="202"/>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1.2.2</w:t>
      </w:r>
      <w:r>
        <w:rPr>
          <w:rFonts w:hint="eastAsia" w:ascii="宋体" w:hAnsi="宋体" w:eastAsia="宋体" w:cs="Times New Roman"/>
          <w:color w:val="auto"/>
          <w:szCs w:val="21"/>
          <w:highlight w:val="none"/>
        </w:rPr>
        <w:t>资金落实情况：见投标人须知前附表。</w:t>
      </w:r>
    </w:p>
    <w:p w14:paraId="64590A42">
      <w:pPr>
        <w:keepNext/>
        <w:keepLines/>
        <w:wordWrap w:val="0"/>
        <w:spacing w:line="360" w:lineRule="auto"/>
        <w:outlineLvl w:val="3"/>
        <w:rPr>
          <w:rFonts w:hint="eastAsia" w:ascii="宋体" w:hAnsi="宋体" w:eastAsia="宋体" w:cs="Times New Roman"/>
          <w:b/>
          <w:color w:val="auto"/>
          <w:sz w:val="28"/>
          <w:szCs w:val="28"/>
          <w:highlight w:val="none"/>
        </w:rPr>
      </w:pPr>
      <w:bookmarkStart w:id="161" w:name="bookmark23"/>
      <w:bookmarkEnd w:id="161"/>
      <w:r>
        <w:rPr>
          <w:rFonts w:ascii="宋体" w:hAnsi="宋体" w:eastAsia="宋体" w:cs="Times New Roman"/>
          <w:b/>
          <w:color w:val="auto"/>
          <w:sz w:val="28"/>
          <w:szCs w:val="28"/>
          <w:highlight w:val="none"/>
        </w:rPr>
        <w:t>1.3</w:t>
      </w:r>
      <w:r>
        <w:rPr>
          <w:rFonts w:hint="eastAsia" w:ascii="宋体" w:hAnsi="宋体" w:eastAsia="宋体" w:cs="Times New Roman"/>
          <w:b/>
          <w:color w:val="auto"/>
          <w:sz w:val="28"/>
          <w:szCs w:val="28"/>
          <w:highlight w:val="none"/>
        </w:rPr>
        <w:t>招标范围、监理服务期限和质量标准</w:t>
      </w:r>
    </w:p>
    <w:p w14:paraId="0FD37A0B">
      <w:pPr>
        <w:kinsoku w:val="0"/>
        <w:wordWrap w:val="0"/>
        <w:overflowPunct w:val="0"/>
        <w:spacing w:line="360" w:lineRule="auto"/>
        <w:ind w:right="113" w:rightChars="54" w:firstLine="424" w:firstLineChars="202"/>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1.3.1</w:t>
      </w:r>
      <w:r>
        <w:rPr>
          <w:rFonts w:hint="eastAsia" w:ascii="宋体" w:hAnsi="宋体" w:eastAsia="宋体" w:cs="Times New Roman"/>
          <w:color w:val="auto"/>
          <w:szCs w:val="21"/>
          <w:highlight w:val="none"/>
        </w:rPr>
        <w:t>招标范围：见投标人须知前附表。</w:t>
      </w:r>
    </w:p>
    <w:p w14:paraId="0B0F6C3F">
      <w:pPr>
        <w:kinsoku w:val="0"/>
        <w:wordWrap w:val="0"/>
        <w:overflowPunct w:val="0"/>
        <w:spacing w:line="360" w:lineRule="auto"/>
        <w:ind w:right="113" w:rightChars="54" w:firstLine="424" w:firstLineChars="202"/>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1.3.2</w:t>
      </w:r>
      <w:r>
        <w:rPr>
          <w:rFonts w:hint="eastAsia" w:ascii="宋体" w:hAnsi="宋体" w:eastAsia="宋体" w:cs="Times New Roman"/>
          <w:color w:val="auto"/>
          <w:szCs w:val="21"/>
          <w:highlight w:val="none"/>
        </w:rPr>
        <w:t>监理服务期限：见投标人须知前附表。</w:t>
      </w:r>
    </w:p>
    <w:p w14:paraId="2ACF2333">
      <w:pPr>
        <w:kinsoku w:val="0"/>
        <w:wordWrap w:val="0"/>
        <w:overflowPunct w:val="0"/>
        <w:spacing w:line="360" w:lineRule="auto"/>
        <w:ind w:right="113" w:rightChars="54" w:firstLine="424" w:firstLineChars="202"/>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1.3.3</w:t>
      </w:r>
      <w:r>
        <w:rPr>
          <w:rFonts w:hint="eastAsia" w:ascii="宋体" w:hAnsi="宋体" w:eastAsia="宋体" w:cs="Times New Roman"/>
          <w:color w:val="auto"/>
          <w:szCs w:val="21"/>
          <w:highlight w:val="none"/>
        </w:rPr>
        <w:t>质量标准：见投标人须知前附表。</w:t>
      </w:r>
    </w:p>
    <w:p w14:paraId="0A1DF085">
      <w:pPr>
        <w:keepNext/>
        <w:keepLines/>
        <w:wordWrap w:val="0"/>
        <w:spacing w:line="360" w:lineRule="auto"/>
        <w:outlineLvl w:val="3"/>
        <w:rPr>
          <w:rFonts w:hint="eastAsia" w:ascii="宋体" w:hAnsi="宋体" w:eastAsia="宋体" w:cs="Times New Roman"/>
          <w:b/>
          <w:color w:val="auto"/>
          <w:sz w:val="28"/>
          <w:szCs w:val="28"/>
          <w:highlight w:val="none"/>
        </w:rPr>
      </w:pPr>
      <w:bookmarkStart w:id="162" w:name="bookmark24"/>
      <w:bookmarkEnd w:id="162"/>
      <w:r>
        <w:rPr>
          <w:rFonts w:ascii="宋体" w:hAnsi="宋体" w:eastAsia="宋体" w:cs="Times New Roman"/>
          <w:b/>
          <w:color w:val="auto"/>
          <w:sz w:val="28"/>
          <w:szCs w:val="28"/>
          <w:highlight w:val="none"/>
        </w:rPr>
        <w:t>1.4</w:t>
      </w:r>
      <w:r>
        <w:rPr>
          <w:rFonts w:hint="eastAsia" w:ascii="宋体" w:hAnsi="宋体" w:eastAsia="宋体" w:cs="Times New Roman"/>
          <w:b/>
          <w:color w:val="auto"/>
          <w:sz w:val="28"/>
          <w:szCs w:val="28"/>
          <w:highlight w:val="none"/>
        </w:rPr>
        <w:t>投标人资格要求</w:t>
      </w:r>
    </w:p>
    <w:p w14:paraId="230E3EA0">
      <w:pPr>
        <w:kinsoku w:val="0"/>
        <w:wordWrap w:val="0"/>
        <w:overflowPunct w:val="0"/>
        <w:spacing w:line="360" w:lineRule="auto"/>
        <w:ind w:right="113" w:rightChars="54" w:firstLine="424" w:firstLineChars="202"/>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1.4.1</w:t>
      </w:r>
      <w:r>
        <w:rPr>
          <w:rFonts w:hint="eastAsia" w:ascii="宋体" w:hAnsi="宋体" w:eastAsia="宋体" w:cs="Times New Roman"/>
          <w:color w:val="auto"/>
          <w:szCs w:val="21"/>
          <w:highlight w:val="none"/>
        </w:rPr>
        <w:t>投标人应具备承担本招标项目资质条件、能力和信誉：</w:t>
      </w:r>
    </w:p>
    <w:p w14:paraId="18A31D16">
      <w:pPr>
        <w:kinsoku w:val="0"/>
        <w:wordWrap w:val="0"/>
        <w:overflowPunct w:val="0"/>
        <w:spacing w:line="360" w:lineRule="auto"/>
        <w:ind w:right="71"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（1）资质要求：见投标人须知前附表；</w:t>
      </w:r>
    </w:p>
    <w:p w14:paraId="7670569E">
      <w:pPr>
        <w:kinsoku w:val="0"/>
        <w:wordWrap w:val="0"/>
        <w:overflowPunct w:val="0"/>
        <w:spacing w:line="360" w:lineRule="auto"/>
        <w:ind w:right="71"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（2）业绩要求：见投标人须知前附表；</w:t>
      </w:r>
    </w:p>
    <w:p w14:paraId="7EEF1497">
      <w:pPr>
        <w:kinsoku w:val="0"/>
        <w:wordWrap w:val="0"/>
        <w:overflowPunct w:val="0"/>
        <w:spacing w:line="360" w:lineRule="auto"/>
        <w:ind w:right="71"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（3）总监理工程师的资格要求：应当具备工程注册监理工程师执业资格（如有），具体要求见投标人须知前附表；</w:t>
      </w:r>
    </w:p>
    <w:p w14:paraId="261F5097">
      <w:pPr>
        <w:kinsoku w:val="0"/>
        <w:wordWrap w:val="0"/>
        <w:overflowPunct w:val="0"/>
        <w:spacing w:line="360" w:lineRule="auto"/>
        <w:ind w:right="71"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（4）其他主要人员要求：见投标人须知前附表。</w:t>
      </w:r>
    </w:p>
    <w:p w14:paraId="2DD303BB">
      <w:pPr>
        <w:kinsoku w:val="0"/>
        <w:wordWrap w:val="0"/>
        <w:overflowPunct w:val="0"/>
        <w:spacing w:line="360" w:lineRule="auto"/>
        <w:ind w:right="71"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（5）其他要求：见投标人须知前附表。</w:t>
      </w:r>
    </w:p>
    <w:p w14:paraId="41453E09">
      <w:pPr>
        <w:kinsoku w:val="0"/>
        <w:wordWrap w:val="0"/>
        <w:overflowPunct w:val="0"/>
        <w:spacing w:line="360" w:lineRule="auto"/>
        <w:ind w:right="71"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需要提交的相关证明材料见本章第3.5款的规定。</w:t>
      </w:r>
    </w:p>
    <w:p w14:paraId="3152E853">
      <w:pPr>
        <w:kinsoku w:val="0"/>
        <w:wordWrap w:val="0"/>
        <w:overflowPunct w:val="0"/>
        <w:spacing w:line="360" w:lineRule="auto"/>
        <w:ind w:firstLine="424" w:firstLineChars="202"/>
        <w:rPr>
          <w:rFonts w:hint="eastAsia" w:ascii="宋体" w:hAnsi="宋体" w:eastAsia="宋体" w:cs="宋体"/>
          <w:color w:val="auto"/>
          <w:szCs w:val="21"/>
          <w:highlight w:val="none"/>
        </w:rPr>
      </w:pPr>
      <w:r>
        <w:rPr>
          <w:rFonts w:ascii="宋体" w:hAnsi="宋体" w:eastAsia="宋体" w:cs="Times New Roman"/>
          <w:color w:val="auto"/>
          <w:szCs w:val="21"/>
          <w:highlight w:val="none"/>
        </w:rPr>
        <w:t>1.4.2</w:t>
      </w:r>
      <w:r>
        <w:rPr>
          <w:rFonts w:hint="eastAsia" w:ascii="宋体" w:hAnsi="宋体" w:eastAsia="宋体" w:cs="宋体"/>
          <w:color w:val="auto"/>
          <w:szCs w:val="21"/>
          <w:highlight w:val="none"/>
        </w:rPr>
        <w:t>投标人须知前附表规定接受联合体投标的，联合体除应符合本章第</w:t>
      </w:r>
      <w:r>
        <w:rPr>
          <w:rFonts w:ascii="宋体" w:hAnsi="宋体" w:eastAsia="宋体" w:cs="宋体"/>
          <w:color w:val="auto"/>
          <w:szCs w:val="21"/>
          <w:highlight w:val="none"/>
        </w:rPr>
        <w:t>1.4.1</w:t>
      </w:r>
      <w:r>
        <w:rPr>
          <w:rFonts w:hint="eastAsia" w:ascii="宋体" w:hAnsi="宋体" w:eastAsia="宋体" w:cs="宋体"/>
          <w:color w:val="auto"/>
          <w:szCs w:val="21"/>
          <w:highlight w:val="none"/>
        </w:rPr>
        <w:t>项和投标人须知前附表的要求外，还应遵守以下规定：</w:t>
      </w:r>
    </w:p>
    <w:p w14:paraId="3CA3BAE3">
      <w:pPr>
        <w:kinsoku w:val="0"/>
        <w:wordWrap w:val="0"/>
        <w:overflowPunct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w:t>
      </w:r>
      <w:r>
        <w:rPr>
          <w:rFonts w:hint="eastAsia" w:ascii="宋体" w:hAnsi="宋体" w:eastAsia="宋体" w:cs="宋体"/>
          <w:color w:val="auto"/>
          <w:szCs w:val="21"/>
          <w:highlight w:val="none"/>
        </w:rPr>
        <w:t>）联合体各方应按招标文件提供的格式签订联合体协议书，明确联合体牵头人和各方权利义务，并承诺就中标项目向招标人承担连带责任；</w:t>
      </w:r>
    </w:p>
    <w:p w14:paraId="128535D4">
      <w:pPr>
        <w:kinsoku w:val="0"/>
        <w:wordWrap w:val="0"/>
        <w:overflowPunct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2</w:t>
      </w:r>
      <w:r>
        <w:rPr>
          <w:rFonts w:hint="eastAsia" w:ascii="宋体" w:hAnsi="宋体" w:eastAsia="宋体" w:cs="宋体"/>
          <w:color w:val="auto"/>
          <w:szCs w:val="21"/>
          <w:highlight w:val="none"/>
        </w:rPr>
        <w:t>）由同一专业的单位组成的联合体，按照资质等级较低的单位确定资质等级；</w:t>
      </w:r>
    </w:p>
    <w:p w14:paraId="2ED2CAC7">
      <w:pPr>
        <w:kinsoku w:val="0"/>
        <w:wordWrap w:val="0"/>
        <w:overflowPunct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w:t>
      </w:r>
      <w:r>
        <w:rPr>
          <w:rFonts w:hint="eastAsia" w:ascii="宋体" w:hAnsi="宋体" w:eastAsia="宋体" w:cs="宋体"/>
          <w:color w:val="auto"/>
          <w:szCs w:val="21"/>
          <w:highlight w:val="none"/>
        </w:rPr>
        <w:t>）联合体各方不得再以自己名义单独或参加其他联合体在本招标项目中投标，否则各相关投标均无效。</w:t>
      </w:r>
    </w:p>
    <w:p w14:paraId="6F1EED21">
      <w:pPr>
        <w:kinsoku w:val="0"/>
        <w:wordWrap w:val="0"/>
        <w:overflowPunct w:val="0"/>
        <w:spacing w:line="360" w:lineRule="auto"/>
        <w:ind w:right="113" w:rightChars="54" w:firstLine="424" w:firstLineChars="202"/>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1.4.3</w:t>
      </w:r>
      <w:r>
        <w:rPr>
          <w:rFonts w:hint="eastAsia" w:ascii="宋体" w:hAnsi="宋体" w:eastAsia="宋体" w:cs="Times New Roman"/>
          <w:color w:val="auto"/>
          <w:szCs w:val="21"/>
          <w:highlight w:val="none"/>
        </w:rPr>
        <w:t>投标人不得存在下列情形之一：</w:t>
      </w:r>
    </w:p>
    <w:p w14:paraId="5A811EFC">
      <w:pPr>
        <w:kinsoku w:val="0"/>
        <w:wordWrap w:val="0"/>
        <w:overflowPunct w:val="0"/>
        <w:spacing w:line="360" w:lineRule="auto"/>
        <w:ind w:firstLine="399" w:firstLineChars="202"/>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1</w:t>
      </w:r>
      <w:r>
        <w:rPr>
          <w:rFonts w:hint="eastAsia" w:ascii="宋体" w:hAnsi="宋体" w:eastAsia="宋体" w:cs="Times New Roman"/>
          <w:color w:val="auto"/>
          <w:spacing w:val="-6"/>
          <w:szCs w:val="21"/>
          <w:highlight w:val="none"/>
        </w:rPr>
        <w:t>）为招标人不具有独立法人资格的附属机构（单位）；</w:t>
      </w:r>
    </w:p>
    <w:p w14:paraId="31B88E97">
      <w:pPr>
        <w:kinsoku w:val="0"/>
        <w:wordWrap w:val="0"/>
        <w:overflowPunct w:val="0"/>
        <w:spacing w:line="360"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rPr>
        <w:t>）与招标人存在利害关系且可能影响招标公正性；</w:t>
      </w:r>
    </w:p>
    <w:p w14:paraId="5CC8350C">
      <w:pPr>
        <w:kinsoku w:val="0"/>
        <w:wordWrap w:val="0"/>
        <w:overflowPunct w:val="0"/>
        <w:spacing w:line="360"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3</w:t>
      </w:r>
      <w:r>
        <w:rPr>
          <w:rFonts w:hint="eastAsia" w:ascii="宋体" w:hAnsi="宋体" w:eastAsia="宋体" w:cs="Times New Roman"/>
          <w:color w:val="auto"/>
          <w:szCs w:val="21"/>
          <w:highlight w:val="none"/>
        </w:rPr>
        <w:t>）与本招标项目的其他投标人为同一个单位负责人；</w:t>
      </w:r>
    </w:p>
    <w:p w14:paraId="4793F4FE">
      <w:pPr>
        <w:kinsoku w:val="0"/>
        <w:wordWrap w:val="0"/>
        <w:overflowPunct w:val="0"/>
        <w:spacing w:line="360"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4</w:t>
      </w:r>
      <w:r>
        <w:rPr>
          <w:rFonts w:hint="eastAsia" w:ascii="宋体" w:hAnsi="宋体" w:eastAsia="宋体" w:cs="Times New Roman"/>
          <w:color w:val="auto"/>
          <w:szCs w:val="21"/>
          <w:highlight w:val="none"/>
        </w:rPr>
        <w:t>）与本招标项目的其他投标人存在控股、管理关系；</w:t>
      </w:r>
    </w:p>
    <w:p w14:paraId="14F8AD59">
      <w:pPr>
        <w:kinsoku w:val="0"/>
        <w:wordWrap w:val="0"/>
        <w:overflowPunct w:val="0"/>
        <w:spacing w:line="360"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5</w:t>
      </w:r>
      <w:r>
        <w:rPr>
          <w:rFonts w:hint="eastAsia" w:ascii="宋体" w:hAnsi="宋体" w:eastAsia="宋体" w:cs="Times New Roman"/>
          <w:color w:val="auto"/>
          <w:szCs w:val="21"/>
          <w:highlight w:val="none"/>
        </w:rPr>
        <w:t>）为本招标项目的代建人或建设管理单位；</w:t>
      </w:r>
    </w:p>
    <w:p w14:paraId="3CBE2820">
      <w:pPr>
        <w:kinsoku w:val="0"/>
        <w:wordWrap w:val="0"/>
        <w:overflowPunct w:val="0"/>
        <w:spacing w:line="360"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6</w:t>
      </w:r>
      <w:r>
        <w:rPr>
          <w:rFonts w:hint="eastAsia" w:ascii="宋体" w:hAnsi="宋体" w:eastAsia="宋体" w:cs="Times New Roman"/>
          <w:color w:val="auto"/>
          <w:szCs w:val="21"/>
          <w:highlight w:val="none"/>
        </w:rPr>
        <w:t>）为本招标项目的招标代理机构；</w:t>
      </w:r>
    </w:p>
    <w:p w14:paraId="4BEF2C3C">
      <w:pPr>
        <w:kinsoku w:val="0"/>
        <w:wordWrap w:val="0"/>
        <w:overflowPunct w:val="0"/>
        <w:spacing w:line="360"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7</w:t>
      </w:r>
      <w:r>
        <w:rPr>
          <w:rFonts w:hint="eastAsia" w:ascii="宋体" w:hAnsi="宋体" w:eastAsia="宋体" w:cs="Times New Roman"/>
          <w:color w:val="auto"/>
          <w:szCs w:val="21"/>
          <w:highlight w:val="none"/>
        </w:rPr>
        <w:t>）与本招标项目的招标代理机构同为一个法定代表人；</w:t>
      </w:r>
    </w:p>
    <w:p w14:paraId="0C1E8671">
      <w:pPr>
        <w:kinsoku w:val="0"/>
        <w:wordWrap w:val="0"/>
        <w:overflowPunct w:val="0"/>
        <w:spacing w:line="360"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8</w:t>
      </w:r>
      <w:r>
        <w:rPr>
          <w:rFonts w:hint="eastAsia" w:ascii="宋体" w:hAnsi="宋体" w:eastAsia="宋体" w:cs="Times New Roman"/>
          <w:color w:val="auto"/>
          <w:szCs w:val="21"/>
          <w:highlight w:val="none"/>
        </w:rPr>
        <w:t>）与本招标项目的代建人或招标代理机构存在控股或参股关系；</w:t>
      </w:r>
    </w:p>
    <w:p w14:paraId="54CA23C0">
      <w:pPr>
        <w:kinsoku w:val="0"/>
        <w:wordWrap w:val="0"/>
        <w:overflowPunct w:val="0"/>
        <w:spacing w:line="360" w:lineRule="auto"/>
        <w:ind w:firstLine="408" w:firstLineChars="202"/>
        <w:rPr>
          <w:rFonts w:hint="eastAsia" w:ascii="宋体" w:hAnsi="宋体" w:eastAsia="宋体" w:cs="Times New Roman"/>
          <w:color w:val="auto"/>
          <w:szCs w:val="21"/>
          <w:highlight w:val="none"/>
        </w:rPr>
      </w:pPr>
      <w:r>
        <w:rPr>
          <w:rFonts w:hint="eastAsia" w:ascii="宋体" w:hAnsi="宋体" w:eastAsia="宋体" w:cs="Times New Roman"/>
          <w:color w:val="auto"/>
          <w:spacing w:val="-4"/>
          <w:szCs w:val="21"/>
          <w:highlight w:val="none"/>
        </w:rPr>
        <w:t>（</w:t>
      </w:r>
      <w:r>
        <w:rPr>
          <w:rFonts w:ascii="宋体" w:hAnsi="宋体" w:eastAsia="宋体" w:cs="Times New Roman"/>
          <w:color w:val="auto"/>
          <w:spacing w:val="-4"/>
          <w:szCs w:val="21"/>
          <w:highlight w:val="none"/>
        </w:rPr>
        <w:t>9</w:t>
      </w:r>
      <w:r>
        <w:rPr>
          <w:rFonts w:hint="eastAsia" w:ascii="宋体" w:hAnsi="宋体" w:eastAsia="宋体" w:cs="Times New Roman"/>
          <w:color w:val="auto"/>
          <w:spacing w:val="-4"/>
          <w:szCs w:val="21"/>
          <w:highlight w:val="none"/>
        </w:rPr>
        <w:t>）与本招标项目的检测机构、建设、施工单位以及建筑材料、建筑构配件和设备供应商有隶属关系或者其他利害关系有隶属关系或者其他利害关系；</w:t>
      </w:r>
    </w:p>
    <w:p w14:paraId="73CD402E">
      <w:pPr>
        <w:kinsoku w:val="0"/>
        <w:wordWrap w:val="0"/>
        <w:overflowPunct w:val="0"/>
        <w:spacing w:line="360"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被依法暂停或者取消投标资格（本项事实应当以根据《中华人民共和国行政处罚法》依法作出并已生效的行政处罚决定为认定依据。行政处罚决定中已明确暂停或取消投标资格的区域范围不包含本标段建设地点的，不受该项规定限制）；</w:t>
      </w:r>
    </w:p>
    <w:p w14:paraId="5B06B851">
      <w:pPr>
        <w:kinsoku w:val="0"/>
        <w:wordWrap w:val="0"/>
        <w:overflowPunct w:val="0"/>
        <w:spacing w:line="360"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（11）被责令停产停业、暂扣或者吊销许可证、暂扣或者吊销执照（本项事实应当以根据《中华人民共和国行政处罚法》依法作出并已生效的行政处罚决定为认定依据）；</w:t>
      </w:r>
    </w:p>
    <w:p w14:paraId="06D26F99">
      <w:pPr>
        <w:kinsoku w:val="0"/>
        <w:wordWrap w:val="0"/>
        <w:overflowPunct w:val="0"/>
        <w:spacing w:line="360"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（12）进入清算程序，或被宣告破产，或其他丧失履约能力的情形；</w:t>
      </w:r>
    </w:p>
    <w:p w14:paraId="6A1D1E66">
      <w:pPr>
        <w:kinsoku w:val="0"/>
        <w:wordWrap w:val="0"/>
        <w:overflowPunct w:val="0"/>
        <w:spacing w:line="360" w:lineRule="auto"/>
        <w:ind w:firstLine="424" w:firstLineChars="202"/>
        <w:rPr>
          <w:rFonts w:hint="eastAsia" w:ascii="宋体" w:hAnsi="宋体" w:eastAsia="宋体" w:cs="Times New Roman"/>
          <w:color w:val="auto"/>
          <w:spacing w:val="-9"/>
          <w:szCs w:val="21"/>
          <w:highlight w:val="none"/>
        </w:rPr>
      </w:pPr>
      <w:r>
        <w:rPr>
          <w:rFonts w:hint="eastAsia" w:ascii="宋体" w:hAnsi="宋体" w:eastAsia="宋体" w:cs="Times New Roman"/>
          <w:color w:val="auto"/>
          <w:szCs w:val="21"/>
          <w:highlight w:val="none"/>
        </w:rPr>
        <w:t>（13）在最近三年内有严重违约或发生重大监理质量问题（“严重违约”事实应当以司法机关、仲裁机构出具的认定文件为准。“重大监理质量问题”应当以相关行业主管部门的行政处罚决定或司法机关出具的有关法律文书为准。“最近三年”是指从投标截止时间之日起逆推三年，以相关行业主管部门、司法机关、仲裁机构出具的生效文件的落款时间起计算）；</w:t>
      </w:r>
    </w:p>
    <w:p w14:paraId="63E55E34">
      <w:pPr>
        <w:kinsoku w:val="0"/>
        <w:wordWrap w:val="0"/>
        <w:overflowPunct w:val="0"/>
        <w:spacing w:line="360"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14</w:t>
      </w:r>
      <w:r>
        <w:rPr>
          <w:rFonts w:hint="eastAsia" w:ascii="宋体" w:hAnsi="宋体" w:eastAsia="宋体" w:cs="Times New Roman"/>
          <w:color w:val="auto"/>
          <w:szCs w:val="21"/>
          <w:highlight w:val="none"/>
        </w:rPr>
        <w:t>）法律法规或投标人须知前附表规定的其他情形。</w:t>
      </w:r>
    </w:p>
    <w:p w14:paraId="4137ACA2">
      <w:pPr>
        <w:keepNext/>
        <w:keepLines/>
        <w:wordWrap w:val="0"/>
        <w:spacing w:line="360" w:lineRule="auto"/>
        <w:outlineLvl w:val="3"/>
        <w:rPr>
          <w:rFonts w:hint="eastAsia" w:ascii="宋体" w:hAnsi="宋体" w:eastAsia="宋体" w:cs="Times New Roman"/>
          <w:b/>
          <w:color w:val="auto"/>
          <w:sz w:val="28"/>
          <w:szCs w:val="28"/>
          <w:highlight w:val="none"/>
        </w:rPr>
      </w:pPr>
      <w:bookmarkStart w:id="163" w:name="bookmark25"/>
      <w:bookmarkEnd w:id="163"/>
      <w:r>
        <w:rPr>
          <w:rFonts w:ascii="宋体" w:hAnsi="宋体" w:eastAsia="宋体" w:cs="Times New Roman"/>
          <w:b/>
          <w:color w:val="auto"/>
          <w:sz w:val="28"/>
          <w:szCs w:val="28"/>
          <w:highlight w:val="none"/>
        </w:rPr>
        <w:t>1.5</w:t>
      </w:r>
      <w:r>
        <w:rPr>
          <w:rFonts w:hint="eastAsia" w:ascii="宋体" w:hAnsi="宋体" w:eastAsia="宋体" w:cs="Times New Roman"/>
          <w:b/>
          <w:color w:val="auto"/>
          <w:sz w:val="28"/>
          <w:szCs w:val="28"/>
          <w:highlight w:val="none"/>
        </w:rPr>
        <w:t>费用承担</w:t>
      </w:r>
    </w:p>
    <w:p w14:paraId="74EBDB3C">
      <w:pPr>
        <w:kinsoku w:val="0"/>
        <w:wordWrap w:val="0"/>
        <w:overflowPunct w:val="0"/>
        <w:spacing w:line="360" w:lineRule="auto"/>
        <w:ind w:right="113"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投标人准备和参加投标活动发生的费用自理。</w:t>
      </w:r>
    </w:p>
    <w:p w14:paraId="01282F56">
      <w:pPr>
        <w:keepNext/>
        <w:keepLines/>
        <w:wordWrap w:val="0"/>
        <w:spacing w:line="360" w:lineRule="auto"/>
        <w:outlineLvl w:val="3"/>
        <w:rPr>
          <w:rFonts w:hint="eastAsia" w:ascii="宋体" w:hAnsi="宋体" w:eastAsia="宋体" w:cs="Times New Roman"/>
          <w:b/>
          <w:color w:val="auto"/>
          <w:sz w:val="28"/>
          <w:szCs w:val="28"/>
          <w:highlight w:val="none"/>
        </w:rPr>
      </w:pPr>
      <w:bookmarkStart w:id="164" w:name="bookmark26"/>
      <w:bookmarkEnd w:id="164"/>
      <w:r>
        <w:rPr>
          <w:rFonts w:ascii="宋体" w:hAnsi="宋体" w:eastAsia="宋体" w:cs="Times New Roman"/>
          <w:b/>
          <w:color w:val="auto"/>
          <w:sz w:val="28"/>
          <w:szCs w:val="28"/>
          <w:highlight w:val="none"/>
        </w:rPr>
        <w:t>1.6</w:t>
      </w:r>
      <w:r>
        <w:rPr>
          <w:rFonts w:hint="eastAsia" w:ascii="宋体" w:hAnsi="宋体" w:eastAsia="宋体" w:cs="Times New Roman"/>
          <w:b/>
          <w:color w:val="auto"/>
          <w:sz w:val="28"/>
          <w:szCs w:val="28"/>
          <w:highlight w:val="none"/>
        </w:rPr>
        <w:t>保密</w:t>
      </w:r>
    </w:p>
    <w:p w14:paraId="2B4FFD66">
      <w:pPr>
        <w:kinsoku w:val="0"/>
        <w:wordWrap w:val="0"/>
        <w:overflowPunct w:val="0"/>
        <w:spacing w:line="360" w:lineRule="auto"/>
        <w:ind w:right="113" w:firstLine="419"/>
        <w:rPr>
          <w:rFonts w:hint="eastAsia" w:ascii="宋体" w:hAnsi="宋体" w:eastAsia="宋体" w:cs="Times New Roman"/>
          <w:color w:val="auto"/>
          <w:szCs w:val="21"/>
          <w:highlight w:val="none"/>
        </w:rPr>
      </w:pPr>
      <w:r>
        <w:rPr>
          <w:rFonts w:hint="eastAsia" w:ascii="宋体" w:hAnsi="宋体" w:eastAsia="宋体" w:cs="Times New Roman"/>
          <w:color w:val="auto"/>
          <w:spacing w:val="-1"/>
          <w:szCs w:val="21"/>
          <w:highlight w:val="none"/>
        </w:rPr>
        <w:t>参与招标投标活动的各方应对招标文件和投标文件中的商业和技术等秘密保密，否则应承</w:t>
      </w:r>
      <w:r>
        <w:rPr>
          <w:rFonts w:hint="eastAsia" w:ascii="宋体" w:hAnsi="宋体" w:eastAsia="宋体" w:cs="Times New Roman"/>
          <w:color w:val="auto"/>
          <w:szCs w:val="21"/>
          <w:highlight w:val="none"/>
        </w:rPr>
        <w:t>担相应的法律责任。</w:t>
      </w:r>
    </w:p>
    <w:p w14:paraId="4133110C">
      <w:pPr>
        <w:keepNext/>
        <w:keepLines/>
        <w:wordWrap w:val="0"/>
        <w:spacing w:line="360" w:lineRule="auto"/>
        <w:outlineLvl w:val="3"/>
        <w:rPr>
          <w:rFonts w:hint="eastAsia" w:ascii="宋体" w:hAnsi="宋体" w:eastAsia="宋体" w:cs="Times New Roman"/>
          <w:b/>
          <w:color w:val="auto"/>
          <w:sz w:val="28"/>
          <w:szCs w:val="28"/>
          <w:highlight w:val="none"/>
        </w:rPr>
      </w:pPr>
      <w:bookmarkStart w:id="165" w:name="bookmark27"/>
      <w:bookmarkEnd w:id="165"/>
      <w:r>
        <w:rPr>
          <w:rFonts w:ascii="宋体" w:hAnsi="宋体" w:eastAsia="宋体" w:cs="Times New Roman"/>
          <w:b/>
          <w:color w:val="auto"/>
          <w:sz w:val="28"/>
          <w:szCs w:val="28"/>
          <w:highlight w:val="none"/>
        </w:rPr>
        <w:t>1.7</w:t>
      </w:r>
      <w:r>
        <w:rPr>
          <w:rFonts w:hint="eastAsia" w:ascii="宋体" w:hAnsi="宋体" w:eastAsia="宋体" w:cs="Times New Roman"/>
          <w:b/>
          <w:color w:val="auto"/>
          <w:sz w:val="28"/>
          <w:szCs w:val="28"/>
          <w:highlight w:val="none"/>
        </w:rPr>
        <w:t>语言文字</w:t>
      </w:r>
    </w:p>
    <w:p w14:paraId="70215142">
      <w:pPr>
        <w:kinsoku w:val="0"/>
        <w:wordWrap w:val="0"/>
        <w:overflowPunct w:val="0"/>
        <w:spacing w:line="360" w:lineRule="auto"/>
        <w:ind w:right="113"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招标投标文件使用的语言文字为中文。专用术语使用外文的，应附有中文注释。</w:t>
      </w:r>
    </w:p>
    <w:p w14:paraId="1A780EF4">
      <w:pPr>
        <w:keepNext/>
        <w:keepLines/>
        <w:wordWrap w:val="0"/>
        <w:spacing w:line="360" w:lineRule="auto"/>
        <w:outlineLvl w:val="3"/>
        <w:rPr>
          <w:rFonts w:hint="eastAsia" w:ascii="宋体" w:hAnsi="宋体" w:eastAsia="宋体" w:cs="Times New Roman"/>
          <w:b/>
          <w:color w:val="auto"/>
          <w:sz w:val="28"/>
          <w:szCs w:val="28"/>
          <w:highlight w:val="none"/>
        </w:rPr>
      </w:pPr>
      <w:bookmarkStart w:id="166" w:name="bookmark28"/>
      <w:bookmarkEnd w:id="166"/>
      <w:r>
        <w:rPr>
          <w:rFonts w:ascii="宋体" w:hAnsi="宋体" w:eastAsia="宋体" w:cs="Times New Roman"/>
          <w:b/>
          <w:color w:val="auto"/>
          <w:sz w:val="28"/>
          <w:szCs w:val="28"/>
          <w:highlight w:val="none"/>
        </w:rPr>
        <w:t>1.8</w:t>
      </w:r>
      <w:r>
        <w:rPr>
          <w:rFonts w:hint="eastAsia" w:ascii="宋体" w:hAnsi="宋体" w:eastAsia="宋体" w:cs="Times New Roman"/>
          <w:b/>
          <w:color w:val="auto"/>
          <w:sz w:val="28"/>
          <w:szCs w:val="28"/>
          <w:highlight w:val="none"/>
        </w:rPr>
        <w:t>计量单位</w:t>
      </w:r>
    </w:p>
    <w:p w14:paraId="242DFB8D">
      <w:pPr>
        <w:kinsoku w:val="0"/>
        <w:wordWrap w:val="0"/>
        <w:overflowPunct w:val="0"/>
        <w:spacing w:line="360" w:lineRule="auto"/>
        <w:ind w:right="113"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所有计量均采用中华人民共和国法定计量单位。</w:t>
      </w:r>
    </w:p>
    <w:p w14:paraId="479ED767">
      <w:pPr>
        <w:keepNext/>
        <w:keepLines/>
        <w:wordWrap w:val="0"/>
        <w:spacing w:line="360" w:lineRule="auto"/>
        <w:outlineLvl w:val="3"/>
        <w:rPr>
          <w:rFonts w:hint="eastAsia" w:ascii="宋体" w:hAnsi="宋体" w:eastAsia="宋体" w:cs="Times New Roman"/>
          <w:b/>
          <w:color w:val="auto"/>
          <w:sz w:val="28"/>
          <w:szCs w:val="28"/>
          <w:highlight w:val="none"/>
        </w:rPr>
      </w:pPr>
      <w:bookmarkStart w:id="167" w:name="bookmark29"/>
      <w:bookmarkEnd w:id="167"/>
      <w:r>
        <w:rPr>
          <w:rFonts w:ascii="宋体" w:hAnsi="宋体" w:eastAsia="宋体" w:cs="Times New Roman"/>
          <w:b/>
          <w:color w:val="auto"/>
          <w:sz w:val="28"/>
          <w:szCs w:val="28"/>
          <w:highlight w:val="none"/>
        </w:rPr>
        <w:t>1.9</w:t>
      </w:r>
      <w:r>
        <w:rPr>
          <w:rFonts w:hint="eastAsia" w:ascii="宋体" w:hAnsi="宋体" w:eastAsia="宋体" w:cs="Times New Roman"/>
          <w:b/>
          <w:color w:val="auto"/>
          <w:sz w:val="28"/>
          <w:szCs w:val="28"/>
          <w:highlight w:val="none"/>
        </w:rPr>
        <w:t>踏勘现场</w:t>
      </w:r>
    </w:p>
    <w:p w14:paraId="4D273847">
      <w:pPr>
        <w:kinsoku w:val="0"/>
        <w:wordWrap w:val="0"/>
        <w:overflowPunct w:val="0"/>
        <w:spacing w:line="360" w:lineRule="auto"/>
        <w:ind w:right="113" w:firstLine="426"/>
        <w:rPr>
          <w:rFonts w:hint="eastAsia" w:ascii="宋体" w:hAnsi="宋体" w:eastAsia="宋体" w:cs="Times New Roman"/>
          <w:color w:val="auto"/>
          <w:spacing w:val="-6"/>
          <w:szCs w:val="21"/>
          <w:highlight w:val="none"/>
        </w:rPr>
      </w:pPr>
      <w:r>
        <w:rPr>
          <w:rFonts w:ascii="宋体" w:hAnsi="宋体" w:eastAsia="宋体" w:cs="Times New Roman"/>
          <w:color w:val="auto"/>
          <w:szCs w:val="21"/>
          <w:highlight w:val="none"/>
        </w:rPr>
        <w:t>1.9.1</w:t>
      </w:r>
      <w:r>
        <w:rPr>
          <w:rFonts w:hint="eastAsia" w:ascii="宋体" w:hAnsi="宋体" w:eastAsia="宋体" w:cs="Times New Roman"/>
          <w:color w:val="auto"/>
          <w:spacing w:val="-4"/>
          <w:szCs w:val="21"/>
          <w:highlight w:val="none"/>
        </w:rPr>
        <w:t>投标人须知前附表规定组织踏勘现场的，招标人按投标人须知前附表规定的时间、地</w:t>
      </w:r>
      <w:r>
        <w:rPr>
          <w:rFonts w:hint="eastAsia" w:ascii="宋体" w:hAnsi="宋体" w:eastAsia="宋体" w:cs="Times New Roman"/>
          <w:color w:val="auto"/>
          <w:spacing w:val="-6"/>
          <w:szCs w:val="21"/>
          <w:highlight w:val="none"/>
        </w:rPr>
        <w:t>点组织投标人踏勘项目现场。部分投标人未按时参加踏勘现场的，不影响踏勘现场的正常进行。</w:t>
      </w:r>
    </w:p>
    <w:p w14:paraId="63F9F2DD">
      <w:pPr>
        <w:kinsoku w:val="0"/>
        <w:wordWrap w:val="0"/>
        <w:overflowPunct w:val="0"/>
        <w:spacing w:line="360" w:lineRule="auto"/>
        <w:ind w:right="113"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1.9.2投标人踏勘现场发生的费用自理。</w:t>
      </w:r>
    </w:p>
    <w:p w14:paraId="1A76E31D">
      <w:pPr>
        <w:kinsoku w:val="0"/>
        <w:wordWrap w:val="0"/>
        <w:overflowPunct w:val="0"/>
        <w:spacing w:line="360" w:lineRule="auto"/>
        <w:ind w:right="113"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1.9.3除招标人的原因外，投标人自行负责在踏勘现场中所发生的人员伤亡和财产损失。</w:t>
      </w:r>
    </w:p>
    <w:p w14:paraId="67083E10">
      <w:pPr>
        <w:kinsoku w:val="0"/>
        <w:wordWrap w:val="0"/>
        <w:overflowPunct w:val="0"/>
        <w:spacing w:line="360" w:lineRule="auto"/>
        <w:ind w:right="113"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1.9.4由于投标人没有对工程现场及周围环境进行踏勘，造成投标失误的，由投标人自行承担责任和损失。</w:t>
      </w:r>
    </w:p>
    <w:p w14:paraId="756D0677">
      <w:pPr>
        <w:keepNext/>
        <w:keepLines/>
        <w:wordWrap w:val="0"/>
        <w:spacing w:line="360" w:lineRule="auto"/>
        <w:outlineLvl w:val="3"/>
        <w:rPr>
          <w:rFonts w:hint="eastAsia" w:ascii="宋体" w:hAnsi="宋体" w:eastAsia="宋体" w:cs="Times New Roman"/>
          <w:b/>
          <w:color w:val="auto"/>
          <w:sz w:val="28"/>
          <w:szCs w:val="28"/>
          <w:highlight w:val="none"/>
        </w:rPr>
      </w:pPr>
      <w:bookmarkStart w:id="168" w:name="bookmark30"/>
      <w:bookmarkEnd w:id="168"/>
      <w:r>
        <w:rPr>
          <w:rFonts w:ascii="宋体" w:hAnsi="宋体" w:eastAsia="宋体" w:cs="Times New Roman"/>
          <w:b/>
          <w:color w:val="auto"/>
          <w:sz w:val="28"/>
          <w:szCs w:val="28"/>
          <w:highlight w:val="none"/>
        </w:rPr>
        <w:t>1.10</w:t>
      </w:r>
      <w:r>
        <w:rPr>
          <w:rFonts w:hint="eastAsia" w:ascii="宋体" w:hAnsi="宋体" w:eastAsia="宋体" w:cs="Times New Roman"/>
          <w:b/>
          <w:color w:val="auto"/>
          <w:sz w:val="28"/>
          <w:szCs w:val="28"/>
          <w:highlight w:val="none"/>
        </w:rPr>
        <w:t>投标预备会</w:t>
      </w:r>
    </w:p>
    <w:p w14:paraId="17901DB2">
      <w:pPr>
        <w:kinsoku w:val="0"/>
        <w:wordWrap w:val="0"/>
        <w:overflowPunct w:val="0"/>
        <w:spacing w:line="360" w:lineRule="auto"/>
        <w:ind w:right="113" w:firstLine="419"/>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1.10.1</w:t>
      </w:r>
      <w:r>
        <w:rPr>
          <w:rFonts w:hint="eastAsia" w:ascii="宋体" w:hAnsi="宋体" w:eastAsia="宋体" w:cs="Times New Roman"/>
          <w:color w:val="auto"/>
          <w:szCs w:val="21"/>
          <w:highlight w:val="none"/>
        </w:rPr>
        <w:t>投标人须知前附表规定召开投标预备会的，招标人按投标人须知前附表规定的时间和地点召开投标预备会，澄清投标人提出的问题。</w:t>
      </w:r>
    </w:p>
    <w:p w14:paraId="0EE40812">
      <w:pPr>
        <w:kinsoku w:val="0"/>
        <w:wordWrap w:val="0"/>
        <w:overflowPunct w:val="0"/>
        <w:spacing w:line="360" w:lineRule="auto"/>
        <w:ind w:right="113" w:firstLine="419"/>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1.10.2</w:t>
      </w:r>
      <w:r>
        <w:rPr>
          <w:rFonts w:hint="eastAsia" w:ascii="宋体" w:hAnsi="宋体" w:eastAsia="宋体" w:cs="Times New Roman"/>
          <w:color w:val="auto"/>
          <w:szCs w:val="21"/>
          <w:highlight w:val="none"/>
        </w:rPr>
        <w:t>投标人应按投标人须知前附表规定的时间和形式将提出的问题送达招标人，以便招标人在会议期间澄清。</w:t>
      </w:r>
    </w:p>
    <w:p w14:paraId="72EA5761">
      <w:pPr>
        <w:kinsoku w:val="0"/>
        <w:wordWrap w:val="0"/>
        <w:overflowPunct w:val="0"/>
        <w:spacing w:line="360" w:lineRule="auto"/>
        <w:ind w:right="113" w:firstLine="419"/>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1.10.3</w:t>
      </w:r>
      <w:r>
        <w:rPr>
          <w:rFonts w:hint="eastAsia" w:ascii="宋体" w:hAnsi="宋体" w:eastAsia="宋体" w:cs="Times New Roman"/>
          <w:color w:val="auto"/>
          <w:szCs w:val="21"/>
          <w:highlight w:val="none"/>
        </w:rPr>
        <w:t>投标预备会后，招标人将对投标人所提问题的澄清，以投标人须知前附表规定的形式通知所有购买招标文件的投标人。该澄清内容为招标文件的组成部分。</w:t>
      </w:r>
    </w:p>
    <w:p w14:paraId="7D6A4A8F">
      <w:pPr>
        <w:keepNext/>
        <w:keepLines/>
        <w:wordWrap w:val="0"/>
        <w:spacing w:line="360" w:lineRule="auto"/>
        <w:outlineLvl w:val="3"/>
        <w:rPr>
          <w:rFonts w:hint="eastAsia" w:ascii="宋体" w:hAnsi="宋体" w:eastAsia="宋体" w:cs="Times New Roman"/>
          <w:b/>
          <w:color w:val="auto"/>
          <w:sz w:val="28"/>
          <w:szCs w:val="28"/>
          <w:highlight w:val="none"/>
        </w:rPr>
      </w:pPr>
      <w:bookmarkStart w:id="169" w:name="bookmark31"/>
      <w:bookmarkEnd w:id="169"/>
      <w:r>
        <w:rPr>
          <w:rFonts w:ascii="宋体" w:hAnsi="宋体" w:eastAsia="宋体" w:cs="Times New Roman"/>
          <w:b/>
          <w:color w:val="auto"/>
          <w:sz w:val="28"/>
          <w:szCs w:val="28"/>
          <w:highlight w:val="none"/>
        </w:rPr>
        <w:t>1.11</w:t>
      </w:r>
      <w:r>
        <w:rPr>
          <w:rFonts w:hint="eastAsia" w:ascii="宋体" w:hAnsi="宋体" w:eastAsia="宋体" w:cs="Times New Roman"/>
          <w:b/>
          <w:color w:val="auto"/>
          <w:sz w:val="28"/>
          <w:szCs w:val="28"/>
          <w:highlight w:val="none"/>
        </w:rPr>
        <w:t>分包</w:t>
      </w:r>
    </w:p>
    <w:p w14:paraId="3F48EB15">
      <w:pPr>
        <w:kinsoku w:val="0"/>
        <w:wordWrap w:val="0"/>
        <w:overflowPunct w:val="0"/>
        <w:spacing w:line="360" w:lineRule="auto"/>
        <w:ind w:right="109"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1.11.1本项目不得分包。</w:t>
      </w:r>
    </w:p>
    <w:p w14:paraId="1571B9F5">
      <w:pPr>
        <w:kinsoku w:val="0"/>
        <w:wordWrap w:val="0"/>
        <w:overflowPunct w:val="0"/>
        <w:spacing w:line="360" w:lineRule="auto"/>
        <w:ind w:right="109"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1.11.2中标人不得向他人转让中标项目。</w:t>
      </w:r>
    </w:p>
    <w:p w14:paraId="1A257E1B">
      <w:pPr>
        <w:keepNext/>
        <w:keepLines/>
        <w:wordWrap w:val="0"/>
        <w:spacing w:line="360" w:lineRule="auto"/>
        <w:outlineLvl w:val="3"/>
        <w:rPr>
          <w:rFonts w:hint="eastAsia" w:ascii="宋体" w:hAnsi="宋体" w:eastAsia="宋体" w:cs="Times New Roman"/>
          <w:b/>
          <w:color w:val="auto"/>
          <w:sz w:val="28"/>
          <w:szCs w:val="28"/>
          <w:highlight w:val="none"/>
        </w:rPr>
      </w:pPr>
      <w:bookmarkStart w:id="170" w:name="bookmark32"/>
      <w:bookmarkEnd w:id="170"/>
      <w:r>
        <w:rPr>
          <w:rFonts w:ascii="宋体" w:hAnsi="宋体" w:eastAsia="宋体" w:cs="Times New Roman"/>
          <w:b/>
          <w:color w:val="auto"/>
          <w:sz w:val="28"/>
          <w:szCs w:val="28"/>
          <w:highlight w:val="none"/>
        </w:rPr>
        <w:t>1.12</w:t>
      </w:r>
      <w:r>
        <w:rPr>
          <w:rFonts w:hint="eastAsia" w:ascii="宋体" w:hAnsi="宋体" w:eastAsia="宋体" w:cs="Times New Roman"/>
          <w:b/>
          <w:color w:val="auto"/>
          <w:sz w:val="28"/>
          <w:szCs w:val="28"/>
          <w:highlight w:val="none"/>
        </w:rPr>
        <w:t>响应和偏差</w:t>
      </w:r>
    </w:p>
    <w:p w14:paraId="4FC4CB06">
      <w:pPr>
        <w:kinsoku w:val="0"/>
        <w:wordWrap w:val="0"/>
        <w:overflowPunct w:val="0"/>
        <w:spacing w:line="360" w:lineRule="auto"/>
        <w:ind w:right="109" w:firstLine="419"/>
        <w:rPr>
          <w:rFonts w:hint="eastAsia" w:ascii="宋体" w:hAnsi="宋体" w:eastAsia="宋体" w:cs="Times New Roman"/>
          <w:color w:val="auto"/>
          <w:szCs w:val="21"/>
          <w:highlight w:val="none"/>
        </w:rPr>
      </w:pPr>
      <w:r>
        <w:rPr>
          <w:rFonts w:ascii="宋体" w:hAnsi="宋体" w:eastAsia="宋体" w:cs="Times New Roman"/>
          <w:color w:val="auto"/>
          <w:spacing w:val="-1"/>
          <w:szCs w:val="21"/>
          <w:highlight w:val="none"/>
        </w:rPr>
        <w:t>1.12.1</w:t>
      </w:r>
      <w:r>
        <w:rPr>
          <w:rFonts w:hint="eastAsia" w:ascii="宋体" w:hAnsi="宋体" w:eastAsia="宋体" w:cs="Times New Roman"/>
          <w:color w:val="auto"/>
          <w:spacing w:val="-2"/>
          <w:szCs w:val="21"/>
          <w:highlight w:val="none"/>
        </w:rPr>
        <w:t>投标文件应当对招标文件的实质性要求和条件作出满足性或更有利于招标人的响应，</w:t>
      </w:r>
      <w:r>
        <w:rPr>
          <w:rFonts w:hint="eastAsia" w:ascii="宋体" w:hAnsi="宋体" w:eastAsia="宋体" w:cs="Times New Roman"/>
          <w:color w:val="auto"/>
          <w:szCs w:val="21"/>
          <w:highlight w:val="none"/>
        </w:rPr>
        <w:t>否则，投标人的投标将被否决。实质性要求和条件见投标人须知前附表。</w:t>
      </w:r>
    </w:p>
    <w:p w14:paraId="6E6C9BE3">
      <w:pPr>
        <w:kinsoku w:val="0"/>
        <w:wordWrap w:val="0"/>
        <w:overflowPunct w:val="0"/>
        <w:spacing w:line="360" w:lineRule="auto"/>
        <w:ind w:right="109" w:firstLine="424" w:firstLineChars="202"/>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1.12.2</w:t>
      </w:r>
      <w:r>
        <w:rPr>
          <w:rFonts w:hint="eastAsia" w:ascii="宋体" w:hAnsi="宋体" w:eastAsia="宋体" w:cs="Times New Roman"/>
          <w:color w:val="auto"/>
          <w:szCs w:val="21"/>
          <w:highlight w:val="none"/>
        </w:rPr>
        <w:t>投标人应根据招标文件的要求提供投标监理大纲等内容以对招标文件作出响应。</w:t>
      </w:r>
    </w:p>
    <w:p w14:paraId="2E66FF5F">
      <w:pPr>
        <w:kinsoku w:val="0"/>
        <w:wordWrap w:val="0"/>
        <w:overflowPunct w:val="0"/>
        <w:spacing w:line="360" w:lineRule="auto"/>
        <w:ind w:right="109" w:firstLine="419"/>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1.12.3</w:t>
      </w:r>
      <w:r>
        <w:rPr>
          <w:rFonts w:hint="eastAsia" w:ascii="宋体" w:hAnsi="宋体" w:eastAsia="宋体" w:cs="Times New Roman"/>
          <w:color w:val="auto"/>
          <w:szCs w:val="21"/>
          <w:highlight w:val="none"/>
        </w:rPr>
        <w:t>投标人须知前附表允许投标文件偏离招标文件某些要求的，偏差应当符合招标文件规定的偏差范围和幅度。</w:t>
      </w:r>
    </w:p>
    <w:p w14:paraId="783FC858">
      <w:pPr>
        <w:keepNext/>
        <w:keepLines/>
        <w:wordWrap w:val="0"/>
        <w:spacing w:line="360" w:lineRule="auto"/>
        <w:outlineLvl w:val="2"/>
        <w:rPr>
          <w:rFonts w:hint="eastAsia" w:ascii="宋体" w:hAnsi="宋体" w:eastAsia="宋体" w:cs="Times New Roman"/>
          <w:b/>
          <w:color w:val="auto"/>
          <w:sz w:val="28"/>
          <w:szCs w:val="20"/>
          <w:highlight w:val="none"/>
        </w:rPr>
      </w:pPr>
      <w:bookmarkStart w:id="171" w:name="bookmark33"/>
      <w:bookmarkEnd w:id="171"/>
      <w:bookmarkStart w:id="172" w:name="_Toc14873647"/>
      <w:r>
        <w:rPr>
          <w:rFonts w:ascii="宋体" w:hAnsi="宋体" w:eastAsia="宋体" w:cs="Times New Roman"/>
          <w:b/>
          <w:color w:val="auto"/>
          <w:sz w:val="28"/>
          <w:szCs w:val="20"/>
          <w:highlight w:val="none"/>
        </w:rPr>
        <w:t xml:space="preserve">2.  </w:t>
      </w:r>
      <w:r>
        <w:rPr>
          <w:rFonts w:hint="eastAsia" w:ascii="宋体" w:hAnsi="宋体" w:eastAsia="宋体" w:cs="Times New Roman"/>
          <w:b/>
          <w:color w:val="auto"/>
          <w:sz w:val="28"/>
          <w:szCs w:val="20"/>
          <w:highlight w:val="none"/>
        </w:rPr>
        <w:t>招标文件</w:t>
      </w:r>
      <w:bookmarkEnd w:id="172"/>
    </w:p>
    <w:p w14:paraId="61D639DA">
      <w:pPr>
        <w:keepNext/>
        <w:keepLines/>
        <w:wordWrap w:val="0"/>
        <w:spacing w:line="360" w:lineRule="auto"/>
        <w:outlineLvl w:val="3"/>
        <w:rPr>
          <w:rFonts w:hint="eastAsia" w:ascii="宋体" w:hAnsi="宋体" w:eastAsia="宋体" w:cs="Times New Roman"/>
          <w:b/>
          <w:color w:val="auto"/>
          <w:sz w:val="28"/>
          <w:szCs w:val="28"/>
          <w:highlight w:val="none"/>
        </w:rPr>
      </w:pPr>
      <w:bookmarkStart w:id="173" w:name="bookmark34"/>
      <w:bookmarkEnd w:id="173"/>
      <w:r>
        <w:rPr>
          <w:rFonts w:ascii="宋体" w:hAnsi="宋体" w:eastAsia="宋体" w:cs="Times New Roman"/>
          <w:b/>
          <w:color w:val="auto"/>
          <w:sz w:val="28"/>
          <w:szCs w:val="28"/>
          <w:highlight w:val="none"/>
        </w:rPr>
        <w:t>2.1</w:t>
      </w:r>
      <w:r>
        <w:rPr>
          <w:rFonts w:hint="eastAsia" w:ascii="宋体" w:hAnsi="宋体" w:eastAsia="宋体" w:cs="Times New Roman"/>
          <w:b/>
          <w:color w:val="auto"/>
          <w:sz w:val="28"/>
          <w:szCs w:val="28"/>
          <w:highlight w:val="none"/>
        </w:rPr>
        <w:t>招标文件的组成</w:t>
      </w:r>
    </w:p>
    <w:p w14:paraId="4B80A466">
      <w:pPr>
        <w:kinsoku w:val="0"/>
        <w:wordWrap w:val="0"/>
        <w:overflowPunct w:val="0"/>
        <w:spacing w:line="360" w:lineRule="auto"/>
        <w:ind w:right="109"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本招标文件包括：</w:t>
      </w:r>
    </w:p>
    <w:p w14:paraId="5137456A">
      <w:pPr>
        <w:kinsoku w:val="0"/>
        <w:wordWrap w:val="0"/>
        <w:overflowPunct w:val="0"/>
        <w:spacing w:line="360" w:lineRule="auto"/>
        <w:ind w:right="109" w:firstLine="424" w:firstLineChars="219"/>
        <w:rPr>
          <w:rFonts w:hint="eastAsia" w:ascii="宋体" w:hAnsi="宋体" w:eastAsia="宋体" w:cs="Times New Roman"/>
          <w:color w:val="auto"/>
          <w:spacing w:val="-8"/>
          <w:szCs w:val="21"/>
          <w:highlight w:val="none"/>
        </w:rPr>
      </w:pPr>
      <w:r>
        <w:rPr>
          <w:rFonts w:hint="eastAsia" w:ascii="宋体" w:hAnsi="宋体" w:eastAsia="宋体" w:cs="Times New Roman"/>
          <w:color w:val="auto"/>
          <w:spacing w:val="-8"/>
          <w:szCs w:val="21"/>
          <w:highlight w:val="none"/>
        </w:rPr>
        <w:t>（</w:t>
      </w:r>
      <w:r>
        <w:rPr>
          <w:rFonts w:ascii="宋体" w:hAnsi="宋体" w:eastAsia="宋体" w:cs="Times New Roman"/>
          <w:color w:val="auto"/>
          <w:spacing w:val="-8"/>
          <w:szCs w:val="21"/>
          <w:highlight w:val="none"/>
        </w:rPr>
        <w:t>1</w:t>
      </w:r>
      <w:r>
        <w:rPr>
          <w:rFonts w:hint="eastAsia" w:ascii="宋体" w:hAnsi="宋体" w:eastAsia="宋体" w:cs="Times New Roman"/>
          <w:color w:val="auto"/>
          <w:spacing w:val="-8"/>
          <w:szCs w:val="21"/>
          <w:highlight w:val="none"/>
        </w:rPr>
        <w:t>）招标公告；</w:t>
      </w:r>
    </w:p>
    <w:p w14:paraId="3EC2E392">
      <w:pPr>
        <w:kinsoku w:val="0"/>
        <w:wordWrap w:val="0"/>
        <w:overflowPunct w:val="0"/>
        <w:spacing w:line="360" w:lineRule="auto"/>
        <w:ind w:right="109"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rPr>
        <w:t>）投标人须知；</w:t>
      </w:r>
    </w:p>
    <w:p w14:paraId="0FCF627E">
      <w:pPr>
        <w:kinsoku w:val="0"/>
        <w:wordWrap w:val="0"/>
        <w:overflowPunct w:val="0"/>
        <w:spacing w:line="360" w:lineRule="auto"/>
        <w:ind w:right="109"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3</w:t>
      </w:r>
      <w:r>
        <w:rPr>
          <w:rFonts w:hint="eastAsia" w:ascii="宋体" w:hAnsi="宋体" w:eastAsia="宋体" w:cs="Times New Roman"/>
          <w:color w:val="auto"/>
          <w:szCs w:val="21"/>
          <w:highlight w:val="none"/>
        </w:rPr>
        <w:t>）评标办法；</w:t>
      </w:r>
    </w:p>
    <w:p w14:paraId="3B7E0405">
      <w:pPr>
        <w:kinsoku w:val="0"/>
        <w:wordWrap w:val="0"/>
        <w:overflowPunct w:val="0"/>
        <w:spacing w:line="360" w:lineRule="auto"/>
        <w:ind w:right="109"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4</w:t>
      </w:r>
      <w:r>
        <w:rPr>
          <w:rFonts w:hint="eastAsia" w:ascii="宋体" w:hAnsi="宋体" w:eastAsia="宋体" w:cs="Times New Roman"/>
          <w:color w:val="auto"/>
          <w:szCs w:val="21"/>
          <w:highlight w:val="none"/>
        </w:rPr>
        <w:t>）合同条款及格式；</w:t>
      </w:r>
    </w:p>
    <w:p w14:paraId="6011DE0E">
      <w:pPr>
        <w:kinsoku w:val="0"/>
        <w:wordWrap w:val="0"/>
        <w:overflowPunct w:val="0"/>
        <w:spacing w:line="360" w:lineRule="auto"/>
        <w:ind w:right="109"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5</w:t>
      </w:r>
      <w:r>
        <w:rPr>
          <w:rFonts w:hint="eastAsia" w:ascii="宋体" w:hAnsi="宋体" w:eastAsia="宋体" w:cs="Times New Roman"/>
          <w:color w:val="auto"/>
          <w:szCs w:val="21"/>
          <w:highlight w:val="none"/>
        </w:rPr>
        <w:t>）委托人要求；</w:t>
      </w:r>
    </w:p>
    <w:p w14:paraId="45D5ADF0">
      <w:pPr>
        <w:kinsoku w:val="0"/>
        <w:wordWrap w:val="0"/>
        <w:overflowPunct w:val="0"/>
        <w:spacing w:line="360" w:lineRule="auto"/>
        <w:ind w:right="109"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6</w:t>
      </w:r>
      <w:r>
        <w:rPr>
          <w:rFonts w:hint="eastAsia" w:ascii="宋体" w:hAnsi="宋体" w:eastAsia="宋体" w:cs="Times New Roman"/>
          <w:color w:val="auto"/>
          <w:szCs w:val="21"/>
          <w:highlight w:val="none"/>
        </w:rPr>
        <w:t>）投标文件格式；</w:t>
      </w:r>
    </w:p>
    <w:p w14:paraId="63040DC2">
      <w:pPr>
        <w:kinsoku w:val="0"/>
        <w:wordWrap w:val="0"/>
        <w:overflowPunct w:val="0"/>
        <w:spacing w:line="360" w:lineRule="auto"/>
        <w:ind w:right="109"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7</w:t>
      </w:r>
      <w:r>
        <w:rPr>
          <w:rFonts w:hint="eastAsia" w:ascii="宋体" w:hAnsi="宋体" w:eastAsia="宋体" w:cs="Times New Roman"/>
          <w:color w:val="auto"/>
          <w:szCs w:val="21"/>
          <w:highlight w:val="none"/>
        </w:rPr>
        <w:t>）投标人须知前附表规定的其他资料。</w:t>
      </w:r>
    </w:p>
    <w:p w14:paraId="2BB8D96F">
      <w:pPr>
        <w:kinsoku w:val="0"/>
        <w:wordWrap w:val="0"/>
        <w:overflowPunct w:val="0"/>
        <w:spacing w:line="360" w:lineRule="auto"/>
        <w:ind w:right="109"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根据本章第</w:t>
      </w:r>
      <w:r>
        <w:rPr>
          <w:rFonts w:ascii="宋体" w:hAnsi="宋体" w:eastAsia="宋体" w:cs="Times New Roman"/>
          <w:color w:val="auto"/>
          <w:szCs w:val="21"/>
          <w:highlight w:val="none"/>
        </w:rPr>
        <w:t>1.10</w:t>
      </w:r>
      <w:r>
        <w:rPr>
          <w:rFonts w:hint="eastAsia" w:ascii="宋体" w:hAnsi="宋体" w:eastAsia="宋体" w:cs="Times New Roman"/>
          <w:color w:val="auto"/>
          <w:szCs w:val="21"/>
          <w:highlight w:val="none"/>
        </w:rPr>
        <w:t>款、第</w:t>
      </w:r>
      <w:r>
        <w:rPr>
          <w:rFonts w:ascii="宋体" w:hAnsi="宋体" w:eastAsia="宋体" w:cs="Times New Roman"/>
          <w:color w:val="auto"/>
          <w:szCs w:val="21"/>
          <w:highlight w:val="none"/>
        </w:rPr>
        <w:t>2.2</w:t>
      </w:r>
      <w:r>
        <w:rPr>
          <w:rFonts w:hint="eastAsia" w:ascii="宋体" w:hAnsi="宋体" w:eastAsia="宋体" w:cs="Times New Roman"/>
          <w:color w:val="auto"/>
          <w:szCs w:val="21"/>
          <w:highlight w:val="none"/>
        </w:rPr>
        <w:t>款和第</w:t>
      </w:r>
      <w:r>
        <w:rPr>
          <w:rFonts w:ascii="宋体" w:hAnsi="宋体" w:eastAsia="宋体" w:cs="Times New Roman"/>
          <w:color w:val="auto"/>
          <w:szCs w:val="21"/>
          <w:highlight w:val="none"/>
        </w:rPr>
        <w:t>2.3</w:t>
      </w:r>
      <w:r>
        <w:rPr>
          <w:rFonts w:hint="eastAsia" w:ascii="宋体" w:hAnsi="宋体" w:eastAsia="宋体" w:cs="Times New Roman"/>
          <w:color w:val="auto"/>
          <w:szCs w:val="21"/>
          <w:highlight w:val="none"/>
        </w:rPr>
        <w:t>款对招标文件所作的澄清、修改，构成招标文件的组成部分。</w:t>
      </w:r>
    </w:p>
    <w:p w14:paraId="26C9A469">
      <w:pPr>
        <w:keepNext/>
        <w:keepLines/>
        <w:wordWrap w:val="0"/>
        <w:spacing w:line="360" w:lineRule="auto"/>
        <w:outlineLvl w:val="3"/>
        <w:rPr>
          <w:rFonts w:hint="eastAsia" w:ascii="宋体" w:hAnsi="宋体" w:eastAsia="宋体" w:cs="Times New Roman"/>
          <w:b/>
          <w:color w:val="auto"/>
          <w:sz w:val="28"/>
          <w:szCs w:val="28"/>
          <w:highlight w:val="none"/>
        </w:rPr>
      </w:pPr>
      <w:bookmarkStart w:id="174" w:name="bookmark35"/>
      <w:bookmarkEnd w:id="174"/>
      <w:r>
        <w:rPr>
          <w:rFonts w:ascii="宋体" w:hAnsi="宋体" w:eastAsia="宋体" w:cs="Times New Roman"/>
          <w:b/>
          <w:color w:val="auto"/>
          <w:sz w:val="28"/>
          <w:szCs w:val="28"/>
          <w:highlight w:val="none"/>
        </w:rPr>
        <w:t>2.2</w:t>
      </w:r>
      <w:r>
        <w:rPr>
          <w:rFonts w:hint="eastAsia" w:ascii="宋体" w:hAnsi="宋体" w:eastAsia="宋体" w:cs="Times New Roman"/>
          <w:b/>
          <w:color w:val="auto"/>
          <w:sz w:val="28"/>
          <w:szCs w:val="28"/>
          <w:highlight w:val="none"/>
        </w:rPr>
        <w:t>招标文件的答疑</w:t>
      </w:r>
    </w:p>
    <w:p w14:paraId="72B76F6C">
      <w:pPr>
        <w:kinsoku w:val="0"/>
        <w:wordWrap w:val="0"/>
        <w:overflowPunct w:val="0"/>
        <w:spacing w:line="360" w:lineRule="auto"/>
        <w:ind w:right="113" w:firstLine="41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2.2.1投标人应仔细阅读和检查招标文件的全部内容。如有疑问，应按投标人须知前附表规定的时间和形式将提出的问题送达招标人，要求招标人对招标文件予以澄清。</w:t>
      </w:r>
    </w:p>
    <w:p w14:paraId="776DEF9D">
      <w:pPr>
        <w:kinsoku w:val="0"/>
        <w:wordWrap w:val="0"/>
        <w:overflowPunct w:val="0"/>
        <w:spacing w:line="360" w:lineRule="auto"/>
        <w:ind w:right="113" w:firstLine="41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2.2.2招标答疑采用网上答疑方式进行。投标人若对招标文件有疑问的，通过广州交易集团有限公司（广州公共资源交易中心）网站提交，应按照广州交易集团有限公司（广州公共资源交易中心）网站关于全流程电子化项目的相关指南进行操作。提问一律不得署名。</w:t>
      </w:r>
    </w:p>
    <w:p w14:paraId="2703A1B3">
      <w:pPr>
        <w:kinsoku w:val="0"/>
        <w:wordWrap w:val="0"/>
        <w:overflowPunct w:val="0"/>
        <w:spacing w:line="360" w:lineRule="auto"/>
        <w:ind w:right="113" w:firstLine="41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2.2.3招标答疑会会议纪要将在提交投标文件截止时间15日前在广州交易集团有限公司（广州公共资源交易中心）网站“项目答疑纪要”专区公开发布。答疑纪要一经在广州交易集团有限公司（广州公共资源交易中心）网站发布，视作已发放给所有投标人。澄清发出的时间距本章第4.2.1项规定的投标截止时间不足15日的，并且澄清内容可能影响投标文件编制的，将相应延长投标截止时间。</w:t>
      </w:r>
    </w:p>
    <w:p w14:paraId="43F34025">
      <w:pPr>
        <w:kinsoku w:val="0"/>
        <w:wordWrap w:val="0"/>
        <w:overflowPunct w:val="0"/>
        <w:spacing w:line="360" w:lineRule="auto"/>
        <w:ind w:right="113" w:firstLine="41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2.2.4招标答疑会会议纪要是招标文件的组成部分，对投标人起约束作用。若招标答疑会会议纪要与招标文件有矛盾时，以广州交易集团有限公司（广州公共资源交易中心）网站最后发布的答疑纪要为准。</w:t>
      </w:r>
    </w:p>
    <w:p w14:paraId="5858BBD6">
      <w:pPr>
        <w:kinsoku w:val="0"/>
        <w:wordWrap w:val="0"/>
        <w:overflowPunct w:val="0"/>
        <w:spacing w:line="360" w:lineRule="auto"/>
        <w:ind w:right="113" w:firstLine="41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2.2.5除非招标人认为确有必要答复，否则，招标人有权拒绝回复投标人在本章第2.2.1项规定的时间后的任何澄清要求。</w:t>
      </w:r>
    </w:p>
    <w:p w14:paraId="20C25910">
      <w:pPr>
        <w:keepNext/>
        <w:keepLines/>
        <w:wordWrap w:val="0"/>
        <w:spacing w:line="360" w:lineRule="auto"/>
        <w:outlineLvl w:val="3"/>
        <w:rPr>
          <w:rFonts w:hint="eastAsia" w:ascii="宋体" w:hAnsi="宋体" w:eastAsia="宋体" w:cs="Times New Roman"/>
          <w:b/>
          <w:color w:val="auto"/>
          <w:sz w:val="28"/>
          <w:szCs w:val="28"/>
          <w:highlight w:val="none"/>
        </w:rPr>
      </w:pPr>
      <w:bookmarkStart w:id="175" w:name="bookmark36"/>
      <w:bookmarkEnd w:id="175"/>
      <w:r>
        <w:rPr>
          <w:rFonts w:ascii="宋体" w:hAnsi="宋体" w:eastAsia="宋体" w:cs="Times New Roman"/>
          <w:b/>
          <w:color w:val="auto"/>
          <w:sz w:val="28"/>
          <w:szCs w:val="28"/>
          <w:highlight w:val="none"/>
        </w:rPr>
        <w:t>2.3</w:t>
      </w:r>
      <w:r>
        <w:rPr>
          <w:rFonts w:hint="eastAsia" w:ascii="宋体" w:hAnsi="宋体" w:eastAsia="宋体" w:cs="Times New Roman"/>
          <w:b/>
          <w:color w:val="auto"/>
          <w:sz w:val="28"/>
          <w:szCs w:val="28"/>
          <w:highlight w:val="none"/>
        </w:rPr>
        <w:t>招标文件的澄清与修改</w:t>
      </w:r>
    </w:p>
    <w:p w14:paraId="395E0B1F">
      <w:pPr>
        <w:kinsoku w:val="0"/>
        <w:wordWrap w:val="0"/>
        <w:overflowPunct w:val="0"/>
        <w:spacing w:line="360" w:lineRule="auto"/>
        <w:ind w:right="211" w:firstLine="41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2.3.1招标文件发出后，在提交投标文件截止时间15日前，招标人可对招标文件进行必要的澄清或修改。</w:t>
      </w:r>
    </w:p>
    <w:p w14:paraId="2FAAF7BF">
      <w:pPr>
        <w:kinsoku w:val="0"/>
        <w:wordWrap w:val="0"/>
        <w:overflowPunct w:val="0"/>
        <w:spacing w:line="360" w:lineRule="auto"/>
        <w:ind w:right="211" w:firstLine="41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2.3.2招标文件的澄清或修改将在广州交易集团有限公司（广州公共资源交易中心）网站“项目答疑纪要”专区公开发布。招标文件的澄清或修改一经在广州交易集团有限公司（广州公共资源交易中心）网站发布，视作已发放给所有投标人，以广州交易集团有限公司（广州公共资源交易中心）网站发布时间作为送达时间。</w:t>
      </w:r>
    </w:p>
    <w:p w14:paraId="50F33176">
      <w:pPr>
        <w:kinsoku w:val="0"/>
        <w:wordWrap w:val="0"/>
        <w:overflowPunct w:val="0"/>
        <w:spacing w:line="360" w:lineRule="auto"/>
        <w:ind w:right="211" w:firstLine="41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2.3.3招标文件的澄清或修改是招标文件的组成部分，对投标人起约束作用。</w:t>
      </w:r>
    </w:p>
    <w:p w14:paraId="018E3C65">
      <w:pPr>
        <w:kinsoku w:val="0"/>
        <w:wordWrap w:val="0"/>
        <w:overflowPunct w:val="0"/>
        <w:spacing w:line="360" w:lineRule="auto"/>
        <w:ind w:right="211" w:firstLine="41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2.3.4招标文件的澄清或修改均以广州交易集团有限公司（广州公共资源交易中心）网站发布的内容为准。当招标文件的澄清、修改、补充等在同一内容的表述不一致时，以广州交易集团有限公司（广州公共资源交易中心）网站最后发布的内容为准。</w:t>
      </w:r>
    </w:p>
    <w:p w14:paraId="3F97C1A6">
      <w:pPr>
        <w:kinsoku w:val="0"/>
        <w:wordWrap w:val="0"/>
        <w:overflowPunct w:val="0"/>
        <w:spacing w:line="360" w:lineRule="auto"/>
        <w:ind w:right="211" w:firstLine="41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2.3.5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40F17D26">
      <w:pPr>
        <w:keepNext/>
        <w:keepLines/>
        <w:wordWrap w:val="0"/>
        <w:spacing w:line="360" w:lineRule="auto"/>
        <w:outlineLvl w:val="3"/>
        <w:rPr>
          <w:rFonts w:hint="eastAsia" w:ascii="宋体" w:hAnsi="宋体" w:eastAsia="宋体" w:cs="Times New Roman"/>
          <w:b/>
          <w:color w:val="auto"/>
          <w:sz w:val="28"/>
          <w:szCs w:val="28"/>
          <w:highlight w:val="none"/>
        </w:rPr>
      </w:pPr>
      <w:bookmarkStart w:id="176" w:name="bookmark37"/>
      <w:bookmarkEnd w:id="176"/>
      <w:r>
        <w:rPr>
          <w:rFonts w:ascii="宋体" w:hAnsi="宋体" w:eastAsia="宋体" w:cs="Times New Roman"/>
          <w:b/>
          <w:color w:val="auto"/>
          <w:sz w:val="28"/>
          <w:szCs w:val="28"/>
          <w:highlight w:val="none"/>
        </w:rPr>
        <w:t>2.4</w:t>
      </w:r>
      <w:r>
        <w:rPr>
          <w:rFonts w:hint="eastAsia" w:ascii="宋体" w:hAnsi="宋体" w:eastAsia="宋体" w:cs="Times New Roman"/>
          <w:b/>
          <w:color w:val="auto"/>
          <w:sz w:val="28"/>
          <w:szCs w:val="28"/>
          <w:highlight w:val="none"/>
        </w:rPr>
        <w:t>招标文件的异议</w:t>
      </w:r>
    </w:p>
    <w:p w14:paraId="7688F425">
      <w:pPr>
        <w:kinsoku w:val="0"/>
        <w:wordWrap w:val="0"/>
        <w:overflowPunct w:val="0"/>
        <w:spacing w:line="360" w:lineRule="auto"/>
        <w:ind w:right="211" w:firstLine="41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投标人或者其他利害关系人对招标文件有异议的，应当在投标截止时间</w:t>
      </w:r>
      <w:r>
        <w:rPr>
          <w:rFonts w:ascii="宋体" w:hAnsi="宋体" w:eastAsia="宋体" w:cs="Times New Roman"/>
          <w:color w:val="auto"/>
          <w:szCs w:val="21"/>
          <w:highlight w:val="none"/>
        </w:rPr>
        <w:t>10</w:t>
      </w:r>
      <w:r>
        <w:rPr>
          <w:rFonts w:hint="eastAsia" w:ascii="宋体" w:hAnsi="宋体" w:eastAsia="宋体" w:cs="Times New Roman"/>
          <w:color w:val="auto"/>
          <w:szCs w:val="21"/>
          <w:highlight w:val="none"/>
        </w:rPr>
        <w:t>日前以书面形式提出。招标人将在收到异议之日起</w:t>
      </w:r>
      <w:r>
        <w:rPr>
          <w:rFonts w:ascii="宋体" w:hAnsi="宋体" w:eastAsia="宋体" w:cs="Times New Roman"/>
          <w:color w:val="auto"/>
          <w:szCs w:val="21"/>
          <w:highlight w:val="none"/>
        </w:rPr>
        <w:t>3</w:t>
      </w:r>
      <w:r>
        <w:rPr>
          <w:rFonts w:hint="eastAsia" w:ascii="宋体" w:hAnsi="宋体" w:eastAsia="宋体" w:cs="Times New Roman"/>
          <w:color w:val="auto"/>
          <w:szCs w:val="21"/>
          <w:highlight w:val="none"/>
        </w:rPr>
        <w:t>日内作出答复；作出答复前，将暂停招标投标活动。</w:t>
      </w:r>
      <w:bookmarkStart w:id="177" w:name="bookmark38"/>
      <w:bookmarkEnd w:id="177"/>
    </w:p>
    <w:p w14:paraId="655EA977">
      <w:pPr>
        <w:keepNext/>
        <w:keepLines/>
        <w:wordWrap w:val="0"/>
        <w:spacing w:line="360" w:lineRule="auto"/>
        <w:outlineLvl w:val="2"/>
        <w:rPr>
          <w:rFonts w:hint="eastAsia" w:ascii="宋体" w:hAnsi="宋体" w:eastAsia="宋体" w:cs="Times New Roman"/>
          <w:b/>
          <w:color w:val="auto"/>
          <w:sz w:val="28"/>
          <w:szCs w:val="20"/>
          <w:highlight w:val="none"/>
        </w:rPr>
      </w:pPr>
      <w:bookmarkStart w:id="178" w:name="_Toc59200681"/>
      <w:bookmarkStart w:id="179" w:name="_Toc14873648"/>
      <w:r>
        <w:rPr>
          <w:rFonts w:ascii="宋体" w:hAnsi="宋体" w:eastAsia="宋体" w:cs="Times New Roman"/>
          <w:b/>
          <w:color w:val="auto"/>
          <w:sz w:val="28"/>
          <w:szCs w:val="20"/>
          <w:highlight w:val="none"/>
        </w:rPr>
        <w:t xml:space="preserve">3.  </w:t>
      </w:r>
      <w:r>
        <w:rPr>
          <w:rFonts w:hint="eastAsia" w:ascii="宋体" w:hAnsi="宋体" w:eastAsia="宋体" w:cs="Times New Roman"/>
          <w:b/>
          <w:color w:val="auto"/>
          <w:sz w:val="28"/>
          <w:szCs w:val="20"/>
          <w:highlight w:val="none"/>
        </w:rPr>
        <w:t>投标文件</w:t>
      </w:r>
      <w:bookmarkEnd w:id="178"/>
      <w:bookmarkEnd w:id="179"/>
    </w:p>
    <w:p w14:paraId="44AC100F">
      <w:pPr>
        <w:keepNext/>
        <w:keepLines/>
        <w:wordWrap w:val="0"/>
        <w:spacing w:line="360" w:lineRule="auto"/>
        <w:outlineLvl w:val="3"/>
        <w:rPr>
          <w:rFonts w:hint="eastAsia" w:ascii="宋体" w:hAnsi="宋体" w:eastAsia="宋体" w:cs="Times New Roman"/>
          <w:b/>
          <w:color w:val="auto"/>
          <w:sz w:val="28"/>
          <w:szCs w:val="28"/>
          <w:highlight w:val="none"/>
        </w:rPr>
      </w:pPr>
      <w:bookmarkStart w:id="180" w:name="bookmark39"/>
      <w:bookmarkEnd w:id="180"/>
      <w:r>
        <w:rPr>
          <w:rFonts w:ascii="宋体" w:hAnsi="宋体" w:eastAsia="宋体" w:cs="Times New Roman"/>
          <w:b/>
          <w:color w:val="auto"/>
          <w:sz w:val="28"/>
          <w:szCs w:val="28"/>
          <w:highlight w:val="none"/>
        </w:rPr>
        <w:t>3.1</w:t>
      </w:r>
      <w:r>
        <w:rPr>
          <w:rFonts w:hint="eastAsia" w:ascii="宋体" w:hAnsi="宋体" w:eastAsia="宋体" w:cs="Times New Roman"/>
          <w:b/>
          <w:color w:val="auto"/>
          <w:sz w:val="28"/>
          <w:szCs w:val="28"/>
          <w:highlight w:val="none"/>
        </w:rPr>
        <w:t>投标文件的组成</w:t>
      </w:r>
    </w:p>
    <w:p w14:paraId="35EB5E72">
      <w:pPr>
        <w:kinsoku w:val="0"/>
        <w:wordWrap w:val="0"/>
        <w:overflowPunct w:val="0"/>
        <w:spacing w:line="360" w:lineRule="auto"/>
        <w:ind w:right="113" w:firstLine="424" w:firstLineChars="202"/>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3.1.1</w:t>
      </w:r>
      <w:r>
        <w:rPr>
          <w:rFonts w:hint="eastAsia" w:ascii="宋体" w:hAnsi="宋体" w:eastAsia="宋体" w:cs="Times New Roman"/>
          <w:color w:val="auto"/>
          <w:szCs w:val="21"/>
          <w:highlight w:val="none"/>
        </w:rPr>
        <w:t>投标文件应包括下列内容：</w:t>
      </w:r>
    </w:p>
    <w:p w14:paraId="3C5255B8">
      <w:pPr>
        <w:kinsoku w:val="0"/>
        <w:wordWrap w:val="0"/>
        <w:overflowPunct w:val="0"/>
        <w:spacing w:line="360" w:lineRule="auto"/>
        <w:ind w:right="113" w:rightChars="54"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（1）投标函及投标函附录；</w:t>
      </w:r>
    </w:p>
    <w:p w14:paraId="50983879">
      <w:pPr>
        <w:kinsoku w:val="0"/>
        <w:wordWrap w:val="0"/>
        <w:overflowPunct w:val="0"/>
        <w:spacing w:line="360" w:lineRule="auto"/>
        <w:ind w:right="113" w:rightChars="54"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（2）法定代表人证明或授权委托书；</w:t>
      </w:r>
    </w:p>
    <w:p w14:paraId="714CA58D">
      <w:pPr>
        <w:kinsoku w:val="0"/>
        <w:wordWrap w:val="0"/>
        <w:overflowPunct w:val="0"/>
        <w:spacing w:line="360" w:lineRule="auto"/>
        <w:ind w:right="113" w:rightChars="54"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（3）联合体协议书；</w:t>
      </w:r>
    </w:p>
    <w:p w14:paraId="42CE2791">
      <w:pPr>
        <w:kinsoku w:val="0"/>
        <w:wordWrap w:val="0"/>
        <w:overflowPunct w:val="0"/>
        <w:spacing w:line="360" w:lineRule="auto"/>
        <w:ind w:right="113" w:rightChars="54"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（4）投标保证金（如有）；</w:t>
      </w:r>
    </w:p>
    <w:p w14:paraId="2EFF7159">
      <w:pPr>
        <w:kinsoku w:val="0"/>
        <w:wordWrap w:val="0"/>
        <w:overflowPunct w:val="0"/>
        <w:spacing w:line="360" w:lineRule="auto"/>
        <w:ind w:right="113" w:rightChars="54"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（5）监理报酬清单；</w:t>
      </w:r>
    </w:p>
    <w:p w14:paraId="2EB639FF">
      <w:pPr>
        <w:kinsoku w:val="0"/>
        <w:wordWrap w:val="0"/>
        <w:overflowPunct w:val="0"/>
        <w:spacing w:line="360" w:lineRule="auto"/>
        <w:ind w:right="113" w:rightChars="54"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（6）资格审查资料；</w:t>
      </w:r>
    </w:p>
    <w:p w14:paraId="72DE2BEA">
      <w:pPr>
        <w:kinsoku w:val="0"/>
        <w:wordWrap w:val="0"/>
        <w:overflowPunct w:val="0"/>
        <w:spacing w:line="360" w:lineRule="auto"/>
        <w:ind w:right="113" w:rightChars="54"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（7）监理大纲；</w:t>
      </w:r>
    </w:p>
    <w:p w14:paraId="4540E9E7">
      <w:pPr>
        <w:kinsoku w:val="0"/>
        <w:wordWrap w:val="0"/>
        <w:overflowPunct w:val="0"/>
        <w:spacing w:line="360" w:lineRule="auto"/>
        <w:ind w:right="113" w:rightChars="54"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（8）投标人须知前附表规定的其他资料。</w:t>
      </w:r>
    </w:p>
    <w:p w14:paraId="5686D2A4">
      <w:pPr>
        <w:kinsoku w:val="0"/>
        <w:wordWrap w:val="0"/>
        <w:overflowPunct w:val="0"/>
        <w:spacing w:line="360" w:lineRule="auto"/>
        <w:ind w:right="113" w:rightChars="54" w:firstLine="420" w:firstLineChars="202"/>
        <w:rPr>
          <w:rFonts w:hint="eastAsia" w:ascii="宋体" w:hAnsi="宋体" w:eastAsia="宋体" w:cs="Times New Roman"/>
          <w:color w:val="auto"/>
          <w:szCs w:val="21"/>
          <w:highlight w:val="none"/>
        </w:rPr>
      </w:pPr>
      <w:r>
        <w:rPr>
          <w:rFonts w:hint="eastAsia" w:ascii="宋体" w:hAnsi="宋体" w:eastAsia="宋体" w:cs="Times New Roman"/>
          <w:color w:val="auto"/>
          <w:spacing w:val="-1"/>
          <w:szCs w:val="21"/>
          <w:highlight w:val="none"/>
        </w:rPr>
        <w:t>投标人在评标过程中作出的符合法律法规和招标文件规定的澄清确认，构成投标文件的组</w:t>
      </w:r>
      <w:r>
        <w:rPr>
          <w:rFonts w:hint="eastAsia" w:ascii="宋体" w:hAnsi="宋体" w:eastAsia="宋体" w:cs="Times New Roman"/>
          <w:color w:val="auto"/>
          <w:szCs w:val="21"/>
          <w:highlight w:val="none"/>
        </w:rPr>
        <w:t>成部分。</w:t>
      </w:r>
    </w:p>
    <w:p w14:paraId="63973AE1">
      <w:pPr>
        <w:kinsoku w:val="0"/>
        <w:wordWrap w:val="0"/>
        <w:overflowPunct w:val="0"/>
        <w:spacing w:line="360" w:lineRule="auto"/>
        <w:ind w:right="111" w:firstLine="424" w:firstLineChars="202"/>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3.1.2</w:t>
      </w:r>
      <w:r>
        <w:rPr>
          <w:rFonts w:hint="eastAsia" w:ascii="宋体" w:hAnsi="宋体" w:eastAsia="宋体" w:cs="Times New Roman"/>
          <w:color w:val="auto"/>
          <w:szCs w:val="21"/>
          <w:highlight w:val="none"/>
        </w:rPr>
        <w:t>投标人须知前附表规定不接受联合体投标的，或投标人没有组成联合体的，投标文件不包括本章第</w:t>
      </w:r>
      <w:r>
        <w:rPr>
          <w:rFonts w:ascii="宋体" w:hAnsi="宋体" w:eastAsia="宋体" w:cs="Times New Roman"/>
          <w:color w:val="auto"/>
          <w:szCs w:val="21"/>
          <w:highlight w:val="none"/>
        </w:rPr>
        <w:t>3.1.1</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3</w:t>
      </w:r>
      <w:r>
        <w:rPr>
          <w:rFonts w:hint="eastAsia" w:ascii="宋体" w:hAnsi="宋体" w:eastAsia="宋体" w:cs="Times New Roman"/>
          <w:color w:val="auto"/>
          <w:szCs w:val="21"/>
          <w:highlight w:val="none"/>
        </w:rPr>
        <w:t>）目所指的联合体协议书。</w:t>
      </w:r>
    </w:p>
    <w:p w14:paraId="496D27C3">
      <w:pPr>
        <w:kinsoku w:val="0"/>
        <w:wordWrap w:val="0"/>
        <w:overflowPunct w:val="0"/>
        <w:spacing w:line="360" w:lineRule="auto"/>
        <w:ind w:right="113" w:firstLine="424" w:firstLineChars="202"/>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3.1.3</w:t>
      </w:r>
      <w:r>
        <w:rPr>
          <w:rFonts w:hint="eastAsia" w:ascii="宋体" w:hAnsi="宋体" w:eastAsia="宋体" w:cs="Times New Roman"/>
          <w:color w:val="auto"/>
          <w:szCs w:val="21"/>
          <w:highlight w:val="none"/>
        </w:rPr>
        <w:t>投标人须知前附表未要求提交投标保证金的，投标文件不包括本章第</w:t>
      </w:r>
      <w:r>
        <w:rPr>
          <w:rFonts w:ascii="宋体" w:hAnsi="宋体" w:eastAsia="宋体" w:cs="Times New Roman"/>
          <w:color w:val="auto"/>
          <w:szCs w:val="21"/>
          <w:highlight w:val="none"/>
        </w:rPr>
        <w:t>3.1.1</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4</w:t>
      </w:r>
      <w:r>
        <w:rPr>
          <w:rFonts w:hint="eastAsia" w:ascii="宋体" w:hAnsi="宋体" w:eastAsia="宋体" w:cs="Times New Roman"/>
          <w:color w:val="auto"/>
          <w:szCs w:val="21"/>
          <w:highlight w:val="none"/>
        </w:rPr>
        <w:t>）目所指的投标保证金。</w:t>
      </w:r>
    </w:p>
    <w:p w14:paraId="12354343">
      <w:pPr>
        <w:keepNext/>
        <w:keepLines/>
        <w:wordWrap w:val="0"/>
        <w:spacing w:line="360" w:lineRule="auto"/>
        <w:outlineLvl w:val="3"/>
        <w:rPr>
          <w:rFonts w:hint="eastAsia" w:ascii="宋体" w:hAnsi="宋体" w:eastAsia="宋体" w:cs="Times New Roman"/>
          <w:b/>
          <w:color w:val="auto"/>
          <w:sz w:val="28"/>
          <w:szCs w:val="28"/>
          <w:highlight w:val="none"/>
        </w:rPr>
      </w:pPr>
      <w:bookmarkStart w:id="181" w:name="bookmark40"/>
      <w:bookmarkEnd w:id="181"/>
      <w:bookmarkStart w:id="182" w:name="_Toc59200682"/>
      <w:r>
        <w:rPr>
          <w:rFonts w:ascii="宋体" w:hAnsi="宋体" w:eastAsia="宋体" w:cs="Times New Roman"/>
          <w:b/>
          <w:color w:val="auto"/>
          <w:sz w:val="28"/>
          <w:szCs w:val="28"/>
          <w:highlight w:val="none"/>
        </w:rPr>
        <w:t>3.2</w:t>
      </w:r>
      <w:r>
        <w:rPr>
          <w:rFonts w:hint="eastAsia" w:ascii="宋体" w:hAnsi="宋体" w:eastAsia="宋体" w:cs="Times New Roman"/>
          <w:b/>
          <w:color w:val="auto"/>
          <w:sz w:val="28"/>
          <w:szCs w:val="28"/>
          <w:highlight w:val="none"/>
        </w:rPr>
        <w:t>投标报价</w:t>
      </w:r>
      <w:bookmarkEnd w:id="182"/>
    </w:p>
    <w:p w14:paraId="1806E6CA">
      <w:pPr>
        <w:kinsoku w:val="0"/>
        <w:wordWrap w:val="0"/>
        <w:overflowPunct w:val="0"/>
        <w:spacing w:line="360" w:lineRule="auto"/>
        <w:ind w:right="112" w:firstLine="419"/>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3.2.1</w:t>
      </w:r>
      <w:r>
        <w:rPr>
          <w:rFonts w:hint="eastAsia" w:ascii="宋体" w:hAnsi="宋体" w:eastAsia="宋体" w:cs="Times New Roman"/>
          <w:color w:val="auto"/>
          <w:spacing w:val="-3"/>
          <w:szCs w:val="21"/>
          <w:highlight w:val="none"/>
        </w:rPr>
        <w:t>投标报价应包括国家规定的增值税税金，除投标人须知前附表另有规定外，增值税税</w:t>
      </w:r>
      <w:r>
        <w:rPr>
          <w:rFonts w:hint="eastAsia" w:ascii="宋体" w:hAnsi="宋体" w:eastAsia="宋体" w:cs="Times New Roman"/>
          <w:color w:val="auto"/>
          <w:szCs w:val="21"/>
          <w:highlight w:val="none"/>
        </w:rPr>
        <w:t>金按一般计税方法计算。投标人应按第六章“投标文件格式”的要求在投标函中进行报价并填写监理报酬清单。</w:t>
      </w:r>
    </w:p>
    <w:p w14:paraId="14A7C6D3">
      <w:pPr>
        <w:kinsoku w:val="0"/>
        <w:wordWrap w:val="0"/>
        <w:overflowPunct w:val="0"/>
        <w:spacing w:line="360" w:lineRule="auto"/>
        <w:ind w:right="113" w:firstLine="420" w:firstLineChars="200"/>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3.2.2</w:t>
      </w:r>
      <w:r>
        <w:rPr>
          <w:rFonts w:hint="eastAsia" w:ascii="宋体" w:hAnsi="宋体" w:eastAsia="宋体" w:cs="Times New Roman"/>
          <w:color w:val="auto"/>
          <w:szCs w:val="21"/>
          <w:highlight w:val="none"/>
        </w:rPr>
        <w:t>投标人应充分了解该项目的总体情况以及影响投标报价的其他要素。</w:t>
      </w:r>
    </w:p>
    <w:p w14:paraId="27FD8A38">
      <w:pPr>
        <w:kinsoku w:val="0"/>
        <w:wordWrap w:val="0"/>
        <w:overflowPunct w:val="0"/>
        <w:spacing w:line="360" w:lineRule="auto"/>
        <w:ind w:right="111" w:firstLine="419"/>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3.2.3</w:t>
      </w:r>
      <w:r>
        <w:rPr>
          <w:rFonts w:hint="eastAsia" w:ascii="宋体" w:hAnsi="宋体" w:eastAsia="宋体" w:cs="Times New Roman"/>
          <w:color w:val="auto"/>
          <w:szCs w:val="21"/>
          <w:highlight w:val="none"/>
        </w:rPr>
        <w:t>本项目的报价方式见投标人须知前附表。投标人在投标截止时间前修改投标函中的投标报价总额，应同时修改投标文件“监理报酬清单”中的相应报价。此修改须符合本章第</w:t>
      </w:r>
      <w:r>
        <w:rPr>
          <w:rFonts w:ascii="宋体" w:hAnsi="宋体" w:eastAsia="宋体" w:cs="Times New Roman"/>
          <w:color w:val="auto"/>
          <w:szCs w:val="21"/>
          <w:highlight w:val="none"/>
        </w:rPr>
        <w:t>4.3</w:t>
      </w:r>
      <w:r>
        <w:rPr>
          <w:rFonts w:hint="eastAsia" w:ascii="宋体" w:hAnsi="宋体" w:eastAsia="宋体" w:cs="Times New Roman"/>
          <w:color w:val="auto"/>
          <w:szCs w:val="21"/>
          <w:highlight w:val="none"/>
        </w:rPr>
        <w:t>款的有关要求。</w:t>
      </w:r>
    </w:p>
    <w:p w14:paraId="79FC128C">
      <w:pPr>
        <w:kinsoku w:val="0"/>
        <w:wordWrap w:val="0"/>
        <w:overflowPunct w:val="0"/>
        <w:spacing w:line="360" w:lineRule="auto"/>
        <w:ind w:right="113" w:firstLine="424" w:firstLineChars="202"/>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3.2.4</w:t>
      </w:r>
      <w:r>
        <w:rPr>
          <w:rFonts w:hint="eastAsia" w:ascii="宋体" w:hAnsi="宋体" w:eastAsia="宋体" w:cs="Times New Roman"/>
          <w:color w:val="auto"/>
          <w:spacing w:val="-4"/>
          <w:szCs w:val="21"/>
          <w:highlight w:val="none"/>
        </w:rPr>
        <w:t>招标人设有最高投标限价的，投标人的投标报价不得超过最高投标限价，最高投标限价在投标人须知前附表中载明。</w:t>
      </w:r>
    </w:p>
    <w:p w14:paraId="5C0FECF0">
      <w:pPr>
        <w:kinsoku w:val="0"/>
        <w:wordWrap w:val="0"/>
        <w:overflowPunct w:val="0"/>
        <w:spacing w:line="360" w:lineRule="auto"/>
        <w:ind w:right="113" w:firstLine="420" w:firstLineChars="200"/>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3.2.5</w:t>
      </w:r>
      <w:r>
        <w:rPr>
          <w:rFonts w:hint="eastAsia" w:ascii="宋体" w:hAnsi="宋体" w:eastAsia="宋体" w:cs="Times New Roman"/>
          <w:color w:val="auto"/>
          <w:szCs w:val="21"/>
          <w:highlight w:val="none"/>
        </w:rPr>
        <w:t>投标报价的其他要求见投标人须知前附表。</w:t>
      </w:r>
    </w:p>
    <w:p w14:paraId="4503E438">
      <w:pPr>
        <w:keepNext/>
        <w:keepLines/>
        <w:wordWrap w:val="0"/>
        <w:spacing w:line="360" w:lineRule="auto"/>
        <w:outlineLvl w:val="3"/>
        <w:rPr>
          <w:rFonts w:hint="eastAsia" w:ascii="宋体" w:hAnsi="宋体" w:eastAsia="宋体" w:cs="Times New Roman"/>
          <w:b/>
          <w:color w:val="auto"/>
          <w:sz w:val="28"/>
          <w:szCs w:val="28"/>
          <w:highlight w:val="none"/>
        </w:rPr>
      </w:pPr>
      <w:bookmarkStart w:id="183" w:name="bookmark41"/>
      <w:bookmarkEnd w:id="183"/>
      <w:r>
        <w:rPr>
          <w:rFonts w:ascii="宋体" w:hAnsi="宋体" w:eastAsia="宋体" w:cs="Times New Roman"/>
          <w:b/>
          <w:color w:val="auto"/>
          <w:sz w:val="28"/>
          <w:szCs w:val="28"/>
          <w:highlight w:val="none"/>
        </w:rPr>
        <w:t>3.3</w:t>
      </w:r>
      <w:r>
        <w:rPr>
          <w:rFonts w:hint="eastAsia" w:ascii="宋体" w:hAnsi="宋体" w:eastAsia="宋体" w:cs="Times New Roman"/>
          <w:b/>
          <w:color w:val="auto"/>
          <w:sz w:val="28"/>
          <w:szCs w:val="28"/>
          <w:highlight w:val="none"/>
        </w:rPr>
        <w:t>投标有效期</w:t>
      </w:r>
    </w:p>
    <w:p w14:paraId="2B11F62C">
      <w:pPr>
        <w:kinsoku w:val="0"/>
        <w:wordWrap w:val="0"/>
        <w:overflowPunct w:val="0"/>
        <w:spacing w:line="360" w:lineRule="auto"/>
        <w:ind w:right="113" w:rightChars="54" w:firstLine="424" w:firstLineChars="202"/>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3.3.1</w:t>
      </w:r>
      <w:r>
        <w:rPr>
          <w:rFonts w:hint="eastAsia" w:ascii="宋体" w:hAnsi="宋体" w:eastAsia="宋体" w:cs="Times New Roman"/>
          <w:color w:val="auto"/>
          <w:szCs w:val="21"/>
          <w:highlight w:val="none"/>
        </w:rPr>
        <w:t>除投标人须知前附表另有规定外，投标有效期不少于</w:t>
      </w:r>
      <w:r>
        <w:rPr>
          <w:rFonts w:ascii="宋体" w:hAnsi="宋体" w:eastAsia="宋体" w:cs="Times New Roman"/>
          <w:color w:val="auto"/>
          <w:szCs w:val="21"/>
          <w:highlight w:val="none"/>
        </w:rPr>
        <w:t>90</w:t>
      </w:r>
      <w:r>
        <w:rPr>
          <w:rFonts w:hint="eastAsia" w:ascii="宋体" w:hAnsi="宋体" w:eastAsia="宋体" w:cs="Times New Roman"/>
          <w:color w:val="auto"/>
          <w:szCs w:val="21"/>
          <w:highlight w:val="none"/>
        </w:rPr>
        <w:t>天。</w:t>
      </w:r>
    </w:p>
    <w:p w14:paraId="3A8FFEA4">
      <w:pPr>
        <w:kinsoku w:val="0"/>
        <w:wordWrap w:val="0"/>
        <w:overflowPunct w:val="0"/>
        <w:spacing w:line="360" w:lineRule="auto"/>
        <w:ind w:right="113" w:rightChars="54" w:firstLine="424" w:firstLineChars="202"/>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3.3.2</w:t>
      </w:r>
      <w:r>
        <w:rPr>
          <w:rFonts w:hint="eastAsia" w:ascii="宋体" w:hAnsi="宋体" w:eastAsia="宋体" w:cs="Times New Roman"/>
          <w:color w:val="auto"/>
          <w:szCs w:val="21"/>
          <w:highlight w:val="none"/>
        </w:rPr>
        <w:t>在投标有效期内，投标人撤销投标文件的，应承担招标文件和法律规定的责任。</w:t>
      </w:r>
    </w:p>
    <w:p w14:paraId="327C3791">
      <w:pPr>
        <w:kinsoku w:val="0"/>
        <w:wordWrap w:val="0"/>
        <w:overflowPunct w:val="0"/>
        <w:spacing w:line="360" w:lineRule="auto"/>
        <w:ind w:right="111" w:firstLine="424" w:firstLineChars="202"/>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3.3.3</w:t>
      </w:r>
      <w:r>
        <w:rPr>
          <w:rFonts w:hint="eastAsia" w:ascii="宋体" w:hAnsi="宋体" w:eastAsia="宋体" w:cs="Times New Roman"/>
          <w:color w:val="auto"/>
          <w:spacing w:val="-4"/>
          <w:szCs w:val="21"/>
          <w:highlight w:val="none"/>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2B9EADE9">
      <w:pPr>
        <w:keepNext/>
        <w:keepLines/>
        <w:wordWrap w:val="0"/>
        <w:spacing w:line="360" w:lineRule="auto"/>
        <w:outlineLvl w:val="3"/>
        <w:rPr>
          <w:rFonts w:hint="eastAsia" w:ascii="宋体" w:hAnsi="宋体" w:eastAsia="宋体" w:cs="Times New Roman"/>
          <w:b/>
          <w:color w:val="auto"/>
          <w:sz w:val="28"/>
          <w:szCs w:val="28"/>
          <w:highlight w:val="none"/>
        </w:rPr>
      </w:pPr>
      <w:bookmarkStart w:id="184" w:name="bookmark42"/>
      <w:bookmarkEnd w:id="184"/>
      <w:r>
        <w:rPr>
          <w:rFonts w:ascii="宋体" w:hAnsi="宋体" w:eastAsia="宋体" w:cs="Times New Roman"/>
          <w:b/>
          <w:color w:val="auto"/>
          <w:sz w:val="28"/>
          <w:szCs w:val="28"/>
          <w:highlight w:val="none"/>
        </w:rPr>
        <w:t>3.4</w:t>
      </w:r>
      <w:r>
        <w:rPr>
          <w:rFonts w:hint="eastAsia" w:ascii="宋体" w:hAnsi="宋体" w:eastAsia="宋体" w:cs="Times New Roman"/>
          <w:b/>
          <w:color w:val="auto"/>
          <w:sz w:val="28"/>
          <w:szCs w:val="28"/>
          <w:highlight w:val="none"/>
        </w:rPr>
        <w:t>投标保证金</w:t>
      </w:r>
    </w:p>
    <w:p w14:paraId="33B3A44C">
      <w:pPr>
        <w:kinsoku w:val="0"/>
        <w:wordWrap w:val="0"/>
        <w:overflowPunct w:val="0"/>
        <w:spacing w:line="360" w:lineRule="auto"/>
        <w:ind w:firstLine="426"/>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3.4.1投标人应按投标人须知前附表规定的金额和时间递交投标保证金。招标人应当允许投标人自主选择现金、银行保函、保证保险、专业工程担保公司担保等方式缴纳投标保证金。采用现金或者支票形式提交的，投标保证金须从投标人的银行基本账户转出。联合体投标的，其投标保证金可以由主办方递交，并应符合投标人须知前附表的规定。</w:t>
      </w:r>
    </w:p>
    <w:p w14:paraId="519AC13D">
      <w:pPr>
        <w:kinsoku w:val="0"/>
        <w:wordWrap w:val="0"/>
        <w:overflowPunct w:val="0"/>
        <w:spacing w:line="360" w:lineRule="auto"/>
        <w:ind w:firstLine="426"/>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3.4.2投标人不按本章第3.4.1项要求提交投标保证金的，评标委员会将否决其投标。未按招标文件要求提交符合免予提供投标保证金相关证明材料，且未提交投标保证金的投标人，视为未按要求提供投标保证金。</w:t>
      </w:r>
    </w:p>
    <w:p w14:paraId="6A3054F8">
      <w:pPr>
        <w:kinsoku w:val="0"/>
        <w:wordWrap w:val="0"/>
        <w:overflowPunct w:val="0"/>
        <w:spacing w:line="360" w:lineRule="auto"/>
        <w:ind w:firstLine="426"/>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3.4.3中标候选人以外的投标人的投标保证金将尽快退还，最迟不超过中标通知书发出之日起五日内；中标人和其他中标候选人的投标保证金，在书面合同订立之日起五日内予以退还。投标保证金以现金或者支票形式递交的，还应退还银行同期存款利息。</w:t>
      </w:r>
    </w:p>
    <w:p w14:paraId="1BA9B174">
      <w:pPr>
        <w:kinsoku w:val="0"/>
        <w:wordWrap w:val="0"/>
        <w:overflowPunct w:val="0"/>
        <w:spacing w:line="360" w:lineRule="auto"/>
        <w:ind w:firstLine="426"/>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3.4.4在提交投标文件截止时间后到招标文件规定的投标有效期终止之前，投标人不得撤销其投标文件，否则招标人可以不退还投标保证金。</w:t>
      </w:r>
    </w:p>
    <w:p w14:paraId="4233321F">
      <w:pPr>
        <w:kinsoku w:val="0"/>
        <w:wordWrap w:val="0"/>
        <w:overflowPunct w:val="0"/>
        <w:spacing w:line="360" w:lineRule="auto"/>
        <w:ind w:firstLine="426"/>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3.4.5有下列情形之一的，投标保证金将不予退还：</w:t>
      </w:r>
    </w:p>
    <w:p w14:paraId="550B1C99">
      <w:pPr>
        <w:kinsoku w:val="0"/>
        <w:wordWrap w:val="0"/>
        <w:overflowPunct w:val="0"/>
        <w:spacing w:line="360" w:lineRule="auto"/>
        <w:ind w:firstLine="426"/>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（1）投标人在提交投标文件截止时间后到招标文件规定的投标有效期终止之前撤销投标文件；</w:t>
      </w:r>
    </w:p>
    <w:p w14:paraId="4B812332">
      <w:pPr>
        <w:kinsoku w:val="0"/>
        <w:wordWrap w:val="0"/>
        <w:overflowPunct w:val="0"/>
        <w:spacing w:line="360" w:lineRule="auto"/>
        <w:ind w:firstLine="426"/>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（2）中标人在收到中标通知书后，无正当理由不与招标人订立合同，在签订合同时向招标人提出附加条件，或者不按照招标文件要求提交履约保证金；</w:t>
      </w:r>
    </w:p>
    <w:p w14:paraId="6D96E8E1">
      <w:pPr>
        <w:kinsoku w:val="0"/>
        <w:wordWrap w:val="0"/>
        <w:overflowPunct w:val="0"/>
        <w:spacing w:line="360" w:lineRule="auto"/>
        <w:ind w:firstLine="426"/>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（3）发生投标人须知前附表规定的其他可以不予退还投标保证金的情形。</w:t>
      </w:r>
    </w:p>
    <w:p w14:paraId="681765B2">
      <w:pPr>
        <w:kinsoku w:val="0"/>
        <w:wordWrap w:val="0"/>
        <w:overflowPunct w:val="0"/>
        <w:spacing w:line="360" w:lineRule="auto"/>
        <w:ind w:firstLine="426"/>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3.4.6若采用纸质银行保函的，投标人应将纸质银行保函以扫描件形式作为资格审查文件的组成部分，纸质银行保函原件在中标候选人确定后由招标人收取。若采用电子银行保函的，招标人在资格审查页面查看电子银行保函，投标人申请的电子银行保函时间应确保在截标之前。若采用保证保险的，投标人在投标时提交其与保险公司签订的投标保证金合同或保险单的，应视同已经缴纳投标保证金或提供银行保函。保费必须通过投标人基本账户支付，账户名称应与投标单位名称一致，不得以分支机构等其他名义提交，并且应将基本账户开户许可证或基本存款账户信息表复印件及保费转账凭证编入投标文件中。采用电子保证保险的，招标人在资格审查页面查看电子保证保险。</w:t>
      </w:r>
    </w:p>
    <w:p w14:paraId="51ADB72E">
      <w:pPr>
        <w:keepNext/>
        <w:keepLines/>
        <w:wordWrap w:val="0"/>
        <w:spacing w:line="360" w:lineRule="auto"/>
        <w:outlineLvl w:val="3"/>
        <w:rPr>
          <w:rFonts w:hint="eastAsia" w:ascii="宋体" w:hAnsi="宋体" w:eastAsia="宋体" w:cs="Times New Roman"/>
          <w:b/>
          <w:color w:val="auto"/>
          <w:sz w:val="28"/>
          <w:szCs w:val="28"/>
          <w:highlight w:val="none"/>
        </w:rPr>
      </w:pPr>
      <w:bookmarkStart w:id="185" w:name="bookmark43"/>
      <w:bookmarkEnd w:id="185"/>
      <w:bookmarkStart w:id="186" w:name="bookmark44"/>
      <w:bookmarkEnd w:id="186"/>
      <w:r>
        <w:rPr>
          <w:rFonts w:ascii="宋体" w:hAnsi="宋体" w:eastAsia="宋体" w:cs="Times New Roman"/>
          <w:b/>
          <w:color w:val="auto"/>
          <w:sz w:val="28"/>
          <w:szCs w:val="28"/>
          <w:highlight w:val="none"/>
        </w:rPr>
        <w:t>3.5</w:t>
      </w:r>
      <w:r>
        <w:rPr>
          <w:rFonts w:hint="eastAsia" w:ascii="宋体" w:hAnsi="宋体" w:eastAsia="宋体" w:cs="Times New Roman"/>
          <w:b/>
          <w:color w:val="auto"/>
          <w:sz w:val="28"/>
          <w:szCs w:val="28"/>
          <w:highlight w:val="none"/>
        </w:rPr>
        <w:t>资格审查资料（适用于未进行资格预审的）</w:t>
      </w:r>
    </w:p>
    <w:p w14:paraId="42F634AB">
      <w:pPr>
        <w:kinsoku w:val="0"/>
        <w:wordWrap w:val="0"/>
        <w:overflowPunct w:val="0"/>
        <w:spacing w:line="360" w:lineRule="auto"/>
        <w:ind w:right="191" w:firstLine="419"/>
        <w:rPr>
          <w:rFonts w:hint="eastAsia"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除投标人须知前附表另有规定外，投标人应按招标公告投标人资格要求及下列规定提供资格审查资料，以证明其满足本章第1.4款规定的资质、业绩等要求。</w:t>
      </w:r>
    </w:p>
    <w:p w14:paraId="695AF14B">
      <w:pPr>
        <w:kinsoku w:val="0"/>
        <w:wordWrap w:val="0"/>
        <w:overflowPunct w:val="0"/>
        <w:spacing w:line="360" w:lineRule="auto"/>
        <w:ind w:right="191" w:firstLine="419"/>
        <w:rPr>
          <w:rFonts w:hint="eastAsia"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3.5.1“投标人基本情况表”应附投标人营业执照和组织机构代码证的扫描件（按照“三证合一”或“五证合一”登记制度进行登记的，可仅提供营业执照扫描件）、投标人监理资质证书副本等材料的扫描件。</w:t>
      </w:r>
    </w:p>
    <w:p w14:paraId="1AB60334">
      <w:pPr>
        <w:kinsoku w:val="0"/>
        <w:wordWrap w:val="0"/>
        <w:overflowPunct w:val="0"/>
        <w:spacing w:line="360" w:lineRule="auto"/>
        <w:ind w:right="191" w:firstLine="419"/>
        <w:rPr>
          <w:rFonts w:hint="eastAsia"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3.5.2“近年完成的类似监理项目情况表”应附中标通知书和（或）合同协议书、委托人出具的证明文件；具体时间要求见投标人须知前附表，每张表格只填写一个项目，并标明序号。</w:t>
      </w:r>
    </w:p>
    <w:p w14:paraId="5A49520E">
      <w:pPr>
        <w:kinsoku w:val="0"/>
        <w:wordWrap w:val="0"/>
        <w:overflowPunct w:val="0"/>
        <w:spacing w:line="360" w:lineRule="auto"/>
        <w:ind w:right="191" w:firstLine="419"/>
        <w:rPr>
          <w:rFonts w:hint="eastAsia"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3.5.3“拟委任的主要人员汇总表”应填报满足本章第1.4.1项规定的总监理工程师和其他主要人员的相关信息。“主要人员简历表”中总监理工程师应附身份证、学历证、职称证、注册监理工程师执业证书和社保缴费证明，管理过的项目业绩须附合同协议书（如有）；其他主要人员应附身份证、学历证、职称证、有关证书和社保缴费证明（如有）。（注：以上人员社保要求：具有离投标截止时间最近的至少1个月在本单位缴纳的社保证明文件，由招标人自行确定。）</w:t>
      </w:r>
    </w:p>
    <w:p w14:paraId="5DF36EFB">
      <w:pPr>
        <w:kinsoku w:val="0"/>
        <w:wordWrap w:val="0"/>
        <w:overflowPunct w:val="0"/>
        <w:spacing w:line="360" w:lineRule="auto"/>
        <w:ind w:right="191" w:firstLine="419"/>
        <w:rPr>
          <w:rFonts w:hint="eastAsia" w:ascii="宋体" w:hAnsi="宋体" w:eastAsia="宋体" w:cs="Times New Roman"/>
          <w:color w:val="auto"/>
          <w:szCs w:val="21"/>
          <w:highlight w:val="none"/>
          <w:u w:val="single"/>
        </w:rPr>
      </w:pPr>
      <w:r>
        <w:rPr>
          <w:rFonts w:hint="eastAsia" w:ascii="宋体" w:hAnsi="宋体" w:eastAsia="宋体" w:cs="Times New Roman"/>
          <w:color w:val="auto"/>
          <w:spacing w:val="-1"/>
          <w:szCs w:val="21"/>
          <w:highlight w:val="none"/>
        </w:rPr>
        <w:t>3.5.4投标人须知前附表规定接受联合体投标的，本章第3.5.1项至第3.5.3项规定的表格和资料应包括联合体各方相关情况。</w:t>
      </w:r>
    </w:p>
    <w:p w14:paraId="14830666">
      <w:pPr>
        <w:keepNext/>
        <w:keepLines/>
        <w:wordWrap w:val="0"/>
        <w:spacing w:line="360" w:lineRule="auto"/>
        <w:outlineLvl w:val="3"/>
        <w:rPr>
          <w:rFonts w:hint="eastAsia" w:ascii="宋体" w:hAnsi="宋体" w:eastAsia="宋体" w:cs="Times New Roman"/>
          <w:b/>
          <w:color w:val="auto"/>
          <w:sz w:val="28"/>
          <w:szCs w:val="28"/>
          <w:highlight w:val="none"/>
        </w:rPr>
      </w:pPr>
      <w:bookmarkStart w:id="187" w:name="bookmark45"/>
      <w:bookmarkEnd w:id="187"/>
      <w:r>
        <w:rPr>
          <w:rFonts w:ascii="宋体" w:hAnsi="宋体" w:eastAsia="宋体" w:cs="Times New Roman"/>
          <w:b/>
          <w:color w:val="auto"/>
          <w:sz w:val="28"/>
          <w:szCs w:val="28"/>
          <w:highlight w:val="none"/>
        </w:rPr>
        <w:t>3.6</w:t>
      </w:r>
      <w:r>
        <w:rPr>
          <w:rFonts w:hint="eastAsia" w:ascii="宋体" w:hAnsi="宋体" w:eastAsia="宋体" w:cs="Times New Roman"/>
          <w:b/>
          <w:color w:val="auto"/>
          <w:sz w:val="28"/>
          <w:szCs w:val="28"/>
          <w:highlight w:val="none"/>
        </w:rPr>
        <w:t>备选投标方案</w:t>
      </w:r>
    </w:p>
    <w:p w14:paraId="6F22D691">
      <w:pPr>
        <w:kinsoku w:val="0"/>
        <w:wordWrap w:val="0"/>
        <w:overflowPunct w:val="0"/>
        <w:spacing w:line="360" w:lineRule="auto"/>
        <w:ind w:right="44" w:firstLine="419"/>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3.6.1</w:t>
      </w:r>
      <w:r>
        <w:rPr>
          <w:rFonts w:hint="eastAsia" w:ascii="宋体" w:hAnsi="宋体" w:eastAsia="宋体" w:cs="Times New Roman"/>
          <w:color w:val="auto"/>
          <w:spacing w:val="-4"/>
          <w:szCs w:val="21"/>
          <w:highlight w:val="none"/>
        </w:rPr>
        <w:t>除投标人须知前附表规定允许外，投标人不得递交备选投标方案，否则其投标将被否</w:t>
      </w:r>
      <w:r>
        <w:rPr>
          <w:rFonts w:hint="eastAsia" w:ascii="宋体" w:hAnsi="宋体" w:eastAsia="宋体" w:cs="Times New Roman"/>
          <w:color w:val="auto"/>
          <w:szCs w:val="21"/>
          <w:highlight w:val="none"/>
        </w:rPr>
        <w:t>决。</w:t>
      </w:r>
    </w:p>
    <w:p w14:paraId="3CE57EC1">
      <w:pPr>
        <w:kinsoku w:val="0"/>
        <w:wordWrap w:val="0"/>
        <w:overflowPunct w:val="0"/>
        <w:spacing w:line="360" w:lineRule="auto"/>
        <w:ind w:right="109" w:firstLine="419"/>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3.6.2</w:t>
      </w:r>
      <w:r>
        <w:rPr>
          <w:rFonts w:hint="eastAsia" w:ascii="宋体" w:hAnsi="宋体" w:eastAsia="宋体" w:cs="Times New Roman"/>
          <w:color w:val="auto"/>
          <w:szCs w:val="21"/>
          <w:highlight w:val="none"/>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63040056">
      <w:pPr>
        <w:kinsoku w:val="0"/>
        <w:wordWrap w:val="0"/>
        <w:overflowPunct w:val="0"/>
        <w:spacing w:line="360" w:lineRule="auto"/>
        <w:ind w:right="213" w:firstLine="419"/>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3.6.3</w:t>
      </w:r>
      <w:r>
        <w:rPr>
          <w:rFonts w:hint="eastAsia" w:ascii="宋体" w:hAnsi="宋体" w:eastAsia="宋体" w:cs="Times New Roman"/>
          <w:color w:val="auto"/>
          <w:spacing w:val="-4"/>
          <w:szCs w:val="21"/>
          <w:highlight w:val="none"/>
        </w:rPr>
        <w:t>投标人提供两个或两个以上投标报价，或者在投标文件中提供一个报价，但同时提供</w:t>
      </w:r>
      <w:r>
        <w:rPr>
          <w:rFonts w:hint="eastAsia" w:ascii="宋体" w:hAnsi="宋体" w:eastAsia="宋体" w:cs="Times New Roman"/>
          <w:color w:val="auto"/>
          <w:szCs w:val="21"/>
          <w:highlight w:val="none"/>
        </w:rPr>
        <w:t>两个或两个以上监理方案的，视为提供备选方案。</w:t>
      </w:r>
    </w:p>
    <w:p w14:paraId="6352E276">
      <w:pPr>
        <w:keepNext/>
        <w:keepLines/>
        <w:wordWrap w:val="0"/>
        <w:spacing w:line="360" w:lineRule="auto"/>
        <w:outlineLvl w:val="3"/>
        <w:rPr>
          <w:rFonts w:hint="eastAsia" w:ascii="宋体" w:hAnsi="宋体" w:eastAsia="宋体" w:cs="Times New Roman"/>
          <w:b/>
          <w:color w:val="auto"/>
          <w:sz w:val="28"/>
          <w:szCs w:val="28"/>
          <w:highlight w:val="none"/>
        </w:rPr>
      </w:pPr>
      <w:bookmarkStart w:id="188" w:name="bookmark46"/>
      <w:bookmarkEnd w:id="188"/>
      <w:r>
        <w:rPr>
          <w:rFonts w:ascii="宋体" w:hAnsi="宋体" w:eastAsia="宋体" w:cs="Times New Roman"/>
          <w:b/>
          <w:color w:val="auto"/>
          <w:sz w:val="28"/>
          <w:szCs w:val="28"/>
          <w:highlight w:val="none"/>
        </w:rPr>
        <w:t>3.7</w:t>
      </w:r>
      <w:r>
        <w:rPr>
          <w:rFonts w:hint="eastAsia" w:ascii="宋体" w:hAnsi="宋体" w:eastAsia="宋体" w:cs="Times New Roman"/>
          <w:b/>
          <w:color w:val="auto"/>
          <w:sz w:val="28"/>
          <w:szCs w:val="28"/>
          <w:highlight w:val="none"/>
        </w:rPr>
        <w:t>投标文件的编制</w:t>
      </w:r>
    </w:p>
    <w:p w14:paraId="2BE586F6">
      <w:pPr>
        <w:kinsoku w:val="0"/>
        <w:wordWrap w:val="0"/>
        <w:overflowPunct w:val="0"/>
        <w:spacing w:line="360" w:lineRule="auto"/>
        <w:ind w:right="114" w:firstLine="41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3.7.1投标文件应按第六章“投标文件格式”进行编写，如有必要，可以增加附页，作为投标文件的组成部分。其中，投标函附录在满足招标文件实质性要求的基础上，可以提出比招标文件要求更有利于招标人的承诺。</w:t>
      </w:r>
    </w:p>
    <w:p w14:paraId="4789A357">
      <w:pPr>
        <w:kinsoku w:val="0"/>
        <w:wordWrap w:val="0"/>
        <w:overflowPunct w:val="0"/>
        <w:spacing w:line="360" w:lineRule="auto"/>
        <w:ind w:right="114" w:firstLine="41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3.7.2投标文件应当对招标文件有关监理服务期限、投标有效期、委托人要求、招标范围等实质性内容作出响应。</w:t>
      </w:r>
    </w:p>
    <w:p w14:paraId="3AF06C01">
      <w:pPr>
        <w:kinsoku w:val="0"/>
        <w:wordWrap w:val="0"/>
        <w:overflowPunct w:val="0"/>
        <w:spacing w:line="360" w:lineRule="auto"/>
        <w:ind w:right="114" w:firstLine="41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3.7.3投标文件全部采用电子文档，投标文件所附证书证件均为原件扫描件或电子证书，并采用单位数字证书，按招标文件要求在相应位置加盖电子印章。投标文件中需个人签字或盖章的，应加盖个人电子印章或在线下完成后扫描上传（可靠的电子签名与手写签名或者盖章具有同等的法律效力）。按照广州交易集团有限公司（广州公共资源交易中心）网站关于全流程电子化项目的相关指南进行操作。</w:t>
      </w:r>
    </w:p>
    <w:p w14:paraId="6AE45828">
      <w:pPr>
        <w:kinsoku w:val="0"/>
        <w:wordWrap w:val="0"/>
        <w:overflowPunct w:val="0"/>
        <w:spacing w:line="360" w:lineRule="auto"/>
        <w:ind w:right="114" w:firstLine="41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3.7.4联合体投标时，投标人封面及其他内容落款中的“投标人”应填写联合体各方的单位全称【格式为：（主）XXXX公司（成）XXXX公司】。除联合体共同投标协议需联合体各方按要求共同盖章签字，其余可由联合体主办方签字、盖章即可，由联合体主办方法人签字的电子投标文件需提供主办方法定代表人证明，若由联合体主办方法定代表人授权签字的电子投标文件需提供法定代表人证明及其授权委托书、授权委托人身份证扫描件。</w:t>
      </w:r>
    </w:p>
    <w:p w14:paraId="7EE91161">
      <w:pPr>
        <w:kinsoku w:val="0"/>
        <w:wordWrap w:val="0"/>
        <w:overflowPunct w:val="0"/>
        <w:spacing w:line="360" w:lineRule="auto"/>
        <w:ind w:right="114" w:firstLine="41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3.7.5投标文件应按照广州交易集团有限公司（广州公共资源交易中心）网站关于全流程电子化项目的相关指南进行编制。如因不按上述编排要求编制而所引起系统无法检索、读取相关信息时，其后果将由投标人自行承担。</w:t>
      </w:r>
    </w:p>
    <w:p w14:paraId="13BAFE1D">
      <w:pPr>
        <w:keepNext/>
        <w:keepLines/>
        <w:wordWrap w:val="0"/>
        <w:spacing w:line="360" w:lineRule="auto"/>
        <w:outlineLvl w:val="2"/>
        <w:rPr>
          <w:rFonts w:hint="eastAsia" w:ascii="宋体" w:hAnsi="宋体" w:eastAsia="宋体" w:cs="Times New Roman"/>
          <w:b/>
          <w:color w:val="auto"/>
          <w:sz w:val="28"/>
          <w:szCs w:val="20"/>
          <w:highlight w:val="none"/>
        </w:rPr>
      </w:pPr>
      <w:bookmarkStart w:id="189" w:name="bookmark47"/>
      <w:bookmarkEnd w:id="189"/>
      <w:bookmarkStart w:id="190" w:name="_Toc14873649"/>
      <w:r>
        <w:rPr>
          <w:rFonts w:ascii="宋体" w:hAnsi="宋体" w:eastAsia="宋体" w:cs="Times New Roman"/>
          <w:b/>
          <w:color w:val="auto"/>
          <w:sz w:val="28"/>
          <w:szCs w:val="20"/>
          <w:highlight w:val="none"/>
        </w:rPr>
        <w:t xml:space="preserve">4.  </w:t>
      </w:r>
      <w:r>
        <w:rPr>
          <w:rFonts w:hint="eastAsia" w:ascii="宋体" w:hAnsi="宋体" w:eastAsia="宋体" w:cs="Times New Roman"/>
          <w:b/>
          <w:color w:val="auto"/>
          <w:sz w:val="28"/>
          <w:szCs w:val="20"/>
          <w:highlight w:val="none"/>
        </w:rPr>
        <w:t>投标</w:t>
      </w:r>
      <w:bookmarkEnd w:id="190"/>
    </w:p>
    <w:p w14:paraId="06B7C7FE">
      <w:pPr>
        <w:keepNext/>
        <w:keepLines/>
        <w:wordWrap w:val="0"/>
        <w:spacing w:line="360" w:lineRule="auto"/>
        <w:outlineLvl w:val="3"/>
        <w:rPr>
          <w:rFonts w:hint="eastAsia" w:ascii="宋体" w:hAnsi="宋体" w:eastAsia="宋体" w:cs="Times New Roman"/>
          <w:b/>
          <w:color w:val="auto"/>
          <w:sz w:val="28"/>
          <w:szCs w:val="28"/>
          <w:highlight w:val="none"/>
        </w:rPr>
      </w:pPr>
      <w:bookmarkStart w:id="191" w:name="bookmark48"/>
      <w:bookmarkEnd w:id="191"/>
      <w:r>
        <w:rPr>
          <w:rFonts w:ascii="宋体" w:hAnsi="宋体" w:eastAsia="宋体" w:cs="Times New Roman"/>
          <w:b/>
          <w:color w:val="auto"/>
          <w:sz w:val="28"/>
          <w:szCs w:val="28"/>
          <w:highlight w:val="none"/>
        </w:rPr>
        <w:t>4.1</w:t>
      </w:r>
      <w:r>
        <w:rPr>
          <w:rFonts w:hint="eastAsia" w:ascii="宋体" w:hAnsi="宋体" w:eastAsia="宋体" w:cs="Times New Roman"/>
          <w:b/>
          <w:color w:val="auto"/>
          <w:sz w:val="28"/>
          <w:szCs w:val="28"/>
          <w:highlight w:val="none"/>
        </w:rPr>
        <w:t>投标文件的密封和标记</w:t>
      </w:r>
    </w:p>
    <w:p w14:paraId="29574E2B">
      <w:pPr>
        <w:kinsoku w:val="0"/>
        <w:wordWrap w:val="0"/>
        <w:overflowPunct w:val="0"/>
        <w:spacing w:line="360" w:lineRule="auto"/>
        <w:ind w:firstLine="41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4.1.1投标人应当按照招标文件和电子招标投标交易平台的要求加密投标文件（不含备用光盘），具体要求见投标人须知前附表。</w:t>
      </w:r>
    </w:p>
    <w:p w14:paraId="129FCB25">
      <w:pPr>
        <w:kinsoku w:val="0"/>
        <w:wordWrap w:val="0"/>
        <w:overflowPunct w:val="0"/>
        <w:spacing w:line="360" w:lineRule="auto"/>
        <w:ind w:firstLine="41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4.1.2（如有）投标文件备用光盘封套上应写明的内容见投标人须知前附表。</w:t>
      </w:r>
    </w:p>
    <w:p w14:paraId="1DFEA47F">
      <w:pPr>
        <w:kinsoku w:val="0"/>
        <w:wordWrap w:val="0"/>
        <w:overflowPunct w:val="0"/>
        <w:spacing w:line="360" w:lineRule="auto"/>
        <w:ind w:firstLine="41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4.1.3未按本章第4.1.1项要求加密的投标文件，招标人将授权广州交易集团有限公司（广州公共资源交易中心）网站交易平台予以拒收。</w:t>
      </w:r>
    </w:p>
    <w:p w14:paraId="08760A94">
      <w:pPr>
        <w:keepNext/>
        <w:keepLines/>
        <w:wordWrap w:val="0"/>
        <w:spacing w:line="360" w:lineRule="auto"/>
        <w:outlineLvl w:val="3"/>
        <w:rPr>
          <w:rFonts w:hint="eastAsia" w:ascii="宋体" w:hAnsi="宋体" w:eastAsia="宋体" w:cs="Times New Roman"/>
          <w:b/>
          <w:color w:val="auto"/>
          <w:sz w:val="28"/>
          <w:szCs w:val="28"/>
          <w:highlight w:val="none"/>
        </w:rPr>
      </w:pPr>
      <w:r>
        <w:rPr>
          <w:rFonts w:ascii="宋体" w:hAnsi="宋体" w:eastAsia="宋体" w:cs="Times New Roman"/>
          <w:b/>
          <w:color w:val="auto"/>
          <w:sz w:val="28"/>
          <w:szCs w:val="28"/>
          <w:highlight w:val="none"/>
        </w:rPr>
        <w:t>4.2</w:t>
      </w:r>
      <w:r>
        <w:rPr>
          <w:rFonts w:hint="eastAsia" w:ascii="宋体" w:hAnsi="宋体" w:eastAsia="宋体" w:cs="Times New Roman"/>
          <w:b/>
          <w:color w:val="auto"/>
          <w:sz w:val="28"/>
          <w:szCs w:val="28"/>
          <w:highlight w:val="none"/>
        </w:rPr>
        <w:t>投标文件的递交</w:t>
      </w:r>
    </w:p>
    <w:p w14:paraId="1EC62AA4">
      <w:pPr>
        <w:kinsoku w:val="0"/>
        <w:wordWrap w:val="0"/>
        <w:overflowPunct w:val="0"/>
        <w:spacing w:line="360" w:lineRule="auto"/>
        <w:ind w:right="113" w:rightChars="54"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4.2.1投标人应在投标人须知前附表规定的投标截止时间前通过广州交易集团有限公司（广州公共资源交易中心）网站交易平台递交电子投标文件。</w:t>
      </w:r>
    </w:p>
    <w:p w14:paraId="7C481FA2">
      <w:pPr>
        <w:kinsoku w:val="0"/>
        <w:wordWrap w:val="0"/>
        <w:overflowPunct w:val="0"/>
        <w:spacing w:line="360" w:lineRule="auto"/>
        <w:ind w:right="113" w:rightChars="54"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4.2.2投标人完成电子投标文件上传后，广州交易集团有限公司（广州公共资源交易中心）网站交易平台即时向投标人发出递交回执通知。递交时间以递交回执通知载明的传输完成时间为准。</w:t>
      </w:r>
    </w:p>
    <w:p w14:paraId="4F3928B0">
      <w:pPr>
        <w:kinsoku w:val="0"/>
        <w:wordWrap w:val="0"/>
        <w:overflowPunct w:val="0"/>
        <w:spacing w:line="360" w:lineRule="auto"/>
        <w:ind w:right="113" w:rightChars="54"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4.2.3逾期送达的电子投标文件，广州交易集团有限公司（广州公共资源交易中心）网站交易平台将予以拒收。</w:t>
      </w:r>
    </w:p>
    <w:p w14:paraId="7C801BB5">
      <w:pPr>
        <w:kinsoku w:val="0"/>
        <w:wordWrap w:val="0"/>
        <w:overflowPunct w:val="0"/>
        <w:spacing w:line="360" w:lineRule="auto"/>
        <w:ind w:right="113" w:rightChars="54"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4.2.4投标截止前，招标人拒绝接收符合条件的投标文件，投标人可向招标监督机构投诉。</w:t>
      </w:r>
    </w:p>
    <w:p w14:paraId="69FCB78E">
      <w:pPr>
        <w:keepNext/>
        <w:keepLines/>
        <w:wordWrap w:val="0"/>
        <w:spacing w:line="360" w:lineRule="auto"/>
        <w:outlineLvl w:val="3"/>
        <w:rPr>
          <w:rFonts w:hint="eastAsia" w:ascii="宋体" w:hAnsi="宋体" w:eastAsia="宋体" w:cs="Times New Roman"/>
          <w:b/>
          <w:color w:val="auto"/>
          <w:sz w:val="28"/>
          <w:szCs w:val="28"/>
          <w:highlight w:val="none"/>
        </w:rPr>
      </w:pPr>
      <w:bookmarkStart w:id="192" w:name="bookmark50"/>
      <w:bookmarkEnd w:id="192"/>
      <w:r>
        <w:rPr>
          <w:rFonts w:ascii="宋体" w:hAnsi="宋体" w:eastAsia="宋体" w:cs="Times New Roman"/>
          <w:b/>
          <w:color w:val="auto"/>
          <w:sz w:val="28"/>
          <w:szCs w:val="28"/>
          <w:highlight w:val="none"/>
        </w:rPr>
        <w:t>4.3</w:t>
      </w:r>
      <w:r>
        <w:rPr>
          <w:rFonts w:hint="eastAsia" w:ascii="宋体" w:hAnsi="宋体" w:eastAsia="宋体" w:cs="Times New Roman"/>
          <w:b/>
          <w:color w:val="auto"/>
          <w:sz w:val="28"/>
          <w:szCs w:val="28"/>
          <w:highlight w:val="none"/>
        </w:rPr>
        <w:t>投标文件的修改与撤回</w:t>
      </w:r>
    </w:p>
    <w:p w14:paraId="1E5504BA">
      <w:pPr>
        <w:kinsoku w:val="0"/>
        <w:wordWrap w:val="0"/>
        <w:overflowPunct w:val="0"/>
        <w:spacing w:line="360" w:lineRule="auto"/>
        <w:ind w:right="109" w:firstLine="41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4.3.1在规定的投标截止时间前，投标人可以修改或撤回已递交的投标文件，但应以书面形式通知招标人。</w:t>
      </w:r>
    </w:p>
    <w:p w14:paraId="0386D13E">
      <w:pPr>
        <w:kinsoku w:val="0"/>
        <w:wordWrap w:val="0"/>
        <w:overflowPunct w:val="0"/>
        <w:spacing w:line="360" w:lineRule="auto"/>
        <w:ind w:right="109" w:firstLine="41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4.3.2投标人修改或撤回已递交投标文件，需在交易平台发出修改或撤回通知，并按要求加盖电子印章。电子招标投标交易平台收到通知后，即时向投标人发出确认回执通知。</w:t>
      </w:r>
    </w:p>
    <w:p w14:paraId="542C2E79">
      <w:pPr>
        <w:kinsoku w:val="0"/>
        <w:wordWrap w:val="0"/>
        <w:overflowPunct w:val="0"/>
        <w:spacing w:line="360" w:lineRule="auto"/>
        <w:ind w:right="109" w:firstLine="41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4.3.3修改后再次递交的，按第4.2项的规定执行。</w:t>
      </w:r>
    </w:p>
    <w:p w14:paraId="254319DF">
      <w:pPr>
        <w:kinsoku w:val="0"/>
        <w:wordWrap w:val="0"/>
        <w:overflowPunct w:val="0"/>
        <w:spacing w:line="360" w:lineRule="auto"/>
        <w:ind w:right="109" w:firstLine="41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4.3.4在投标截止时间之后，投标人不得补充、修改和更换投标文件。</w:t>
      </w:r>
    </w:p>
    <w:p w14:paraId="06E1D75F">
      <w:pPr>
        <w:kinsoku w:val="0"/>
        <w:wordWrap w:val="0"/>
        <w:overflowPunct w:val="0"/>
        <w:spacing w:line="360" w:lineRule="auto"/>
        <w:ind w:right="109" w:firstLine="41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4.3.5投标人撤回投标文件的，招标人自收到投标人书面撤回通知之日起5日内退还已收取的投标保证金。</w:t>
      </w:r>
    </w:p>
    <w:p w14:paraId="1F4DC78E">
      <w:pPr>
        <w:keepNext/>
        <w:keepLines/>
        <w:wordWrap w:val="0"/>
        <w:spacing w:line="360" w:lineRule="auto"/>
        <w:outlineLvl w:val="2"/>
        <w:rPr>
          <w:rFonts w:hint="eastAsia" w:ascii="宋体" w:hAnsi="宋体" w:eastAsia="宋体" w:cs="Times New Roman"/>
          <w:b/>
          <w:color w:val="auto"/>
          <w:sz w:val="28"/>
          <w:szCs w:val="20"/>
          <w:highlight w:val="none"/>
        </w:rPr>
      </w:pPr>
      <w:bookmarkStart w:id="193" w:name="bookmark51"/>
      <w:bookmarkEnd w:id="193"/>
      <w:bookmarkStart w:id="194" w:name="_Toc14873650"/>
      <w:r>
        <w:rPr>
          <w:rFonts w:ascii="宋体" w:hAnsi="宋体" w:eastAsia="宋体" w:cs="Times New Roman"/>
          <w:b/>
          <w:color w:val="auto"/>
          <w:sz w:val="28"/>
          <w:szCs w:val="20"/>
          <w:highlight w:val="none"/>
        </w:rPr>
        <w:t xml:space="preserve">5.  </w:t>
      </w:r>
      <w:r>
        <w:rPr>
          <w:rFonts w:hint="eastAsia" w:ascii="宋体" w:hAnsi="宋体" w:eastAsia="宋体" w:cs="Times New Roman"/>
          <w:b/>
          <w:color w:val="auto"/>
          <w:sz w:val="28"/>
          <w:szCs w:val="20"/>
          <w:highlight w:val="none"/>
        </w:rPr>
        <w:t>开标</w:t>
      </w:r>
      <w:bookmarkEnd w:id="194"/>
    </w:p>
    <w:p w14:paraId="6FF76F87">
      <w:pPr>
        <w:keepNext/>
        <w:keepLines/>
        <w:wordWrap w:val="0"/>
        <w:spacing w:line="360" w:lineRule="auto"/>
        <w:outlineLvl w:val="3"/>
        <w:rPr>
          <w:rFonts w:hint="eastAsia" w:ascii="宋体" w:hAnsi="宋体" w:eastAsia="宋体" w:cs="Times New Roman"/>
          <w:b/>
          <w:color w:val="auto"/>
          <w:sz w:val="28"/>
          <w:szCs w:val="28"/>
          <w:highlight w:val="none"/>
        </w:rPr>
      </w:pPr>
      <w:bookmarkStart w:id="195" w:name="bookmark53"/>
      <w:bookmarkEnd w:id="195"/>
      <w:bookmarkStart w:id="196" w:name="bookmark52"/>
      <w:bookmarkEnd w:id="196"/>
      <w:r>
        <w:rPr>
          <w:rFonts w:ascii="宋体" w:hAnsi="宋体" w:eastAsia="宋体" w:cs="Times New Roman"/>
          <w:b/>
          <w:color w:val="auto"/>
          <w:sz w:val="28"/>
          <w:szCs w:val="28"/>
          <w:highlight w:val="none"/>
        </w:rPr>
        <w:t>5.1</w:t>
      </w:r>
      <w:r>
        <w:rPr>
          <w:rFonts w:hint="eastAsia" w:ascii="宋体" w:hAnsi="宋体" w:eastAsia="宋体" w:cs="Times New Roman"/>
          <w:b/>
          <w:color w:val="auto"/>
          <w:sz w:val="28"/>
          <w:szCs w:val="28"/>
          <w:highlight w:val="none"/>
        </w:rPr>
        <w:t>开标时间和地点</w:t>
      </w:r>
    </w:p>
    <w:p w14:paraId="2B2BB93A">
      <w:pPr>
        <w:kinsoku w:val="0"/>
        <w:wordWrap w:val="0"/>
        <w:overflowPunct w:val="0"/>
        <w:spacing w:line="360" w:lineRule="auto"/>
        <w:ind w:right="109" w:firstLine="41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5.1.1招标人按投标须知前附表规定的时间和地点公开开标。截标后，开标开始时间因故推迟的，相关评标信息仍以原定的开标开始时间的信息为准。</w:t>
      </w:r>
    </w:p>
    <w:p w14:paraId="784523C8">
      <w:pPr>
        <w:kinsoku w:val="0"/>
        <w:wordWrap w:val="0"/>
        <w:overflowPunct w:val="0"/>
        <w:spacing w:line="360" w:lineRule="auto"/>
        <w:ind w:right="109" w:firstLine="41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5.1.2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44505E00">
      <w:pPr>
        <w:keepNext/>
        <w:keepLines/>
        <w:wordWrap w:val="0"/>
        <w:spacing w:line="360" w:lineRule="auto"/>
        <w:outlineLvl w:val="3"/>
        <w:rPr>
          <w:rFonts w:hint="eastAsia" w:ascii="宋体" w:hAnsi="宋体" w:eastAsia="宋体" w:cs="Times New Roman"/>
          <w:b/>
          <w:color w:val="auto"/>
          <w:sz w:val="28"/>
          <w:szCs w:val="28"/>
          <w:highlight w:val="none"/>
        </w:rPr>
      </w:pPr>
      <w:r>
        <w:rPr>
          <w:rFonts w:ascii="宋体" w:hAnsi="宋体" w:eastAsia="宋体" w:cs="Times New Roman"/>
          <w:b/>
          <w:color w:val="auto"/>
          <w:sz w:val="28"/>
          <w:szCs w:val="28"/>
          <w:highlight w:val="none"/>
        </w:rPr>
        <w:t>5.2</w:t>
      </w:r>
      <w:r>
        <w:rPr>
          <w:rFonts w:hint="eastAsia" w:ascii="宋体" w:hAnsi="宋体" w:eastAsia="宋体" w:cs="Times New Roman"/>
          <w:b/>
          <w:color w:val="auto"/>
          <w:sz w:val="28"/>
          <w:szCs w:val="28"/>
          <w:highlight w:val="none"/>
        </w:rPr>
        <w:t>开标程序</w:t>
      </w:r>
    </w:p>
    <w:p w14:paraId="68649593">
      <w:pPr>
        <w:kinsoku w:val="0"/>
        <w:wordWrap w:val="0"/>
        <w:overflowPunct w:val="0"/>
        <w:spacing w:line="360" w:lineRule="auto"/>
        <w:ind w:right="113"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5.2.1在投标截止时间后</w:t>
      </w:r>
      <w:r>
        <w:rPr>
          <w:rFonts w:hint="eastAsia" w:ascii="宋体" w:hAnsi="宋体" w:eastAsia="宋体" w:cs="Times New Roman"/>
          <w:b/>
          <w:bCs/>
          <w:color w:val="auto"/>
          <w:szCs w:val="21"/>
          <w:highlight w:val="none"/>
        </w:rPr>
        <w:t>1</w:t>
      </w:r>
      <w:r>
        <w:rPr>
          <w:rFonts w:hint="eastAsia" w:ascii="宋体" w:hAnsi="宋体" w:eastAsia="宋体" w:cs="Times New Roman"/>
          <w:color w:val="auto"/>
          <w:szCs w:val="21"/>
          <w:highlight w:val="none"/>
        </w:rPr>
        <w:t>小时内，投标人通过递交投标文件的交易平台对已递交的电子投标文件进行解密。投标人完成解密后，再由招标人进行解密。解密完成后，公布招标项目名称、投标人名称、投标保证金的递交情况、投标报价、项目负责人及其他内容。未在规定时间内解密的投标文件不参与开标、评标。</w:t>
      </w:r>
    </w:p>
    <w:p w14:paraId="4D1DA405">
      <w:pPr>
        <w:kinsoku w:val="0"/>
        <w:wordWrap w:val="0"/>
        <w:overflowPunct w:val="0"/>
        <w:spacing w:line="360" w:lineRule="auto"/>
        <w:ind w:right="113"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5.2.2按开标记录表规定的内容进行唱标。</w:t>
      </w:r>
    </w:p>
    <w:p w14:paraId="4EB06148">
      <w:pPr>
        <w:kinsoku w:val="0"/>
        <w:wordWrap w:val="0"/>
        <w:overflowPunct w:val="0"/>
        <w:spacing w:line="360" w:lineRule="auto"/>
        <w:ind w:right="113"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5.2.3投标人代表、招标人代表等有关人员在开标记录上签字确认；若有关人员不签字的，不影响开标程序。</w:t>
      </w:r>
    </w:p>
    <w:p w14:paraId="07DD9902">
      <w:pPr>
        <w:kinsoku w:val="0"/>
        <w:wordWrap w:val="0"/>
        <w:overflowPunct w:val="0"/>
        <w:spacing w:line="360" w:lineRule="auto"/>
        <w:ind w:right="113"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5.2.4开标结束。</w:t>
      </w:r>
    </w:p>
    <w:p w14:paraId="3D2694B0">
      <w:pPr>
        <w:kinsoku w:val="0"/>
        <w:wordWrap w:val="0"/>
        <w:overflowPunct w:val="0"/>
        <w:spacing w:line="360" w:lineRule="auto"/>
        <w:ind w:right="113"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5.2.5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2CE36862">
      <w:pPr>
        <w:kinsoku w:val="0"/>
        <w:wordWrap w:val="0"/>
        <w:overflowPunct w:val="0"/>
        <w:spacing w:line="360" w:lineRule="auto"/>
        <w:ind w:right="113"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5.2.6开标时，两个（含两个）以上的投标人加密打包投标文件的硬件特征码（含MAC地址、硬盘序列号、CPU名称、主板等）一致的，由评标委员会否决其投标。</w:t>
      </w:r>
    </w:p>
    <w:p w14:paraId="305160B7">
      <w:pPr>
        <w:keepNext/>
        <w:keepLines/>
        <w:wordWrap w:val="0"/>
        <w:spacing w:line="360" w:lineRule="auto"/>
        <w:outlineLvl w:val="3"/>
        <w:rPr>
          <w:rFonts w:hint="eastAsia" w:ascii="宋体" w:hAnsi="宋体" w:eastAsia="宋体" w:cs="Times New Roman"/>
          <w:b/>
          <w:color w:val="auto"/>
          <w:sz w:val="28"/>
          <w:szCs w:val="28"/>
          <w:highlight w:val="none"/>
        </w:rPr>
      </w:pPr>
      <w:bookmarkStart w:id="197" w:name="bookmark55"/>
      <w:bookmarkEnd w:id="197"/>
      <w:r>
        <w:rPr>
          <w:rFonts w:ascii="宋体" w:hAnsi="宋体" w:eastAsia="宋体" w:cs="Times New Roman"/>
          <w:b/>
          <w:color w:val="auto"/>
          <w:sz w:val="28"/>
          <w:szCs w:val="28"/>
          <w:highlight w:val="none"/>
        </w:rPr>
        <w:t>5.3</w:t>
      </w:r>
      <w:r>
        <w:rPr>
          <w:rFonts w:hint="eastAsia" w:ascii="宋体" w:hAnsi="宋体" w:eastAsia="宋体" w:cs="Times New Roman"/>
          <w:b/>
          <w:color w:val="auto"/>
          <w:sz w:val="28"/>
          <w:szCs w:val="28"/>
          <w:highlight w:val="none"/>
        </w:rPr>
        <w:t>开标异议</w:t>
      </w:r>
    </w:p>
    <w:p w14:paraId="00A1E2B4">
      <w:pPr>
        <w:wordWrap w:val="0"/>
        <w:spacing w:line="360" w:lineRule="auto"/>
        <w:ind w:right="-20" w:firstLine="420" w:firstLineChars="200"/>
        <w:jc w:val="left"/>
        <w:rPr>
          <w:rFonts w:hint="eastAsia" w:ascii="宋体" w:hAnsi="宋体" w:eastAsia="宋体" w:cs="Times New Roman"/>
          <w:color w:val="auto"/>
          <w:szCs w:val="21"/>
          <w:highlight w:val="none"/>
        </w:rPr>
      </w:pPr>
      <w:bookmarkStart w:id="198" w:name="bookmark56"/>
      <w:bookmarkEnd w:id="198"/>
      <w:bookmarkStart w:id="199" w:name="_Toc14873651"/>
      <w:r>
        <w:rPr>
          <w:rFonts w:hint="eastAsia" w:ascii="宋体" w:hAnsi="宋体" w:eastAsia="宋体" w:cs="Times New Roman"/>
          <w:color w:val="auto"/>
          <w:szCs w:val="21"/>
          <w:highlight w:val="none"/>
        </w:rPr>
        <w:t>5.3.1参加现场开标的投标人对开标结果有异议的，应当在开标现场提出，该投标人代表须同时出示本人身份证原件，招标人应当当场作出答复，并制作记录。未答复的，开标程序不得结束。</w:t>
      </w:r>
    </w:p>
    <w:p w14:paraId="77BF8535">
      <w:pPr>
        <w:wordWrap w:val="0"/>
        <w:spacing w:line="360" w:lineRule="auto"/>
        <w:ind w:right="-20"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5.3.2参加在线开标的投标人对开标结果有异议的，应当在唱标结束后的规定时间内使用单位数字证书登录广州交易集团有限公司（广州公共资源交易中心）（电子招标投标交易平台）后通过电子招标投标交易平台提出。若招标人授权招标代理机构工作人员使用招标代理机构数字证书登录电子招标投标交易平台答复异议，异议答复是招标人真实意思表示。未答复的，开标程序不得结束。</w:t>
      </w:r>
    </w:p>
    <w:p w14:paraId="6BBBC7F3">
      <w:pPr>
        <w:wordWrap w:val="0"/>
        <w:spacing w:line="360" w:lineRule="auto"/>
        <w:ind w:right="-20" w:firstLine="420" w:firstLineChars="200"/>
        <w:jc w:val="left"/>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5.3.3投标人未参加开标或在规定的时间内未提出异议的，视为对开标无异议。</w:t>
      </w:r>
    </w:p>
    <w:p w14:paraId="54BCFBE0">
      <w:pPr>
        <w:keepNext/>
        <w:keepLines/>
        <w:wordWrap w:val="0"/>
        <w:spacing w:line="360" w:lineRule="auto"/>
        <w:outlineLvl w:val="2"/>
        <w:rPr>
          <w:rFonts w:hint="eastAsia" w:ascii="宋体" w:hAnsi="宋体" w:eastAsia="宋体" w:cs="Times New Roman"/>
          <w:b/>
          <w:color w:val="auto"/>
          <w:sz w:val="28"/>
          <w:szCs w:val="20"/>
          <w:highlight w:val="none"/>
        </w:rPr>
      </w:pPr>
      <w:r>
        <w:rPr>
          <w:rFonts w:ascii="宋体" w:hAnsi="宋体" w:eastAsia="宋体" w:cs="Times New Roman"/>
          <w:b/>
          <w:color w:val="auto"/>
          <w:sz w:val="28"/>
          <w:szCs w:val="20"/>
          <w:highlight w:val="none"/>
        </w:rPr>
        <w:t xml:space="preserve">6.  </w:t>
      </w:r>
      <w:r>
        <w:rPr>
          <w:rFonts w:hint="eastAsia" w:ascii="宋体" w:hAnsi="宋体" w:eastAsia="宋体" w:cs="Times New Roman"/>
          <w:b/>
          <w:color w:val="auto"/>
          <w:sz w:val="28"/>
          <w:szCs w:val="20"/>
          <w:highlight w:val="none"/>
        </w:rPr>
        <w:t>评标</w:t>
      </w:r>
      <w:bookmarkEnd w:id="199"/>
    </w:p>
    <w:p w14:paraId="1504A5AD">
      <w:pPr>
        <w:keepNext/>
        <w:keepLines/>
        <w:wordWrap w:val="0"/>
        <w:spacing w:line="360" w:lineRule="auto"/>
        <w:outlineLvl w:val="3"/>
        <w:rPr>
          <w:rFonts w:hint="eastAsia" w:ascii="宋体" w:hAnsi="宋体" w:eastAsia="宋体" w:cs="Times New Roman"/>
          <w:b/>
          <w:color w:val="auto"/>
          <w:sz w:val="28"/>
          <w:szCs w:val="28"/>
          <w:highlight w:val="none"/>
        </w:rPr>
      </w:pPr>
      <w:bookmarkStart w:id="200" w:name="bookmark57"/>
      <w:bookmarkEnd w:id="200"/>
      <w:r>
        <w:rPr>
          <w:rFonts w:ascii="宋体" w:hAnsi="宋体" w:eastAsia="宋体" w:cs="Times New Roman"/>
          <w:b/>
          <w:color w:val="auto"/>
          <w:sz w:val="28"/>
          <w:szCs w:val="28"/>
          <w:highlight w:val="none"/>
        </w:rPr>
        <w:t>6.1</w:t>
      </w:r>
      <w:r>
        <w:rPr>
          <w:rFonts w:hint="eastAsia" w:ascii="宋体" w:hAnsi="宋体" w:eastAsia="宋体" w:cs="Times New Roman"/>
          <w:b/>
          <w:color w:val="auto"/>
          <w:sz w:val="28"/>
          <w:szCs w:val="28"/>
          <w:highlight w:val="none"/>
        </w:rPr>
        <w:t>评标委员会</w:t>
      </w:r>
    </w:p>
    <w:p w14:paraId="70F8CA42">
      <w:pPr>
        <w:kinsoku w:val="0"/>
        <w:wordWrap w:val="0"/>
        <w:overflowPunct w:val="0"/>
        <w:spacing w:line="360" w:lineRule="auto"/>
        <w:ind w:right="113"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6.1.1评标由招标人依法组建的评标委员会负责。评标委员会由有关技术、经济等方面的专家和招标人代表组成，专家从广东省综合评标评审专家库中抽取或按远程异地评标专家抽取相关规定组建。评标委员会成员人数以及技术、经济等方面专家的确定方式见投标人须知前附表。</w:t>
      </w:r>
    </w:p>
    <w:p w14:paraId="1BA82545">
      <w:pPr>
        <w:kinsoku w:val="0"/>
        <w:wordWrap w:val="0"/>
        <w:overflowPunct w:val="0"/>
        <w:spacing w:line="360" w:lineRule="auto"/>
        <w:ind w:right="113"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6.1.2评标委员会成员有下列情形之一的，应当回避：</w:t>
      </w:r>
    </w:p>
    <w:p w14:paraId="05E43263">
      <w:pPr>
        <w:kinsoku w:val="0"/>
        <w:wordWrap w:val="0"/>
        <w:overflowPunct w:val="0"/>
        <w:spacing w:line="360" w:lineRule="auto"/>
        <w:ind w:right="113"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(1)投标人或投标人主要负责人的近亲属；</w:t>
      </w:r>
    </w:p>
    <w:p w14:paraId="5C6BD458">
      <w:pPr>
        <w:kinsoku w:val="0"/>
        <w:wordWrap w:val="0"/>
        <w:overflowPunct w:val="0"/>
        <w:spacing w:line="360" w:lineRule="auto"/>
        <w:ind w:right="113"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(2)项目主管部门或者行政监督部门的人员；</w:t>
      </w:r>
    </w:p>
    <w:p w14:paraId="3F58C568">
      <w:pPr>
        <w:kinsoku w:val="0"/>
        <w:wordWrap w:val="0"/>
        <w:overflowPunct w:val="0"/>
        <w:spacing w:line="360" w:lineRule="auto"/>
        <w:ind w:right="113"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(3)招标人或投标人的工作人员、退休或离职未满3年的人员；</w:t>
      </w:r>
    </w:p>
    <w:p w14:paraId="3F2CF323">
      <w:pPr>
        <w:kinsoku w:val="0"/>
        <w:wordWrap w:val="0"/>
        <w:overflowPunct w:val="0"/>
        <w:spacing w:line="360" w:lineRule="auto"/>
        <w:ind w:right="113"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(4)与投标人有经济利益关系，可能影响对投标公正评审的；</w:t>
      </w:r>
    </w:p>
    <w:p w14:paraId="657C4F5B">
      <w:pPr>
        <w:kinsoku w:val="0"/>
        <w:wordWrap w:val="0"/>
        <w:overflowPunct w:val="0"/>
        <w:spacing w:line="360" w:lineRule="auto"/>
        <w:ind w:right="113"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(5)曾因在招标、评标以及其他与招标投标有关活动中从事违法行为而受过行政处罚或刑事处罚的；</w:t>
      </w:r>
    </w:p>
    <w:p w14:paraId="1096AA3A">
      <w:pPr>
        <w:kinsoku w:val="0"/>
        <w:wordWrap w:val="0"/>
        <w:overflowPunct w:val="0"/>
        <w:spacing w:line="360" w:lineRule="auto"/>
        <w:ind w:right="113"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(6)与投标人有其他利害关系。</w:t>
      </w:r>
    </w:p>
    <w:p w14:paraId="5F2BC37C">
      <w:pPr>
        <w:kinsoku w:val="0"/>
        <w:wordWrap w:val="0"/>
        <w:overflowPunct w:val="0"/>
        <w:spacing w:line="360" w:lineRule="auto"/>
        <w:ind w:right="111" w:firstLine="426"/>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6.1.3</w:t>
      </w:r>
      <w:r>
        <w:rPr>
          <w:rFonts w:hint="eastAsia" w:ascii="宋体" w:hAnsi="宋体" w:eastAsia="宋体" w:cs="Times New Roman"/>
          <w:color w:val="auto"/>
          <w:spacing w:val="-4"/>
          <w:szCs w:val="21"/>
          <w:highlight w:val="none"/>
        </w:rPr>
        <w:t>评标过程中，评标委员会成员有回避事由、擅离职守或者因健康等原因不能继续评标</w:t>
      </w:r>
      <w:r>
        <w:rPr>
          <w:rFonts w:hint="eastAsia" w:ascii="宋体" w:hAnsi="宋体" w:eastAsia="宋体" w:cs="Times New Roman"/>
          <w:color w:val="auto"/>
          <w:spacing w:val="-1"/>
          <w:szCs w:val="21"/>
          <w:highlight w:val="none"/>
        </w:rPr>
        <w:t>的，招标人有权更换。被更换的评标委员会成员作出的评审结论无效，由更换后的评标委员会</w:t>
      </w:r>
      <w:r>
        <w:rPr>
          <w:rFonts w:hint="eastAsia" w:ascii="宋体" w:hAnsi="宋体" w:eastAsia="宋体" w:cs="Times New Roman"/>
          <w:color w:val="auto"/>
          <w:szCs w:val="21"/>
          <w:highlight w:val="none"/>
        </w:rPr>
        <w:t>成员重新进行评审。</w:t>
      </w:r>
    </w:p>
    <w:p w14:paraId="225B9A91">
      <w:pPr>
        <w:keepNext/>
        <w:keepLines/>
        <w:wordWrap w:val="0"/>
        <w:spacing w:line="360" w:lineRule="auto"/>
        <w:outlineLvl w:val="3"/>
        <w:rPr>
          <w:rFonts w:hint="eastAsia" w:ascii="宋体" w:hAnsi="宋体" w:eastAsia="宋体" w:cs="Times New Roman"/>
          <w:b/>
          <w:color w:val="auto"/>
          <w:sz w:val="28"/>
          <w:szCs w:val="28"/>
          <w:highlight w:val="none"/>
        </w:rPr>
      </w:pPr>
      <w:bookmarkStart w:id="201" w:name="bookmark58"/>
      <w:bookmarkEnd w:id="201"/>
      <w:r>
        <w:rPr>
          <w:rFonts w:ascii="宋体" w:hAnsi="宋体" w:eastAsia="宋体" w:cs="Times New Roman"/>
          <w:b/>
          <w:color w:val="auto"/>
          <w:sz w:val="28"/>
          <w:szCs w:val="28"/>
          <w:highlight w:val="none"/>
        </w:rPr>
        <w:t>6.2</w:t>
      </w:r>
      <w:r>
        <w:rPr>
          <w:rFonts w:hint="eastAsia" w:ascii="宋体" w:hAnsi="宋体" w:eastAsia="宋体" w:cs="Times New Roman"/>
          <w:b/>
          <w:color w:val="auto"/>
          <w:sz w:val="28"/>
          <w:szCs w:val="28"/>
          <w:highlight w:val="none"/>
        </w:rPr>
        <w:t>评标原则</w:t>
      </w:r>
    </w:p>
    <w:p w14:paraId="26812153">
      <w:pPr>
        <w:kinsoku w:val="0"/>
        <w:wordWrap w:val="0"/>
        <w:overflowPunct w:val="0"/>
        <w:spacing w:line="360" w:lineRule="auto"/>
        <w:ind w:right="113"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评标活动遵循公平、公正、科学和择优的原则。</w:t>
      </w:r>
    </w:p>
    <w:p w14:paraId="12D22C30">
      <w:pPr>
        <w:keepNext/>
        <w:keepLines/>
        <w:wordWrap w:val="0"/>
        <w:spacing w:line="360" w:lineRule="auto"/>
        <w:outlineLvl w:val="3"/>
        <w:rPr>
          <w:rFonts w:hint="eastAsia" w:ascii="宋体" w:hAnsi="宋体" w:eastAsia="宋体" w:cs="Times New Roman"/>
          <w:b/>
          <w:color w:val="auto"/>
          <w:sz w:val="28"/>
          <w:szCs w:val="28"/>
          <w:highlight w:val="none"/>
        </w:rPr>
      </w:pPr>
      <w:bookmarkStart w:id="202" w:name="bookmark59"/>
      <w:bookmarkEnd w:id="202"/>
      <w:r>
        <w:rPr>
          <w:rFonts w:ascii="宋体" w:hAnsi="宋体" w:eastAsia="宋体" w:cs="Times New Roman"/>
          <w:b/>
          <w:color w:val="auto"/>
          <w:sz w:val="28"/>
          <w:szCs w:val="28"/>
          <w:highlight w:val="none"/>
        </w:rPr>
        <w:t>6.3</w:t>
      </w:r>
      <w:r>
        <w:rPr>
          <w:rFonts w:hint="eastAsia" w:ascii="宋体" w:hAnsi="宋体" w:eastAsia="宋体" w:cs="Times New Roman"/>
          <w:b/>
          <w:color w:val="auto"/>
          <w:sz w:val="28"/>
          <w:szCs w:val="28"/>
          <w:highlight w:val="none"/>
        </w:rPr>
        <w:t>评标</w:t>
      </w:r>
    </w:p>
    <w:p w14:paraId="44415EEE">
      <w:pPr>
        <w:kinsoku w:val="0"/>
        <w:wordWrap w:val="0"/>
        <w:overflowPunct w:val="0"/>
        <w:spacing w:line="360" w:lineRule="auto"/>
        <w:ind w:right="111" w:firstLine="419"/>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6.3.1</w:t>
      </w:r>
      <w:r>
        <w:rPr>
          <w:rFonts w:hint="eastAsia" w:ascii="宋体" w:hAnsi="宋体" w:eastAsia="宋体" w:cs="Times New Roman"/>
          <w:color w:val="auto"/>
          <w:spacing w:val="-2"/>
          <w:szCs w:val="21"/>
          <w:highlight w:val="none"/>
        </w:rPr>
        <w:t>评标委员会按照第三章“评标办法”规定的方法、评审因素、标准和程序对投标文件进</w:t>
      </w:r>
      <w:r>
        <w:rPr>
          <w:rFonts w:hint="eastAsia" w:ascii="宋体" w:hAnsi="宋体" w:eastAsia="宋体" w:cs="Times New Roman"/>
          <w:color w:val="auto"/>
          <w:szCs w:val="21"/>
          <w:highlight w:val="none"/>
        </w:rPr>
        <w:t>行评审。第三章“评标办法”没有规定的方法、评审因素和标准，不作为评标依据。</w:t>
      </w:r>
    </w:p>
    <w:p w14:paraId="179E7D85">
      <w:pPr>
        <w:kinsoku w:val="0"/>
        <w:wordWrap w:val="0"/>
        <w:overflowPunct w:val="0"/>
        <w:spacing w:line="360" w:lineRule="auto"/>
        <w:ind w:right="111" w:firstLine="419"/>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6.3.2</w:t>
      </w:r>
      <w:r>
        <w:rPr>
          <w:rFonts w:hint="eastAsia" w:ascii="宋体" w:hAnsi="宋体" w:eastAsia="宋体" w:cs="Times New Roman"/>
          <w:color w:val="auto"/>
          <w:spacing w:val="-2"/>
          <w:szCs w:val="21"/>
          <w:highlight w:val="none"/>
        </w:rPr>
        <w:t>评标完成后，评标委员会应当向招标人提交书面评标报告和中标候选人名单。评标委</w:t>
      </w:r>
      <w:r>
        <w:rPr>
          <w:rFonts w:hint="eastAsia" w:ascii="宋体" w:hAnsi="宋体" w:eastAsia="宋体" w:cs="Times New Roman"/>
          <w:color w:val="auto"/>
          <w:szCs w:val="21"/>
          <w:highlight w:val="none"/>
        </w:rPr>
        <w:t>员会推荐中标候选人的人数见投标人须知前附表。</w:t>
      </w:r>
    </w:p>
    <w:p w14:paraId="4FBCC55D">
      <w:pPr>
        <w:keepNext/>
        <w:keepLines/>
        <w:wordWrap w:val="0"/>
        <w:spacing w:line="360" w:lineRule="auto"/>
        <w:outlineLvl w:val="2"/>
        <w:rPr>
          <w:rFonts w:hint="eastAsia" w:ascii="宋体" w:hAnsi="宋体" w:eastAsia="宋体" w:cs="Times New Roman"/>
          <w:b/>
          <w:color w:val="auto"/>
          <w:sz w:val="28"/>
          <w:szCs w:val="20"/>
          <w:highlight w:val="none"/>
        </w:rPr>
      </w:pPr>
      <w:bookmarkStart w:id="203" w:name="bookmark60"/>
      <w:bookmarkEnd w:id="203"/>
      <w:bookmarkStart w:id="204" w:name="_Toc14873652"/>
      <w:r>
        <w:rPr>
          <w:rFonts w:ascii="宋体" w:hAnsi="宋体" w:eastAsia="宋体" w:cs="Times New Roman"/>
          <w:b/>
          <w:color w:val="auto"/>
          <w:sz w:val="28"/>
          <w:szCs w:val="20"/>
          <w:highlight w:val="none"/>
        </w:rPr>
        <w:t xml:space="preserve">7.  </w:t>
      </w:r>
      <w:r>
        <w:rPr>
          <w:rFonts w:hint="eastAsia" w:ascii="宋体" w:hAnsi="宋体" w:eastAsia="宋体" w:cs="Times New Roman"/>
          <w:b/>
          <w:color w:val="auto"/>
          <w:sz w:val="28"/>
          <w:szCs w:val="20"/>
          <w:highlight w:val="none"/>
        </w:rPr>
        <w:t>合同授予</w:t>
      </w:r>
      <w:bookmarkEnd w:id="204"/>
    </w:p>
    <w:p w14:paraId="2DB0DC21">
      <w:pPr>
        <w:keepNext/>
        <w:keepLines/>
        <w:wordWrap w:val="0"/>
        <w:spacing w:line="360" w:lineRule="auto"/>
        <w:outlineLvl w:val="3"/>
        <w:rPr>
          <w:rFonts w:hint="eastAsia" w:ascii="宋体" w:hAnsi="宋体" w:eastAsia="宋体" w:cs="Times New Roman"/>
          <w:b/>
          <w:color w:val="auto"/>
          <w:sz w:val="28"/>
          <w:szCs w:val="28"/>
          <w:highlight w:val="none"/>
        </w:rPr>
      </w:pPr>
      <w:bookmarkStart w:id="205" w:name="bookmark61"/>
      <w:bookmarkEnd w:id="205"/>
      <w:r>
        <w:rPr>
          <w:rFonts w:ascii="宋体" w:hAnsi="宋体" w:eastAsia="宋体" w:cs="Times New Roman"/>
          <w:b/>
          <w:color w:val="auto"/>
          <w:sz w:val="28"/>
          <w:szCs w:val="28"/>
          <w:highlight w:val="none"/>
        </w:rPr>
        <w:t>7.1</w:t>
      </w:r>
      <w:r>
        <w:rPr>
          <w:rFonts w:hint="eastAsia" w:ascii="宋体" w:hAnsi="宋体" w:eastAsia="宋体" w:cs="Times New Roman"/>
          <w:b/>
          <w:color w:val="auto"/>
          <w:sz w:val="28"/>
          <w:szCs w:val="28"/>
          <w:highlight w:val="none"/>
        </w:rPr>
        <w:t>中标候选人公示</w:t>
      </w:r>
    </w:p>
    <w:p w14:paraId="6AACFEB1">
      <w:pPr>
        <w:kinsoku w:val="0"/>
        <w:wordWrap w:val="0"/>
        <w:overflowPunct w:val="0"/>
        <w:spacing w:line="360" w:lineRule="auto"/>
        <w:ind w:right="111" w:firstLine="41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7.1.1招标人在收到评标报告之日起3日内，按照投标人须知前附表规定的公示媒介和期限公示中标候选人，公示期不得少于3天，最后一天应为工作日。</w:t>
      </w:r>
    </w:p>
    <w:p w14:paraId="3A681B91">
      <w:pPr>
        <w:kinsoku w:val="0"/>
        <w:wordWrap w:val="0"/>
        <w:overflowPunct w:val="0"/>
        <w:spacing w:line="360" w:lineRule="auto"/>
        <w:ind w:right="111" w:firstLine="41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7.1.2在产生中标候选人后，招标人将中标候选人的投标文件商务部分（包括、人员、业绩、奖项等资料）在广州交易集团有限公司（广州公共资源交易中心）网站和广东省招标投标监管网公开。</w:t>
      </w:r>
    </w:p>
    <w:p w14:paraId="11D7A585">
      <w:pPr>
        <w:kinsoku w:val="0"/>
        <w:wordWrap w:val="0"/>
        <w:overflowPunct w:val="0"/>
        <w:spacing w:line="360" w:lineRule="auto"/>
        <w:ind w:right="111" w:firstLine="41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注：根据《国家发展改革委等部门关于严格执行招标投标法规制度进一步规范招标投标主体行为的若干意见》（发改法规规〔2022〕1117号），招标人应当在中标候选人公示前认真审查评标委员会提交的书面评标报告，发现异常情形的，依照法定程序进行复核，确认存在问题的，依照法定程序予以纠正。</w:t>
      </w:r>
    </w:p>
    <w:p w14:paraId="5348FA8D">
      <w:pPr>
        <w:keepNext/>
        <w:keepLines/>
        <w:wordWrap w:val="0"/>
        <w:spacing w:line="360" w:lineRule="auto"/>
        <w:outlineLvl w:val="3"/>
        <w:rPr>
          <w:rFonts w:hint="eastAsia" w:ascii="宋体" w:hAnsi="宋体" w:eastAsia="宋体" w:cs="Times New Roman"/>
          <w:b/>
          <w:color w:val="auto"/>
          <w:sz w:val="28"/>
          <w:szCs w:val="28"/>
          <w:highlight w:val="none"/>
        </w:rPr>
      </w:pPr>
      <w:bookmarkStart w:id="206" w:name="bookmark62"/>
      <w:bookmarkEnd w:id="206"/>
      <w:r>
        <w:rPr>
          <w:rFonts w:ascii="宋体" w:hAnsi="宋体" w:eastAsia="宋体" w:cs="Times New Roman"/>
          <w:b/>
          <w:color w:val="auto"/>
          <w:sz w:val="28"/>
          <w:szCs w:val="28"/>
          <w:highlight w:val="none"/>
        </w:rPr>
        <w:t>7.2</w:t>
      </w:r>
      <w:r>
        <w:rPr>
          <w:rFonts w:hint="eastAsia" w:ascii="宋体" w:hAnsi="宋体" w:eastAsia="宋体" w:cs="Times New Roman"/>
          <w:b/>
          <w:color w:val="auto"/>
          <w:sz w:val="28"/>
          <w:szCs w:val="28"/>
          <w:highlight w:val="none"/>
        </w:rPr>
        <w:t>评标结果异议</w:t>
      </w:r>
    </w:p>
    <w:p w14:paraId="4FAD4083">
      <w:pPr>
        <w:kinsoku w:val="0"/>
        <w:wordWrap w:val="0"/>
        <w:overflowPunct w:val="0"/>
        <w:spacing w:line="360" w:lineRule="auto"/>
        <w:ind w:right="114" w:firstLine="419"/>
        <w:rPr>
          <w:rFonts w:hint="eastAsia" w:ascii="宋体" w:hAnsi="宋体" w:eastAsia="宋体" w:cs="Times New Roman"/>
          <w:color w:val="auto"/>
          <w:szCs w:val="21"/>
          <w:highlight w:val="none"/>
        </w:rPr>
      </w:pPr>
      <w:r>
        <w:rPr>
          <w:rFonts w:hint="eastAsia" w:ascii="宋体" w:hAnsi="宋体" w:eastAsia="宋体" w:cs="Times New Roman"/>
          <w:color w:val="auto"/>
          <w:spacing w:val="-1"/>
          <w:szCs w:val="21"/>
          <w:highlight w:val="none"/>
        </w:rPr>
        <w:t>投标人或者其他利害关系人对评标结果有异议的，应当在中标候选人公示期间提出。招标</w:t>
      </w:r>
      <w:r>
        <w:rPr>
          <w:rFonts w:hint="eastAsia" w:ascii="宋体" w:hAnsi="宋体" w:eastAsia="宋体" w:cs="Times New Roman"/>
          <w:color w:val="auto"/>
          <w:szCs w:val="21"/>
          <w:highlight w:val="none"/>
        </w:rPr>
        <w:t>人将在收到异议之日起</w:t>
      </w:r>
      <w:r>
        <w:rPr>
          <w:rFonts w:ascii="宋体" w:hAnsi="宋体" w:eastAsia="宋体" w:cs="Times New Roman"/>
          <w:color w:val="auto"/>
          <w:szCs w:val="21"/>
          <w:highlight w:val="none"/>
        </w:rPr>
        <w:t>3</w:t>
      </w:r>
      <w:r>
        <w:rPr>
          <w:rFonts w:hint="eastAsia" w:ascii="宋体" w:hAnsi="宋体" w:eastAsia="宋体" w:cs="Times New Roman"/>
          <w:color w:val="auto"/>
          <w:szCs w:val="21"/>
          <w:highlight w:val="none"/>
        </w:rPr>
        <w:t>日内作出答复；作出答复前，将暂停招标投标活动。</w:t>
      </w:r>
    </w:p>
    <w:p w14:paraId="4DD90EDA">
      <w:pPr>
        <w:keepNext/>
        <w:keepLines/>
        <w:wordWrap w:val="0"/>
        <w:spacing w:line="360" w:lineRule="auto"/>
        <w:outlineLvl w:val="3"/>
        <w:rPr>
          <w:rFonts w:hint="eastAsia" w:ascii="宋体" w:hAnsi="宋体" w:eastAsia="宋体" w:cs="Times New Roman"/>
          <w:b/>
          <w:color w:val="auto"/>
          <w:sz w:val="28"/>
          <w:szCs w:val="28"/>
          <w:highlight w:val="none"/>
        </w:rPr>
      </w:pPr>
      <w:bookmarkStart w:id="207" w:name="bookmark63"/>
      <w:bookmarkEnd w:id="207"/>
      <w:r>
        <w:rPr>
          <w:rFonts w:ascii="宋体" w:hAnsi="宋体" w:eastAsia="宋体" w:cs="Times New Roman"/>
          <w:b/>
          <w:color w:val="auto"/>
          <w:sz w:val="28"/>
          <w:szCs w:val="28"/>
          <w:highlight w:val="none"/>
        </w:rPr>
        <w:t>7.3</w:t>
      </w:r>
      <w:r>
        <w:rPr>
          <w:rFonts w:hint="eastAsia" w:ascii="宋体" w:hAnsi="宋体" w:eastAsia="宋体" w:cs="Times New Roman"/>
          <w:b/>
          <w:color w:val="auto"/>
          <w:sz w:val="28"/>
          <w:szCs w:val="28"/>
          <w:highlight w:val="none"/>
        </w:rPr>
        <w:t>中标候选人履约能力审查</w:t>
      </w:r>
    </w:p>
    <w:p w14:paraId="302D8FED">
      <w:pPr>
        <w:kinsoku w:val="0"/>
        <w:wordWrap w:val="0"/>
        <w:overflowPunct w:val="0"/>
        <w:spacing w:line="360" w:lineRule="auto"/>
        <w:ind w:right="114" w:firstLine="419"/>
        <w:rPr>
          <w:rFonts w:hint="eastAsia" w:ascii="宋体" w:hAnsi="宋体" w:eastAsia="宋体" w:cs="Times New Roman"/>
          <w:color w:val="auto"/>
          <w:szCs w:val="21"/>
          <w:highlight w:val="none"/>
        </w:rPr>
      </w:pPr>
      <w:r>
        <w:rPr>
          <w:rFonts w:hint="eastAsia" w:ascii="宋体" w:hAnsi="宋体" w:eastAsia="宋体" w:cs="Times New Roman"/>
          <w:color w:val="auto"/>
          <w:spacing w:val="-1"/>
          <w:szCs w:val="21"/>
          <w:highlight w:val="none"/>
        </w:rPr>
        <w:t>中标候选人的经营、财务状况发生较大变化或存在违法行为，招标人认为可能影响其履约能力的，将在发出中标通知书前提请原评标委员会按照招标文件规定的标准和方法进行审查确</w:t>
      </w:r>
      <w:r>
        <w:rPr>
          <w:rFonts w:hint="eastAsia" w:ascii="宋体" w:hAnsi="宋体" w:eastAsia="宋体" w:cs="Times New Roman"/>
          <w:color w:val="auto"/>
          <w:szCs w:val="21"/>
          <w:highlight w:val="none"/>
        </w:rPr>
        <w:t>认。</w:t>
      </w:r>
    </w:p>
    <w:p w14:paraId="68A8464A">
      <w:pPr>
        <w:keepNext/>
        <w:keepLines/>
        <w:wordWrap w:val="0"/>
        <w:spacing w:line="360" w:lineRule="auto"/>
        <w:outlineLvl w:val="3"/>
        <w:rPr>
          <w:rFonts w:hint="eastAsia" w:ascii="宋体" w:hAnsi="宋体" w:eastAsia="宋体" w:cs="Times New Roman"/>
          <w:b/>
          <w:color w:val="auto"/>
          <w:sz w:val="28"/>
          <w:szCs w:val="28"/>
          <w:highlight w:val="none"/>
        </w:rPr>
      </w:pPr>
      <w:bookmarkStart w:id="208" w:name="bookmark64"/>
      <w:bookmarkEnd w:id="208"/>
      <w:r>
        <w:rPr>
          <w:rFonts w:ascii="宋体" w:hAnsi="宋体" w:eastAsia="宋体" w:cs="Times New Roman"/>
          <w:b/>
          <w:color w:val="auto"/>
          <w:sz w:val="28"/>
          <w:szCs w:val="28"/>
          <w:highlight w:val="none"/>
        </w:rPr>
        <w:t>7.4</w:t>
      </w:r>
      <w:r>
        <w:rPr>
          <w:rFonts w:hint="eastAsia" w:ascii="宋体" w:hAnsi="宋体" w:eastAsia="宋体" w:cs="Times New Roman"/>
          <w:b/>
          <w:color w:val="auto"/>
          <w:sz w:val="28"/>
          <w:szCs w:val="28"/>
          <w:highlight w:val="none"/>
        </w:rPr>
        <w:t>定标</w:t>
      </w:r>
    </w:p>
    <w:p w14:paraId="4E000A4F">
      <w:pPr>
        <w:kinsoku w:val="0"/>
        <w:wordWrap w:val="0"/>
        <w:overflowPunct w:val="0"/>
        <w:spacing w:line="360" w:lineRule="auto"/>
        <w:ind w:right="113"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按照投标人须知前附表的规定，招标人或招标人授权的评标委员会依法确定中标人。</w:t>
      </w:r>
    </w:p>
    <w:p w14:paraId="1547B659">
      <w:pPr>
        <w:keepNext/>
        <w:keepLines/>
        <w:wordWrap w:val="0"/>
        <w:spacing w:line="360" w:lineRule="auto"/>
        <w:outlineLvl w:val="3"/>
        <w:rPr>
          <w:rFonts w:hint="eastAsia" w:ascii="宋体" w:hAnsi="宋体" w:eastAsia="宋体" w:cs="Times New Roman"/>
          <w:b/>
          <w:color w:val="auto"/>
          <w:sz w:val="28"/>
          <w:szCs w:val="28"/>
          <w:highlight w:val="none"/>
        </w:rPr>
      </w:pPr>
      <w:bookmarkStart w:id="209" w:name="bookmark65"/>
      <w:bookmarkEnd w:id="209"/>
      <w:r>
        <w:rPr>
          <w:rFonts w:ascii="宋体" w:hAnsi="宋体" w:eastAsia="宋体" w:cs="Times New Roman"/>
          <w:b/>
          <w:color w:val="auto"/>
          <w:sz w:val="28"/>
          <w:szCs w:val="28"/>
          <w:highlight w:val="none"/>
        </w:rPr>
        <w:t>7.5</w:t>
      </w:r>
      <w:r>
        <w:rPr>
          <w:rFonts w:hint="eastAsia" w:ascii="宋体" w:hAnsi="宋体" w:eastAsia="宋体" w:cs="Times New Roman"/>
          <w:b/>
          <w:color w:val="auto"/>
          <w:sz w:val="28"/>
          <w:szCs w:val="28"/>
          <w:highlight w:val="none"/>
        </w:rPr>
        <w:t>中标通知</w:t>
      </w:r>
    </w:p>
    <w:p w14:paraId="62AF1ED9">
      <w:pPr>
        <w:kinsoku w:val="0"/>
        <w:wordWrap w:val="0"/>
        <w:overflowPunct w:val="0"/>
        <w:spacing w:line="360" w:lineRule="auto"/>
        <w:ind w:right="114" w:firstLine="419"/>
        <w:rPr>
          <w:rFonts w:hint="eastAsia" w:ascii="宋体" w:hAnsi="宋体" w:eastAsia="宋体" w:cs="Times New Roman"/>
          <w:color w:val="auto"/>
          <w:szCs w:val="21"/>
          <w:highlight w:val="none"/>
        </w:rPr>
      </w:pPr>
      <w:bookmarkStart w:id="210" w:name="bookmark66"/>
      <w:bookmarkEnd w:id="210"/>
      <w:r>
        <w:rPr>
          <w:rFonts w:hint="eastAsia" w:ascii="宋体" w:hAnsi="宋体" w:eastAsia="宋体" w:cs="Times New Roman"/>
          <w:color w:val="auto"/>
          <w:szCs w:val="21"/>
          <w:highlight w:val="none"/>
        </w:rPr>
        <w:t>7.5.1在本章第3.3款规定的投标有效期内，招标人向中标人发出中标通知书。在广东省招标投标监管网和广州交易集团有限公司（广州公共资源交易中心）网站发布中标信息，视同将中标结果通知未中标的投标人。</w:t>
      </w:r>
    </w:p>
    <w:p w14:paraId="00869EAA">
      <w:pPr>
        <w:kinsoku w:val="0"/>
        <w:wordWrap w:val="0"/>
        <w:overflowPunct w:val="0"/>
        <w:spacing w:line="360" w:lineRule="auto"/>
        <w:ind w:right="114" w:firstLine="41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7.5.2政府投资项目，中标通知书发出前，中标人应未被纳入失信惩戒名单，否则招标人将取消其中标资格。失信联合惩戒名单以“信用广州”网站公布的为准。</w:t>
      </w:r>
    </w:p>
    <w:p w14:paraId="01456476">
      <w:pPr>
        <w:keepNext/>
        <w:keepLines/>
        <w:wordWrap w:val="0"/>
        <w:spacing w:line="360" w:lineRule="auto"/>
        <w:outlineLvl w:val="3"/>
        <w:rPr>
          <w:rFonts w:hint="eastAsia" w:ascii="宋体" w:hAnsi="宋体" w:eastAsia="宋体" w:cs="Times New Roman"/>
          <w:b/>
          <w:color w:val="auto"/>
          <w:sz w:val="28"/>
          <w:szCs w:val="28"/>
          <w:highlight w:val="none"/>
        </w:rPr>
      </w:pPr>
      <w:r>
        <w:rPr>
          <w:rFonts w:ascii="宋体" w:hAnsi="宋体" w:eastAsia="宋体" w:cs="Times New Roman"/>
          <w:b/>
          <w:color w:val="auto"/>
          <w:sz w:val="28"/>
          <w:szCs w:val="28"/>
          <w:highlight w:val="none"/>
        </w:rPr>
        <w:t>7.6</w:t>
      </w:r>
      <w:r>
        <w:rPr>
          <w:rFonts w:hint="eastAsia" w:ascii="宋体" w:hAnsi="宋体" w:eastAsia="宋体" w:cs="Times New Roman"/>
          <w:b/>
          <w:color w:val="auto"/>
          <w:sz w:val="28"/>
          <w:szCs w:val="28"/>
          <w:highlight w:val="none"/>
        </w:rPr>
        <w:t>履约保证金</w:t>
      </w:r>
    </w:p>
    <w:p w14:paraId="0088E14C">
      <w:pPr>
        <w:kinsoku w:val="0"/>
        <w:wordWrap w:val="0"/>
        <w:overflowPunct w:val="0"/>
        <w:spacing w:line="360" w:lineRule="auto"/>
        <w:ind w:right="111" w:firstLine="419"/>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7.6.1</w:t>
      </w:r>
      <w:r>
        <w:rPr>
          <w:rFonts w:hint="eastAsia" w:ascii="宋体" w:hAnsi="宋体" w:eastAsia="宋体" w:cs="Times New Roman"/>
          <w:color w:val="auto"/>
          <w:szCs w:val="21"/>
          <w:highlight w:val="none"/>
        </w:rPr>
        <w:t>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w:t>
      </w:r>
      <w:r>
        <w:rPr>
          <w:rFonts w:ascii="宋体" w:hAnsi="宋体" w:eastAsia="宋体" w:cs="Times New Roman"/>
          <w:color w:val="auto"/>
          <w:szCs w:val="21"/>
          <w:highlight w:val="none"/>
        </w:rPr>
        <w:t>10%</w:t>
      </w:r>
      <w:r>
        <w:rPr>
          <w:rFonts w:hint="eastAsia" w:ascii="宋体" w:hAnsi="宋体" w:eastAsia="宋体" w:cs="Times New Roman"/>
          <w:color w:val="auto"/>
          <w:szCs w:val="21"/>
          <w:highlight w:val="none"/>
        </w:rPr>
        <w:t>。联合体中标的，其履约保证金以联合体各方或者联合体中牵头人的名义提交。</w:t>
      </w:r>
    </w:p>
    <w:p w14:paraId="722C2FD9">
      <w:pPr>
        <w:kinsoku w:val="0"/>
        <w:wordWrap w:val="0"/>
        <w:overflowPunct w:val="0"/>
        <w:spacing w:line="360" w:lineRule="auto"/>
        <w:ind w:right="50" w:firstLine="419"/>
        <w:rPr>
          <w:rFonts w:hint="eastAsia" w:ascii="宋体" w:hAnsi="宋体" w:eastAsia="宋体" w:cs="Times New Roman"/>
          <w:color w:val="auto"/>
          <w:spacing w:val="-2"/>
          <w:szCs w:val="21"/>
          <w:highlight w:val="none"/>
        </w:rPr>
      </w:pPr>
      <w:r>
        <w:rPr>
          <w:rFonts w:ascii="宋体" w:hAnsi="宋体" w:eastAsia="宋体" w:cs="Times New Roman"/>
          <w:color w:val="auto"/>
          <w:szCs w:val="21"/>
          <w:highlight w:val="none"/>
        </w:rPr>
        <w:t>7.6.2</w:t>
      </w:r>
      <w:r>
        <w:rPr>
          <w:rFonts w:hint="eastAsia" w:ascii="宋体" w:hAnsi="宋体" w:eastAsia="宋体" w:cs="Times New Roman"/>
          <w:color w:val="auto"/>
          <w:szCs w:val="21"/>
          <w:highlight w:val="none"/>
        </w:rPr>
        <w:t>中标人不能按本章第</w:t>
      </w:r>
      <w:r>
        <w:rPr>
          <w:rFonts w:ascii="宋体" w:hAnsi="宋体" w:eastAsia="宋体" w:cs="Times New Roman"/>
          <w:color w:val="auto"/>
          <w:szCs w:val="21"/>
          <w:highlight w:val="none"/>
        </w:rPr>
        <w:t>7.6.1</w:t>
      </w:r>
      <w:r>
        <w:rPr>
          <w:rFonts w:hint="eastAsia" w:ascii="宋体" w:hAnsi="宋体" w:eastAsia="宋体" w:cs="Times New Roman"/>
          <w:color w:val="auto"/>
          <w:szCs w:val="21"/>
          <w:highlight w:val="none"/>
        </w:rPr>
        <w:t>项要求提交履约保证金的，视为放弃中标，其投标保证金</w:t>
      </w:r>
      <w:r>
        <w:rPr>
          <w:rFonts w:hint="eastAsia" w:ascii="宋体" w:hAnsi="宋体" w:eastAsia="宋体" w:cs="Times New Roman"/>
          <w:color w:val="auto"/>
          <w:spacing w:val="-2"/>
          <w:szCs w:val="21"/>
          <w:highlight w:val="none"/>
        </w:rPr>
        <w:t>不予退还，给招标人造成的损失超过投标保证金数额的，中标人还应当对超过部分予以赔偿。</w:t>
      </w:r>
    </w:p>
    <w:p w14:paraId="5CDF22DB">
      <w:pPr>
        <w:keepNext/>
        <w:keepLines/>
        <w:wordWrap w:val="0"/>
        <w:spacing w:line="360" w:lineRule="auto"/>
        <w:outlineLvl w:val="3"/>
        <w:rPr>
          <w:rFonts w:hint="eastAsia" w:ascii="宋体" w:hAnsi="宋体" w:eastAsia="宋体" w:cs="Times New Roman"/>
          <w:b/>
          <w:color w:val="auto"/>
          <w:sz w:val="28"/>
          <w:szCs w:val="28"/>
          <w:highlight w:val="none"/>
        </w:rPr>
      </w:pPr>
      <w:bookmarkStart w:id="211" w:name="bookmark67"/>
      <w:bookmarkEnd w:id="211"/>
      <w:r>
        <w:rPr>
          <w:rFonts w:ascii="宋体" w:hAnsi="宋体" w:eastAsia="宋体" w:cs="Times New Roman"/>
          <w:b/>
          <w:color w:val="auto"/>
          <w:sz w:val="28"/>
          <w:szCs w:val="28"/>
          <w:highlight w:val="none"/>
        </w:rPr>
        <w:t>7.7</w:t>
      </w:r>
      <w:r>
        <w:rPr>
          <w:rFonts w:hint="eastAsia" w:ascii="宋体" w:hAnsi="宋体" w:eastAsia="宋体" w:cs="Times New Roman"/>
          <w:b/>
          <w:color w:val="auto"/>
          <w:sz w:val="28"/>
          <w:szCs w:val="28"/>
          <w:highlight w:val="none"/>
        </w:rPr>
        <w:t>签订合同</w:t>
      </w:r>
    </w:p>
    <w:p w14:paraId="460EAC9F">
      <w:pPr>
        <w:kinsoku w:val="0"/>
        <w:wordWrap w:val="0"/>
        <w:overflowPunct w:val="0"/>
        <w:spacing w:line="360" w:lineRule="auto"/>
        <w:ind w:right="211" w:firstLine="41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7.7.1招标人和中标人应当在中标通知书发出之日起30日内，根据招标文件和中标人的投标文件订立书面合同，并通过电子交易系统与中标人在线签订合同，并在广东省招标投标监管网和广州交易集团有限公司（广州公共资源交易中心）网站公示合同主要信息。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2D649E63">
      <w:pPr>
        <w:kinsoku w:val="0"/>
        <w:wordWrap w:val="0"/>
        <w:overflowPunct w:val="0"/>
        <w:spacing w:line="360" w:lineRule="auto"/>
        <w:ind w:right="211" w:firstLine="41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7.7.2发出中标通知书后，招标人无正当理由拒签合同，或者在签订合同时向中标人提出附加条件的，招标人向中标人退还投标保证金；给中标人造成损失的，还应当赔偿损失。</w:t>
      </w:r>
    </w:p>
    <w:p w14:paraId="75F3D967">
      <w:pPr>
        <w:kinsoku w:val="0"/>
        <w:wordWrap w:val="0"/>
        <w:overflowPunct w:val="0"/>
        <w:spacing w:line="360" w:lineRule="auto"/>
        <w:ind w:right="211" w:firstLine="41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7.7.3联合体中标的，联合体各方应当共同与招标人签订合同，就中标项目向招标人承担连带责任。</w:t>
      </w:r>
    </w:p>
    <w:p w14:paraId="1CC29661">
      <w:pPr>
        <w:keepNext/>
        <w:keepLines/>
        <w:wordWrap w:val="0"/>
        <w:spacing w:line="360" w:lineRule="auto"/>
        <w:outlineLvl w:val="2"/>
        <w:rPr>
          <w:rFonts w:hint="eastAsia" w:ascii="宋体" w:hAnsi="宋体" w:eastAsia="宋体" w:cs="Times New Roman"/>
          <w:b/>
          <w:color w:val="auto"/>
          <w:sz w:val="28"/>
          <w:szCs w:val="20"/>
          <w:highlight w:val="none"/>
        </w:rPr>
      </w:pPr>
      <w:bookmarkStart w:id="212" w:name="bookmark68"/>
      <w:bookmarkEnd w:id="212"/>
      <w:bookmarkStart w:id="213" w:name="_Toc14873653"/>
      <w:r>
        <w:rPr>
          <w:rFonts w:ascii="宋体" w:hAnsi="宋体" w:eastAsia="宋体" w:cs="Times New Roman"/>
          <w:b/>
          <w:color w:val="auto"/>
          <w:sz w:val="28"/>
          <w:szCs w:val="20"/>
          <w:highlight w:val="none"/>
        </w:rPr>
        <w:t xml:space="preserve">8.  </w:t>
      </w:r>
      <w:r>
        <w:rPr>
          <w:rFonts w:hint="eastAsia" w:ascii="宋体" w:hAnsi="宋体" w:eastAsia="宋体" w:cs="Times New Roman"/>
          <w:b/>
          <w:color w:val="auto"/>
          <w:sz w:val="28"/>
          <w:szCs w:val="20"/>
          <w:highlight w:val="none"/>
        </w:rPr>
        <w:t>纪律和监督</w:t>
      </w:r>
      <w:bookmarkEnd w:id="213"/>
    </w:p>
    <w:p w14:paraId="7B502091">
      <w:pPr>
        <w:keepNext/>
        <w:keepLines/>
        <w:wordWrap w:val="0"/>
        <w:spacing w:line="360" w:lineRule="auto"/>
        <w:outlineLvl w:val="3"/>
        <w:rPr>
          <w:rFonts w:hint="eastAsia" w:ascii="宋体" w:hAnsi="宋体" w:eastAsia="宋体" w:cs="Times New Roman"/>
          <w:b/>
          <w:color w:val="auto"/>
          <w:sz w:val="28"/>
          <w:szCs w:val="28"/>
          <w:highlight w:val="none"/>
        </w:rPr>
      </w:pPr>
      <w:bookmarkStart w:id="214" w:name="bookmark69"/>
      <w:bookmarkEnd w:id="214"/>
      <w:r>
        <w:rPr>
          <w:rFonts w:ascii="宋体" w:hAnsi="宋体" w:eastAsia="宋体" w:cs="Times New Roman"/>
          <w:b/>
          <w:color w:val="auto"/>
          <w:sz w:val="28"/>
          <w:szCs w:val="28"/>
          <w:highlight w:val="none"/>
        </w:rPr>
        <w:t>8.1</w:t>
      </w:r>
      <w:r>
        <w:rPr>
          <w:rFonts w:hint="eastAsia" w:ascii="宋体" w:hAnsi="宋体" w:eastAsia="宋体" w:cs="Times New Roman"/>
          <w:b/>
          <w:color w:val="auto"/>
          <w:sz w:val="28"/>
          <w:szCs w:val="28"/>
          <w:highlight w:val="none"/>
        </w:rPr>
        <w:t>对招标人的纪律要求</w:t>
      </w:r>
    </w:p>
    <w:p w14:paraId="30191D3D">
      <w:pPr>
        <w:kinsoku w:val="0"/>
        <w:wordWrap w:val="0"/>
        <w:overflowPunct w:val="0"/>
        <w:spacing w:line="360" w:lineRule="auto"/>
        <w:ind w:right="109" w:firstLine="419"/>
        <w:rPr>
          <w:rFonts w:hint="eastAsia" w:ascii="宋体" w:hAnsi="宋体" w:eastAsia="宋体" w:cs="Times New Roman"/>
          <w:color w:val="auto"/>
          <w:szCs w:val="21"/>
          <w:highlight w:val="none"/>
        </w:rPr>
      </w:pPr>
      <w:r>
        <w:rPr>
          <w:rFonts w:hint="eastAsia" w:ascii="宋体" w:hAnsi="宋体" w:eastAsia="宋体" w:cs="Times New Roman"/>
          <w:color w:val="auto"/>
          <w:spacing w:val="-4"/>
          <w:szCs w:val="21"/>
          <w:highlight w:val="none"/>
        </w:rPr>
        <w:t>招标人不得泄露招标投标活动中应当保密的情况和资料，不得与投标人串通损害国家利益、</w:t>
      </w:r>
      <w:r>
        <w:rPr>
          <w:rFonts w:hint="eastAsia" w:ascii="宋体" w:hAnsi="宋体" w:eastAsia="宋体" w:cs="Times New Roman"/>
          <w:color w:val="auto"/>
          <w:szCs w:val="21"/>
          <w:highlight w:val="none"/>
        </w:rPr>
        <w:t>社会公共利益或者他人合法权益。</w:t>
      </w:r>
    </w:p>
    <w:p w14:paraId="14C422E1">
      <w:pPr>
        <w:keepNext/>
        <w:keepLines/>
        <w:wordWrap w:val="0"/>
        <w:spacing w:line="360" w:lineRule="auto"/>
        <w:outlineLvl w:val="3"/>
        <w:rPr>
          <w:rFonts w:hint="eastAsia" w:ascii="宋体" w:hAnsi="宋体" w:eastAsia="宋体" w:cs="Times New Roman"/>
          <w:b/>
          <w:color w:val="auto"/>
          <w:sz w:val="28"/>
          <w:szCs w:val="28"/>
          <w:highlight w:val="none"/>
        </w:rPr>
      </w:pPr>
      <w:bookmarkStart w:id="215" w:name="bookmark70"/>
      <w:bookmarkEnd w:id="215"/>
      <w:r>
        <w:rPr>
          <w:rFonts w:ascii="宋体" w:hAnsi="宋体" w:eastAsia="宋体" w:cs="Times New Roman"/>
          <w:b/>
          <w:color w:val="auto"/>
          <w:sz w:val="28"/>
          <w:szCs w:val="28"/>
          <w:highlight w:val="none"/>
        </w:rPr>
        <w:t>8.2</w:t>
      </w:r>
      <w:r>
        <w:rPr>
          <w:rFonts w:hint="eastAsia" w:ascii="宋体" w:hAnsi="宋体" w:eastAsia="宋体" w:cs="Times New Roman"/>
          <w:b/>
          <w:color w:val="auto"/>
          <w:sz w:val="28"/>
          <w:szCs w:val="28"/>
          <w:highlight w:val="none"/>
        </w:rPr>
        <w:t>对投标人的纪律要求</w:t>
      </w:r>
    </w:p>
    <w:p w14:paraId="60C231B1">
      <w:pPr>
        <w:kinsoku w:val="0"/>
        <w:wordWrap w:val="0"/>
        <w:overflowPunct w:val="0"/>
        <w:spacing w:line="360" w:lineRule="auto"/>
        <w:ind w:right="214" w:firstLine="419"/>
        <w:rPr>
          <w:rFonts w:hint="eastAsia" w:ascii="宋体" w:hAnsi="宋体" w:eastAsia="宋体" w:cs="Times New Roman"/>
          <w:color w:val="auto"/>
          <w:szCs w:val="21"/>
          <w:highlight w:val="none"/>
        </w:rPr>
      </w:pPr>
      <w:r>
        <w:rPr>
          <w:rFonts w:hint="eastAsia" w:ascii="宋体" w:hAnsi="宋体" w:eastAsia="宋体" w:cs="Times New Roman"/>
          <w:color w:val="auto"/>
          <w:spacing w:val="-1"/>
          <w:szCs w:val="21"/>
          <w:highlight w:val="none"/>
        </w:rPr>
        <w:t>投标人不得相互串通投标或者与招标人串通投标，不得向招标人或者评标委员会成员行贿谋取中标，不得以他人名义投标或者以其他方式弄虚作假骗取中标；投标人不得以任何方式干</w:t>
      </w:r>
      <w:r>
        <w:rPr>
          <w:rFonts w:hint="eastAsia" w:ascii="宋体" w:hAnsi="宋体" w:eastAsia="宋体" w:cs="Times New Roman"/>
          <w:color w:val="auto"/>
          <w:szCs w:val="21"/>
          <w:highlight w:val="none"/>
        </w:rPr>
        <w:t>扰、影响评标工作。</w:t>
      </w:r>
    </w:p>
    <w:p w14:paraId="43570A0E">
      <w:pPr>
        <w:keepNext/>
        <w:keepLines/>
        <w:wordWrap w:val="0"/>
        <w:spacing w:line="360" w:lineRule="auto"/>
        <w:outlineLvl w:val="3"/>
        <w:rPr>
          <w:rFonts w:hint="eastAsia" w:ascii="宋体" w:hAnsi="宋体" w:eastAsia="宋体" w:cs="Times New Roman"/>
          <w:b/>
          <w:color w:val="auto"/>
          <w:sz w:val="28"/>
          <w:szCs w:val="28"/>
          <w:highlight w:val="none"/>
        </w:rPr>
      </w:pPr>
      <w:bookmarkStart w:id="216" w:name="bookmark71"/>
      <w:bookmarkEnd w:id="216"/>
      <w:r>
        <w:rPr>
          <w:rFonts w:ascii="宋体" w:hAnsi="宋体" w:eastAsia="宋体" w:cs="Times New Roman"/>
          <w:b/>
          <w:color w:val="auto"/>
          <w:sz w:val="28"/>
          <w:szCs w:val="28"/>
          <w:highlight w:val="none"/>
        </w:rPr>
        <w:t>8.3</w:t>
      </w:r>
      <w:r>
        <w:rPr>
          <w:rFonts w:hint="eastAsia" w:ascii="宋体" w:hAnsi="宋体" w:eastAsia="宋体" w:cs="Times New Roman"/>
          <w:b/>
          <w:color w:val="auto"/>
          <w:sz w:val="28"/>
          <w:szCs w:val="28"/>
          <w:highlight w:val="none"/>
        </w:rPr>
        <w:t>对评标委员会成员的纪律要求</w:t>
      </w:r>
    </w:p>
    <w:p w14:paraId="55B75DFC">
      <w:pPr>
        <w:kinsoku w:val="0"/>
        <w:wordWrap w:val="0"/>
        <w:overflowPunct w:val="0"/>
        <w:spacing w:line="360" w:lineRule="auto"/>
        <w:ind w:right="214" w:firstLine="419"/>
        <w:rPr>
          <w:rFonts w:hint="eastAsia" w:ascii="宋体" w:hAnsi="宋体" w:eastAsia="宋体" w:cs="Times New Roman"/>
          <w:color w:val="auto"/>
          <w:szCs w:val="21"/>
          <w:highlight w:val="none"/>
        </w:rPr>
      </w:pPr>
      <w:r>
        <w:rPr>
          <w:rFonts w:hint="eastAsia" w:ascii="宋体" w:hAnsi="宋体" w:eastAsia="宋体" w:cs="Times New Roman"/>
          <w:color w:val="auto"/>
          <w:spacing w:val="-1"/>
          <w:szCs w:val="21"/>
          <w:highlight w:val="none"/>
        </w:rPr>
        <w:t>在评标活动中，评标委员会成员应当客观、公正地履行职责，遵守职业道德，不得擅离职守，影响评标程序正常进行，不得使用第三章“评标办法”没有规定的评审因素和标准进行评标。评标专家应当认真、公正、诚实、廉洁、勤勉地履行专家职责，按时参加评标，严格遵守评标纪律。评标专家与投标人有利害关系的，应当主动提出回避；不得对其他评标委员会成员的独立评审施加不当影响；不得私下接触投标人，不得收受投标人、中介人、其他利害关系人的财物或者其他好处，不得接受任何单位或者个人明示或者暗示提出的倾向或者排斥特定投标人的要求；不得透露评标委员会成员身份和评标项目；不得透露对投标文件的评审和比较、中标候选人的推荐情况、在评标过程中知悉的国家秘密和商业秘密以及与评标有关的其他情况；不得故意拖延评标时间，或者敷衍塞责随意评标；不得在合法的评标劳务费之外额外索取、接受报酬或者其他好处；严禁组建或者加入可能影响公正评标的微信群、QQ群等网络通讯群组。</w:t>
      </w:r>
    </w:p>
    <w:p w14:paraId="313002F1">
      <w:pPr>
        <w:keepNext/>
        <w:keepLines/>
        <w:wordWrap w:val="0"/>
        <w:spacing w:line="360" w:lineRule="auto"/>
        <w:outlineLvl w:val="3"/>
        <w:rPr>
          <w:rFonts w:hint="eastAsia" w:ascii="宋体" w:hAnsi="宋体" w:eastAsia="宋体" w:cs="Times New Roman"/>
          <w:b/>
          <w:color w:val="auto"/>
          <w:sz w:val="28"/>
          <w:szCs w:val="28"/>
          <w:highlight w:val="none"/>
        </w:rPr>
      </w:pPr>
      <w:bookmarkStart w:id="217" w:name="bookmark72"/>
      <w:bookmarkEnd w:id="217"/>
      <w:r>
        <w:rPr>
          <w:rFonts w:ascii="宋体" w:hAnsi="宋体" w:eastAsia="宋体" w:cs="Times New Roman"/>
          <w:b/>
          <w:color w:val="auto"/>
          <w:sz w:val="28"/>
          <w:szCs w:val="28"/>
          <w:highlight w:val="none"/>
        </w:rPr>
        <w:t>8.4</w:t>
      </w:r>
      <w:r>
        <w:rPr>
          <w:rFonts w:hint="eastAsia" w:ascii="宋体" w:hAnsi="宋体" w:eastAsia="宋体" w:cs="Times New Roman"/>
          <w:b/>
          <w:color w:val="auto"/>
          <w:sz w:val="28"/>
          <w:szCs w:val="28"/>
          <w:highlight w:val="none"/>
        </w:rPr>
        <w:t>对与评标活动有关的工作人员的纪律要求</w:t>
      </w:r>
    </w:p>
    <w:p w14:paraId="2B07E2CD">
      <w:pPr>
        <w:kinsoku w:val="0"/>
        <w:wordWrap w:val="0"/>
        <w:overflowPunct w:val="0"/>
        <w:spacing w:line="360" w:lineRule="auto"/>
        <w:ind w:right="114" w:firstLine="419"/>
        <w:rPr>
          <w:rFonts w:hint="eastAsia" w:ascii="宋体" w:hAnsi="宋体" w:eastAsia="宋体" w:cs="Times New Roman"/>
          <w:color w:val="auto"/>
          <w:szCs w:val="21"/>
          <w:highlight w:val="none"/>
        </w:rPr>
      </w:pPr>
      <w:r>
        <w:rPr>
          <w:rFonts w:hint="eastAsia" w:ascii="宋体" w:hAnsi="宋体" w:eastAsia="宋体" w:cs="Times New Roman"/>
          <w:color w:val="auto"/>
          <w:spacing w:val="-1"/>
          <w:szCs w:val="21"/>
          <w:highlight w:val="none"/>
        </w:rPr>
        <w:t>与评标活动有关的工作人员不得收受他人的财物或者其他好处，不得向他人透露对投标文件的评审和比较、中标候选人的推荐情况以及评标有关的其他情况。在评标活动中，与评标活</w:t>
      </w:r>
      <w:r>
        <w:rPr>
          <w:rFonts w:hint="eastAsia" w:ascii="宋体" w:hAnsi="宋体" w:eastAsia="宋体" w:cs="Times New Roman"/>
          <w:color w:val="auto"/>
          <w:szCs w:val="21"/>
          <w:highlight w:val="none"/>
        </w:rPr>
        <w:t>动有关的工作人员不得擅离职守，影响评标程序正常进行。</w:t>
      </w:r>
    </w:p>
    <w:p w14:paraId="132DD096">
      <w:pPr>
        <w:keepNext/>
        <w:keepLines/>
        <w:wordWrap w:val="0"/>
        <w:spacing w:line="360" w:lineRule="auto"/>
        <w:outlineLvl w:val="3"/>
        <w:rPr>
          <w:rFonts w:hint="eastAsia" w:ascii="宋体" w:hAnsi="宋体" w:eastAsia="宋体" w:cs="Times New Roman"/>
          <w:b/>
          <w:color w:val="auto"/>
          <w:sz w:val="28"/>
          <w:szCs w:val="28"/>
          <w:highlight w:val="none"/>
        </w:rPr>
      </w:pPr>
      <w:bookmarkStart w:id="218" w:name="bookmark73"/>
      <w:bookmarkEnd w:id="218"/>
      <w:r>
        <w:rPr>
          <w:rFonts w:ascii="宋体" w:hAnsi="宋体" w:eastAsia="宋体" w:cs="Times New Roman"/>
          <w:b/>
          <w:color w:val="auto"/>
          <w:sz w:val="28"/>
          <w:szCs w:val="28"/>
          <w:highlight w:val="none"/>
        </w:rPr>
        <w:t>8.5</w:t>
      </w:r>
      <w:r>
        <w:rPr>
          <w:rFonts w:hint="eastAsia" w:ascii="宋体" w:hAnsi="宋体" w:eastAsia="宋体" w:cs="Times New Roman"/>
          <w:b/>
          <w:color w:val="auto"/>
          <w:sz w:val="28"/>
          <w:szCs w:val="28"/>
          <w:highlight w:val="none"/>
        </w:rPr>
        <w:t>投诉</w:t>
      </w:r>
    </w:p>
    <w:p w14:paraId="430D775C">
      <w:pPr>
        <w:kinsoku w:val="0"/>
        <w:wordWrap w:val="0"/>
        <w:overflowPunct w:val="0"/>
        <w:spacing w:line="360" w:lineRule="auto"/>
        <w:ind w:right="111" w:firstLine="419"/>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8.5.1</w:t>
      </w:r>
      <w:r>
        <w:rPr>
          <w:rFonts w:hint="eastAsia" w:ascii="宋体" w:hAnsi="宋体" w:eastAsia="宋体" w:cs="Times New Roman"/>
          <w:color w:val="auto"/>
          <w:szCs w:val="21"/>
          <w:highlight w:val="none"/>
        </w:rPr>
        <w:t>投标人或者其他利害关系人认为招标投标活动不符合法律、行政法规规定的，可以自知道或者应当知道之日起</w:t>
      </w:r>
      <w:r>
        <w:rPr>
          <w:rFonts w:ascii="宋体" w:hAnsi="宋体" w:eastAsia="宋体" w:cs="Times New Roman"/>
          <w:color w:val="auto"/>
          <w:szCs w:val="21"/>
          <w:highlight w:val="none"/>
        </w:rPr>
        <w:t>10</w:t>
      </w:r>
      <w:r>
        <w:rPr>
          <w:rFonts w:hint="eastAsia" w:ascii="宋体" w:hAnsi="宋体" w:eastAsia="宋体" w:cs="Times New Roman"/>
          <w:color w:val="auto"/>
          <w:szCs w:val="21"/>
          <w:highlight w:val="none"/>
        </w:rPr>
        <w:t>日内向有关行政监督部门投诉。投诉应当有明确的请求和必要的证明材料。</w:t>
      </w:r>
    </w:p>
    <w:p w14:paraId="346FD60B">
      <w:pPr>
        <w:kinsoku w:val="0"/>
        <w:wordWrap w:val="0"/>
        <w:overflowPunct w:val="0"/>
        <w:spacing w:line="360" w:lineRule="auto"/>
        <w:ind w:right="111" w:firstLine="419"/>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8.5.2</w:t>
      </w:r>
      <w:r>
        <w:rPr>
          <w:rFonts w:hint="eastAsia" w:ascii="宋体" w:hAnsi="宋体" w:eastAsia="宋体" w:cs="Times New Roman"/>
          <w:color w:val="auto"/>
          <w:szCs w:val="21"/>
          <w:highlight w:val="none"/>
        </w:rPr>
        <w:t>投标人或者其他利害关系人对招标文件、开标和评标结果提出投诉的，应当按照投标人须知第</w:t>
      </w:r>
      <w:r>
        <w:rPr>
          <w:rFonts w:ascii="宋体" w:hAnsi="宋体" w:eastAsia="宋体" w:cs="Times New Roman"/>
          <w:color w:val="auto"/>
          <w:szCs w:val="21"/>
          <w:highlight w:val="none"/>
        </w:rPr>
        <w:t>2.4</w:t>
      </w:r>
      <w:r>
        <w:rPr>
          <w:rFonts w:hint="eastAsia" w:ascii="宋体" w:hAnsi="宋体" w:eastAsia="宋体" w:cs="Times New Roman"/>
          <w:color w:val="auto"/>
          <w:szCs w:val="21"/>
          <w:highlight w:val="none"/>
        </w:rPr>
        <w:t>款、第</w:t>
      </w:r>
      <w:r>
        <w:rPr>
          <w:rFonts w:ascii="宋体" w:hAnsi="宋体" w:eastAsia="宋体" w:cs="Times New Roman"/>
          <w:color w:val="auto"/>
          <w:szCs w:val="21"/>
          <w:highlight w:val="none"/>
        </w:rPr>
        <w:t>5.3</w:t>
      </w:r>
      <w:r>
        <w:rPr>
          <w:rFonts w:hint="eastAsia" w:ascii="宋体" w:hAnsi="宋体" w:eastAsia="宋体" w:cs="Times New Roman"/>
          <w:color w:val="auto"/>
          <w:szCs w:val="21"/>
          <w:highlight w:val="none"/>
        </w:rPr>
        <w:t>款和第</w:t>
      </w:r>
      <w:r>
        <w:rPr>
          <w:rFonts w:ascii="宋体" w:hAnsi="宋体" w:eastAsia="宋体" w:cs="Times New Roman"/>
          <w:color w:val="auto"/>
          <w:szCs w:val="21"/>
          <w:highlight w:val="none"/>
        </w:rPr>
        <w:t>7.2</w:t>
      </w:r>
      <w:r>
        <w:rPr>
          <w:rFonts w:hint="eastAsia" w:ascii="宋体" w:hAnsi="宋体" w:eastAsia="宋体" w:cs="Times New Roman"/>
          <w:color w:val="auto"/>
          <w:szCs w:val="21"/>
          <w:highlight w:val="none"/>
        </w:rPr>
        <w:t>款的规定先向招标人提出异议。异议答复期间不计算在第</w:t>
      </w:r>
      <w:r>
        <w:rPr>
          <w:rFonts w:ascii="宋体" w:hAnsi="宋体" w:eastAsia="宋体" w:cs="Times New Roman"/>
          <w:color w:val="auto"/>
          <w:szCs w:val="21"/>
          <w:highlight w:val="none"/>
        </w:rPr>
        <w:t>8.5.1</w:t>
      </w:r>
      <w:r>
        <w:rPr>
          <w:rFonts w:hint="eastAsia" w:ascii="宋体" w:hAnsi="宋体" w:eastAsia="宋体" w:cs="Times New Roman"/>
          <w:color w:val="auto"/>
          <w:szCs w:val="21"/>
          <w:highlight w:val="none"/>
        </w:rPr>
        <w:t>项规定的期限内。</w:t>
      </w:r>
    </w:p>
    <w:p w14:paraId="41F18785">
      <w:pPr>
        <w:keepNext/>
        <w:keepLines/>
        <w:wordWrap w:val="0"/>
        <w:spacing w:line="360" w:lineRule="auto"/>
        <w:outlineLvl w:val="2"/>
        <w:rPr>
          <w:rFonts w:hint="eastAsia" w:ascii="宋体" w:hAnsi="宋体" w:eastAsia="宋体" w:cs="Times New Roman"/>
          <w:b/>
          <w:color w:val="auto"/>
          <w:sz w:val="28"/>
          <w:szCs w:val="20"/>
          <w:highlight w:val="none"/>
        </w:rPr>
      </w:pPr>
      <w:bookmarkStart w:id="219" w:name="bookmark74"/>
      <w:bookmarkEnd w:id="219"/>
      <w:bookmarkStart w:id="220" w:name="_Toc14873654"/>
      <w:r>
        <w:rPr>
          <w:rFonts w:ascii="宋体" w:hAnsi="宋体" w:eastAsia="宋体" w:cs="Times New Roman"/>
          <w:b/>
          <w:color w:val="auto"/>
          <w:sz w:val="28"/>
          <w:szCs w:val="20"/>
          <w:highlight w:val="none"/>
        </w:rPr>
        <w:t xml:space="preserve">9.  </w:t>
      </w:r>
      <w:r>
        <w:rPr>
          <w:rFonts w:hint="eastAsia" w:ascii="宋体" w:hAnsi="宋体" w:eastAsia="宋体" w:cs="Times New Roman"/>
          <w:b/>
          <w:color w:val="auto"/>
          <w:sz w:val="28"/>
          <w:szCs w:val="20"/>
          <w:highlight w:val="none"/>
        </w:rPr>
        <w:t>是否采用电子招标投标</w:t>
      </w:r>
      <w:bookmarkEnd w:id="220"/>
    </w:p>
    <w:p w14:paraId="0CCCC886">
      <w:pPr>
        <w:kinsoku w:val="0"/>
        <w:wordWrap w:val="0"/>
        <w:overflowPunct w:val="0"/>
        <w:spacing w:line="360" w:lineRule="auto"/>
        <w:ind w:right="113"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本招标项目采用电子招标投标方式，按照广州交易集团有限公司（广州公共资源交易中心）网站关于全流程电子化项目的相关指南进行操作。</w:t>
      </w:r>
    </w:p>
    <w:p w14:paraId="7D4C5E1A">
      <w:pPr>
        <w:keepNext/>
        <w:keepLines/>
        <w:wordWrap w:val="0"/>
        <w:spacing w:line="360" w:lineRule="auto"/>
        <w:outlineLvl w:val="2"/>
        <w:rPr>
          <w:rFonts w:hint="eastAsia" w:ascii="宋体" w:hAnsi="宋体" w:eastAsia="宋体" w:cs="Times New Roman"/>
          <w:b/>
          <w:color w:val="auto"/>
          <w:sz w:val="28"/>
          <w:szCs w:val="20"/>
          <w:highlight w:val="none"/>
        </w:rPr>
      </w:pPr>
      <w:bookmarkStart w:id="221" w:name="bookmark75"/>
      <w:bookmarkEnd w:id="221"/>
      <w:bookmarkStart w:id="222" w:name="_Toc14873655"/>
      <w:r>
        <w:rPr>
          <w:rFonts w:ascii="宋体" w:hAnsi="宋体" w:eastAsia="宋体" w:cs="Times New Roman"/>
          <w:b/>
          <w:color w:val="auto"/>
          <w:sz w:val="28"/>
          <w:szCs w:val="20"/>
          <w:highlight w:val="none"/>
        </w:rPr>
        <w:t xml:space="preserve">10.  </w:t>
      </w:r>
      <w:bookmarkEnd w:id="222"/>
      <w:r>
        <w:rPr>
          <w:rFonts w:hint="eastAsia" w:ascii="宋体" w:hAnsi="宋体" w:eastAsia="宋体" w:cs="Times New Roman"/>
          <w:b/>
          <w:color w:val="auto"/>
          <w:sz w:val="28"/>
          <w:szCs w:val="20"/>
          <w:highlight w:val="none"/>
        </w:rPr>
        <w:t>重新招标情形</w:t>
      </w:r>
    </w:p>
    <w:p w14:paraId="0939260E">
      <w:pPr>
        <w:kinsoku w:val="0"/>
        <w:wordWrap w:val="0"/>
        <w:overflowPunct w:val="0"/>
        <w:spacing w:line="360" w:lineRule="auto"/>
        <w:ind w:right="113"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在下列情况下，依法必须招标项目的招标人在分析招标失败的原因并采取相应措施后，应当依照本办法重新招标：</w:t>
      </w:r>
    </w:p>
    <w:p w14:paraId="1FDAE387">
      <w:pPr>
        <w:kinsoku w:val="0"/>
        <w:wordWrap w:val="0"/>
        <w:overflowPunct w:val="0"/>
        <w:spacing w:line="360" w:lineRule="auto"/>
        <w:ind w:right="113"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（一）资格审查合格的投标人不足三个的；</w:t>
      </w:r>
    </w:p>
    <w:p w14:paraId="0D138C4A">
      <w:pPr>
        <w:kinsoku w:val="0"/>
        <w:wordWrap w:val="0"/>
        <w:overflowPunct w:val="0"/>
        <w:spacing w:line="360" w:lineRule="auto"/>
        <w:ind w:right="113"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（二）在投标截止时间前提交投标文件的投标人少于三个的；</w:t>
      </w:r>
    </w:p>
    <w:p w14:paraId="64F02E47">
      <w:pPr>
        <w:kinsoku w:val="0"/>
        <w:wordWrap w:val="0"/>
        <w:overflowPunct w:val="0"/>
        <w:spacing w:line="360" w:lineRule="auto"/>
        <w:ind w:right="113"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（三）所有投标均被否决的；</w:t>
      </w:r>
    </w:p>
    <w:p w14:paraId="246C9858">
      <w:pPr>
        <w:kinsoku w:val="0"/>
        <w:wordWrap w:val="0"/>
        <w:overflowPunct w:val="0"/>
        <w:spacing w:line="360" w:lineRule="auto"/>
        <w:ind w:right="113"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（四）评标委员会否决不合格投标后，因有效投标不足三个使得投标明显缺乏竞争，评标委员会决定否决全部投标的；</w:t>
      </w:r>
    </w:p>
    <w:p w14:paraId="2FCA765C">
      <w:pPr>
        <w:kinsoku w:val="0"/>
        <w:wordWrap w:val="0"/>
        <w:overflowPunct w:val="0"/>
        <w:spacing w:line="360" w:lineRule="auto"/>
        <w:ind w:right="113"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（五）符合法律法规需重新招标的其他情形。</w:t>
      </w:r>
    </w:p>
    <w:p w14:paraId="0AB40C12">
      <w:pPr>
        <w:keepNext/>
        <w:keepLines/>
        <w:wordWrap w:val="0"/>
        <w:spacing w:line="360" w:lineRule="auto"/>
        <w:outlineLvl w:val="2"/>
        <w:rPr>
          <w:rFonts w:hint="eastAsia" w:ascii="宋体" w:hAnsi="宋体" w:eastAsia="宋体" w:cs="Times New Roman"/>
          <w:b/>
          <w:color w:val="auto"/>
          <w:sz w:val="28"/>
          <w:szCs w:val="20"/>
          <w:highlight w:val="none"/>
        </w:rPr>
      </w:pPr>
      <w:r>
        <w:rPr>
          <w:rFonts w:ascii="宋体" w:hAnsi="宋体" w:eastAsia="宋体" w:cs="Times New Roman"/>
          <w:b/>
          <w:color w:val="auto"/>
          <w:sz w:val="28"/>
          <w:szCs w:val="20"/>
          <w:highlight w:val="none"/>
        </w:rPr>
        <w:t>1</w:t>
      </w:r>
      <w:r>
        <w:rPr>
          <w:rFonts w:hint="eastAsia" w:ascii="宋体" w:hAnsi="宋体" w:eastAsia="宋体" w:cs="Times New Roman"/>
          <w:b/>
          <w:color w:val="auto"/>
          <w:sz w:val="28"/>
          <w:szCs w:val="20"/>
          <w:highlight w:val="none"/>
        </w:rPr>
        <w:t>1</w:t>
      </w:r>
      <w:r>
        <w:rPr>
          <w:rFonts w:ascii="宋体" w:hAnsi="宋体" w:eastAsia="宋体" w:cs="Times New Roman"/>
          <w:b/>
          <w:color w:val="auto"/>
          <w:sz w:val="28"/>
          <w:szCs w:val="20"/>
          <w:highlight w:val="none"/>
        </w:rPr>
        <w:t xml:space="preserve">.  </w:t>
      </w:r>
      <w:r>
        <w:rPr>
          <w:rFonts w:hint="eastAsia" w:ascii="宋体" w:hAnsi="宋体" w:eastAsia="宋体" w:cs="Times New Roman"/>
          <w:b/>
          <w:color w:val="auto"/>
          <w:sz w:val="28"/>
          <w:szCs w:val="20"/>
          <w:highlight w:val="none"/>
        </w:rPr>
        <w:t>需要补充的其他内容</w:t>
      </w:r>
    </w:p>
    <w:p w14:paraId="11C93A3D">
      <w:pPr>
        <w:kinsoku w:val="0"/>
        <w:wordWrap w:val="0"/>
        <w:overflowPunct w:val="0"/>
        <w:spacing w:line="360" w:lineRule="auto"/>
        <w:ind w:right="113"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需要补充的其他内容：见投标人须知前附表。</w:t>
      </w:r>
    </w:p>
    <w:p w14:paraId="3E3E1D63">
      <w:pPr>
        <w:keepNext/>
        <w:keepLines/>
        <w:wordWrap w:val="0"/>
        <w:spacing w:line="360" w:lineRule="auto"/>
        <w:outlineLvl w:val="2"/>
        <w:rPr>
          <w:rFonts w:hint="eastAsia" w:ascii="宋体" w:hAnsi="宋体" w:eastAsia="宋体" w:cs="Times New Roman"/>
          <w:b/>
          <w:color w:val="auto"/>
          <w:sz w:val="28"/>
          <w:szCs w:val="20"/>
          <w:highlight w:val="none"/>
        </w:rPr>
      </w:pPr>
      <w:bookmarkStart w:id="223" w:name="_Toc144974511"/>
      <w:bookmarkEnd w:id="223"/>
      <w:bookmarkStart w:id="224" w:name="_Toc152042319"/>
      <w:bookmarkEnd w:id="224"/>
      <w:bookmarkStart w:id="225" w:name="_Toc300834964"/>
      <w:bookmarkEnd w:id="225"/>
      <w:bookmarkStart w:id="226" w:name="_Toc247513967"/>
      <w:bookmarkEnd w:id="226"/>
      <w:bookmarkStart w:id="227" w:name="_Toc15242"/>
      <w:bookmarkEnd w:id="227"/>
      <w:bookmarkStart w:id="228" w:name="_Toc361508599"/>
      <w:bookmarkEnd w:id="228"/>
      <w:bookmarkStart w:id="229" w:name="_Toc352691487"/>
      <w:bookmarkEnd w:id="229"/>
      <w:bookmarkStart w:id="230" w:name="_Toc152045543"/>
      <w:bookmarkEnd w:id="230"/>
      <w:bookmarkStart w:id="231" w:name="_Toc369531530"/>
      <w:bookmarkEnd w:id="231"/>
      <w:bookmarkStart w:id="232" w:name="_Toc384308224"/>
      <w:bookmarkEnd w:id="232"/>
      <w:bookmarkStart w:id="233" w:name="_Toc247527568"/>
      <w:bookmarkEnd w:id="233"/>
      <w:bookmarkStart w:id="234" w:name="_Toc15547"/>
      <w:bookmarkStart w:id="235" w:name="_Toc526786487"/>
      <w:bookmarkStart w:id="236" w:name="_Toc59200683"/>
      <w:bookmarkStart w:id="237" w:name="_Toc11759"/>
      <w:r>
        <w:rPr>
          <w:rFonts w:ascii="宋体" w:hAnsi="宋体" w:eastAsia="宋体" w:cs="Times New Roman"/>
          <w:b/>
          <w:color w:val="auto"/>
          <w:highlight w:val="none"/>
        </w:rPr>
        <w:br w:type="page"/>
      </w:r>
      <w:bookmarkEnd w:id="234"/>
      <w:bookmarkEnd w:id="235"/>
      <w:bookmarkEnd w:id="236"/>
      <w:bookmarkEnd w:id="237"/>
      <w:bookmarkStart w:id="238" w:name="_Toc14873657"/>
      <w:bookmarkStart w:id="239" w:name="_Toc59200684"/>
      <w:bookmarkStart w:id="240" w:name="_Toc11145"/>
      <w:bookmarkStart w:id="241" w:name="_Toc526786489"/>
    </w:p>
    <w:bookmarkEnd w:id="238"/>
    <w:bookmarkEnd w:id="239"/>
    <w:p w14:paraId="14B85E14">
      <w:pPr>
        <w:wordWrap w:val="0"/>
        <w:spacing w:before="340" w:after="330"/>
        <w:jc w:val="center"/>
        <w:outlineLvl w:val="0"/>
        <w:rPr>
          <w:rFonts w:hint="eastAsia" w:ascii="宋体" w:hAnsi="宋体" w:eastAsia="宋体" w:cs="Times New Roman"/>
          <w:b/>
          <w:color w:val="auto"/>
          <w:kern w:val="44"/>
          <w:sz w:val="44"/>
          <w:szCs w:val="20"/>
          <w:highlight w:val="none"/>
        </w:rPr>
      </w:pPr>
      <w:bookmarkStart w:id="242" w:name="_Toc59200686"/>
      <w:r>
        <w:rPr>
          <w:rFonts w:hint="eastAsia" w:ascii="宋体" w:hAnsi="宋体" w:eastAsia="宋体" w:cs="Times New Roman"/>
          <w:b/>
          <w:color w:val="auto"/>
          <w:kern w:val="44"/>
          <w:sz w:val="44"/>
          <w:szCs w:val="20"/>
          <w:highlight w:val="none"/>
        </w:rPr>
        <w:t>第三章 评标办法（综合评估法）</w:t>
      </w:r>
      <w:bookmarkEnd w:id="240"/>
      <w:bookmarkEnd w:id="241"/>
      <w:bookmarkEnd w:id="242"/>
    </w:p>
    <w:p w14:paraId="0493DF45">
      <w:pPr>
        <w:wordWrap w:val="0"/>
        <w:jc w:val="center"/>
        <w:outlineLvl w:val="1"/>
        <w:rPr>
          <w:rFonts w:hint="eastAsia" w:ascii="宋体" w:hAnsi="宋体" w:eastAsia="宋体" w:cs="Times New Roman"/>
          <w:b/>
          <w:color w:val="auto"/>
          <w:sz w:val="32"/>
          <w:szCs w:val="20"/>
          <w:highlight w:val="none"/>
        </w:rPr>
      </w:pPr>
      <w:bookmarkStart w:id="243" w:name="_Toc59200687"/>
      <w:r>
        <w:rPr>
          <w:rFonts w:hint="eastAsia" w:ascii="宋体" w:hAnsi="宋体" w:eastAsia="宋体" w:cs="Times New Roman"/>
          <w:b/>
          <w:color w:val="auto"/>
          <w:sz w:val="32"/>
          <w:szCs w:val="20"/>
          <w:highlight w:val="none"/>
        </w:rPr>
        <w:t>评标办法前附表</w:t>
      </w:r>
      <w:bookmarkEnd w:id="243"/>
    </w:p>
    <w:tbl>
      <w:tblPr>
        <w:tblStyle w:val="29"/>
        <w:tblW w:w="9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124"/>
        <w:gridCol w:w="2476"/>
        <w:gridCol w:w="5424"/>
      </w:tblGrid>
      <w:tr w14:paraId="6261D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2024" w:type="dxa"/>
            <w:gridSpan w:val="2"/>
            <w:vAlign w:val="center"/>
          </w:tcPr>
          <w:p w14:paraId="408BD63B">
            <w:pPr>
              <w:wordWrap w:val="0"/>
              <w:spacing w:line="276" w:lineRule="auto"/>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条款号</w:t>
            </w:r>
          </w:p>
        </w:tc>
        <w:tc>
          <w:tcPr>
            <w:tcW w:w="2476" w:type="dxa"/>
            <w:vAlign w:val="center"/>
          </w:tcPr>
          <w:p w14:paraId="2E394333">
            <w:pPr>
              <w:wordWrap w:val="0"/>
              <w:spacing w:line="276" w:lineRule="auto"/>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评审因素</w:t>
            </w:r>
          </w:p>
        </w:tc>
        <w:tc>
          <w:tcPr>
            <w:tcW w:w="5424" w:type="dxa"/>
            <w:vAlign w:val="center"/>
          </w:tcPr>
          <w:p w14:paraId="4C50E997">
            <w:pPr>
              <w:wordWrap w:val="0"/>
              <w:spacing w:line="276" w:lineRule="auto"/>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评审标准</w:t>
            </w:r>
          </w:p>
        </w:tc>
      </w:tr>
      <w:tr w14:paraId="5CD46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Align w:val="center"/>
          </w:tcPr>
          <w:p w14:paraId="6F06B0BB">
            <w:pPr>
              <w:wordWrap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w:t>
            </w:r>
          </w:p>
        </w:tc>
        <w:tc>
          <w:tcPr>
            <w:tcW w:w="1124" w:type="dxa"/>
            <w:vAlign w:val="center"/>
          </w:tcPr>
          <w:p w14:paraId="5B7D4B52">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评标方法</w:t>
            </w:r>
          </w:p>
        </w:tc>
        <w:tc>
          <w:tcPr>
            <w:tcW w:w="2476" w:type="dxa"/>
            <w:vAlign w:val="center"/>
          </w:tcPr>
          <w:p w14:paraId="6D8EA28B">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中标候选人排序方法</w:t>
            </w:r>
          </w:p>
        </w:tc>
        <w:tc>
          <w:tcPr>
            <w:tcW w:w="5424" w:type="dxa"/>
            <w:vAlign w:val="center"/>
          </w:tcPr>
          <w:p w14:paraId="41BE6597">
            <w:pPr>
              <w:wordWrap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次评标采用综合评估法。评标委员会对满足招标文件实质性要求的投标文件，按照本章第2.2款规定的评分标准进行打分，并按得分由高到低顺序推荐中标候选人，排序的前一～三名为第一中标候选人、第二中标候选人和第三中标候选人。总分相等时，以投标报价低的优先；投标报价也相等的，以监理大纲得分高的优先；如果监理大纲得分也相等，由评标委员会采用记名投票方式，以得票多的优先。</w:t>
            </w:r>
          </w:p>
        </w:tc>
      </w:tr>
      <w:tr w14:paraId="0CE61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restart"/>
            <w:vAlign w:val="center"/>
          </w:tcPr>
          <w:p w14:paraId="310743AB">
            <w:pPr>
              <w:wordWrap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2.1.1</w:t>
            </w:r>
          </w:p>
        </w:tc>
        <w:tc>
          <w:tcPr>
            <w:tcW w:w="1124" w:type="dxa"/>
            <w:vMerge w:val="restart"/>
            <w:vAlign w:val="center"/>
          </w:tcPr>
          <w:p w14:paraId="11D06D5C">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形式评审标准</w:t>
            </w:r>
          </w:p>
        </w:tc>
        <w:tc>
          <w:tcPr>
            <w:tcW w:w="2476" w:type="dxa"/>
            <w:vAlign w:val="center"/>
          </w:tcPr>
          <w:p w14:paraId="2BC13A4A">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投标人名称</w:t>
            </w:r>
          </w:p>
        </w:tc>
        <w:tc>
          <w:tcPr>
            <w:tcW w:w="5424" w:type="dxa"/>
            <w:vAlign w:val="center"/>
          </w:tcPr>
          <w:p w14:paraId="0EF4E21E">
            <w:pPr>
              <w:wordWrap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与营业执照或事业单位登记机构核发的事业单位法人证书、资质证书一致。</w:t>
            </w:r>
          </w:p>
        </w:tc>
      </w:tr>
      <w:tr w14:paraId="7CF22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vAlign w:val="center"/>
          </w:tcPr>
          <w:p w14:paraId="5DCB5FEC">
            <w:pPr>
              <w:wordWrap w:val="0"/>
              <w:spacing w:line="276" w:lineRule="auto"/>
              <w:jc w:val="center"/>
              <w:rPr>
                <w:rFonts w:hint="eastAsia" w:ascii="宋体" w:hAnsi="宋体" w:eastAsia="宋体" w:cs="Times New Roman"/>
                <w:color w:val="auto"/>
                <w:szCs w:val="21"/>
                <w:highlight w:val="none"/>
              </w:rPr>
            </w:pPr>
          </w:p>
        </w:tc>
        <w:tc>
          <w:tcPr>
            <w:tcW w:w="1124" w:type="dxa"/>
            <w:vMerge w:val="continue"/>
            <w:vAlign w:val="center"/>
          </w:tcPr>
          <w:p w14:paraId="460E50AA">
            <w:pPr>
              <w:wordWrap w:val="0"/>
              <w:spacing w:line="276" w:lineRule="auto"/>
              <w:jc w:val="center"/>
              <w:rPr>
                <w:rFonts w:hint="eastAsia" w:ascii="宋体" w:hAnsi="宋体" w:eastAsia="宋体" w:cs="Times New Roman"/>
                <w:color w:val="auto"/>
                <w:szCs w:val="21"/>
                <w:highlight w:val="none"/>
              </w:rPr>
            </w:pPr>
          </w:p>
        </w:tc>
        <w:tc>
          <w:tcPr>
            <w:tcW w:w="2476" w:type="dxa"/>
            <w:vAlign w:val="center"/>
          </w:tcPr>
          <w:p w14:paraId="158F160E">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投标人参加投标的意思表达清楚，投标人代表被授权有效</w:t>
            </w:r>
          </w:p>
        </w:tc>
        <w:tc>
          <w:tcPr>
            <w:tcW w:w="5424" w:type="dxa"/>
            <w:vAlign w:val="center"/>
          </w:tcPr>
          <w:p w14:paraId="2BE1BAD0">
            <w:pPr>
              <w:wordWrap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投标人声明、投标人廉洁承诺书、法定代表人证明；委托投标的还应提供法人授权委托证明书。</w:t>
            </w:r>
          </w:p>
        </w:tc>
      </w:tr>
      <w:tr w14:paraId="67C6C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vAlign w:val="center"/>
          </w:tcPr>
          <w:p w14:paraId="592D5F71">
            <w:pPr>
              <w:wordWrap w:val="0"/>
              <w:spacing w:line="276" w:lineRule="auto"/>
              <w:rPr>
                <w:rFonts w:hint="eastAsia" w:ascii="宋体" w:hAnsi="宋体" w:eastAsia="宋体" w:cs="Times New Roman"/>
                <w:color w:val="auto"/>
                <w:szCs w:val="21"/>
                <w:highlight w:val="none"/>
              </w:rPr>
            </w:pPr>
          </w:p>
        </w:tc>
        <w:tc>
          <w:tcPr>
            <w:tcW w:w="1124" w:type="dxa"/>
            <w:vMerge w:val="continue"/>
            <w:vAlign w:val="center"/>
          </w:tcPr>
          <w:p w14:paraId="00A042BD">
            <w:pPr>
              <w:wordWrap w:val="0"/>
              <w:spacing w:line="276" w:lineRule="auto"/>
              <w:rPr>
                <w:rFonts w:hint="eastAsia" w:ascii="宋体" w:hAnsi="宋体" w:eastAsia="宋体" w:cs="Times New Roman"/>
                <w:color w:val="auto"/>
                <w:szCs w:val="21"/>
                <w:highlight w:val="none"/>
              </w:rPr>
            </w:pPr>
          </w:p>
        </w:tc>
        <w:tc>
          <w:tcPr>
            <w:tcW w:w="2476" w:type="dxa"/>
            <w:vAlign w:val="center"/>
          </w:tcPr>
          <w:p w14:paraId="41833C58">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投标函及投标函附录签字盖章</w:t>
            </w:r>
          </w:p>
        </w:tc>
        <w:tc>
          <w:tcPr>
            <w:tcW w:w="5424" w:type="dxa"/>
            <w:vAlign w:val="center"/>
          </w:tcPr>
          <w:p w14:paraId="62210C6C">
            <w:pPr>
              <w:wordWrap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有法定代表人或其委托代理人签字和加盖单位章。由法定代表人签字的，应附法定代表人证明；由代理人签字的，应附法定代表人证明及授权委托书，身份证明或授权委托书参考第六章“投标文件格式”的规定。</w:t>
            </w:r>
          </w:p>
        </w:tc>
      </w:tr>
      <w:tr w14:paraId="3C612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vAlign w:val="center"/>
          </w:tcPr>
          <w:p w14:paraId="5690E19B">
            <w:pPr>
              <w:wordWrap w:val="0"/>
              <w:spacing w:line="276" w:lineRule="auto"/>
              <w:rPr>
                <w:rFonts w:hint="eastAsia" w:ascii="宋体" w:hAnsi="宋体" w:eastAsia="宋体" w:cs="Times New Roman"/>
                <w:color w:val="auto"/>
                <w:szCs w:val="21"/>
                <w:highlight w:val="none"/>
              </w:rPr>
            </w:pPr>
          </w:p>
        </w:tc>
        <w:tc>
          <w:tcPr>
            <w:tcW w:w="1124" w:type="dxa"/>
            <w:vMerge w:val="continue"/>
            <w:vAlign w:val="center"/>
          </w:tcPr>
          <w:p w14:paraId="060EF452">
            <w:pPr>
              <w:wordWrap w:val="0"/>
              <w:spacing w:line="276" w:lineRule="auto"/>
              <w:rPr>
                <w:rFonts w:hint="eastAsia" w:ascii="宋体" w:hAnsi="宋体" w:eastAsia="宋体" w:cs="Times New Roman"/>
                <w:color w:val="auto"/>
                <w:szCs w:val="21"/>
                <w:highlight w:val="none"/>
              </w:rPr>
            </w:pPr>
          </w:p>
        </w:tc>
        <w:tc>
          <w:tcPr>
            <w:tcW w:w="2476" w:type="dxa"/>
            <w:vAlign w:val="center"/>
          </w:tcPr>
          <w:p w14:paraId="49EB4319">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投标文件格式</w:t>
            </w:r>
          </w:p>
        </w:tc>
        <w:tc>
          <w:tcPr>
            <w:tcW w:w="5424" w:type="dxa"/>
            <w:vAlign w:val="center"/>
          </w:tcPr>
          <w:p w14:paraId="5FC2140C">
            <w:pPr>
              <w:wordWrap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符合第六章</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投标文件格式</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中的</w:t>
            </w:r>
            <w:r>
              <w:rPr>
                <w:rFonts w:hint="eastAsia" w:ascii="宋体" w:hAnsi="宋体" w:eastAsia="宋体" w:cs="Times New Roman"/>
                <w:b/>
                <w:color w:val="auto"/>
                <w:szCs w:val="21"/>
                <w:highlight w:val="none"/>
                <w:u w:val="single"/>
              </w:rPr>
              <w:t>《投标函及投标函附录》</w:t>
            </w:r>
            <w:r>
              <w:rPr>
                <w:rFonts w:hint="eastAsia" w:ascii="宋体" w:hAnsi="宋体" w:eastAsia="宋体" w:cs="Times New Roman"/>
                <w:color w:val="auto"/>
                <w:szCs w:val="21"/>
                <w:highlight w:val="none"/>
              </w:rPr>
              <w:t>规定。</w:t>
            </w:r>
          </w:p>
        </w:tc>
      </w:tr>
      <w:tr w14:paraId="3F066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vAlign w:val="center"/>
          </w:tcPr>
          <w:p w14:paraId="5A88896C">
            <w:pPr>
              <w:wordWrap w:val="0"/>
              <w:spacing w:line="276" w:lineRule="auto"/>
              <w:rPr>
                <w:rFonts w:hint="eastAsia" w:ascii="宋体" w:hAnsi="宋体" w:eastAsia="宋体" w:cs="Times New Roman"/>
                <w:color w:val="auto"/>
                <w:szCs w:val="21"/>
                <w:highlight w:val="none"/>
              </w:rPr>
            </w:pPr>
          </w:p>
        </w:tc>
        <w:tc>
          <w:tcPr>
            <w:tcW w:w="1124" w:type="dxa"/>
            <w:vMerge w:val="continue"/>
            <w:vAlign w:val="center"/>
          </w:tcPr>
          <w:p w14:paraId="79F9EE2B">
            <w:pPr>
              <w:wordWrap w:val="0"/>
              <w:spacing w:line="276" w:lineRule="auto"/>
              <w:rPr>
                <w:rFonts w:hint="eastAsia" w:ascii="宋体" w:hAnsi="宋体" w:eastAsia="宋体" w:cs="Times New Roman"/>
                <w:color w:val="auto"/>
                <w:szCs w:val="21"/>
                <w:highlight w:val="none"/>
              </w:rPr>
            </w:pPr>
          </w:p>
        </w:tc>
        <w:tc>
          <w:tcPr>
            <w:tcW w:w="2476" w:type="dxa"/>
            <w:vAlign w:val="center"/>
          </w:tcPr>
          <w:p w14:paraId="51B082F4">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联合体投标人</w:t>
            </w:r>
          </w:p>
        </w:tc>
        <w:tc>
          <w:tcPr>
            <w:tcW w:w="5424" w:type="dxa"/>
            <w:vAlign w:val="center"/>
          </w:tcPr>
          <w:p w14:paraId="1B8514CB">
            <w:pPr>
              <w:wordWrap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不接受。</w:t>
            </w:r>
          </w:p>
        </w:tc>
      </w:tr>
      <w:tr w14:paraId="327B6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vAlign w:val="center"/>
          </w:tcPr>
          <w:p w14:paraId="076B44D4">
            <w:pPr>
              <w:wordWrap w:val="0"/>
              <w:spacing w:line="276" w:lineRule="auto"/>
              <w:rPr>
                <w:rFonts w:hint="eastAsia" w:ascii="宋体" w:hAnsi="宋体" w:eastAsia="宋体" w:cs="Times New Roman"/>
                <w:color w:val="auto"/>
                <w:szCs w:val="21"/>
                <w:highlight w:val="none"/>
              </w:rPr>
            </w:pPr>
          </w:p>
        </w:tc>
        <w:tc>
          <w:tcPr>
            <w:tcW w:w="1124" w:type="dxa"/>
            <w:vMerge w:val="continue"/>
            <w:vAlign w:val="center"/>
          </w:tcPr>
          <w:p w14:paraId="5DC04042">
            <w:pPr>
              <w:wordWrap w:val="0"/>
              <w:spacing w:line="276" w:lineRule="auto"/>
              <w:rPr>
                <w:rFonts w:hint="eastAsia" w:ascii="宋体" w:hAnsi="宋体" w:eastAsia="宋体" w:cs="Times New Roman"/>
                <w:color w:val="auto"/>
                <w:szCs w:val="21"/>
                <w:highlight w:val="none"/>
              </w:rPr>
            </w:pPr>
          </w:p>
        </w:tc>
        <w:tc>
          <w:tcPr>
            <w:tcW w:w="2476" w:type="dxa"/>
            <w:vAlign w:val="center"/>
          </w:tcPr>
          <w:p w14:paraId="662A7847">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备选投标方案</w:t>
            </w:r>
          </w:p>
        </w:tc>
        <w:tc>
          <w:tcPr>
            <w:tcW w:w="5424" w:type="dxa"/>
            <w:vAlign w:val="center"/>
          </w:tcPr>
          <w:p w14:paraId="3D8E1B4B">
            <w:pPr>
              <w:wordWrap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除招标文件明确允许提交备选投标方案外，投标人不得提交备选投标方案。</w:t>
            </w:r>
          </w:p>
        </w:tc>
      </w:tr>
      <w:tr w14:paraId="58394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vAlign w:val="center"/>
          </w:tcPr>
          <w:p w14:paraId="3C255D65">
            <w:pPr>
              <w:wordWrap w:val="0"/>
              <w:spacing w:line="276" w:lineRule="auto"/>
              <w:rPr>
                <w:rFonts w:hint="eastAsia" w:ascii="宋体" w:hAnsi="宋体" w:eastAsia="宋体" w:cs="Times New Roman"/>
                <w:color w:val="auto"/>
                <w:szCs w:val="21"/>
                <w:highlight w:val="none"/>
              </w:rPr>
            </w:pPr>
          </w:p>
        </w:tc>
        <w:tc>
          <w:tcPr>
            <w:tcW w:w="1124" w:type="dxa"/>
            <w:vMerge w:val="continue"/>
            <w:vAlign w:val="center"/>
          </w:tcPr>
          <w:p w14:paraId="1AEBB4A3">
            <w:pPr>
              <w:wordWrap w:val="0"/>
              <w:spacing w:line="276" w:lineRule="auto"/>
              <w:rPr>
                <w:rFonts w:hint="eastAsia" w:ascii="宋体" w:hAnsi="宋体" w:eastAsia="宋体" w:cs="Times New Roman"/>
                <w:color w:val="auto"/>
                <w:szCs w:val="21"/>
                <w:highlight w:val="none"/>
              </w:rPr>
            </w:pPr>
          </w:p>
        </w:tc>
        <w:tc>
          <w:tcPr>
            <w:tcW w:w="2476" w:type="dxa"/>
            <w:vAlign w:val="center"/>
          </w:tcPr>
          <w:p w14:paraId="6FC0D315">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投标人硬件特征码</w:t>
            </w:r>
          </w:p>
        </w:tc>
        <w:tc>
          <w:tcPr>
            <w:tcW w:w="5424" w:type="dxa"/>
            <w:vAlign w:val="center"/>
          </w:tcPr>
          <w:p w14:paraId="3258946A">
            <w:pPr>
              <w:wordWrap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投标人与其他投标人加密打包投标文件硬件特征码不一致的（以广州交易集团有限公司（广州公共资源交易中心）交易平台开标系统的检索信息为准）。</w:t>
            </w:r>
          </w:p>
        </w:tc>
      </w:tr>
      <w:tr w14:paraId="3359D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restart"/>
            <w:vAlign w:val="center"/>
          </w:tcPr>
          <w:p w14:paraId="7176EBE2">
            <w:pPr>
              <w:wordWrap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2.1.2</w:t>
            </w:r>
          </w:p>
        </w:tc>
        <w:tc>
          <w:tcPr>
            <w:tcW w:w="1124" w:type="dxa"/>
            <w:vMerge w:val="restart"/>
            <w:vAlign w:val="center"/>
          </w:tcPr>
          <w:p w14:paraId="4C822564">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资格评审标准</w:t>
            </w:r>
          </w:p>
        </w:tc>
        <w:tc>
          <w:tcPr>
            <w:tcW w:w="2476" w:type="dxa"/>
            <w:vAlign w:val="center"/>
          </w:tcPr>
          <w:p w14:paraId="25F95FFE">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营业执照和组织机构代码证</w:t>
            </w:r>
          </w:p>
        </w:tc>
        <w:tc>
          <w:tcPr>
            <w:tcW w:w="5424" w:type="dxa"/>
            <w:vAlign w:val="center"/>
          </w:tcPr>
          <w:p w14:paraId="7730571F">
            <w:pPr>
              <w:wordWrap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符合第二章“投标人须知”第3.5.1项规定，具备有效的营业执照和组织机构代码证。按照“三证合一”或“五证合一”登记制度进行登记的投标人，可仅提供营业执照或事业单位法人证书。</w:t>
            </w:r>
          </w:p>
        </w:tc>
      </w:tr>
      <w:tr w14:paraId="36DEB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vAlign w:val="center"/>
          </w:tcPr>
          <w:p w14:paraId="7935A229">
            <w:pPr>
              <w:wordWrap w:val="0"/>
              <w:spacing w:line="276" w:lineRule="auto"/>
              <w:rPr>
                <w:rFonts w:hint="eastAsia" w:ascii="宋体" w:hAnsi="宋体" w:eastAsia="宋体" w:cs="Times New Roman"/>
                <w:color w:val="auto"/>
                <w:szCs w:val="21"/>
                <w:highlight w:val="none"/>
              </w:rPr>
            </w:pPr>
          </w:p>
        </w:tc>
        <w:tc>
          <w:tcPr>
            <w:tcW w:w="1124" w:type="dxa"/>
            <w:vMerge w:val="continue"/>
            <w:vAlign w:val="center"/>
          </w:tcPr>
          <w:p w14:paraId="3A17F5A8">
            <w:pPr>
              <w:wordWrap w:val="0"/>
              <w:spacing w:line="276" w:lineRule="auto"/>
              <w:rPr>
                <w:rFonts w:hint="eastAsia" w:ascii="宋体" w:hAnsi="宋体" w:eastAsia="宋体" w:cs="Times New Roman"/>
                <w:color w:val="auto"/>
                <w:szCs w:val="21"/>
                <w:highlight w:val="none"/>
              </w:rPr>
            </w:pPr>
          </w:p>
        </w:tc>
        <w:tc>
          <w:tcPr>
            <w:tcW w:w="2476" w:type="dxa"/>
            <w:vAlign w:val="center"/>
          </w:tcPr>
          <w:p w14:paraId="1FF72137">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资质要求</w:t>
            </w:r>
          </w:p>
        </w:tc>
        <w:tc>
          <w:tcPr>
            <w:tcW w:w="5424" w:type="dxa"/>
            <w:vAlign w:val="center"/>
          </w:tcPr>
          <w:p w14:paraId="689C2012">
            <w:pPr>
              <w:wordWrap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符合第二章“投标人须知”第</w:t>
            </w:r>
            <w:r>
              <w:rPr>
                <w:rFonts w:ascii="宋体" w:hAnsi="宋体" w:eastAsia="宋体" w:cs="Times New Roman"/>
                <w:color w:val="auto"/>
                <w:szCs w:val="21"/>
                <w:highlight w:val="none"/>
              </w:rPr>
              <w:t>1.4.1</w:t>
            </w:r>
            <w:r>
              <w:rPr>
                <w:rFonts w:hint="eastAsia" w:ascii="宋体" w:hAnsi="宋体" w:eastAsia="宋体" w:cs="Times New Roman"/>
                <w:color w:val="auto"/>
                <w:szCs w:val="21"/>
                <w:highlight w:val="none"/>
              </w:rPr>
              <w:t>项规定。</w:t>
            </w:r>
          </w:p>
        </w:tc>
      </w:tr>
      <w:tr w14:paraId="05211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vAlign w:val="center"/>
          </w:tcPr>
          <w:p w14:paraId="63DBD7A6">
            <w:pPr>
              <w:wordWrap w:val="0"/>
              <w:spacing w:line="276" w:lineRule="auto"/>
              <w:rPr>
                <w:rFonts w:hint="eastAsia" w:ascii="宋体" w:hAnsi="宋体" w:eastAsia="宋体" w:cs="Times New Roman"/>
                <w:color w:val="auto"/>
                <w:szCs w:val="21"/>
                <w:highlight w:val="none"/>
              </w:rPr>
            </w:pPr>
          </w:p>
        </w:tc>
        <w:tc>
          <w:tcPr>
            <w:tcW w:w="1124" w:type="dxa"/>
            <w:vMerge w:val="continue"/>
            <w:vAlign w:val="center"/>
          </w:tcPr>
          <w:p w14:paraId="4712818E">
            <w:pPr>
              <w:wordWrap w:val="0"/>
              <w:spacing w:line="276" w:lineRule="auto"/>
              <w:rPr>
                <w:rFonts w:hint="eastAsia" w:ascii="宋体" w:hAnsi="宋体" w:eastAsia="宋体" w:cs="Times New Roman"/>
                <w:color w:val="auto"/>
                <w:szCs w:val="21"/>
                <w:highlight w:val="none"/>
              </w:rPr>
            </w:pPr>
          </w:p>
        </w:tc>
        <w:tc>
          <w:tcPr>
            <w:tcW w:w="2476" w:type="dxa"/>
            <w:vAlign w:val="center"/>
          </w:tcPr>
          <w:p w14:paraId="12A57282">
            <w:pPr>
              <w:wordWrap w:val="0"/>
              <w:spacing w:line="276" w:lineRule="auto"/>
              <w:jc w:val="center"/>
              <w:rPr>
                <w:rFonts w:hint="eastAsia" w:ascii="宋体" w:hAnsi="宋体" w:eastAsia="宋体" w:cs="Times New Roman"/>
                <w:strike/>
                <w:color w:val="auto"/>
                <w:szCs w:val="21"/>
                <w:highlight w:val="none"/>
              </w:rPr>
            </w:pPr>
            <w:r>
              <w:rPr>
                <w:rFonts w:hint="eastAsia" w:ascii="宋体" w:hAnsi="宋体" w:eastAsia="宋体" w:cs="Times New Roman"/>
                <w:strike/>
                <w:color w:val="auto"/>
                <w:szCs w:val="21"/>
                <w:highlight w:val="none"/>
              </w:rPr>
              <w:t>业绩要求</w:t>
            </w:r>
          </w:p>
        </w:tc>
        <w:tc>
          <w:tcPr>
            <w:tcW w:w="5424" w:type="dxa"/>
            <w:vAlign w:val="center"/>
          </w:tcPr>
          <w:p w14:paraId="49581842">
            <w:pPr>
              <w:wordWrap w:val="0"/>
              <w:spacing w:line="276" w:lineRule="auto"/>
              <w:rPr>
                <w:rFonts w:hint="eastAsia" w:ascii="宋体" w:hAnsi="宋体" w:eastAsia="宋体" w:cs="Times New Roman"/>
                <w:strike/>
                <w:color w:val="auto"/>
                <w:szCs w:val="21"/>
                <w:highlight w:val="none"/>
              </w:rPr>
            </w:pPr>
            <w:r>
              <w:rPr>
                <w:rFonts w:hint="eastAsia" w:ascii="宋体" w:hAnsi="宋体" w:eastAsia="宋体" w:cs="Times New Roman"/>
                <w:strike/>
                <w:color w:val="auto"/>
                <w:szCs w:val="21"/>
                <w:highlight w:val="none"/>
              </w:rPr>
              <w:t>符合第二章“投标人须知”第</w:t>
            </w:r>
            <w:r>
              <w:rPr>
                <w:rFonts w:ascii="宋体" w:hAnsi="宋体" w:eastAsia="宋体" w:cs="Times New Roman"/>
                <w:strike/>
                <w:color w:val="auto"/>
                <w:szCs w:val="21"/>
                <w:highlight w:val="none"/>
              </w:rPr>
              <w:t>1.4.1</w:t>
            </w:r>
            <w:r>
              <w:rPr>
                <w:rFonts w:hint="eastAsia" w:ascii="宋体" w:hAnsi="宋体" w:eastAsia="宋体" w:cs="Times New Roman"/>
                <w:strike/>
                <w:color w:val="auto"/>
                <w:szCs w:val="21"/>
                <w:highlight w:val="none"/>
              </w:rPr>
              <w:t>项规定。</w:t>
            </w:r>
          </w:p>
        </w:tc>
      </w:tr>
      <w:tr w14:paraId="55F0B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vAlign w:val="center"/>
          </w:tcPr>
          <w:p w14:paraId="1D436DEC">
            <w:pPr>
              <w:wordWrap w:val="0"/>
              <w:spacing w:line="276" w:lineRule="auto"/>
              <w:rPr>
                <w:rFonts w:hint="eastAsia" w:ascii="宋体" w:hAnsi="宋体" w:eastAsia="宋体" w:cs="Times New Roman"/>
                <w:color w:val="auto"/>
                <w:szCs w:val="21"/>
                <w:highlight w:val="none"/>
              </w:rPr>
            </w:pPr>
          </w:p>
        </w:tc>
        <w:tc>
          <w:tcPr>
            <w:tcW w:w="1124" w:type="dxa"/>
            <w:vMerge w:val="continue"/>
            <w:vAlign w:val="center"/>
          </w:tcPr>
          <w:p w14:paraId="0E388D5F">
            <w:pPr>
              <w:wordWrap w:val="0"/>
              <w:spacing w:line="276" w:lineRule="auto"/>
              <w:rPr>
                <w:rFonts w:hint="eastAsia" w:ascii="宋体" w:hAnsi="宋体" w:eastAsia="宋体" w:cs="Times New Roman"/>
                <w:color w:val="auto"/>
                <w:szCs w:val="21"/>
                <w:highlight w:val="none"/>
              </w:rPr>
            </w:pPr>
          </w:p>
        </w:tc>
        <w:tc>
          <w:tcPr>
            <w:tcW w:w="2476" w:type="dxa"/>
            <w:vAlign w:val="center"/>
          </w:tcPr>
          <w:p w14:paraId="031F43E3">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总监理工程师</w:t>
            </w:r>
          </w:p>
        </w:tc>
        <w:tc>
          <w:tcPr>
            <w:tcW w:w="5424" w:type="dxa"/>
            <w:vAlign w:val="center"/>
          </w:tcPr>
          <w:p w14:paraId="0C617EFF">
            <w:pPr>
              <w:wordWrap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符合第二章“投标人须知”第</w:t>
            </w:r>
            <w:r>
              <w:rPr>
                <w:rFonts w:ascii="宋体" w:hAnsi="宋体" w:eastAsia="宋体" w:cs="Times New Roman"/>
                <w:color w:val="auto"/>
                <w:szCs w:val="21"/>
                <w:highlight w:val="none"/>
              </w:rPr>
              <w:t>1.4.1</w:t>
            </w:r>
            <w:r>
              <w:rPr>
                <w:rFonts w:hint="eastAsia" w:ascii="宋体" w:hAnsi="宋体" w:eastAsia="宋体" w:cs="Times New Roman"/>
                <w:color w:val="auto"/>
                <w:szCs w:val="21"/>
                <w:highlight w:val="none"/>
              </w:rPr>
              <w:t>项规定。</w:t>
            </w:r>
          </w:p>
        </w:tc>
      </w:tr>
      <w:tr w14:paraId="469B3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vAlign w:val="center"/>
          </w:tcPr>
          <w:p w14:paraId="7B4EB443">
            <w:pPr>
              <w:wordWrap w:val="0"/>
              <w:spacing w:line="276" w:lineRule="auto"/>
              <w:rPr>
                <w:rFonts w:hint="eastAsia" w:ascii="宋体" w:hAnsi="宋体" w:eastAsia="宋体" w:cs="Times New Roman"/>
                <w:color w:val="auto"/>
                <w:szCs w:val="21"/>
                <w:highlight w:val="none"/>
              </w:rPr>
            </w:pPr>
          </w:p>
        </w:tc>
        <w:tc>
          <w:tcPr>
            <w:tcW w:w="1124" w:type="dxa"/>
            <w:vMerge w:val="continue"/>
            <w:vAlign w:val="center"/>
          </w:tcPr>
          <w:p w14:paraId="3A3FB614">
            <w:pPr>
              <w:wordWrap w:val="0"/>
              <w:spacing w:line="276" w:lineRule="auto"/>
              <w:rPr>
                <w:rFonts w:hint="eastAsia" w:ascii="宋体" w:hAnsi="宋体" w:eastAsia="宋体" w:cs="Times New Roman"/>
                <w:color w:val="auto"/>
                <w:szCs w:val="21"/>
                <w:highlight w:val="none"/>
              </w:rPr>
            </w:pPr>
          </w:p>
        </w:tc>
        <w:tc>
          <w:tcPr>
            <w:tcW w:w="2476" w:type="dxa"/>
            <w:vAlign w:val="center"/>
          </w:tcPr>
          <w:p w14:paraId="09B3D874">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其他要求</w:t>
            </w:r>
          </w:p>
        </w:tc>
        <w:tc>
          <w:tcPr>
            <w:tcW w:w="5424" w:type="dxa"/>
            <w:vAlign w:val="center"/>
          </w:tcPr>
          <w:p w14:paraId="10451C48">
            <w:pPr>
              <w:wordWrap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符合第二章“投标人须知”第</w:t>
            </w:r>
            <w:r>
              <w:rPr>
                <w:rFonts w:ascii="宋体" w:hAnsi="宋体" w:eastAsia="宋体" w:cs="Times New Roman"/>
                <w:color w:val="auto"/>
                <w:szCs w:val="21"/>
                <w:highlight w:val="none"/>
              </w:rPr>
              <w:t>1.4.1</w:t>
            </w:r>
            <w:r>
              <w:rPr>
                <w:rFonts w:hint="eastAsia" w:ascii="宋体" w:hAnsi="宋体" w:eastAsia="宋体" w:cs="Times New Roman"/>
                <w:color w:val="auto"/>
                <w:szCs w:val="21"/>
                <w:highlight w:val="none"/>
              </w:rPr>
              <w:t>项规定。</w:t>
            </w:r>
          </w:p>
        </w:tc>
      </w:tr>
      <w:tr w14:paraId="6A675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vAlign w:val="center"/>
          </w:tcPr>
          <w:p w14:paraId="65997FCA">
            <w:pPr>
              <w:wordWrap w:val="0"/>
              <w:spacing w:line="276" w:lineRule="auto"/>
              <w:rPr>
                <w:rFonts w:hint="eastAsia" w:ascii="宋体" w:hAnsi="宋体" w:eastAsia="宋体" w:cs="Times New Roman"/>
                <w:color w:val="auto"/>
                <w:szCs w:val="21"/>
                <w:highlight w:val="none"/>
              </w:rPr>
            </w:pPr>
          </w:p>
        </w:tc>
        <w:tc>
          <w:tcPr>
            <w:tcW w:w="1124" w:type="dxa"/>
            <w:vMerge w:val="continue"/>
            <w:vAlign w:val="center"/>
          </w:tcPr>
          <w:p w14:paraId="5B640BB5">
            <w:pPr>
              <w:wordWrap w:val="0"/>
              <w:spacing w:line="276" w:lineRule="auto"/>
              <w:rPr>
                <w:rFonts w:hint="eastAsia" w:ascii="宋体" w:hAnsi="宋体" w:eastAsia="宋体" w:cs="Times New Roman"/>
                <w:color w:val="auto"/>
                <w:szCs w:val="21"/>
                <w:highlight w:val="none"/>
              </w:rPr>
            </w:pPr>
          </w:p>
        </w:tc>
        <w:tc>
          <w:tcPr>
            <w:tcW w:w="2476" w:type="dxa"/>
            <w:vAlign w:val="center"/>
          </w:tcPr>
          <w:p w14:paraId="11B63EFC">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联合体投标人</w:t>
            </w:r>
          </w:p>
        </w:tc>
        <w:tc>
          <w:tcPr>
            <w:tcW w:w="5424" w:type="dxa"/>
            <w:vAlign w:val="center"/>
          </w:tcPr>
          <w:p w14:paraId="3A40654F">
            <w:pPr>
              <w:wordWrap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不接受。</w:t>
            </w:r>
          </w:p>
        </w:tc>
      </w:tr>
      <w:tr w14:paraId="138A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vAlign w:val="center"/>
          </w:tcPr>
          <w:p w14:paraId="1A9EF4AA">
            <w:pPr>
              <w:wordWrap w:val="0"/>
              <w:spacing w:line="276" w:lineRule="auto"/>
              <w:rPr>
                <w:rFonts w:hint="eastAsia" w:ascii="宋体" w:hAnsi="宋体" w:eastAsia="宋体" w:cs="Times New Roman"/>
                <w:color w:val="auto"/>
                <w:szCs w:val="21"/>
                <w:highlight w:val="none"/>
              </w:rPr>
            </w:pPr>
          </w:p>
        </w:tc>
        <w:tc>
          <w:tcPr>
            <w:tcW w:w="1124" w:type="dxa"/>
            <w:vMerge w:val="continue"/>
            <w:vAlign w:val="center"/>
          </w:tcPr>
          <w:p w14:paraId="39E33A1C">
            <w:pPr>
              <w:wordWrap w:val="0"/>
              <w:spacing w:line="276" w:lineRule="auto"/>
              <w:rPr>
                <w:rFonts w:hint="eastAsia" w:ascii="宋体" w:hAnsi="宋体" w:eastAsia="宋体" w:cs="Times New Roman"/>
                <w:color w:val="auto"/>
                <w:szCs w:val="21"/>
                <w:highlight w:val="none"/>
              </w:rPr>
            </w:pPr>
          </w:p>
        </w:tc>
        <w:tc>
          <w:tcPr>
            <w:tcW w:w="2476" w:type="dxa"/>
            <w:vAlign w:val="center"/>
          </w:tcPr>
          <w:p w14:paraId="6652E798">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不存在禁止投标的情形</w:t>
            </w:r>
          </w:p>
        </w:tc>
        <w:tc>
          <w:tcPr>
            <w:tcW w:w="5424" w:type="dxa"/>
            <w:vAlign w:val="center"/>
          </w:tcPr>
          <w:p w14:paraId="21AB81B3">
            <w:pPr>
              <w:wordWrap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不存在第二章“投标人须知”第</w:t>
            </w:r>
            <w:r>
              <w:rPr>
                <w:rFonts w:ascii="宋体" w:hAnsi="宋体" w:eastAsia="宋体" w:cs="Times New Roman"/>
                <w:color w:val="auto"/>
                <w:szCs w:val="21"/>
                <w:highlight w:val="none"/>
              </w:rPr>
              <w:t>1.4.3</w:t>
            </w:r>
            <w:r>
              <w:rPr>
                <w:rFonts w:hint="eastAsia" w:ascii="宋体" w:hAnsi="宋体" w:eastAsia="宋体" w:cs="Times New Roman"/>
                <w:color w:val="auto"/>
                <w:szCs w:val="21"/>
                <w:highlight w:val="none"/>
              </w:rPr>
              <w:t>项规定的任何一种情形。</w:t>
            </w:r>
          </w:p>
        </w:tc>
      </w:tr>
      <w:tr w14:paraId="517A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vAlign w:val="center"/>
          </w:tcPr>
          <w:p w14:paraId="292F2A45">
            <w:pPr>
              <w:wordWrap w:val="0"/>
              <w:spacing w:line="276" w:lineRule="auto"/>
              <w:rPr>
                <w:rFonts w:hint="eastAsia" w:ascii="宋体" w:hAnsi="宋体" w:eastAsia="宋体" w:cs="Times New Roman"/>
                <w:color w:val="auto"/>
                <w:szCs w:val="21"/>
                <w:highlight w:val="none"/>
              </w:rPr>
            </w:pPr>
          </w:p>
        </w:tc>
        <w:tc>
          <w:tcPr>
            <w:tcW w:w="1124" w:type="dxa"/>
            <w:vMerge w:val="continue"/>
            <w:vAlign w:val="center"/>
          </w:tcPr>
          <w:p w14:paraId="14EFF40E">
            <w:pPr>
              <w:wordWrap w:val="0"/>
              <w:spacing w:line="276" w:lineRule="auto"/>
              <w:rPr>
                <w:rFonts w:hint="eastAsia" w:ascii="宋体" w:hAnsi="宋体" w:eastAsia="宋体" w:cs="Times New Roman"/>
                <w:color w:val="auto"/>
                <w:szCs w:val="21"/>
                <w:highlight w:val="none"/>
              </w:rPr>
            </w:pPr>
          </w:p>
        </w:tc>
        <w:tc>
          <w:tcPr>
            <w:tcW w:w="2476" w:type="dxa"/>
            <w:vAlign w:val="center"/>
          </w:tcPr>
          <w:p w14:paraId="59BA7605">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在投标截止时间前，投标人未被列入拖欠农民工工资失信联合惩戒对象名单</w:t>
            </w:r>
          </w:p>
        </w:tc>
        <w:tc>
          <w:tcPr>
            <w:tcW w:w="5424" w:type="dxa"/>
            <w:vAlign w:val="center"/>
          </w:tcPr>
          <w:p w14:paraId="32282AA2">
            <w:pPr>
              <w:wordWrap w:val="0"/>
              <w:spacing w:line="276" w:lineRule="auto"/>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投标人无需提供资料，按交易系统比对的结果进行评审</w:t>
            </w:r>
          </w:p>
        </w:tc>
      </w:tr>
      <w:tr w14:paraId="1A2C1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vAlign w:val="center"/>
          </w:tcPr>
          <w:p w14:paraId="4EEC4806">
            <w:pPr>
              <w:wordWrap w:val="0"/>
              <w:spacing w:line="276" w:lineRule="auto"/>
              <w:rPr>
                <w:rFonts w:hint="eastAsia" w:ascii="宋体" w:hAnsi="宋体" w:eastAsia="宋体" w:cs="Times New Roman"/>
                <w:color w:val="auto"/>
                <w:szCs w:val="21"/>
                <w:highlight w:val="none"/>
              </w:rPr>
            </w:pPr>
          </w:p>
        </w:tc>
        <w:tc>
          <w:tcPr>
            <w:tcW w:w="1124" w:type="dxa"/>
            <w:vMerge w:val="continue"/>
            <w:vAlign w:val="center"/>
          </w:tcPr>
          <w:p w14:paraId="7BF939BA">
            <w:pPr>
              <w:wordWrap w:val="0"/>
              <w:spacing w:line="276" w:lineRule="auto"/>
              <w:rPr>
                <w:rFonts w:hint="eastAsia" w:ascii="宋体" w:hAnsi="宋体" w:eastAsia="宋体" w:cs="Times New Roman"/>
                <w:color w:val="auto"/>
                <w:szCs w:val="21"/>
                <w:highlight w:val="none"/>
              </w:rPr>
            </w:pPr>
          </w:p>
        </w:tc>
        <w:tc>
          <w:tcPr>
            <w:tcW w:w="2476" w:type="dxa"/>
            <w:vAlign w:val="center"/>
          </w:tcPr>
          <w:p w14:paraId="3D146226">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政府投资项目，在投标截止时间前，投标人未被列入“失信被执行人”名单</w:t>
            </w:r>
          </w:p>
        </w:tc>
        <w:tc>
          <w:tcPr>
            <w:tcW w:w="5424" w:type="dxa"/>
            <w:vAlign w:val="center"/>
          </w:tcPr>
          <w:p w14:paraId="6D3785F3">
            <w:pPr>
              <w:wordWrap w:val="0"/>
              <w:spacing w:line="276" w:lineRule="auto"/>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投标人无需提供资料，按交易系统比对的结果进行评审</w:t>
            </w:r>
          </w:p>
        </w:tc>
      </w:tr>
      <w:tr w14:paraId="3CAE2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restart"/>
            <w:vAlign w:val="center"/>
          </w:tcPr>
          <w:p w14:paraId="01F60571">
            <w:pPr>
              <w:wordWrap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2.1.3</w:t>
            </w:r>
          </w:p>
        </w:tc>
        <w:tc>
          <w:tcPr>
            <w:tcW w:w="1124" w:type="dxa"/>
            <w:vMerge w:val="restart"/>
            <w:vAlign w:val="center"/>
          </w:tcPr>
          <w:p w14:paraId="35C8344D">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响应性评审标准</w:t>
            </w:r>
          </w:p>
        </w:tc>
        <w:tc>
          <w:tcPr>
            <w:tcW w:w="2476" w:type="dxa"/>
            <w:vAlign w:val="center"/>
          </w:tcPr>
          <w:p w14:paraId="2CC177FB">
            <w:pPr>
              <w:wordWrap w:val="0"/>
              <w:spacing w:line="276" w:lineRule="auto"/>
              <w:jc w:val="center"/>
              <w:rPr>
                <w:rFonts w:hint="eastAsia" w:ascii="宋体" w:hAnsi="宋体" w:eastAsia="宋体" w:cs="Times New Roman"/>
                <w:strike/>
                <w:color w:val="auto"/>
                <w:szCs w:val="21"/>
                <w:highlight w:val="none"/>
              </w:rPr>
            </w:pPr>
            <w:r>
              <w:rPr>
                <w:rFonts w:hint="eastAsia" w:ascii="宋体" w:hAnsi="宋体" w:eastAsia="宋体" w:cs="Times New Roman"/>
                <w:color w:val="auto"/>
                <w:szCs w:val="21"/>
                <w:highlight w:val="none"/>
              </w:rPr>
              <w:t>投标报价</w:t>
            </w:r>
          </w:p>
        </w:tc>
        <w:tc>
          <w:tcPr>
            <w:tcW w:w="5424" w:type="dxa"/>
            <w:vAlign w:val="center"/>
          </w:tcPr>
          <w:p w14:paraId="2A5074D0">
            <w:pPr>
              <w:wordWrap w:val="0"/>
              <w:spacing w:line="276" w:lineRule="auto"/>
              <w:rPr>
                <w:rFonts w:hint="eastAsia" w:ascii="宋体" w:hAnsi="宋体" w:eastAsia="宋体" w:cs="Times New Roman"/>
                <w:strike/>
                <w:color w:val="auto"/>
                <w:szCs w:val="21"/>
                <w:highlight w:val="none"/>
              </w:rPr>
            </w:pPr>
            <w:r>
              <w:rPr>
                <w:rFonts w:hint="eastAsia" w:ascii="宋体" w:hAnsi="宋体" w:eastAsia="宋体" w:cs="Times New Roman"/>
                <w:color w:val="auto"/>
                <w:szCs w:val="21"/>
                <w:highlight w:val="none"/>
              </w:rPr>
              <w:t>符合第二章“投标人须知”第3.2款规定；</w:t>
            </w:r>
            <w:r>
              <w:rPr>
                <w:rFonts w:hint="eastAsia" w:ascii="宋体" w:hAnsi="宋体" w:eastAsia="宋体" w:cs="Times New Roman"/>
                <w:color w:val="auto"/>
                <w:szCs w:val="21"/>
                <w:highlight w:val="none"/>
                <w:u w:val="single"/>
              </w:rPr>
              <w:t>对同一招标项目没有出现两个或以上的投标报价，且修正无依据。</w:t>
            </w:r>
          </w:p>
        </w:tc>
      </w:tr>
      <w:tr w14:paraId="5A4F1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vAlign w:val="center"/>
          </w:tcPr>
          <w:p w14:paraId="60FCBA81">
            <w:pPr>
              <w:wordWrap w:val="0"/>
              <w:spacing w:line="276" w:lineRule="auto"/>
              <w:jc w:val="center"/>
              <w:rPr>
                <w:rFonts w:hint="eastAsia" w:ascii="宋体" w:hAnsi="宋体" w:eastAsia="宋体" w:cs="Times New Roman"/>
                <w:color w:val="auto"/>
                <w:szCs w:val="21"/>
                <w:highlight w:val="none"/>
              </w:rPr>
            </w:pPr>
          </w:p>
        </w:tc>
        <w:tc>
          <w:tcPr>
            <w:tcW w:w="1124" w:type="dxa"/>
            <w:vMerge w:val="continue"/>
            <w:vAlign w:val="center"/>
          </w:tcPr>
          <w:p w14:paraId="5974D73E">
            <w:pPr>
              <w:wordWrap w:val="0"/>
              <w:spacing w:line="276" w:lineRule="auto"/>
              <w:jc w:val="center"/>
              <w:rPr>
                <w:rFonts w:hint="eastAsia" w:ascii="宋体" w:hAnsi="宋体" w:eastAsia="宋体" w:cs="Times New Roman"/>
                <w:color w:val="auto"/>
                <w:szCs w:val="21"/>
                <w:highlight w:val="none"/>
              </w:rPr>
            </w:pPr>
          </w:p>
        </w:tc>
        <w:tc>
          <w:tcPr>
            <w:tcW w:w="2476" w:type="dxa"/>
            <w:vAlign w:val="center"/>
          </w:tcPr>
          <w:p w14:paraId="549CB4C0">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投标内容</w:t>
            </w:r>
          </w:p>
        </w:tc>
        <w:tc>
          <w:tcPr>
            <w:tcW w:w="5424" w:type="dxa"/>
            <w:vAlign w:val="center"/>
          </w:tcPr>
          <w:p w14:paraId="4292A508">
            <w:pPr>
              <w:wordWrap w:val="0"/>
              <w:spacing w:line="276"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符合第二章“投标人须知”第</w:t>
            </w:r>
            <w:r>
              <w:rPr>
                <w:rFonts w:ascii="宋体" w:hAnsi="宋体" w:eastAsia="宋体" w:cs="Times New Roman"/>
                <w:color w:val="auto"/>
                <w:szCs w:val="21"/>
                <w:highlight w:val="none"/>
              </w:rPr>
              <w:t xml:space="preserve"> 1.3.1 </w:t>
            </w:r>
            <w:r>
              <w:rPr>
                <w:rFonts w:hint="eastAsia" w:ascii="宋体" w:hAnsi="宋体" w:eastAsia="宋体" w:cs="Times New Roman"/>
                <w:color w:val="auto"/>
                <w:szCs w:val="21"/>
                <w:highlight w:val="none"/>
              </w:rPr>
              <w:t>项规定；投标文件按规定的格式填写，内容齐全或关键字迹清晰、容易辩认。</w:t>
            </w:r>
          </w:p>
        </w:tc>
      </w:tr>
      <w:tr w14:paraId="6DEE3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vAlign w:val="center"/>
          </w:tcPr>
          <w:p w14:paraId="260CC78F">
            <w:pPr>
              <w:wordWrap w:val="0"/>
              <w:spacing w:line="276" w:lineRule="auto"/>
              <w:jc w:val="center"/>
              <w:rPr>
                <w:rFonts w:hint="eastAsia" w:ascii="宋体" w:hAnsi="宋体" w:eastAsia="宋体" w:cs="Times New Roman"/>
                <w:color w:val="auto"/>
                <w:szCs w:val="21"/>
                <w:highlight w:val="none"/>
              </w:rPr>
            </w:pPr>
          </w:p>
        </w:tc>
        <w:tc>
          <w:tcPr>
            <w:tcW w:w="1124" w:type="dxa"/>
            <w:vMerge w:val="continue"/>
            <w:vAlign w:val="center"/>
          </w:tcPr>
          <w:p w14:paraId="45CB1055">
            <w:pPr>
              <w:wordWrap w:val="0"/>
              <w:spacing w:line="276" w:lineRule="auto"/>
              <w:jc w:val="center"/>
              <w:rPr>
                <w:rFonts w:hint="eastAsia" w:ascii="宋体" w:hAnsi="宋体" w:eastAsia="宋体" w:cs="Times New Roman"/>
                <w:color w:val="auto"/>
                <w:szCs w:val="21"/>
                <w:highlight w:val="none"/>
              </w:rPr>
            </w:pPr>
          </w:p>
        </w:tc>
        <w:tc>
          <w:tcPr>
            <w:tcW w:w="2476" w:type="dxa"/>
            <w:vAlign w:val="center"/>
          </w:tcPr>
          <w:p w14:paraId="48ABE4A1">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监理服务期限</w:t>
            </w:r>
          </w:p>
        </w:tc>
        <w:tc>
          <w:tcPr>
            <w:tcW w:w="5424" w:type="dxa"/>
            <w:vAlign w:val="center"/>
          </w:tcPr>
          <w:p w14:paraId="5AD1FCB7">
            <w:pPr>
              <w:wordWrap w:val="0"/>
              <w:spacing w:line="276"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符合第二章“投标人须知”第</w:t>
            </w:r>
            <w:r>
              <w:rPr>
                <w:rFonts w:ascii="宋体" w:hAnsi="宋体" w:eastAsia="宋体" w:cs="Times New Roman"/>
                <w:color w:val="auto"/>
                <w:szCs w:val="21"/>
                <w:highlight w:val="none"/>
              </w:rPr>
              <w:t>1.3.2</w:t>
            </w:r>
            <w:r>
              <w:rPr>
                <w:rFonts w:hint="eastAsia" w:ascii="宋体" w:hAnsi="宋体" w:eastAsia="宋体" w:cs="Times New Roman"/>
                <w:color w:val="auto"/>
                <w:szCs w:val="21"/>
                <w:highlight w:val="none"/>
              </w:rPr>
              <w:t>项规定。</w:t>
            </w:r>
          </w:p>
        </w:tc>
      </w:tr>
      <w:tr w14:paraId="08330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vAlign w:val="center"/>
          </w:tcPr>
          <w:p w14:paraId="2578CC68">
            <w:pPr>
              <w:wordWrap w:val="0"/>
              <w:spacing w:line="276" w:lineRule="auto"/>
              <w:jc w:val="center"/>
              <w:rPr>
                <w:rFonts w:hint="eastAsia" w:ascii="宋体" w:hAnsi="宋体" w:eastAsia="宋体" w:cs="Times New Roman"/>
                <w:color w:val="auto"/>
                <w:szCs w:val="21"/>
                <w:highlight w:val="none"/>
              </w:rPr>
            </w:pPr>
          </w:p>
        </w:tc>
        <w:tc>
          <w:tcPr>
            <w:tcW w:w="1124" w:type="dxa"/>
            <w:vMerge w:val="continue"/>
            <w:vAlign w:val="center"/>
          </w:tcPr>
          <w:p w14:paraId="114A40F4">
            <w:pPr>
              <w:wordWrap w:val="0"/>
              <w:spacing w:line="276" w:lineRule="auto"/>
              <w:jc w:val="center"/>
              <w:rPr>
                <w:rFonts w:hint="eastAsia" w:ascii="宋体" w:hAnsi="宋体" w:eastAsia="宋体" w:cs="Times New Roman"/>
                <w:color w:val="auto"/>
                <w:szCs w:val="21"/>
                <w:highlight w:val="none"/>
              </w:rPr>
            </w:pPr>
          </w:p>
        </w:tc>
        <w:tc>
          <w:tcPr>
            <w:tcW w:w="2476" w:type="dxa"/>
            <w:vAlign w:val="center"/>
          </w:tcPr>
          <w:p w14:paraId="4D304A59">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质量标准</w:t>
            </w:r>
          </w:p>
        </w:tc>
        <w:tc>
          <w:tcPr>
            <w:tcW w:w="5424" w:type="dxa"/>
            <w:vAlign w:val="center"/>
          </w:tcPr>
          <w:p w14:paraId="568EF4A9">
            <w:pPr>
              <w:wordWrap w:val="0"/>
              <w:spacing w:line="276"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符合第二章“投标人须知”第</w:t>
            </w:r>
            <w:r>
              <w:rPr>
                <w:rFonts w:ascii="宋体" w:hAnsi="宋体" w:eastAsia="宋体" w:cs="Times New Roman"/>
                <w:color w:val="auto"/>
                <w:szCs w:val="21"/>
                <w:highlight w:val="none"/>
              </w:rPr>
              <w:t>1.3.3</w:t>
            </w:r>
            <w:r>
              <w:rPr>
                <w:rFonts w:hint="eastAsia" w:ascii="宋体" w:hAnsi="宋体" w:eastAsia="宋体" w:cs="Times New Roman"/>
                <w:color w:val="auto"/>
                <w:szCs w:val="21"/>
                <w:highlight w:val="none"/>
              </w:rPr>
              <w:t>项规定。</w:t>
            </w:r>
          </w:p>
        </w:tc>
      </w:tr>
      <w:tr w14:paraId="410A2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vAlign w:val="center"/>
          </w:tcPr>
          <w:p w14:paraId="4CA274B0">
            <w:pPr>
              <w:wordWrap w:val="0"/>
              <w:spacing w:line="276" w:lineRule="auto"/>
              <w:rPr>
                <w:rFonts w:hint="eastAsia" w:ascii="宋体" w:hAnsi="宋体" w:eastAsia="宋体" w:cs="Times New Roman"/>
                <w:color w:val="auto"/>
                <w:szCs w:val="21"/>
                <w:highlight w:val="none"/>
              </w:rPr>
            </w:pPr>
          </w:p>
        </w:tc>
        <w:tc>
          <w:tcPr>
            <w:tcW w:w="1124" w:type="dxa"/>
            <w:vMerge w:val="continue"/>
            <w:vAlign w:val="center"/>
          </w:tcPr>
          <w:p w14:paraId="5337B6C4">
            <w:pPr>
              <w:wordWrap w:val="0"/>
              <w:spacing w:line="276" w:lineRule="auto"/>
              <w:rPr>
                <w:rFonts w:hint="eastAsia" w:ascii="宋体" w:hAnsi="宋体" w:eastAsia="宋体" w:cs="Times New Roman"/>
                <w:color w:val="auto"/>
                <w:szCs w:val="21"/>
                <w:highlight w:val="none"/>
              </w:rPr>
            </w:pPr>
          </w:p>
        </w:tc>
        <w:tc>
          <w:tcPr>
            <w:tcW w:w="2476" w:type="dxa"/>
            <w:vAlign w:val="center"/>
          </w:tcPr>
          <w:p w14:paraId="7568F8F8">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投标有效期</w:t>
            </w:r>
          </w:p>
        </w:tc>
        <w:tc>
          <w:tcPr>
            <w:tcW w:w="5424" w:type="dxa"/>
            <w:vAlign w:val="center"/>
          </w:tcPr>
          <w:p w14:paraId="4F617C3B">
            <w:pPr>
              <w:wordWrap w:val="0"/>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符合第二章“投标人须知”第</w:t>
            </w:r>
            <w:r>
              <w:rPr>
                <w:rFonts w:ascii="宋体" w:hAnsi="宋体" w:eastAsia="宋体" w:cs="Times New Roman"/>
                <w:color w:val="auto"/>
                <w:szCs w:val="21"/>
                <w:highlight w:val="none"/>
              </w:rPr>
              <w:t>3.3.1</w:t>
            </w:r>
            <w:r>
              <w:rPr>
                <w:rFonts w:hint="eastAsia" w:ascii="宋体" w:hAnsi="宋体" w:eastAsia="宋体" w:cs="Times New Roman"/>
                <w:color w:val="auto"/>
                <w:szCs w:val="21"/>
                <w:highlight w:val="none"/>
              </w:rPr>
              <w:t>项规定。</w:t>
            </w:r>
          </w:p>
        </w:tc>
      </w:tr>
      <w:tr w14:paraId="2D72D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vAlign w:val="center"/>
          </w:tcPr>
          <w:p w14:paraId="47E53A31">
            <w:pPr>
              <w:wordWrap w:val="0"/>
              <w:spacing w:line="276" w:lineRule="auto"/>
              <w:rPr>
                <w:rFonts w:hint="eastAsia" w:ascii="宋体" w:hAnsi="宋体" w:eastAsia="宋体" w:cs="Times New Roman"/>
                <w:strike/>
                <w:color w:val="auto"/>
                <w:szCs w:val="21"/>
                <w:highlight w:val="none"/>
              </w:rPr>
            </w:pPr>
          </w:p>
        </w:tc>
        <w:tc>
          <w:tcPr>
            <w:tcW w:w="1124" w:type="dxa"/>
            <w:vMerge w:val="continue"/>
            <w:vAlign w:val="center"/>
          </w:tcPr>
          <w:p w14:paraId="41811117">
            <w:pPr>
              <w:wordWrap w:val="0"/>
              <w:spacing w:line="276" w:lineRule="auto"/>
              <w:rPr>
                <w:rFonts w:hint="eastAsia" w:ascii="宋体" w:hAnsi="宋体" w:eastAsia="宋体" w:cs="Times New Roman"/>
                <w:strike/>
                <w:color w:val="auto"/>
                <w:szCs w:val="21"/>
                <w:highlight w:val="none"/>
              </w:rPr>
            </w:pPr>
          </w:p>
        </w:tc>
        <w:tc>
          <w:tcPr>
            <w:tcW w:w="2476" w:type="dxa"/>
            <w:vAlign w:val="center"/>
          </w:tcPr>
          <w:p w14:paraId="4284A22F">
            <w:pPr>
              <w:wordWrap w:val="0"/>
              <w:spacing w:line="276" w:lineRule="auto"/>
              <w:jc w:val="center"/>
              <w:rPr>
                <w:rFonts w:hint="eastAsia" w:ascii="宋体" w:hAnsi="宋体" w:eastAsia="宋体" w:cs="Times New Roman"/>
                <w:strike/>
                <w:color w:val="auto"/>
                <w:szCs w:val="21"/>
                <w:highlight w:val="none"/>
              </w:rPr>
            </w:pPr>
            <w:r>
              <w:rPr>
                <w:rFonts w:hint="eastAsia" w:ascii="宋体" w:hAnsi="宋体" w:eastAsia="宋体" w:cs="Times New Roman"/>
                <w:strike/>
                <w:color w:val="auto"/>
                <w:szCs w:val="21"/>
                <w:highlight w:val="none"/>
              </w:rPr>
              <w:t>投标保证金</w:t>
            </w:r>
          </w:p>
        </w:tc>
        <w:tc>
          <w:tcPr>
            <w:tcW w:w="5424" w:type="dxa"/>
            <w:vAlign w:val="center"/>
          </w:tcPr>
          <w:p w14:paraId="03CE0927">
            <w:pPr>
              <w:wordWrap w:val="0"/>
              <w:spacing w:line="276" w:lineRule="auto"/>
              <w:jc w:val="left"/>
              <w:rPr>
                <w:rFonts w:hint="eastAsia" w:ascii="宋体" w:hAnsi="宋体" w:eastAsia="宋体" w:cs="Times New Roman"/>
                <w:strike/>
                <w:color w:val="auto"/>
                <w:szCs w:val="21"/>
                <w:highlight w:val="none"/>
              </w:rPr>
            </w:pPr>
            <w:r>
              <w:rPr>
                <w:rFonts w:hint="eastAsia" w:ascii="宋体" w:hAnsi="宋体" w:eastAsia="宋体" w:cs="Times New Roman"/>
                <w:strike/>
                <w:color w:val="auto"/>
                <w:szCs w:val="21"/>
                <w:highlight w:val="none"/>
              </w:rPr>
              <w:t>符合第二章“投标人须知”第</w:t>
            </w:r>
            <w:r>
              <w:rPr>
                <w:rFonts w:ascii="宋体" w:hAnsi="宋体" w:eastAsia="宋体" w:cs="Times New Roman"/>
                <w:strike/>
                <w:color w:val="auto"/>
                <w:szCs w:val="21"/>
                <w:highlight w:val="none"/>
              </w:rPr>
              <w:t>3.4.1</w:t>
            </w:r>
            <w:r>
              <w:rPr>
                <w:rFonts w:hint="eastAsia" w:ascii="宋体" w:hAnsi="宋体" w:eastAsia="宋体" w:cs="Times New Roman"/>
                <w:strike/>
                <w:color w:val="auto"/>
                <w:szCs w:val="21"/>
                <w:highlight w:val="none"/>
              </w:rPr>
              <w:t>项规定。</w:t>
            </w:r>
          </w:p>
        </w:tc>
      </w:tr>
      <w:tr w14:paraId="7C75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Merge w:val="continue"/>
            <w:vAlign w:val="center"/>
          </w:tcPr>
          <w:p w14:paraId="21D4B9DC">
            <w:pPr>
              <w:wordWrap w:val="0"/>
              <w:spacing w:line="276" w:lineRule="auto"/>
              <w:rPr>
                <w:rFonts w:hint="eastAsia" w:ascii="宋体" w:hAnsi="宋体" w:eastAsia="宋体" w:cs="Times New Roman"/>
                <w:color w:val="auto"/>
                <w:szCs w:val="21"/>
                <w:highlight w:val="none"/>
              </w:rPr>
            </w:pPr>
          </w:p>
        </w:tc>
        <w:tc>
          <w:tcPr>
            <w:tcW w:w="1124" w:type="dxa"/>
            <w:vMerge w:val="continue"/>
            <w:vAlign w:val="center"/>
          </w:tcPr>
          <w:p w14:paraId="43DB4B17">
            <w:pPr>
              <w:wordWrap w:val="0"/>
              <w:spacing w:line="276" w:lineRule="auto"/>
              <w:rPr>
                <w:rFonts w:hint="eastAsia" w:ascii="宋体" w:hAnsi="宋体" w:eastAsia="宋体" w:cs="Times New Roman"/>
                <w:color w:val="auto"/>
                <w:szCs w:val="21"/>
                <w:highlight w:val="none"/>
              </w:rPr>
            </w:pPr>
          </w:p>
        </w:tc>
        <w:tc>
          <w:tcPr>
            <w:tcW w:w="2476" w:type="dxa"/>
            <w:vAlign w:val="center"/>
          </w:tcPr>
          <w:p w14:paraId="7E6C218B">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串通投标情形</w:t>
            </w:r>
          </w:p>
        </w:tc>
        <w:tc>
          <w:tcPr>
            <w:tcW w:w="5424" w:type="dxa"/>
            <w:vAlign w:val="center"/>
          </w:tcPr>
          <w:p w14:paraId="634A9F1D">
            <w:pPr>
              <w:wordWrap w:val="0"/>
              <w:spacing w:line="276"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不存在串通投标情形（串通投标情形以广东省实施《中华人民共和国招标投标法》办法第十六条的规定为准）。</w:t>
            </w:r>
          </w:p>
        </w:tc>
      </w:tr>
      <w:tr w14:paraId="3EB9C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24" w:type="dxa"/>
            <w:gridSpan w:val="2"/>
            <w:vAlign w:val="center"/>
          </w:tcPr>
          <w:p w14:paraId="20AA2BDC">
            <w:pPr>
              <w:wordWrap w:val="0"/>
              <w:spacing w:line="276" w:lineRule="auto"/>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条款号</w:t>
            </w:r>
          </w:p>
        </w:tc>
        <w:tc>
          <w:tcPr>
            <w:tcW w:w="2476" w:type="dxa"/>
            <w:vAlign w:val="center"/>
          </w:tcPr>
          <w:p w14:paraId="128B12FC">
            <w:pPr>
              <w:wordWrap w:val="0"/>
              <w:spacing w:line="276" w:lineRule="auto"/>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条款内容</w:t>
            </w:r>
          </w:p>
        </w:tc>
        <w:tc>
          <w:tcPr>
            <w:tcW w:w="5424" w:type="dxa"/>
            <w:vAlign w:val="center"/>
          </w:tcPr>
          <w:p w14:paraId="3FD14959">
            <w:pPr>
              <w:wordWrap w:val="0"/>
              <w:spacing w:line="276" w:lineRule="auto"/>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编列内容</w:t>
            </w:r>
          </w:p>
        </w:tc>
      </w:tr>
      <w:tr w14:paraId="3890E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24" w:type="dxa"/>
            <w:gridSpan w:val="2"/>
            <w:vAlign w:val="center"/>
          </w:tcPr>
          <w:p w14:paraId="3ED5E4B1">
            <w:pPr>
              <w:wordWrap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2.2.1</w:t>
            </w:r>
          </w:p>
        </w:tc>
        <w:tc>
          <w:tcPr>
            <w:tcW w:w="2476" w:type="dxa"/>
            <w:vAlign w:val="center"/>
          </w:tcPr>
          <w:p w14:paraId="2311144E">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分值构成</w:t>
            </w:r>
          </w:p>
          <w:p w14:paraId="23ED70DB">
            <w:pPr>
              <w:wordWrap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总分</w:t>
            </w:r>
            <w:r>
              <w:rPr>
                <w:rFonts w:ascii="宋体" w:hAnsi="宋体" w:eastAsia="宋体" w:cs="Times New Roman"/>
                <w:color w:val="auto"/>
                <w:szCs w:val="21"/>
                <w:highlight w:val="none"/>
              </w:rPr>
              <w:t>100</w:t>
            </w:r>
            <w:r>
              <w:rPr>
                <w:rFonts w:hint="eastAsia" w:ascii="宋体" w:hAnsi="宋体" w:eastAsia="宋体" w:cs="Times New Roman"/>
                <w:color w:val="auto"/>
                <w:szCs w:val="21"/>
                <w:highlight w:val="none"/>
              </w:rPr>
              <w:t>分</w:t>
            </w:r>
            <w:r>
              <w:rPr>
                <w:rFonts w:ascii="宋体" w:hAnsi="宋体" w:eastAsia="宋体" w:cs="Times New Roman"/>
                <w:color w:val="auto"/>
                <w:szCs w:val="21"/>
                <w:highlight w:val="none"/>
              </w:rPr>
              <w:t>)</w:t>
            </w:r>
          </w:p>
        </w:tc>
        <w:tc>
          <w:tcPr>
            <w:tcW w:w="5424" w:type="dxa"/>
            <w:vAlign w:val="center"/>
          </w:tcPr>
          <w:p w14:paraId="69D134BE">
            <w:pPr>
              <w:wordWrap w:val="0"/>
              <w:spacing w:line="276" w:lineRule="auto"/>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资信业绩部分：</w:t>
            </w:r>
            <w:r>
              <w:rPr>
                <w:rFonts w:hint="eastAsia" w:ascii="宋体" w:hAnsi="宋体" w:eastAsia="宋体" w:cs="Times New Roman"/>
                <w:color w:val="auto"/>
                <w:szCs w:val="21"/>
                <w:highlight w:val="none"/>
                <w:u w:val="single"/>
              </w:rPr>
              <w:t>4</w:t>
            </w:r>
            <w:r>
              <w:rPr>
                <w:rFonts w:hint="eastAsia" w:ascii="宋体" w:hAnsi="宋体" w:eastAsia="宋体" w:cs="Times New Roman"/>
                <w:color w:val="auto"/>
                <w:szCs w:val="21"/>
                <w:highlight w:val="none"/>
                <w:u w:val="single"/>
                <w:lang w:val="en-US" w:eastAsia="zh-CN"/>
              </w:rPr>
              <w:t>5</w:t>
            </w:r>
            <w:r>
              <w:rPr>
                <w:rFonts w:hint="eastAsia" w:ascii="宋体" w:hAnsi="宋体" w:eastAsia="宋体" w:cs="Times New Roman"/>
                <w:color w:val="auto"/>
                <w:szCs w:val="21"/>
                <w:highlight w:val="none"/>
              </w:rPr>
              <w:t>分</w:t>
            </w:r>
          </w:p>
          <w:p w14:paraId="4CB2EAEC">
            <w:pPr>
              <w:wordWrap w:val="0"/>
              <w:spacing w:line="276" w:lineRule="auto"/>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监理大纲部分：</w:t>
            </w:r>
            <w:r>
              <w:rPr>
                <w:rFonts w:hint="eastAsia" w:ascii="宋体" w:hAnsi="宋体" w:eastAsia="宋体" w:cs="Times New Roman"/>
                <w:color w:val="auto"/>
                <w:szCs w:val="21"/>
                <w:highlight w:val="none"/>
                <w:u w:val="single"/>
              </w:rPr>
              <w:t>4</w:t>
            </w:r>
            <w:r>
              <w:rPr>
                <w:rFonts w:hint="eastAsia" w:ascii="宋体" w:hAnsi="宋体" w:eastAsia="宋体" w:cs="Times New Roman"/>
                <w:color w:val="auto"/>
                <w:szCs w:val="21"/>
                <w:highlight w:val="none"/>
                <w:u w:val="single"/>
                <w:lang w:val="en-US" w:eastAsia="zh-CN"/>
              </w:rPr>
              <w:t>5</w:t>
            </w:r>
            <w:r>
              <w:rPr>
                <w:rFonts w:hint="eastAsia" w:ascii="宋体" w:hAnsi="宋体" w:eastAsia="宋体" w:cs="Times New Roman"/>
                <w:color w:val="auto"/>
                <w:szCs w:val="21"/>
                <w:highlight w:val="none"/>
              </w:rPr>
              <w:t>分</w:t>
            </w:r>
          </w:p>
          <w:p w14:paraId="11860953">
            <w:pPr>
              <w:wordWrap w:val="0"/>
              <w:spacing w:line="276" w:lineRule="auto"/>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投标报价</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u w:val="single"/>
              </w:rPr>
              <w:t>10</w:t>
            </w:r>
            <w:r>
              <w:rPr>
                <w:rFonts w:hint="eastAsia" w:ascii="宋体" w:hAnsi="宋体" w:eastAsia="宋体" w:cs="Times New Roman"/>
                <w:color w:val="auto"/>
                <w:szCs w:val="21"/>
                <w:highlight w:val="none"/>
              </w:rPr>
              <w:t>分</w:t>
            </w:r>
            <w:r>
              <w:rPr>
                <w:rFonts w:hint="eastAsia" w:ascii="宋体" w:hAnsi="宋体" w:eastAsia="宋体" w:cs="Times New Roman"/>
                <w:color w:val="auto"/>
                <w:szCs w:val="21"/>
                <w:highlight w:val="none"/>
                <w:u w:val="single"/>
              </w:rPr>
              <w:t>（小微企业投标的，则执行投标报价得分评审优惠政策）</w:t>
            </w:r>
          </w:p>
          <w:p w14:paraId="7B6B0CC0">
            <w:pPr>
              <w:wordWrap w:val="0"/>
              <w:spacing w:line="276" w:lineRule="auto"/>
              <w:rPr>
                <w:rFonts w:hint="default" w:ascii="宋体" w:hAnsi="宋体" w:eastAsia="宋体" w:cs="Times New Roman"/>
                <w:color w:val="auto"/>
                <w:szCs w:val="21"/>
                <w:highlight w:val="none"/>
                <w:u w:val="single"/>
                <w:lang w:val="en-US" w:eastAsia="zh-CN"/>
              </w:rPr>
            </w:pPr>
            <w:r>
              <w:rPr>
                <w:rFonts w:hint="eastAsia" w:ascii="宋体" w:hAnsi="宋体" w:eastAsia="宋体" w:cs="Times New Roman"/>
                <w:b/>
                <w:bCs/>
                <w:color w:val="auto"/>
                <w:szCs w:val="21"/>
                <w:highlight w:val="none"/>
              </w:rPr>
              <w:t>其他评分因素：</w:t>
            </w:r>
            <w:r>
              <w:rPr>
                <w:rFonts w:hint="eastAsia" w:ascii="宋体" w:hAnsi="宋体" w:eastAsia="宋体" w:cs="Times New Roman"/>
                <w:color w:val="auto"/>
                <w:szCs w:val="21"/>
                <w:highlight w:val="none"/>
                <w:u w:val="single"/>
                <w:lang w:val="en-US" w:eastAsia="zh-CN"/>
              </w:rPr>
              <w:t>0分</w:t>
            </w:r>
          </w:p>
        </w:tc>
      </w:tr>
      <w:tr w14:paraId="7FFF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24" w:type="dxa"/>
            <w:gridSpan w:val="2"/>
            <w:vAlign w:val="center"/>
          </w:tcPr>
          <w:p w14:paraId="20A58635">
            <w:pPr>
              <w:wordWrap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2.2.2</w:t>
            </w:r>
          </w:p>
        </w:tc>
        <w:tc>
          <w:tcPr>
            <w:tcW w:w="2476" w:type="dxa"/>
            <w:vAlign w:val="center"/>
          </w:tcPr>
          <w:p w14:paraId="48392AB9">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评标基准价计算方法</w:t>
            </w:r>
          </w:p>
        </w:tc>
        <w:tc>
          <w:tcPr>
            <w:tcW w:w="5424" w:type="dxa"/>
            <w:vAlign w:val="center"/>
          </w:tcPr>
          <w:p w14:paraId="2D770AB6">
            <w:pPr>
              <w:wordWrap w:val="0"/>
              <w:spacing w:line="276" w:lineRule="auto"/>
              <w:jc w:val="left"/>
              <w:rPr>
                <w:rFonts w:hint="eastAsia" w:ascii="宋体" w:hAnsi="宋体" w:eastAsia="宋体" w:cs="Times New Roman"/>
                <w:color w:val="auto"/>
                <w:szCs w:val="21"/>
                <w:highlight w:val="none"/>
              </w:rPr>
            </w:pPr>
            <w:r>
              <w:rPr>
                <w:rFonts w:hint="eastAsia" w:ascii="宋体" w:hAnsi="宋体" w:eastAsia="宋体" w:cs="宋体"/>
                <w:b/>
                <w:bCs/>
                <w:color w:val="auto"/>
                <w:sz w:val="21"/>
                <w:szCs w:val="21"/>
                <w:highlight w:val="none"/>
                <w:u w:val="single"/>
                <w:lang w:val="en-US" w:eastAsia="zh-CN"/>
              </w:rPr>
              <w:t>通过形式评审、资格评审、响应性评审且投标价格最低的投标报价为评标基准价。</w:t>
            </w:r>
          </w:p>
        </w:tc>
      </w:tr>
      <w:tr w14:paraId="125CA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24" w:type="dxa"/>
            <w:gridSpan w:val="2"/>
            <w:vAlign w:val="center"/>
          </w:tcPr>
          <w:p w14:paraId="378A7A60">
            <w:pPr>
              <w:wordWrap w:val="0"/>
              <w:spacing w:line="276" w:lineRule="auto"/>
              <w:jc w:val="center"/>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2.2.3</w:t>
            </w:r>
          </w:p>
        </w:tc>
        <w:tc>
          <w:tcPr>
            <w:tcW w:w="2476" w:type="dxa"/>
            <w:vAlign w:val="center"/>
          </w:tcPr>
          <w:p w14:paraId="21803594">
            <w:pPr>
              <w:wordWrap w:val="0"/>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投标报价评分标准</w:t>
            </w:r>
          </w:p>
        </w:tc>
        <w:tc>
          <w:tcPr>
            <w:tcW w:w="5424" w:type="dxa"/>
            <w:vAlign w:val="center"/>
          </w:tcPr>
          <w:p w14:paraId="4FFDACBD">
            <w:pPr>
              <w:wordWrap w:val="0"/>
              <w:spacing w:line="276"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投标报价得分=（评标基准价/投标报价）×10，按上述公式计算得出评标价得分。分数出现小数点，保留小数点后二位，第三位小数四舍五入。</w:t>
            </w:r>
          </w:p>
        </w:tc>
      </w:tr>
    </w:tbl>
    <w:p w14:paraId="65742C1C">
      <w:pPr>
        <w:wordWrap w:val="0"/>
        <w:spacing w:before="240"/>
        <w:jc w:val="center"/>
        <w:rPr>
          <w:rFonts w:hint="eastAsia" w:ascii="宋体" w:hAnsi="宋体" w:eastAsia="宋体" w:cs="宋体"/>
          <w:b/>
          <w:bCs/>
          <w:color w:val="auto"/>
          <w:sz w:val="28"/>
          <w:szCs w:val="28"/>
          <w:highlight w:val="none"/>
        </w:rPr>
      </w:pPr>
      <w:r>
        <w:rPr>
          <w:rFonts w:ascii="宋体" w:hAnsi="宋体" w:eastAsia="宋体" w:cs="Times New Roman"/>
          <w:color w:val="auto"/>
          <w:highlight w:val="none"/>
        </w:rPr>
        <w:br w:type="page"/>
      </w:r>
      <w:r>
        <w:rPr>
          <w:rFonts w:hint="eastAsia" w:ascii="宋体" w:hAnsi="宋体" w:eastAsia="宋体" w:cs="宋体"/>
          <w:b/>
          <w:bCs/>
          <w:color w:val="auto"/>
          <w:sz w:val="28"/>
          <w:szCs w:val="28"/>
          <w:highlight w:val="none"/>
        </w:rPr>
        <w:t>综合评分表</w:t>
      </w:r>
    </w:p>
    <w:tbl>
      <w:tblPr>
        <w:tblStyle w:val="29"/>
        <w:tblW w:w="10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846"/>
        <w:gridCol w:w="1417"/>
        <w:gridCol w:w="2587"/>
        <w:gridCol w:w="5251"/>
      </w:tblGrid>
      <w:tr w14:paraId="53E0B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 w:hRule="atLeast"/>
          <w:jc w:val="center"/>
        </w:trPr>
        <w:tc>
          <w:tcPr>
            <w:tcW w:w="2263" w:type="dxa"/>
            <w:gridSpan w:val="2"/>
            <w:shd w:val="clear" w:color="auto" w:fill="FFFFFF"/>
            <w:tcMar>
              <w:top w:w="0" w:type="dxa"/>
              <w:left w:w="108" w:type="dxa"/>
              <w:bottom w:w="0" w:type="dxa"/>
              <w:right w:w="108" w:type="dxa"/>
            </w:tcMar>
            <w:vAlign w:val="center"/>
          </w:tcPr>
          <w:p w14:paraId="40C53FD6">
            <w:pPr>
              <w:widowControl/>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条款号</w:t>
            </w:r>
          </w:p>
        </w:tc>
        <w:tc>
          <w:tcPr>
            <w:tcW w:w="2587" w:type="dxa"/>
            <w:shd w:val="clear" w:color="auto" w:fill="FFFFFF"/>
            <w:tcMar>
              <w:top w:w="0" w:type="dxa"/>
              <w:left w:w="108" w:type="dxa"/>
              <w:bottom w:w="0" w:type="dxa"/>
              <w:right w:w="108" w:type="dxa"/>
            </w:tcMar>
            <w:vAlign w:val="center"/>
          </w:tcPr>
          <w:p w14:paraId="14977ACD">
            <w:pPr>
              <w:widowControl/>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评分因素</w:t>
            </w:r>
          </w:p>
        </w:tc>
        <w:tc>
          <w:tcPr>
            <w:tcW w:w="5251" w:type="dxa"/>
            <w:shd w:val="clear" w:color="auto" w:fill="FFFFFF"/>
            <w:tcMar>
              <w:top w:w="0" w:type="dxa"/>
              <w:left w:w="108" w:type="dxa"/>
              <w:bottom w:w="0" w:type="dxa"/>
              <w:right w:w="108" w:type="dxa"/>
            </w:tcMar>
            <w:vAlign w:val="center"/>
          </w:tcPr>
          <w:p w14:paraId="4DE0C20C">
            <w:pPr>
              <w:widowControl/>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评分标准</w:t>
            </w:r>
          </w:p>
        </w:tc>
      </w:tr>
      <w:tr w14:paraId="1F05A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846" w:type="dxa"/>
            <w:vMerge w:val="restart"/>
            <w:shd w:val="clear" w:color="auto" w:fill="FFFFFF"/>
            <w:tcMar>
              <w:top w:w="0" w:type="dxa"/>
              <w:left w:w="108" w:type="dxa"/>
              <w:bottom w:w="0" w:type="dxa"/>
              <w:right w:w="108" w:type="dxa"/>
            </w:tcMar>
            <w:vAlign w:val="center"/>
          </w:tcPr>
          <w:p w14:paraId="38842372">
            <w:pPr>
              <w:widowControl/>
              <w:wordWrap w:val="0"/>
              <w:spacing w:line="276"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rPr>
              <w:t>2.2.4</w:t>
            </w:r>
            <w:r>
              <w:rPr>
                <w:rFonts w:hint="eastAsia" w:ascii="宋体" w:hAnsi="宋体" w:eastAsia="宋体" w:cs="宋体"/>
                <w:color w:val="auto"/>
                <w:szCs w:val="21"/>
                <w:highlight w:val="none"/>
              </w:rPr>
              <w:t>（</w:t>
            </w:r>
            <w:r>
              <w:rPr>
                <w:rFonts w:ascii="宋体" w:hAnsi="宋体" w:eastAsia="宋体" w:cs="宋体"/>
                <w:color w:val="auto"/>
                <w:szCs w:val="21"/>
                <w:highlight w:val="none"/>
              </w:rPr>
              <w:t>1</w:t>
            </w:r>
            <w:r>
              <w:rPr>
                <w:rFonts w:hint="eastAsia" w:ascii="宋体" w:hAnsi="宋体" w:eastAsia="宋体" w:cs="宋体"/>
                <w:color w:val="auto"/>
                <w:szCs w:val="21"/>
                <w:highlight w:val="none"/>
              </w:rPr>
              <w:t>）</w:t>
            </w:r>
          </w:p>
        </w:tc>
        <w:tc>
          <w:tcPr>
            <w:tcW w:w="1417" w:type="dxa"/>
            <w:vMerge w:val="restart"/>
            <w:shd w:val="clear" w:color="auto" w:fill="FFFFFF"/>
            <w:tcMar>
              <w:top w:w="0" w:type="dxa"/>
              <w:left w:w="108" w:type="dxa"/>
              <w:bottom w:w="0" w:type="dxa"/>
              <w:right w:w="108" w:type="dxa"/>
            </w:tcMar>
            <w:vAlign w:val="center"/>
          </w:tcPr>
          <w:p w14:paraId="16F40E95">
            <w:pPr>
              <w:widowControl/>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资信业绩评分标准（4</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分）（</w:t>
            </w:r>
            <w:r>
              <w:rPr>
                <w:rFonts w:ascii="宋体" w:hAnsi="宋体" w:eastAsia="宋体" w:cs="宋体"/>
                <w:color w:val="auto"/>
                <w:szCs w:val="21"/>
                <w:highlight w:val="none"/>
              </w:rPr>
              <w:t>A</w:t>
            </w:r>
            <w:r>
              <w:rPr>
                <w:rFonts w:hint="eastAsia" w:ascii="宋体" w:hAnsi="宋体" w:eastAsia="宋体" w:cs="宋体"/>
                <w:color w:val="auto"/>
                <w:szCs w:val="21"/>
                <w:highlight w:val="none"/>
              </w:rPr>
              <w:t>）</w:t>
            </w:r>
          </w:p>
        </w:tc>
        <w:tc>
          <w:tcPr>
            <w:tcW w:w="2587" w:type="dxa"/>
            <w:shd w:val="clear" w:color="auto" w:fill="FFFFFF"/>
            <w:tcMar>
              <w:top w:w="0" w:type="dxa"/>
              <w:left w:w="108" w:type="dxa"/>
              <w:bottom w:w="0" w:type="dxa"/>
              <w:right w:w="108" w:type="dxa"/>
            </w:tcMar>
            <w:vAlign w:val="center"/>
          </w:tcPr>
          <w:p w14:paraId="25EC7A1C">
            <w:pPr>
              <w:widowControl/>
              <w:wordWrap w:val="0"/>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类似项目业绩（</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分）</w:t>
            </w:r>
          </w:p>
        </w:tc>
        <w:tc>
          <w:tcPr>
            <w:tcW w:w="5251" w:type="dxa"/>
            <w:shd w:val="clear" w:color="auto" w:fill="FFFFFF"/>
            <w:tcMar>
              <w:top w:w="0" w:type="dxa"/>
              <w:left w:w="108" w:type="dxa"/>
              <w:bottom w:w="0" w:type="dxa"/>
              <w:right w:w="108" w:type="dxa"/>
            </w:tcMar>
            <w:vAlign w:val="center"/>
          </w:tcPr>
          <w:p w14:paraId="1DAA9C62">
            <w:pPr>
              <w:widowControl/>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自2020年1月1日至今独立完成过质量合格的市政公用工程监理业绩，每1项得4分；最高得12分。没有的不得分。</w:t>
            </w:r>
          </w:p>
          <w:p w14:paraId="265FB16A">
            <w:pPr>
              <w:widowControl/>
              <w:wordWrap w:val="0"/>
              <w:spacing w:line="276"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注：须同时提供中标通知书或免招标的相关证明、监理合同、竣工验收报告或验收记录，时间以竣工验收报告或验收记录时间为准，不满足不得分。</w:t>
            </w:r>
          </w:p>
        </w:tc>
      </w:tr>
      <w:tr w14:paraId="6C5EA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 w:hRule="atLeast"/>
          <w:jc w:val="center"/>
        </w:trPr>
        <w:tc>
          <w:tcPr>
            <w:tcW w:w="846" w:type="dxa"/>
            <w:vMerge w:val="continue"/>
            <w:shd w:val="clear" w:color="auto" w:fill="FFFFFF"/>
            <w:vAlign w:val="center"/>
          </w:tcPr>
          <w:p w14:paraId="491986D6">
            <w:pPr>
              <w:widowControl/>
              <w:wordWrap w:val="0"/>
              <w:spacing w:line="276" w:lineRule="auto"/>
              <w:rPr>
                <w:rFonts w:hint="eastAsia" w:ascii="宋体" w:hAnsi="宋体" w:eastAsia="宋体" w:cs="宋体"/>
                <w:color w:val="auto"/>
                <w:szCs w:val="21"/>
                <w:highlight w:val="none"/>
              </w:rPr>
            </w:pPr>
          </w:p>
        </w:tc>
        <w:tc>
          <w:tcPr>
            <w:tcW w:w="1417" w:type="dxa"/>
            <w:vMerge w:val="continue"/>
            <w:shd w:val="clear" w:color="auto" w:fill="FFFFFF"/>
            <w:vAlign w:val="center"/>
          </w:tcPr>
          <w:p w14:paraId="57CC176D">
            <w:pPr>
              <w:widowControl/>
              <w:wordWrap w:val="0"/>
              <w:spacing w:line="276" w:lineRule="auto"/>
              <w:jc w:val="center"/>
              <w:rPr>
                <w:rFonts w:hint="eastAsia" w:ascii="宋体" w:hAnsi="宋体" w:eastAsia="宋体" w:cs="宋体"/>
                <w:color w:val="auto"/>
                <w:szCs w:val="21"/>
                <w:highlight w:val="none"/>
              </w:rPr>
            </w:pPr>
          </w:p>
        </w:tc>
        <w:tc>
          <w:tcPr>
            <w:tcW w:w="2587" w:type="dxa"/>
            <w:shd w:val="clear" w:color="auto" w:fill="FFFFFF"/>
            <w:tcMar>
              <w:top w:w="0" w:type="dxa"/>
              <w:left w:w="108" w:type="dxa"/>
              <w:bottom w:w="0" w:type="dxa"/>
              <w:right w:w="108" w:type="dxa"/>
            </w:tcMar>
            <w:vAlign w:val="center"/>
          </w:tcPr>
          <w:p w14:paraId="719128D0">
            <w:pPr>
              <w:widowControl/>
              <w:wordWrap w:val="0"/>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企业获奖情况（12分）</w:t>
            </w:r>
          </w:p>
        </w:tc>
        <w:tc>
          <w:tcPr>
            <w:tcW w:w="5251" w:type="dxa"/>
            <w:shd w:val="clear" w:color="auto" w:fill="FFFFFF"/>
            <w:tcMar>
              <w:top w:w="0" w:type="dxa"/>
              <w:left w:w="108" w:type="dxa"/>
              <w:bottom w:w="0" w:type="dxa"/>
              <w:right w:w="108" w:type="dxa"/>
            </w:tcMar>
            <w:vAlign w:val="center"/>
          </w:tcPr>
          <w:p w14:paraId="3E52A449">
            <w:pPr>
              <w:widowControl/>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投标人独立完成过的市政公用工程监理项目获得奖项的：</w:t>
            </w:r>
          </w:p>
          <w:p w14:paraId="17554653">
            <w:pPr>
              <w:widowControl/>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1、获得国家级工程质量奖项一项的得6分；</w:t>
            </w:r>
          </w:p>
          <w:p w14:paraId="3EFD499D">
            <w:pPr>
              <w:widowControl/>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2、获得省级工程质量奖项一项的得4分；</w:t>
            </w:r>
          </w:p>
          <w:p w14:paraId="37FED729">
            <w:pPr>
              <w:widowControl/>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3、获得市级（副省级）工程质量奖项一项得3分。</w:t>
            </w:r>
          </w:p>
          <w:p w14:paraId="6257E32E">
            <w:pPr>
              <w:widowControl/>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本项</w:t>
            </w:r>
            <w:r>
              <w:rPr>
                <w:rFonts w:hint="eastAsia" w:ascii="宋体" w:hAnsi="宋体" w:eastAsia="宋体" w:cs="宋体"/>
                <w:color w:val="auto"/>
                <w:szCs w:val="21"/>
                <w:highlight w:val="none"/>
              </w:rPr>
              <w:t>最多累计得12分。</w:t>
            </w:r>
          </w:p>
          <w:p w14:paraId="142A6DA2">
            <w:pPr>
              <w:widowControl/>
              <w:wordWrap w:val="0"/>
              <w:spacing w:line="276"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注：须提供获奖证书复印件加盖公章；国家级奖指鲁班奖、国家优质工程奖、市政金杯示范工程奖、詹天佑奖、国家优质工程金质奖（金奖）；省级或市级奖项是指由建设行政主管部门或行业协会颁发的市政优良样板工程及工程优质奖；对同一工程奖项按最高奖项计取。（获奖证书如颁奖单位为协会的，还须提供该协会在“中国社会组织政务服务平台”有登记的网页查询截图（网址：https://chinanpo.mca.gov.cn/index），没有提供不得分</w:t>
            </w:r>
          </w:p>
        </w:tc>
      </w:tr>
      <w:tr w14:paraId="5297E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 w:hRule="atLeast"/>
          <w:jc w:val="center"/>
        </w:trPr>
        <w:tc>
          <w:tcPr>
            <w:tcW w:w="846" w:type="dxa"/>
            <w:vMerge w:val="continue"/>
            <w:shd w:val="clear" w:color="auto" w:fill="FFFFFF"/>
            <w:vAlign w:val="center"/>
          </w:tcPr>
          <w:p w14:paraId="0D0A6206">
            <w:pPr>
              <w:widowControl/>
              <w:wordWrap w:val="0"/>
              <w:spacing w:line="276" w:lineRule="auto"/>
              <w:rPr>
                <w:rFonts w:hint="eastAsia" w:ascii="宋体" w:hAnsi="宋体" w:eastAsia="宋体" w:cs="宋体"/>
                <w:color w:val="auto"/>
                <w:szCs w:val="21"/>
                <w:highlight w:val="none"/>
              </w:rPr>
            </w:pPr>
          </w:p>
        </w:tc>
        <w:tc>
          <w:tcPr>
            <w:tcW w:w="1417" w:type="dxa"/>
            <w:vMerge w:val="continue"/>
            <w:shd w:val="clear" w:color="auto" w:fill="FFFFFF"/>
            <w:vAlign w:val="center"/>
          </w:tcPr>
          <w:p w14:paraId="4A667810">
            <w:pPr>
              <w:widowControl/>
              <w:wordWrap w:val="0"/>
              <w:spacing w:line="276" w:lineRule="auto"/>
              <w:jc w:val="center"/>
              <w:rPr>
                <w:rFonts w:hint="eastAsia" w:ascii="宋体" w:hAnsi="宋体" w:eastAsia="宋体" w:cs="宋体"/>
                <w:color w:val="auto"/>
                <w:szCs w:val="21"/>
                <w:highlight w:val="none"/>
              </w:rPr>
            </w:pPr>
          </w:p>
        </w:tc>
        <w:tc>
          <w:tcPr>
            <w:tcW w:w="2587" w:type="dxa"/>
            <w:shd w:val="clear" w:color="auto" w:fill="auto"/>
            <w:tcMar>
              <w:top w:w="0" w:type="dxa"/>
              <w:left w:w="108" w:type="dxa"/>
              <w:bottom w:w="0" w:type="dxa"/>
              <w:right w:w="108" w:type="dxa"/>
            </w:tcMar>
            <w:vAlign w:val="center"/>
          </w:tcPr>
          <w:p w14:paraId="2F27ADFD">
            <w:pPr>
              <w:widowControl/>
              <w:wordWrap w:val="0"/>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eastAsia="zh-CN"/>
              </w:rPr>
              <w:t>总监理工程师</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10</w:t>
            </w:r>
            <w:r>
              <w:rPr>
                <w:rFonts w:ascii="宋体" w:hAnsi="宋体" w:eastAsia="宋体" w:cs="宋体"/>
                <w:color w:val="auto"/>
                <w:szCs w:val="21"/>
                <w:highlight w:val="none"/>
              </w:rPr>
              <w:t>分）</w:t>
            </w:r>
          </w:p>
        </w:tc>
        <w:tc>
          <w:tcPr>
            <w:tcW w:w="5251" w:type="dxa"/>
            <w:shd w:val="clear" w:color="auto" w:fill="auto"/>
            <w:tcMar>
              <w:top w:w="0" w:type="dxa"/>
              <w:left w:w="108" w:type="dxa"/>
              <w:bottom w:w="0" w:type="dxa"/>
              <w:right w:w="108" w:type="dxa"/>
            </w:tcMar>
            <w:vAlign w:val="center"/>
          </w:tcPr>
          <w:p w14:paraId="2CE85DD4">
            <w:pPr>
              <w:widowControl/>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1、获得监理工程师执业资格证书10年（不含）以上的得6分，10（含）-5年（含）的得4分， 5年（不含）以下得2分。本小项最高得6分，无或其他情况不得分。</w:t>
            </w:r>
          </w:p>
          <w:p w14:paraId="104114D6">
            <w:pPr>
              <w:widowControl/>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2、2021年1月1日至今担任总监完成过质量合格的市政公用工程监理业绩，每项得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分，最多得</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w:t>
            </w:r>
          </w:p>
          <w:p w14:paraId="15CB349D">
            <w:pPr>
              <w:widowControl/>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本项累计最高得</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p>
          <w:p w14:paraId="4059418E">
            <w:pPr>
              <w:widowControl/>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注：①需提供相关执业资格证书、注册证书及本单位202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月的社保证明（如部分地区社保证明显示隔月缴费状态，则提供202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月的社保证明）。</w:t>
            </w:r>
          </w:p>
          <w:p w14:paraId="3F4E70AE">
            <w:pPr>
              <w:widowControl/>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②监理工程师执业资格证书日期以证书签发时间为准。</w:t>
            </w:r>
          </w:p>
          <w:p w14:paraId="74E89911">
            <w:pPr>
              <w:wordWrap w:val="0"/>
              <w:spacing w:line="276"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color w:val="auto"/>
                <w:szCs w:val="21"/>
                <w:highlight w:val="none"/>
              </w:rPr>
              <w:t>③类似工程业绩：须同时提供中标通知书或免招标的相关证明、监理合同、竣工验收报告或验收记录，完成时间以竣工验收报告或验收记录时间为准，业绩证明材料须能证明该人员参与对应项目，并担任相应职位，不满足不得分。</w:t>
            </w:r>
          </w:p>
        </w:tc>
      </w:tr>
      <w:tr w14:paraId="3FF7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 w:hRule="atLeast"/>
          <w:jc w:val="center"/>
        </w:trPr>
        <w:tc>
          <w:tcPr>
            <w:tcW w:w="846" w:type="dxa"/>
            <w:vMerge w:val="continue"/>
            <w:shd w:val="clear" w:color="auto" w:fill="FFFFFF"/>
            <w:vAlign w:val="center"/>
          </w:tcPr>
          <w:p w14:paraId="110FD45B">
            <w:pPr>
              <w:widowControl/>
              <w:wordWrap w:val="0"/>
              <w:spacing w:line="276" w:lineRule="auto"/>
              <w:rPr>
                <w:rFonts w:hint="eastAsia" w:ascii="宋体" w:hAnsi="宋体" w:eastAsia="宋体" w:cs="宋体"/>
                <w:color w:val="auto"/>
                <w:szCs w:val="21"/>
                <w:highlight w:val="none"/>
              </w:rPr>
            </w:pPr>
          </w:p>
        </w:tc>
        <w:tc>
          <w:tcPr>
            <w:tcW w:w="1417" w:type="dxa"/>
            <w:vMerge w:val="continue"/>
            <w:shd w:val="clear" w:color="auto" w:fill="FFFFFF"/>
            <w:vAlign w:val="center"/>
          </w:tcPr>
          <w:p w14:paraId="1C746AA5">
            <w:pPr>
              <w:widowControl/>
              <w:wordWrap w:val="0"/>
              <w:spacing w:line="276" w:lineRule="auto"/>
              <w:jc w:val="center"/>
              <w:rPr>
                <w:rFonts w:hint="eastAsia" w:ascii="宋体" w:hAnsi="宋体" w:eastAsia="宋体" w:cs="宋体"/>
                <w:color w:val="auto"/>
                <w:szCs w:val="21"/>
                <w:highlight w:val="none"/>
              </w:rPr>
            </w:pPr>
          </w:p>
        </w:tc>
        <w:tc>
          <w:tcPr>
            <w:tcW w:w="2587" w:type="dxa"/>
            <w:shd w:val="clear" w:color="auto" w:fill="FFFFFF"/>
            <w:tcMar>
              <w:top w:w="0" w:type="dxa"/>
              <w:left w:w="108" w:type="dxa"/>
              <w:bottom w:w="0" w:type="dxa"/>
              <w:right w:w="108" w:type="dxa"/>
            </w:tcMar>
            <w:vAlign w:val="center"/>
          </w:tcPr>
          <w:p w14:paraId="44CAEC9C">
            <w:pPr>
              <w:widowControl/>
              <w:wordWrap w:val="0"/>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其他主要人员（除总监理工程师外）（</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分）</w:t>
            </w:r>
          </w:p>
        </w:tc>
        <w:tc>
          <w:tcPr>
            <w:tcW w:w="5251" w:type="dxa"/>
            <w:shd w:val="clear" w:color="auto" w:fill="FFFFFF"/>
            <w:tcMar>
              <w:top w:w="0" w:type="dxa"/>
              <w:left w:w="108" w:type="dxa"/>
              <w:bottom w:w="0" w:type="dxa"/>
              <w:right w:w="108" w:type="dxa"/>
            </w:tcMar>
            <w:vAlign w:val="center"/>
          </w:tcPr>
          <w:p w14:paraId="69988331">
            <w:pPr>
              <w:widowControl/>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1、人员配备满足招标文件委托人要求</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采购需求“七、投入人员要求”</w:t>
            </w:r>
            <w:r>
              <w:rPr>
                <w:rFonts w:hint="eastAsia" w:ascii="宋体" w:hAnsi="宋体" w:eastAsia="宋体" w:cs="宋体"/>
                <w:color w:val="auto"/>
                <w:szCs w:val="21"/>
                <w:highlight w:val="none"/>
              </w:rPr>
              <w:t>要求和人数的，得</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分；不满足，得0分。</w:t>
            </w:r>
          </w:p>
          <w:p w14:paraId="54B2BE8B">
            <w:pPr>
              <w:widowControl/>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2、在满足上述人员配置的前提下，</w:t>
            </w:r>
            <w:r>
              <w:rPr>
                <w:rFonts w:hint="eastAsia" w:ascii="宋体" w:hAnsi="宋体" w:eastAsia="宋体" w:cs="宋体"/>
                <w:color w:val="auto"/>
                <w:szCs w:val="21"/>
                <w:highlight w:val="none"/>
                <w:lang w:eastAsia="zh-CN"/>
              </w:rPr>
              <w:t>隧道</w:t>
            </w:r>
            <w:r>
              <w:rPr>
                <w:rFonts w:hint="eastAsia" w:ascii="宋体" w:hAnsi="宋体" w:eastAsia="宋体" w:cs="宋体"/>
                <w:color w:val="auto"/>
                <w:szCs w:val="21"/>
                <w:highlight w:val="none"/>
              </w:rPr>
              <w:t>专业监理工程师</w:t>
            </w:r>
            <w:r>
              <w:rPr>
                <w:rFonts w:hint="eastAsia" w:ascii="宋体" w:hAnsi="宋体" w:eastAsia="宋体" w:cs="宋体"/>
                <w:color w:val="auto"/>
                <w:szCs w:val="21"/>
                <w:highlight w:val="none"/>
                <w:lang w:eastAsia="zh-CN"/>
              </w:rPr>
              <w:t>、机电安装</w:t>
            </w:r>
            <w:r>
              <w:rPr>
                <w:rFonts w:hint="eastAsia" w:ascii="宋体" w:hAnsi="宋体" w:eastAsia="宋体" w:cs="宋体"/>
                <w:color w:val="auto"/>
                <w:szCs w:val="21"/>
                <w:highlight w:val="none"/>
              </w:rPr>
              <w:t>专业监理工程师</w:t>
            </w:r>
            <w:r>
              <w:rPr>
                <w:rFonts w:hint="eastAsia" w:ascii="宋体" w:hAnsi="宋体" w:eastAsia="宋体" w:cs="宋体"/>
                <w:color w:val="auto"/>
                <w:szCs w:val="21"/>
                <w:highlight w:val="none"/>
                <w:lang w:eastAsia="zh-CN"/>
              </w:rPr>
              <w:t>、造价负责人</w:t>
            </w:r>
            <w:r>
              <w:rPr>
                <w:rFonts w:hint="eastAsia" w:ascii="宋体" w:hAnsi="宋体" w:eastAsia="宋体" w:cs="宋体"/>
                <w:color w:val="auto"/>
                <w:szCs w:val="21"/>
                <w:highlight w:val="none"/>
              </w:rPr>
              <w:t>具有高级工程师（或以上）技术职称的人员，每一人加2分，最多得</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w:t>
            </w:r>
          </w:p>
          <w:p w14:paraId="69CB4751">
            <w:pPr>
              <w:widowControl/>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本项累计最高得</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分。</w:t>
            </w:r>
          </w:p>
          <w:p w14:paraId="245E08BF">
            <w:pPr>
              <w:widowControl/>
              <w:wordWrap w:val="0"/>
              <w:spacing w:line="276"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注：应附职称证或岗位证书或相关执业资格证书和提供202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月的社保证明（如部分地区社保证明显示隔月缴费状态，则提供202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月的社保证明）。</w:t>
            </w:r>
          </w:p>
        </w:tc>
      </w:tr>
      <w:tr w14:paraId="60083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846" w:type="dxa"/>
            <w:vMerge w:val="restart"/>
            <w:shd w:val="clear" w:color="auto" w:fill="FFFFFF"/>
            <w:tcMar>
              <w:top w:w="0" w:type="dxa"/>
              <w:left w:w="108" w:type="dxa"/>
              <w:bottom w:w="0" w:type="dxa"/>
              <w:right w:w="108" w:type="dxa"/>
            </w:tcMar>
            <w:vAlign w:val="center"/>
          </w:tcPr>
          <w:p w14:paraId="02C510D4">
            <w:pPr>
              <w:widowControl/>
              <w:wordWrap w:val="0"/>
              <w:spacing w:line="276" w:lineRule="auto"/>
              <w:jc w:val="center"/>
              <w:rPr>
                <w:rFonts w:hint="eastAsia" w:ascii="宋体" w:hAnsi="宋体" w:eastAsia="宋体" w:cs="宋体"/>
                <w:color w:val="auto"/>
                <w:szCs w:val="21"/>
                <w:highlight w:val="none"/>
              </w:rPr>
            </w:pPr>
            <w:r>
              <w:rPr>
                <w:rFonts w:ascii="宋体" w:hAnsi="宋体" w:eastAsia="宋体" w:cs="宋体"/>
                <w:color w:val="auto"/>
                <w:szCs w:val="21"/>
                <w:highlight w:val="none"/>
              </w:rPr>
              <w:t>2.2.4</w:t>
            </w:r>
            <w:r>
              <w:rPr>
                <w:rFonts w:hint="eastAsia" w:ascii="宋体" w:hAnsi="宋体" w:eastAsia="宋体" w:cs="宋体"/>
                <w:color w:val="auto"/>
                <w:szCs w:val="21"/>
                <w:highlight w:val="none"/>
              </w:rPr>
              <w:t>（</w:t>
            </w:r>
            <w:r>
              <w:rPr>
                <w:rFonts w:ascii="宋体" w:hAnsi="宋体" w:eastAsia="宋体" w:cs="宋体"/>
                <w:color w:val="auto"/>
                <w:szCs w:val="21"/>
                <w:highlight w:val="none"/>
              </w:rPr>
              <w:t>2</w:t>
            </w:r>
            <w:r>
              <w:rPr>
                <w:rFonts w:hint="eastAsia" w:ascii="宋体" w:hAnsi="宋体" w:eastAsia="宋体" w:cs="宋体"/>
                <w:color w:val="auto"/>
                <w:szCs w:val="21"/>
                <w:highlight w:val="none"/>
              </w:rPr>
              <w:t>）</w:t>
            </w:r>
          </w:p>
        </w:tc>
        <w:tc>
          <w:tcPr>
            <w:tcW w:w="1417" w:type="dxa"/>
            <w:vMerge w:val="restart"/>
            <w:shd w:val="clear" w:color="auto" w:fill="FFFFFF"/>
            <w:tcMar>
              <w:top w:w="0" w:type="dxa"/>
              <w:left w:w="108" w:type="dxa"/>
              <w:bottom w:w="0" w:type="dxa"/>
              <w:right w:w="108" w:type="dxa"/>
            </w:tcMar>
            <w:vAlign w:val="center"/>
          </w:tcPr>
          <w:p w14:paraId="1B3AE9AB">
            <w:pPr>
              <w:widowControl/>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监理大纲评分标准（4</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w:t>
            </w:r>
            <w:r>
              <w:rPr>
                <w:rFonts w:ascii="宋体" w:hAnsi="宋体" w:eastAsia="宋体" w:cs="宋体"/>
                <w:color w:val="auto"/>
                <w:szCs w:val="21"/>
                <w:highlight w:val="none"/>
              </w:rPr>
              <w:t>(B)</w:t>
            </w:r>
          </w:p>
        </w:tc>
        <w:tc>
          <w:tcPr>
            <w:tcW w:w="2587" w:type="dxa"/>
            <w:shd w:val="clear" w:color="auto" w:fill="FFFFFF"/>
            <w:tcMar>
              <w:top w:w="0" w:type="dxa"/>
              <w:left w:w="108" w:type="dxa"/>
              <w:bottom w:w="0" w:type="dxa"/>
              <w:right w:w="108" w:type="dxa"/>
            </w:tcMar>
            <w:vAlign w:val="center"/>
          </w:tcPr>
          <w:p w14:paraId="38ADA76B">
            <w:pPr>
              <w:widowControl/>
              <w:wordWrap w:val="0"/>
              <w:spacing w:before="0" w:beforeAutospacing="0" w:after="0" w:afterAutospacing="0" w:line="276"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监理依据、监理工作目标（</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tc>
        <w:tc>
          <w:tcPr>
            <w:tcW w:w="5251" w:type="dxa"/>
            <w:shd w:val="clear" w:color="auto" w:fill="FFFFFF"/>
            <w:tcMar>
              <w:top w:w="0" w:type="dxa"/>
              <w:left w:w="108" w:type="dxa"/>
              <w:bottom w:w="0" w:type="dxa"/>
              <w:right w:w="108" w:type="dxa"/>
            </w:tcMar>
            <w:vAlign w:val="center"/>
          </w:tcPr>
          <w:p w14:paraId="68A91B84">
            <w:pPr>
              <w:widowControl/>
              <w:wordWrap w:val="0"/>
              <w:spacing w:line="276"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要求目标明确、方法合理可行、措施具体、针对性强。措施为优得</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分；措施为良得</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分；措施为一般得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分；无措施不得分。</w:t>
            </w:r>
          </w:p>
        </w:tc>
      </w:tr>
      <w:tr w14:paraId="3E096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846" w:type="dxa"/>
            <w:vMerge w:val="continue"/>
            <w:shd w:val="clear" w:color="auto" w:fill="FFFFFF"/>
            <w:vAlign w:val="center"/>
          </w:tcPr>
          <w:p w14:paraId="236B1016">
            <w:pPr>
              <w:widowControl/>
              <w:wordWrap w:val="0"/>
              <w:spacing w:line="276" w:lineRule="auto"/>
              <w:rPr>
                <w:rFonts w:hint="eastAsia" w:ascii="宋体" w:hAnsi="宋体" w:eastAsia="宋体" w:cs="宋体"/>
                <w:color w:val="auto"/>
                <w:szCs w:val="21"/>
                <w:highlight w:val="none"/>
              </w:rPr>
            </w:pPr>
          </w:p>
        </w:tc>
        <w:tc>
          <w:tcPr>
            <w:tcW w:w="1417" w:type="dxa"/>
            <w:vMerge w:val="continue"/>
            <w:shd w:val="clear" w:color="auto" w:fill="FFFFFF"/>
            <w:vAlign w:val="center"/>
          </w:tcPr>
          <w:p w14:paraId="6B6FFFA7">
            <w:pPr>
              <w:widowControl/>
              <w:wordWrap w:val="0"/>
              <w:spacing w:line="276" w:lineRule="auto"/>
              <w:jc w:val="center"/>
              <w:rPr>
                <w:rFonts w:hint="eastAsia" w:ascii="宋体" w:hAnsi="宋体" w:eastAsia="宋体" w:cs="宋体"/>
                <w:color w:val="auto"/>
                <w:szCs w:val="21"/>
                <w:highlight w:val="none"/>
              </w:rPr>
            </w:pPr>
          </w:p>
        </w:tc>
        <w:tc>
          <w:tcPr>
            <w:tcW w:w="2587" w:type="dxa"/>
            <w:shd w:val="clear" w:color="auto" w:fill="FFFFFF"/>
            <w:tcMar>
              <w:top w:w="0" w:type="dxa"/>
              <w:left w:w="108" w:type="dxa"/>
              <w:bottom w:w="0" w:type="dxa"/>
              <w:right w:w="108" w:type="dxa"/>
            </w:tcMar>
            <w:vAlign w:val="center"/>
          </w:tcPr>
          <w:p w14:paraId="08490752">
            <w:pPr>
              <w:widowControl/>
              <w:wordWrap w:val="0"/>
              <w:spacing w:before="0" w:beforeAutospacing="0" w:after="0" w:afterAutospacing="0" w:line="276"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监理机构设置和岗位职责（</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tc>
        <w:tc>
          <w:tcPr>
            <w:tcW w:w="5251" w:type="dxa"/>
            <w:shd w:val="clear" w:color="auto" w:fill="FFFFFF"/>
            <w:tcMar>
              <w:top w:w="0" w:type="dxa"/>
              <w:left w:w="108" w:type="dxa"/>
              <w:bottom w:w="0" w:type="dxa"/>
              <w:right w:w="108" w:type="dxa"/>
            </w:tcMar>
            <w:vAlign w:val="top"/>
          </w:tcPr>
          <w:p w14:paraId="35A52C3B">
            <w:pPr>
              <w:widowControl/>
              <w:wordWrap w:val="0"/>
              <w:spacing w:line="276"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要求目标明确、方法合理可行、措施具体、针对性强。措施为优得</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分；措施为良得</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分；措施为一般得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分；无措施不得分。</w:t>
            </w:r>
          </w:p>
        </w:tc>
      </w:tr>
      <w:tr w14:paraId="1BC24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846" w:type="dxa"/>
            <w:vMerge w:val="continue"/>
            <w:shd w:val="clear" w:color="auto" w:fill="FFFFFF"/>
            <w:vAlign w:val="center"/>
          </w:tcPr>
          <w:p w14:paraId="46672C87">
            <w:pPr>
              <w:widowControl/>
              <w:wordWrap w:val="0"/>
              <w:spacing w:line="276" w:lineRule="auto"/>
              <w:rPr>
                <w:rFonts w:hint="eastAsia" w:ascii="宋体" w:hAnsi="宋体" w:eastAsia="宋体" w:cs="宋体"/>
                <w:color w:val="auto"/>
                <w:szCs w:val="21"/>
                <w:highlight w:val="none"/>
              </w:rPr>
            </w:pPr>
          </w:p>
        </w:tc>
        <w:tc>
          <w:tcPr>
            <w:tcW w:w="1417" w:type="dxa"/>
            <w:vMerge w:val="continue"/>
            <w:shd w:val="clear" w:color="auto" w:fill="FFFFFF"/>
            <w:vAlign w:val="center"/>
          </w:tcPr>
          <w:p w14:paraId="38C694F2">
            <w:pPr>
              <w:widowControl/>
              <w:wordWrap w:val="0"/>
              <w:spacing w:line="276" w:lineRule="auto"/>
              <w:jc w:val="center"/>
              <w:rPr>
                <w:rFonts w:hint="eastAsia" w:ascii="宋体" w:hAnsi="宋体" w:eastAsia="宋体" w:cs="宋体"/>
                <w:color w:val="auto"/>
                <w:szCs w:val="21"/>
                <w:highlight w:val="none"/>
              </w:rPr>
            </w:pPr>
          </w:p>
        </w:tc>
        <w:tc>
          <w:tcPr>
            <w:tcW w:w="2587" w:type="dxa"/>
            <w:shd w:val="clear" w:color="auto" w:fill="FFFFFF"/>
            <w:tcMar>
              <w:top w:w="0" w:type="dxa"/>
              <w:left w:w="57" w:type="dxa"/>
              <w:bottom w:w="0" w:type="dxa"/>
              <w:right w:w="57" w:type="dxa"/>
            </w:tcMar>
            <w:vAlign w:val="center"/>
          </w:tcPr>
          <w:p w14:paraId="70D62D1E">
            <w:pPr>
              <w:widowControl/>
              <w:wordWrap w:val="0"/>
              <w:spacing w:before="0" w:beforeAutospacing="0" w:after="0" w:afterAutospacing="0" w:line="276"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监理工作程序、方法和制度（</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tc>
        <w:tc>
          <w:tcPr>
            <w:tcW w:w="5251" w:type="dxa"/>
            <w:shd w:val="clear" w:color="auto" w:fill="FFFFFF"/>
            <w:tcMar>
              <w:top w:w="0" w:type="dxa"/>
              <w:left w:w="57" w:type="dxa"/>
              <w:bottom w:w="0" w:type="dxa"/>
              <w:right w:w="57" w:type="dxa"/>
            </w:tcMar>
            <w:vAlign w:val="top"/>
          </w:tcPr>
          <w:p w14:paraId="051E6408">
            <w:pPr>
              <w:widowControl/>
              <w:wordWrap w:val="0"/>
              <w:spacing w:line="276"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有清晰的工作流程图、工作准则。满足要求得</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分；能较好满足要求得</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分；基本满足要求得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分；不满足要求不得分。</w:t>
            </w:r>
          </w:p>
        </w:tc>
      </w:tr>
      <w:tr w14:paraId="2C537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846" w:type="dxa"/>
            <w:vMerge w:val="continue"/>
            <w:shd w:val="clear" w:color="auto" w:fill="FFFFFF"/>
            <w:vAlign w:val="center"/>
          </w:tcPr>
          <w:p w14:paraId="5D2BF7AA">
            <w:pPr>
              <w:widowControl/>
              <w:wordWrap w:val="0"/>
              <w:spacing w:line="276" w:lineRule="auto"/>
              <w:rPr>
                <w:rFonts w:hint="eastAsia" w:ascii="宋体" w:hAnsi="宋体" w:eastAsia="宋体" w:cs="宋体"/>
                <w:color w:val="auto"/>
                <w:szCs w:val="21"/>
                <w:highlight w:val="none"/>
              </w:rPr>
            </w:pPr>
          </w:p>
        </w:tc>
        <w:tc>
          <w:tcPr>
            <w:tcW w:w="1417" w:type="dxa"/>
            <w:vMerge w:val="continue"/>
            <w:shd w:val="clear" w:color="auto" w:fill="FFFFFF"/>
            <w:vAlign w:val="center"/>
          </w:tcPr>
          <w:p w14:paraId="502CDA0F">
            <w:pPr>
              <w:widowControl/>
              <w:wordWrap w:val="0"/>
              <w:spacing w:line="276" w:lineRule="auto"/>
              <w:jc w:val="center"/>
              <w:rPr>
                <w:rFonts w:hint="eastAsia" w:ascii="宋体" w:hAnsi="宋体" w:eastAsia="宋体" w:cs="宋体"/>
                <w:color w:val="auto"/>
                <w:szCs w:val="21"/>
                <w:highlight w:val="none"/>
              </w:rPr>
            </w:pPr>
          </w:p>
        </w:tc>
        <w:tc>
          <w:tcPr>
            <w:tcW w:w="2587" w:type="dxa"/>
            <w:shd w:val="clear" w:color="auto" w:fill="FFFFFF"/>
            <w:tcMar>
              <w:top w:w="0" w:type="dxa"/>
              <w:left w:w="57" w:type="dxa"/>
              <w:bottom w:w="0" w:type="dxa"/>
              <w:right w:w="57" w:type="dxa"/>
            </w:tcMar>
            <w:vAlign w:val="center"/>
          </w:tcPr>
          <w:p w14:paraId="05A5006B">
            <w:pPr>
              <w:widowControl/>
              <w:wordWrap w:val="0"/>
              <w:spacing w:before="0" w:beforeAutospacing="0" w:after="0" w:afterAutospacing="0" w:line="276"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质量、进度、造价、安全、环保监理措施（12分）</w:t>
            </w:r>
          </w:p>
        </w:tc>
        <w:tc>
          <w:tcPr>
            <w:tcW w:w="5251" w:type="dxa"/>
            <w:shd w:val="clear" w:color="auto" w:fill="FFFFFF"/>
            <w:tcMar>
              <w:top w:w="0" w:type="dxa"/>
              <w:left w:w="57" w:type="dxa"/>
              <w:bottom w:w="0" w:type="dxa"/>
              <w:right w:w="57" w:type="dxa"/>
            </w:tcMar>
            <w:vAlign w:val="top"/>
          </w:tcPr>
          <w:p w14:paraId="7B3903ED">
            <w:pPr>
              <w:widowControl/>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1、质量控制措施</w:t>
            </w:r>
          </w:p>
          <w:p w14:paraId="1E2FC37C">
            <w:pPr>
              <w:widowControl/>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要求目标明确、方法合理可行、措施具体、针对性强。措施为优得3分；措施为良得2分；措施为一般得1分；无措施不得分。</w:t>
            </w:r>
          </w:p>
          <w:p w14:paraId="0E020AC4">
            <w:pPr>
              <w:widowControl/>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2、进度控制措施</w:t>
            </w:r>
          </w:p>
          <w:p w14:paraId="7B21B7F3">
            <w:pPr>
              <w:widowControl/>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要求目标明确、方法合理可行、措施具体、针对性强。措施为优得3分；措施为良得2分；措施为一般得1分；无措施不得分。</w:t>
            </w:r>
          </w:p>
          <w:p w14:paraId="3186C381">
            <w:pPr>
              <w:widowControl/>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3、造价控制措施</w:t>
            </w:r>
          </w:p>
          <w:p w14:paraId="38FD03C7">
            <w:pPr>
              <w:widowControl/>
              <w:wordWrap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要求目标明确、方法合理可行、措施具体、针对性强。措施为优得3分；措施为良得2分；措施为一般得1分；无措施不得分。</w:t>
            </w:r>
          </w:p>
          <w:p w14:paraId="73210B10">
            <w:pPr>
              <w:widowControl/>
              <w:wordWrap w:val="0"/>
              <w:spacing w:line="276"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4、安全、环保、文明施工管理措施措施为优得3分；措施为良得2分；措施为一般得1分；无措施不得分。</w:t>
            </w:r>
          </w:p>
        </w:tc>
      </w:tr>
      <w:tr w14:paraId="58A83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 w:hRule="atLeast"/>
          <w:jc w:val="center"/>
        </w:trPr>
        <w:tc>
          <w:tcPr>
            <w:tcW w:w="846" w:type="dxa"/>
            <w:vMerge w:val="continue"/>
            <w:shd w:val="clear" w:color="auto" w:fill="FFFFFF"/>
            <w:vAlign w:val="center"/>
          </w:tcPr>
          <w:p w14:paraId="7E56984E">
            <w:pPr>
              <w:widowControl/>
              <w:wordWrap w:val="0"/>
              <w:spacing w:line="276" w:lineRule="auto"/>
              <w:rPr>
                <w:rFonts w:hint="eastAsia" w:ascii="宋体" w:hAnsi="宋体" w:eastAsia="宋体" w:cs="宋体"/>
                <w:color w:val="auto"/>
                <w:szCs w:val="21"/>
                <w:highlight w:val="none"/>
              </w:rPr>
            </w:pPr>
          </w:p>
        </w:tc>
        <w:tc>
          <w:tcPr>
            <w:tcW w:w="1417" w:type="dxa"/>
            <w:vMerge w:val="continue"/>
            <w:shd w:val="clear" w:color="auto" w:fill="FFFFFF"/>
            <w:vAlign w:val="center"/>
          </w:tcPr>
          <w:p w14:paraId="4971CD01">
            <w:pPr>
              <w:widowControl/>
              <w:wordWrap w:val="0"/>
              <w:spacing w:line="276" w:lineRule="auto"/>
              <w:jc w:val="center"/>
              <w:rPr>
                <w:rFonts w:hint="eastAsia" w:ascii="宋体" w:hAnsi="宋体" w:eastAsia="宋体" w:cs="宋体"/>
                <w:color w:val="auto"/>
                <w:szCs w:val="21"/>
                <w:highlight w:val="none"/>
              </w:rPr>
            </w:pPr>
          </w:p>
        </w:tc>
        <w:tc>
          <w:tcPr>
            <w:tcW w:w="2587" w:type="dxa"/>
            <w:shd w:val="clear" w:color="auto" w:fill="FFFFFF"/>
            <w:tcMar>
              <w:top w:w="0" w:type="dxa"/>
              <w:left w:w="57" w:type="dxa"/>
              <w:bottom w:w="0" w:type="dxa"/>
              <w:right w:w="57" w:type="dxa"/>
            </w:tcMar>
            <w:vAlign w:val="center"/>
          </w:tcPr>
          <w:p w14:paraId="48C448E8">
            <w:pPr>
              <w:widowControl/>
              <w:wordWrap w:val="0"/>
              <w:spacing w:before="0" w:beforeAutospacing="0" w:after="0" w:afterAutospacing="0" w:line="276"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合同、信息管理方案（</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tc>
        <w:tc>
          <w:tcPr>
            <w:tcW w:w="5251" w:type="dxa"/>
            <w:shd w:val="clear" w:color="auto" w:fill="FFFFFF"/>
            <w:tcMar>
              <w:top w:w="0" w:type="dxa"/>
              <w:left w:w="57" w:type="dxa"/>
              <w:bottom w:w="0" w:type="dxa"/>
              <w:right w:w="57" w:type="dxa"/>
            </w:tcMar>
            <w:vAlign w:val="top"/>
          </w:tcPr>
          <w:p w14:paraId="4F86D65C">
            <w:pPr>
              <w:widowControl/>
              <w:wordWrap w:val="0"/>
              <w:spacing w:line="276"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管理方法合理有效，针对性强、措施具体得</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分；措施为良得</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分；措施基本可行得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分；措施不得力不得分。</w:t>
            </w:r>
          </w:p>
        </w:tc>
      </w:tr>
      <w:tr w14:paraId="07AC1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846" w:type="dxa"/>
            <w:vMerge w:val="continue"/>
            <w:shd w:val="clear" w:color="auto" w:fill="FFFFFF"/>
            <w:vAlign w:val="center"/>
          </w:tcPr>
          <w:p w14:paraId="4491FC0D">
            <w:pPr>
              <w:widowControl/>
              <w:wordWrap w:val="0"/>
              <w:spacing w:line="276" w:lineRule="auto"/>
              <w:rPr>
                <w:rFonts w:hint="eastAsia" w:ascii="宋体" w:hAnsi="宋体" w:eastAsia="宋体" w:cs="宋体"/>
                <w:color w:val="auto"/>
                <w:szCs w:val="21"/>
                <w:highlight w:val="none"/>
              </w:rPr>
            </w:pPr>
          </w:p>
        </w:tc>
        <w:tc>
          <w:tcPr>
            <w:tcW w:w="1417" w:type="dxa"/>
            <w:vMerge w:val="continue"/>
            <w:shd w:val="clear" w:color="auto" w:fill="FFFFFF"/>
            <w:vAlign w:val="center"/>
          </w:tcPr>
          <w:p w14:paraId="1CED0E6B">
            <w:pPr>
              <w:widowControl/>
              <w:wordWrap w:val="0"/>
              <w:spacing w:line="276" w:lineRule="auto"/>
              <w:jc w:val="center"/>
              <w:rPr>
                <w:rFonts w:hint="eastAsia" w:ascii="宋体" w:hAnsi="宋体" w:eastAsia="宋体" w:cs="宋体"/>
                <w:color w:val="auto"/>
                <w:szCs w:val="21"/>
                <w:highlight w:val="none"/>
              </w:rPr>
            </w:pPr>
          </w:p>
        </w:tc>
        <w:tc>
          <w:tcPr>
            <w:tcW w:w="2587" w:type="dxa"/>
            <w:shd w:val="clear" w:color="auto" w:fill="FFFFFF"/>
            <w:tcMar>
              <w:top w:w="0" w:type="dxa"/>
              <w:left w:w="57" w:type="dxa"/>
              <w:bottom w:w="0" w:type="dxa"/>
              <w:right w:w="57" w:type="dxa"/>
            </w:tcMar>
            <w:vAlign w:val="center"/>
          </w:tcPr>
          <w:p w14:paraId="61298C55">
            <w:pPr>
              <w:widowControl/>
              <w:wordWrap w:val="0"/>
              <w:spacing w:before="0" w:beforeAutospacing="0" w:after="0" w:afterAutospacing="0" w:line="276"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监理组织协调内容及措施（</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tc>
        <w:tc>
          <w:tcPr>
            <w:tcW w:w="5251" w:type="dxa"/>
            <w:shd w:val="clear" w:color="auto" w:fill="FFFFFF"/>
            <w:tcMar>
              <w:top w:w="0" w:type="dxa"/>
              <w:left w:w="57" w:type="dxa"/>
              <w:bottom w:w="0" w:type="dxa"/>
              <w:right w:w="57" w:type="dxa"/>
            </w:tcMar>
            <w:vAlign w:val="top"/>
          </w:tcPr>
          <w:p w14:paraId="7E3962DD">
            <w:pPr>
              <w:widowControl/>
              <w:wordWrap w:val="0"/>
              <w:spacing w:line="276"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协调方法合理有效，针对性强、措施具体得</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分；措施为良得</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分；基本可行得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分；措施不得力不得分。</w:t>
            </w:r>
          </w:p>
        </w:tc>
      </w:tr>
      <w:tr w14:paraId="3A38F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846" w:type="dxa"/>
            <w:vMerge w:val="continue"/>
            <w:shd w:val="clear" w:color="auto" w:fill="FFFFFF"/>
            <w:vAlign w:val="center"/>
          </w:tcPr>
          <w:p w14:paraId="6F2FDB32">
            <w:pPr>
              <w:widowControl/>
              <w:wordWrap w:val="0"/>
              <w:spacing w:line="276" w:lineRule="auto"/>
              <w:rPr>
                <w:rFonts w:hint="eastAsia" w:ascii="宋体" w:hAnsi="宋体" w:eastAsia="宋体" w:cs="宋体"/>
                <w:color w:val="auto"/>
                <w:szCs w:val="21"/>
                <w:highlight w:val="none"/>
              </w:rPr>
            </w:pPr>
          </w:p>
        </w:tc>
        <w:tc>
          <w:tcPr>
            <w:tcW w:w="1417" w:type="dxa"/>
            <w:vMerge w:val="continue"/>
            <w:shd w:val="clear" w:color="auto" w:fill="FFFFFF"/>
            <w:vAlign w:val="center"/>
          </w:tcPr>
          <w:p w14:paraId="53E69526">
            <w:pPr>
              <w:widowControl/>
              <w:wordWrap w:val="0"/>
              <w:spacing w:line="276" w:lineRule="auto"/>
              <w:jc w:val="center"/>
              <w:rPr>
                <w:rFonts w:hint="eastAsia" w:ascii="宋体" w:hAnsi="宋体" w:eastAsia="宋体" w:cs="宋体"/>
                <w:color w:val="auto"/>
                <w:szCs w:val="21"/>
                <w:highlight w:val="none"/>
              </w:rPr>
            </w:pPr>
          </w:p>
        </w:tc>
        <w:tc>
          <w:tcPr>
            <w:tcW w:w="2587" w:type="dxa"/>
            <w:shd w:val="clear" w:color="auto" w:fill="FFFFFF"/>
            <w:tcMar>
              <w:top w:w="0" w:type="dxa"/>
              <w:left w:w="57" w:type="dxa"/>
              <w:bottom w:w="0" w:type="dxa"/>
              <w:right w:w="57" w:type="dxa"/>
            </w:tcMar>
            <w:vAlign w:val="center"/>
          </w:tcPr>
          <w:p w14:paraId="2F12D801">
            <w:pPr>
              <w:widowControl/>
              <w:wordWrap w:val="0"/>
              <w:spacing w:before="0" w:beforeAutospacing="0" w:after="0" w:afterAutospacing="0" w:line="276"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监理工作重点、难点分析（</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tc>
        <w:tc>
          <w:tcPr>
            <w:tcW w:w="5251" w:type="dxa"/>
            <w:shd w:val="clear" w:color="auto" w:fill="FFFFFF"/>
            <w:tcMar>
              <w:top w:w="0" w:type="dxa"/>
              <w:left w:w="57" w:type="dxa"/>
              <w:bottom w:w="0" w:type="dxa"/>
              <w:right w:w="57" w:type="dxa"/>
            </w:tcMar>
            <w:vAlign w:val="top"/>
          </w:tcPr>
          <w:p w14:paraId="0EA4748D">
            <w:pPr>
              <w:widowControl/>
              <w:wordWrap w:val="0"/>
              <w:spacing w:line="276"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要求针对性强、措施具体、可操作。优得</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分；良得</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分；基本可行的得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分，差及无措施不得分。</w:t>
            </w:r>
          </w:p>
        </w:tc>
      </w:tr>
      <w:tr w14:paraId="31F35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846" w:type="dxa"/>
            <w:vMerge w:val="continue"/>
            <w:shd w:val="clear" w:color="auto" w:fill="FFFFFF"/>
            <w:vAlign w:val="center"/>
          </w:tcPr>
          <w:p w14:paraId="34B4B9F4">
            <w:pPr>
              <w:widowControl/>
              <w:wordWrap w:val="0"/>
              <w:spacing w:line="276" w:lineRule="auto"/>
              <w:rPr>
                <w:rFonts w:hint="eastAsia" w:ascii="宋体" w:hAnsi="宋体" w:eastAsia="宋体" w:cs="宋体"/>
                <w:color w:val="auto"/>
                <w:szCs w:val="21"/>
                <w:highlight w:val="none"/>
              </w:rPr>
            </w:pPr>
          </w:p>
        </w:tc>
        <w:tc>
          <w:tcPr>
            <w:tcW w:w="1417" w:type="dxa"/>
            <w:vMerge w:val="continue"/>
            <w:shd w:val="clear" w:color="auto" w:fill="FFFFFF"/>
            <w:vAlign w:val="center"/>
          </w:tcPr>
          <w:p w14:paraId="4AA7E021">
            <w:pPr>
              <w:widowControl/>
              <w:wordWrap w:val="0"/>
              <w:spacing w:line="276" w:lineRule="auto"/>
              <w:jc w:val="center"/>
              <w:rPr>
                <w:rFonts w:hint="eastAsia" w:ascii="宋体" w:hAnsi="宋体" w:eastAsia="宋体" w:cs="宋体"/>
                <w:color w:val="auto"/>
                <w:szCs w:val="21"/>
                <w:highlight w:val="none"/>
              </w:rPr>
            </w:pPr>
          </w:p>
        </w:tc>
        <w:tc>
          <w:tcPr>
            <w:tcW w:w="2587" w:type="dxa"/>
            <w:shd w:val="clear" w:color="auto" w:fill="FFFFFF"/>
            <w:tcMar>
              <w:top w:w="0" w:type="dxa"/>
              <w:left w:w="57" w:type="dxa"/>
              <w:bottom w:w="0" w:type="dxa"/>
              <w:right w:w="57" w:type="dxa"/>
            </w:tcMar>
            <w:vAlign w:val="center"/>
          </w:tcPr>
          <w:p w14:paraId="1019748F">
            <w:pPr>
              <w:widowControl/>
              <w:wordWrap w:val="0"/>
              <w:spacing w:before="0" w:beforeAutospacing="0" w:after="0" w:afterAutospacing="0" w:line="276"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合理化建议（3分）</w:t>
            </w:r>
          </w:p>
        </w:tc>
        <w:tc>
          <w:tcPr>
            <w:tcW w:w="5251" w:type="dxa"/>
            <w:shd w:val="clear" w:color="auto" w:fill="FFFFFF"/>
            <w:tcMar>
              <w:top w:w="0" w:type="dxa"/>
              <w:left w:w="57" w:type="dxa"/>
              <w:bottom w:w="0" w:type="dxa"/>
              <w:right w:w="57" w:type="dxa"/>
            </w:tcMar>
            <w:vAlign w:val="top"/>
          </w:tcPr>
          <w:p w14:paraId="2526F567">
            <w:pPr>
              <w:widowControl/>
              <w:wordWrap w:val="0"/>
              <w:spacing w:line="276"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具有科学、合理、可行及具体措施的建议得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分；建议为良得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分；基本可行的得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分，否则不得分。</w:t>
            </w:r>
          </w:p>
        </w:tc>
      </w:tr>
      <w:tr w14:paraId="364B6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846" w:type="dxa"/>
            <w:vMerge w:val="restart"/>
            <w:shd w:val="clear" w:color="auto" w:fill="FFFFFF"/>
            <w:tcMar>
              <w:top w:w="0" w:type="dxa"/>
              <w:left w:w="108" w:type="dxa"/>
              <w:bottom w:w="0" w:type="dxa"/>
              <w:right w:w="108" w:type="dxa"/>
            </w:tcMar>
            <w:vAlign w:val="center"/>
          </w:tcPr>
          <w:p w14:paraId="1CDCE83C">
            <w:pPr>
              <w:widowControl/>
              <w:wordWrap w:val="0"/>
              <w:spacing w:line="276" w:lineRule="auto"/>
              <w:jc w:val="center"/>
              <w:rPr>
                <w:rFonts w:hint="eastAsia" w:ascii="宋体" w:hAnsi="宋体" w:eastAsia="宋体" w:cs="Times New Roman"/>
                <w:color w:val="auto"/>
                <w:szCs w:val="21"/>
                <w:highlight w:val="none"/>
              </w:rPr>
            </w:pPr>
            <w:r>
              <w:rPr>
                <w:rFonts w:ascii="宋体" w:hAnsi="宋体" w:eastAsia="宋体" w:cs="宋体"/>
                <w:color w:val="auto"/>
                <w:szCs w:val="21"/>
                <w:highlight w:val="none"/>
              </w:rPr>
              <w:t>2.2.4</w:t>
            </w:r>
            <w:r>
              <w:rPr>
                <w:rFonts w:hint="eastAsia" w:ascii="宋体" w:hAnsi="宋体" w:eastAsia="宋体" w:cs="宋体"/>
                <w:color w:val="auto"/>
                <w:szCs w:val="21"/>
                <w:highlight w:val="none"/>
              </w:rPr>
              <w:t>（</w:t>
            </w:r>
            <w:r>
              <w:rPr>
                <w:rFonts w:ascii="宋体" w:hAnsi="宋体" w:eastAsia="宋体" w:cs="宋体"/>
                <w:color w:val="auto"/>
                <w:szCs w:val="21"/>
                <w:highlight w:val="none"/>
              </w:rPr>
              <w:t>3</w:t>
            </w:r>
            <w:r>
              <w:rPr>
                <w:rFonts w:hint="eastAsia" w:ascii="宋体" w:hAnsi="宋体" w:eastAsia="宋体" w:cs="宋体"/>
                <w:color w:val="auto"/>
                <w:szCs w:val="21"/>
                <w:highlight w:val="none"/>
              </w:rPr>
              <w:t>）</w:t>
            </w:r>
          </w:p>
        </w:tc>
        <w:tc>
          <w:tcPr>
            <w:tcW w:w="1417" w:type="dxa"/>
            <w:vMerge w:val="restart"/>
            <w:shd w:val="clear" w:color="auto" w:fill="FFFFFF"/>
            <w:tcMar>
              <w:top w:w="0" w:type="dxa"/>
              <w:left w:w="108" w:type="dxa"/>
              <w:bottom w:w="0" w:type="dxa"/>
              <w:right w:w="108" w:type="dxa"/>
            </w:tcMar>
            <w:vAlign w:val="center"/>
          </w:tcPr>
          <w:p w14:paraId="72155D46">
            <w:pPr>
              <w:widowControl/>
              <w:wordWrap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投标报价评分标准</w:t>
            </w:r>
            <w:r>
              <w:rPr>
                <w:rFonts w:ascii="宋体" w:hAnsi="宋体" w:eastAsia="宋体" w:cs="宋体"/>
                <w:color w:val="auto"/>
                <w:szCs w:val="21"/>
                <w:highlight w:val="none"/>
              </w:rPr>
              <w:t>(1</w:t>
            </w:r>
            <w:r>
              <w:rPr>
                <w:rFonts w:hint="eastAsia" w:ascii="宋体" w:hAnsi="宋体" w:eastAsia="宋体" w:cs="宋体"/>
                <w:color w:val="auto"/>
                <w:szCs w:val="21"/>
                <w:highlight w:val="none"/>
              </w:rPr>
              <w:t>0分</w:t>
            </w:r>
            <w:r>
              <w:rPr>
                <w:rFonts w:ascii="宋体" w:hAnsi="宋体" w:eastAsia="宋体" w:cs="宋体"/>
                <w:color w:val="auto"/>
                <w:szCs w:val="21"/>
                <w:highlight w:val="none"/>
              </w:rPr>
              <w:t>)(C)</w:t>
            </w:r>
          </w:p>
        </w:tc>
        <w:tc>
          <w:tcPr>
            <w:tcW w:w="2587" w:type="dxa"/>
            <w:shd w:val="clear" w:color="auto" w:fill="FFFFFF"/>
            <w:tcMar>
              <w:top w:w="0" w:type="dxa"/>
              <w:left w:w="108" w:type="dxa"/>
              <w:bottom w:w="0" w:type="dxa"/>
              <w:right w:w="108" w:type="dxa"/>
            </w:tcMar>
            <w:vAlign w:val="center"/>
          </w:tcPr>
          <w:p w14:paraId="5A912228">
            <w:pPr>
              <w:widowControl/>
              <w:wordWrap w:val="0"/>
              <w:topLinePunct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评标基准价计算方法</w:t>
            </w:r>
          </w:p>
        </w:tc>
        <w:tc>
          <w:tcPr>
            <w:tcW w:w="5251" w:type="dxa"/>
            <w:shd w:val="clear" w:color="auto" w:fill="FFFFFF"/>
            <w:tcMar>
              <w:top w:w="0" w:type="dxa"/>
              <w:left w:w="108" w:type="dxa"/>
              <w:bottom w:w="0" w:type="dxa"/>
              <w:right w:w="108" w:type="dxa"/>
            </w:tcMar>
            <w:vAlign w:val="center"/>
          </w:tcPr>
          <w:p w14:paraId="651950BB">
            <w:pPr>
              <w:widowControl/>
              <w:wordWrap w:val="0"/>
              <w:spacing w:line="276" w:lineRule="auto"/>
              <w:jc w:val="left"/>
              <w:rPr>
                <w:rFonts w:hint="eastAsia" w:ascii="宋体" w:hAnsi="宋体" w:eastAsia="宋体" w:cs="宋体"/>
                <w:color w:val="auto"/>
                <w:szCs w:val="21"/>
                <w:highlight w:val="none"/>
              </w:rPr>
            </w:pPr>
            <w:r>
              <w:rPr>
                <w:rFonts w:hint="eastAsia" w:ascii="宋体" w:hAnsi="宋体" w:eastAsia="宋体" w:cs="宋体"/>
                <w:b w:val="0"/>
                <w:bCs w:val="0"/>
                <w:color w:val="auto"/>
                <w:sz w:val="21"/>
                <w:szCs w:val="21"/>
                <w:highlight w:val="none"/>
                <w:u w:val="none"/>
                <w:lang w:val="en-US" w:eastAsia="zh-CN"/>
              </w:rPr>
              <w:t>通过形式评审、资格评审、响应性评审且投标价格最低的投标报价为评标基准价</w:t>
            </w:r>
          </w:p>
        </w:tc>
      </w:tr>
      <w:tr w14:paraId="46C98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846" w:type="dxa"/>
            <w:vMerge w:val="continue"/>
            <w:shd w:val="clear" w:color="auto" w:fill="FFFFFF"/>
            <w:tcMar>
              <w:top w:w="0" w:type="dxa"/>
              <w:left w:w="108" w:type="dxa"/>
              <w:bottom w:w="0" w:type="dxa"/>
              <w:right w:w="108" w:type="dxa"/>
            </w:tcMar>
            <w:vAlign w:val="center"/>
          </w:tcPr>
          <w:p w14:paraId="3BFF634A">
            <w:pPr>
              <w:widowControl/>
              <w:wordWrap w:val="0"/>
              <w:spacing w:line="276" w:lineRule="auto"/>
              <w:jc w:val="center"/>
              <w:rPr>
                <w:rFonts w:ascii="宋体" w:hAnsi="宋体" w:eastAsia="宋体" w:cs="宋体"/>
                <w:color w:val="auto"/>
                <w:szCs w:val="21"/>
                <w:highlight w:val="none"/>
              </w:rPr>
            </w:pPr>
          </w:p>
        </w:tc>
        <w:tc>
          <w:tcPr>
            <w:tcW w:w="1417" w:type="dxa"/>
            <w:vMerge w:val="continue"/>
            <w:shd w:val="clear" w:color="auto" w:fill="FFFFFF"/>
            <w:tcMar>
              <w:top w:w="0" w:type="dxa"/>
              <w:left w:w="108" w:type="dxa"/>
              <w:bottom w:w="0" w:type="dxa"/>
              <w:right w:w="108" w:type="dxa"/>
            </w:tcMar>
            <w:vAlign w:val="center"/>
          </w:tcPr>
          <w:p w14:paraId="347BE50D">
            <w:pPr>
              <w:widowControl/>
              <w:wordWrap w:val="0"/>
              <w:spacing w:line="276" w:lineRule="auto"/>
              <w:jc w:val="center"/>
              <w:rPr>
                <w:rFonts w:hint="eastAsia" w:ascii="宋体" w:hAnsi="宋体" w:eastAsia="宋体" w:cs="宋体"/>
                <w:color w:val="auto"/>
                <w:szCs w:val="21"/>
                <w:highlight w:val="none"/>
              </w:rPr>
            </w:pPr>
          </w:p>
        </w:tc>
        <w:tc>
          <w:tcPr>
            <w:tcW w:w="2587" w:type="dxa"/>
            <w:shd w:val="clear" w:color="auto" w:fill="FFFFFF"/>
            <w:tcMar>
              <w:top w:w="0" w:type="dxa"/>
              <w:left w:w="108" w:type="dxa"/>
              <w:bottom w:w="0" w:type="dxa"/>
              <w:right w:w="108" w:type="dxa"/>
            </w:tcMar>
            <w:vAlign w:val="center"/>
          </w:tcPr>
          <w:p w14:paraId="1ACAEB44">
            <w:pPr>
              <w:widowControl/>
              <w:wordWrap w:val="0"/>
              <w:topLinePunct w:val="0"/>
              <w:spacing w:line="276" w:lineRule="auto"/>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u w:val="none"/>
              </w:rPr>
              <w:t>投标报价评分标准</w:t>
            </w:r>
          </w:p>
        </w:tc>
        <w:tc>
          <w:tcPr>
            <w:tcW w:w="5251" w:type="dxa"/>
            <w:shd w:val="clear" w:color="auto" w:fill="FFFFFF"/>
            <w:tcMar>
              <w:top w:w="0" w:type="dxa"/>
              <w:left w:w="108" w:type="dxa"/>
              <w:bottom w:w="0" w:type="dxa"/>
              <w:right w:w="108" w:type="dxa"/>
            </w:tcMar>
            <w:vAlign w:val="center"/>
          </w:tcPr>
          <w:p w14:paraId="71C5BE41">
            <w:pPr>
              <w:widowControl/>
              <w:wordWrap w:val="0"/>
              <w:autoSpaceDE/>
              <w:autoSpaceDN/>
              <w:adjustRightInd/>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投标报价得分=（评标基准价/投标报价）×</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0，按上述公式计算得出评标价得分</w:t>
            </w:r>
            <w:r>
              <w:rPr>
                <w:rFonts w:hint="eastAsia" w:ascii="宋体" w:hAnsi="宋体" w:eastAsia="宋体" w:cs="宋体"/>
                <w:b w:val="0"/>
                <w:bCs w:val="0"/>
                <w:color w:val="auto"/>
                <w:szCs w:val="21"/>
                <w:highlight w:val="none"/>
                <w:lang w:val="zh-CN"/>
              </w:rPr>
              <w:t>。</w:t>
            </w:r>
            <w:r>
              <w:rPr>
                <w:rFonts w:hint="eastAsia" w:ascii="宋体" w:hAnsi="宋体" w:eastAsia="宋体" w:cs="宋体"/>
                <w:color w:val="auto"/>
                <w:szCs w:val="21"/>
                <w:highlight w:val="none"/>
              </w:rPr>
              <w:t>分数出现小数点，保留小数点后二位，第三位小数四舍五入。</w:t>
            </w:r>
          </w:p>
        </w:tc>
      </w:tr>
    </w:tbl>
    <w:p w14:paraId="7E5BA4E4">
      <w:pPr>
        <w:wordWrap w:val="0"/>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说明：</w:t>
      </w:r>
    </w:p>
    <w:p w14:paraId="6C9FD1E1">
      <w:pPr>
        <w:wordWrap w:val="0"/>
        <w:spacing w:line="276" w:lineRule="auto"/>
        <w:ind w:firstLine="424" w:firstLineChars="202"/>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1、类似工程是指</w:t>
      </w:r>
      <w:r>
        <w:rPr>
          <w:rFonts w:hint="eastAsia" w:ascii="宋体" w:hAnsi="宋体" w:eastAsia="宋体" w:cs="宋体"/>
          <w:color w:val="auto"/>
          <w:szCs w:val="21"/>
          <w:highlight w:val="none"/>
          <w:u w:val="single"/>
          <w:lang w:eastAsia="zh-CN"/>
        </w:rPr>
        <w:t>市政公用工程</w:t>
      </w:r>
      <w:r>
        <w:rPr>
          <w:rFonts w:hint="eastAsia" w:ascii="宋体" w:hAnsi="宋体" w:eastAsia="宋体" w:cs="宋体"/>
          <w:color w:val="auto"/>
          <w:szCs w:val="21"/>
          <w:highlight w:val="none"/>
          <w:u w:val="single"/>
        </w:rPr>
        <w:t>，需同时提供中标通知书或免招标的相关证明、监理服务合同、竣工验收报告或竣工验收证明，完成时间以竣工验收报告或竣工验收证明的时间为准。</w:t>
      </w:r>
    </w:p>
    <w:p w14:paraId="01C85856">
      <w:pPr>
        <w:wordWrap w:val="0"/>
        <w:spacing w:line="276" w:lineRule="auto"/>
        <w:ind w:firstLine="424" w:firstLineChars="202"/>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2、本项目配备的所有人员需提供相关证明资料（包括：注册证（如有）、执业资格证书（如有）、培训证或上岗证、职称证（如有）、毕业证、身份证等原件扫描件）；须同时附上自本项目投标截止前一个月（2025年 </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月）的社保证明材料，社保证明需能反映参保人在该投标单位（含分公司）缴纳，否则不得分。总监理工程师需提供业绩证明材料(服务合同或招标人出具的证明材料等)（如有），业绩证明材料不满足评分标准的不得分。投入人员不得兼任，人员证书以最高等级进行计分。</w:t>
      </w:r>
    </w:p>
    <w:p w14:paraId="7431069E">
      <w:pPr>
        <w:wordWrap w:val="0"/>
        <w:spacing w:line="276" w:lineRule="auto"/>
        <w:ind w:firstLine="424" w:firstLineChars="202"/>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以上所附证书证明文件均须提供原件彩色扫描件，投标人提供的网页截图（含网页打印件）或原件彩色扫描件必须加盖投标人印章且内容必须清晰可辨，如因网页截图或原件彩色扫描件内容模糊导致评标时无法判断的，后果由投标人自负。上述资料不提供或提供不完整或提供不符合要求的不得分。</w:t>
      </w:r>
    </w:p>
    <w:p w14:paraId="3021B7A7">
      <w:pPr>
        <w:wordWrap w:val="0"/>
        <w:spacing w:line="276" w:lineRule="auto"/>
        <w:ind w:firstLine="424" w:firstLineChars="202"/>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4、投标人资信业绩与监理大纲得分为各评委评分的算术平均值（若分数出现小数点时，保留小数点后二位，第三位小数四舍五入）。</w:t>
      </w:r>
    </w:p>
    <w:p w14:paraId="71BB93AF">
      <w:pPr>
        <w:wordWrap w:val="0"/>
        <w:spacing w:line="276" w:lineRule="auto"/>
        <w:ind w:firstLine="424" w:firstLineChars="202"/>
        <w:rPr>
          <w:rFonts w:hint="eastAsia" w:ascii="宋体" w:hAnsi="宋体" w:eastAsia="宋体" w:cs="宋体"/>
          <w:color w:val="auto"/>
          <w:szCs w:val="21"/>
          <w:highlight w:val="none"/>
          <w:u w:val="single"/>
        </w:rPr>
      </w:pPr>
    </w:p>
    <w:p w14:paraId="3B42BDBC">
      <w:pPr>
        <w:wordWrap w:val="0"/>
        <w:spacing w:line="276" w:lineRule="auto"/>
        <w:ind w:firstLine="424" w:firstLineChars="202"/>
        <w:rPr>
          <w:rFonts w:hint="eastAsia" w:ascii="宋体" w:hAnsi="宋体" w:eastAsia="宋体" w:cs="宋体"/>
          <w:color w:val="auto"/>
          <w:szCs w:val="21"/>
          <w:highlight w:val="none"/>
          <w:u w:val="single"/>
        </w:rPr>
      </w:pPr>
    </w:p>
    <w:p w14:paraId="358C68B8">
      <w:pPr>
        <w:wordWrap w:val="0"/>
        <w:spacing w:line="276" w:lineRule="auto"/>
        <w:ind w:firstLine="424" w:firstLineChars="202"/>
        <w:rPr>
          <w:rFonts w:hint="eastAsia" w:ascii="宋体" w:hAnsi="宋体" w:eastAsia="宋体" w:cs="宋体"/>
          <w:color w:val="auto"/>
          <w:szCs w:val="21"/>
          <w:highlight w:val="none"/>
          <w:u w:val="single"/>
        </w:rPr>
      </w:pPr>
    </w:p>
    <w:p w14:paraId="3F5B97B6">
      <w:pPr>
        <w:wordWrap w:val="0"/>
        <w:spacing w:line="276" w:lineRule="auto"/>
        <w:ind w:firstLine="424" w:firstLineChars="202"/>
        <w:rPr>
          <w:rFonts w:hint="eastAsia" w:ascii="宋体" w:hAnsi="宋体" w:eastAsia="宋体" w:cs="宋体"/>
          <w:color w:val="auto"/>
          <w:szCs w:val="21"/>
          <w:highlight w:val="none"/>
          <w:u w:val="single"/>
        </w:rPr>
      </w:pPr>
    </w:p>
    <w:p w14:paraId="69ADF69B">
      <w:pPr>
        <w:wordWrap w:val="0"/>
        <w:spacing w:line="276" w:lineRule="auto"/>
        <w:ind w:firstLine="424" w:firstLineChars="202"/>
        <w:rPr>
          <w:rFonts w:hint="eastAsia" w:ascii="宋体" w:hAnsi="宋体" w:eastAsia="宋体" w:cs="宋体"/>
          <w:color w:val="auto"/>
          <w:szCs w:val="21"/>
          <w:highlight w:val="none"/>
          <w:u w:val="single"/>
        </w:rPr>
      </w:pPr>
    </w:p>
    <w:p w14:paraId="255DDD3D">
      <w:pPr>
        <w:wordWrap w:val="0"/>
        <w:spacing w:line="276" w:lineRule="auto"/>
        <w:ind w:firstLine="424" w:firstLineChars="202"/>
        <w:rPr>
          <w:rFonts w:hint="eastAsia" w:ascii="宋体" w:hAnsi="宋体" w:eastAsia="宋体" w:cs="宋体"/>
          <w:color w:val="auto"/>
          <w:szCs w:val="21"/>
          <w:highlight w:val="none"/>
          <w:u w:val="single"/>
        </w:rPr>
      </w:pPr>
    </w:p>
    <w:p w14:paraId="0DC82CC1">
      <w:pPr>
        <w:wordWrap w:val="0"/>
        <w:spacing w:line="276" w:lineRule="auto"/>
        <w:ind w:firstLine="424" w:firstLineChars="202"/>
        <w:rPr>
          <w:rFonts w:hint="eastAsia" w:ascii="宋体" w:hAnsi="宋体" w:eastAsia="宋体" w:cs="宋体"/>
          <w:color w:val="auto"/>
          <w:szCs w:val="21"/>
          <w:highlight w:val="none"/>
          <w:u w:val="single"/>
        </w:rPr>
      </w:pPr>
    </w:p>
    <w:p w14:paraId="35305C6D">
      <w:pPr>
        <w:wordWrap w:val="0"/>
        <w:spacing w:line="276" w:lineRule="auto"/>
        <w:ind w:firstLine="424" w:firstLineChars="202"/>
        <w:rPr>
          <w:rFonts w:hint="eastAsia" w:ascii="宋体" w:hAnsi="宋体" w:eastAsia="宋体" w:cs="宋体"/>
          <w:color w:val="auto"/>
          <w:szCs w:val="21"/>
          <w:highlight w:val="none"/>
          <w:u w:val="single"/>
        </w:rPr>
      </w:pPr>
    </w:p>
    <w:p w14:paraId="7027AA74">
      <w:pPr>
        <w:wordWrap w:val="0"/>
        <w:spacing w:line="276" w:lineRule="auto"/>
        <w:ind w:firstLine="424" w:firstLineChars="202"/>
        <w:rPr>
          <w:rFonts w:hint="eastAsia" w:ascii="宋体" w:hAnsi="宋体" w:eastAsia="宋体" w:cs="宋体"/>
          <w:color w:val="auto"/>
          <w:szCs w:val="21"/>
          <w:highlight w:val="none"/>
          <w:u w:val="single"/>
        </w:rPr>
      </w:pPr>
    </w:p>
    <w:p w14:paraId="6AF280AD">
      <w:pPr>
        <w:wordWrap w:val="0"/>
        <w:spacing w:line="276" w:lineRule="auto"/>
        <w:ind w:firstLine="424" w:firstLineChars="202"/>
        <w:rPr>
          <w:rFonts w:hint="eastAsia" w:ascii="宋体" w:hAnsi="宋体" w:eastAsia="宋体" w:cs="宋体"/>
          <w:color w:val="auto"/>
          <w:szCs w:val="21"/>
          <w:highlight w:val="none"/>
          <w:u w:val="single"/>
        </w:rPr>
      </w:pPr>
    </w:p>
    <w:p w14:paraId="0A02CEF5">
      <w:pPr>
        <w:wordWrap w:val="0"/>
        <w:spacing w:line="276" w:lineRule="auto"/>
        <w:ind w:firstLine="424" w:firstLineChars="202"/>
        <w:rPr>
          <w:rFonts w:hint="eastAsia" w:ascii="宋体" w:hAnsi="宋体" w:eastAsia="宋体" w:cs="宋体"/>
          <w:color w:val="auto"/>
          <w:szCs w:val="21"/>
          <w:highlight w:val="none"/>
          <w:u w:val="single"/>
        </w:rPr>
      </w:pPr>
    </w:p>
    <w:p w14:paraId="46FBDC04">
      <w:pPr>
        <w:wordWrap w:val="0"/>
        <w:spacing w:line="276" w:lineRule="auto"/>
        <w:ind w:firstLine="424" w:firstLineChars="202"/>
        <w:rPr>
          <w:rFonts w:hint="eastAsia" w:ascii="宋体" w:hAnsi="宋体" w:eastAsia="宋体" w:cs="宋体"/>
          <w:color w:val="auto"/>
          <w:szCs w:val="21"/>
          <w:highlight w:val="none"/>
          <w:u w:val="single"/>
        </w:rPr>
      </w:pPr>
    </w:p>
    <w:p w14:paraId="20035856">
      <w:pPr>
        <w:wordWrap w:val="0"/>
        <w:spacing w:line="276" w:lineRule="auto"/>
        <w:ind w:firstLine="424" w:firstLineChars="202"/>
        <w:rPr>
          <w:rFonts w:hint="eastAsia" w:ascii="宋体" w:hAnsi="宋体" w:eastAsia="宋体" w:cs="宋体"/>
          <w:color w:val="auto"/>
          <w:szCs w:val="21"/>
          <w:highlight w:val="none"/>
          <w:u w:val="single"/>
        </w:rPr>
      </w:pPr>
    </w:p>
    <w:p w14:paraId="5C7BC5FD">
      <w:pPr>
        <w:wordWrap w:val="0"/>
        <w:spacing w:line="276" w:lineRule="auto"/>
        <w:ind w:firstLine="424" w:firstLineChars="202"/>
        <w:rPr>
          <w:rFonts w:hint="eastAsia" w:ascii="宋体" w:hAnsi="宋体" w:eastAsia="宋体" w:cs="宋体"/>
          <w:color w:val="auto"/>
          <w:szCs w:val="21"/>
          <w:highlight w:val="none"/>
          <w:u w:val="single"/>
        </w:rPr>
      </w:pPr>
    </w:p>
    <w:p w14:paraId="56364479">
      <w:pPr>
        <w:wordWrap w:val="0"/>
        <w:spacing w:line="276" w:lineRule="auto"/>
        <w:ind w:firstLine="424" w:firstLineChars="202"/>
        <w:rPr>
          <w:rFonts w:hint="eastAsia" w:ascii="宋体" w:hAnsi="宋体" w:eastAsia="宋体" w:cs="宋体"/>
          <w:color w:val="auto"/>
          <w:szCs w:val="21"/>
          <w:highlight w:val="none"/>
          <w:u w:val="single"/>
        </w:rPr>
      </w:pPr>
    </w:p>
    <w:p w14:paraId="79CF6CB2">
      <w:pPr>
        <w:wordWrap w:val="0"/>
        <w:spacing w:line="276" w:lineRule="auto"/>
        <w:ind w:firstLine="424" w:firstLineChars="202"/>
        <w:rPr>
          <w:rFonts w:hint="eastAsia" w:ascii="宋体" w:hAnsi="宋体" w:eastAsia="宋体" w:cs="宋体"/>
          <w:color w:val="auto"/>
          <w:szCs w:val="21"/>
          <w:highlight w:val="none"/>
          <w:u w:val="single"/>
        </w:rPr>
      </w:pPr>
    </w:p>
    <w:p w14:paraId="6A1410DE">
      <w:pPr>
        <w:pStyle w:val="18"/>
        <w:rPr>
          <w:rFonts w:hint="eastAsia" w:ascii="宋体" w:hAnsi="宋体" w:eastAsia="宋体" w:cs="宋体"/>
          <w:color w:val="auto"/>
          <w:szCs w:val="21"/>
          <w:highlight w:val="none"/>
          <w:u w:val="single"/>
        </w:rPr>
      </w:pPr>
    </w:p>
    <w:p w14:paraId="5046A7BC">
      <w:pPr>
        <w:pStyle w:val="18"/>
        <w:rPr>
          <w:rFonts w:hint="eastAsia" w:ascii="宋体" w:hAnsi="宋体" w:eastAsia="宋体" w:cs="宋体"/>
          <w:color w:val="auto"/>
          <w:szCs w:val="21"/>
          <w:highlight w:val="none"/>
          <w:u w:val="single"/>
        </w:rPr>
      </w:pPr>
    </w:p>
    <w:p w14:paraId="665809E7">
      <w:pPr>
        <w:pStyle w:val="18"/>
        <w:rPr>
          <w:rFonts w:hint="eastAsia" w:ascii="宋体" w:hAnsi="宋体" w:eastAsia="宋体" w:cs="宋体"/>
          <w:color w:val="auto"/>
          <w:szCs w:val="21"/>
          <w:highlight w:val="none"/>
          <w:u w:val="single"/>
        </w:rPr>
      </w:pPr>
    </w:p>
    <w:p w14:paraId="3AE79569">
      <w:pPr>
        <w:pStyle w:val="18"/>
        <w:rPr>
          <w:rFonts w:hint="eastAsia" w:ascii="宋体" w:hAnsi="宋体" w:eastAsia="宋体" w:cs="宋体"/>
          <w:color w:val="auto"/>
          <w:szCs w:val="21"/>
          <w:highlight w:val="none"/>
          <w:u w:val="single"/>
        </w:rPr>
      </w:pPr>
    </w:p>
    <w:p w14:paraId="3F242F33">
      <w:pPr>
        <w:pStyle w:val="18"/>
        <w:rPr>
          <w:rFonts w:hint="eastAsia" w:ascii="宋体" w:hAnsi="宋体" w:eastAsia="宋体" w:cs="宋体"/>
          <w:color w:val="auto"/>
          <w:szCs w:val="21"/>
          <w:highlight w:val="none"/>
          <w:u w:val="single"/>
        </w:rPr>
      </w:pPr>
    </w:p>
    <w:p w14:paraId="1FF0A513">
      <w:pPr>
        <w:pStyle w:val="18"/>
        <w:rPr>
          <w:rFonts w:hint="eastAsia" w:ascii="宋体" w:hAnsi="宋体" w:eastAsia="宋体" w:cs="宋体"/>
          <w:color w:val="auto"/>
          <w:szCs w:val="21"/>
          <w:highlight w:val="none"/>
          <w:u w:val="single"/>
        </w:rPr>
      </w:pPr>
    </w:p>
    <w:p w14:paraId="1EB52EBD">
      <w:pPr>
        <w:pStyle w:val="18"/>
        <w:rPr>
          <w:rFonts w:hint="eastAsia" w:ascii="宋体" w:hAnsi="宋体" w:eastAsia="宋体" w:cs="宋体"/>
          <w:color w:val="auto"/>
          <w:szCs w:val="21"/>
          <w:highlight w:val="none"/>
          <w:u w:val="single"/>
        </w:rPr>
      </w:pPr>
    </w:p>
    <w:p w14:paraId="25D25292">
      <w:pPr>
        <w:pStyle w:val="18"/>
        <w:rPr>
          <w:rFonts w:hint="eastAsia" w:ascii="宋体" w:hAnsi="宋体" w:eastAsia="宋体" w:cs="宋体"/>
          <w:color w:val="auto"/>
          <w:szCs w:val="21"/>
          <w:highlight w:val="none"/>
          <w:u w:val="single"/>
        </w:rPr>
      </w:pPr>
    </w:p>
    <w:p w14:paraId="22073A07">
      <w:pPr>
        <w:pStyle w:val="18"/>
        <w:rPr>
          <w:rFonts w:hint="eastAsia" w:ascii="宋体" w:hAnsi="宋体" w:eastAsia="宋体" w:cs="宋体"/>
          <w:color w:val="auto"/>
          <w:szCs w:val="21"/>
          <w:highlight w:val="none"/>
          <w:u w:val="single"/>
        </w:rPr>
      </w:pPr>
    </w:p>
    <w:p w14:paraId="1CEDD510">
      <w:pPr>
        <w:wordWrap w:val="0"/>
        <w:spacing w:line="276" w:lineRule="auto"/>
        <w:ind w:firstLine="0" w:firstLineChars="0"/>
        <w:rPr>
          <w:rFonts w:hint="eastAsia" w:ascii="宋体" w:hAnsi="宋体" w:eastAsia="宋体" w:cs="宋体"/>
          <w:color w:val="auto"/>
          <w:szCs w:val="21"/>
          <w:highlight w:val="none"/>
          <w:u w:val="single"/>
        </w:rPr>
      </w:pPr>
    </w:p>
    <w:p w14:paraId="530FB78E">
      <w:pPr>
        <w:wordWrap w:val="0"/>
        <w:jc w:val="center"/>
        <w:outlineLvl w:val="1"/>
        <w:rPr>
          <w:rFonts w:hint="eastAsia" w:ascii="宋体" w:hAnsi="宋体" w:eastAsia="宋体" w:cs="Times New Roman"/>
          <w:b/>
          <w:color w:val="auto"/>
          <w:sz w:val="32"/>
          <w:szCs w:val="20"/>
          <w:highlight w:val="none"/>
        </w:rPr>
      </w:pPr>
      <w:r>
        <w:rPr>
          <w:rFonts w:hint="eastAsia" w:ascii="宋体" w:hAnsi="宋体" w:eastAsia="宋体" w:cs="Times New Roman"/>
          <w:b/>
          <w:color w:val="auto"/>
          <w:sz w:val="32"/>
          <w:szCs w:val="20"/>
          <w:highlight w:val="none"/>
        </w:rPr>
        <w:t>评标办法</w:t>
      </w:r>
      <w:r>
        <w:rPr>
          <w:rFonts w:ascii="宋体" w:hAnsi="宋体" w:eastAsia="宋体" w:cs="Times New Roman"/>
          <w:b/>
          <w:color w:val="auto"/>
          <w:sz w:val="32"/>
          <w:szCs w:val="20"/>
          <w:highlight w:val="none"/>
        </w:rPr>
        <w:t>修改表</w:t>
      </w:r>
    </w:p>
    <w:p w14:paraId="3087C84F">
      <w:pPr>
        <w:pBdr>
          <w:bottom w:val="single" w:color="auto" w:sz="6" w:space="1"/>
        </w:pBdr>
        <w:spacing w:line="360" w:lineRule="auto"/>
        <w:ind w:firstLine="371" w:firstLineChars="176"/>
        <w:rPr>
          <w:rFonts w:hint="eastAsia" w:ascii="宋体" w:hAnsi="宋体" w:eastAsia="宋体" w:cs="Times New Roman"/>
          <w:b/>
          <w:color w:val="auto"/>
          <w:szCs w:val="21"/>
          <w:highlight w:val="none"/>
        </w:rPr>
      </w:pPr>
      <w:r>
        <w:rPr>
          <w:rFonts w:ascii="宋体" w:hAnsi="宋体" w:eastAsia="宋体" w:cs="Times New Roman"/>
          <w:b/>
          <w:color w:val="auto"/>
          <w:szCs w:val="21"/>
          <w:highlight w:val="none"/>
        </w:rPr>
        <w:t>本投标须知使用</w:t>
      </w:r>
      <w:r>
        <w:rPr>
          <w:rFonts w:hint="eastAsia" w:ascii="宋体" w:hAnsi="宋体" w:eastAsia="宋体" w:cs="Times New Roman"/>
          <w:b/>
          <w:color w:val="auto"/>
          <w:szCs w:val="21"/>
          <w:highlight w:val="none"/>
        </w:rPr>
        <w:t>GZJTZB2025-2</w:t>
      </w:r>
      <w:r>
        <w:rPr>
          <w:rFonts w:ascii="宋体" w:hAnsi="宋体" w:eastAsia="宋体" w:cs="Times New Roman"/>
          <w:b/>
          <w:color w:val="auto"/>
          <w:szCs w:val="21"/>
          <w:highlight w:val="none"/>
        </w:rPr>
        <w:t>招标文件范本的</w:t>
      </w:r>
      <w:r>
        <w:rPr>
          <w:rFonts w:hint="eastAsia" w:ascii="宋体" w:hAnsi="宋体" w:eastAsia="宋体" w:cs="Times New Roman"/>
          <w:b/>
          <w:color w:val="auto"/>
          <w:szCs w:val="21"/>
          <w:highlight w:val="none"/>
        </w:rPr>
        <w:t>评标办法</w:t>
      </w:r>
      <w:r>
        <w:rPr>
          <w:rFonts w:ascii="宋体" w:hAnsi="宋体" w:eastAsia="宋体" w:cs="Times New Roman"/>
          <w:b/>
          <w:color w:val="auto"/>
          <w:szCs w:val="21"/>
          <w:highlight w:val="none"/>
        </w:rPr>
        <w:t>条款，与该条款不同之处，均在本表中列明，并以现文为准，原文不再有效。</w:t>
      </w:r>
      <w:r>
        <w:rPr>
          <w:rFonts w:hint="eastAsia" w:ascii="宋体" w:hAnsi="宋体" w:eastAsia="宋体" w:cs="Times New Roman"/>
          <w:bCs/>
          <w:color w:val="auto"/>
          <w:szCs w:val="21"/>
          <w:highlight w:val="none"/>
        </w:rPr>
        <w:t>（注：招标人按《评标办法修改表》修改的内容对应修改通用条款，属于删除的采用“</w:t>
      </w:r>
      <w:r>
        <w:rPr>
          <w:rFonts w:hint="eastAsia" w:ascii="宋体" w:hAnsi="宋体" w:eastAsia="宋体" w:cs="Times New Roman"/>
          <w:bCs/>
          <w:strike/>
          <w:color w:val="auto"/>
          <w:szCs w:val="21"/>
          <w:highlight w:val="none"/>
        </w:rPr>
        <w:t xml:space="preserve">   </w:t>
      </w:r>
      <w:r>
        <w:rPr>
          <w:rFonts w:hint="eastAsia" w:ascii="宋体" w:hAnsi="宋体" w:eastAsia="宋体" w:cs="Times New Roman"/>
          <w:bCs/>
          <w:color w:val="auto"/>
          <w:szCs w:val="21"/>
          <w:highlight w:val="none"/>
        </w:rPr>
        <w:t>”表示，如“</w:t>
      </w:r>
      <w:r>
        <w:rPr>
          <w:rFonts w:hint="eastAsia" w:ascii="宋体" w:hAnsi="宋体" w:eastAsia="宋体" w:cs="Times New Roman"/>
          <w:bCs/>
          <w:strike/>
          <w:color w:val="auto"/>
          <w:szCs w:val="21"/>
          <w:highlight w:val="none"/>
        </w:rPr>
        <w:t>删除</w:t>
      </w:r>
      <w:r>
        <w:rPr>
          <w:rFonts w:hint="eastAsia" w:ascii="宋体" w:hAnsi="宋体" w:eastAsia="宋体" w:cs="Times New Roman"/>
          <w:bCs/>
          <w:color w:val="auto"/>
          <w:szCs w:val="21"/>
          <w:highlight w:val="none"/>
        </w:rPr>
        <w:t>”；属于新增、修改的内容，用</w:t>
      </w:r>
      <w:r>
        <w:rPr>
          <w:rFonts w:hint="eastAsia" w:ascii="宋体" w:hAnsi="宋体" w:eastAsia="宋体" w:cs="Times New Roman"/>
          <w:b/>
          <w:color w:val="auto"/>
          <w:szCs w:val="21"/>
          <w:highlight w:val="none"/>
        </w:rPr>
        <w:t>黑色加粗</w:t>
      </w:r>
      <w:r>
        <w:rPr>
          <w:rFonts w:hint="eastAsia" w:ascii="宋体" w:hAnsi="宋体" w:eastAsia="宋体" w:cs="Times New Roman"/>
          <w:bCs/>
          <w:color w:val="auto"/>
          <w:szCs w:val="21"/>
          <w:highlight w:val="none"/>
        </w:rPr>
        <w:t>字体显示,并加注下划线，如“</w:t>
      </w:r>
      <w:r>
        <w:rPr>
          <w:rFonts w:hint="eastAsia" w:ascii="宋体" w:hAnsi="宋体" w:eastAsia="宋体" w:cs="Times New Roman"/>
          <w:b/>
          <w:color w:val="auto"/>
          <w:szCs w:val="21"/>
          <w:highlight w:val="none"/>
          <w:u w:val="single"/>
        </w:rPr>
        <w:t>新增修改</w:t>
      </w:r>
      <w:r>
        <w:rPr>
          <w:rFonts w:hint="eastAsia" w:ascii="宋体" w:hAnsi="宋体" w:eastAsia="宋体" w:cs="Times New Roman"/>
          <w:bCs/>
          <w:color w:val="auto"/>
          <w:szCs w:val="21"/>
          <w:highlight w:val="none"/>
        </w:rPr>
        <w:t>”。）</w:t>
      </w:r>
    </w:p>
    <w:p w14:paraId="7EAE787D">
      <w:pPr>
        <w:spacing w:line="360" w:lineRule="auto"/>
        <w:ind w:firstLine="371" w:firstLineChars="176"/>
        <w:rPr>
          <w:rFonts w:hint="eastAsia" w:ascii="宋体" w:hAnsi="宋体" w:eastAsia="宋体" w:cs="Times New Roman"/>
          <w:b/>
          <w:bCs/>
          <w:color w:val="auto"/>
          <w:szCs w:val="21"/>
          <w:highlight w:val="none"/>
        </w:rPr>
      </w:pPr>
      <w:r>
        <w:rPr>
          <w:rFonts w:ascii="宋体" w:hAnsi="宋体" w:eastAsia="宋体" w:cs="Times New Roman"/>
          <w:b/>
          <w:bCs/>
          <w:color w:val="auto"/>
          <w:szCs w:val="21"/>
          <w:highlight w:val="none"/>
        </w:rPr>
        <w:t>条款号：</w:t>
      </w:r>
      <w:r>
        <w:rPr>
          <w:rFonts w:hint="eastAsia" w:ascii="宋体" w:hAnsi="宋体" w:eastAsia="宋体" w:cs="Times New Roman"/>
          <w:b/>
          <w:bCs/>
          <w:color w:val="auto"/>
          <w:szCs w:val="21"/>
          <w:highlight w:val="none"/>
        </w:rPr>
        <w:t>3.2.1</w:t>
      </w:r>
      <w:r>
        <w:rPr>
          <w:rFonts w:ascii="宋体" w:hAnsi="宋体" w:eastAsia="宋体" w:cs="Times New Roman"/>
          <w:b/>
          <w:bCs/>
          <w:color w:val="auto"/>
          <w:szCs w:val="21"/>
          <w:highlight w:val="none"/>
        </w:rPr>
        <w:t xml:space="preserve">       修改类型：修改</w:t>
      </w:r>
    </w:p>
    <w:p w14:paraId="18487CEE">
      <w:pPr>
        <w:spacing w:line="360" w:lineRule="auto"/>
        <w:ind w:firstLine="371" w:firstLineChars="176"/>
        <w:rPr>
          <w:rFonts w:hint="eastAsia" w:ascii="宋体" w:hAnsi="宋体" w:eastAsia="宋体" w:cs="Times New Roman"/>
          <w:color w:val="auto"/>
          <w:szCs w:val="21"/>
          <w:highlight w:val="none"/>
        </w:rPr>
      </w:pPr>
      <w:r>
        <w:rPr>
          <w:rFonts w:ascii="宋体" w:hAnsi="宋体" w:eastAsia="宋体" w:cs="Times New Roman"/>
          <w:b/>
          <w:bCs/>
          <w:color w:val="auto"/>
          <w:szCs w:val="21"/>
          <w:highlight w:val="none"/>
        </w:rPr>
        <w:t>原文：</w:t>
      </w:r>
      <w:r>
        <w:rPr>
          <w:rFonts w:hint="eastAsia" w:ascii="宋体" w:hAnsi="宋体" w:eastAsia="宋体" w:cs="Times New Roman"/>
          <w:color w:val="auto"/>
          <w:szCs w:val="21"/>
          <w:highlight w:val="none"/>
        </w:rPr>
        <w:t>3.2.1评标委员会按本章第2.2款规定的量化因素和分值进行打分，并计算出综合评估得分。</w:t>
      </w:r>
    </w:p>
    <w:p w14:paraId="480AC5A0">
      <w:pPr>
        <w:spacing w:line="360" w:lineRule="auto"/>
        <w:ind w:firstLine="369" w:firstLineChars="176"/>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按本章第2.2.4（1）目规定的评审因素和分值对资信业绩部分计算出得分A，资信业绩部分评审得分A为评标委员会各成员打分的算术平均值（由招标人自行设置），分数出现小数点，保留小数点后二位，第三位小数四舍五入。</w:t>
      </w:r>
    </w:p>
    <w:p w14:paraId="6BDB98DD">
      <w:pPr>
        <w:spacing w:line="360" w:lineRule="auto"/>
        <w:ind w:firstLine="369" w:firstLineChars="176"/>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按本章第2.2.4（2）目规定的评审因素和分值对监理大纲部分计算出得分B，（以下两种方法招标人自行选择）①监理大纲部分评审得分B为从评标委员会各成员打分中去掉一个最高分和去掉一个最低分后的剩余评标委员会成员打分的算术平均值或②监理大纲部分评审得分B为评标委员会各成员打分的算术平均值，分数出现小数点，保留小数点后二位，第三位小数四舍五入。</w:t>
      </w:r>
    </w:p>
    <w:p w14:paraId="1A9984BA">
      <w:pPr>
        <w:spacing w:line="360" w:lineRule="auto"/>
        <w:ind w:firstLine="369" w:firstLineChars="176"/>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（3）按本章第2.2.4（3）目规定的评审因素和分值对投标报价计算出得分C，分数出现小数点，保留小数点后二位，第三位小数四舍五入。</w:t>
      </w:r>
    </w:p>
    <w:p w14:paraId="4C675078">
      <w:pPr>
        <w:spacing w:line="360" w:lineRule="auto"/>
        <w:ind w:firstLine="369" w:firstLineChars="176"/>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（4）按本章第2.2.4（4）目规定的评审因素和分值对其他部分计算出得分D，分数出现小数点，保留小数点后二位，第三位小数四舍五入。</w:t>
      </w:r>
    </w:p>
    <w:p w14:paraId="03F37E48">
      <w:pPr>
        <w:pBdr>
          <w:bottom w:val="single" w:color="auto" w:sz="6" w:space="1"/>
        </w:pBdr>
        <w:spacing w:line="360" w:lineRule="auto"/>
        <w:ind w:firstLine="371" w:firstLineChars="176"/>
        <w:rPr>
          <w:rFonts w:hint="eastAsia" w:ascii="宋体" w:hAnsi="宋体" w:eastAsia="宋体" w:cs="Times New Roman"/>
          <w:color w:val="auto"/>
          <w:szCs w:val="21"/>
          <w:highlight w:val="none"/>
        </w:rPr>
      </w:pPr>
      <w:r>
        <w:rPr>
          <w:rFonts w:ascii="宋体" w:hAnsi="宋体" w:eastAsia="宋体" w:cs="Times New Roman"/>
          <w:b/>
          <w:bCs/>
          <w:color w:val="auto"/>
          <w:szCs w:val="21"/>
          <w:highlight w:val="none"/>
        </w:rPr>
        <w:t>现文：</w:t>
      </w:r>
      <w:r>
        <w:rPr>
          <w:rFonts w:hint="eastAsia" w:ascii="宋体" w:hAnsi="宋体" w:eastAsia="宋体" w:cs="Times New Roman"/>
          <w:color w:val="auto"/>
          <w:szCs w:val="21"/>
          <w:highlight w:val="none"/>
        </w:rPr>
        <w:t>3.2.1评标委员会按本章第2.2款规定的量化因素和分值进行打分，并计算出综合评估得分。</w:t>
      </w:r>
    </w:p>
    <w:p w14:paraId="5964FC3C">
      <w:pPr>
        <w:pBdr>
          <w:bottom w:val="single" w:color="auto" w:sz="6" w:space="1"/>
        </w:pBdr>
        <w:spacing w:line="360" w:lineRule="auto"/>
        <w:ind w:firstLine="369" w:firstLineChars="176"/>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（1）按本章第2.2.4（1）目规定的评审因素和分值对资信业绩部分计算出得分A，资信业绩部分评审得分A为评标委员会各成员打分的算术平均值</w:t>
      </w:r>
      <w:r>
        <w:rPr>
          <w:rFonts w:hint="eastAsia" w:ascii="宋体" w:hAnsi="宋体" w:eastAsia="宋体" w:cs="Times New Roman"/>
          <w:strike/>
          <w:color w:val="auto"/>
          <w:szCs w:val="21"/>
          <w:highlight w:val="none"/>
        </w:rPr>
        <w:t>（由招标人自行设置）</w:t>
      </w:r>
      <w:r>
        <w:rPr>
          <w:rFonts w:hint="eastAsia" w:ascii="宋体" w:hAnsi="宋体" w:eastAsia="宋体" w:cs="Times New Roman"/>
          <w:color w:val="auto"/>
          <w:szCs w:val="21"/>
          <w:highlight w:val="none"/>
        </w:rPr>
        <w:t>，分数出现小数点，保留小数点后二位，第三位小数四舍五入。</w:t>
      </w:r>
    </w:p>
    <w:p w14:paraId="1C2522B1">
      <w:pPr>
        <w:pBdr>
          <w:bottom w:val="single" w:color="auto" w:sz="6" w:space="1"/>
        </w:pBdr>
        <w:spacing w:line="360" w:lineRule="auto"/>
        <w:ind w:firstLine="369" w:firstLineChars="176"/>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（2）按本章第2.2.4（2）目规定的评审因素和分值对监理大纲部分计算出得分B，</w:t>
      </w:r>
      <w:r>
        <w:rPr>
          <w:rFonts w:hint="eastAsia" w:ascii="宋体" w:hAnsi="宋体" w:eastAsia="宋体" w:cs="Times New Roman"/>
          <w:strike/>
          <w:color w:val="auto"/>
          <w:szCs w:val="21"/>
          <w:highlight w:val="none"/>
        </w:rPr>
        <w:t>（以下两种方法招标人自行选择）①监理大纲部分评审得分B为从评标委员会各成员打分中去掉一个最高分和去掉一个最低分后的剩余评标委员会成员打分的算术平均值或</w:t>
      </w:r>
      <w:r>
        <w:rPr>
          <w:rFonts w:hint="eastAsia" w:ascii="宋体" w:hAnsi="宋体" w:eastAsia="宋体" w:cs="Times New Roman"/>
          <w:color w:val="auto"/>
          <w:szCs w:val="21"/>
          <w:highlight w:val="none"/>
        </w:rPr>
        <w:t>②监理大纲部分评审得分B为评标委员会各成员打分的算术平均值，分数出现小数点，保留小数点后二位，第三位小数四舍五入。</w:t>
      </w:r>
    </w:p>
    <w:p w14:paraId="67246124">
      <w:pPr>
        <w:pBdr>
          <w:bottom w:val="single" w:color="auto" w:sz="6" w:space="1"/>
        </w:pBdr>
        <w:spacing w:line="360" w:lineRule="auto"/>
        <w:ind w:firstLine="369" w:firstLineChars="176"/>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（3）按本章第2.2.4（3）目规定的评审因素和分值对投标报价计算出得分C，分数出现小数点，保留小数点后二位，第三位小数四舍五入。</w:t>
      </w:r>
    </w:p>
    <w:p w14:paraId="614A6966">
      <w:pPr>
        <w:pBdr>
          <w:bottom w:val="single" w:color="auto" w:sz="6" w:space="1"/>
        </w:pBdr>
        <w:spacing w:line="360" w:lineRule="auto"/>
        <w:ind w:firstLine="369" w:firstLineChars="176"/>
        <w:rPr>
          <w:rFonts w:hint="eastAsia" w:ascii="宋体" w:hAnsi="宋体" w:eastAsia="宋体" w:cs="Times New Roman"/>
          <w:strike/>
          <w:color w:val="auto"/>
          <w:szCs w:val="21"/>
          <w:highlight w:val="none"/>
        </w:rPr>
      </w:pPr>
      <w:r>
        <w:rPr>
          <w:rFonts w:hint="eastAsia" w:ascii="宋体" w:hAnsi="宋体" w:eastAsia="宋体" w:cs="Times New Roman"/>
          <w:strike/>
          <w:color w:val="auto"/>
          <w:szCs w:val="21"/>
          <w:highlight w:val="none"/>
        </w:rPr>
        <w:t>（4）按本章第2.2.4（4）目规定的评审因素和分值对其他部分计算出得分D，分数出现小数点，保留小数点后二位，第三位小数四舍五入。</w:t>
      </w:r>
    </w:p>
    <w:p w14:paraId="10FD18FB">
      <w:pPr>
        <w:spacing w:line="360" w:lineRule="auto"/>
        <w:ind w:firstLine="371" w:firstLineChars="176"/>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条款号：3.2.4       修改类型：删除</w:t>
      </w:r>
    </w:p>
    <w:p w14:paraId="5DB1EE38">
      <w:pPr>
        <w:pBdr>
          <w:bottom w:val="single" w:color="auto" w:sz="6" w:space="1"/>
        </w:pBdr>
        <w:spacing w:line="360" w:lineRule="auto"/>
        <w:ind w:firstLine="371" w:firstLineChars="176"/>
        <w:rPr>
          <w:rFonts w:hint="eastAsia" w:ascii="宋体" w:hAnsi="宋体" w:eastAsia="宋体" w:cs="Times New Roman"/>
          <w:color w:val="auto"/>
          <w:szCs w:val="21"/>
          <w:highlight w:val="none"/>
        </w:rPr>
      </w:pPr>
      <w:r>
        <w:rPr>
          <w:rFonts w:hint="eastAsia" w:ascii="宋体" w:hAnsi="宋体" w:eastAsia="宋体" w:cs="Times New Roman"/>
          <w:b/>
          <w:bCs/>
          <w:color w:val="auto"/>
          <w:szCs w:val="21"/>
          <w:highlight w:val="none"/>
        </w:rPr>
        <w:t>原文：</w:t>
      </w:r>
      <w:r>
        <w:rPr>
          <w:rFonts w:hint="eastAsia" w:ascii="宋体" w:hAnsi="宋体" w:eastAsia="宋体" w:cs="Times New Roman"/>
          <w:color w:val="auto"/>
          <w:szCs w:val="21"/>
          <w:highlight w:val="none"/>
        </w:rPr>
        <w:t>3.2.4（选择性条款）在同一主观因素打分中，当评标委员会各成员对同一投标文件同时给出最高档、最低档评分时，评标委员会负责人（组长）应组织评标委员会各成员集体会商，如会商后有关评标委员会成员仍坚持同时给出最高档、最低档评分的，应各自以书面方式阐述其意见和理由并记录本人意见后上传至评标系统。招标人应对评标委员会的意见的合法性、合理性进行确认。</w:t>
      </w:r>
    </w:p>
    <w:p w14:paraId="0B15CBD3">
      <w:pPr>
        <w:spacing w:line="360" w:lineRule="auto"/>
        <w:ind w:firstLine="371" w:firstLineChars="176"/>
        <w:rPr>
          <w:rFonts w:ascii="宋体" w:hAnsi="宋体" w:eastAsia="宋体" w:cs="Times New Roman"/>
          <w:b/>
          <w:bCs/>
          <w:color w:val="auto"/>
          <w:szCs w:val="21"/>
          <w:highlight w:val="none"/>
        </w:rPr>
      </w:pPr>
      <w:r>
        <w:rPr>
          <w:rFonts w:ascii="宋体" w:hAnsi="宋体" w:eastAsia="宋体" w:cs="Times New Roman"/>
          <w:b/>
          <w:bCs/>
          <w:color w:val="auto"/>
          <w:szCs w:val="21"/>
          <w:highlight w:val="none"/>
        </w:rPr>
        <w:t>条款号：</w:t>
      </w:r>
      <w:r>
        <w:rPr>
          <w:rFonts w:hint="eastAsia" w:ascii="宋体" w:hAnsi="宋体" w:eastAsia="宋体" w:cs="Times New Roman"/>
          <w:b/>
          <w:bCs/>
          <w:color w:val="auto"/>
          <w:szCs w:val="21"/>
          <w:highlight w:val="none"/>
        </w:rPr>
        <w:t>3.2.</w:t>
      </w:r>
      <w:r>
        <w:rPr>
          <w:rFonts w:hint="default" w:ascii="宋体" w:hAnsi="宋体" w:eastAsia="宋体" w:cs="Times New Roman"/>
          <w:b/>
          <w:bCs/>
          <w:color w:val="auto"/>
          <w:szCs w:val="21"/>
          <w:highlight w:val="none"/>
          <w:lang w:val="en-US" w:eastAsia="zh-CN"/>
        </w:rPr>
        <w:t>3</w:t>
      </w:r>
      <w:r>
        <w:rPr>
          <w:rFonts w:ascii="宋体" w:hAnsi="宋体" w:eastAsia="宋体" w:cs="Times New Roman"/>
          <w:b/>
          <w:bCs/>
          <w:color w:val="auto"/>
          <w:szCs w:val="21"/>
          <w:highlight w:val="none"/>
        </w:rPr>
        <w:t xml:space="preserve">       修改类型：修改</w:t>
      </w:r>
    </w:p>
    <w:p w14:paraId="130D8CB3">
      <w:pPr>
        <w:spacing w:line="360" w:lineRule="auto"/>
        <w:ind w:firstLine="371" w:firstLineChars="176"/>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b/>
          <w:bCs/>
          <w:color w:val="auto"/>
          <w:szCs w:val="21"/>
          <w:highlight w:val="none"/>
        </w:rPr>
        <w:t>原文：</w:t>
      </w:r>
      <w:r>
        <w:rPr>
          <w:rFonts w:hint="eastAsia" w:ascii="宋体" w:hAnsi="宋体" w:eastAsia="宋体" w:cs="Times New Roman"/>
          <w:color w:val="auto"/>
          <w:sz w:val="21"/>
          <w:szCs w:val="21"/>
          <w:highlight w:val="none"/>
          <w:lang w:val="en-US" w:eastAsia="zh-CN" w:bidi="ar-SA"/>
        </w:rPr>
        <w:t>投标人得分=A+B+C+D。</w:t>
      </w:r>
    </w:p>
    <w:p w14:paraId="025EE5BD">
      <w:pPr>
        <w:spacing w:line="360" w:lineRule="auto"/>
        <w:ind w:firstLine="371" w:firstLineChars="176"/>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b/>
          <w:bCs/>
          <w:color w:val="auto"/>
          <w:szCs w:val="21"/>
          <w:highlight w:val="none"/>
        </w:rPr>
        <w:t>现文：</w:t>
      </w:r>
      <w:r>
        <w:rPr>
          <w:rFonts w:hint="eastAsia" w:ascii="宋体" w:hAnsi="宋体" w:eastAsia="宋体" w:cs="Times New Roman"/>
          <w:color w:val="auto"/>
          <w:sz w:val="21"/>
          <w:szCs w:val="21"/>
          <w:highlight w:val="none"/>
          <w:u w:val="single"/>
          <w:lang w:val="en-US" w:eastAsia="zh-CN" w:bidi="ar-SA"/>
        </w:rPr>
        <w:t>投标人得分=A+B+C。</w:t>
      </w:r>
    </w:p>
    <w:p w14:paraId="12C41821">
      <w:pPr>
        <w:spacing w:line="360" w:lineRule="auto"/>
        <w:ind w:firstLine="369" w:firstLineChars="176"/>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注：以上修改，仅限于本范本中有可供选择条款的情形。</w:t>
      </w:r>
    </w:p>
    <w:p w14:paraId="0D546559">
      <w:pPr>
        <w:wordWrap w:val="0"/>
        <w:spacing w:line="360" w:lineRule="auto"/>
        <w:ind w:firstLine="369" w:firstLineChars="176"/>
        <w:rPr>
          <w:rFonts w:hint="eastAsia" w:ascii="宋体" w:hAnsi="宋体" w:eastAsia="宋体" w:cs="宋体"/>
          <w:color w:val="auto"/>
          <w:szCs w:val="21"/>
          <w:highlight w:val="none"/>
        </w:rPr>
      </w:pPr>
      <w:r>
        <w:rPr>
          <w:rFonts w:ascii="宋体" w:hAnsi="宋体" w:eastAsia="宋体" w:cs="Times New Roman"/>
          <w:color w:val="auto"/>
          <w:szCs w:val="21"/>
          <w:highlight w:val="none"/>
        </w:rPr>
        <w:t>（以下无正文）</w:t>
      </w:r>
    </w:p>
    <w:p w14:paraId="35B215DA">
      <w:pPr>
        <w:keepNext/>
        <w:keepLines/>
        <w:wordWrap w:val="0"/>
        <w:spacing w:line="360" w:lineRule="auto"/>
        <w:outlineLvl w:val="2"/>
        <w:rPr>
          <w:rFonts w:hint="eastAsia" w:ascii="宋体" w:hAnsi="宋体" w:eastAsia="宋体" w:cs="Times New Roman"/>
          <w:b/>
          <w:color w:val="auto"/>
          <w:sz w:val="28"/>
          <w:szCs w:val="20"/>
          <w:highlight w:val="none"/>
        </w:rPr>
      </w:pPr>
      <w:r>
        <w:rPr>
          <w:rFonts w:ascii="宋体" w:hAnsi="宋体" w:eastAsia="宋体" w:cs="Times New Roman"/>
          <w:b/>
          <w:color w:val="auto"/>
          <w:sz w:val="28"/>
          <w:szCs w:val="20"/>
          <w:highlight w:val="none"/>
        </w:rPr>
        <w:br w:type="page"/>
      </w:r>
      <w:bookmarkStart w:id="244" w:name="_Toc59200688"/>
      <w:bookmarkStart w:id="245" w:name="_Toc14873661"/>
      <w:r>
        <w:rPr>
          <w:rFonts w:ascii="宋体" w:hAnsi="宋体" w:eastAsia="宋体" w:cs="Times New Roman"/>
          <w:b/>
          <w:color w:val="auto"/>
          <w:sz w:val="28"/>
          <w:szCs w:val="20"/>
          <w:highlight w:val="none"/>
        </w:rPr>
        <w:t xml:space="preserve">1. </w:t>
      </w:r>
      <w:r>
        <w:rPr>
          <w:rFonts w:hint="eastAsia" w:ascii="宋体" w:hAnsi="宋体" w:eastAsia="宋体" w:cs="Times New Roman"/>
          <w:b/>
          <w:color w:val="auto"/>
          <w:sz w:val="28"/>
          <w:szCs w:val="20"/>
          <w:highlight w:val="none"/>
        </w:rPr>
        <w:t>评标方法</w:t>
      </w:r>
      <w:bookmarkEnd w:id="244"/>
      <w:bookmarkEnd w:id="245"/>
    </w:p>
    <w:p w14:paraId="13E76352">
      <w:pPr>
        <w:kinsoku w:val="0"/>
        <w:wordWrap w:val="0"/>
        <w:overflowPunct w:val="0"/>
        <w:spacing w:line="360" w:lineRule="auto"/>
        <w:ind w:right="-71" w:firstLine="314" w:firstLineChars="151"/>
        <w:rPr>
          <w:rFonts w:hint="eastAsia" w:ascii="宋体" w:hAnsi="宋体" w:eastAsia="宋体" w:cs="Times New Roman"/>
          <w:color w:val="auto"/>
          <w:szCs w:val="21"/>
          <w:highlight w:val="none"/>
        </w:rPr>
      </w:pPr>
      <w:r>
        <w:rPr>
          <w:rFonts w:hint="eastAsia" w:ascii="宋体" w:hAnsi="宋体" w:eastAsia="宋体" w:cs="Times New Roman"/>
          <w:color w:val="auto"/>
          <w:spacing w:val="-1"/>
          <w:szCs w:val="21"/>
          <w:highlight w:val="none"/>
        </w:rPr>
        <w:t>本次评标采用综合评估法。评标委员会对满足招标文件实质性要求的投标文件，按照本章</w:t>
      </w:r>
      <w:r>
        <w:rPr>
          <w:rFonts w:hint="eastAsia" w:ascii="宋体" w:hAnsi="宋体" w:eastAsia="宋体" w:cs="Times New Roman"/>
          <w:color w:val="auto"/>
          <w:szCs w:val="21"/>
          <w:highlight w:val="none"/>
        </w:rPr>
        <w:t>第</w:t>
      </w:r>
      <w:r>
        <w:rPr>
          <w:rFonts w:ascii="宋体" w:hAnsi="宋体" w:eastAsia="宋体" w:cs="Times New Roman"/>
          <w:color w:val="auto"/>
          <w:szCs w:val="21"/>
          <w:highlight w:val="none"/>
        </w:rPr>
        <w:t>2.2</w:t>
      </w:r>
      <w:r>
        <w:rPr>
          <w:rFonts w:hint="eastAsia" w:ascii="宋体" w:hAnsi="宋体" w:eastAsia="宋体" w:cs="Times New Roman"/>
          <w:color w:val="auto"/>
          <w:szCs w:val="21"/>
          <w:highlight w:val="none"/>
        </w:rPr>
        <w:t>款规定的评分标准进行打分，并按得分由高到低顺序推荐中标候选人，或根据招标人授</w:t>
      </w:r>
      <w:r>
        <w:rPr>
          <w:rFonts w:hint="eastAsia" w:ascii="宋体" w:hAnsi="宋体" w:eastAsia="宋体" w:cs="Times New Roman"/>
          <w:color w:val="auto"/>
          <w:spacing w:val="-1"/>
          <w:szCs w:val="21"/>
          <w:highlight w:val="none"/>
        </w:rPr>
        <w:t>权直接确定中标人，但投标报价低于其成本的除外。综合评分相等时，以投标报价低的优先；投标报价也相等的，以监理大纲得分高的优先；如果监理大纲得分也相等，按照评标办法前附</w:t>
      </w:r>
      <w:r>
        <w:rPr>
          <w:rFonts w:hint="eastAsia" w:ascii="宋体" w:hAnsi="宋体" w:eastAsia="宋体" w:cs="Times New Roman"/>
          <w:color w:val="auto"/>
          <w:szCs w:val="21"/>
          <w:highlight w:val="none"/>
        </w:rPr>
        <w:t>表的规定确定中标候选人顺序。</w:t>
      </w:r>
    </w:p>
    <w:p w14:paraId="7AC4135E">
      <w:pPr>
        <w:keepNext/>
        <w:keepLines/>
        <w:wordWrap w:val="0"/>
        <w:spacing w:line="360" w:lineRule="auto"/>
        <w:outlineLvl w:val="2"/>
        <w:rPr>
          <w:rFonts w:hint="eastAsia" w:ascii="宋体" w:hAnsi="宋体" w:eastAsia="宋体" w:cs="Times New Roman"/>
          <w:b/>
          <w:color w:val="auto"/>
          <w:sz w:val="28"/>
          <w:szCs w:val="20"/>
          <w:highlight w:val="none"/>
        </w:rPr>
      </w:pPr>
      <w:bookmarkStart w:id="246" w:name="bookmark85"/>
      <w:bookmarkEnd w:id="246"/>
      <w:bookmarkStart w:id="247" w:name="_Toc59200689"/>
      <w:bookmarkStart w:id="248" w:name="_Toc14873662"/>
      <w:r>
        <w:rPr>
          <w:rFonts w:ascii="宋体" w:hAnsi="宋体" w:eastAsia="宋体" w:cs="Times New Roman"/>
          <w:b/>
          <w:color w:val="auto"/>
          <w:sz w:val="28"/>
          <w:szCs w:val="20"/>
          <w:highlight w:val="none"/>
        </w:rPr>
        <w:t xml:space="preserve">2. </w:t>
      </w:r>
      <w:r>
        <w:rPr>
          <w:rFonts w:hint="eastAsia" w:ascii="宋体" w:hAnsi="宋体" w:eastAsia="宋体" w:cs="Times New Roman"/>
          <w:b/>
          <w:color w:val="auto"/>
          <w:sz w:val="28"/>
          <w:szCs w:val="20"/>
          <w:highlight w:val="none"/>
        </w:rPr>
        <w:t>评审标准</w:t>
      </w:r>
      <w:bookmarkEnd w:id="247"/>
      <w:bookmarkEnd w:id="248"/>
    </w:p>
    <w:p w14:paraId="7E4BC291">
      <w:pPr>
        <w:keepNext/>
        <w:keepLines/>
        <w:wordWrap w:val="0"/>
        <w:spacing w:line="360" w:lineRule="auto"/>
        <w:outlineLvl w:val="3"/>
        <w:rPr>
          <w:rFonts w:hint="eastAsia" w:ascii="宋体" w:hAnsi="宋体" w:eastAsia="宋体" w:cs="Times New Roman"/>
          <w:b/>
          <w:color w:val="auto"/>
          <w:sz w:val="28"/>
          <w:szCs w:val="28"/>
          <w:highlight w:val="none"/>
        </w:rPr>
      </w:pPr>
      <w:bookmarkStart w:id="249" w:name="bookmark86"/>
      <w:bookmarkEnd w:id="249"/>
      <w:bookmarkStart w:id="250" w:name="_Toc59200690"/>
      <w:r>
        <w:rPr>
          <w:rFonts w:ascii="宋体" w:hAnsi="宋体" w:eastAsia="宋体" w:cs="Times New Roman"/>
          <w:b/>
          <w:color w:val="auto"/>
          <w:sz w:val="28"/>
          <w:szCs w:val="28"/>
          <w:highlight w:val="none"/>
        </w:rPr>
        <w:t>2.1</w:t>
      </w:r>
      <w:r>
        <w:rPr>
          <w:rFonts w:hint="eastAsia" w:ascii="宋体" w:hAnsi="宋体" w:eastAsia="宋体" w:cs="Times New Roman"/>
          <w:b/>
          <w:color w:val="auto"/>
          <w:sz w:val="28"/>
          <w:szCs w:val="28"/>
          <w:highlight w:val="none"/>
        </w:rPr>
        <w:t>初步评审标准</w:t>
      </w:r>
      <w:bookmarkEnd w:id="250"/>
    </w:p>
    <w:p w14:paraId="0AF49FDD">
      <w:pPr>
        <w:kinsoku w:val="0"/>
        <w:wordWrap w:val="0"/>
        <w:overflowPunct w:val="0"/>
        <w:spacing w:line="360" w:lineRule="auto"/>
        <w:ind w:right="113" w:rightChars="54" w:firstLine="317" w:firstLineChars="151"/>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2.1.1</w:t>
      </w:r>
      <w:r>
        <w:rPr>
          <w:rFonts w:hint="eastAsia" w:ascii="宋体" w:hAnsi="宋体" w:eastAsia="宋体" w:cs="Times New Roman"/>
          <w:color w:val="auto"/>
          <w:szCs w:val="21"/>
          <w:highlight w:val="none"/>
        </w:rPr>
        <w:t>形式评审标准：见评标办法前附表。</w:t>
      </w:r>
    </w:p>
    <w:p w14:paraId="7448BCF0">
      <w:pPr>
        <w:kinsoku w:val="0"/>
        <w:wordWrap w:val="0"/>
        <w:overflowPunct w:val="0"/>
        <w:spacing w:line="360" w:lineRule="auto"/>
        <w:ind w:right="113" w:rightChars="54" w:firstLine="317" w:firstLineChars="151"/>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2.1.2</w:t>
      </w:r>
      <w:r>
        <w:rPr>
          <w:rFonts w:hint="eastAsia" w:ascii="宋体" w:hAnsi="宋体" w:eastAsia="宋体" w:cs="Times New Roman"/>
          <w:color w:val="auto"/>
          <w:szCs w:val="21"/>
          <w:highlight w:val="none"/>
        </w:rPr>
        <w:t>资格评审标准：见评标办法前附表。</w:t>
      </w:r>
    </w:p>
    <w:p w14:paraId="77EA2CEF">
      <w:pPr>
        <w:kinsoku w:val="0"/>
        <w:wordWrap w:val="0"/>
        <w:overflowPunct w:val="0"/>
        <w:spacing w:line="360" w:lineRule="auto"/>
        <w:ind w:right="113" w:rightChars="54" w:firstLine="317" w:firstLineChars="151"/>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2.1.3</w:t>
      </w:r>
      <w:r>
        <w:rPr>
          <w:rFonts w:hint="eastAsia" w:ascii="宋体" w:hAnsi="宋体" w:eastAsia="宋体" w:cs="Times New Roman"/>
          <w:color w:val="auto"/>
          <w:szCs w:val="21"/>
          <w:highlight w:val="none"/>
        </w:rPr>
        <w:t>响应性评审标准：见评标办法前附表。</w:t>
      </w:r>
    </w:p>
    <w:p w14:paraId="4180D33A">
      <w:pPr>
        <w:keepNext/>
        <w:keepLines/>
        <w:wordWrap w:val="0"/>
        <w:spacing w:line="360" w:lineRule="auto"/>
        <w:outlineLvl w:val="3"/>
        <w:rPr>
          <w:rFonts w:hint="eastAsia" w:ascii="宋体" w:hAnsi="宋体" w:eastAsia="宋体" w:cs="Times New Roman"/>
          <w:b/>
          <w:color w:val="auto"/>
          <w:sz w:val="28"/>
          <w:szCs w:val="28"/>
          <w:highlight w:val="none"/>
        </w:rPr>
      </w:pPr>
      <w:bookmarkStart w:id="251" w:name="bookmark87"/>
      <w:bookmarkEnd w:id="251"/>
      <w:bookmarkStart w:id="252" w:name="_Toc59200691"/>
      <w:r>
        <w:rPr>
          <w:rFonts w:ascii="宋体" w:hAnsi="宋体" w:eastAsia="宋体" w:cs="Times New Roman"/>
          <w:b/>
          <w:color w:val="auto"/>
          <w:sz w:val="28"/>
          <w:szCs w:val="28"/>
          <w:highlight w:val="none"/>
        </w:rPr>
        <w:t>2.2</w:t>
      </w:r>
      <w:r>
        <w:rPr>
          <w:rFonts w:hint="eastAsia" w:ascii="宋体" w:hAnsi="宋体" w:eastAsia="宋体" w:cs="Times New Roman"/>
          <w:b/>
          <w:color w:val="auto"/>
          <w:sz w:val="28"/>
          <w:szCs w:val="28"/>
          <w:highlight w:val="none"/>
        </w:rPr>
        <w:t>分值构成与评分标准</w:t>
      </w:r>
      <w:bookmarkEnd w:id="252"/>
    </w:p>
    <w:p w14:paraId="583AED12">
      <w:pPr>
        <w:kinsoku w:val="0"/>
        <w:wordWrap w:val="0"/>
        <w:overflowPunct w:val="0"/>
        <w:spacing w:line="360" w:lineRule="auto"/>
        <w:ind w:right="113" w:rightChars="54" w:firstLine="317" w:firstLineChars="151"/>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2.2.1分值构成</w:t>
      </w:r>
    </w:p>
    <w:p w14:paraId="315F9D28">
      <w:pPr>
        <w:kinsoku w:val="0"/>
        <w:wordWrap w:val="0"/>
        <w:overflowPunct w:val="0"/>
        <w:spacing w:line="360" w:lineRule="auto"/>
        <w:ind w:right="113" w:rightChars="54" w:firstLine="317" w:firstLineChars="151"/>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（1）资信业绩部分：见评标办法前附表；</w:t>
      </w:r>
    </w:p>
    <w:p w14:paraId="2F335DE0">
      <w:pPr>
        <w:kinsoku w:val="0"/>
        <w:wordWrap w:val="0"/>
        <w:overflowPunct w:val="0"/>
        <w:spacing w:line="360" w:lineRule="auto"/>
        <w:ind w:right="113" w:rightChars="54" w:firstLine="317" w:firstLineChars="151"/>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（2）监理大纲部分：见评标办法前附表；</w:t>
      </w:r>
    </w:p>
    <w:p w14:paraId="00BE0F63">
      <w:pPr>
        <w:kinsoku w:val="0"/>
        <w:wordWrap w:val="0"/>
        <w:overflowPunct w:val="0"/>
        <w:spacing w:line="360" w:lineRule="auto"/>
        <w:ind w:right="113" w:rightChars="54" w:firstLine="317" w:firstLineChars="151"/>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（3）投标报价：见评标办法前附表；</w:t>
      </w:r>
    </w:p>
    <w:p w14:paraId="100CDE53">
      <w:pPr>
        <w:kinsoku w:val="0"/>
        <w:wordWrap w:val="0"/>
        <w:overflowPunct w:val="0"/>
        <w:spacing w:line="360" w:lineRule="auto"/>
        <w:ind w:right="113" w:rightChars="54" w:firstLine="317" w:firstLineChars="151"/>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（4）其他评分因素：见评标办法前附表。</w:t>
      </w:r>
    </w:p>
    <w:p w14:paraId="1C253D5D">
      <w:pPr>
        <w:kinsoku w:val="0"/>
        <w:wordWrap w:val="0"/>
        <w:overflowPunct w:val="0"/>
        <w:spacing w:line="360" w:lineRule="auto"/>
        <w:ind w:right="113" w:rightChars="54" w:firstLine="317" w:firstLineChars="151"/>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2.2.2评标基准价计算</w:t>
      </w:r>
    </w:p>
    <w:p w14:paraId="72191734">
      <w:pPr>
        <w:kinsoku w:val="0"/>
        <w:wordWrap w:val="0"/>
        <w:overflowPunct w:val="0"/>
        <w:spacing w:line="360" w:lineRule="auto"/>
        <w:ind w:right="113" w:rightChars="54" w:firstLine="317" w:firstLineChars="151"/>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评标基准价计算方法：见评标办法前附表。</w:t>
      </w:r>
    </w:p>
    <w:p w14:paraId="045E4F75">
      <w:pPr>
        <w:kinsoku w:val="0"/>
        <w:wordWrap w:val="0"/>
        <w:overflowPunct w:val="0"/>
        <w:spacing w:line="360" w:lineRule="auto"/>
        <w:ind w:right="113" w:rightChars="54" w:firstLine="317" w:firstLineChars="151"/>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2.2.3投标报价的偏差率计算</w:t>
      </w:r>
    </w:p>
    <w:p w14:paraId="1CCB72AA">
      <w:pPr>
        <w:kinsoku w:val="0"/>
        <w:wordWrap w:val="0"/>
        <w:overflowPunct w:val="0"/>
        <w:spacing w:line="360" w:lineRule="auto"/>
        <w:ind w:right="113" w:rightChars="54" w:firstLine="317" w:firstLineChars="151"/>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投标报价的偏差率计算公式：见评标办法前附表。</w:t>
      </w:r>
    </w:p>
    <w:p w14:paraId="7CC832AA">
      <w:pPr>
        <w:kinsoku w:val="0"/>
        <w:wordWrap w:val="0"/>
        <w:overflowPunct w:val="0"/>
        <w:spacing w:line="360" w:lineRule="auto"/>
        <w:ind w:right="113" w:rightChars="54" w:firstLine="317" w:firstLineChars="151"/>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2.2.4评分标准</w:t>
      </w:r>
    </w:p>
    <w:p w14:paraId="75B92CEE">
      <w:pPr>
        <w:kinsoku w:val="0"/>
        <w:wordWrap w:val="0"/>
        <w:overflowPunct w:val="0"/>
        <w:spacing w:line="360" w:lineRule="auto"/>
        <w:ind w:right="113" w:rightChars="54" w:firstLine="317" w:firstLineChars="151"/>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（1）资信业绩评分标准：见评标办法前附表；</w:t>
      </w:r>
    </w:p>
    <w:p w14:paraId="72065DDD">
      <w:pPr>
        <w:kinsoku w:val="0"/>
        <w:wordWrap w:val="0"/>
        <w:overflowPunct w:val="0"/>
        <w:spacing w:line="360" w:lineRule="auto"/>
        <w:ind w:right="113" w:rightChars="54" w:firstLine="317" w:firstLineChars="151"/>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（2）监理大纲评分标准：见评标办法前附表；</w:t>
      </w:r>
    </w:p>
    <w:p w14:paraId="7CA950E7">
      <w:pPr>
        <w:kinsoku w:val="0"/>
        <w:wordWrap w:val="0"/>
        <w:overflowPunct w:val="0"/>
        <w:spacing w:line="360" w:lineRule="auto"/>
        <w:ind w:right="113" w:rightChars="54" w:firstLine="317" w:firstLineChars="151"/>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（3）投标报价评分标准：见评标办法前附表；</w:t>
      </w:r>
    </w:p>
    <w:p w14:paraId="7C39A928">
      <w:pPr>
        <w:kinsoku w:val="0"/>
        <w:wordWrap w:val="0"/>
        <w:overflowPunct w:val="0"/>
        <w:spacing w:line="360" w:lineRule="auto"/>
        <w:ind w:right="113" w:rightChars="54" w:firstLine="317" w:firstLineChars="151"/>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（4）其他因素评分标准：见评标办法前附表。</w:t>
      </w:r>
    </w:p>
    <w:p w14:paraId="6F24B3DF">
      <w:pPr>
        <w:keepNext/>
        <w:keepLines/>
        <w:wordWrap w:val="0"/>
        <w:spacing w:line="360" w:lineRule="auto"/>
        <w:outlineLvl w:val="2"/>
        <w:rPr>
          <w:rFonts w:hint="eastAsia" w:ascii="宋体" w:hAnsi="宋体" w:eastAsia="宋体" w:cs="Times New Roman"/>
          <w:b/>
          <w:color w:val="auto"/>
          <w:sz w:val="28"/>
          <w:szCs w:val="20"/>
          <w:highlight w:val="none"/>
        </w:rPr>
      </w:pPr>
      <w:bookmarkStart w:id="253" w:name="bookmark88"/>
      <w:bookmarkEnd w:id="253"/>
      <w:bookmarkStart w:id="254" w:name="_Toc59200692"/>
      <w:bookmarkStart w:id="255" w:name="_Toc14873663"/>
      <w:r>
        <w:rPr>
          <w:rFonts w:ascii="宋体" w:hAnsi="宋体" w:eastAsia="宋体" w:cs="Times New Roman"/>
          <w:b/>
          <w:color w:val="auto"/>
          <w:sz w:val="28"/>
          <w:szCs w:val="20"/>
          <w:highlight w:val="none"/>
        </w:rPr>
        <w:t xml:space="preserve">3. </w:t>
      </w:r>
      <w:r>
        <w:rPr>
          <w:rFonts w:hint="eastAsia" w:ascii="宋体" w:hAnsi="宋体" w:eastAsia="宋体" w:cs="Times New Roman"/>
          <w:b/>
          <w:color w:val="auto"/>
          <w:sz w:val="28"/>
          <w:szCs w:val="20"/>
          <w:highlight w:val="none"/>
        </w:rPr>
        <w:t>评标程序</w:t>
      </w:r>
      <w:bookmarkEnd w:id="254"/>
      <w:bookmarkEnd w:id="255"/>
    </w:p>
    <w:p w14:paraId="0F241A12">
      <w:pPr>
        <w:keepNext/>
        <w:keepLines/>
        <w:wordWrap w:val="0"/>
        <w:spacing w:line="360" w:lineRule="auto"/>
        <w:outlineLvl w:val="3"/>
        <w:rPr>
          <w:rFonts w:hint="eastAsia" w:ascii="宋体" w:hAnsi="宋体" w:eastAsia="宋体" w:cs="Times New Roman"/>
          <w:b/>
          <w:color w:val="auto"/>
          <w:sz w:val="28"/>
          <w:szCs w:val="28"/>
          <w:highlight w:val="none"/>
        </w:rPr>
      </w:pPr>
      <w:bookmarkStart w:id="256" w:name="bookmark89"/>
      <w:bookmarkEnd w:id="256"/>
      <w:r>
        <w:rPr>
          <w:rFonts w:ascii="宋体" w:hAnsi="宋体" w:eastAsia="宋体" w:cs="Times New Roman"/>
          <w:b/>
          <w:color w:val="auto"/>
          <w:sz w:val="28"/>
          <w:szCs w:val="28"/>
          <w:highlight w:val="none"/>
        </w:rPr>
        <w:t>3.1</w:t>
      </w:r>
      <w:r>
        <w:rPr>
          <w:rFonts w:hint="eastAsia" w:ascii="宋体" w:hAnsi="宋体" w:eastAsia="宋体" w:cs="Times New Roman"/>
          <w:b/>
          <w:color w:val="auto"/>
          <w:sz w:val="28"/>
          <w:szCs w:val="28"/>
          <w:highlight w:val="none"/>
        </w:rPr>
        <w:t>初步评审</w:t>
      </w:r>
    </w:p>
    <w:p w14:paraId="30D0E682">
      <w:pPr>
        <w:kinsoku w:val="0"/>
        <w:wordWrap w:val="0"/>
        <w:overflowPunct w:val="0"/>
        <w:spacing w:line="360" w:lineRule="auto"/>
        <w:ind w:right="109" w:firstLine="317" w:firstLineChars="151"/>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3.1.1评标委员会如认为有必要，可以要求投标人提交第二章“投标人须知”规定的有关证明和证件的原件，以便核验。评标委员会依据本章第2.1款规定的标准对投标文件进行初步评审。有一项不符合评审标准的，评标委员会应当否决其投标，未能通过初步评审的投标人，其投标不再参与后续的评审程序。如果有否决投标提议，则评标委员会成员共同表决，按照少数服从多数的原则决定是否否决其投标。若有效投标不足3个的，或当N个标段同时招标且不允许兼中时，有效投标人不足N+2家的，应当对投标是否明显缺乏竞争和是否需要否决全部投标进行充分论证，并在评标报告中记载论证过程和结果。如评标委员会成员的评审意见不一致时，以评标委员会过半数成员的意见作为评标委员会对该情形的认定结论。持不同意见的评标委员会成员应以书面形式阐述其意见和理由并记录在案。</w:t>
      </w:r>
    </w:p>
    <w:p w14:paraId="79604D63">
      <w:pPr>
        <w:kinsoku w:val="0"/>
        <w:wordWrap w:val="0"/>
        <w:overflowPunct w:val="0"/>
        <w:spacing w:line="360" w:lineRule="auto"/>
        <w:ind w:right="109" w:firstLine="317" w:firstLineChars="151"/>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3.1.1.1形式评审：</w:t>
      </w:r>
    </w:p>
    <w:p w14:paraId="1CBC8931">
      <w:pPr>
        <w:kinsoku w:val="0"/>
        <w:wordWrap w:val="0"/>
        <w:overflowPunct w:val="0"/>
        <w:spacing w:line="360" w:lineRule="auto"/>
        <w:ind w:right="109" w:firstLine="317" w:firstLineChars="151"/>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评标委员会根据评标办法前附表中规定的评审因素和评审标准，对投标人的文件进行形式评审。通过形式评审的投标文件方可参加下一阶段评审程序。</w:t>
      </w:r>
    </w:p>
    <w:p w14:paraId="3B3F285D">
      <w:pPr>
        <w:kinsoku w:val="0"/>
        <w:wordWrap w:val="0"/>
        <w:overflowPunct w:val="0"/>
        <w:spacing w:line="360" w:lineRule="auto"/>
        <w:ind w:right="109" w:firstLine="317" w:firstLineChars="151"/>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3.1.1.2资格评审：</w:t>
      </w:r>
    </w:p>
    <w:p w14:paraId="53D0EE94">
      <w:pPr>
        <w:kinsoku w:val="0"/>
        <w:wordWrap w:val="0"/>
        <w:overflowPunct w:val="0"/>
        <w:spacing w:line="360" w:lineRule="auto"/>
        <w:ind w:right="109" w:firstLine="317" w:firstLineChars="151"/>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评标委员会根据评标办法前附表中的规定的评审因素和评审标准，对投标人的资格审查文件进行资格评审。通过资格评审的投标文件方可参加下一阶段评审程序。</w:t>
      </w:r>
    </w:p>
    <w:p w14:paraId="2FF4B99F">
      <w:pPr>
        <w:kinsoku w:val="0"/>
        <w:wordWrap w:val="0"/>
        <w:overflowPunct w:val="0"/>
        <w:spacing w:line="360" w:lineRule="auto"/>
        <w:ind w:right="109" w:firstLine="317" w:firstLineChars="151"/>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3.1.1.3响应性评审：</w:t>
      </w:r>
    </w:p>
    <w:p w14:paraId="05DC02AB">
      <w:pPr>
        <w:kinsoku w:val="0"/>
        <w:wordWrap w:val="0"/>
        <w:overflowPunct w:val="0"/>
        <w:spacing w:line="360" w:lineRule="auto"/>
        <w:ind w:right="109" w:firstLine="317" w:firstLineChars="151"/>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评标委员会根据评标办法前附表中规定的评审因素和评审标准，对投标人的商务文件进行响应性评审。通过商务文件响应性评审的投标文件方可参加下一阶段评审程序。</w:t>
      </w:r>
    </w:p>
    <w:p w14:paraId="774D41BB">
      <w:pPr>
        <w:kinsoku w:val="0"/>
        <w:wordWrap w:val="0"/>
        <w:overflowPunct w:val="0"/>
        <w:spacing w:line="360" w:lineRule="auto"/>
        <w:ind w:right="109" w:firstLine="317" w:firstLineChars="151"/>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3.1.2投标人有以下情形之一的，评标委员会应当否决其投标：</w:t>
      </w:r>
    </w:p>
    <w:p w14:paraId="1B787431">
      <w:pPr>
        <w:kinsoku w:val="0"/>
        <w:wordWrap w:val="0"/>
        <w:overflowPunct w:val="0"/>
        <w:spacing w:line="360" w:lineRule="auto"/>
        <w:ind w:right="109" w:firstLine="317" w:firstLineChars="151"/>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（1）投标文件没有对招标文件的实质性要求和条件作出响应，或者对招标文件的偏差超出招标文件规定的偏差范围或最高项数；</w:t>
      </w:r>
    </w:p>
    <w:p w14:paraId="278D2E62">
      <w:pPr>
        <w:kinsoku w:val="0"/>
        <w:wordWrap w:val="0"/>
        <w:overflowPunct w:val="0"/>
        <w:spacing w:line="360" w:lineRule="auto"/>
        <w:ind w:right="109" w:firstLine="317" w:firstLineChars="151"/>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（2）有串通投标、弄虚作假、行贿等违法行为。</w:t>
      </w:r>
    </w:p>
    <w:p w14:paraId="31665FEA">
      <w:pPr>
        <w:kinsoku w:val="0"/>
        <w:wordWrap w:val="0"/>
        <w:overflowPunct w:val="0"/>
        <w:spacing w:line="360" w:lineRule="auto"/>
        <w:ind w:right="109" w:firstLine="317" w:firstLineChars="151"/>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招标人设置了成本警示价的，对于低于成本警示价的投标报价，投标人必须提供详细的单价、措施、投标人成本等分析供评标委员会评审，由评标委员会判定其是否低于企业自身成本。在评标过程中，评标委员会发现投标人的报价明显低于其他投标报价或者低于成本警示价，使得其投标报价可能低于个别成本的，应当要求该投标人作出书面说明并提供相关证明材料。投标人不能合理说明或者不能提供相关说明材料的，由评标委员会认定该投标人以低于成本报价竞标，应当否决其投标。当有多个投标报价低于成本警示价时，应从低到高依次评审，对于已投标人已做说明或者已提供相关证明材料的，如有较低投标报价未被认定低于成本，则不再对较高投标报价是否低于成本进行认定。</w:t>
      </w:r>
    </w:p>
    <w:p w14:paraId="2EF905CF">
      <w:pPr>
        <w:kinsoku w:val="0"/>
        <w:wordWrap w:val="0"/>
        <w:overflowPunct w:val="0"/>
        <w:spacing w:line="360" w:lineRule="auto"/>
        <w:ind w:right="109" w:firstLine="317" w:firstLineChars="151"/>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（4）投标人与其他投标人加密打包投标文件硬件特征码一致的。</w:t>
      </w:r>
    </w:p>
    <w:p w14:paraId="146B33E0">
      <w:pPr>
        <w:kinsoku w:val="0"/>
        <w:wordWrap w:val="0"/>
        <w:overflowPunct w:val="0"/>
        <w:spacing w:line="360" w:lineRule="auto"/>
        <w:ind w:right="109" w:firstLine="317" w:firstLineChars="151"/>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（5）评标办法规定的其他应当否决其投标的情形。</w:t>
      </w:r>
    </w:p>
    <w:p w14:paraId="44F590FA">
      <w:pPr>
        <w:kinsoku w:val="0"/>
        <w:wordWrap w:val="0"/>
        <w:overflowPunct w:val="0"/>
        <w:spacing w:line="360" w:lineRule="auto"/>
        <w:ind w:right="109" w:firstLine="317" w:firstLineChars="151"/>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3.1.3投标报价有算术错误及其他错误的，评标委员会按以下原则要求投标人对投标报价进行修正，并要求投标人书面澄清确认。投标人拒不澄清确认的，投标人拒不接受的，评标委员会应当否决其投标：</w:t>
      </w:r>
    </w:p>
    <w:p w14:paraId="64528840">
      <w:pPr>
        <w:kinsoku w:val="0"/>
        <w:wordWrap w:val="0"/>
        <w:overflowPunct w:val="0"/>
        <w:spacing w:line="360" w:lineRule="auto"/>
        <w:ind w:right="109" w:firstLine="317" w:firstLineChars="151"/>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（1）投标文件中的大写金额与小写金额不一致的，以大写金额为准；</w:t>
      </w:r>
    </w:p>
    <w:p w14:paraId="203052B9">
      <w:pPr>
        <w:kinsoku w:val="0"/>
        <w:wordWrap w:val="0"/>
        <w:overflowPunct w:val="0"/>
        <w:spacing w:line="360" w:lineRule="auto"/>
        <w:ind w:right="109" w:firstLine="317" w:firstLineChars="151"/>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70276D6B">
      <w:pPr>
        <w:kinsoku w:val="0"/>
        <w:wordWrap w:val="0"/>
        <w:overflowPunct w:val="0"/>
        <w:spacing w:line="360" w:lineRule="auto"/>
        <w:ind w:right="109" w:firstLine="317" w:firstLineChars="151"/>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3.1.4评标委员会不得将文件顺序、明显文字错误等列为否决投标的情形，评标委员会发现投标文件含义不明确、对同类问题表述不一致、有明显格式或文字、计算错误、投标报价可能低于成本影响履约的，应当要求投标人作必要的澄清、说明或补正后再判定投标人是否通过审查，不得直接否决投标。评标委员会不接受投标人主动提出的澄清、说明或补正。</w:t>
      </w:r>
    </w:p>
    <w:p w14:paraId="6993B098">
      <w:pPr>
        <w:kinsoku w:val="0"/>
        <w:wordWrap w:val="0"/>
        <w:overflowPunct w:val="0"/>
        <w:spacing w:line="360" w:lineRule="auto"/>
        <w:ind w:right="109" w:firstLine="317" w:firstLineChars="151"/>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3.1.5有效投标不足三个的，评标委员会应当对投标是否明显缺乏竞争和是否需要否决全部投标进行充分论证，并在评标报告中记载论证过程和结果。</w:t>
      </w:r>
    </w:p>
    <w:p w14:paraId="36993B9E">
      <w:pPr>
        <w:kinsoku w:val="0"/>
        <w:wordWrap w:val="0"/>
        <w:overflowPunct w:val="0"/>
        <w:spacing w:line="360" w:lineRule="auto"/>
        <w:ind w:right="109" w:firstLine="317" w:firstLineChars="151"/>
        <w:rPr>
          <w:rFonts w:hint="eastAsia" w:ascii="宋体" w:hAnsi="宋体" w:eastAsia="宋体" w:cs="Times New Roman"/>
          <w:color w:val="auto"/>
          <w:spacing w:val="-4"/>
          <w:szCs w:val="21"/>
          <w:highlight w:val="none"/>
        </w:rPr>
      </w:pPr>
      <w:r>
        <w:rPr>
          <w:rFonts w:hint="eastAsia" w:ascii="宋体" w:hAnsi="宋体" w:eastAsia="宋体" w:cs="Times New Roman"/>
          <w:color w:val="auto"/>
          <w:szCs w:val="21"/>
          <w:highlight w:val="none"/>
        </w:rPr>
        <w:t>3.1.6若评标委员会各成员对否决投标意见不一致时，则按少数服从多数的原则作出评审结论。持有不同意见的评标委员会成员应书面记录本人意见后上传至评标系统，招标人应对评标委员会的意见合法、合理性进行确认。</w:t>
      </w:r>
    </w:p>
    <w:p w14:paraId="251D5C51">
      <w:pPr>
        <w:keepNext/>
        <w:keepLines/>
        <w:wordWrap w:val="0"/>
        <w:spacing w:line="360" w:lineRule="auto"/>
        <w:outlineLvl w:val="3"/>
        <w:rPr>
          <w:rFonts w:hint="eastAsia" w:ascii="宋体" w:hAnsi="宋体" w:eastAsia="宋体" w:cs="Times New Roman"/>
          <w:b/>
          <w:color w:val="auto"/>
          <w:sz w:val="28"/>
          <w:szCs w:val="28"/>
          <w:highlight w:val="none"/>
        </w:rPr>
      </w:pPr>
      <w:bookmarkStart w:id="257" w:name="bookmark90"/>
      <w:bookmarkEnd w:id="257"/>
      <w:bookmarkStart w:id="258" w:name="_Toc59200693"/>
      <w:r>
        <w:rPr>
          <w:rFonts w:ascii="宋体" w:hAnsi="宋体" w:eastAsia="宋体" w:cs="Times New Roman"/>
          <w:b/>
          <w:color w:val="auto"/>
          <w:sz w:val="28"/>
          <w:szCs w:val="28"/>
          <w:highlight w:val="none"/>
        </w:rPr>
        <w:t>3.2</w:t>
      </w:r>
      <w:r>
        <w:rPr>
          <w:rFonts w:hint="eastAsia" w:ascii="宋体" w:hAnsi="宋体" w:eastAsia="宋体" w:cs="Times New Roman"/>
          <w:b/>
          <w:color w:val="auto"/>
          <w:sz w:val="28"/>
          <w:szCs w:val="28"/>
          <w:highlight w:val="none"/>
        </w:rPr>
        <w:t>详细评审</w:t>
      </w:r>
      <w:bookmarkEnd w:id="258"/>
    </w:p>
    <w:p w14:paraId="56A7C84F">
      <w:pPr>
        <w:kinsoku w:val="0"/>
        <w:wordWrap w:val="0"/>
        <w:overflowPunct w:val="0"/>
        <w:spacing w:line="360" w:lineRule="auto"/>
        <w:ind w:right="211" w:firstLine="317" w:firstLineChars="151"/>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3.2.1评标委员会按本章第2.2款规定的量化因素和分值进行打分，并计算出综合评估得分。</w:t>
      </w:r>
    </w:p>
    <w:p w14:paraId="0395CC1A">
      <w:pPr>
        <w:kinsoku w:val="0"/>
        <w:wordWrap w:val="0"/>
        <w:overflowPunct w:val="0"/>
        <w:spacing w:line="360" w:lineRule="auto"/>
        <w:ind w:right="211" w:firstLine="317" w:firstLineChars="151"/>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按本章第2.2.4（1）目规定的评审因素和分值对资信业绩部分计算出得分A，资信业绩部分评审得分A为评标委员会各成员打分的算术平均值（由招标人自行设置），分数出现小数点，保留小数点后二位，第三位小数四舍五入。</w:t>
      </w:r>
    </w:p>
    <w:p w14:paraId="6FDF5337">
      <w:pPr>
        <w:kinsoku w:val="0"/>
        <w:wordWrap w:val="0"/>
        <w:overflowPunct w:val="0"/>
        <w:spacing w:line="360" w:lineRule="auto"/>
        <w:ind w:right="211" w:firstLine="317" w:firstLineChars="151"/>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（2）按本章第2.2.4（2）目规定的评审因素和分值对监理大纲部分计算出得分B，</w:t>
      </w:r>
      <w:r>
        <w:rPr>
          <w:rFonts w:hint="eastAsia" w:ascii="宋体" w:hAnsi="宋体" w:eastAsia="宋体" w:cs="Times New Roman"/>
          <w:strike/>
          <w:color w:val="auto"/>
          <w:szCs w:val="21"/>
          <w:highlight w:val="none"/>
        </w:rPr>
        <w:t>（以下两种方法招标人自行选择）①监理大纲部分评审得分B为从评标委员会各成员打分中去掉一个最高分和去掉一个最低分后的剩余评标委员会成员打分的算术平均值或②</w:t>
      </w:r>
      <w:r>
        <w:rPr>
          <w:rFonts w:hint="eastAsia" w:ascii="宋体" w:hAnsi="宋体" w:eastAsia="宋体" w:cs="Times New Roman"/>
          <w:color w:val="auto"/>
          <w:szCs w:val="21"/>
          <w:highlight w:val="none"/>
        </w:rPr>
        <w:t>监理大纲部分评审得分B为评标委员会各成员打分的算术平均值，分数出现小数点，保留小数点后二位，第三位小数四舍五入。</w:t>
      </w:r>
    </w:p>
    <w:p w14:paraId="66CEB3C9">
      <w:pPr>
        <w:kinsoku w:val="0"/>
        <w:wordWrap w:val="0"/>
        <w:overflowPunct w:val="0"/>
        <w:spacing w:line="360" w:lineRule="auto"/>
        <w:ind w:right="211" w:firstLine="317" w:firstLineChars="151"/>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（3）按本章第2.2.4（3）目规定的评审因素和分值对投标报价计算出得分C，分数出现小数点，保留小数点后二位，第三位小数四舍五入。</w:t>
      </w:r>
    </w:p>
    <w:p w14:paraId="11C4DE9A">
      <w:pPr>
        <w:kinsoku w:val="0"/>
        <w:wordWrap w:val="0"/>
        <w:overflowPunct w:val="0"/>
        <w:spacing w:line="360" w:lineRule="auto"/>
        <w:ind w:right="211" w:firstLine="317" w:firstLineChars="151"/>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（4）按本章第2.2.4（4）目规定的评审因素和分值对其他部分计算出得分D，分数出现小数点，保留小数点后二位，第三位小数四舍五入。</w:t>
      </w:r>
    </w:p>
    <w:p w14:paraId="09D168CF">
      <w:pPr>
        <w:kinsoku w:val="0"/>
        <w:wordWrap w:val="0"/>
        <w:overflowPunct w:val="0"/>
        <w:spacing w:line="360" w:lineRule="auto"/>
        <w:ind w:right="211" w:firstLine="317" w:firstLineChars="151"/>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3.2.2评分分值计算保留小数点后两位，小数点后第三位“四舍五入”。</w:t>
      </w:r>
    </w:p>
    <w:p w14:paraId="282F0A7F">
      <w:pPr>
        <w:kinsoku w:val="0"/>
        <w:wordWrap w:val="0"/>
        <w:overflowPunct w:val="0"/>
        <w:spacing w:line="360" w:lineRule="auto"/>
        <w:ind w:right="211" w:firstLine="317" w:firstLineChars="151"/>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3.2.3投标人得分=A+B+C+D。</w:t>
      </w:r>
    </w:p>
    <w:p w14:paraId="5A2AF323">
      <w:pPr>
        <w:kinsoku w:val="0"/>
        <w:wordWrap w:val="0"/>
        <w:overflowPunct w:val="0"/>
        <w:spacing w:line="360" w:lineRule="auto"/>
        <w:ind w:right="211" w:firstLine="317" w:firstLineChars="151"/>
        <w:rPr>
          <w:rFonts w:hint="eastAsia" w:ascii="宋体" w:hAnsi="宋体" w:eastAsia="宋体" w:cs="Times New Roman"/>
          <w:color w:val="auto"/>
          <w:spacing w:val="-6"/>
          <w:szCs w:val="21"/>
          <w:highlight w:val="none"/>
        </w:rPr>
      </w:pPr>
      <w:r>
        <w:rPr>
          <w:rFonts w:hint="eastAsia" w:ascii="宋体" w:hAnsi="宋体" w:eastAsia="宋体" w:cs="Times New Roman"/>
          <w:color w:val="auto"/>
          <w:szCs w:val="21"/>
          <w:highlight w:val="none"/>
        </w:rPr>
        <w:t>3.2.4（选择性条款）在同一主观因素打分中，当评标委员会各成员对同一投标文件同时给出最高档、最低档评分时，评标委员会负责人（组长）应组织评标委员会各成员集体会商，如会商后有关评标委员会成员仍坚持同时给出最高档、最低档评分的，应各自以书面方式阐述其意见和理由并记录本人意见后上传至评标系统。招标人应对评标委员会的意见的合法性、合理性进行确认。</w:t>
      </w:r>
    </w:p>
    <w:p w14:paraId="5890988C">
      <w:pPr>
        <w:keepNext/>
        <w:keepLines/>
        <w:wordWrap w:val="0"/>
        <w:spacing w:line="360" w:lineRule="auto"/>
        <w:outlineLvl w:val="3"/>
        <w:rPr>
          <w:rFonts w:hint="eastAsia" w:ascii="宋体" w:hAnsi="宋体" w:eastAsia="宋体" w:cs="Times New Roman"/>
          <w:b/>
          <w:color w:val="auto"/>
          <w:sz w:val="28"/>
          <w:szCs w:val="28"/>
          <w:highlight w:val="none"/>
        </w:rPr>
      </w:pPr>
      <w:bookmarkStart w:id="259" w:name="bookmark91"/>
      <w:bookmarkEnd w:id="259"/>
      <w:r>
        <w:rPr>
          <w:rFonts w:ascii="宋体" w:hAnsi="宋体" w:eastAsia="宋体" w:cs="Times New Roman"/>
          <w:b/>
          <w:color w:val="auto"/>
          <w:sz w:val="28"/>
          <w:szCs w:val="28"/>
          <w:highlight w:val="none"/>
        </w:rPr>
        <w:t>3.3</w:t>
      </w:r>
      <w:r>
        <w:rPr>
          <w:rFonts w:hint="eastAsia" w:ascii="宋体" w:hAnsi="宋体" w:eastAsia="宋体" w:cs="Times New Roman"/>
          <w:b/>
          <w:color w:val="auto"/>
          <w:sz w:val="28"/>
          <w:szCs w:val="28"/>
          <w:highlight w:val="none"/>
        </w:rPr>
        <w:t>投标文件的澄清</w:t>
      </w:r>
    </w:p>
    <w:p w14:paraId="5BF97966">
      <w:pPr>
        <w:kinsoku w:val="0"/>
        <w:wordWrap w:val="0"/>
        <w:overflowPunct w:val="0"/>
        <w:spacing w:line="360" w:lineRule="auto"/>
        <w:ind w:right="109" w:firstLine="317" w:firstLineChars="151"/>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3.4.1在评标过程中，经评标委员会中两人以上（含两人）以书面形式提出动议，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47C781B7">
      <w:pPr>
        <w:kinsoku w:val="0"/>
        <w:wordWrap w:val="0"/>
        <w:overflowPunct w:val="0"/>
        <w:spacing w:line="360" w:lineRule="auto"/>
        <w:ind w:right="109" w:firstLine="317" w:firstLineChars="151"/>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3.4.2澄清、说明或补正不得超出投标文件的范围且不得改变投标文件实质性内容，并构成投标文件的组成部分。</w:t>
      </w:r>
    </w:p>
    <w:p w14:paraId="34BBDA81">
      <w:pPr>
        <w:kinsoku w:val="0"/>
        <w:wordWrap w:val="0"/>
        <w:overflowPunct w:val="0"/>
        <w:spacing w:line="360" w:lineRule="auto"/>
        <w:ind w:right="109" w:firstLine="317" w:firstLineChars="151"/>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3.4.3评标委员会对投标人提交的澄清、说明或补正有疑问的，可以要求投标人进一步澄清、说明或补正，直到满足评标委员会的要求。</w:t>
      </w:r>
    </w:p>
    <w:p w14:paraId="65F8A15A">
      <w:pPr>
        <w:kinsoku w:val="0"/>
        <w:wordWrap w:val="0"/>
        <w:overflowPunct w:val="0"/>
        <w:spacing w:line="360" w:lineRule="auto"/>
        <w:ind w:right="109" w:firstLine="317" w:firstLineChars="151"/>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3.4.4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2EF24A1F">
      <w:pPr>
        <w:keepNext/>
        <w:keepLines/>
        <w:wordWrap w:val="0"/>
        <w:spacing w:line="360" w:lineRule="auto"/>
        <w:outlineLvl w:val="3"/>
        <w:rPr>
          <w:rFonts w:hint="eastAsia" w:ascii="宋体" w:hAnsi="宋体" w:eastAsia="宋体" w:cs="Times New Roman"/>
          <w:b/>
          <w:color w:val="auto"/>
          <w:sz w:val="28"/>
          <w:szCs w:val="28"/>
          <w:highlight w:val="none"/>
        </w:rPr>
      </w:pPr>
      <w:bookmarkStart w:id="260" w:name="bookmark92"/>
      <w:bookmarkEnd w:id="260"/>
      <w:r>
        <w:rPr>
          <w:rFonts w:ascii="宋体" w:hAnsi="宋体" w:eastAsia="宋体" w:cs="Times New Roman"/>
          <w:b/>
          <w:color w:val="auto"/>
          <w:sz w:val="28"/>
          <w:szCs w:val="28"/>
          <w:highlight w:val="none"/>
        </w:rPr>
        <w:t>3.4</w:t>
      </w:r>
      <w:r>
        <w:rPr>
          <w:rFonts w:hint="eastAsia" w:ascii="宋体" w:hAnsi="宋体" w:eastAsia="宋体" w:cs="Times New Roman"/>
          <w:b/>
          <w:color w:val="auto"/>
          <w:sz w:val="28"/>
          <w:szCs w:val="28"/>
          <w:highlight w:val="none"/>
        </w:rPr>
        <w:t>评标结果</w:t>
      </w:r>
    </w:p>
    <w:p w14:paraId="5C071AB8">
      <w:pPr>
        <w:wordWrap w:val="0"/>
        <w:spacing w:line="360" w:lineRule="auto"/>
        <w:ind w:firstLine="317" w:firstLineChars="151"/>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3.4.1除第二章“投标人须知”前附表授权直接确定中标人外，评标委员会按照得分由高到低的顺序推荐中标候选人，并标明排序。</w:t>
      </w:r>
    </w:p>
    <w:p w14:paraId="49E48A69">
      <w:pPr>
        <w:wordWrap w:val="0"/>
        <w:spacing w:line="360" w:lineRule="auto"/>
        <w:ind w:firstLine="317" w:firstLineChars="151"/>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3.4.2评标委员会完成评标后，应当向招标人提交书面评标报告和中标候选人名单。</w:t>
      </w:r>
    </w:p>
    <w:p w14:paraId="02BC67F7">
      <w:pPr>
        <w:wordWrap w:val="0"/>
        <w:spacing w:line="360" w:lineRule="auto"/>
        <w:ind w:firstLine="317" w:firstLineChars="151"/>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3.4.3如采用评标定标分离方法的，按相关规定执行。</w:t>
      </w:r>
    </w:p>
    <w:p w14:paraId="559D2D43">
      <w:pPr>
        <w:wordWrap w:val="0"/>
        <w:spacing w:before="340" w:after="330"/>
        <w:jc w:val="center"/>
        <w:outlineLvl w:val="0"/>
        <w:rPr>
          <w:rFonts w:hint="eastAsia" w:ascii="宋体" w:hAnsi="宋体" w:eastAsia="宋体" w:cs="Times New Roman"/>
          <w:b/>
          <w:color w:val="auto"/>
          <w:kern w:val="44"/>
          <w:sz w:val="44"/>
          <w:szCs w:val="20"/>
          <w:highlight w:val="none"/>
        </w:rPr>
      </w:pPr>
      <w:bookmarkStart w:id="261" w:name="_Toc526786491"/>
      <w:bookmarkStart w:id="262" w:name="_Toc31071"/>
      <w:r>
        <w:rPr>
          <w:rFonts w:ascii="宋体" w:hAnsi="宋体" w:eastAsia="宋体" w:cs="Times New Roman"/>
          <w:b/>
          <w:color w:val="auto"/>
          <w:kern w:val="44"/>
          <w:sz w:val="44"/>
          <w:szCs w:val="20"/>
          <w:highlight w:val="none"/>
        </w:rPr>
        <w:br w:type="page"/>
      </w:r>
      <w:bookmarkStart w:id="263" w:name="_Toc59200694"/>
      <w:r>
        <w:rPr>
          <w:rFonts w:hint="eastAsia" w:ascii="宋体" w:hAnsi="宋体" w:eastAsia="宋体" w:cs="Times New Roman"/>
          <w:b/>
          <w:color w:val="auto"/>
          <w:kern w:val="44"/>
          <w:sz w:val="44"/>
          <w:szCs w:val="20"/>
          <w:highlight w:val="none"/>
        </w:rPr>
        <w:t>第四章</w:t>
      </w:r>
      <w:r>
        <w:rPr>
          <w:rFonts w:ascii="宋体" w:hAnsi="宋体" w:eastAsia="宋体" w:cs="Times New Roman"/>
          <w:b/>
          <w:color w:val="auto"/>
          <w:kern w:val="44"/>
          <w:sz w:val="44"/>
          <w:szCs w:val="20"/>
          <w:highlight w:val="none"/>
        </w:rPr>
        <w:t xml:space="preserve"> </w:t>
      </w:r>
      <w:r>
        <w:rPr>
          <w:rFonts w:hint="eastAsia" w:ascii="宋体" w:hAnsi="宋体" w:eastAsia="宋体" w:cs="Times New Roman"/>
          <w:b/>
          <w:color w:val="auto"/>
          <w:kern w:val="44"/>
          <w:sz w:val="44"/>
          <w:szCs w:val="20"/>
          <w:highlight w:val="none"/>
        </w:rPr>
        <w:t>合同条款及格式</w:t>
      </w:r>
      <w:bookmarkEnd w:id="261"/>
      <w:bookmarkEnd w:id="262"/>
      <w:bookmarkEnd w:id="263"/>
    </w:p>
    <w:p w14:paraId="62465031">
      <w:pPr>
        <w:wordWrap w:val="0"/>
        <w:spacing w:line="360" w:lineRule="auto"/>
        <w:jc w:val="center"/>
        <w:rPr>
          <w:rFonts w:hint="eastAsia" w:ascii="宋体" w:hAnsi="宋体" w:eastAsia="宋体" w:cs="宋体"/>
          <w:b/>
          <w:color w:val="auto"/>
          <w:kern w:val="0"/>
          <w:sz w:val="24"/>
          <w:szCs w:val="24"/>
          <w:highlight w:val="none"/>
          <w:u w:val="single"/>
        </w:rPr>
      </w:pPr>
      <w:r>
        <w:rPr>
          <w:rFonts w:hint="eastAsia" w:ascii="宋体" w:hAnsi="宋体" w:eastAsia="宋体" w:cs="宋体"/>
          <w:b/>
          <w:color w:val="auto"/>
          <w:kern w:val="0"/>
          <w:sz w:val="24"/>
          <w:szCs w:val="24"/>
          <w:highlight w:val="none"/>
          <w:u w:val="single"/>
        </w:rPr>
        <w:t>（另册）</w:t>
      </w:r>
    </w:p>
    <w:p w14:paraId="6E044F84">
      <w:pPr>
        <w:wordWrap w:val="0"/>
        <w:rPr>
          <w:rFonts w:hint="eastAsia" w:ascii="宋体" w:hAnsi="宋体" w:eastAsia="宋体" w:cs="Times New Roman"/>
          <w:b/>
          <w:color w:val="auto"/>
          <w:highlight w:val="none"/>
        </w:rPr>
      </w:pPr>
    </w:p>
    <w:p w14:paraId="77477EBD">
      <w:pPr>
        <w:wordWrap w:val="0"/>
        <w:spacing w:before="340" w:after="330"/>
        <w:jc w:val="center"/>
        <w:outlineLvl w:val="0"/>
        <w:rPr>
          <w:rFonts w:hint="eastAsia" w:ascii="宋体" w:hAnsi="宋体" w:eastAsia="宋体" w:cs="Times New Roman"/>
          <w:b/>
          <w:color w:val="auto"/>
          <w:kern w:val="44"/>
          <w:sz w:val="44"/>
          <w:szCs w:val="20"/>
          <w:highlight w:val="none"/>
        </w:rPr>
      </w:pPr>
      <w:r>
        <w:rPr>
          <w:rFonts w:ascii="宋体" w:hAnsi="宋体" w:eastAsia="宋体" w:cs="Times New Roman"/>
          <w:b/>
          <w:color w:val="auto"/>
          <w:kern w:val="44"/>
          <w:sz w:val="44"/>
          <w:szCs w:val="20"/>
          <w:highlight w:val="none"/>
        </w:rPr>
        <w:br w:type="page"/>
      </w:r>
      <w:bookmarkStart w:id="264" w:name="_Toc25312"/>
      <w:bookmarkStart w:id="265" w:name="_Toc59200695"/>
      <w:bookmarkStart w:id="266" w:name="_Toc526786492"/>
      <w:bookmarkStart w:id="267" w:name="_Toc247085853"/>
      <w:bookmarkStart w:id="268" w:name="_Toc179632787"/>
      <w:bookmarkStart w:id="269" w:name="_Toc246997081"/>
      <w:bookmarkStart w:id="270" w:name="_Toc246996338"/>
      <w:bookmarkStart w:id="271" w:name="_Toc247514197"/>
      <w:bookmarkStart w:id="272" w:name="_Toc152042388"/>
      <w:bookmarkStart w:id="273" w:name="_Toc247527798"/>
      <w:bookmarkStart w:id="274" w:name="_Toc144974578"/>
      <w:bookmarkStart w:id="275" w:name="_Toc144974829"/>
      <w:bookmarkStart w:id="276" w:name="_Toc300835199"/>
      <w:bookmarkStart w:id="277" w:name="_Toc152042549"/>
      <w:bookmarkStart w:id="278" w:name="_Toc184635122"/>
      <w:bookmarkStart w:id="279" w:name="_Toc152045610"/>
      <w:r>
        <w:rPr>
          <w:rFonts w:hint="eastAsia" w:ascii="宋体" w:hAnsi="宋体" w:eastAsia="宋体" w:cs="Times New Roman"/>
          <w:b/>
          <w:color w:val="auto"/>
          <w:kern w:val="44"/>
          <w:sz w:val="44"/>
          <w:szCs w:val="20"/>
          <w:highlight w:val="none"/>
        </w:rPr>
        <w:t>第二卷</w:t>
      </w:r>
      <w:bookmarkEnd w:id="264"/>
      <w:bookmarkEnd w:id="265"/>
      <w:bookmarkEnd w:id="266"/>
    </w:p>
    <w:p w14:paraId="53801BD1">
      <w:pPr>
        <w:wordWrap w:val="0"/>
        <w:spacing w:before="340" w:after="330"/>
        <w:jc w:val="center"/>
        <w:outlineLvl w:val="0"/>
        <w:rPr>
          <w:rFonts w:hint="eastAsia" w:ascii="宋体" w:hAnsi="宋体" w:eastAsia="宋体" w:cs="Times New Roman"/>
          <w:b/>
          <w:color w:val="auto"/>
          <w:kern w:val="44"/>
          <w:sz w:val="44"/>
          <w:szCs w:val="20"/>
          <w:highlight w:val="none"/>
        </w:rPr>
      </w:pPr>
      <w:bookmarkStart w:id="280" w:name="_Toc59200696"/>
      <w:bookmarkStart w:id="281" w:name="_Toc526786493"/>
      <w:r>
        <w:rPr>
          <w:rFonts w:hint="eastAsia" w:ascii="宋体" w:hAnsi="宋体" w:eastAsia="宋体" w:cs="Times New Roman"/>
          <w:b/>
          <w:color w:val="auto"/>
          <w:kern w:val="44"/>
          <w:sz w:val="44"/>
          <w:szCs w:val="20"/>
          <w:highlight w:val="none"/>
        </w:rPr>
        <w:t>第五章</w:t>
      </w:r>
      <w:r>
        <w:rPr>
          <w:rFonts w:ascii="宋体" w:hAnsi="宋体" w:eastAsia="宋体" w:cs="Times New Roman"/>
          <w:b/>
          <w:color w:val="auto"/>
          <w:kern w:val="44"/>
          <w:sz w:val="44"/>
          <w:szCs w:val="20"/>
          <w:highlight w:val="none"/>
        </w:rPr>
        <w:t xml:space="preserve"> </w:t>
      </w:r>
      <w:r>
        <w:rPr>
          <w:rFonts w:hint="eastAsia" w:ascii="宋体" w:hAnsi="宋体" w:eastAsia="宋体" w:cs="Times New Roman"/>
          <w:b/>
          <w:color w:val="auto"/>
          <w:kern w:val="44"/>
          <w:sz w:val="44"/>
          <w:szCs w:val="20"/>
          <w:highlight w:val="none"/>
        </w:rPr>
        <w:t>委托人要求</w:t>
      </w:r>
      <w:bookmarkEnd w:id="280"/>
    </w:p>
    <w:p w14:paraId="01F6B2D2">
      <w:pPr>
        <w:numPr>
          <w:ilvl w:val="0"/>
          <w:numId w:val="0"/>
        </w:numPr>
        <w:spacing w:line="560" w:lineRule="exact"/>
        <w:ind w:firstLine="0" w:firstLineChars="0"/>
        <w:jc w:val="center"/>
        <w:rPr>
          <w:rFonts w:hint="eastAsia" w:ascii="方正小标宋简体" w:hAnsi="方正小标宋简体" w:eastAsia="方正小标宋简体" w:cs="方正小标宋简体"/>
          <w:color w:val="auto"/>
          <w:sz w:val="28"/>
          <w:szCs w:val="28"/>
          <w:highlight w:val="none"/>
        </w:rPr>
      </w:pPr>
      <w:r>
        <w:rPr>
          <w:rFonts w:hint="eastAsia" w:ascii="Times New Roman" w:hAnsi="Times New Roman" w:eastAsia="宋体" w:cs="Times New Roman"/>
          <w:b/>
          <w:color w:val="auto"/>
          <w:kern w:val="2"/>
          <w:sz w:val="28"/>
          <w:szCs w:val="20"/>
          <w:highlight w:val="none"/>
        </w:rPr>
        <w:t>城维计划</w:t>
      </w:r>
      <w:r>
        <w:rPr>
          <w:rFonts w:ascii="方正小标宋简体" w:hAnsi="方正小标宋简体" w:eastAsia="方正小标宋简体" w:cs="方正小标宋简体"/>
          <w:color w:val="auto"/>
          <w:sz w:val="28"/>
          <w:szCs w:val="28"/>
          <w:highlight w:val="none"/>
        </w:rPr>
        <w:t>-桥梁中修专项经费</w:t>
      </w:r>
      <w:r>
        <w:rPr>
          <w:rFonts w:hint="eastAsia" w:ascii="方正小标宋简体" w:hAnsi="方正小标宋简体" w:eastAsia="方正小标宋简体" w:cs="方正小标宋简体"/>
          <w:color w:val="auto"/>
          <w:sz w:val="28"/>
          <w:szCs w:val="28"/>
          <w:highlight w:val="none"/>
        </w:rPr>
        <w:t>-官洲隧道中修工程</w:t>
      </w:r>
      <w:r>
        <w:rPr>
          <w:rFonts w:hint="eastAsia" w:ascii="方正小标宋简体" w:hAnsi="方正小标宋简体" w:eastAsia="方正小标宋简体" w:cs="方正小标宋简体"/>
          <w:color w:val="auto"/>
          <w:sz w:val="28"/>
          <w:szCs w:val="28"/>
          <w:highlight w:val="none"/>
          <w:lang w:val="en-US" w:eastAsia="zh-CN"/>
        </w:rPr>
        <w:t>监理</w:t>
      </w:r>
      <w:r>
        <w:rPr>
          <w:rFonts w:hint="eastAsia" w:ascii="方正小标宋简体" w:hAnsi="方正小标宋简体" w:eastAsia="方正小标宋简体" w:cs="方正小标宋简体"/>
          <w:color w:val="auto"/>
          <w:sz w:val="28"/>
          <w:szCs w:val="28"/>
          <w:highlight w:val="none"/>
        </w:rPr>
        <w:t>项目采购需求</w:t>
      </w:r>
    </w:p>
    <w:p w14:paraId="38FE02E9">
      <w:pPr>
        <w:numPr>
          <w:ilvl w:val="0"/>
          <w:numId w:val="0"/>
        </w:numPr>
        <w:spacing w:line="560" w:lineRule="exact"/>
        <w:ind w:firstLine="0" w:firstLineChars="0"/>
        <w:jc w:val="center"/>
        <w:rPr>
          <w:rFonts w:hint="eastAsia" w:ascii="方正小标宋简体" w:hAnsi="方正小标宋简体" w:eastAsia="方正小标宋简体" w:cs="方正小标宋简体"/>
          <w:color w:val="auto"/>
          <w:sz w:val="28"/>
          <w:szCs w:val="28"/>
          <w:highlight w:val="none"/>
          <w:lang w:val="en-US" w:eastAsia="zh-CN"/>
        </w:rPr>
      </w:pPr>
    </w:p>
    <w:p w14:paraId="561F7511">
      <w:pPr>
        <w:numPr>
          <w:ilvl w:val="0"/>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一、项目名称</w:t>
      </w:r>
    </w:p>
    <w:p w14:paraId="39305DF7">
      <w:pPr>
        <w:numPr>
          <w:ilvl w:val="0"/>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城维计划-桥梁中修专项经费-官洲隧道中修工程监理</w:t>
      </w:r>
      <w:r>
        <w:rPr>
          <w:rFonts w:hint="eastAsia" w:ascii="宋体" w:hAnsi="宋体" w:eastAsia="宋体" w:cs="宋体"/>
          <w:b w:val="0"/>
          <w:color w:val="auto"/>
          <w:sz w:val="21"/>
          <w:szCs w:val="21"/>
          <w:highlight w:val="none"/>
          <w:lang w:eastAsia="zh-CN"/>
        </w:rPr>
        <w:t>。</w:t>
      </w:r>
    </w:p>
    <w:p w14:paraId="4ACE3083">
      <w:pPr>
        <w:numPr>
          <w:ilvl w:val="0"/>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二、项目概况</w:t>
      </w:r>
    </w:p>
    <w:p w14:paraId="12DD5B8C">
      <w:pPr>
        <w:widowControl/>
        <w:numPr>
          <w:ilvl w:val="0"/>
          <w:numId w:val="0"/>
        </w:num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广州生物岛-大学城隧道（又称“官洲隧道”）位于广州市海珠区东南部，是连接仑头-生物岛-大学城主干道的二期工程，线路呈近南北走向。起点位于仑头-生物岛隧道与生物岛东西向主干道中线交汇处，下穿官洲河，终点止于大学城26号路与中环交叉口。隧道养护类别为Ⅰ类。</w:t>
      </w:r>
    </w:p>
    <w:p w14:paraId="4717A7F6">
      <w:pPr>
        <w:widowControl/>
        <w:numPr>
          <w:ilvl w:val="0"/>
          <w:numId w:val="0"/>
        </w:num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隧道由北端岸上敞开段、北端岸上暗埋段、沉管段、南端岸上暗埋段和南端岸上敞开段组成。其中，南、北岸上段采用明挖法施工，中间为沉管段。隧道断面采用合洞隔墙的形式进行设计，双向四车道，隧道路面采用沥青混凝土铺装。</w:t>
      </w:r>
    </w:p>
    <w:p w14:paraId="6D1D2B62">
      <w:pPr>
        <w:widowControl/>
        <w:numPr>
          <w:ilvl w:val="0"/>
          <w:numId w:val="0"/>
        </w:num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前期检测结果显示，江中管节相较于暗埋段存在差异沉降，剪切键出现不同程度的病害。本次拟对隧道基础垫层和受损剪切键进行加固修复，并建立隧道健康监测系统。</w:t>
      </w:r>
    </w:p>
    <w:p w14:paraId="0883D3D9">
      <w:pPr>
        <w:widowControl/>
        <w:numPr>
          <w:ilvl w:val="0"/>
          <w:numId w:val="0"/>
        </w:num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三、项目计价说明</w:t>
      </w:r>
    </w:p>
    <w:p w14:paraId="67890D5D">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参照</w:t>
      </w:r>
      <w:r>
        <w:rPr>
          <w:rFonts w:hint="eastAsia" w:ascii="宋体" w:hAnsi="宋体" w:eastAsia="宋体" w:cs="宋体"/>
          <w:color w:val="auto"/>
          <w:sz w:val="21"/>
          <w:szCs w:val="21"/>
          <w:highlight w:val="none"/>
          <w:lang w:val="en-US" w:eastAsia="zh-CN"/>
        </w:rPr>
        <w:t>预算评审及</w:t>
      </w:r>
      <w:r>
        <w:rPr>
          <w:rFonts w:hint="eastAsia" w:ascii="宋体" w:hAnsi="宋体" w:eastAsia="宋体" w:cs="宋体"/>
          <w:color w:val="auto"/>
          <w:sz w:val="21"/>
          <w:szCs w:val="21"/>
          <w:highlight w:val="none"/>
        </w:rPr>
        <w:t>《关于印发&lt;建设工程监理与相关服务收费管理规定&gt;的通知》（发改价格〔2007〕670号）、《国家发展改革委关于降低部分建设项目收费标准规范收费行为等有关问题的通知》（发改价格〔2011〕534号）文件所规定的计价方式，</w:t>
      </w:r>
      <w:r>
        <w:rPr>
          <w:rFonts w:hint="eastAsia" w:ascii="宋体" w:hAnsi="宋体" w:eastAsia="宋体" w:cs="宋体"/>
          <w:color w:val="auto"/>
          <w:szCs w:val="21"/>
          <w:highlight w:val="none"/>
        </w:rPr>
        <w:t>文件所规定的计价方式及本项目预算初稿，暂以预算工程费用作为监理费基价的计费额，</w:t>
      </w:r>
      <w:r>
        <w:rPr>
          <w:rFonts w:hint="eastAsia" w:ascii="宋体" w:hAnsi="宋体" w:eastAsia="宋体" w:cs="宋体"/>
          <w:color w:val="auto"/>
          <w:sz w:val="21"/>
          <w:szCs w:val="21"/>
          <w:highlight w:val="none"/>
        </w:rPr>
        <w:t>监理服务费=监理服务收费基价×专业调整系数</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×复杂程度调整系数</w:t>
      </w:r>
      <w:r>
        <w:rPr>
          <w:rFonts w:hint="eastAsia" w:ascii="宋体" w:hAnsi="宋体" w:eastAsia="宋体" w:cs="宋体"/>
          <w:color w:val="auto"/>
          <w:sz w:val="21"/>
          <w:szCs w:val="21"/>
          <w:highlight w:val="none"/>
          <w:lang w:val="en-US" w:eastAsia="zh-CN"/>
        </w:rPr>
        <w:t>1.15</w:t>
      </w:r>
      <w:r>
        <w:rPr>
          <w:rFonts w:hint="eastAsia" w:ascii="宋体" w:hAnsi="宋体" w:eastAsia="宋体" w:cs="宋体"/>
          <w:color w:val="auto"/>
          <w:sz w:val="21"/>
          <w:szCs w:val="21"/>
          <w:highlight w:val="none"/>
        </w:rPr>
        <w:t>×高程调整系数</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w:t>
      </w:r>
    </w:p>
    <w:p w14:paraId="31DA3B3B">
      <w:pPr>
        <w:numPr>
          <w:ilvl w:val="0"/>
          <w:numId w:val="0"/>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四、监理工作范围</w:t>
      </w:r>
    </w:p>
    <w:p w14:paraId="54C3B106">
      <w:pPr>
        <w:pStyle w:val="18"/>
        <w:numPr>
          <w:ilvl w:val="0"/>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val="none"/>
        </w:rPr>
        <w:t>本</w:t>
      </w:r>
      <w:r>
        <w:rPr>
          <w:rFonts w:hint="eastAsia" w:ascii="宋体" w:hAnsi="宋体" w:eastAsia="宋体" w:cs="宋体"/>
          <w:color w:val="auto"/>
          <w:kern w:val="2"/>
          <w:sz w:val="21"/>
          <w:szCs w:val="21"/>
          <w:highlight w:val="none"/>
          <w:u w:val="none"/>
          <w:lang w:eastAsia="zh-CN"/>
        </w:rPr>
        <w:t>项目</w:t>
      </w:r>
      <w:r>
        <w:rPr>
          <w:rFonts w:hint="eastAsia" w:ascii="宋体" w:hAnsi="宋体" w:eastAsia="宋体" w:cs="宋体"/>
          <w:strike w:val="0"/>
          <w:color w:val="auto"/>
          <w:kern w:val="2"/>
          <w:sz w:val="21"/>
          <w:szCs w:val="21"/>
          <w:highlight w:val="none"/>
          <w:u w:val="none"/>
        </w:rPr>
        <w:t>的</w:t>
      </w:r>
      <w:r>
        <w:rPr>
          <w:rFonts w:hint="eastAsia" w:ascii="宋体" w:hAnsi="宋体" w:eastAsia="宋体" w:cs="宋体"/>
          <w:strike w:val="0"/>
          <w:color w:val="auto"/>
          <w:kern w:val="2"/>
          <w:sz w:val="21"/>
          <w:szCs w:val="21"/>
          <w:highlight w:val="none"/>
          <w:u w:val="none"/>
          <w:lang w:eastAsia="zh-CN"/>
        </w:rPr>
        <w:t>勘察阶段（如需）、设计阶段（如需）、预算编制阶段（如需）、</w:t>
      </w:r>
      <w:r>
        <w:rPr>
          <w:rFonts w:hint="eastAsia" w:ascii="宋体" w:hAnsi="宋体" w:eastAsia="宋体" w:cs="宋体"/>
          <w:color w:val="auto"/>
          <w:kern w:val="2"/>
          <w:sz w:val="21"/>
          <w:szCs w:val="21"/>
          <w:highlight w:val="none"/>
          <w:u w:val="none"/>
        </w:rPr>
        <w:t>施工准备阶段、施工阶段、工程收尾阶段（包括但不限于竣工验收、整改、工程移交及实物移交、工程结算等）及工程质量保修阶段的质量控制、安全生产</w:t>
      </w:r>
      <w:r>
        <w:rPr>
          <w:rFonts w:hint="eastAsia" w:ascii="宋体" w:hAnsi="宋体" w:eastAsia="宋体" w:cs="宋体"/>
          <w:color w:val="auto"/>
          <w:kern w:val="2"/>
          <w:sz w:val="21"/>
          <w:szCs w:val="21"/>
          <w:highlight w:val="none"/>
          <w:u w:val="none"/>
          <w:lang w:eastAsia="zh-CN"/>
        </w:rPr>
        <w:t>、健康监测系统、</w:t>
      </w:r>
      <w:r>
        <w:rPr>
          <w:rFonts w:hint="eastAsia" w:ascii="宋体" w:hAnsi="宋体" w:eastAsia="宋体" w:cs="宋体"/>
          <w:color w:val="auto"/>
          <w:kern w:val="2"/>
          <w:sz w:val="21"/>
          <w:szCs w:val="21"/>
          <w:highlight w:val="none"/>
          <w:u w:val="none"/>
        </w:rPr>
        <w:t>检（监）测、投资控制、进度控制、合同管理、信息管理、环境保护、组织协调等监理工作。参与开工前期的准备和筹划工作，协助发包人制定各参建方职责及有关事务性工作等。</w:t>
      </w:r>
    </w:p>
    <w:p w14:paraId="78EC4776">
      <w:pPr>
        <w:pStyle w:val="18"/>
        <w:numPr>
          <w:ilvl w:val="0"/>
          <w:numId w:val="0"/>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五、监理</w:t>
      </w:r>
      <w:r>
        <w:rPr>
          <w:rFonts w:hint="eastAsia" w:ascii="宋体" w:hAnsi="宋体" w:eastAsia="宋体" w:cs="宋体"/>
          <w:color w:val="auto"/>
          <w:sz w:val="21"/>
          <w:szCs w:val="21"/>
          <w:highlight w:val="none"/>
        </w:rPr>
        <w:t>工作内容及要求</w:t>
      </w:r>
    </w:p>
    <w:p w14:paraId="42EF6B59">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（一）工作内容</w:t>
      </w:r>
    </w:p>
    <w:p w14:paraId="297C118A">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（1）监理</w:t>
      </w:r>
      <w:r>
        <w:rPr>
          <w:rFonts w:hint="eastAsia" w:ascii="宋体" w:hAnsi="宋体" w:eastAsia="宋体" w:cs="宋体"/>
          <w:color w:val="auto"/>
          <w:sz w:val="21"/>
          <w:szCs w:val="21"/>
          <w:highlight w:val="none"/>
          <w:lang w:eastAsia="zh-CN"/>
        </w:rPr>
        <w:t>单位</w:t>
      </w:r>
      <w:r>
        <w:rPr>
          <w:rFonts w:hint="eastAsia" w:ascii="宋体" w:hAnsi="宋体" w:eastAsia="宋体" w:cs="宋体"/>
          <w:color w:val="auto"/>
          <w:sz w:val="21"/>
          <w:szCs w:val="21"/>
          <w:highlight w:val="none"/>
        </w:rPr>
        <w:t>作为</w:t>
      </w:r>
      <w:r>
        <w:rPr>
          <w:rFonts w:hint="eastAsia" w:ascii="宋体" w:hAnsi="宋体" w:eastAsia="宋体" w:cs="宋体"/>
          <w:color w:val="auto"/>
          <w:sz w:val="21"/>
          <w:szCs w:val="21"/>
          <w:highlight w:val="none"/>
          <w:lang w:eastAsia="zh-CN"/>
        </w:rPr>
        <w:t>发包人</w:t>
      </w:r>
      <w:r>
        <w:rPr>
          <w:rFonts w:hint="eastAsia" w:ascii="宋体" w:hAnsi="宋体" w:eastAsia="宋体" w:cs="宋体"/>
          <w:color w:val="auto"/>
          <w:sz w:val="21"/>
          <w:szCs w:val="21"/>
          <w:highlight w:val="none"/>
        </w:rPr>
        <w:t>的顾问，应在受委托的监理业务范围内向</w:t>
      </w:r>
      <w:r>
        <w:rPr>
          <w:rFonts w:hint="eastAsia" w:ascii="宋体" w:hAnsi="宋体" w:eastAsia="宋体" w:cs="宋体"/>
          <w:color w:val="auto"/>
          <w:sz w:val="21"/>
          <w:szCs w:val="21"/>
          <w:highlight w:val="none"/>
          <w:lang w:val="en-US" w:eastAsia="zh-CN"/>
        </w:rPr>
        <w:t>发包人</w:t>
      </w:r>
      <w:r>
        <w:rPr>
          <w:rFonts w:hint="eastAsia" w:ascii="宋体" w:hAnsi="宋体" w:eastAsia="宋体" w:cs="宋体"/>
          <w:color w:val="auto"/>
          <w:sz w:val="21"/>
          <w:szCs w:val="21"/>
          <w:highlight w:val="none"/>
        </w:rPr>
        <w:t>负责，在执行和遵守国家有关建设法规的前提下，维护</w:t>
      </w:r>
      <w:r>
        <w:rPr>
          <w:rFonts w:hint="eastAsia" w:ascii="宋体" w:hAnsi="宋体" w:eastAsia="宋体" w:cs="宋体"/>
          <w:color w:val="auto"/>
          <w:sz w:val="21"/>
          <w:szCs w:val="21"/>
          <w:highlight w:val="none"/>
          <w:lang w:eastAsia="zh-CN"/>
        </w:rPr>
        <w:t>发包人</w:t>
      </w:r>
      <w:r>
        <w:rPr>
          <w:rFonts w:hint="eastAsia" w:ascii="宋体" w:hAnsi="宋体" w:eastAsia="宋体" w:cs="宋体"/>
          <w:color w:val="auto"/>
          <w:sz w:val="21"/>
          <w:szCs w:val="21"/>
          <w:highlight w:val="none"/>
        </w:rPr>
        <w:t>的正当权益。</w:t>
      </w:r>
    </w:p>
    <w:p w14:paraId="7AD5FEAC">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（2）编制监理大纲、监理规划及监理实施细则、制定监理工作程序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并报发包人备案</w:t>
      </w:r>
      <w:r>
        <w:rPr>
          <w:rFonts w:hint="eastAsia" w:ascii="宋体" w:hAnsi="宋体" w:eastAsia="宋体" w:cs="宋体"/>
          <w:color w:val="auto"/>
          <w:sz w:val="21"/>
          <w:szCs w:val="21"/>
          <w:highlight w:val="none"/>
        </w:rPr>
        <w:t>。</w:t>
      </w:r>
    </w:p>
    <w:p w14:paraId="6D1E98BE">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（3）在施工招标阶段或工程开工前，总监理工程师应组织测量专业的监理人员对</w:t>
      </w:r>
      <w:r>
        <w:rPr>
          <w:rFonts w:hint="eastAsia" w:ascii="宋体" w:hAnsi="宋体" w:eastAsia="宋体" w:cs="宋体"/>
          <w:color w:val="auto"/>
          <w:sz w:val="21"/>
          <w:szCs w:val="21"/>
          <w:highlight w:val="none"/>
          <w:lang w:eastAsia="zh-CN"/>
        </w:rPr>
        <w:t>发包人</w:t>
      </w:r>
      <w:r>
        <w:rPr>
          <w:rFonts w:hint="eastAsia" w:ascii="宋体" w:hAnsi="宋体" w:eastAsia="宋体" w:cs="宋体"/>
          <w:color w:val="auto"/>
          <w:sz w:val="21"/>
          <w:szCs w:val="21"/>
          <w:highlight w:val="none"/>
        </w:rPr>
        <w:t>提供地形资料进行审查，使用自备仪器按一定比例随机抽点复核地形图的准确性，并就地形图的可靠性、真实性和存在的问题等向</w:t>
      </w:r>
      <w:r>
        <w:rPr>
          <w:rFonts w:hint="eastAsia" w:ascii="宋体" w:hAnsi="宋体" w:eastAsia="宋体" w:cs="宋体"/>
          <w:color w:val="auto"/>
          <w:sz w:val="21"/>
          <w:szCs w:val="21"/>
          <w:highlight w:val="none"/>
          <w:lang w:eastAsia="zh-CN"/>
        </w:rPr>
        <w:t>发包人</w:t>
      </w:r>
      <w:r>
        <w:rPr>
          <w:rFonts w:hint="eastAsia" w:ascii="宋体" w:hAnsi="宋体" w:eastAsia="宋体" w:cs="宋体"/>
          <w:color w:val="auto"/>
          <w:sz w:val="21"/>
          <w:szCs w:val="21"/>
          <w:highlight w:val="none"/>
        </w:rPr>
        <w:t>提交书面意见和建议。</w:t>
      </w:r>
    </w:p>
    <w:p w14:paraId="523F5730">
      <w:pPr>
        <w:pStyle w:val="18"/>
        <w:spacing w:line="360" w:lineRule="auto"/>
        <w:rPr>
          <w:rFonts w:hint="eastAsia" w:ascii="宋体" w:hAnsi="宋体" w:eastAsia="宋体" w:cs="宋体"/>
          <w:strike/>
          <w:color w:val="auto"/>
          <w:sz w:val="21"/>
          <w:szCs w:val="21"/>
          <w:highlight w:val="none"/>
        </w:rPr>
      </w:pPr>
      <w:r>
        <w:rPr>
          <w:rFonts w:hint="eastAsia" w:ascii="宋体" w:hAnsi="宋体" w:eastAsia="宋体" w:cs="宋体"/>
          <w:color w:val="auto"/>
          <w:sz w:val="21"/>
          <w:szCs w:val="21"/>
          <w:highlight w:val="none"/>
        </w:rPr>
        <w:t>（4）熟悉设计文件，并对图纸中存在的问题通过</w:t>
      </w:r>
      <w:r>
        <w:rPr>
          <w:rFonts w:hint="eastAsia" w:ascii="宋体" w:hAnsi="宋体" w:eastAsia="宋体" w:cs="宋体"/>
          <w:color w:val="auto"/>
          <w:sz w:val="21"/>
          <w:szCs w:val="21"/>
          <w:highlight w:val="none"/>
          <w:lang w:eastAsia="zh-CN"/>
        </w:rPr>
        <w:t>发包人</w:t>
      </w:r>
      <w:r>
        <w:rPr>
          <w:rFonts w:hint="eastAsia" w:ascii="宋体" w:hAnsi="宋体" w:eastAsia="宋体" w:cs="宋体"/>
          <w:color w:val="auto"/>
          <w:sz w:val="21"/>
          <w:szCs w:val="21"/>
          <w:highlight w:val="none"/>
        </w:rPr>
        <w:t>向设计单位提出书面意见和建议，参加设计</w:t>
      </w:r>
      <w:r>
        <w:rPr>
          <w:rFonts w:hint="eastAsia" w:ascii="宋体" w:hAnsi="宋体" w:eastAsia="宋体" w:cs="宋体"/>
          <w:color w:val="auto"/>
          <w:sz w:val="21"/>
          <w:szCs w:val="21"/>
          <w:highlight w:val="none"/>
          <w:lang w:val="en-US" w:eastAsia="zh-CN"/>
        </w:rPr>
        <w:t>图纸会审与</w:t>
      </w:r>
      <w:r>
        <w:rPr>
          <w:rFonts w:hint="eastAsia" w:ascii="宋体" w:hAnsi="宋体" w:eastAsia="宋体" w:cs="宋体"/>
          <w:color w:val="auto"/>
          <w:sz w:val="21"/>
          <w:szCs w:val="21"/>
          <w:highlight w:val="none"/>
        </w:rPr>
        <w:t>技术交底会，并对会议纪要进行签认。</w:t>
      </w:r>
    </w:p>
    <w:p w14:paraId="046BC811">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）审查</w:t>
      </w:r>
      <w:r>
        <w:rPr>
          <w:rFonts w:hint="eastAsia" w:ascii="宋体" w:hAnsi="宋体" w:eastAsia="宋体" w:cs="宋体"/>
          <w:color w:val="auto"/>
          <w:sz w:val="21"/>
          <w:szCs w:val="21"/>
          <w:highlight w:val="none"/>
          <w:lang w:val="en-US" w:eastAsia="zh-CN"/>
        </w:rPr>
        <w:t>施工方</w:t>
      </w:r>
      <w:r>
        <w:rPr>
          <w:rFonts w:hint="eastAsia" w:ascii="宋体" w:hAnsi="宋体" w:eastAsia="宋体" w:cs="宋体"/>
          <w:color w:val="auto"/>
          <w:sz w:val="21"/>
          <w:szCs w:val="21"/>
          <w:highlight w:val="none"/>
        </w:rPr>
        <w:t>报送的施工组织设计、施工方案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现场项目管理机构以及按相关要求申报的用款计划，提出审查意见，并监督实施及检查；审查各单项工程开工报告。签发工程开工令、停工令及复工令。</w:t>
      </w:r>
    </w:p>
    <w:p w14:paraId="665CC422">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eastAsia="zh-CN"/>
        </w:rPr>
        <w:t>施工方</w:t>
      </w:r>
      <w:r>
        <w:rPr>
          <w:rFonts w:hint="eastAsia" w:ascii="宋体" w:hAnsi="宋体" w:eastAsia="宋体" w:cs="宋体"/>
          <w:color w:val="auto"/>
          <w:sz w:val="21"/>
          <w:szCs w:val="21"/>
          <w:highlight w:val="none"/>
        </w:rPr>
        <w:t>拟分包的工程分包合法性进行审查；对</w:t>
      </w:r>
      <w:r>
        <w:rPr>
          <w:rFonts w:hint="eastAsia" w:ascii="宋体" w:hAnsi="宋体" w:eastAsia="宋体" w:cs="宋体"/>
          <w:color w:val="auto"/>
          <w:sz w:val="21"/>
          <w:szCs w:val="21"/>
          <w:highlight w:val="none"/>
          <w:lang w:eastAsia="zh-CN"/>
        </w:rPr>
        <w:t>施工方</w:t>
      </w:r>
      <w:r>
        <w:rPr>
          <w:rFonts w:hint="eastAsia" w:ascii="宋体" w:hAnsi="宋体" w:eastAsia="宋体" w:cs="宋体"/>
          <w:color w:val="auto"/>
          <w:sz w:val="21"/>
          <w:szCs w:val="21"/>
          <w:highlight w:val="none"/>
        </w:rPr>
        <w:t>拟分包的分包人资质及分包协议进行审查。</w:t>
      </w:r>
    </w:p>
    <w:p w14:paraId="7A7ABAAB">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）检查</w:t>
      </w:r>
      <w:r>
        <w:rPr>
          <w:rFonts w:hint="eastAsia" w:ascii="宋体" w:hAnsi="宋体" w:eastAsia="宋体" w:cs="宋体"/>
          <w:color w:val="auto"/>
          <w:sz w:val="21"/>
          <w:szCs w:val="21"/>
          <w:highlight w:val="none"/>
          <w:lang w:eastAsia="zh-CN"/>
        </w:rPr>
        <w:t>施工方</w:t>
      </w:r>
      <w:r>
        <w:rPr>
          <w:rFonts w:hint="eastAsia" w:ascii="宋体" w:hAnsi="宋体" w:eastAsia="宋体" w:cs="宋体"/>
          <w:color w:val="auto"/>
          <w:sz w:val="21"/>
          <w:szCs w:val="21"/>
          <w:highlight w:val="none"/>
        </w:rPr>
        <w:t>报送的测量放线控制成果及保护措施，对符合要求的施工测量成果予以签认。</w:t>
      </w:r>
    </w:p>
    <w:p w14:paraId="3F2FCFD8">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）项目开工前，参加由</w:t>
      </w:r>
      <w:r>
        <w:rPr>
          <w:rFonts w:hint="eastAsia" w:ascii="宋体" w:hAnsi="宋体" w:eastAsia="宋体" w:cs="宋体"/>
          <w:color w:val="auto"/>
          <w:sz w:val="21"/>
          <w:szCs w:val="21"/>
          <w:highlight w:val="none"/>
          <w:lang w:eastAsia="zh-CN"/>
        </w:rPr>
        <w:t>发包人</w:t>
      </w:r>
      <w:r>
        <w:rPr>
          <w:rFonts w:hint="eastAsia" w:ascii="宋体" w:hAnsi="宋体" w:eastAsia="宋体" w:cs="宋体"/>
          <w:color w:val="auto"/>
          <w:sz w:val="21"/>
          <w:szCs w:val="21"/>
          <w:highlight w:val="none"/>
        </w:rPr>
        <w:t>主持召开的第一次工地会议，在施工过程中定期主持召开工地例会，负责组织和协调各监理人的配合安排，并</w:t>
      </w:r>
      <w:r>
        <w:rPr>
          <w:rFonts w:hint="eastAsia" w:ascii="宋体" w:hAnsi="宋体" w:eastAsia="宋体" w:cs="宋体"/>
          <w:color w:val="auto"/>
          <w:sz w:val="21"/>
          <w:szCs w:val="21"/>
          <w:highlight w:val="none"/>
          <w:lang w:val="en-US" w:eastAsia="zh-CN"/>
        </w:rPr>
        <w:t>及时出具</w:t>
      </w:r>
      <w:r>
        <w:rPr>
          <w:rFonts w:hint="eastAsia" w:ascii="宋体" w:hAnsi="宋体" w:eastAsia="宋体" w:cs="宋体"/>
          <w:color w:val="auto"/>
          <w:sz w:val="21"/>
          <w:szCs w:val="21"/>
          <w:highlight w:val="none"/>
        </w:rPr>
        <w:t>会议纪要。</w:t>
      </w:r>
    </w:p>
    <w:p w14:paraId="2F1DDA45">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）审查</w:t>
      </w:r>
      <w:r>
        <w:rPr>
          <w:rFonts w:hint="eastAsia" w:ascii="宋体" w:hAnsi="宋体" w:eastAsia="宋体" w:cs="宋体"/>
          <w:color w:val="auto"/>
          <w:sz w:val="21"/>
          <w:szCs w:val="21"/>
          <w:highlight w:val="none"/>
          <w:lang w:eastAsia="zh-CN"/>
        </w:rPr>
        <w:t>施工方</w:t>
      </w:r>
      <w:r>
        <w:rPr>
          <w:rFonts w:hint="eastAsia" w:ascii="宋体" w:hAnsi="宋体" w:eastAsia="宋体" w:cs="宋体"/>
          <w:color w:val="auto"/>
          <w:sz w:val="21"/>
          <w:szCs w:val="21"/>
          <w:highlight w:val="none"/>
        </w:rPr>
        <w:t>报送的拟进场工程材料、构配件和设备的报审表及其质量证明资料。检查本工程采用的主要设备及关键材料是否符合设计文件或标书所规定的厂家、型号、规格、数量以及质量标准，在</w:t>
      </w:r>
      <w:r>
        <w:rPr>
          <w:rFonts w:hint="eastAsia" w:ascii="宋体" w:hAnsi="宋体" w:eastAsia="宋体" w:cs="宋体"/>
          <w:color w:val="auto"/>
          <w:sz w:val="21"/>
          <w:szCs w:val="21"/>
          <w:highlight w:val="none"/>
          <w:lang w:eastAsia="zh-CN"/>
        </w:rPr>
        <w:t>施工方</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eastAsia="zh-CN"/>
        </w:rPr>
        <w:t>发包人</w:t>
      </w:r>
      <w:r>
        <w:rPr>
          <w:rFonts w:hint="eastAsia" w:ascii="宋体" w:hAnsi="宋体" w:eastAsia="宋体" w:cs="宋体"/>
          <w:color w:val="auto"/>
          <w:sz w:val="21"/>
          <w:szCs w:val="21"/>
          <w:highlight w:val="none"/>
        </w:rPr>
        <w:t>订货前，视乎需要并经</w:t>
      </w:r>
      <w:r>
        <w:rPr>
          <w:rFonts w:hint="eastAsia" w:ascii="宋体" w:hAnsi="宋体" w:eastAsia="宋体" w:cs="宋体"/>
          <w:color w:val="auto"/>
          <w:sz w:val="21"/>
          <w:szCs w:val="21"/>
          <w:highlight w:val="none"/>
          <w:lang w:eastAsia="zh-CN"/>
        </w:rPr>
        <w:t>发包人</w:t>
      </w:r>
      <w:r>
        <w:rPr>
          <w:rFonts w:hint="eastAsia" w:ascii="宋体" w:hAnsi="宋体" w:eastAsia="宋体" w:cs="宋体"/>
          <w:color w:val="auto"/>
          <w:sz w:val="21"/>
          <w:szCs w:val="21"/>
          <w:highlight w:val="none"/>
        </w:rPr>
        <w:t>同意可对生产厂家进行了解考察，</w:t>
      </w:r>
      <w:r>
        <w:rPr>
          <w:rFonts w:hint="eastAsia" w:ascii="宋体" w:hAnsi="宋体" w:eastAsia="宋体" w:cs="宋体"/>
          <w:color w:val="auto"/>
          <w:sz w:val="21"/>
          <w:szCs w:val="21"/>
          <w:highlight w:val="none"/>
          <w:lang w:eastAsia="zh-CN"/>
        </w:rPr>
        <w:t>但所涉及的</w:t>
      </w:r>
      <w:r>
        <w:rPr>
          <w:rFonts w:hint="eastAsia" w:ascii="宋体" w:hAnsi="宋体" w:eastAsia="宋体" w:cs="宋体"/>
          <w:color w:val="auto"/>
          <w:sz w:val="21"/>
          <w:szCs w:val="21"/>
          <w:highlight w:val="none"/>
        </w:rPr>
        <w:t>差旅费用</w:t>
      </w:r>
      <w:r>
        <w:rPr>
          <w:rFonts w:hint="eastAsia" w:ascii="宋体" w:hAnsi="宋体" w:eastAsia="宋体" w:cs="宋体"/>
          <w:color w:val="auto"/>
          <w:sz w:val="21"/>
          <w:szCs w:val="21"/>
          <w:highlight w:val="none"/>
          <w:lang w:eastAsia="zh-CN"/>
        </w:rPr>
        <w:t>不另行支付</w:t>
      </w:r>
      <w:r>
        <w:rPr>
          <w:rFonts w:hint="eastAsia" w:ascii="宋体" w:hAnsi="宋体" w:eastAsia="宋体" w:cs="宋体"/>
          <w:color w:val="auto"/>
          <w:sz w:val="21"/>
          <w:szCs w:val="21"/>
          <w:highlight w:val="none"/>
        </w:rPr>
        <w:t>。并对进场的材料、构配件和设备按照委托监理合同、</w:t>
      </w:r>
      <w:r>
        <w:rPr>
          <w:rFonts w:hint="eastAsia" w:ascii="宋体" w:hAnsi="宋体" w:eastAsia="宋体" w:cs="宋体"/>
          <w:color w:val="auto"/>
          <w:sz w:val="21"/>
          <w:szCs w:val="21"/>
          <w:highlight w:val="none"/>
          <w:lang w:val="en-US" w:eastAsia="zh-CN"/>
        </w:rPr>
        <w:t>施工合同</w:t>
      </w:r>
      <w:r>
        <w:rPr>
          <w:rFonts w:hint="eastAsia" w:ascii="宋体" w:hAnsi="宋体" w:eastAsia="宋体" w:cs="宋体"/>
          <w:color w:val="auto"/>
          <w:sz w:val="21"/>
          <w:szCs w:val="21"/>
          <w:highlight w:val="none"/>
        </w:rPr>
        <w:t>的约定及有关工程质量管理文件规定的比例采用平行检验或见证取样方式进行抽检。</w:t>
      </w:r>
    </w:p>
    <w:p w14:paraId="795DC1D5">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）对施工过程进行巡视和检查，督促</w:t>
      </w:r>
      <w:r>
        <w:rPr>
          <w:rFonts w:hint="eastAsia" w:ascii="宋体" w:hAnsi="宋体" w:eastAsia="宋体" w:cs="宋体"/>
          <w:color w:val="auto"/>
          <w:sz w:val="21"/>
          <w:szCs w:val="21"/>
          <w:highlight w:val="none"/>
          <w:lang w:eastAsia="zh-CN"/>
        </w:rPr>
        <w:t>施工方</w:t>
      </w:r>
      <w:r>
        <w:rPr>
          <w:rFonts w:hint="eastAsia" w:ascii="宋体" w:hAnsi="宋体" w:eastAsia="宋体" w:cs="宋体"/>
          <w:color w:val="auto"/>
          <w:sz w:val="21"/>
          <w:szCs w:val="21"/>
          <w:highlight w:val="none"/>
        </w:rPr>
        <w:t>严格执行合同和严格按照国家技术规范、标准、地方建筑安装规程以及设计图纸文件的要求进行施工，并检查其实施情况；核查施工过程中的主要部位、环节以及隐蔽工程的施工验收签证，对隐蔽工程的隐蔽过程、下道工序施工完成后难以检查的重点部位序进行全过程旁站管理</w:t>
      </w:r>
      <w:r>
        <w:rPr>
          <w:rFonts w:hint="eastAsia" w:ascii="宋体" w:hAnsi="宋体" w:eastAsia="宋体" w:cs="宋体"/>
          <w:color w:val="auto"/>
          <w:sz w:val="21"/>
          <w:szCs w:val="21"/>
          <w:highlight w:val="none"/>
          <w:lang w:val="en-US" w:eastAsia="zh-CN"/>
        </w:rPr>
        <w:t>并拍摄视频以及现场水印照片</w:t>
      </w:r>
      <w:r>
        <w:rPr>
          <w:rFonts w:hint="eastAsia" w:ascii="宋体" w:hAnsi="宋体" w:eastAsia="宋体" w:cs="宋体"/>
          <w:color w:val="auto"/>
          <w:sz w:val="21"/>
          <w:szCs w:val="21"/>
          <w:highlight w:val="none"/>
        </w:rPr>
        <w:t>，控制工程质量。对监（检）测工作进行监督检查。监（检）测单位每次进场开展工作前，应先向驻场监理报备，作业时须对其进行旁站并对工程量</w:t>
      </w:r>
      <w:r>
        <w:rPr>
          <w:rFonts w:hint="eastAsia" w:ascii="宋体" w:hAnsi="宋体" w:eastAsia="宋体" w:cs="宋体"/>
          <w:color w:val="auto"/>
          <w:sz w:val="21"/>
          <w:szCs w:val="21"/>
          <w:highlight w:val="none"/>
          <w:lang w:eastAsia="zh-CN"/>
        </w:rPr>
        <w:t>（辅助措施类</w:t>
      </w:r>
      <w:r>
        <w:rPr>
          <w:rFonts w:hint="eastAsia" w:ascii="宋体" w:hAnsi="宋体" w:eastAsia="宋体" w:cs="宋体"/>
          <w:color w:val="auto"/>
          <w:sz w:val="21"/>
          <w:szCs w:val="21"/>
          <w:highlight w:val="none"/>
          <w:lang w:val="en-US" w:eastAsia="zh-CN"/>
        </w:rPr>
        <w:t>施工图纸为暂定</w:t>
      </w:r>
      <w:r>
        <w:rPr>
          <w:rFonts w:hint="eastAsia" w:ascii="宋体" w:hAnsi="宋体" w:eastAsia="宋体" w:cs="宋体"/>
          <w:color w:val="auto"/>
          <w:sz w:val="21"/>
          <w:szCs w:val="21"/>
          <w:highlight w:val="none"/>
          <w:lang w:eastAsia="zh-CN"/>
        </w:rPr>
        <w:t>工作量</w:t>
      </w:r>
      <w:r>
        <w:rPr>
          <w:rFonts w:hint="eastAsia" w:ascii="宋体" w:hAnsi="宋体" w:eastAsia="宋体" w:cs="宋体"/>
          <w:color w:val="auto"/>
          <w:sz w:val="21"/>
          <w:szCs w:val="21"/>
          <w:highlight w:val="none"/>
          <w:lang w:val="en-US" w:eastAsia="zh-CN"/>
        </w:rPr>
        <w:t>等开项</w:t>
      </w:r>
      <w:r>
        <w:rPr>
          <w:rFonts w:hint="eastAsia" w:ascii="宋体" w:hAnsi="宋体" w:eastAsia="宋体" w:cs="宋体"/>
          <w:color w:val="auto"/>
          <w:sz w:val="21"/>
          <w:szCs w:val="21"/>
          <w:highlight w:val="none"/>
          <w:lang w:eastAsia="zh-CN"/>
        </w:rPr>
        <w:t>以拍摄现场水印照片为佐证）</w:t>
      </w:r>
      <w:r>
        <w:rPr>
          <w:rFonts w:hint="eastAsia" w:ascii="宋体" w:hAnsi="宋体" w:eastAsia="宋体" w:cs="宋体"/>
          <w:color w:val="auto"/>
          <w:sz w:val="21"/>
          <w:szCs w:val="21"/>
          <w:highlight w:val="none"/>
        </w:rPr>
        <w:t>进行确认，对监（检）测作业完成后的数据留档。</w:t>
      </w:r>
    </w:p>
    <w:p w14:paraId="7C9FBE5E">
      <w:pPr>
        <w:pStyle w:val="18"/>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）监督检查工程的文明施工及安全防护措施，若发生安全事故时，迅速采取措施，减少事故对工程的影响，并及时上报，事后配合有关部门查明事故原因，协助、主持、审理安全事故的处理，恢复施工生产</w:t>
      </w:r>
      <w:r>
        <w:rPr>
          <w:rFonts w:hint="eastAsia" w:ascii="宋体" w:hAnsi="宋体" w:eastAsia="宋体" w:cs="宋体"/>
          <w:color w:val="auto"/>
          <w:sz w:val="21"/>
          <w:szCs w:val="21"/>
          <w:highlight w:val="none"/>
          <w:lang w:eastAsia="zh-CN"/>
        </w:rPr>
        <w:t>。</w:t>
      </w:r>
    </w:p>
    <w:p w14:paraId="45ABBA2E">
      <w:pPr>
        <w:pStyle w:val="18"/>
        <w:spacing w:line="360" w:lineRule="auto"/>
        <w:rPr>
          <w:rFonts w:hint="eastAsia" w:ascii="宋体" w:hAnsi="宋体" w:eastAsia="宋体" w:cs="宋体"/>
          <w:strike/>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）加强施工现场管理。工程现场监理人员必须穿着工装</w:t>
      </w:r>
      <w:r>
        <w:rPr>
          <w:rFonts w:hint="eastAsia" w:ascii="宋体" w:hAnsi="宋体" w:eastAsia="宋体" w:cs="宋体"/>
          <w:color w:val="auto"/>
          <w:sz w:val="21"/>
          <w:szCs w:val="21"/>
          <w:highlight w:val="none"/>
          <w:lang w:val="en-US" w:eastAsia="zh-CN"/>
        </w:rPr>
        <w:t>佩戴安全措施</w:t>
      </w:r>
      <w:r>
        <w:rPr>
          <w:rFonts w:hint="eastAsia" w:ascii="宋体" w:hAnsi="宋体" w:eastAsia="宋体" w:cs="宋体"/>
          <w:color w:val="auto"/>
          <w:sz w:val="21"/>
          <w:szCs w:val="21"/>
          <w:highlight w:val="none"/>
        </w:rPr>
        <w:t>、佩戴工号牌，使用文明用语，并切实履行职责。督促</w:t>
      </w:r>
      <w:r>
        <w:rPr>
          <w:rFonts w:hint="eastAsia" w:ascii="宋体" w:hAnsi="宋体" w:eastAsia="宋体" w:cs="宋体"/>
          <w:color w:val="auto"/>
          <w:sz w:val="21"/>
          <w:szCs w:val="21"/>
          <w:highlight w:val="none"/>
          <w:lang w:eastAsia="zh-CN"/>
        </w:rPr>
        <w:t>施工方</w:t>
      </w:r>
      <w:r>
        <w:rPr>
          <w:rFonts w:hint="eastAsia" w:ascii="宋体" w:hAnsi="宋体" w:eastAsia="宋体" w:cs="宋体"/>
          <w:color w:val="auto"/>
          <w:sz w:val="21"/>
          <w:szCs w:val="21"/>
          <w:highlight w:val="none"/>
        </w:rPr>
        <w:t>按照</w:t>
      </w:r>
      <w:r>
        <w:rPr>
          <w:rFonts w:hint="eastAsia" w:ascii="宋体" w:hAnsi="宋体" w:eastAsia="宋体" w:cs="宋体"/>
          <w:color w:val="auto"/>
          <w:sz w:val="21"/>
          <w:szCs w:val="21"/>
          <w:highlight w:val="none"/>
          <w:lang w:val="en-US" w:eastAsia="zh-CN"/>
        </w:rPr>
        <w:t>合同</w:t>
      </w:r>
      <w:r>
        <w:rPr>
          <w:rFonts w:hint="eastAsia" w:ascii="宋体" w:hAnsi="宋体" w:eastAsia="宋体" w:cs="宋体"/>
          <w:color w:val="auto"/>
          <w:sz w:val="21"/>
          <w:szCs w:val="21"/>
          <w:highlight w:val="none"/>
          <w:lang w:eastAsia="zh-CN"/>
        </w:rPr>
        <w:t>约定</w:t>
      </w:r>
      <w:r>
        <w:rPr>
          <w:rFonts w:hint="eastAsia" w:ascii="宋体" w:hAnsi="宋体" w:eastAsia="宋体" w:cs="宋体"/>
          <w:color w:val="auto"/>
          <w:sz w:val="21"/>
          <w:szCs w:val="21"/>
          <w:highlight w:val="none"/>
        </w:rPr>
        <w:t>进行施工，采取有效措施最大限度地减少施工对周边环境的影响。要重点加强对工程的施工规范、文明施工、工程验收、安全防护等方面的监管，发现问题及时提出整改意见。如</w:t>
      </w:r>
      <w:r>
        <w:rPr>
          <w:rFonts w:hint="eastAsia" w:ascii="宋体" w:hAnsi="宋体" w:eastAsia="宋体" w:cs="宋体"/>
          <w:color w:val="auto"/>
          <w:sz w:val="21"/>
          <w:szCs w:val="21"/>
          <w:highlight w:val="none"/>
          <w:lang w:eastAsia="zh-CN"/>
        </w:rPr>
        <w:t>施工方</w:t>
      </w:r>
      <w:r>
        <w:rPr>
          <w:rFonts w:hint="eastAsia" w:ascii="宋体" w:hAnsi="宋体" w:eastAsia="宋体" w:cs="宋体"/>
          <w:color w:val="auto"/>
          <w:sz w:val="21"/>
          <w:szCs w:val="21"/>
          <w:highlight w:val="none"/>
        </w:rPr>
        <w:t>不予采纳和整改的，按照层级负责的原则做好资料记录和情况汇报。</w:t>
      </w:r>
    </w:p>
    <w:p w14:paraId="2DB9FCE1">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）审查工程变更，并对变更方案的经济性、合理性提出意见,审查同意后，</w:t>
      </w:r>
      <w:r>
        <w:rPr>
          <w:rFonts w:hint="eastAsia" w:ascii="宋体" w:hAnsi="宋体" w:eastAsia="宋体" w:cs="宋体"/>
          <w:color w:val="auto"/>
          <w:sz w:val="21"/>
          <w:szCs w:val="21"/>
          <w:highlight w:val="none"/>
          <w:lang w:eastAsia="zh-CN"/>
        </w:rPr>
        <w:t>由发包人</w:t>
      </w:r>
      <w:r>
        <w:rPr>
          <w:rFonts w:hint="eastAsia" w:ascii="宋体" w:hAnsi="宋体" w:eastAsia="宋体" w:cs="宋体"/>
          <w:color w:val="auto"/>
          <w:sz w:val="21"/>
          <w:szCs w:val="21"/>
          <w:highlight w:val="none"/>
        </w:rPr>
        <w:t>转交设计单位编制设计变更文件。</w:t>
      </w:r>
    </w:p>
    <w:p w14:paraId="3598E87E">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）进行现场计量，按合同的约定审核工程量清单和工程款支付申请，依据施工合同有关条款、施工图</w:t>
      </w:r>
      <w:r>
        <w:rPr>
          <w:rFonts w:hint="eastAsia" w:ascii="宋体" w:hAnsi="宋体" w:eastAsia="宋体" w:cs="宋体"/>
          <w:color w:val="auto"/>
          <w:sz w:val="21"/>
          <w:szCs w:val="21"/>
          <w:highlight w:val="none"/>
          <w:lang w:val="en-US" w:eastAsia="zh-CN"/>
        </w:rPr>
        <w:t>（施工图中为暂定量或辅助措施类等工作量等以拍摄现场水印照片为佐证）</w:t>
      </w:r>
      <w:r>
        <w:rPr>
          <w:rFonts w:hint="eastAsia" w:ascii="宋体" w:hAnsi="宋体" w:eastAsia="宋体" w:cs="宋体"/>
          <w:color w:val="auto"/>
          <w:sz w:val="21"/>
          <w:szCs w:val="21"/>
          <w:highlight w:val="none"/>
        </w:rPr>
        <w:t>，对工程项目造价的计量与支付进行控制。</w:t>
      </w:r>
    </w:p>
    <w:p w14:paraId="07C5A7AC">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）督促</w:t>
      </w:r>
      <w:r>
        <w:rPr>
          <w:rFonts w:hint="eastAsia" w:ascii="宋体" w:hAnsi="宋体" w:eastAsia="宋体" w:cs="宋体"/>
          <w:color w:val="auto"/>
          <w:sz w:val="21"/>
          <w:szCs w:val="21"/>
          <w:highlight w:val="none"/>
          <w:lang w:eastAsia="zh-CN"/>
        </w:rPr>
        <w:t>施工方</w:t>
      </w:r>
      <w:r>
        <w:rPr>
          <w:rFonts w:hint="eastAsia" w:ascii="宋体" w:hAnsi="宋体" w:eastAsia="宋体" w:cs="宋体"/>
          <w:color w:val="auto"/>
          <w:sz w:val="21"/>
          <w:szCs w:val="21"/>
          <w:highlight w:val="none"/>
        </w:rPr>
        <w:t>根据施工合同中人材机调价条款计算合同调整价格（涨落均需计算），并负责审核相关调价支持材料及工程调价价款，具体按</w:t>
      </w:r>
      <w:r>
        <w:rPr>
          <w:rFonts w:hint="eastAsia" w:ascii="宋体" w:hAnsi="宋体" w:eastAsia="宋体" w:cs="宋体"/>
          <w:color w:val="auto"/>
          <w:sz w:val="21"/>
          <w:szCs w:val="21"/>
          <w:highlight w:val="none"/>
          <w:lang w:eastAsia="zh-CN"/>
        </w:rPr>
        <w:t>发包人</w:t>
      </w:r>
      <w:r>
        <w:rPr>
          <w:rFonts w:hint="eastAsia" w:ascii="宋体" w:hAnsi="宋体" w:eastAsia="宋体" w:cs="宋体"/>
          <w:color w:val="auto"/>
          <w:sz w:val="21"/>
          <w:szCs w:val="21"/>
          <w:highlight w:val="none"/>
        </w:rPr>
        <w:t>在工程实施阶段适用的相关规定执行。</w:t>
      </w:r>
    </w:p>
    <w:p w14:paraId="7626BBA4">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）审查</w:t>
      </w:r>
      <w:r>
        <w:rPr>
          <w:rFonts w:hint="eastAsia" w:ascii="宋体" w:hAnsi="宋体" w:eastAsia="宋体" w:cs="宋体"/>
          <w:color w:val="auto"/>
          <w:sz w:val="21"/>
          <w:szCs w:val="21"/>
          <w:highlight w:val="none"/>
          <w:lang w:eastAsia="zh-CN"/>
        </w:rPr>
        <w:t>施工方</w:t>
      </w:r>
      <w:r>
        <w:rPr>
          <w:rFonts w:hint="eastAsia" w:ascii="宋体" w:hAnsi="宋体" w:eastAsia="宋体" w:cs="宋体"/>
          <w:color w:val="auto"/>
          <w:sz w:val="21"/>
          <w:szCs w:val="21"/>
          <w:highlight w:val="none"/>
        </w:rPr>
        <w:t>的预结算和修改、变更工程的预结算。</w:t>
      </w:r>
    </w:p>
    <w:p w14:paraId="33608793">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）根据合同的</w:t>
      </w:r>
      <w:r>
        <w:rPr>
          <w:rFonts w:hint="eastAsia" w:ascii="宋体" w:hAnsi="宋体" w:eastAsia="宋体" w:cs="宋体"/>
          <w:color w:val="auto"/>
          <w:sz w:val="21"/>
          <w:szCs w:val="21"/>
          <w:highlight w:val="none"/>
          <w:lang w:eastAsia="zh-CN"/>
        </w:rPr>
        <w:t>约</w:t>
      </w:r>
      <w:r>
        <w:rPr>
          <w:rFonts w:hint="eastAsia" w:ascii="宋体" w:hAnsi="宋体" w:eastAsia="宋体" w:cs="宋体"/>
          <w:color w:val="auto"/>
          <w:sz w:val="21"/>
          <w:szCs w:val="21"/>
          <w:highlight w:val="none"/>
        </w:rPr>
        <w:t>定，对工程质量和数量进行核实，</w:t>
      </w:r>
      <w:r>
        <w:rPr>
          <w:rFonts w:hint="eastAsia" w:ascii="宋体" w:hAnsi="宋体" w:eastAsia="宋体" w:cs="宋体"/>
          <w:color w:val="auto"/>
          <w:sz w:val="21"/>
          <w:szCs w:val="21"/>
          <w:highlight w:val="none"/>
          <w:lang w:eastAsia="zh-CN"/>
        </w:rPr>
        <w:t>据实</w:t>
      </w:r>
      <w:r>
        <w:rPr>
          <w:rFonts w:hint="eastAsia" w:ascii="宋体" w:hAnsi="宋体" w:eastAsia="宋体" w:cs="宋体"/>
          <w:color w:val="auto"/>
          <w:sz w:val="21"/>
          <w:szCs w:val="21"/>
          <w:highlight w:val="none"/>
        </w:rPr>
        <w:t>签发工程进度审核意见，</w:t>
      </w:r>
      <w:r>
        <w:rPr>
          <w:rFonts w:hint="eastAsia" w:ascii="宋体" w:hAnsi="宋体" w:eastAsia="宋体" w:cs="宋体"/>
          <w:color w:val="auto"/>
          <w:sz w:val="21"/>
          <w:szCs w:val="21"/>
          <w:highlight w:val="none"/>
          <w:lang w:eastAsia="zh-CN"/>
        </w:rPr>
        <w:t>配合发包人严格审核本工程相关单位的进度款、结算款申报相关材料并根据审核意见及时督促有关单位进行修改完善</w:t>
      </w:r>
      <w:r>
        <w:rPr>
          <w:rFonts w:hint="eastAsia" w:ascii="宋体" w:hAnsi="宋体" w:eastAsia="宋体" w:cs="宋体"/>
          <w:color w:val="auto"/>
          <w:sz w:val="21"/>
          <w:szCs w:val="21"/>
          <w:highlight w:val="none"/>
        </w:rPr>
        <w:t>。工程竣工后，审查工程结算价款，并配合结算部门的审核工作。</w:t>
      </w:r>
    </w:p>
    <w:p w14:paraId="5FA48173">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）根据合同的</w:t>
      </w:r>
      <w:r>
        <w:rPr>
          <w:rFonts w:hint="eastAsia" w:ascii="宋体" w:hAnsi="宋体" w:eastAsia="宋体" w:cs="宋体"/>
          <w:color w:val="auto"/>
          <w:sz w:val="21"/>
          <w:szCs w:val="21"/>
          <w:highlight w:val="none"/>
          <w:lang w:eastAsia="zh-CN"/>
        </w:rPr>
        <w:t>约</w:t>
      </w:r>
      <w:r>
        <w:rPr>
          <w:rFonts w:hint="eastAsia" w:ascii="宋体" w:hAnsi="宋体" w:eastAsia="宋体" w:cs="宋体"/>
          <w:color w:val="auto"/>
          <w:sz w:val="21"/>
          <w:szCs w:val="21"/>
          <w:highlight w:val="none"/>
        </w:rPr>
        <w:t>定并经批准的</w:t>
      </w:r>
      <w:r>
        <w:rPr>
          <w:rFonts w:hint="eastAsia" w:ascii="宋体" w:hAnsi="宋体" w:eastAsia="宋体" w:cs="宋体"/>
          <w:color w:val="auto"/>
          <w:sz w:val="21"/>
          <w:szCs w:val="21"/>
          <w:highlight w:val="none"/>
          <w:lang w:eastAsia="zh-CN"/>
        </w:rPr>
        <w:t>施工方</w:t>
      </w:r>
      <w:r>
        <w:rPr>
          <w:rFonts w:hint="eastAsia" w:ascii="宋体" w:hAnsi="宋体" w:eastAsia="宋体" w:cs="宋体"/>
          <w:color w:val="auto"/>
          <w:sz w:val="21"/>
          <w:szCs w:val="21"/>
          <w:highlight w:val="none"/>
        </w:rPr>
        <w:t>所作的工程进度计划，签收并检查承包人填报的旬、月、季等报表，及时提出监理意见，控制工程进度。</w:t>
      </w:r>
    </w:p>
    <w:p w14:paraId="6BB3D202">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）依据国家有关的法律、法规和工程项目所在地的地方法规；本工程的施工合同文件；国家、部门和地方有关的标准、规范和定额；施工合同履行过程中与索赔事件有关的凭证，协商处理工程索赔。</w:t>
      </w:r>
    </w:p>
    <w:p w14:paraId="01C16F57">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）调解</w:t>
      </w:r>
      <w:r>
        <w:rPr>
          <w:rFonts w:hint="eastAsia" w:ascii="宋体" w:hAnsi="宋体" w:eastAsia="宋体" w:cs="宋体"/>
          <w:color w:val="auto"/>
          <w:sz w:val="21"/>
          <w:szCs w:val="21"/>
          <w:highlight w:val="none"/>
          <w:lang w:eastAsia="zh-CN"/>
        </w:rPr>
        <w:t>发包人</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eastAsia="zh-CN"/>
        </w:rPr>
        <w:t>各合同</w:t>
      </w:r>
      <w:r>
        <w:rPr>
          <w:rFonts w:hint="eastAsia" w:ascii="宋体" w:hAnsi="宋体" w:eastAsia="宋体" w:cs="宋体"/>
          <w:color w:val="auto"/>
          <w:sz w:val="21"/>
          <w:szCs w:val="21"/>
          <w:highlight w:val="none"/>
        </w:rPr>
        <w:t>承包人之间的合同争议，签发合同争议处理意见。</w:t>
      </w:r>
    </w:p>
    <w:p w14:paraId="749C28EE">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）依据有关法律、法规、工程建设强制性标准、设计文件及施工合同，对</w:t>
      </w:r>
      <w:r>
        <w:rPr>
          <w:rFonts w:hint="eastAsia" w:ascii="宋体" w:hAnsi="宋体" w:eastAsia="宋体" w:cs="宋体"/>
          <w:color w:val="auto"/>
          <w:sz w:val="21"/>
          <w:szCs w:val="21"/>
          <w:highlight w:val="none"/>
          <w:lang w:eastAsia="zh-CN"/>
        </w:rPr>
        <w:t>施工方</w:t>
      </w:r>
      <w:r>
        <w:rPr>
          <w:rFonts w:hint="eastAsia" w:ascii="宋体" w:hAnsi="宋体" w:eastAsia="宋体" w:cs="宋体"/>
          <w:color w:val="auto"/>
          <w:sz w:val="21"/>
          <w:szCs w:val="21"/>
          <w:highlight w:val="none"/>
        </w:rPr>
        <w:t>报送的竣工资料进行审查，并对工程质量进行竣工预验收。对存在的问题，及时要求</w:t>
      </w:r>
      <w:r>
        <w:rPr>
          <w:rFonts w:hint="eastAsia" w:ascii="宋体" w:hAnsi="宋体" w:eastAsia="宋体" w:cs="宋体"/>
          <w:color w:val="auto"/>
          <w:sz w:val="21"/>
          <w:szCs w:val="21"/>
          <w:highlight w:val="none"/>
          <w:lang w:eastAsia="zh-CN"/>
        </w:rPr>
        <w:t>施工方</w:t>
      </w:r>
      <w:r>
        <w:rPr>
          <w:rFonts w:hint="eastAsia" w:ascii="宋体" w:hAnsi="宋体" w:eastAsia="宋体" w:cs="宋体"/>
          <w:color w:val="auto"/>
          <w:sz w:val="21"/>
          <w:szCs w:val="21"/>
          <w:highlight w:val="none"/>
        </w:rPr>
        <w:t>整改。签署竣工报验单，提出工程质量评估报告。参加</w:t>
      </w:r>
      <w:r>
        <w:rPr>
          <w:rFonts w:hint="eastAsia" w:ascii="宋体" w:hAnsi="宋体" w:eastAsia="宋体" w:cs="宋体"/>
          <w:color w:val="auto"/>
          <w:sz w:val="21"/>
          <w:szCs w:val="21"/>
          <w:highlight w:val="none"/>
          <w:lang w:eastAsia="zh-CN"/>
        </w:rPr>
        <w:t>发包人</w:t>
      </w:r>
      <w:r>
        <w:rPr>
          <w:rFonts w:hint="eastAsia" w:ascii="宋体" w:hAnsi="宋体" w:eastAsia="宋体" w:cs="宋体"/>
          <w:color w:val="auto"/>
          <w:sz w:val="21"/>
          <w:szCs w:val="21"/>
          <w:highlight w:val="none"/>
        </w:rPr>
        <w:t>组织的竣工验收，会同参加验收的各方签署竣工验收报告。</w:t>
      </w:r>
    </w:p>
    <w:p w14:paraId="56B5DB31">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）在质量保修期内，对工程状况进行检查和记录，对工程质量缺陷原因进行调查分析，确定责任归属，督促</w:t>
      </w:r>
      <w:r>
        <w:rPr>
          <w:rFonts w:hint="eastAsia" w:ascii="宋体" w:hAnsi="宋体" w:eastAsia="宋体" w:cs="宋体"/>
          <w:color w:val="auto"/>
          <w:sz w:val="21"/>
          <w:szCs w:val="21"/>
          <w:highlight w:val="none"/>
          <w:lang w:eastAsia="zh-CN"/>
        </w:rPr>
        <w:t>施工方</w:t>
      </w:r>
      <w:r>
        <w:rPr>
          <w:rFonts w:hint="eastAsia" w:ascii="宋体" w:hAnsi="宋体" w:eastAsia="宋体" w:cs="宋体"/>
          <w:color w:val="auto"/>
          <w:sz w:val="21"/>
          <w:szCs w:val="21"/>
          <w:highlight w:val="none"/>
        </w:rPr>
        <w:t>进行保修。定期编制监理业务报告（季度、半年与年度）。</w:t>
      </w:r>
    </w:p>
    <w:p w14:paraId="03BAFBCD">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）在保修期内，监理</w:t>
      </w:r>
      <w:r>
        <w:rPr>
          <w:rFonts w:hint="eastAsia" w:ascii="宋体" w:hAnsi="宋体" w:eastAsia="宋体" w:cs="宋体"/>
          <w:color w:val="auto"/>
          <w:sz w:val="21"/>
          <w:szCs w:val="21"/>
          <w:highlight w:val="none"/>
          <w:lang w:eastAsia="zh-CN"/>
        </w:rPr>
        <w:t>单位</w:t>
      </w:r>
      <w:r>
        <w:rPr>
          <w:rFonts w:hint="eastAsia" w:ascii="宋体" w:hAnsi="宋体" w:eastAsia="宋体" w:cs="宋体"/>
          <w:color w:val="auto"/>
          <w:sz w:val="21"/>
          <w:szCs w:val="21"/>
          <w:highlight w:val="none"/>
        </w:rPr>
        <w:t>应每</w:t>
      </w:r>
      <w:r>
        <w:rPr>
          <w:rFonts w:hint="eastAsia" w:ascii="宋体" w:hAnsi="宋体" w:eastAsia="宋体" w:cs="宋体"/>
          <w:color w:val="auto"/>
          <w:sz w:val="21"/>
          <w:szCs w:val="21"/>
          <w:highlight w:val="none"/>
          <w:lang w:eastAsia="zh-CN"/>
        </w:rPr>
        <w:t>两</w:t>
      </w:r>
      <w:r>
        <w:rPr>
          <w:rFonts w:hint="eastAsia" w:ascii="宋体" w:hAnsi="宋体" w:eastAsia="宋体" w:cs="宋体"/>
          <w:color w:val="auto"/>
          <w:sz w:val="21"/>
          <w:szCs w:val="21"/>
          <w:highlight w:val="none"/>
        </w:rPr>
        <w:t>个月对工程进行一次巡视、检查（要到</w:t>
      </w:r>
      <w:r>
        <w:rPr>
          <w:rFonts w:hint="eastAsia" w:ascii="宋体" w:hAnsi="宋体" w:eastAsia="宋体" w:cs="宋体"/>
          <w:color w:val="auto"/>
          <w:sz w:val="21"/>
          <w:szCs w:val="21"/>
          <w:highlight w:val="none"/>
          <w:lang w:eastAsia="zh-CN"/>
        </w:rPr>
        <w:t>发包人</w:t>
      </w:r>
      <w:r>
        <w:rPr>
          <w:rFonts w:hint="eastAsia" w:ascii="宋体" w:hAnsi="宋体" w:eastAsia="宋体" w:cs="宋体"/>
          <w:color w:val="auto"/>
          <w:sz w:val="21"/>
          <w:szCs w:val="21"/>
          <w:highlight w:val="none"/>
        </w:rPr>
        <w:t>处签到），并向</w:t>
      </w:r>
      <w:r>
        <w:rPr>
          <w:rFonts w:hint="eastAsia" w:ascii="宋体" w:hAnsi="宋体" w:eastAsia="宋体" w:cs="宋体"/>
          <w:color w:val="auto"/>
          <w:sz w:val="21"/>
          <w:szCs w:val="21"/>
          <w:highlight w:val="none"/>
          <w:lang w:eastAsia="zh-CN"/>
        </w:rPr>
        <w:t>发包人</w:t>
      </w:r>
      <w:r>
        <w:rPr>
          <w:rFonts w:hint="eastAsia" w:ascii="宋体" w:hAnsi="宋体" w:eastAsia="宋体" w:cs="宋体"/>
          <w:color w:val="auto"/>
          <w:sz w:val="21"/>
          <w:szCs w:val="21"/>
          <w:highlight w:val="none"/>
        </w:rPr>
        <w:t>提交书面检查报告，发现有质量缺陷的，要及时通知</w:t>
      </w:r>
      <w:r>
        <w:rPr>
          <w:rFonts w:hint="eastAsia" w:ascii="宋体" w:hAnsi="宋体" w:eastAsia="宋体" w:cs="宋体"/>
          <w:color w:val="auto"/>
          <w:sz w:val="21"/>
          <w:szCs w:val="21"/>
          <w:highlight w:val="none"/>
          <w:lang w:eastAsia="zh-CN"/>
        </w:rPr>
        <w:t>发包人</w:t>
      </w:r>
      <w:r>
        <w:rPr>
          <w:rFonts w:hint="eastAsia" w:ascii="宋体" w:hAnsi="宋体" w:eastAsia="宋体" w:cs="宋体"/>
          <w:color w:val="auto"/>
          <w:sz w:val="21"/>
          <w:szCs w:val="21"/>
          <w:highlight w:val="none"/>
        </w:rPr>
        <w:t>，会同</w:t>
      </w:r>
      <w:r>
        <w:rPr>
          <w:rFonts w:hint="eastAsia" w:ascii="宋体" w:hAnsi="宋体" w:eastAsia="宋体" w:cs="宋体"/>
          <w:color w:val="auto"/>
          <w:sz w:val="21"/>
          <w:szCs w:val="21"/>
          <w:highlight w:val="none"/>
          <w:lang w:eastAsia="zh-CN"/>
        </w:rPr>
        <w:t>发包人</w:t>
      </w:r>
      <w:r>
        <w:rPr>
          <w:rFonts w:hint="eastAsia" w:ascii="宋体" w:hAnsi="宋体" w:eastAsia="宋体" w:cs="宋体"/>
          <w:color w:val="auto"/>
          <w:sz w:val="21"/>
          <w:szCs w:val="21"/>
          <w:highlight w:val="none"/>
        </w:rPr>
        <w:t>组织承包人维修，按</w:t>
      </w:r>
      <w:r>
        <w:rPr>
          <w:rFonts w:hint="eastAsia" w:ascii="宋体" w:hAnsi="宋体" w:eastAsia="宋体" w:cs="宋体"/>
          <w:color w:val="auto"/>
          <w:sz w:val="21"/>
          <w:szCs w:val="21"/>
          <w:highlight w:val="none"/>
          <w:lang w:eastAsia="zh-CN"/>
        </w:rPr>
        <w:t>工程质量</w:t>
      </w:r>
      <w:r>
        <w:rPr>
          <w:rFonts w:hint="eastAsia" w:ascii="宋体" w:hAnsi="宋体" w:eastAsia="宋体" w:cs="宋体"/>
          <w:color w:val="auto"/>
          <w:sz w:val="21"/>
          <w:szCs w:val="21"/>
          <w:highlight w:val="none"/>
        </w:rPr>
        <w:t>保修书的条款界定责任归属。</w:t>
      </w:r>
    </w:p>
    <w:p w14:paraId="4088A75A">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在保修期内，</w:t>
      </w:r>
      <w:r>
        <w:rPr>
          <w:rFonts w:hint="eastAsia" w:ascii="宋体" w:hAnsi="宋体" w:eastAsia="宋体" w:cs="宋体"/>
          <w:color w:val="auto"/>
          <w:sz w:val="21"/>
          <w:szCs w:val="21"/>
          <w:highlight w:val="none"/>
          <w:lang w:eastAsia="zh-CN"/>
        </w:rPr>
        <w:t>发包人</w:t>
      </w:r>
      <w:r>
        <w:rPr>
          <w:rFonts w:hint="eastAsia" w:ascii="宋体" w:hAnsi="宋体" w:eastAsia="宋体" w:cs="宋体"/>
          <w:color w:val="auto"/>
          <w:sz w:val="21"/>
          <w:szCs w:val="21"/>
          <w:highlight w:val="none"/>
        </w:rPr>
        <w:t>要求监理</w:t>
      </w:r>
      <w:r>
        <w:rPr>
          <w:rFonts w:hint="eastAsia" w:ascii="宋体" w:hAnsi="宋体" w:eastAsia="宋体" w:cs="宋体"/>
          <w:color w:val="auto"/>
          <w:sz w:val="21"/>
          <w:szCs w:val="21"/>
          <w:highlight w:val="none"/>
          <w:lang w:eastAsia="zh-CN"/>
        </w:rPr>
        <w:t>单位</w:t>
      </w:r>
      <w:r>
        <w:rPr>
          <w:rFonts w:hint="eastAsia" w:ascii="宋体" w:hAnsi="宋体" w:eastAsia="宋体" w:cs="宋体"/>
          <w:color w:val="auto"/>
          <w:sz w:val="21"/>
          <w:szCs w:val="21"/>
          <w:highlight w:val="none"/>
        </w:rPr>
        <w:t>到达现场的，监理</w:t>
      </w:r>
      <w:r>
        <w:rPr>
          <w:rFonts w:hint="eastAsia" w:ascii="宋体" w:hAnsi="宋体" w:eastAsia="宋体" w:cs="宋体"/>
          <w:color w:val="auto"/>
          <w:sz w:val="21"/>
          <w:szCs w:val="21"/>
          <w:highlight w:val="none"/>
          <w:lang w:eastAsia="zh-CN"/>
        </w:rPr>
        <w:t>单位</w:t>
      </w:r>
      <w:r>
        <w:rPr>
          <w:rFonts w:hint="eastAsia" w:ascii="宋体" w:hAnsi="宋体" w:eastAsia="宋体" w:cs="宋体"/>
          <w:color w:val="auto"/>
          <w:sz w:val="21"/>
          <w:szCs w:val="21"/>
          <w:highlight w:val="none"/>
        </w:rPr>
        <w:t>必须在接到</w:t>
      </w:r>
      <w:r>
        <w:rPr>
          <w:rFonts w:hint="eastAsia" w:ascii="宋体" w:hAnsi="宋体" w:eastAsia="宋体" w:cs="宋体"/>
          <w:color w:val="auto"/>
          <w:sz w:val="21"/>
          <w:szCs w:val="21"/>
          <w:highlight w:val="none"/>
          <w:lang w:eastAsia="zh-CN"/>
        </w:rPr>
        <w:t>发包人</w:t>
      </w:r>
      <w:r>
        <w:rPr>
          <w:rFonts w:hint="eastAsia" w:ascii="宋体" w:hAnsi="宋体" w:eastAsia="宋体" w:cs="宋体"/>
          <w:color w:val="auto"/>
          <w:sz w:val="21"/>
          <w:szCs w:val="21"/>
          <w:highlight w:val="none"/>
        </w:rPr>
        <w:t>通知后2天内到达现场，履行监理职责。</w:t>
      </w:r>
    </w:p>
    <w:p w14:paraId="0573FCBD">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）根据合同及有关文件规定，</w:t>
      </w:r>
      <w:r>
        <w:rPr>
          <w:rFonts w:hint="eastAsia" w:ascii="宋体" w:hAnsi="宋体" w:eastAsia="宋体" w:cs="宋体"/>
          <w:color w:val="auto"/>
          <w:sz w:val="21"/>
          <w:szCs w:val="21"/>
          <w:highlight w:val="none"/>
          <w:lang w:eastAsia="zh-CN"/>
        </w:rPr>
        <w:t>监理单位除按要求完成自身的</w:t>
      </w:r>
      <w:r>
        <w:rPr>
          <w:rFonts w:hint="eastAsia" w:ascii="宋体" w:hAnsi="宋体" w:eastAsia="宋体" w:cs="宋体"/>
          <w:color w:val="auto"/>
          <w:sz w:val="21"/>
          <w:szCs w:val="21"/>
          <w:highlight w:val="none"/>
        </w:rPr>
        <w:t>各阶段资料的</w:t>
      </w:r>
      <w:r>
        <w:rPr>
          <w:rFonts w:hint="eastAsia" w:ascii="宋体" w:hAnsi="宋体" w:eastAsia="宋体" w:cs="宋体"/>
          <w:color w:val="auto"/>
          <w:sz w:val="21"/>
          <w:szCs w:val="21"/>
          <w:highlight w:val="none"/>
          <w:lang w:eastAsia="zh-CN"/>
        </w:rPr>
        <w:t>编制</w:t>
      </w:r>
      <w:r>
        <w:rPr>
          <w:rFonts w:hint="eastAsia" w:ascii="宋体" w:hAnsi="宋体" w:eastAsia="宋体" w:cs="宋体"/>
          <w:color w:val="auto"/>
          <w:sz w:val="21"/>
          <w:szCs w:val="21"/>
          <w:highlight w:val="none"/>
        </w:rPr>
        <w:t>整理</w:t>
      </w:r>
      <w:r>
        <w:rPr>
          <w:rFonts w:hint="eastAsia" w:ascii="宋体" w:hAnsi="宋体" w:eastAsia="宋体" w:cs="宋体"/>
          <w:color w:val="auto"/>
          <w:sz w:val="21"/>
          <w:szCs w:val="21"/>
          <w:highlight w:val="none"/>
          <w:lang w:eastAsia="zh-CN"/>
        </w:rPr>
        <w:t>外，还需</w:t>
      </w:r>
      <w:r>
        <w:rPr>
          <w:rFonts w:hint="eastAsia" w:ascii="宋体" w:hAnsi="宋体" w:eastAsia="宋体" w:cs="宋体"/>
          <w:color w:val="auto"/>
          <w:sz w:val="21"/>
          <w:szCs w:val="21"/>
          <w:highlight w:val="none"/>
        </w:rPr>
        <w:t>督促检查</w:t>
      </w:r>
      <w:r>
        <w:rPr>
          <w:rFonts w:hint="eastAsia" w:ascii="宋体" w:hAnsi="宋体" w:eastAsia="宋体" w:cs="宋体"/>
          <w:color w:val="auto"/>
          <w:sz w:val="21"/>
          <w:szCs w:val="21"/>
          <w:highlight w:val="none"/>
          <w:lang w:eastAsia="zh-CN"/>
        </w:rPr>
        <w:t>施工方和各参建单位</w:t>
      </w:r>
      <w:r>
        <w:rPr>
          <w:rFonts w:hint="eastAsia" w:ascii="宋体" w:hAnsi="宋体" w:eastAsia="宋体" w:cs="宋体"/>
          <w:color w:val="auto"/>
          <w:sz w:val="21"/>
          <w:szCs w:val="21"/>
          <w:highlight w:val="none"/>
        </w:rPr>
        <w:t>及时完成各阶段施工资料的整理及竣工资料的编制，</w:t>
      </w:r>
      <w:r>
        <w:rPr>
          <w:rFonts w:hint="eastAsia" w:ascii="宋体" w:hAnsi="宋体" w:eastAsia="宋体" w:cs="宋体"/>
          <w:color w:val="auto"/>
          <w:sz w:val="21"/>
          <w:szCs w:val="21"/>
          <w:highlight w:val="none"/>
          <w:lang w:eastAsia="zh-CN"/>
        </w:rPr>
        <w:t>并对各参建单位的有关资料进行审核和督促修改完善，</w:t>
      </w:r>
      <w:r>
        <w:rPr>
          <w:rFonts w:hint="eastAsia" w:ascii="宋体" w:hAnsi="宋体" w:eastAsia="宋体" w:cs="宋体"/>
          <w:color w:val="auto"/>
          <w:sz w:val="21"/>
          <w:szCs w:val="21"/>
          <w:highlight w:val="none"/>
        </w:rPr>
        <w:t>并</w:t>
      </w:r>
      <w:r>
        <w:rPr>
          <w:rFonts w:hint="eastAsia" w:ascii="宋体" w:hAnsi="宋体" w:eastAsia="宋体" w:cs="宋体"/>
          <w:color w:val="auto"/>
          <w:sz w:val="21"/>
          <w:szCs w:val="21"/>
          <w:highlight w:val="none"/>
          <w:lang w:eastAsia="zh-CN"/>
        </w:rPr>
        <w:t>收集整理好本工程各参建单位的</w:t>
      </w:r>
      <w:r>
        <w:rPr>
          <w:rFonts w:hint="eastAsia" w:ascii="宋体" w:hAnsi="宋体" w:eastAsia="宋体" w:cs="宋体"/>
          <w:color w:val="auto"/>
          <w:sz w:val="21"/>
          <w:szCs w:val="21"/>
          <w:highlight w:val="none"/>
        </w:rPr>
        <w:t>各阶段施工资料的整理及竣工资料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按时交</w:t>
      </w:r>
      <w:r>
        <w:rPr>
          <w:rFonts w:hint="eastAsia" w:ascii="宋体" w:hAnsi="宋体" w:eastAsia="宋体" w:cs="宋体"/>
          <w:color w:val="auto"/>
          <w:sz w:val="21"/>
          <w:szCs w:val="21"/>
          <w:highlight w:val="none"/>
          <w:lang w:eastAsia="zh-CN"/>
        </w:rPr>
        <w:t>发包人</w:t>
      </w:r>
      <w:r>
        <w:rPr>
          <w:rFonts w:hint="eastAsia" w:ascii="宋体" w:hAnsi="宋体" w:eastAsia="宋体" w:cs="宋体"/>
          <w:color w:val="auto"/>
          <w:sz w:val="21"/>
          <w:szCs w:val="21"/>
          <w:highlight w:val="none"/>
        </w:rPr>
        <w:t>归档。</w:t>
      </w:r>
    </w:p>
    <w:p w14:paraId="01D9D8CB">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监理</w:t>
      </w:r>
      <w:r>
        <w:rPr>
          <w:rFonts w:hint="eastAsia" w:ascii="宋体" w:hAnsi="宋体" w:eastAsia="宋体" w:cs="宋体"/>
          <w:color w:val="auto"/>
          <w:sz w:val="21"/>
          <w:szCs w:val="21"/>
          <w:highlight w:val="none"/>
          <w:lang w:eastAsia="zh-CN"/>
        </w:rPr>
        <w:t>单位</w:t>
      </w:r>
      <w:r>
        <w:rPr>
          <w:rFonts w:hint="eastAsia" w:ascii="宋体" w:hAnsi="宋体" w:eastAsia="宋体" w:cs="宋体"/>
          <w:color w:val="auto"/>
          <w:sz w:val="21"/>
          <w:szCs w:val="21"/>
          <w:highlight w:val="none"/>
        </w:rPr>
        <w:t>需针对施工合同执行情况，编制执行情况小结并重点分析工程投资控制及工程造价指标。</w:t>
      </w:r>
    </w:p>
    <w:p w14:paraId="52F31B45">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）根据有关文件规定，向</w:t>
      </w:r>
      <w:r>
        <w:rPr>
          <w:rFonts w:hint="eastAsia" w:ascii="宋体" w:hAnsi="宋体" w:eastAsia="宋体" w:cs="宋体"/>
          <w:color w:val="auto"/>
          <w:sz w:val="21"/>
          <w:szCs w:val="21"/>
          <w:highlight w:val="none"/>
          <w:lang w:eastAsia="zh-CN"/>
        </w:rPr>
        <w:t>发包人</w:t>
      </w:r>
      <w:r>
        <w:rPr>
          <w:rFonts w:hint="eastAsia" w:ascii="宋体" w:hAnsi="宋体" w:eastAsia="宋体" w:cs="宋体"/>
          <w:color w:val="auto"/>
          <w:sz w:val="21"/>
          <w:szCs w:val="21"/>
          <w:highlight w:val="none"/>
        </w:rPr>
        <w:t>提交</w:t>
      </w:r>
      <w:r>
        <w:rPr>
          <w:rFonts w:hint="eastAsia" w:ascii="宋体" w:hAnsi="宋体" w:eastAsia="宋体" w:cs="宋体"/>
          <w:color w:val="auto"/>
          <w:sz w:val="21"/>
          <w:szCs w:val="21"/>
          <w:highlight w:val="none"/>
          <w:lang w:eastAsia="zh-CN"/>
        </w:rPr>
        <w:t>本工程</w:t>
      </w:r>
      <w:r>
        <w:rPr>
          <w:rFonts w:hint="eastAsia" w:ascii="宋体" w:hAnsi="宋体" w:eastAsia="宋体" w:cs="宋体"/>
          <w:color w:val="auto"/>
          <w:sz w:val="21"/>
          <w:szCs w:val="21"/>
          <w:highlight w:val="none"/>
        </w:rPr>
        <w:t>各阶段</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工程竣工备案的监理资料。</w:t>
      </w:r>
    </w:p>
    <w:p w14:paraId="757A962D">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完工验收后</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个月内，监理</w:t>
      </w:r>
      <w:r>
        <w:rPr>
          <w:rFonts w:hint="eastAsia" w:ascii="宋体" w:hAnsi="宋体" w:eastAsia="宋体" w:cs="宋体"/>
          <w:color w:val="auto"/>
          <w:sz w:val="21"/>
          <w:szCs w:val="21"/>
          <w:highlight w:val="none"/>
          <w:lang w:eastAsia="zh-CN"/>
        </w:rPr>
        <w:t>单位</w:t>
      </w:r>
      <w:r>
        <w:rPr>
          <w:rFonts w:hint="eastAsia" w:ascii="宋体" w:hAnsi="宋体" w:eastAsia="宋体" w:cs="宋体"/>
          <w:color w:val="auto"/>
          <w:sz w:val="21"/>
          <w:szCs w:val="21"/>
          <w:highlight w:val="none"/>
        </w:rPr>
        <w:t>完成组织、收集、整理本项目施工结算资料的工作，并在</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个月内完成审核工作后报</w:t>
      </w:r>
      <w:r>
        <w:rPr>
          <w:rFonts w:hint="eastAsia" w:ascii="宋体" w:hAnsi="宋体" w:eastAsia="宋体" w:cs="宋体"/>
          <w:color w:val="auto"/>
          <w:sz w:val="21"/>
          <w:szCs w:val="21"/>
          <w:highlight w:val="none"/>
          <w:lang w:eastAsia="zh-CN"/>
        </w:rPr>
        <w:t>发包人</w:t>
      </w:r>
      <w:r>
        <w:rPr>
          <w:rFonts w:hint="eastAsia" w:ascii="宋体" w:hAnsi="宋体" w:eastAsia="宋体" w:cs="宋体"/>
          <w:color w:val="auto"/>
          <w:sz w:val="21"/>
          <w:szCs w:val="21"/>
          <w:highlight w:val="none"/>
        </w:rPr>
        <w:t>审批。</w:t>
      </w:r>
    </w:p>
    <w:p w14:paraId="08A7CE21">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）其他工作内容：</w:t>
      </w:r>
    </w:p>
    <w:p w14:paraId="56ED8723">
      <w:pPr>
        <w:pStyle w:val="12"/>
        <w:spacing w:line="360" w:lineRule="auto"/>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 w:val="21"/>
          <w:szCs w:val="21"/>
          <w:highlight w:val="none"/>
        </w:rPr>
        <w:t>①</w:t>
      </w:r>
      <w:r>
        <w:rPr>
          <w:rFonts w:hint="eastAsia" w:ascii="宋体" w:hAnsi="宋体" w:eastAsia="宋体" w:cs="宋体"/>
          <w:b w:val="0"/>
          <w:bCs w:val="0"/>
          <w:color w:val="auto"/>
          <w:sz w:val="21"/>
          <w:szCs w:val="21"/>
          <w:highlight w:val="none"/>
          <w:lang w:eastAsia="zh-CN"/>
        </w:rPr>
        <w:t>如因项目需要，</w:t>
      </w:r>
      <w:r>
        <w:rPr>
          <w:rFonts w:hint="eastAsia" w:ascii="宋体" w:hAnsi="宋体" w:eastAsia="宋体" w:cs="宋体"/>
          <w:b w:val="0"/>
          <w:bCs w:val="0"/>
          <w:color w:val="auto"/>
          <w:kern w:val="2"/>
          <w:sz w:val="21"/>
          <w:szCs w:val="21"/>
          <w:highlight w:val="none"/>
          <w:lang w:val="en-US" w:eastAsia="zh-CN" w:bidi="ar-SA"/>
        </w:rPr>
        <w:t>监理</w:t>
      </w:r>
      <w:r>
        <w:rPr>
          <w:rFonts w:hint="eastAsia" w:ascii="宋体" w:hAnsi="宋体" w:eastAsia="宋体" w:cs="宋体"/>
          <w:color w:val="auto"/>
          <w:sz w:val="21"/>
          <w:szCs w:val="21"/>
          <w:highlight w:val="none"/>
          <w:lang w:eastAsia="zh-CN"/>
        </w:rPr>
        <w:t>单位</w:t>
      </w:r>
      <w:r>
        <w:rPr>
          <w:rFonts w:hint="eastAsia" w:ascii="宋体" w:hAnsi="宋体" w:eastAsia="宋体" w:cs="宋体"/>
          <w:b w:val="0"/>
          <w:bCs w:val="0"/>
          <w:color w:val="auto"/>
          <w:kern w:val="2"/>
          <w:sz w:val="21"/>
          <w:szCs w:val="21"/>
          <w:highlight w:val="none"/>
          <w:lang w:val="en-US" w:eastAsia="zh-CN" w:bidi="ar-SA"/>
        </w:rPr>
        <w:t>应在监理服务期限内，按发包人的要求派出一名有相关经验的造价人员并自备电脑等设备，在指定地点驻场办公，协助发包人完成造价指标分析、计量审核、变更审核、结算审核等工作；经发包人确认的该驻场造价人员，须按要求按时上班，接受考勤管理，在合同履行期间不得更换，确因客观情况需更换的，应提前7天书面通知发包人并征得发包人书面同意后方可更换。</w:t>
      </w:r>
    </w:p>
    <w:p w14:paraId="54DFC299">
      <w:pPr>
        <w:pStyle w:val="12"/>
        <w:spacing w:line="360" w:lineRule="auto"/>
        <w:ind w:left="0" w:firstLine="420" w:firstLineChars="200"/>
        <w:rPr>
          <w:rFonts w:hint="eastAsia" w:ascii="宋体" w:hAnsi="宋体" w:eastAsia="宋体" w:cs="宋体"/>
          <w:strike/>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b w:val="0"/>
          <w:bCs w:val="0"/>
          <w:color w:val="auto"/>
          <w:sz w:val="21"/>
          <w:szCs w:val="21"/>
          <w:highlight w:val="none"/>
          <w:lang w:val="en-US" w:eastAsia="zh-CN"/>
        </w:rPr>
        <w:t>如本工程含管线迁改工作内容的，监理</w:t>
      </w:r>
      <w:r>
        <w:rPr>
          <w:rFonts w:hint="eastAsia" w:ascii="宋体" w:hAnsi="宋体" w:eastAsia="宋体" w:cs="宋体"/>
          <w:color w:val="auto"/>
          <w:sz w:val="21"/>
          <w:szCs w:val="21"/>
          <w:highlight w:val="none"/>
          <w:lang w:eastAsia="zh-CN"/>
        </w:rPr>
        <w:t>单位</w:t>
      </w:r>
      <w:r>
        <w:rPr>
          <w:rFonts w:hint="eastAsia" w:ascii="宋体" w:hAnsi="宋体" w:eastAsia="宋体" w:cs="宋体"/>
          <w:b w:val="0"/>
          <w:bCs w:val="0"/>
          <w:color w:val="auto"/>
          <w:sz w:val="21"/>
          <w:szCs w:val="21"/>
          <w:highlight w:val="none"/>
          <w:lang w:val="en-US" w:eastAsia="zh-CN"/>
        </w:rPr>
        <w:t>应按发包人要求针对本工程所涉管线迁改工作提供相关监理服务。</w:t>
      </w:r>
    </w:p>
    <w:p w14:paraId="553BEFF4">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③在合同执行期间，监理</w:t>
      </w:r>
      <w:r>
        <w:rPr>
          <w:rFonts w:hint="eastAsia" w:ascii="宋体" w:hAnsi="宋体" w:eastAsia="宋体" w:cs="宋体"/>
          <w:color w:val="auto"/>
          <w:sz w:val="21"/>
          <w:szCs w:val="21"/>
          <w:highlight w:val="none"/>
          <w:lang w:eastAsia="zh-CN"/>
        </w:rPr>
        <w:t>单位</w:t>
      </w:r>
      <w:r>
        <w:rPr>
          <w:rFonts w:hint="eastAsia" w:ascii="宋体" w:hAnsi="宋体" w:eastAsia="宋体" w:cs="宋体"/>
          <w:color w:val="auto"/>
          <w:sz w:val="21"/>
          <w:szCs w:val="21"/>
          <w:highlight w:val="none"/>
        </w:rPr>
        <w:t>必须按本合同约定接受</w:t>
      </w:r>
      <w:r>
        <w:rPr>
          <w:rFonts w:hint="eastAsia" w:ascii="宋体" w:hAnsi="宋体" w:eastAsia="宋体" w:cs="宋体"/>
          <w:color w:val="auto"/>
          <w:sz w:val="21"/>
          <w:szCs w:val="21"/>
          <w:highlight w:val="none"/>
          <w:lang w:eastAsia="zh-CN"/>
        </w:rPr>
        <w:t>发包人</w:t>
      </w:r>
      <w:r>
        <w:rPr>
          <w:rFonts w:hint="eastAsia" w:ascii="宋体" w:hAnsi="宋体" w:eastAsia="宋体" w:cs="宋体"/>
          <w:color w:val="auto"/>
          <w:sz w:val="21"/>
          <w:szCs w:val="21"/>
          <w:highlight w:val="none"/>
        </w:rPr>
        <w:t>授权范围内的管理。如</w:t>
      </w:r>
      <w:r>
        <w:rPr>
          <w:rFonts w:hint="eastAsia" w:ascii="宋体" w:hAnsi="宋体" w:eastAsia="宋体" w:cs="宋体"/>
          <w:color w:val="auto"/>
          <w:sz w:val="21"/>
          <w:szCs w:val="21"/>
          <w:highlight w:val="none"/>
          <w:lang w:eastAsia="zh-CN"/>
        </w:rPr>
        <w:t>发包人</w:t>
      </w:r>
      <w:r>
        <w:rPr>
          <w:rFonts w:hint="eastAsia" w:ascii="宋体" w:hAnsi="宋体" w:eastAsia="宋体" w:cs="宋体"/>
          <w:color w:val="auto"/>
          <w:sz w:val="21"/>
          <w:szCs w:val="21"/>
          <w:highlight w:val="none"/>
        </w:rPr>
        <w:t>发现监理</w:t>
      </w:r>
      <w:r>
        <w:rPr>
          <w:rFonts w:hint="eastAsia" w:ascii="宋体" w:hAnsi="宋体" w:eastAsia="宋体" w:cs="宋体"/>
          <w:color w:val="auto"/>
          <w:sz w:val="21"/>
          <w:szCs w:val="21"/>
          <w:highlight w:val="none"/>
          <w:lang w:eastAsia="zh-CN"/>
        </w:rPr>
        <w:t>单位</w:t>
      </w:r>
      <w:r>
        <w:rPr>
          <w:rFonts w:hint="eastAsia" w:ascii="宋体" w:hAnsi="宋体" w:eastAsia="宋体" w:cs="宋体"/>
          <w:color w:val="auto"/>
          <w:sz w:val="21"/>
          <w:szCs w:val="21"/>
          <w:highlight w:val="none"/>
        </w:rPr>
        <w:t>不服从管理的，按</w:t>
      </w:r>
      <w:r>
        <w:rPr>
          <w:rFonts w:hint="eastAsia" w:ascii="宋体" w:hAnsi="宋体" w:eastAsia="宋体" w:cs="宋体"/>
          <w:color w:val="auto"/>
          <w:sz w:val="21"/>
          <w:szCs w:val="21"/>
          <w:highlight w:val="none"/>
          <w:lang w:eastAsia="zh-CN"/>
        </w:rPr>
        <w:t>监理合同</w:t>
      </w:r>
      <w:r>
        <w:rPr>
          <w:rFonts w:hint="eastAsia" w:ascii="宋体" w:hAnsi="宋体" w:eastAsia="宋体" w:cs="宋体"/>
          <w:color w:val="auto"/>
          <w:sz w:val="21"/>
          <w:szCs w:val="21"/>
          <w:highlight w:val="none"/>
        </w:rPr>
        <w:t>约定的违约责任进行处罚。</w:t>
      </w:r>
    </w:p>
    <w:p w14:paraId="4A91BE21">
      <w:pPr>
        <w:pStyle w:val="18"/>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④</w:t>
      </w:r>
      <w:r>
        <w:rPr>
          <w:rFonts w:hint="eastAsia" w:ascii="宋体" w:hAnsi="宋体" w:eastAsia="宋体" w:cs="宋体"/>
          <w:color w:val="auto"/>
          <w:sz w:val="21"/>
          <w:szCs w:val="21"/>
          <w:highlight w:val="none"/>
          <w:lang w:eastAsia="zh-CN"/>
        </w:rPr>
        <w:t>本项目如已明确</w:t>
      </w:r>
      <w:r>
        <w:rPr>
          <w:rFonts w:hint="eastAsia" w:ascii="宋体" w:hAnsi="宋体" w:eastAsia="宋体" w:cs="宋体"/>
          <w:color w:val="auto"/>
          <w:sz w:val="21"/>
          <w:szCs w:val="21"/>
          <w:highlight w:val="none"/>
        </w:rPr>
        <w:t>项目建设管理服务单位，除相关法规规范的强制性规定外，其余由项目建设管理服务单位按照项目建设管理服务合同的授权内容对本工程的参建各方实行管理。</w:t>
      </w:r>
    </w:p>
    <w:p w14:paraId="2E7F1663">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（二）合同期限</w:t>
      </w:r>
    </w:p>
    <w:p w14:paraId="593FD640">
      <w:pPr>
        <w:pStyle w:val="18"/>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（详见合同文件）</w:t>
      </w:r>
    </w:p>
    <w:p w14:paraId="6846ABED">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、监理管理规定</w:t>
      </w:r>
    </w:p>
    <w:p w14:paraId="3212B818">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工程管理</w:t>
      </w:r>
    </w:p>
    <w:p w14:paraId="277C49DE">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监理单位须按《建设工程监理规范》《建设工程质量管理条例》《建设工程安全生产管理条例》《广东省建设工程监理条例》等监理行业法规的要求开展监理工作，</w:t>
      </w:r>
      <w:r>
        <w:rPr>
          <w:rFonts w:hint="eastAsia" w:ascii="宋体" w:hAnsi="宋体" w:eastAsia="宋体" w:cs="宋体"/>
          <w:color w:val="auto"/>
          <w:sz w:val="21"/>
          <w:szCs w:val="21"/>
          <w:highlight w:val="none"/>
          <w:lang w:eastAsia="zh-CN"/>
        </w:rPr>
        <w:t>发包人</w:t>
      </w:r>
      <w:r>
        <w:rPr>
          <w:rFonts w:hint="eastAsia" w:ascii="宋体" w:hAnsi="宋体" w:eastAsia="宋体" w:cs="宋体"/>
          <w:color w:val="auto"/>
          <w:sz w:val="21"/>
          <w:szCs w:val="21"/>
          <w:highlight w:val="none"/>
        </w:rPr>
        <w:t>将对监理的违法和失误将给予严格处罚，并保留向建设行政主管部门通报的权利。</w:t>
      </w:r>
    </w:p>
    <w:p w14:paraId="2BC16B67">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监理单位应按照</w:t>
      </w:r>
      <w:r>
        <w:rPr>
          <w:rFonts w:hint="eastAsia" w:ascii="宋体" w:hAnsi="宋体" w:eastAsia="宋体" w:cs="宋体"/>
          <w:color w:val="auto"/>
          <w:sz w:val="21"/>
          <w:szCs w:val="21"/>
          <w:highlight w:val="none"/>
          <w:lang w:eastAsia="zh-CN"/>
        </w:rPr>
        <w:t>发包人</w:t>
      </w:r>
      <w:r>
        <w:rPr>
          <w:rFonts w:hint="eastAsia" w:ascii="宋体" w:hAnsi="宋体" w:eastAsia="宋体" w:cs="宋体"/>
          <w:color w:val="auto"/>
          <w:sz w:val="21"/>
          <w:szCs w:val="21"/>
          <w:highlight w:val="none"/>
          <w:lang w:val="en-US" w:eastAsia="zh-CN"/>
        </w:rPr>
        <w:t>或项目主管部门有关工程变更、计量、验收</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eastAsia="zh-CN"/>
        </w:rPr>
        <w:t>相关要求</w:t>
      </w:r>
      <w:r>
        <w:rPr>
          <w:rFonts w:hint="eastAsia" w:ascii="宋体" w:hAnsi="宋体" w:eastAsia="宋体" w:cs="宋体"/>
          <w:color w:val="auto"/>
          <w:sz w:val="21"/>
          <w:szCs w:val="21"/>
          <w:highlight w:val="none"/>
        </w:rPr>
        <w:t>，及被批准同意的《监理规划》《监理实施细则》开展监理工作。</w:t>
      </w:r>
    </w:p>
    <w:p w14:paraId="14F5138E">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《监理规划》除非</w:t>
      </w:r>
      <w:r>
        <w:rPr>
          <w:rFonts w:hint="eastAsia" w:ascii="宋体" w:hAnsi="宋体" w:eastAsia="宋体" w:cs="宋体"/>
          <w:color w:val="auto"/>
          <w:sz w:val="21"/>
          <w:szCs w:val="21"/>
          <w:highlight w:val="none"/>
          <w:lang w:eastAsia="zh-CN"/>
        </w:rPr>
        <w:t>发包人</w:t>
      </w:r>
      <w:r>
        <w:rPr>
          <w:rFonts w:hint="eastAsia" w:ascii="宋体" w:hAnsi="宋体" w:eastAsia="宋体" w:cs="宋体"/>
          <w:color w:val="auto"/>
          <w:sz w:val="21"/>
          <w:szCs w:val="21"/>
          <w:highlight w:val="none"/>
        </w:rPr>
        <w:t>另有约定外，要求自发出监理中标通知书之日起的</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天（日历日）内编制完成并报</w:t>
      </w:r>
      <w:r>
        <w:rPr>
          <w:rFonts w:hint="eastAsia" w:ascii="宋体" w:hAnsi="宋体" w:eastAsia="宋体" w:cs="宋体"/>
          <w:color w:val="auto"/>
          <w:sz w:val="21"/>
          <w:szCs w:val="21"/>
          <w:highlight w:val="none"/>
          <w:lang w:eastAsia="zh-CN"/>
        </w:rPr>
        <w:t>发包人</w:t>
      </w:r>
      <w:r>
        <w:rPr>
          <w:rFonts w:hint="eastAsia" w:ascii="宋体" w:hAnsi="宋体" w:eastAsia="宋体" w:cs="宋体"/>
          <w:color w:val="auto"/>
          <w:sz w:val="21"/>
          <w:szCs w:val="21"/>
          <w:highlight w:val="none"/>
        </w:rPr>
        <w:t>审核</w:t>
      </w:r>
      <w:r>
        <w:rPr>
          <w:rFonts w:hint="eastAsia" w:ascii="宋体" w:hAnsi="宋体" w:eastAsia="宋体" w:cs="宋体"/>
          <w:color w:val="auto"/>
          <w:sz w:val="21"/>
          <w:szCs w:val="21"/>
          <w:highlight w:val="none"/>
          <w:lang w:eastAsia="zh-CN"/>
        </w:rPr>
        <w:t>，根据审核意见完善后报发包人审查备案</w:t>
      </w:r>
      <w:r>
        <w:rPr>
          <w:rFonts w:hint="eastAsia" w:ascii="宋体" w:hAnsi="宋体" w:eastAsia="宋体" w:cs="宋体"/>
          <w:color w:val="auto"/>
          <w:sz w:val="21"/>
          <w:szCs w:val="21"/>
          <w:highlight w:val="none"/>
        </w:rPr>
        <w:t>。</w:t>
      </w:r>
    </w:p>
    <w:p w14:paraId="074A0A5E">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《监理实施细则》除非</w:t>
      </w:r>
      <w:r>
        <w:rPr>
          <w:rFonts w:hint="eastAsia" w:ascii="宋体" w:hAnsi="宋体" w:eastAsia="宋体" w:cs="宋体"/>
          <w:color w:val="auto"/>
          <w:sz w:val="21"/>
          <w:szCs w:val="21"/>
          <w:highlight w:val="none"/>
          <w:lang w:eastAsia="zh-CN"/>
        </w:rPr>
        <w:t>发包人</w:t>
      </w:r>
      <w:r>
        <w:rPr>
          <w:rFonts w:hint="eastAsia" w:ascii="宋体" w:hAnsi="宋体" w:eastAsia="宋体" w:cs="宋体"/>
          <w:color w:val="auto"/>
          <w:sz w:val="21"/>
          <w:szCs w:val="21"/>
          <w:highlight w:val="none"/>
        </w:rPr>
        <w:t>另有约定外，要求自批准同意《监理规划》之日起的</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天（日历日）内编制完成并报</w:t>
      </w:r>
      <w:r>
        <w:rPr>
          <w:rFonts w:hint="eastAsia" w:ascii="宋体" w:hAnsi="宋体" w:eastAsia="宋体" w:cs="宋体"/>
          <w:color w:val="auto"/>
          <w:sz w:val="21"/>
          <w:szCs w:val="21"/>
          <w:highlight w:val="none"/>
          <w:lang w:eastAsia="zh-CN"/>
        </w:rPr>
        <w:t>发包人</w:t>
      </w:r>
      <w:r>
        <w:rPr>
          <w:rFonts w:hint="eastAsia" w:ascii="宋体" w:hAnsi="宋体" w:eastAsia="宋体" w:cs="宋体"/>
          <w:color w:val="auto"/>
          <w:sz w:val="21"/>
          <w:szCs w:val="21"/>
          <w:highlight w:val="none"/>
        </w:rPr>
        <w:t>审核</w:t>
      </w:r>
      <w:r>
        <w:rPr>
          <w:rFonts w:hint="eastAsia" w:ascii="宋体" w:hAnsi="宋体" w:eastAsia="宋体" w:cs="宋体"/>
          <w:color w:val="auto"/>
          <w:sz w:val="21"/>
          <w:szCs w:val="21"/>
          <w:highlight w:val="none"/>
          <w:lang w:eastAsia="zh-CN"/>
        </w:rPr>
        <w:t>，根据审核意见完善后报发包人审查备案</w:t>
      </w:r>
      <w:r>
        <w:rPr>
          <w:rFonts w:hint="eastAsia" w:ascii="宋体" w:hAnsi="宋体" w:eastAsia="宋体" w:cs="宋体"/>
          <w:color w:val="auto"/>
          <w:sz w:val="21"/>
          <w:szCs w:val="21"/>
          <w:highlight w:val="none"/>
        </w:rPr>
        <w:t>。</w:t>
      </w:r>
    </w:p>
    <w:p w14:paraId="73B7D0A7">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《监理规划》《监理实施细则》及批准文件、监理日志等开展监理工作的资料文件需按城建档案要求整理成册，列入竣工移交清单。</w:t>
      </w:r>
    </w:p>
    <w:p w14:paraId="250A8A1E">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监理单位须配合</w:t>
      </w:r>
      <w:r>
        <w:rPr>
          <w:rFonts w:hint="eastAsia" w:ascii="宋体" w:hAnsi="宋体" w:eastAsia="宋体" w:cs="宋体"/>
          <w:color w:val="auto"/>
          <w:sz w:val="21"/>
          <w:szCs w:val="21"/>
          <w:highlight w:val="none"/>
          <w:lang w:eastAsia="zh-CN"/>
        </w:rPr>
        <w:t>发包人</w:t>
      </w:r>
      <w:r>
        <w:rPr>
          <w:rFonts w:hint="eastAsia" w:ascii="宋体" w:hAnsi="宋体" w:eastAsia="宋体" w:cs="宋体"/>
          <w:color w:val="auto"/>
          <w:sz w:val="21"/>
          <w:szCs w:val="21"/>
          <w:highlight w:val="none"/>
        </w:rPr>
        <w:t>协调好设计图纸等方面的工作，处理与委托监理合同有关的一切事务。</w:t>
      </w:r>
    </w:p>
    <w:p w14:paraId="0F440C7F">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发包人</w:t>
      </w:r>
      <w:r>
        <w:rPr>
          <w:rFonts w:hint="eastAsia" w:ascii="宋体" w:hAnsi="宋体" w:eastAsia="宋体" w:cs="宋体"/>
          <w:color w:val="auto"/>
          <w:sz w:val="21"/>
          <w:szCs w:val="21"/>
          <w:highlight w:val="none"/>
        </w:rPr>
        <w:t>发现监理人员不按监理合同履行监理职责，或者与勘察、设计、施工单位以及设备材料供应商串通给</w:t>
      </w:r>
      <w:r>
        <w:rPr>
          <w:rFonts w:hint="eastAsia" w:ascii="宋体" w:hAnsi="宋体" w:eastAsia="宋体" w:cs="宋体"/>
          <w:color w:val="auto"/>
          <w:sz w:val="21"/>
          <w:szCs w:val="21"/>
          <w:highlight w:val="none"/>
          <w:lang w:eastAsia="zh-CN"/>
        </w:rPr>
        <w:t>发包人</w:t>
      </w:r>
      <w:r>
        <w:rPr>
          <w:rFonts w:hint="eastAsia" w:ascii="宋体" w:hAnsi="宋体" w:eastAsia="宋体" w:cs="宋体"/>
          <w:color w:val="auto"/>
          <w:sz w:val="21"/>
          <w:szCs w:val="21"/>
          <w:highlight w:val="none"/>
        </w:rPr>
        <w:t>或建设工程造成损失的，</w:t>
      </w:r>
      <w:r>
        <w:rPr>
          <w:rFonts w:hint="eastAsia" w:ascii="宋体" w:hAnsi="宋体" w:eastAsia="宋体" w:cs="宋体"/>
          <w:color w:val="auto"/>
          <w:sz w:val="21"/>
          <w:szCs w:val="21"/>
          <w:highlight w:val="none"/>
          <w:lang w:eastAsia="zh-CN"/>
        </w:rPr>
        <w:t>发包人</w:t>
      </w:r>
      <w:r>
        <w:rPr>
          <w:rFonts w:hint="eastAsia" w:ascii="宋体" w:hAnsi="宋体" w:eastAsia="宋体" w:cs="宋体"/>
          <w:color w:val="auto"/>
          <w:sz w:val="21"/>
          <w:szCs w:val="21"/>
          <w:highlight w:val="none"/>
        </w:rPr>
        <w:t>有权要求更换监理人员，并要求监理单位承担相应的赔偿责任或连带赔偿责任，直到终止合同。</w:t>
      </w:r>
    </w:p>
    <w:p w14:paraId="0C8C9D01">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组织架构</w:t>
      </w:r>
    </w:p>
    <w:p w14:paraId="02113AA4">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进场的监理工程师必须不低于</w:t>
      </w:r>
      <w:r>
        <w:rPr>
          <w:rFonts w:hint="eastAsia" w:ascii="宋体" w:hAnsi="宋体" w:eastAsia="宋体" w:cs="宋体"/>
          <w:color w:val="auto"/>
          <w:sz w:val="21"/>
          <w:szCs w:val="21"/>
          <w:highlight w:val="none"/>
          <w:lang w:eastAsia="zh-CN"/>
        </w:rPr>
        <w:t>监理</w:t>
      </w:r>
      <w:r>
        <w:rPr>
          <w:rFonts w:hint="eastAsia" w:ascii="宋体" w:hAnsi="宋体" w:eastAsia="宋体" w:cs="宋体"/>
          <w:color w:val="auto"/>
          <w:sz w:val="21"/>
          <w:szCs w:val="21"/>
          <w:highlight w:val="none"/>
          <w:lang w:val="en-US" w:eastAsia="zh-CN"/>
        </w:rPr>
        <w:t>合同中</w:t>
      </w:r>
      <w:r>
        <w:rPr>
          <w:rFonts w:hint="eastAsia" w:ascii="宋体" w:hAnsi="宋体" w:eastAsia="宋体" w:cs="宋体"/>
          <w:color w:val="auto"/>
          <w:sz w:val="21"/>
          <w:szCs w:val="21"/>
          <w:highlight w:val="none"/>
        </w:rPr>
        <w:t>承诺的人员资质</w:t>
      </w:r>
      <w:r>
        <w:rPr>
          <w:rFonts w:hint="eastAsia" w:ascii="宋体" w:hAnsi="宋体" w:eastAsia="宋体" w:cs="宋体"/>
          <w:color w:val="auto"/>
          <w:sz w:val="21"/>
          <w:szCs w:val="21"/>
          <w:highlight w:val="none"/>
          <w:lang w:eastAsia="zh-CN"/>
        </w:rPr>
        <w:t>及人员数量</w:t>
      </w:r>
      <w:r>
        <w:rPr>
          <w:rFonts w:hint="eastAsia" w:ascii="宋体" w:hAnsi="宋体" w:eastAsia="宋体" w:cs="宋体"/>
          <w:color w:val="auto"/>
          <w:sz w:val="21"/>
          <w:szCs w:val="21"/>
          <w:highlight w:val="none"/>
        </w:rPr>
        <w:t>要求，总监理工程师和专业监理工程师应具备较强的组织、指挥、协调能力和技术能力。除</w:t>
      </w:r>
      <w:r>
        <w:rPr>
          <w:rFonts w:hint="eastAsia" w:ascii="宋体" w:hAnsi="宋体" w:eastAsia="宋体" w:cs="宋体"/>
          <w:color w:val="auto"/>
          <w:sz w:val="21"/>
          <w:szCs w:val="21"/>
          <w:highlight w:val="none"/>
          <w:lang w:eastAsia="zh-CN"/>
        </w:rPr>
        <w:t>发包人</w:t>
      </w:r>
      <w:r>
        <w:rPr>
          <w:rFonts w:hint="eastAsia" w:ascii="宋体" w:hAnsi="宋体" w:eastAsia="宋体" w:cs="宋体"/>
          <w:color w:val="auto"/>
          <w:sz w:val="21"/>
          <w:szCs w:val="21"/>
          <w:highlight w:val="none"/>
        </w:rPr>
        <w:t>同意更换监理人员外，不允许擅自更换监理人员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管理过程中</w:t>
      </w:r>
      <w:r>
        <w:rPr>
          <w:rFonts w:hint="eastAsia" w:ascii="宋体" w:hAnsi="宋体" w:eastAsia="宋体" w:cs="宋体"/>
          <w:color w:val="auto"/>
          <w:sz w:val="21"/>
          <w:szCs w:val="21"/>
          <w:highlight w:val="none"/>
          <w:lang w:eastAsia="zh-CN"/>
        </w:rPr>
        <w:t>因</w:t>
      </w:r>
      <w:r>
        <w:rPr>
          <w:rFonts w:hint="eastAsia" w:ascii="宋体" w:hAnsi="宋体" w:eastAsia="宋体" w:cs="宋体"/>
          <w:color w:val="auto"/>
          <w:sz w:val="21"/>
          <w:szCs w:val="21"/>
          <w:highlight w:val="none"/>
        </w:rPr>
        <w:t>监理不到位或到位但水平低下，不能履行监理职责，监理单位</w:t>
      </w:r>
      <w:r>
        <w:rPr>
          <w:rFonts w:hint="eastAsia" w:ascii="宋体" w:hAnsi="宋体" w:eastAsia="宋体" w:cs="宋体"/>
          <w:color w:val="auto"/>
          <w:sz w:val="21"/>
          <w:szCs w:val="21"/>
          <w:highlight w:val="none"/>
          <w:lang w:eastAsia="zh-CN"/>
        </w:rPr>
        <w:t>须</w:t>
      </w:r>
      <w:r>
        <w:rPr>
          <w:rFonts w:hint="eastAsia" w:ascii="宋体" w:hAnsi="宋体" w:eastAsia="宋体" w:cs="宋体"/>
          <w:color w:val="auto"/>
          <w:sz w:val="21"/>
          <w:szCs w:val="21"/>
          <w:highlight w:val="none"/>
        </w:rPr>
        <w:t>按照</w:t>
      </w:r>
      <w:r>
        <w:rPr>
          <w:rFonts w:hint="eastAsia" w:ascii="宋体" w:hAnsi="宋体" w:eastAsia="宋体" w:cs="宋体"/>
          <w:color w:val="auto"/>
          <w:sz w:val="21"/>
          <w:szCs w:val="21"/>
          <w:highlight w:val="none"/>
          <w:lang w:eastAsia="zh-CN"/>
        </w:rPr>
        <w:t>发包人</w:t>
      </w:r>
      <w:r>
        <w:rPr>
          <w:rFonts w:hint="eastAsia" w:ascii="宋体" w:hAnsi="宋体" w:eastAsia="宋体" w:cs="宋体"/>
          <w:color w:val="auto"/>
          <w:sz w:val="21"/>
          <w:szCs w:val="21"/>
          <w:highlight w:val="none"/>
        </w:rPr>
        <w:t>要求更换监理人员。</w:t>
      </w:r>
    </w:p>
    <w:p w14:paraId="19E04D91">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必须具有专职对外协调</w:t>
      </w:r>
      <w:r>
        <w:rPr>
          <w:rFonts w:hint="eastAsia" w:ascii="宋体" w:hAnsi="宋体" w:eastAsia="宋体" w:cs="宋体"/>
          <w:color w:val="auto"/>
          <w:sz w:val="21"/>
          <w:szCs w:val="21"/>
          <w:highlight w:val="none"/>
          <w:lang w:eastAsia="zh-CN"/>
        </w:rPr>
        <w:t>监理人员</w:t>
      </w:r>
      <w:r>
        <w:rPr>
          <w:rFonts w:hint="eastAsia" w:ascii="宋体" w:hAnsi="宋体" w:eastAsia="宋体" w:cs="宋体"/>
          <w:color w:val="auto"/>
          <w:sz w:val="21"/>
          <w:szCs w:val="21"/>
          <w:highlight w:val="none"/>
        </w:rPr>
        <w:t>，负责现场交通疏散、文明施工、征地拆迁和管线迁移的管理工作；直接对总监负责，将上述对外协调</w:t>
      </w:r>
      <w:r>
        <w:rPr>
          <w:rFonts w:hint="eastAsia" w:ascii="宋体" w:hAnsi="宋体" w:eastAsia="宋体" w:cs="宋体"/>
          <w:color w:val="auto"/>
          <w:sz w:val="21"/>
          <w:szCs w:val="21"/>
          <w:highlight w:val="none"/>
          <w:lang w:eastAsia="zh-CN"/>
        </w:rPr>
        <w:t>监理人员</w:t>
      </w:r>
      <w:r>
        <w:rPr>
          <w:rFonts w:hint="eastAsia" w:ascii="宋体" w:hAnsi="宋体" w:eastAsia="宋体" w:cs="宋体"/>
          <w:color w:val="auto"/>
          <w:sz w:val="21"/>
          <w:szCs w:val="21"/>
          <w:highlight w:val="none"/>
        </w:rPr>
        <w:t>相关工作落实到标段。</w:t>
      </w:r>
    </w:p>
    <w:p w14:paraId="2BFCBAB1">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工程质量</w:t>
      </w:r>
    </w:p>
    <w:p w14:paraId="631D65DE">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监理工程师应及时对承包单位报送的重点部位、关键工序的施工工艺和确保工程质量的措施，进行审核、签认的；当承包单位采用新材料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新工艺、新技术、新设备时，监理工程师对承包单位报送相应的施工工艺措施和证明材料，进行审定、签认的；</w:t>
      </w:r>
      <w:r>
        <w:rPr>
          <w:rFonts w:hint="eastAsia" w:ascii="宋体" w:hAnsi="宋体" w:eastAsia="宋体" w:cs="宋体"/>
          <w:color w:val="auto"/>
          <w:sz w:val="21"/>
          <w:szCs w:val="21"/>
          <w:highlight w:val="none"/>
          <w:lang w:eastAsia="zh-CN"/>
        </w:rPr>
        <w:t>监理</w:t>
      </w:r>
      <w:r>
        <w:rPr>
          <w:rFonts w:hint="eastAsia" w:ascii="宋体" w:hAnsi="宋体" w:eastAsia="宋体" w:cs="宋体"/>
          <w:color w:val="auto"/>
          <w:sz w:val="21"/>
          <w:szCs w:val="21"/>
          <w:highlight w:val="none"/>
        </w:rPr>
        <w:t>工程师必须对承包单位报送的测量放线控制成果及保护措施进行检查、复核的。</w:t>
      </w:r>
    </w:p>
    <w:p w14:paraId="69A507D5">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监理单位</w:t>
      </w:r>
      <w:r>
        <w:rPr>
          <w:rFonts w:hint="eastAsia" w:ascii="宋体" w:hAnsi="宋体" w:eastAsia="宋体" w:cs="宋体"/>
          <w:color w:val="auto"/>
          <w:sz w:val="21"/>
          <w:szCs w:val="21"/>
          <w:highlight w:val="none"/>
          <w:lang w:eastAsia="zh-CN"/>
        </w:rPr>
        <w:t>及其工作人员</w:t>
      </w:r>
      <w:r>
        <w:rPr>
          <w:rFonts w:hint="eastAsia" w:ascii="宋体" w:hAnsi="宋体" w:eastAsia="宋体" w:cs="宋体"/>
          <w:color w:val="auto"/>
          <w:sz w:val="21"/>
          <w:szCs w:val="21"/>
          <w:highlight w:val="none"/>
        </w:rPr>
        <w:t>不得指定或者暗示使用某一供应商的建筑材料、建筑构件配件和设备；不得利用职权故意刁难供应商或者承包商，向利益相关人索要</w:t>
      </w:r>
      <w:r>
        <w:rPr>
          <w:rFonts w:hint="eastAsia" w:ascii="宋体" w:hAnsi="宋体" w:eastAsia="宋体" w:cs="宋体"/>
          <w:color w:val="auto"/>
          <w:sz w:val="21"/>
          <w:szCs w:val="21"/>
          <w:highlight w:val="none"/>
          <w:lang w:eastAsia="zh-CN"/>
        </w:rPr>
        <w:t>财物。如出现上述情形，发包人</w:t>
      </w:r>
      <w:r>
        <w:rPr>
          <w:rFonts w:hint="eastAsia" w:ascii="宋体" w:hAnsi="宋体" w:eastAsia="宋体" w:cs="宋体"/>
          <w:color w:val="auto"/>
          <w:sz w:val="21"/>
          <w:szCs w:val="21"/>
          <w:highlight w:val="none"/>
        </w:rPr>
        <w:t>有权向有关行政管理部门通报，</w:t>
      </w:r>
      <w:r>
        <w:rPr>
          <w:rFonts w:hint="eastAsia" w:ascii="宋体" w:hAnsi="宋体" w:eastAsia="宋体" w:cs="宋体"/>
          <w:color w:val="auto"/>
          <w:sz w:val="21"/>
          <w:szCs w:val="21"/>
          <w:highlight w:val="none"/>
          <w:lang w:eastAsia="zh-CN"/>
        </w:rPr>
        <w:t>由</w:t>
      </w:r>
      <w:r>
        <w:rPr>
          <w:rFonts w:hint="eastAsia" w:ascii="宋体" w:hAnsi="宋体" w:eastAsia="宋体" w:cs="宋体"/>
          <w:color w:val="auto"/>
          <w:sz w:val="21"/>
          <w:szCs w:val="21"/>
          <w:highlight w:val="none"/>
        </w:rPr>
        <w:t>上级主管部门</w:t>
      </w:r>
      <w:r>
        <w:rPr>
          <w:rFonts w:hint="eastAsia" w:ascii="宋体" w:hAnsi="宋体" w:eastAsia="宋体" w:cs="宋体"/>
          <w:color w:val="auto"/>
          <w:sz w:val="21"/>
          <w:szCs w:val="21"/>
          <w:highlight w:val="none"/>
          <w:lang w:eastAsia="zh-CN"/>
        </w:rPr>
        <w:t>进行处理。</w:t>
      </w:r>
    </w:p>
    <w:p w14:paraId="58E52658">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监理单位对工程质量要加强事前控制和旁站监理</w:t>
      </w:r>
      <w:r>
        <w:rPr>
          <w:rFonts w:hint="eastAsia" w:ascii="宋体" w:hAnsi="宋体" w:eastAsia="宋体" w:cs="宋体"/>
          <w:color w:val="auto"/>
          <w:sz w:val="21"/>
          <w:szCs w:val="21"/>
          <w:highlight w:val="none"/>
          <w:lang w:eastAsia="zh-CN"/>
        </w:rPr>
        <w:t>，对工程重要环节安排监理人员全程旁站监理</w:t>
      </w:r>
      <w:r>
        <w:rPr>
          <w:rFonts w:hint="eastAsia" w:ascii="宋体" w:hAnsi="宋体" w:eastAsia="宋体" w:cs="宋体"/>
          <w:color w:val="auto"/>
          <w:sz w:val="21"/>
          <w:szCs w:val="21"/>
          <w:highlight w:val="none"/>
        </w:rPr>
        <w:t>。</w:t>
      </w:r>
    </w:p>
    <w:p w14:paraId="7A37F041">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各驻段监理代表签字权固定，责任到人，必须组织各种施工、竣工资料的检查及实施工作，资料</w:t>
      </w:r>
      <w:r>
        <w:rPr>
          <w:rFonts w:hint="eastAsia" w:ascii="宋体" w:hAnsi="宋体" w:eastAsia="宋体" w:cs="宋体"/>
          <w:color w:val="auto"/>
          <w:sz w:val="21"/>
          <w:szCs w:val="21"/>
          <w:highlight w:val="none"/>
          <w:lang w:eastAsia="zh-CN"/>
        </w:rPr>
        <w:t>由</w:t>
      </w:r>
      <w:r>
        <w:rPr>
          <w:rFonts w:hint="eastAsia" w:ascii="宋体" w:hAnsi="宋体" w:eastAsia="宋体" w:cs="宋体"/>
          <w:color w:val="auto"/>
          <w:sz w:val="21"/>
          <w:szCs w:val="21"/>
          <w:highlight w:val="none"/>
        </w:rPr>
        <w:t>总监派人专职整理归档。如丢失资料或资料未达要求由监理</w:t>
      </w:r>
      <w:r>
        <w:rPr>
          <w:rFonts w:hint="eastAsia" w:ascii="宋体" w:hAnsi="宋体" w:eastAsia="宋体" w:cs="宋体"/>
          <w:color w:val="auto"/>
          <w:sz w:val="21"/>
          <w:szCs w:val="21"/>
          <w:highlight w:val="none"/>
          <w:lang w:eastAsia="zh-CN"/>
        </w:rPr>
        <w:t>单位</w:t>
      </w:r>
      <w:r>
        <w:rPr>
          <w:rFonts w:hint="eastAsia" w:ascii="宋体" w:hAnsi="宋体" w:eastAsia="宋体" w:cs="宋体"/>
          <w:color w:val="auto"/>
          <w:sz w:val="21"/>
          <w:szCs w:val="21"/>
          <w:highlight w:val="none"/>
        </w:rPr>
        <w:t>负责</w:t>
      </w:r>
      <w:r>
        <w:rPr>
          <w:rFonts w:hint="eastAsia" w:ascii="宋体" w:hAnsi="宋体" w:eastAsia="宋体" w:cs="宋体"/>
          <w:color w:val="auto"/>
          <w:sz w:val="21"/>
          <w:szCs w:val="21"/>
          <w:highlight w:val="none"/>
          <w:lang w:eastAsia="zh-CN"/>
        </w:rPr>
        <w:t>按要求</w:t>
      </w:r>
      <w:r>
        <w:rPr>
          <w:rFonts w:hint="eastAsia" w:ascii="宋体" w:hAnsi="宋体" w:eastAsia="宋体" w:cs="宋体"/>
          <w:color w:val="auto"/>
          <w:sz w:val="21"/>
          <w:szCs w:val="21"/>
          <w:highlight w:val="none"/>
        </w:rPr>
        <w:t>补充完善</w:t>
      </w:r>
      <w:r>
        <w:rPr>
          <w:rFonts w:hint="eastAsia" w:ascii="宋体" w:hAnsi="宋体" w:eastAsia="宋体" w:cs="宋体"/>
          <w:color w:val="auto"/>
          <w:sz w:val="21"/>
          <w:szCs w:val="21"/>
          <w:highlight w:val="none"/>
          <w:lang w:eastAsia="zh-CN"/>
        </w:rPr>
        <w:t>并及时提交备案</w:t>
      </w:r>
      <w:r>
        <w:rPr>
          <w:rFonts w:hint="eastAsia" w:ascii="宋体" w:hAnsi="宋体" w:eastAsia="宋体" w:cs="宋体"/>
          <w:color w:val="auto"/>
          <w:sz w:val="21"/>
          <w:szCs w:val="21"/>
          <w:highlight w:val="none"/>
        </w:rPr>
        <w:t>。</w:t>
      </w:r>
    </w:p>
    <w:p w14:paraId="706F5DCA">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（四）</w:t>
      </w:r>
      <w:r>
        <w:rPr>
          <w:rFonts w:hint="eastAsia" w:ascii="宋体" w:hAnsi="宋体" w:eastAsia="宋体" w:cs="宋体"/>
          <w:color w:val="auto"/>
          <w:sz w:val="21"/>
          <w:szCs w:val="21"/>
          <w:highlight w:val="none"/>
        </w:rPr>
        <w:t>监理设备配备</w:t>
      </w:r>
    </w:p>
    <w:p w14:paraId="11252510">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监理单位</w:t>
      </w:r>
      <w:r>
        <w:rPr>
          <w:rFonts w:hint="eastAsia" w:ascii="宋体" w:hAnsi="宋体" w:eastAsia="宋体" w:cs="宋体"/>
          <w:color w:val="auto"/>
          <w:sz w:val="21"/>
          <w:szCs w:val="21"/>
          <w:highlight w:val="none"/>
        </w:rPr>
        <w:t>应根据工程项目类别、规模、技术复杂程度、工程项目所在地的环境条件，按监理投标承诺的内容和委托监理合同的约定，配备满足监理工作需要的常规检测设备和工具。</w:t>
      </w:r>
    </w:p>
    <w:p w14:paraId="4B6DF37A">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（五）</w:t>
      </w:r>
      <w:r>
        <w:rPr>
          <w:rFonts w:hint="eastAsia" w:ascii="宋体" w:hAnsi="宋体" w:eastAsia="宋体" w:cs="宋体"/>
          <w:color w:val="auto"/>
          <w:sz w:val="21"/>
          <w:szCs w:val="21"/>
          <w:highlight w:val="none"/>
        </w:rPr>
        <w:t>安全、文明施工</w:t>
      </w:r>
    </w:p>
    <w:p w14:paraId="7A09FAB1">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监理单位</w:t>
      </w:r>
      <w:r>
        <w:rPr>
          <w:rFonts w:hint="eastAsia" w:ascii="宋体" w:hAnsi="宋体" w:eastAsia="宋体" w:cs="宋体"/>
          <w:color w:val="auto"/>
          <w:sz w:val="21"/>
          <w:szCs w:val="21"/>
          <w:highlight w:val="none"/>
          <w:lang w:eastAsia="zh-CN"/>
        </w:rPr>
        <w:t>及相关</w:t>
      </w:r>
      <w:r>
        <w:rPr>
          <w:rFonts w:hint="eastAsia" w:ascii="宋体" w:hAnsi="宋体" w:eastAsia="宋体" w:cs="宋体"/>
          <w:color w:val="auto"/>
          <w:sz w:val="21"/>
          <w:szCs w:val="21"/>
          <w:highlight w:val="none"/>
        </w:rPr>
        <w:t>监理</w:t>
      </w:r>
      <w:r>
        <w:rPr>
          <w:rFonts w:hint="eastAsia" w:ascii="宋体" w:hAnsi="宋体" w:eastAsia="宋体" w:cs="宋体"/>
          <w:color w:val="auto"/>
          <w:sz w:val="21"/>
          <w:szCs w:val="21"/>
          <w:highlight w:val="none"/>
          <w:lang w:eastAsia="zh-CN"/>
        </w:rPr>
        <w:t>人员</w:t>
      </w:r>
      <w:r>
        <w:rPr>
          <w:rFonts w:hint="eastAsia" w:ascii="宋体" w:hAnsi="宋体" w:eastAsia="宋体" w:cs="宋体"/>
          <w:color w:val="auto"/>
          <w:sz w:val="21"/>
          <w:szCs w:val="21"/>
          <w:highlight w:val="none"/>
        </w:rPr>
        <w:t>应当按照法律、法规和工程建设强制性标准实施监理，并对建设工程安全和文明生产承担监理责任。</w:t>
      </w:r>
    </w:p>
    <w:p w14:paraId="0E2BB52E">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监理单位</w:t>
      </w:r>
      <w:r>
        <w:rPr>
          <w:rFonts w:hint="eastAsia" w:ascii="宋体" w:hAnsi="宋体" w:eastAsia="宋体" w:cs="宋体"/>
          <w:color w:val="auto"/>
          <w:sz w:val="21"/>
          <w:szCs w:val="21"/>
          <w:highlight w:val="none"/>
          <w:lang w:eastAsia="zh-CN"/>
        </w:rPr>
        <w:t>及相关</w:t>
      </w:r>
      <w:r>
        <w:rPr>
          <w:rFonts w:hint="eastAsia" w:ascii="宋体" w:hAnsi="宋体" w:eastAsia="宋体" w:cs="宋体"/>
          <w:color w:val="auto"/>
          <w:sz w:val="21"/>
          <w:szCs w:val="21"/>
          <w:highlight w:val="none"/>
        </w:rPr>
        <w:t>监理</w:t>
      </w:r>
      <w:r>
        <w:rPr>
          <w:rFonts w:hint="eastAsia" w:ascii="宋体" w:hAnsi="宋体" w:eastAsia="宋体" w:cs="宋体"/>
          <w:color w:val="auto"/>
          <w:sz w:val="21"/>
          <w:szCs w:val="21"/>
          <w:highlight w:val="none"/>
          <w:lang w:eastAsia="zh-CN"/>
        </w:rPr>
        <w:t>人员</w:t>
      </w:r>
      <w:r>
        <w:rPr>
          <w:rFonts w:hint="eastAsia" w:ascii="宋体" w:hAnsi="宋体" w:eastAsia="宋体" w:cs="宋体"/>
          <w:color w:val="auto"/>
          <w:sz w:val="21"/>
          <w:szCs w:val="21"/>
          <w:highlight w:val="none"/>
        </w:rPr>
        <w:t>必须对施工组织设计的安全技术措施和施工现场临时用电方案进行审核。</w:t>
      </w:r>
    </w:p>
    <w:p w14:paraId="487B288F">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监理单位</w:t>
      </w:r>
      <w:r>
        <w:rPr>
          <w:rFonts w:hint="eastAsia" w:ascii="宋体" w:hAnsi="宋体" w:eastAsia="宋体" w:cs="宋体"/>
          <w:color w:val="auto"/>
          <w:sz w:val="21"/>
          <w:szCs w:val="21"/>
          <w:highlight w:val="none"/>
          <w:lang w:eastAsia="zh-CN"/>
        </w:rPr>
        <w:t>按照相关法律法规、规范文件对</w:t>
      </w:r>
      <w:r>
        <w:rPr>
          <w:rFonts w:hint="eastAsia" w:ascii="宋体" w:hAnsi="宋体" w:eastAsia="宋体" w:cs="宋体"/>
          <w:color w:val="auto"/>
          <w:sz w:val="21"/>
          <w:szCs w:val="21"/>
          <w:highlight w:val="none"/>
        </w:rPr>
        <w:t>施工组织设计中的安全技术措施或者专项施工方案</w:t>
      </w:r>
      <w:r>
        <w:rPr>
          <w:rFonts w:hint="eastAsia" w:ascii="宋体" w:hAnsi="宋体" w:eastAsia="宋体" w:cs="宋体"/>
          <w:color w:val="auto"/>
          <w:sz w:val="21"/>
          <w:szCs w:val="21"/>
          <w:highlight w:val="none"/>
          <w:lang w:eastAsia="zh-CN"/>
        </w:rPr>
        <w:t>进行严格审查</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对其中发现的问题及时监督有关单位进行调整完善，确保符合相关法规及建设行政</w:t>
      </w:r>
      <w:r>
        <w:rPr>
          <w:rFonts w:hint="eastAsia" w:ascii="宋体" w:hAnsi="宋体" w:eastAsia="宋体" w:cs="宋体"/>
          <w:color w:val="auto"/>
          <w:sz w:val="21"/>
          <w:szCs w:val="21"/>
          <w:highlight w:val="none"/>
        </w:rPr>
        <w:t>主管部门</w:t>
      </w:r>
      <w:r>
        <w:rPr>
          <w:rFonts w:hint="eastAsia" w:ascii="宋体" w:hAnsi="宋体" w:eastAsia="宋体" w:cs="宋体"/>
          <w:color w:val="auto"/>
          <w:sz w:val="21"/>
          <w:szCs w:val="21"/>
          <w:highlight w:val="none"/>
          <w:lang w:eastAsia="zh-CN"/>
        </w:rPr>
        <w:t>的检查要求</w:t>
      </w:r>
      <w:r>
        <w:rPr>
          <w:rFonts w:hint="eastAsia" w:ascii="宋体" w:hAnsi="宋体" w:eastAsia="宋体" w:cs="宋体"/>
          <w:color w:val="auto"/>
          <w:sz w:val="21"/>
          <w:szCs w:val="21"/>
          <w:highlight w:val="none"/>
        </w:rPr>
        <w:t>。</w:t>
      </w:r>
    </w:p>
    <w:p w14:paraId="2EDF63C3">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对下列达到一定规模的危险性较大的分部分项工程施工方案及附具的安全验算结果</w:t>
      </w:r>
      <w:r>
        <w:rPr>
          <w:rFonts w:hint="eastAsia" w:ascii="宋体" w:hAnsi="宋体" w:eastAsia="宋体" w:cs="宋体"/>
          <w:color w:val="auto"/>
          <w:sz w:val="21"/>
          <w:szCs w:val="21"/>
          <w:highlight w:val="none"/>
          <w:lang w:eastAsia="zh-CN"/>
        </w:rPr>
        <w:t>进行审核</w:t>
      </w:r>
      <w:r>
        <w:rPr>
          <w:rFonts w:hint="eastAsia" w:ascii="宋体" w:hAnsi="宋体" w:eastAsia="宋体" w:cs="宋体"/>
          <w:color w:val="auto"/>
          <w:sz w:val="21"/>
          <w:szCs w:val="21"/>
          <w:highlight w:val="none"/>
        </w:rPr>
        <w:t>：</w:t>
      </w:r>
    </w:p>
    <w:p w14:paraId="24BFB342">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基坑支护与降水工程；</w:t>
      </w:r>
    </w:p>
    <w:p w14:paraId="327589E9">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土方开挖工程；</w:t>
      </w:r>
    </w:p>
    <w:p w14:paraId="0BF415E9">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模板工程；</w:t>
      </w:r>
    </w:p>
    <w:p w14:paraId="10025C6B">
      <w:pPr>
        <w:pStyle w:val="18"/>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起重吊装工程</w:t>
      </w:r>
      <w:r>
        <w:rPr>
          <w:rFonts w:hint="eastAsia" w:ascii="宋体" w:hAnsi="宋体" w:eastAsia="宋体" w:cs="宋体"/>
          <w:color w:val="auto"/>
          <w:sz w:val="21"/>
          <w:szCs w:val="21"/>
          <w:highlight w:val="none"/>
          <w:lang w:eastAsia="zh-CN"/>
        </w:rPr>
        <w:t>；</w:t>
      </w:r>
    </w:p>
    <w:p w14:paraId="4410B7F5">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脚手架工程。</w:t>
      </w:r>
    </w:p>
    <w:p w14:paraId="0E698442">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须督促施工单位做好安全和文明施工措施，如：在施工现场入口处、施工起重机械、临时用电设施、脚手架、出入通道口、孔洞口、桥梁口、隧道口、基坑边沿、爆破物及有害危险气体和液体存放处等危险部位，</w:t>
      </w:r>
      <w:r>
        <w:rPr>
          <w:rFonts w:hint="eastAsia" w:ascii="宋体" w:hAnsi="宋体" w:eastAsia="宋体" w:cs="宋体"/>
          <w:color w:val="auto"/>
          <w:sz w:val="21"/>
          <w:szCs w:val="21"/>
          <w:highlight w:val="none"/>
          <w:lang w:eastAsia="zh-CN"/>
        </w:rPr>
        <w:t>按相关要求监督施工单位</w:t>
      </w:r>
      <w:r>
        <w:rPr>
          <w:rFonts w:hint="eastAsia" w:ascii="宋体" w:hAnsi="宋体" w:eastAsia="宋体" w:cs="宋体"/>
          <w:color w:val="auto"/>
          <w:sz w:val="21"/>
          <w:szCs w:val="21"/>
          <w:highlight w:val="none"/>
        </w:rPr>
        <w:t>设置明显的安全警示标志等。</w:t>
      </w:r>
    </w:p>
    <w:p w14:paraId="398C7D7F">
      <w:pPr>
        <w:pStyle w:val="18"/>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七、</w:t>
      </w:r>
      <w:r>
        <w:rPr>
          <w:rFonts w:hint="eastAsia" w:ascii="宋体" w:hAnsi="宋体" w:eastAsia="宋体" w:cs="宋体"/>
          <w:color w:val="auto"/>
          <w:sz w:val="21"/>
          <w:szCs w:val="21"/>
          <w:highlight w:val="none"/>
          <w:lang w:eastAsia="zh-CN"/>
        </w:rPr>
        <w:t>投入</w:t>
      </w:r>
      <w:r>
        <w:rPr>
          <w:rFonts w:hint="eastAsia" w:ascii="宋体" w:hAnsi="宋体" w:eastAsia="宋体" w:cs="宋体"/>
          <w:color w:val="auto"/>
          <w:sz w:val="21"/>
          <w:szCs w:val="21"/>
          <w:highlight w:val="none"/>
        </w:rPr>
        <w:t>人员</w:t>
      </w:r>
      <w:r>
        <w:rPr>
          <w:rFonts w:hint="eastAsia" w:ascii="宋体" w:hAnsi="宋体" w:eastAsia="宋体" w:cs="宋体"/>
          <w:color w:val="auto"/>
          <w:sz w:val="21"/>
          <w:szCs w:val="21"/>
          <w:highlight w:val="none"/>
          <w:lang w:eastAsia="zh-CN"/>
        </w:rPr>
        <w:t>要求</w:t>
      </w:r>
    </w:p>
    <w:p w14:paraId="2ACBFF7C">
      <w:pPr>
        <w:pStyle w:val="18"/>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投入人员</w:t>
      </w:r>
      <w:r>
        <w:rPr>
          <w:rFonts w:hint="eastAsia" w:ascii="宋体" w:hAnsi="宋体" w:eastAsia="宋体" w:cs="宋体"/>
          <w:color w:val="auto"/>
          <w:sz w:val="21"/>
          <w:szCs w:val="21"/>
          <w:highlight w:val="none"/>
        </w:rPr>
        <w:t>须符合以下要求：</w:t>
      </w:r>
    </w:p>
    <w:tbl>
      <w:tblPr>
        <w:tblStyle w:val="29"/>
        <w:tblW w:w="9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820"/>
        <w:gridCol w:w="780"/>
        <w:gridCol w:w="5124"/>
      </w:tblGrid>
      <w:tr w14:paraId="17F07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noWrap w:val="0"/>
            <w:vAlign w:val="center"/>
          </w:tcPr>
          <w:p w14:paraId="30E48F70">
            <w:pPr>
              <w:topLinePunct/>
              <w:spacing w:after="0"/>
              <w:jc w:val="center"/>
              <w:rPr>
                <w:rFonts w:hint="eastAsia" w:ascii="宋体" w:hAnsi="宋体" w:eastAsia="宋体" w:cs="宋体"/>
                <w:b/>
                <w:snapToGrid w:val="0"/>
                <w:color w:val="auto"/>
                <w:spacing w:val="4"/>
                <w:szCs w:val="21"/>
                <w:highlight w:val="none"/>
              </w:rPr>
            </w:pPr>
            <w:r>
              <w:rPr>
                <w:rFonts w:hint="eastAsia" w:ascii="宋体" w:hAnsi="宋体" w:eastAsia="宋体" w:cs="宋体"/>
                <w:b/>
                <w:snapToGrid w:val="0"/>
                <w:color w:val="auto"/>
                <w:spacing w:val="4"/>
                <w:szCs w:val="21"/>
                <w:highlight w:val="none"/>
              </w:rPr>
              <w:t>序号</w:t>
            </w:r>
          </w:p>
        </w:tc>
        <w:tc>
          <w:tcPr>
            <w:tcW w:w="2820" w:type="dxa"/>
            <w:noWrap w:val="0"/>
            <w:vAlign w:val="center"/>
          </w:tcPr>
          <w:p w14:paraId="70F1C07C">
            <w:pPr>
              <w:topLinePunct/>
              <w:spacing w:after="0"/>
              <w:jc w:val="center"/>
              <w:rPr>
                <w:rFonts w:hint="eastAsia" w:ascii="宋体" w:hAnsi="宋体" w:eastAsia="宋体" w:cs="宋体"/>
                <w:b/>
                <w:snapToGrid w:val="0"/>
                <w:color w:val="auto"/>
                <w:spacing w:val="4"/>
                <w:szCs w:val="21"/>
                <w:highlight w:val="none"/>
              </w:rPr>
            </w:pPr>
            <w:r>
              <w:rPr>
                <w:rFonts w:hint="eastAsia" w:ascii="宋体" w:hAnsi="宋体" w:eastAsia="宋体" w:cs="宋体"/>
                <w:b/>
                <w:snapToGrid w:val="0"/>
                <w:color w:val="auto"/>
                <w:spacing w:val="4"/>
                <w:szCs w:val="21"/>
                <w:highlight w:val="none"/>
              </w:rPr>
              <w:t>专业类别</w:t>
            </w:r>
          </w:p>
        </w:tc>
        <w:tc>
          <w:tcPr>
            <w:tcW w:w="780" w:type="dxa"/>
            <w:noWrap w:val="0"/>
            <w:vAlign w:val="center"/>
          </w:tcPr>
          <w:p w14:paraId="56353BD8">
            <w:pPr>
              <w:topLinePunct/>
              <w:spacing w:after="0"/>
              <w:jc w:val="center"/>
              <w:rPr>
                <w:rFonts w:hint="eastAsia" w:ascii="宋体" w:hAnsi="宋体" w:eastAsia="宋体" w:cs="宋体"/>
                <w:b/>
                <w:snapToGrid w:val="0"/>
                <w:color w:val="auto"/>
                <w:spacing w:val="4"/>
                <w:szCs w:val="21"/>
                <w:highlight w:val="none"/>
              </w:rPr>
            </w:pPr>
            <w:r>
              <w:rPr>
                <w:rFonts w:hint="eastAsia" w:ascii="宋体" w:hAnsi="宋体" w:eastAsia="宋体" w:cs="宋体"/>
                <w:b/>
                <w:snapToGrid w:val="0"/>
                <w:color w:val="auto"/>
                <w:spacing w:val="4"/>
                <w:szCs w:val="21"/>
                <w:highlight w:val="none"/>
              </w:rPr>
              <w:t>数量</w:t>
            </w:r>
          </w:p>
        </w:tc>
        <w:tc>
          <w:tcPr>
            <w:tcW w:w="5124" w:type="dxa"/>
            <w:noWrap w:val="0"/>
            <w:vAlign w:val="center"/>
          </w:tcPr>
          <w:p w14:paraId="751E8A09">
            <w:pPr>
              <w:topLinePunct/>
              <w:spacing w:after="0"/>
              <w:jc w:val="center"/>
              <w:rPr>
                <w:rFonts w:hint="eastAsia" w:ascii="宋体" w:hAnsi="宋体" w:eastAsia="宋体" w:cs="宋体"/>
                <w:b/>
                <w:snapToGrid w:val="0"/>
                <w:color w:val="auto"/>
                <w:spacing w:val="4"/>
                <w:szCs w:val="21"/>
                <w:highlight w:val="none"/>
              </w:rPr>
            </w:pPr>
            <w:r>
              <w:rPr>
                <w:rFonts w:hint="eastAsia" w:ascii="宋体" w:hAnsi="宋体" w:eastAsia="宋体" w:cs="宋体"/>
                <w:b/>
                <w:snapToGrid w:val="0"/>
                <w:color w:val="auto"/>
                <w:spacing w:val="4"/>
                <w:szCs w:val="21"/>
                <w:highlight w:val="none"/>
              </w:rPr>
              <w:t>基本要求</w:t>
            </w:r>
          </w:p>
        </w:tc>
      </w:tr>
      <w:tr w14:paraId="5FCB4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noWrap w:val="0"/>
            <w:vAlign w:val="center"/>
          </w:tcPr>
          <w:p w14:paraId="3A0E2D2E">
            <w:pPr>
              <w:topLinePunct/>
              <w:spacing w:after="0"/>
              <w:jc w:val="center"/>
              <w:rPr>
                <w:rFonts w:hint="eastAsia" w:ascii="宋体" w:hAnsi="宋体" w:eastAsia="宋体" w:cs="宋体"/>
                <w:snapToGrid w:val="0"/>
                <w:color w:val="auto"/>
                <w:spacing w:val="4"/>
                <w:szCs w:val="21"/>
                <w:highlight w:val="none"/>
              </w:rPr>
            </w:pPr>
            <w:r>
              <w:rPr>
                <w:rFonts w:hint="eastAsia" w:ascii="宋体" w:hAnsi="宋体" w:eastAsia="宋体" w:cs="宋体"/>
                <w:snapToGrid w:val="0"/>
                <w:color w:val="auto"/>
                <w:spacing w:val="4"/>
                <w:szCs w:val="21"/>
                <w:highlight w:val="none"/>
              </w:rPr>
              <w:t>一</w:t>
            </w:r>
          </w:p>
        </w:tc>
        <w:tc>
          <w:tcPr>
            <w:tcW w:w="2820" w:type="dxa"/>
            <w:noWrap w:val="0"/>
            <w:vAlign w:val="center"/>
          </w:tcPr>
          <w:p w14:paraId="14B21A58">
            <w:pPr>
              <w:topLinePunct/>
              <w:spacing w:after="0"/>
              <w:jc w:val="center"/>
              <w:rPr>
                <w:rFonts w:hint="eastAsia" w:ascii="宋体" w:hAnsi="宋体" w:eastAsia="宋体" w:cs="宋体"/>
                <w:snapToGrid w:val="0"/>
                <w:color w:val="auto"/>
                <w:spacing w:val="4"/>
                <w:szCs w:val="21"/>
                <w:highlight w:val="none"/>
              </w:rPr>
            </w:pPr>
            <w:r>
              <w:rPr>
                <w:rFonts w:hint="eastAsia" w:ascii="宋体" w:hAnsi="宋体" w:eastAsia="宋体" w:cs="宋体"/>
                <w:bCs/>
                <w:color w:val="auto"/>
                <w:spacing w:val="-10"/>
                <w:szCs w:val="21"/>
                <w:highlight w:val="none"/>
              </w:rPr>
              <w:t>总监</w:t>
            </w:r>
          </w:p>
        </w:tc>
        <w:tc>
          <w:tcPr>
            <w:tcW w:w="780" w:type="dxa"/>
            <w:noWrap w:val="0"/>
            <w:vAlign w:val="center"/>
          </w:tcPr>
          <w:p w14:paraId="2FB25914">
            <w:pPr>
              <w:topLinePunct/>
              <w:spacing w:after="0"/>
              <w:jc w:val="center"/>
              <w:rPr>
                <w:rFonts w:hint="eastAsia" w:ascii="宋体" w:hAnsi="宋体" w:eastAsia="宋体" w:cs="宋体"/>
                <w:snapToGrid w:val="0"/>
                <w:color w:val="auto"/>
                <w:spacing w:val="4"/>
                <w:szCs w:val="21"/>
                <w:highlight w:val="none"/>
              </w:rPr>
            </w:pPr>
          </w:p>
        </w:tc>
        <w:tc>
          <w:tcPr>
            <w:tcW w:w="5124" w:type="dxa"/>
            <w:noWrap w:val="0"/>
            <w:vAlign w:val="center"/>
          </w:tcPr>
          <w:p w14:paraId="58226F56">
            <w:pPr>
              <w:topLinePunct/>
              <w:spacing w:after="0"/>
              <w:jc w:val="center"/>
              <w:rPr>
                <w:rFonts w:hint="eastAsia" w:ascii="宋体" w:hAnsi="宋体" w:eastAsia="宋体" w:cs="宋体"/>
                <w:snapToGrid w:val="0"/>
                <w:color w:val="auto"/>
                <w:spacing w:val="4"/>
                <w:szCs w:val="21"/>
                <w:highlight w:val="none"/>
              </w:rPr>
            </w:pPr>
          </w:p>
        </w:tc>
      </w:tr>
      <w:tr w14:paraId="0AAE6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noWrap w:val="0"/>
            <w:vAlign w:val="center"/>
          </w:tcPr>
          <w:p w14:paraId="62890D7A">
            <w:pPr>
              <w:topLinePunct/>
              <w:spacing w:after="0"/>
              <w:jc w:val="center"/>
              <w:rPr>
                <w:rFonts w:hint="eastAsia" w:ascii="宋体" w:hAnsi="宋体" w:eastAsia="宋体" w:cs="宋体"/>
                <w:snapToGrid w:val="0"/>
                <w:color w:val="auto"/>
                <w:spacing w:val="4"/>
                <w:szCs w:val="21"/>
                <w:highlight w:val="none"/>
              </w:rPr>
            </w:pPr>
            <w:r>
              <w:rPr>
                <w:rFonts w:hint="eastAsia" w:ascii="宋体" w:hAnsi="宋体" w:eastAsia="宋体" w:cs="宋体"/>
                <w:snapToGrid w:val="0"/>
                <w:color w:val="auto"/>
                <w:spacing w:val="4"/>
                <w:szCs w:val="21"/>
                <w:highlight w:val="none"/>
              </w:rPr>
              <w:t>1.1</w:t>
            </w:r>
          </w:p>
        </w:tc>
        <w:tc>
          <w:tcPr>
            <w:tcW w:w="2820" w:type="dxa"/>
            <w:noWrap w:val="0"/>
            <w:vAlign w:val="center"/>
          </w:tcPr>
          <w:p w14:paraId="4FE0DF92">
            <w:pPr>
              <w:topLinePunct/>
              <w:spacing w:after="0"/>
              <w:jc w:val="center"/>
              <w:rPr>
                <w:rFonts w:hint="eastAsia" w:ascii="宋体" w:hAnsi="宋体" w:eastAsia="宋体" w:cs="宋体"/>
                <w:snapToGrid w:val="0"/>
                <w:color w:val="auto"/>
                <w:spacing w:val="4"/>
                <w:szCs w:val="21"/>
                <w:highlight w:val="none"/>
              </w:rPr>
            </w:pPr>
            <w:r>
              <w:rPr>
                <w:rFonts w:hint="eastAsia" w:ascii="宋体" w:hAnsi="宋体" w:eastAsia="宋体" w:cs="宋体"/>
                <w:snapToGrid w:val="0"/>
                <w:color w:val="auto"/>
                <w:spacing w:val="4"/>
                <w:szCs w:val="21"/>
                <w:highlight w:val="none"/>
              </w:rPr>
              <w:t>总监理工程师</w:t>
            </w:r>
          </w:p>
        </w:tc>
        <w:tc>
          <w:tcPr>
            <w:tcW w:w="780" w:type="dxa"/>
            <w:noWrap w:val="0"/>
            <w:vAlign w:val="center"/>
          </w:tcPr>
          <w:p w14:paraId="23B57B0D">
            <w:pPr>
              <w:topLinePunct/>
              <w:spacing w:after="0"/>
              <w:jc w:val="center"/>
              <w:rPr>
                <w:rFonts w:hint="eastAsia" w:ascii="宋体" w:hAnsi="宋体" w:eastAsia="宋体" w:cs="宋体"/>
                <w:snapToGrid w:val="0"/>
                <w:color w:val="auto"/>
                <w:spacing w:val="4"/>
                <w:szCs w:val="21"/>
                <w:highlight w:val="none"/>
              </w:rPr>
            </w:pPr>
            <w:r>
              <w:rPr>
                <w:rFonts w:hint="eastAsia" w:ascii="宋体" w:hAnsi="宋体" w:eastAsia="宋体" w:cs="宋体"/>
                <w:snapToGrid w:val="0"/>
                <w:color w:val="auto"/>
                <w:spacing w:val="4"/>
                <w:szCs w:val="21"/>
                <w:highlight w:val="none"/>
              </w:rPr>
              <w:t>1</w:t>
            </w:r>
          </w:p>
        </w:tc>
        <w:tc>
          <w:tcPr>
            <w:tcW w:w="5124" w:type="dxa"/>
            <w:noWrap w:val="0"/>
            <w:vAlign w:val="center"/>
          </w:tcPr>
          <w:p w14:paraId="3F2E4B07">
            <w:pPr>
              <w:topLinePunct/>
              <w:spacing w:after="0"/>
              <w:rPr>
                <w:rFonts w:hint="eastAsia" w:ascii="宋体" w:hAnsi="宋体" w:eastAsia="宋体" w:cs="宋体"/>
                <w:snapToGrid w:val="0"/>
                <w:color w:val="auto"/>
                <w:spacing w:val="4"/>
                <w:szCs w:val="21"/>
                <w:highlight w:val="none"/>
              </w:rPr>
            </w:pPr>
            <w:r>
              <w:rPr>
                <w:rFonts w:hint="eastAsia" w:ascii="宋体" w:hAnsi="宋体" w:eastAsia="宋体" w:cs="宋体"/>
                <w:snapToGrid w:val="0"/>
                <w:color w:val="auto"/>
                <w:spacing w:val="4"/>
                <w:szCs w:val="21"/>
                <w:highlight w:val="none"/>
              </w:rPr>
              <w:t>总监理工程师具有建设部2006年4月1日后颁发的中华人民共和国注册监理工程师注册执业证书，</w:t>
            </w:r>
            <w:r>
              <w:rPr>
                <w:rFonts w:hint="eastAsia" w:ascii="宋体" w:hAnsi="宋体" w:eastAsia="宋体" w:cs="宋体"/>
                <w:b w:val="0"/>
                <w:bCs w:val="0"/>
                <w:snapToGrid w:val="0"/>
                <w:color w:val="auto"/>
                <w:spacing w:val="4"/>
                <w:szCs w:val="21"/>
                <w:highlight w:val="none"/>
              </w:rPr>
              <w:t>且其注册证书专业为</w:t>
            </w:r>
            <w:r>
              <w:rPr>
                <w:rFonts w:hint="eastAsia" w:ascii="宋体" w:hAnsi="宋体" w:eastAsia="宋体" w:cs="宋体"/>
                <w:b w:val="0"/>
                <w:bCs w:val="0"/>
                <w:snapToGrid w:val="0"/>
                <w:color w:val="auto"/>
                <w:spacing w:val="4"/>
                <w:szCs w:val="21"/>
                <w:highlight w:val="none"/>
                <w:lang w:eastAsia="zh-CN"/>
              </w:rPr>
              <w:t>市政公用</w:t>
            </w:r>
            <w:r>
              <w:rPr>
                <w:rFonts w:hint="eastAsia" w:ascii="宋体" w:hAnsi="宋体" w:eastAsia="宋体" w:cs="宋体"/>
                <w:b w:val="0"/>
                <w:bCs w:val="0"/>
                <w:snapToGrid w:val="0"/>
                <w:color w:val="auto"/>
                <w:spacing w:val="4"/>
                <w:szCs w:val="21"/>
                <w:highlight w:val="none"/>
              </w:rPr>
              <w:t>工</w:t>
            </w:r>
            <w:r>
              <w:rPr>
                <w:rFonts w:hint="eastAsia" w:ascii="宋体" w:hAnsi="宋体" w:eastAsia="宋体" w:cs="宋体"/>
                <w:snapToGrid w:val="0"/>
                <w:color w:val="auto"/>
                <w:spacing w:val="4"/>
                <w:szCs w:val="21"/>
                <w:highlight w:val="none"/>
              </w:rPr>
              <w:t>程，注册执业单位为本公司</w:t>
            </w:r>
            <w:r>
              <w:rPr>
                <w:rFonts w:hint="eastAsia" w:ascii="宋体" w:hAnsi="宋体" w:eastAsia="宋体" w:cs="宋体"/>
                <w:snapToGrid w:val="0"/>
                <w:color w:val="auto"/>
                <w:spacing w:val="4"/>
                <w:szCs w:val="21"/>
                <w:highlight w:val="none"/>
                <w:lang w:eastAsia="zh-CN"/>
              </w:rPr>
              <w:t>；具有工程相关专业高级或以上职称；同时具有隧道工程相关工作经验</w:t>
            </w:r>
            <w:r>
              <w:rPr>
                <w:rFonts w:hint="eastAsia" w:ascii="宋体" w:hAnsi="宋体" w:eastAsia="宋体" w:cs="宋体"/>
                <w:snapToGrid w:val="0"/>
                <w:color w:val="auto"/>
                <w:spacing w:val="4"/>
                <w:szCs w:val="21"/>
                <w:highlight w:val="none"/>
              </w:rPr>
              <w:t>。</w:t>
            </w:r>
          </w:p>
        </w:tc>
      </w:tr>
      <w:tr w14:paraId="2C836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noWrap w:val="0"/>
            <w:vAlign w:val="center"/>
          </w:tcPr>
          <w:p w14:paraId="56BF6E3C">
            <w:pPr>
              <w:topLinePunct/>
              <w:spacing w:after="0"/>
              <w:jc w:val="center"/>
              <w:rPr>
                <w:rFonts w:hint="eastAsia" w:ascii="宋体" w:hAnsi="宋体" w:eastAsia="宋体" w:cs="宋体"/>
                <w:snapToGrid w:val="0"/>
                <w:color w:val="auto"/>
                <w:spacing w:val="4"/>
                <w:szCs w:val="21"/>
                <w:highlight w:val="none"/>
              </w:rPr>
            </w:pPr>
            <w:r>
              <w:rPr>
                <w:rFonts w:hint="eastAsia" w:ascii="宋体" w:hAnsi="宋体" w:eastAsia="宋体" w:cs="宋体"/>
                <w:snapToGrid w:val="0"/>
                <w:color w:val="auto"/>
                <w:spacing w:val="4"/>
                <w:szCs w:val="21"/>
                <w:highlight w:val="none"/>
              </w:rPr>
              <w:t>二</w:t>
            </w:r>
          </w:p>
        </w:tc>
        <w:tc>
          <w:tcPr>
            <w:tcW w:w="2820" w:type="dxa"/>
            <w:noWrap w:val="0"/>
            <w:vAlign w:val="center"/>
          </w:tcPr>
          <w:p w14:paraId="41A33515">
            <w:pPr>
              <w:topLinePunct/>
              <w:spacing w:after="0"/>
              <w:jc w:val="center"/>
              <w:rPr>
                <w:rFonts w:hint="eastAsia" w:ascii="宋体" w:hAnsi="宋体" w:eastAsia="宋体" w:cs="宋体"/>
                <w:snapToGrid w:val="0"/>
                <w:color w:val="auto"/>
                <w:spacing w:val="4"/>
                <w:szCs w:val="21"/>
                <w:highlight w:val="none"/>
              </w:rPr>
            </w:pPr>
            <w:r>
              <w:rPr>
                <w:rFonts w:hint="eastAsia" w:ascii="宋体" w:hAnsi="宋体" w:eastAsia="宋体" w:cs="宋体"/>
                <w:snapToGrid w:val="0"/>
                <w:color w:val="auto"/>
                <w:spacing w:val="4"/>
                <w:szCs w:val="21"/>
                <w:highlight w:val="none"/>
              </w:rPr>
              <w:t>专业</w:t>
            </w:r>
            <w:r>
              <w:rPr>
                <w:rFonts w:hint="eastAsia" w:ascii="宋体" w:hAnsi="宋体" w:eastAsia="宋体" w:cs="宋体"/>
                <w:snapToGrid w:val="0"/>
                <w:color w:val="auto"/>
                <w:spacing w:val="4"/>
                <w:szCs w:val="21"/>
                <w:highlight w:val="none"/>
                <w:lang w:val="en-US" w:eastAsia="zh-CN"/>
              </w:rPr>
              <w:t>监理</w:t>
            </w:r>
            <w:r>
              <w:rPr>
                <w:rFonts w:hint="eastAsia" w:ascii="宋体" w:hAnsi="宋体" w:eastAsia="宋体" w:cs="宋体"/>
                <w:snapToGrid w:val="0"/>
                <w:color w:val="auto"/>
                <w:spacing w:val="4"/>
                <w:szCs w:val="21"/>
                <w:highlight w:val="none"/>
              </w:rPr>
              <w:t>人员</w:t>
            </w:r>
          </w:p>
        </w:tc>
        <w:tc>
          <w:tcPr>
            <w:tcW w:w="780" w:type="dxa"/>
            <w:noWrap w:val="0"/>
            <w:vAlign w:val="center"/>
          </w:tcPr>
          <w:p w14:paraId="26D1C48F">
            <w:pPr>
              <w:topLinePunct/>
              <w:spacing w:after="0"/>
              <w:jc w:val="center"/>
              <w:rPr>
                <w:rFonts w:hint="eastAsia" w:ascii="宋体" w:hAnsi="宋体" w:eastAsia="宋体" w:cs="宋体"/>
                <w:snapToGrid w:val="0"/>
                <w:color w:val="auto"/>
                <w:spacing w:val="4"/>
                <w:szCs w:val="21"/>
                <w:highlight w:val="none"/>
              </w:rPr>
            </w:pPr>
          </w:p>
        </w:tc>
        <w:tc>
          <w:tcPr>
            <w:tcW w:w="5124" w:type="dxa"/>
            <w:noWrap w:val="0"/>
            <w:vAlign w:val="center"/>
          </w:tcPr>
          <w:p w14:paraId="4F06B9F8">
            <w:pPr>
              <w:topLinePunct/>
              <w:spacing w:after="0"/>
              <w:rPr>
                <w:rFonts w:hint="eastAsia" w:ascii="宋体" w:hAnsi="宋体" w:eastAsia="宋体" w:cs="宋体"/>
                <w:snapToGrid w:val="0"/>
                <w:color w:val="auto"/>
                <w:spacing w:val="4"/>
                <w:szCs w:val="21"/>
                <w:highlight w:val="none"/>
              </w:rPr>
            </w:pPr>
          </w:p>
        </w:tc>
      </w:tr>
      <w:tr w14:paraId="342E5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noWrap w:val="0"/>
            <w:vAlign w:val="center"/>
          </w:tcPr>
          <w:p w14:paraId="50D9C5A9">
            <w:pPr>
              <w:topLinePunct/>
              <w:spacing w:after="0"/>
              <w:jc w:val="center"/>
              <w:rPr>
                <w:rFonts w:hint="eastAsia" w:ascii="宋体" w:hAnsi="宋体" w:eastAsia="宋体" w:cs="宋体"/>
                <w:snapToGrid w:val="0"/>
                <w:color w:val="auto"/>
                <w:spacing w:val="4"/>
                <w:szCs w:val="21"/>
                <w:highlight w:val="none"/>
              </w:rPr>
            </w:pPr>
            <w:r>
              <w:rPr>
                <w:rFonts w:hint="eastAsia" w:ascii="宋体" w:hAnsi="宋体" w:eastAsia="宋体" w:cs="宋体"/>
                <w:snapToGrid w:val="0"/>
                <w:color w:val="auto"/>
                <w:spacing w:val="4"/>
                <w:szCs w:val="21"/>
                <w:highlight w:val="none"/>
              </w:rPr>
              <w:t>2.1</w:t>
            </w:r>
          </w:p>
        </w:tc>
        <w:tc>
          <w:tcPr>
            <w:tcW w:w="2820" w:type="dxa"/>
            <w:noWrap w:val="0"/>
            <w:vAlign w:val="center"/>
          </w:tcPr>
          <w:p w14:paraId="485FECFF">
            <w:pPr>
              <w:topLinePunct/>
              <w:spacing w:after="0"/>
              <w:jc w:val="center"/>
              <w:rPr>
                <w:rFonts w:hint="eastAsia" w:ascii="宋体" w:hAnsi="宋体" w:eastAsia="宋体" w:cs="宋体"/>
                <w:snapToGrid w:val="0"/>
                <w:color w:val="auto"/>
                <w:spacing w:val="4"/>
                <w:kern w:val="2"/>
                <w:sz w:val="21"/>
                <w:szCs w:val="21"/>
                <w:highlight w:val="none"/>
                <w:lang w:val="en-US" w:eastAsia="zh-CN" w:bidi="ar-SA"/>
              </w:rPr>
            </w:pPr>
            <w:r>
              <w:rPr>
                <w:rFonts w:hint="eastAsia" w:ascii="宋体" w:hAnsi="宋体" w:eastAsia="宋体" w:cs="宋体"/>
                <w:snapToGrid w:val="0"/>
                <w:color w:val="auto"/>
                <w:spacing w:val="4"/>
                <w:szCs w:val="21"/>
                <w:highlight w:val="none"/>
                <w:lang w:val="en-US" w:eastAsia="zh-CN"/>
              </w:rPr>
              <w:t>隧道</w:t>
            </w:r>
            <w:r>
              <w:rPr>
                <w:rFonts w:hint="eastAsia" w:ascii="宋体" w:hAnsi="宋体" w:eastAsia="宋体" w:cs="宋体"/>
                <w:snapToGrid w:val="0"/>
                <w:color w:val="auto"/>
                <w:spacing w:val="4"/>
                <w:szCs w:val="21"/>
                <w:highlight w:val="none"/>
              </w:rPr>
              <w:t>专业监理工程师</w:t>
            </w:r>
          </w:p>
        </w:tc>
        <w:tc>
          <w:tcPr>
            <w:tcW w:w="780" w:type="dxa"/>
            <w:noWrap w:val="0"/>
            <w:vAlign w:val="center"/>
          </w:tcPr>
          <w:p w14:paraId="42D19303">
            <w:pPr>
              <w:topLinePunct/>
              <w:spacing w:after="0"/>
              <w:jc w:val="center"/>
              <w:rPr>
                <w:rFonts w:hint="eastAsia" w:ascii="宋体" w:hAnsi="宋体" w:eastAsia="宋体" w:cs="宋体"/>
                <w:snapToGrid w:val="0"/>
                <w:color w:val="auto"/>
                <w:spacing w:val="4"/>
                <w:kern w:val="2"/>
                <w:sz w:val="21"/>
                <w:szCs w:val="21"/>
                <w:highlight w:val="none"/>
                <w:lang w:val="en-US" w:eastAsia="zh-CN" w:bidi="ar-SA"/>
              </w:rPr>
            </w:pPr>
            <w:r>
              <w:rPr>
                <w:rFonts w:hint="eastAsia" w:ascii="宋体" w:hAnsi="宋体" w:eastAsia="宋体" w:cs="宋体"/>
                <w:snapToGrid w:val="0"/>
                <w:color w:val="auto"/>
                <w:spacing w:val="4"/>
                <w:szCs w:val="21"/>
                <w:highlight w:val="none"/>
                <w:lang w:val="en-US" w:eastAsia="zh-CN"/>
              </w:rPr>
              <w:t>1</w:t>
            </w:r>
          </w:p>
        </w:tc>
        <w:tc>
          <w:tcPr>
            <w:tcW w:w="5124" w:type="dxa"/>
            <w:noWrap w:val="0"/>
            <w:vAlign w:val="center"/>
          </w:tcPr>
          <w:p w14:paraId="4C668F84">
            <w:pPr>
              <w:topLinePunct/>
              <w:spacing w:after="0"/>
              <w:jc w:val="left"/>
              <w:rPr>
                <w:rFonts w:hint="eastAsia" w:ascii="宋体" w:hAnsi="宋体" w:eastAsia="宋体" w:cs="宋体"/>
                <w:snapToGrid w:val="0"/>
                <w:color w:val="auto"/>
                <w:spacing w:val="4"/>
                <w:kern w:val="2"/>
                <w:sz w:val="21"/>
                <w:szCs w:val="21"/>
                <w:highlight w:val="none"/>
                <w:lang w:val="en-US" w:eastAsia="zh-CN" w:bidi="ar-SA"/>
              </w:rPr>
            </w:pPr>
            <w:r>
              <w:rPr>
                <w:rFonts w:hint="eastAsia" w:ascii="宋体" w:hAnsi="宋体" w:eastAsia="宋体" w:cs="宋体"/>
                <w:snapToGrid w:val="0"/>
                <w:color w:val="auto"/>
                <w:spacing w:val="4"/>
                <w:szCs w:val="21"/>
                <w:highlight w:val="none"/>
              </w:rPr>
              <w:t>具有建设部2006年4月1日后颁发的中华人民共和国注册监理工程师注册执业证书，且其注册证书专业为市政公用工程，注册执业单位为本公司</w:t>
            </w:r>
            <w:r>
              <w:rPr>
                <w:rFonts w:hint="eastAsia" w:ascii="宋体" w:hAnsi="宋体" w:eastAsia="宋体" w:cs="宋体"/>
                <w:snapToGrid w:val="0"/>
                <w:color w:val="auto"/>
                <w:spacing w:val="4"/>
                <w:szCs w:val="21"/>
                <w:highlight w:val="none"/>
                <w:lang w:eastAsia="zh-CN"/>
              </w:rPr>
              <w:t>；</w:t>
            </w:r>
            <w:r>
              <w:rPr>
                <w:rFonts w:hint="eastAsia" w:ascii="宋体" w:hAnsi="宋体" w:eastAsia="宋体" w:cs="宋体"/>
                <w:snapToGrid w:val="0"/>
                <w:color w:val="auto"/>
                <w:spacing w:val="4"/>
                <w:szCs w:val="21"/>
                <w:highlight w:val="none"/>
              </w:rPr>
              <w:t>具备工程相关专业中级或以上技术职称</w:t>
            </w:r>
            <w:r>
              <w:rPr>
                <w:rFonts w:hint="eastAsia" w:ascii="宋体" w:hAnsi="宋体" w:eastAsia="宋体" w:cs="宋体"/>
                <w:snapToGrid w:val="0"/>
                <w:color w:val="auto"/>
                <w:spacing w:val="4"/>
                <w:szCs w:val="21"/>
                <w:highlight w:val="none"/>
                <w:lang w:eastAsia="zh-CN"/>
              </w:rPr>
              <w:t>；同时具有隧道工程相关工作经验</w:t>
            </w:r>
            <w:r>
              <w:rPr>
                <w:rFonts w:hint="eastAsia" w:ascii="宋体" w:hAnsi="宋体" w:eastAsia="宋体" w:cs="宋体"/>
                <w:snapToGrid w:val="0"/>
                <w:color w:val="auto"/>
                <w:spacing w:val="4"/>
                <w:szCs w:val="21"/>
                <w:highlight w:val="none"/>
              </w:rPr>
              <w:t>。</w:t>
            </w:r>
          </w:p>
        </w:tc>
      </w:tr>
      <w:tr w14:paraId="051D8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noWrap w:val="0"/>
            <w:vAlign w:val="center"/>
          </w:tcPr>
          <w:p w14:paraId="6802336A">
            <w:pPr>
              <w:topLinePunct/>
              <w:spacing w:after="0"/>
              <w:jc w:val="center"/>
              <w:rPr>
                <w:rFonts w:hint="eastAsia" w:ascii="宋体" w:hAnsi="宋体" w:eastAsia="宋体" w:cs="宋体"/>
                <w:snapToGrid w:val="0"/>
                <w:color w:val="auto"/>
                <w:spacing w:val="4"/>
                <w:szCs w:val="21"/>
                <w:highlight w:val="none"/>
                <w:lang w:eastAsia="zh-CN"/>
              </w:rPr>
            </w:pPr>
            <w:r>
              <w:rPr>
                <w:rFonts w:hint="eastAsia" w:ascii="宋体" w:hAnsi="宋体" w:eastAsia="宋体" w:cs="宋体"/>
                <w:snapToGrid w:val="0"/>
                <w:color w:val="auto"/>
                <w:spacing w:val="4"/>
                <w:szCs w:val="21"/>
                <w:highlight w:val="none"/>
              </w:rPr>
              <w:t>2.</w:t>
            </w:r>
            <w:r>
              <w:rPr>
                <w:rFonts w:hint="eastAsia" w:ascii="宋体" w:hAnsi="宋体" w:eastAsia="宋体" w:cs="宋体"/>
                <w:snapToGrid w:val="0"/>
                <w:color w:val="auto"/>
                <w:spacing w:val="4"/>
                <w:szCs w:val="21"/>
                <w:highlight w:val="none"/>
                <w:lang w:val="en-US" w:eastAsia="zh-CN"/>
              </w:rPr>
              <w:t>2</w:t>
            </w:r>
          </w:p>
        </w:tc>
        <w:tc>
          <w:tcPr>
            <w:tcW w:w="2820" w:type="dxa"/>
            <w:noWrap w:val="0"/>
            <w:vAlign w:val="center"/>
          </w:tcPr>
          <w:p w14:paraId="63ADBB35">
            <w:pPr>
              <w:topLinePunct/>
              <w:spacing w:after="0"/>
              <w:jc w:val="center"/>
              <w:rPr>
                <w:rFonts w:hint="eastAsia" w:ascii="宋体" w:hAnsi="宋体" w:eastAsia="宋体" w:cs="宋体"/>
                <w:snapToGrid w:val="0"/>
                <w:color w:val="auto"/>
                <w:spacing w:val="4"/>
                <w:szCs w:val="21"/>
                <w:highlight w:val="none"/>
                <w:lang w:val="en-US" w:eastAsia="zh-CN"/>
              </w:rPr>
            </w:pPr>
            <w:r>
              <w:rPr>
                <w:rFonts w:hint="eastAsia" w:ascii="宋体" w:hAnsi="宋体" w:eastAsia="宋体" w:cs="宋体"/>
                <w:snapToGrid w:val="0"/>
                <w:color w:val="auto"/>
                <w:spacing w:val="4"/>
                <w:szCs w:val="21"/>
                <w:highlight w:val="none"/>
              </w:rPr>
              <w:t>造价</w:t>
            </w:r>
            <w:r>
              <w:rPr>
                <w:rFonts w:hint="eastAsia" w:ascii="宋体" w:hAnsi="宋体" w:eastAsia="宋体" w:cs="宋体"/>
                <w:snapToGrid w:val="0"/>
                <w:color w:val="auto"/>
                <w:spacing w:val="4"/>
                <w:szCs w:val="21"/>
                <w:highlight w:val="none"/>
                <w:lang w:val="en-US" w:eastAsia="zh-CN"/>
              </w:rPr>
              <w:t>负责人</w:t>
            </w:r>
          </w:p>
        </w:tc>
        <w:tc>
          <w:tcPr>
            <w:tcW w:w="780" w:type="dxa"/>
            <w:noWrap w:val="0"/>
            <w:vAlign w:val="center"/>
          </w:tcPr>
          <w:p w14:paraId="390E224D">
            <w:pPr>
              <w:topLinePunct/>
              <w:spacing w:after="0"/>
              <w:jc w:val="center"/>
              <w:rPr>
                <w:rFonts w:hint="eastAsia" w:ascii="宋体" w:hAnsi="宋体" w:eastAsia="宋体" w:cs="宋体"/>
                <w:snapToGrid w:val="0"/>
                <w:color w:val="auto"/>
                <w:spacing w:val="4"/>
                <w:szCs w:val="21"/>
                <w:highlight w:val="none"/>
                <w:lang w:val="en-US" w:eastAsia="zh-CN"/>
              </w:rPr>
            </w:pPr>
            <w:r>
              <w:rPr>
                <w:rFonts w:hint="eastAsia" w:ascii="宋体" w:hAnsi="宋体" w:eastAsia="宋体" w:cs="宋体"/>
                <w:snapToGrid w:val="0"/>
                <w:color w:val="auto"/>
                <w:spacing w:val="4"/>
                <w:szCs w:val="21"/>
                <w:highlight w:val="none"/>
              </w:rPr>
              <w:t>1</w:t>
            </w:r>
          </w:p>
        </w:tc>
        <w:tc>
          <w:tcPr>
            <w:tcW w:w="5124" w:type="dxa"/>
            <w:noWrap w:val="0"/>
            <w:vAlign w:val="center"/>
          </w:tcPr>
          <w:p w14:paraId="014479EB">
            <w:pPr>
              <w:topLinePunct/>
              <w:spacing w:after="0"/>
              <w:jc w:val="left"/>
              <w:rPr>
                <w:rFonts w:hint="eastAsia" w:ascii="宋体" w:hAnsi="宋体" w:eastAsia="宋体" w:cs="宋体"/>
                <w:snapToGrid w:val="0"/>
                <w:color w:val="auto"/>
                <w:spacing w:val="4"/>
                <w:szCs w:val="21"/>
                <w:highlight w:val="none"/>
                <w:lang w:val="en-US" w:eastAsia="zh-CN"/>
              </w:rPr>
            </w:pPr>
            <w:r>
              <w:rPr>
                <w:rFonts w:hint="eastAsia" w:ascii="宋体" w:hAnsi="宋体" w:eastAsia="宋体" w:cs="宋体"/>
                <w:snapToGrid w:val="0"/>
                <w:color w:val="auto"/>
                <w:spacing w:val="4"/>
                <w:szCs w:val="21"/>
                <w:highlight w:val="none"/>
              </w:rPr>
              <w:t>具有</w:t>
            </w:r>
            <w:r>
              <w:rPr>
                <w:rFonts w:hint="eastAsia" w:ascii="宋体" w:hAnsi="宋体" w:eastAsia="宋体" w:cs="宋体"/>
                <w:snapToGrid w:val="0"/>
                <w:color w:val="auto"/>
                <w:spacing w:val="4"/>
                <w:szCs w:val="21"/>
                <w:highlight w:val="none"/>
                <w:lang w:val="en-US" w:eastAsia="zh-CN"/>
              </w:rPr>
              <w:t>一级注册造价工程师</w:t>
            </w:r>
            <w:r>
              <w:rPr>
                <w:rFonts w:hint="eastAsia" w:ascii="宋体" w:hAnsi="宋体" w:eastAsia="宋体" w:cs="宋体"/>
                <w:snapToGrid w:val="0"/>
                <w:color w:val="auto"/>
                <w:spacing w:val="4"/>
                <w:szCs w:val="21"/>
                <w:highlight w:val="none"/>
              </w:rPr>
              <w:t>资格</w:t>
            </w:r>
            <w:r>
              <w:rPr>
                <w:rFonts w:hint="eastAsia" w:ascii="宋体" w:hAnsi="宋体" w:eastAsia="宋体" w:cs="宋体"/>
                <w:snapToGrid w:val="0"/>
                <w:color w:val="auto"/>
                <w:spacing w:val="4"/>
                <w:szCs w:val="21"/>
                <w:highlight w:val="none"/>
                <w:lang w:eastAsia="zh-CN"/>
              </w:rPr>
              <w:t>，</w:t>
            </w:r>
            <w:r>
              <w:rPr>
                <w:rFonts w:hint="eastAsia" w:ascii="宋体" w:hAnsi="宋体" w:eastAsia="宋体" w:cs="宋体"/>
                <w:snapToGrid w:val="0"/>
                <w:color w:val="auto"/>
                <w:spacing w:val="4"/>
                <w:szCs w:val="21"/>
                <w:highlight w:val="none"/>
              </w:rPr>
              <w:t>注册执业单位为本公司。</w:t>
            </w:r>
          </w:p>
        </w:tc>
      </w:tr>
      <w:tr w14:paraId="6BD2D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57" w:type="dxa"/>
            <w:noWrap w:val="0"/>
            <w:vAlign w:val="center"/>
          </w:tcPr>
          <w:p w14:paraId="7DB63BC9">
            <w:pPr>
              <w:topLinePunct/>
              <w:spacing w:after="0"/>
              <w:jc w:val="center"/>
              <w:rPr>
                <w:rFonts w:hint="eastAsia" w:ascii="宋体" w:hAnsi="宋体" w:eastAsia="宋体" w:cs="宋体"/>
                <w:snapToGrid w:val="0"/>
                <w:color w:val="auto"/>
                <w:spacing w:val="4"/>
                <w:szCs w:val="21"/>
                <w:highlight w:val="none"/>
                <w:lang w:val="en-US" w:eastAsia="zh-CN"/>
              </w:rPr>
            </w:pPr>
            <w:r>
              <w:rPr>
                <w:rFonts w:hint="eastAsia" w:ascii="宋体" w:hAnsi="宋体" w:eastAsia="宋体" w:cs="宋体"/>
                <w:snapToGrid w:val="0"/>
                <w:color w:val="auto"/>
                <w:spacing w:val="4"/>
                <w:szCs w:val="21"/>
                <w:highlight w:val="none"/>
                <w:lang w:val="en-US" w:eastAsia="zh-CN"/>
              </w:rPr>
              <w:t>2.3</w:t>
            </w:r>
          </w:p>
        </w:tc>
        <w:tc>
          <w:tcPr>
            <w:tcW w:w="2820" w:type="dxa"/>
            <w:noWrap w:val="0"/>
            <w:vAlign w:val="center"/>
          </w:tcPr>
          <w:p w14:paraId="3328B7C1">
            <w:pPr>
              <w:topLinePunct/>
              <w:spacing w:after="0"/>
              <w:jc w:val="center"/>
              <w:rPr>
                <w:rFonts w:hint="eastAsia" w:ascii="宋体" w:hAnsi="宋体" w:eastAsia="宋体" w:cs="宋体"/>
                <w:snapToGrid w:val="0"/>
                <w:color w:val="auto"/>
                <w:spacing w:val="4"/>
                <w:szCs w:val="21"/>
                <w:highlight w:val="none"/>
              </w:rPr>
            </w:pPr>
            <w:r>
              <w:rPr>
                <w:rFonts w:hint="eastAsia" w:ascii="宋体" w:hAnsi="宋体" w:eastAsia="宋体" w:cs="宋体"/>
                <w:snapToGrid w:val="0"/>
                <w:color w:val="auto"/>
                <w:spacing w:val="4"/>
                <w:szCs w:val="21"/>
                <w:highlight w:val="none"/>
                <w:lang w:val="en-US" w:eastAsia="zh-CN"/>
              </w:rPr>
              <w:t>机电安装专业监理工程师</w:t>
            </w:r>
          </w:p>
        </w:tc>
        <w:tc>
          <w:tcPr>
            <w:tcW w:w="780" w:type="dxa"/>
            <w:noWrap w:val="0"/>
            <w:vAlign w:val="center"/>
          </w:tcPr>
          <w:p w14:paraId="153C21F8">
            <w:pPr>
              <w:topLinePunct/>
              <w:spacing w:after="0"/>
              <w:jc w:val="center"/>
              <w:rPr>
                <w:rFonts w:hint="eastAsia" w:ascii="宋体" w:hAnsi="宋体" w:eastAsia="宋体" w:cs="宋体"/>
                <w:snapToGrid w:val="0"/>
                <w:color w:val="auto"/>
                <w:spacing w:val="4"/>
                <w:szCs w:val="21"/>
                <w:highlight w:val="none"/>
                <w:lang w:val="en-US" w:eastAsia="zh-CN"/>
              </w:rPr>
            </w:pPr>
            <w:r>
              <w:rPr>
                <w:rFonts w:hint="eastAsia" w:ascii="宋体" w:hAnsi="宋体" w:eastAsia="宋体" w:cs="宋体"/>
                <w:snapToGrid w:val="0"/>
                <w:color w:val="auto"/>
                <w:spacing w:val="4"/>
                <w:szCs w:val="21"/>
                <w:highlight w:val="none"/>
                <w:lang w:val="en-US" w:eastAsia="zh-CN"/>
              </w:rPr>
              <w:t>1</w:t>
            </w:r>
          </w:p>
        </w:tc>
        <w:tc>
          <w:tcPr>
            <w:tcW w:w="5124" w:type="dxa"/>
            <w:noWrap w:val="0"/>
            <w:vAlign w:val="center"/>
          </w:tcPr>
          <w:p w14:paraId="7669AF3E">
            <w:pPr>
              <w:topLinePunct/>
              <w:spacing w:after="0"/>
              <w:jc w:val="left"/>
              <w:rPr>
                <w:rFonts w:hint="eastAsia" w:ascii="宋体" w:hAnsi="宋体" w:eastAsia="宋体" w:cs="宋体"/>
                <w:snapToGrid w:val="0"/>
                <w:color w:val="auto"/>
                <w:spacing w:val="4"/>
                <w:szCs w:val="21"/>
                <w:highlight w:val="none"/>
                <w:lang w:val="en-US"/>
              </w:rPr>
            </w:pPr>
            <w:r>
              <w:rPr>
                <w:rFonts w:hint="eastAsia" w:ascii="宋体" w:hAnsi="宋体" w:eastAsia="宋体" w:cs="宋体"/>
                <w:snapToGrid w:val="0"/>
                <w:color w:val="auto"/>
                <w:spacing w:val="4"/>
                <w:szCs w:val="21"/>
                <w:highlight w:val="none"/>
              </w:rPr>
              <w:t>具有建设部2006年4月1日后颁发的中华人民共和国注册监理工程师注册执业证书，且其注册证书专业为市政公用工程，注册执业单位为本公司</w:t>
            </w:r>
            <w:r>
              <w:rPr>
                <w:rFonts w:hint="eastAsia" w:ascii="宋体" w:hAnsi="宋体" w:eastAsia="宋体" w:cs="宋体"/>
                <w:snapToGrid w:val="0"/>
                <w:color w:val="auto"/>
                <w:spacing w:val="4"/>
                <w:szCs w:val="21"/>
                <w:highlight w:val="none"/>
                <w:lang w:eastAsia="zh-CN"/>
              </w:rPr>
              <w:t>，</w:t>
            </w:r>
            <w:r>
              <w:rPr>
                <w:rFonts w:hint="eastAsia" w:ascii="宋体" w:hAnsi="宋体" w:eastAsia="宋体" w:cs="宋体"/>
                <w:snapToGrid w:val="0"/>
                <w:color w:val="auto"/>
                <w:spacing w:val="4"/>
                <w:szCs w:val="21"/>
                <w:highlight w:val="none"/>
              </w:rPr>
              <w:t>具备工程相关专业中级或以上技术职称，同时具有隧道工程</w:t>
            </w:r>
            <w:r>
              <w:rPr>
                <w:rFonts w:hint="eastAsia" w:ascii="宋体" w:hAnsi="宋体" w:eastAsia="宋体" w:cs="宋体"/>
                <w:snapToGrid w:val="0"/>
                <w:color w:val="auto"/>
                <w:spacing w:val="4"/>
                <w:szCs w:val="21"/>
                <w:highlight w:val="none"/>
                <w:lang w:eastAsia="zh-CN"/>
              </w:rPr>
              <w:t>机电</w:t>
            </w:r>
            <w:r>
              <w:rPr>
                <w:rFonts w:hint="eastAsia" w:ascii="宋体" w:hAnsi="宋体" w:eastAsia="宋体" w:cs="宋体"/>
                <w:snapToGrid w:val="0"/>
                <w:color w:val="auto"/>
                <w:spacing w:val="4"/>
                <w:szCs w:val="21"/>
                <w:highlight w:val="none"/>
              </w:rPr>
              <w:t>相关工作经验。</w:t>
            </w:r>
          </w:p>
        </w:tc>
      </w:tr>
      <w:tr w14:paraId="2152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noWrap w:val="0"/>
            <w:vAlign w:val="center"/>
          </w:tcPr>
          <w:p w14:paraId="1A6FE80A">
            <w:pPr>
              <w:topLinePunct/>
              <w:spacing w:after="0"/>
              <w:jc w:val="center"/>
              <w:rPr>
                <w:rFonts w:hint="eastAsia" w:ascii="宋体" w:hAnsi="宋体" w:eastAsia="宋体" w:cs="宋体"/>
                <w:snapToGrid w:val="0"/>
                <w:color w:val="auto"/>
                <w:spacing w:val="4"/>
                <w:szCs w:val="21"/>
                <w:highlight w:val="none"/>
                <w:lang w:eastAsia="zh-CN"/>
              </w:rPr>
            </w:pPr>
            <w:r>
              <w:rPr>
                <w:rFonts w:hint="eastAsia" w:ascii="宋体" w:hAnsi="宋体" w:eastAsia="宋体" w:cs="宋体"/>
                <w:snapToGrid w:val="0"/>
                <w:color w:val="auto"/>
                <w:spacing w:val="4"/>
                <w:szCs w:val="21"/>
                <w:highlight w:val="none"/>
              </w:rPr>
              <w:t>2.</w:t>
            </w:r>
            <w:r>
              <w:rPr>
                <w:rFonts w:hint="eastAsia" w:ascii="宋体" w:hAnsi="宋体" w:eastAsia="宋体" w:cs="宋体"/>
                <w:snapToGrid w:val="0"/>
                <w:color w:val="auto"/>
                <w:spacing w:val="4"/>
                <w:szCs w:val="21"/>
                <w:highlight w:val="none"/>
                <w:lang w:val="en-US" w:eastAsia="zh-CN"/>
              </w:rPr>
              <w:t>4</w:t>
            </w:r>
          </w:p>
        </w:tc>
        <w:tc>
          <w:tcPr>
            <w:tcW w:w="2820" w:type="dxa"/>
            <w:noWrap w:val="0"/>
            <w:vAlign w:val="center"/>
          </w:tcPr>
          <w:p w14:paraId="36EE46C4">
            <w:pPr>
              <w:topLinePunct/>
              <w:spacing w:after="0"/>
              <w:jc w:val="center"/>
              <w:rPr>
                <w:rFonts w:hint="eastAsia" w:ascii="宋体" w:hAnsi="宋体" w:eastAsia="宋体" w:cs="宋体"/>
                <w:snapToGrid w:val="0"/>
                <w:color w:val="auto"/>
                <w:spacing w:val="4"/>
                <w:kern w:val="2"/>
                <w:sz w:val="21"/>
                <w:szCs w:val="21"/>
                <w:highlight w:val="none"/>
                <w:lang w:val="en-US" w:eastAsia="zh-CN" w:bidi="ar-SA"/>
              </w:rPr>
            </w:pPr>
            <w:r>
              <w:rPr>
                <w:rFonts w:hint="eastAsia" w:ascii="宋体" w:hAnsi="宋体" w:eastAsia="宋体" w:cs="宋体"/>
                <w:snapToGrid w:val="0"/>
                <w:color w:val="auto"/>
                <w:spacing w:val="4"/>
                <w:szCs w:val="21"/>
                <w:highlight w:val="none"/>
              </w:rPr>
              <w:t>专职安全员</w:t>
            </w:r>
          </w:p>
        </w:tc>
        <w:tc>
          <w:tcPr>
            <w:tcW w:w="780" w:type="dxa"/>
            <w:noWrap w:val="0"/>
            <w:vAlign w:val="center"/>
          </w:tcPr>
          <w:p w14:paraId="4836A745">
            <w:pPr>
              <w:topLinePunct/>
              <w:spacing w:after="0"/>
              <w:jc w:val="center"/>
              <w:rPr>
                <w:rFonts w:hint="eastAsia" w:ascii="宋体" w:hAnsi="宋体" w:eastAsia="宋体" w:cs="宋体"/>
                <w:snapToGrid w:val="0"/>
                <w:color w:val="auto"/>
                <w:spacing w:val="4"/>
                <w:kern w:val="2"/>
                <w:sz w:val="21"/>
                <w:szCs w:val="21"/>
                <w:highlight w:val="none"/>
                <w:lang w:val="en-US" w:eastAsia="zh-CN" w:bidi="ar-SA"/>
              </w:rPr>
            </w:pPr>
            <w:r>
              <w:rPr>
                <w:rFonts w:hint="eastAsia" w:ascii="宋体" w:hAnsi="宋体" w:eastAsia="宋体" w:cs="宋体"/>
                <w:snapToGrid w:val="0"/>
                <w:color w:val="auto"/>
                <w:spacing w:val="4"/>
                <w:szCs w:val="21"/>
                <w:highlight w:val="none"/>
                <w:lang w:val="en-US" w:eastAsia="zh-CN"/>
              </w:rPr>
              <w:t>1</w:t>
            </w:r>
          </w:p>
        </w:tc>
        <w:tc>
          <w:tcPr>
            <w:tcW w:w="5124" w:type="dxa"/>
            <w:noWrap w:val="0"/>
            <w:vAlign w:val="center"/>
          </w:tcPr>
          <w:p w14:paraId="7145BD81">
            <w:pPr>
              <w:topLinePunct/>
              <w:spacing w:after="0"/>
              <w:rPr>
                <w:rFonts w:hint="eastAsia" w:ascii="宋体" w:hAnsi="宋体" w:eastAsia="宋体" w:cs="宋体"/>
                <w:snapToGrid w:val="0"/>
                <w:color w:val="auto"/>
                <w:spacing w:val="4"/>
                <w:kern w:val="2"/>
                <w:sz w:val="21"/>
                <w:szCs w:val="21"/>
                <w:highlight w:val="none"/>
                <w:lang w:val="en-US" w:eastAsia="zh-CN" w:bidi="ar-SA"/>
              </w:rPr>
            </w:pPr>
            <w:r>
              <w:rPr>
                <w:rFonts w:hint="eastAsia" w:ascii="宋体" w:hAnsi="宋体" w:eastAsia="宋体" w:cs="宋体"/>
                <w:snapToGrid w:val="0"/>
                <w:color w:val="auto"/>
                <w:spacing w:val="4"/>
                <w:szCs w:val="21"/>
                <w:highlight w:val="none"/>
              </w:rPr>
              <w:t>具有</w:t>
            </w:r>
            <w:r>
              <w:rPr>
                <w:rFonts w:hint="eastAsia" w:ascii="宋体" w:hAnsi="宋体" w:eastAsia="宋体" w:cs="宋体"/>
                <w:snapToGrid w:val="0"/>
                <w:color w:val="auto"/>
                <w:spacing w:val="4"/>
                <w:szCs w:val="21"/>
                <w:highlight w:val="none"/>
                <w:lang w:val="en-US" w:eastAsia="zh-CN"/>
              </w:rPr>
              <w:t>注册安全工程师或</w:t>
            </w:r>
            <w:r>
              <w:rPr>
                <w:rFonts w:hint="eastAsia" w:ascii="宋体" w:hAnsi="宋体" w:eastAsia="宋体" w:cs="宋体"/>
                <w:snapToGrid w:val="0"/>
                <w:color w:val="auto"/>
                <w:spacing w:val="4"/>
                <w:szCs w:val="21"/>
                <w:highlight w:val="none"/>
              </w:rPr>
              <w:t>安全培训证书或上岗证。</w:t>
            </w:r>
          </w:p>
        </w:tc>
      </w:tr>
      <w:tr w14:paraId="662F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noWrap w:val="0"/>
            <w:vAlign w:val="center"/>
          </w:tcPr>
          <w:p w14:paraId="1F683DE8">
            <w:pPr>
              <w:topLinePunct/>
              <w:spacing w:after="0"/>
              <w:jc w:val="center"/>
              <w:rPr>
                <w:rFonts w:hint="eastAsia" w:ascii="宋体" w:hAnsi="宋体" w:eastAsia="宋体" w:cs="宋体"/>
                <w:snapToGrid w:val="0"/>
                <w:color w:val="auto"/>
                <w:spacing w:val="4"/>
                <w:szCs w:val="21"/>
                <w:highlight w:val="none"/>
                <w:lang w:eastAsia="zh-CN"/>
              </w:rPr>
            </w:pPr>
            <w:r>
              <w:rPr>
                <w:rFonts w:hint="eastAsia" w:ascii="宋体" w:hAnsi="宋体" w:eastAsia="宋体" w:cs="宋体"/>
                <w:snapToGrid w:val="0"/>
                <w:color w:val="auto"/>
                <w:spacing w:val="4"/>
                <w:szCs w:val="21"/>
                <w:highlight w:val="none"/>
              </w:rPr>
              <w:t>2.</w:t>
            </w:r>
            <w:r>
              <w:rPr>
                <w:rFonts w:hint="eastAsia" w:ascii="宋体" w:hAnsi="宋体" w:eastAsia="宋体" w:cs="宋体"/>
                <w:snapToGrid w:val="0"/>
                <w:color w:val="auto"/>
                <w:spacing w:val="4"/>
                <w:szCs w:val="21"/>
                <w:highlight w:val="none"/>
                <w:lang w:val="en-US" w:eastAsia="zh-CN"/>
              </w:rPr>
              <w:t>5</w:t>
            </w:r>
          </w:p>
        </w:tc>
        <w:tc>
          <w:tcPr>
            <w:tcW w:w="2820" w:type="dxa"/>
            <w:noWrap w:val="0"/>
            <w:vAlign w:val="center"/>
          </w:tcPr>
          <w:p w14:paraId="699F3B11">
            <w:pPr>
              <w:topLinePunct/>
              <w:spacing w:after="0"/>
              <w:jc w:val="center"/>
              <w:rPr>
                <w:rFonts w:hint="eastAsia" w:ascii="宋体" w:hAnsi="宋体" w:eastAsia="宋体" w:cs="宋体"/>
                <w:snapToGrid w:val="0"/>
                <w:color w:val="auto"/>
                <w:spacing w:val="4"/>
                <w:kern w:val="2"/>
                <w:sz w:val="21"/>
                <w:szCs w:val="21"/>
                <w:highlight w:val="none"/>
                <w:lang w:val="en-US" w:eastAsia="zh-CN" w:bidi="ar-SA"/>
              </w:rPr>
            </w:pPr>
            <w:r>
              <w:rPr>
                <w:rFonts w:hint="eastAsia" w:ascii="宋体" w:hAnsi="宋体" w:eastAsia="宋体" w:cs="宋体"/>
                <w:snapToGrid w:val="0"/>
                <w:color w:val="auto"/>
                <w:spacing w:val="4"/>
                <w:szCs w:val="21"/>
                <w:highlight w:val="none"/>
              </w:rPr>
              <w:t>监理员</w:t>
            </w:r>
          </w:p>
        </w:tc>
        <w:tc>
          <w:tcPr>
            <w:tcW w:w="780" w:type="dxa"/>
            <w:noWrap w:val="0"/>
            <w:vAlign w:val="center"/>
          </w:tcPr>
          <w:p w14:paraId="65A15364">
            <w:pPr>
              <w:topLinePunct/>
              <w:spacing w:after="0"/>
              <w:jc w:val="center"/>
              <w:rPr>
                <w:rFonts w:hint="eastAsia" w:ascii="宋体" w:hAnsi="宋体" w:eastAsia="宋体" w:cs="宋体"/>
                <w:snapToGrid w:val="0"/>
                <w:color w:val="auto"/>
                <w:spacing w:val="4"/>
                <w:kern w:val="2"/>
                <w:sz w:val="21"/>
                <w:szCs w:val="21"/>
                <w:highlight w:val="none"/>
                <w:lang w:val="en-US" w:eastAsia="zh-CN" w:bidi="ar-SA"/>
              </w:rPr>
            </w:pPr>
            <w:r>
              <w:rPr>
                <w:rFonts w:hint="eastAsia" w:ascii="宋体" w:hAnsi="宋体" w:eastAsia="宋体" w:cs="宋体"/>
                <w:snapToGrid w:val="0"/>
                <w:color w:val="auto"/>
                <w:spacing w:val="4"/>
                <w:szCs w:val="21"/>
                <w:highlight w:val="none"/>
                <w:lang w:val="en-US" w:eastAsia="zh-CN"/>
              </w:rPr>
              <w:t>1</w:t>
            </w:r>
          </w:p>
        </w:tc>
        <w:tc>
          <w:tcPr>
            <w:tcW w:w="5124" w:type="dxa"/>
            <w:noWrap w:val="0"/>
            <w:vAlign w:val="center"/>
          </w:tcPr>
          <w:p w14:paraId="34846170">
            <w:pPr>
              <w:topLinePunct/>
              <w:spacing w:after="0"/>
              <w:rPr>
                <w:rFonts w:hint="eastAsia" w:ascii="宋体" w:hAnsi="宋体" w:eastAsia="宋体" w:cs="宋体"/>
                <w:snapToGrid w:val="0"/>
                <w:color w:val="auto"/>
                <w:spacing w:val="4"/>
                <w:kern w:val="2"/>
                <w:sz w:val="21"/>
                <w:szCs w:val="21"/>
                <w:highlight w:val="none"/>
                <w:lang w:val="en-US" w:eastAsia="zh-CN" w:bidi="ar-SA"/>
              </w:rPr>
            </w:pPr>
            <w:r>
              <w:rPr>
                <w:rFonts w:hint="eastAsia" w:ascii="宋体" w:hAnsi="宋体" w:eastAsia="宋体" w:cs="宋体"/>
                <w:snapToGrid w:val="0"/>
                <w:color w:val="auto"/>
                <w:spacing w:val="4"/>
                <w:szCs w:val="21"/>
                <w:highlight w:val="none"/>
              </w:rPr>
              <w:t>具备监理员上岗证。</w:t>
            </w:r>
          </w:p>
        </w:tc>
      </w:tr>
      <w:tr w14:paraId="6D2D9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noWrap w:val="0"/>
            <w:vAlign w:val="center"/>
          </w:tcPr>
          <w:p w14:paraId="75D44C93">
            <w:pPr>
              <w:topLinePunct/>
              <w:spacing w:after="0"/>
              <w:jc w:val="center"/>
              <w:rPr>
                <w:rFonts w:hint="eastAsia" w:ascii="宋体" w:hAnsi="宋体" w:eastAsia="宋体" w:cs="宋体"/>
                <w:snapToGrid w:val="0"/>
                <w:color w:val="auto"/>
                <w:spacing w:val="4"/>
                <w:szCs w:val="21"/>
                <w:highlight w:val="none"/>
                <w:lang w:eastAsia="zh-CN"/>
              </w:rPr>
            </w:pPr>
            <w:r>
              <w:rPr>
                <w:rFonts w:hint="eastAsia" w:ascii="宋体" w:hAnsi="宋体" w:eastAsia="宋体" w:cs="宋体"/>
                <w:snapToGrid w:val="0"/>
                <w:color w:val="auto"/>
                <w:spacing w:val="4"/>
                <w:szCs w:val="21"/>
                <w:highlight w:val="none"/>
              </w:rPr>
              <w:t>2.</w:t>
            </w:r>
            <w:r>
              <w:rPr>
                <w:rFonts w:hint="eastAsia" w:ascii="宋体" w:hAnsi="宋体" w:eastAsia="宋体" w:cs="宋体"/>
                <w:snapToGrid w:val="0"/>
                <w:color w:val="auto"/>
                <w:spacing w:val="4"/>
                <w:szCs w:val="21"/>
                <w:highlight w:val="none"/>
                <w:lang w:val="en-US" w:eastAsia="zh-CN"/>
              </w:rPr>
              <w:t>6</w:t>
            </w:r>
          </w:p>
        </w:tc>
        <w:tc>
          <w:tcPr>
            <w:tcW w:w="2820" w:type="dxa"/>
            <w:noWrap w:val="0"/>
            <w:vAlign w:val="center"/>
          </w:tcPr>
          <w:p w14:paraId="42DB7227">
            <w:pPr>
              <w:topLinePunct/>
              <w:spacing w:after="0"/>
              <w:jc w:val="center"/>
              <w:rPr>
                <w:rFonts w:hint="eastAsia" w:ascii="宋体" w:hAnsi="宋体" w:eastAsia="宋体" w:cs="宋体"/>
                <w:snapToGrid w:val="0"/>
                <w:color w:val="auto"/>
                <w:spacing w:val="4"/>
                <w:kern w:val="2"/>
                <w:sz w:val="21"/>
                <w:szCs w:val="21"/>
                <w:highlight w:val="none"/>
                <w:lang w:val="en-US" w:eastAsia="zh-CN" w:bidi="ar-SA"/>
              </w:rPr>
            </w:pPr>
            <w:r>
              <w:rPr>
                <w:rFonts w:hint="eastAsia" w:ascii="宋体" w:hAnsi="宋体" w:eastAsia="宋体" w:cs="宋体"/>
                <w:snapToGrid w:val="0"/>
                <w:color w:val="auto"/>
                <w:spacing w:val="4"/>
                <w:szCs w:val="21"/>
                <w:highlight w:val="none"/>
                <w:lang w:val="en-US" w:eastAsia="zh-CN"/>
              </w:rPr>
              <w:t>档案</w:t>
            </w:r>
            <w:r>
              <w:rPr>
                <w:rFonts w:hint="eastAsia" w:ascii="宋体" w:hAnsi="宋体" w:eastAsia="宋体" w:cs="宋体"/>
                <w:snapToGrid w:val="0"/>
                <w:color w:val="auto"/>
                <w:spacing w:val="4"/>
                <w:szCs w:val="21"/>
                <w:highlight w:val="none"/>
              </w:rPr>
              <w:t>信息管理员</w:t>
            </w:r>
          </w:p>
        </w:tc>
        <w:tc>
          <w:tcPr>
            <w:tcW w:w="780" w:type="dxa"/>
            <w:noWrap w:val="0"/>
            <w:vAlign w:val="center"/>
          </w:tcPr>
          <w:p w14:paraId="59A598EE">
            <w:pPr>
              <w:topLinePunct/>
              <w:spacing w:after="0"/>
              <w:jc w:val="center"/>
              <w:rPr>
                <w:rFonts w:hint="eastAsia" w:ascii="宋体" w:hAnsi="宋体" w:eastAsia="宋体" w:cs="宋体"/>
                <w:snapToGrid w:val="0"/>
                <w:color w:val="auto"/>
                <w:spacing w:val="4"/>
                <w:kern w:val="2"/>
                <w:sz w:val="21"/>
                <w:szCs w:val="21"/>
                <w:highlight w:val="none"/>
                <w:lang w:val="en-US" w:eastAsia="zh-CN" w:bidi="ar-SA"/>
              </w:rPr>
            </w:pPr>
            <w:r>
              <w:rPr>
                <w:rFonts w:hint="eastAsia" w:ascii="宋体" w:hAnsi="宋体" w:eastAsia="宋体" w:cs="宋体"/>
                <w:snapToGrid w:val="0"/>
                <w:color w:val="auto"/>
                <w:spacing w:val="4"/>
                <w:szCs w:val="21"/>
                <w:highlight w:val="none"/>
              </w:rPr>
              <w:t>1</w:t>
            </w:r>
          </w:p>
        </w:tc>
        <w:tc>
          <w:tcPr>
            <w:tcW w:w="5124" w:type="dxa"/>
            <w:noWrap w:val="0"/>
            <w:vAlign w:val="center"/>
          </w:tcPr>
          <w:p w14:paraId="408702A1">
            <w:pPr>
              <w:topLinePunct/>
              <w:spacing w:after="0"/>
              <w:rPr>
                <w:rFonts w:hint="eastAsia" w:ascii="宋体" w:hAnsi="宋体" w:eastAsia="宋体" w:cs="宋体"/>
                <w:snapToGrid w:val="0"/>
                <w:color w:val="auto"/>
                <w:spacing w:val="4"/>
                <w:kern w:val="2"/>
                <w:sz w:val="21"/>
                <w:szCs w:val="21"/>
                <w:highlight w:val="none"/>
                <w:lang w:val="en-US" w:eastAsia="zh-CN" w:bidi="ar-SA"/>
              </w:rPr>
            </w:pPr>
            <w:r>
              <w:rPr>
                <w:rFonts w:hint="eastAsia" w:ascii="宋体" w:hAnsi="宋体" w:eastAsia="宋体" w:cs="宋体"/>
                <w:snapToGrid w:val="0"/>
                <w:color w:val="auto"/>
                <w:spacing w:val="4"/>
                <w:szCs w:val="21"/>
                <w:highlight w:val="none"/>
              </w:rPr>
              <w:t>熟悉各种办公软件的使用，满足招标人信息化管理要求。</w:t>
            </w:r>
          </w:p>
        </w:tc>
      </w:tr>
      <w:tr w14:paraId="6E895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noWrap w:val="0"/>
            <w:vAlign w:val="center"/>
          </w:tcPr>
          <w:p w14:paraId="5E706BD1">
            <w:pPr>
              <w:topLinePunct/>
              <w:spacing w:after="0"/>
              <w:jc w:val="center"/>
              <w:rPr>
                <w:rFonts w:hint="eastAsia" w:ascii="宋体" w:hAnsi="宋体" w:eastAsia="宋体" w:cs="宋体"/>
                <w:snapToGrid w:val="0"/>
                <w:color w:val="auto"/>
                <w:spacing w:val="4"/>
                <w:szCs w:val="21"/>
                <w:highlight w:val="none"/>
              </w:rPr>
            </w:pPr>
            <w:r>
              <w:rPr>
                <w:rFonts w:hint="eastAsia" w:ascii="宋体" w:hAnsi="宋体" w:eastAsia="宋体" w:cs="宋体"/>
                <w:snapToGrid w:val="0"/>
                <w:color w:val="auto"/>
                <w:spacing w:val="4"/>
                <w:szCs w:val="21"/>
                <w:highlight w:val="none"/>
              </w:rPr>
              <w:t>合计</w:t>
            </w:r>
          </w:p>
        </w:tc>
        <w:tc>
          <w:tcPr>
            <w:tcW w:w="2820" w:type="dxa"/>
            <w:noWrap w:val="0"/>
            <w:vAlign w:val="center"/>
          </w:tcPr>
          <w:p w14:paraId="0ECDB6BE">
            <w:pPr>
              <w:topLinePunct/>
              <w:spacing w:after="0"/>
              <w:jc w:val="center"/>
              <w:rPr>
                <w:rFonts w:hint="eastAsia" w:ascii="宋体" w:hAnsi="宋体" w:eastAsia="宋体" w:cs="宋体"/>
                <w:snapToGrid w:val="0"/>
                <w:color w:val="auto"/>
                <w:spacing w:val="4"/>
                <w:szCs w:val="21"/>
                <w:highlight w:val="none"/>
              </w:rPr>
            </w:pPr>
          </w:p>
        </w:tc>
        <w:tc>
          <w:tcPr>
            <w:tcW w:w="780" w:type="dxa"/>
            <w:noWrap w:val="0"/>
            <w:vAlign w:val="center"/>
          </w:tcPr>
          <w:p w14:paraId="5E6618B0">
            <w:pPr>
              <w:topLinePunct/>
              <w:spacing w:after="0"/>
              <w:jc w:val="center"/>
              <w:rPr>
                <w:rFonts w:hint="eastAsia" w:ascii="宋体" w:hAnsi="宋体" w:eastAsia="宋体" w:cs="宋体"/>
                <w:snapToGrid w:val="0"/>
                <w:color w:val="auto"/>
                <w:spacing w:val="4"/>
                <w:szCs w:val="21"/>
                <w:highlight w:val="none"/>
                <w:lang w:val="en-US" w:eastAsia="zh-CN"/>
              </w:rPr>
            </w:pPr>
            <w:r>
              <w:rPr>
                <w:rFonts w:hint="eastAsia" w:ascii="宋体" w:hAnsi="宋体" w:eastAsia="宋体" w:cs="宋体"/>
                <w:snapToGrid w:val="0"/>
                <w:color w:val="auto"/>
                <w:spacing w:val="4"/>
                <w:szCs w:val="21"/>
                <w:highlight w:val="none"/>
                <w:lang w:val="en-US" w:eastAsia="zh-CN"/>
              </w:rPr>
              <w:t>7</w:t>
            </w:r>
          </w:p>
        </w:tc>
        <w:tc>
          <w:tcPr>
            <w:tcW w:w="5124" w:type="dxa"/>
            <w:noWrap w:val="0"/>
            <w:vAlign w:val="center"/>
          </w:tcPr>
          <w:p w14:paraId="47DDCABA">
            <w:pPr>
              <w:topLinePunct/>
              <w:spacing w:after="0"/>
              <w:rPr>
                <w:rFonts w:hint="eastAsia" w:ascii="宋体" w:hAnsi="宋体" w:eastAsia="宋体" w:cs="宋体"/>
                <w:snapToGrid w:val="0"/>
                <w:color w:val="auto"/>
                <w:spacing w:val="4"/>
                <w:szCs w:val="21"/>
                <w:highlight w:val="none"/>
              </w:rPr>
            </w:pPr>
          </w:p>
        </w:tc>
      </w:tr>
    </w:tbl>
    <w:p w14:paraId="52C7C06E">
      <w:pPr>
        <w:pStyle w:val="101"/>
        <w:rPr>
          <w:rFonts w:hint="eastAsia" w:ascii="宋体" w:hAnsi="宋体" w:eastAsia="宋体" w:cs="宋体"/>
          <w:color w:val="auto"/>
          <w:kern w:val="44"/>
          <w:sz w:val="21"/>
          <w:szCs w:val="21"/>
          <w:highlight w:val="none"/>
        </w:rPr>
      </w:pPr>
      <w:r>
        <w:rPr>
          <w:rFonts w:hint="eastAsia" w:ascii="宋体" w:hAnsi="宋体" w:eastAsia="宋体" w:cs="宋体"/>
          <w:color w:val="auto"/>
          <w:kern w:val="44"/>
          <w:sz w:val="21"/>
          <w:szCs w:val="21"/>
          <w:highlight w:val="none"/>
        </w:rPr>
        <w:t>注：本表数量仅为基本要求，</w:t>
      </w:r>
      <w:r>
        <w:rPr>
          <w:rFonts w:hint="eastAsia" w:ascii="宋体" w:hAnsi="宋体" w:eastAsia="宋体" w:cs="宋体"/>
          <w:color w:val="auto"/>
          <w:kern w:val="44"/>
          <w:sz w:val="21"/>
          <w:szCs w:val="21"/>
          <w:highlight w:val="none"/>
          <w:lang w:val="en-US" w:eastAsia="zh-CN"/>
        </w:rPr>
        <w:t>监理单位</w:t>
      </w:r>
      <w:r>
        <w:rPr>
          <w:rFonts w:hint="eastAsia" w:ascii="宋体" w:hAnsi="宋体" w:eastAsia="宋体" w:cs="宋体"/>
          <w:color w:val="auto"/>
          <w:kern w:val="44"/>
          <w:sz w:val="21"/>
          <w:szCs w:val="21"/>
          <w:highlight w:val="none"/>
        </w:rPr>
        <w:t>可提供高于以上数量的人员配置，</w:t>
      </w:r>
      <w:r>
        <w:rPr>
          <w:rFonts w:hint="eastAsia" w:ascii="宋体" w:hAnsi="宋体" w:eastAsia="宋体" w:cs="宋体"/>
          <w:color w:val="auto"/>
          <w:kern w:val="44"/>
          <w:sz w:val="21"/>
          <w:szCs w:val="21"/>
          <w:highlight w:val="none"/>
          <w:lang w:eastAsia="zh-CN"/>
        </w:rPr>
        <w:t>发包</w:t>
      </w:r>
      <w:r>
        <w:rPr>
          <w:rFonts w:hint="eastAsia" w:ascii="宋体" w:hAnsi="宋体" w:eastAsia="宋体" w:cs="宋体"/>
          <w:color w:val="auto"/>
          <w:kern w:val="44"/>
          <w:sz w:val="21"/>
          <w:szCs w:val="21"/>
          <w:highlight w:val="none"/>
        </w:rPr>
        <w:t>人有权要求</w:t>
      </w:r>
      <w:r>
        <w:rPr>
          <w:rFonts w:hint="eastAsia" w:ascii="宋体" w:hAnsi="宋体" w:eastAsia="宋体" w:cs="宋体"/>
          <w:color w:val="auto"/>
          <w:kern w:val="44"/>
          <w:sz w:val="21"/>
          <w:szCs w:val="21"/>
          <w:highlight w:val="none"/>
          <w:lang w:val="en-US" w:eastAsia="zh-CN"/>
        </w:rPr>
        <w:t>监理</w:t>
      </w:r>
      <w:r>
        <w:rPr>
          <w:rFonts w:hint="eastAsia" w:ascii="宋体" w:hAnsi="宋体" w:eastAsia="宋体" w:cs="宋体"/>
          <w:color w:val="auto"/>
          <w:kern w:val="44"/>
          <w:sz w:val="21"/>
          <w:szCs w:val="21"/>
          <w:highlight w:val="none"/>
        </w:rPr>
        <w:t>单位提供高于以上数量的人员配置。</w:t>
      </w:r>
    </w:p>
    <w:p w14:paraId="7F0A685D">
      <w:pPr>
        <w:pStyle w:val="18"/>
        <w:rPr>
          <w:rFonts w:hint="eastAsia" w:ascii="宋体" w:hAnsi="宋体" w:eastAsia="宋体" w:cs="宋体"/>
          <w:color w:val="auto"/>
          <w:sz w:val="21"/>
          <w:szCs w:val="21"/>
          <w:highlight w:val="none"/>
          <w:lang w:val="en-US" w:eastAsia="zh-CN"/>
        </w:rPr>
      </w:pPr>
    </w:p>
    <w:p w14:paraId="76F5C0F9">
      <w:pPr>
        <w:pStyle w:val="18"/>
        <w:numPr>
          <w:ilvl w:val="0"/>
          <w:numId w:val="1"/>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报酬及支付</w:t>
      </w:r>
    </w:p>
    <w:p w14:paraId="3190FE78">
      <w:pPr>
        <w:pStyle w:val="18"/>
        <w:numPr>
          <w:ilvl w:val="-1"/>
          <w:numId w:val="0"/>
        </w:num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（详见合同文件）</w:t>
      </w:r>
    </w:p>
    <w:p w14:paraId="7CAB4B31">
      <w:pPr>
        <w:pStyle w:val="18"/>
        <w:numPr>
          <w:ilvl w:val="-1"/>
          <w:numId w:val="0"/>
        </w:numPr>
        <w:rPr>
          <w:rFonts w:hint="eastAsia" w:ascii="宋体" w:hAnsi="宋体" w:eastAsia="宋体" w:cs="宋体"/>
          <w:color w:val="auto"/>
          <w:sz w:val="21"/>
          <w:szCs w:val="21"/>
          <w:highlight w:val="none"/>
          <w:lang w:eastAsia="zh-CN"/>
        </w:rPr>
      </w:pPr>
    </w:p>
    <w:p w14:paraId="2FF1E7D4">
      <w:pPr>
        <w:pStyle w:val="18"/>
        <w:spacing w:line="240" w:lineRule="auto"/>
        <w:rPr>
          <w:rFonts w:hint="eastAsia" w:ascii="宋体" w:hAnsi="宋体" w:eastAsia="宋体" w:cs="宋体"/>
          <w:strike w:val="0"/>
          <w:color w:val="auto"/>
          <w:spacing w:val="0"/>
          <w:sz w:val="21"/>
          <w:szCs w:val="21"/>
          <w:highlight w:val="none"/>
        </w:rPr>
      </w:pPr>
      <w:r>
        <w:rPr>
          <w:rFonts w:hint="eastAsia" w:ascii="宋体" w:hAnsi="宋体" w:eastAsia="宋体" w:cs="宋体"/>
          <w:strike w:val="0"/>
          <w:color w:val="auto"/>
          <w:spacing w:val="0"/>
          <w:sz w:val="21"/>
          <w:szCs w:val="21"/>
          <w:highlight w:val="none"/>
          <w:lang w:val="en-US" w:eastAsia="zh-CN"/>
        </w:rPr>
        <w:t>九</w:t>
      </w:r>
      <w:r>
        <w:rPr>
          <w:rFonts w:hint="eastAsia" w:ascii="宋体" w:hAnsi="宋体" w:eastAsia="宋体" w:cs="宋体"/>
          <w:strike w:val="0"/>
          <w:color w:val="auto"/>
          <w:spacing w:val="0"/>
          <w:sz w:val="21"/>
          <w:szCs w:val="21"/>
          <w:highlight w:val="none"/>
        </w:rPr>
        <w:t>、委托人的其他要求</w:t>
      </w:r>
    </w:p>
    <w:p w14:paraId="00886B83">
      <w:pPr>
        <w:pStyle w:val="18"/>
        <w:rPr>
          <w:rFonts w:hint="eastAsia" w:ascii="宋体" w:hAnsi="宋体" w:eastAsia="宋体" w:cs="宋体"/>
          <w:strike w:val="0"/>
          <w:color w:val="auto"/>
          <w:spacing w:val="0"/>
          <w:sz w:val="21"/>
          <w:szCs w:val="21"/>
          <w:highlight w:val="none"/>
          <w:lang w:eastAsia="zh-CN"/>
        </w:rPr>
      </w:pPr>
      <w:r>
        <w:rPr>
          <w:rFonts w:hint="eastAsia" w:ascii="宋体" w:hAnsi="宋体" w:eastAsia="宋体" w:cs="宋体"/>
          <w:strike w:val="0"/>
          <w:color w:val="auto"/>
          <w:spacing w:val="0"/>
          <w:sz w:val="21"/>
          <w:szCs w:val="21"/>
          <w:highlight w:val="none"/>
        </w:rPr>
        <w:t>委托人的其他要求</w:t>
      </w:r>
      <w:r>
        <w:rPr>
          <w:rFonts w:hint="eastAsia" w:ascii="宋体" w:hAnsi="宋体" w:eastAsia="宋体" w:cs="宋体"/>
          <w:strike w:val="0"/>
          <w:color w:val="auto"/>
          <w:spacing w:val="0"/>
          <w:sz w:val="21"/>
          <w:szCs w:val="21"/>
          <w:highlight w:val="none"/>
          <w:lang w:eastAsia="zh-CN"/>
        </w:rPr>
        <w:t>：</w:t>
      </w:r>
      <w:r>
        <w:rPr>
          <w:rFonts w:hint="eastAsia" w:ascii="宋体" w:hAnsi="宋体" w:eastAsia="宋体" w:cs="宋体"/>
          <w:color w:val="auto"/>
          <w:spacing w:val="0"/>
          <w:sz w:val="21"/>
          <w:szCs w:val="21"/>
          <w:highlight w:val="none"/>
        </w:rPr>
        <w:t>其他要求详见合同。</w:t>
      </w:r>
    </w:p>
    <w:p w14:paraId="0D6C978E">
      <w:pPr>
        <w:pStyle w:val="18"/>
        <w:numPr>
          <w:ilvl w:val="-1"/>
          <w:numId w:val="0"/>
        </w:numPr>
        <w:rPr>
          <w:rFonts w:hint="eastAsia" w:ascii="宋体" w:hAnsi="宋体" w:eastAsia="宋体" w:cs="宋体"/>
          <w:color w:val="auto"/>
          <w:sz w:val="21"/>
          <w:szCs w:val="21"/>
          <w:highlight w:val="none"/>
        </w:rPr>
      </w:pPr>
    </w:p>
    <w:bookmarkEnd w:id="267"/>
    <w:bookmarkEnd w:id="268"/>
    <w:bookmarkEnd w:id="269"/>
    <w:bookmarkEnd w:id="270"/>
    <w:bookmarkEnd w:id="281"/>
    <w:p w14:paraId="6F10B4B3">
      <w:pPr>
        <w:pStyle w:val="2"/>
        <w:kinsoku w:val="0"/>
        <w:overflowPunct w:val="0"/>
        <w:spacing w:beforeLines="0" w:afterLines="0" w:line="340" w:lineRule="auto"/>
        <w:ind w:left="0" w:right="116" w:firstLine="0"/>
        <w:jc w:val="both"/>
        <w:rPr>
          <w:rFonts w:hint="eastAsia" w:ascii="宋体" w:hAnsi="宋体" w:eastAsia="宋体" w:cs="Times New Roman"/>
          <w:b/>
          <w:color w:val="auto"/>
          <w:kern w:val="44"/>
          <w:sz w:val="44"/>
          <w:szCs w:val="20"/>
          <w:highlight w:val="none"/>
        </w:rPr>
      </w:pPr>
      <w:r>
        <w:rPr>
          <w:rFonts w:ascii="宋体" w:hAnsi="宋体" w:eastAsia="宋体" w:cs="Times New Roman"/>
          <w:b/>
          <w:color w:val="auto"/>
          <w:kern w:val="44"/>
          <w:sz w:val="44"/>
          <w:szCs w:val="20"/>
          <w:highlight w:val="none"/>
        </w:rPr>
        <w:br w:type="page"/>
      </w:r>
      <w:bookmarkStart w:id="282" w:name="_Toc59200707"/>
      <w:bookmarkStart w:id="283" w:name="_Toc27929"/>
      <w:bookmarkStart w:id="284" w:name="_Toc526786504"/>
      <w:r>
        <w:rPr>
          <w:rFonts w:hint="eastAsia" w:ascii="宋体" w:hAnsi="宋体" w:eastAsia="宋体" w:cs="Times New Roman"/>
          <w:b/>
          <w:color w:val="auto"/>
          <w:kern w:val="44"/>
          <w:sz w:val="44"/>
          <w:szCs w:val="20"/>
          <w:highlight w:val="none"/>
        </w:rPr>
        <w:t>第三卷</w:t>
      </w:r>
      <w:bookmarkEnd w:id="282"/>
      <w:bookmarkEnd w:id="283"/>
      <w:bookmarkEnd w:id="284"/>
    </w:p>
    <w:p w14:paraId="6B751EA5">
      <w:pPr>
        <w:wordWrap w:val="0"/>
        <w:spacing w:before="340" w:after="330"/>
        <w:jc w:val="center"/>
        <w:outlineLvl w:val="0"/>
        <w:rPr>
          <w:rFonts w:hint="eastAsia" w:ascii="宋体" w:hAnsi="宋体" w:eastAsia="宋体" w:cs="Times New Roman"/>
          <w:b/>
          <w:color w:val="auto"/>
          <w:kern w:val="44"/>
          <w:sz w:val="44"/>
          <w:szCs w:val="20"/>
          <w:highlight w:val="none"/>
        </w:rPr>
      </w:pPr>
      <w:bookmarkStart w:id="285" w:name="_Toc526786505"/>
      <w:bookmarkStart w:id="286" w:name="_Toc5259"/>
      <w:bookmarkStart w:id="287" w:name="_Toc59200708"/>
      <w:r>
        <w:rPr>
          <w:rFonts w:hint="eastAsia" w:ascii="宋体" w:hAnsi="宋体" w:eastAsia="宋体" w:cs="Times New Roman"/>
          <w:b/>
          <w:color w:val="auto"/>
          <w:kern w:val="44"/>
          <w:sz w:val="44"/>
          <w:szCs w:val="20"/>
          <w:highlight w:val="none"/>
        </w:rPr>
        <w:t>第六章</w:t>
      </w:r>
      <w:r>
        <w:rPr>
          <w:rFonts w:ascii="宋体" w:hAnsi="宋体" w:eastAsia="宋体" w:cs="Times New Roman"/>
          <w:b/>
          <w:color w:val="auto"/>
          <w:kern w:val="44"/>
          <w:sz w:val="44"/>
          <w:szCs w:val="20"/>
          <w:highlight w:val="none"/>
        </w:rPr>
        <w:t xml:space="preserve"> </w:t>
      </w:r>
      <w:r>
        <w:rPr>
          <w:rFonts w:hint="eastAsia" w:ascii="宋体" w:hAnsi="宋体" w:eastAsia="宋体" w:cs="Times New Roman"/>
          <w:b/>
          <w:color w:val="auto"/>
          <w:kern w:val="44"/>
          <w:sz w:val="44"/>
          <w:szCs w:val="20"/>
          <w:highlight w:val="none"/>
        </w:rPr>
        <w:t>投标文件格式</w:t>
      </w:r>
      <w:bookmarkEnd w:id="285"/>
      <w:bookmarkEnd w:id="286"/>
      <w:bookmarkEnd w:id="287"/>
    </w:p>
    <w:p w14:paraId="3D1EE7D7">
      <w:pPr>
        <w:wordWrap w:val="0"/>
        <w:rPr>
          <w:rFonts w:hint="eastAsia" w:ascii="宋体" w:hAnsi="宋体" w:eastAsia="宋体" w:cs="Times New Roman"/>
          <w:color w:val="auto"/>
          <w:highlight w:val="none"/>
        </w:rPr>
      </w:pPr>
      <w:r>
        <w:rPr>
          <w:rFonts w:ascii="宋体" w:hAnsi="宋体" w:eastAsia="宋体" w:cs="Times New Roman"/>
          <w:color w:val="auto"/>
          <w:highlight w:val="none"/>
        </w:rPr>
        <w:br w:type="page"/>
      </w:r>
    </w:p>
    <w:p w14:paraId="10D2C345">
      <w:pPr>
        <w:jc w:val="center"/>
        <w:rPr>
          <w:rFonts w:ascii="宋体" w:hAnsi="宋体" w:cs="宋体"/>
          <w:b w:val="0"/>
          <w:bCs w:val="0"/>
          <w:color w:val="auto"/>
          <w:sz w:val="36"/>
          <w:szCs w:val="36"/>
          <w:highlight w:val="none"/>
          <w:u w:val="single"/>
        </w:rPr>
      </w:pPr>
      <w:r>
        <w:rPr>
          <w:rFonts w:hint="eastAsia" w:ascii="宋体" w:hAnsi="宋体" w:cs="宋体"/>
          <w:b/>
          <w:bCs/>
          <w:color w:val="auto"/>
          <w:sz w:val="36"/>
          <w:szCs w:val="36"/>
          <w:highlight w:val="none"/>
          <w:u w:val="single"/>
        </w:rPr>
        <w:t xml:space="preserve"> </w:t>
      </w:r>
      <w:r>
        <w:rPr>
          <w:rFonts w:hint="eastAsia" w:ascii="宋体" w:hAnsi="宋体" w:cs="宋体"/>
          <w:b w:val="0"/>
          <w:bCs w:val="0"/>
          <w:color w:val="auto"/>
          <w:sz w:val="36"/>
          <w:szCs w:val="36"/>
          <w:highlight w:val="none"/>
          <w:u w:val="single"/>
        </w:rPr>
        <w:t xml:space="preserve">   （项目名称）  </w:t>
      </w:r>
      <w:r>
        <w:rPr>
          <w:rFonts w:hint="eastAsia" w:ascii="宋体" w:hAnsi="宋体" w:cs="宋体"/>
          <w:b w:val="0"/>
          <w:bCs w:val="0"/>
          <w:color w:val="auto"/>
          <w:sz w:val="36"/>
          <w:szCs w:val="36"/>
          <w:highlight w:val="none"/>
          <w:u w:val="single"/>
          <w:lang w:val="en-US" w:eastAsia="zh-CN"/>
        </w:rPr>
        <w:t xml:space="preserve"> 监理招标项目</w:t>
      </w:r>
      <w:r>
        <w:rPr>
          <w:rFonts w:hint="eastAsia" w:ascii="宋体" w:hAnsi="宋体" w:cs="宋体"/>
          <w:b w:val="0"/>
          <w:bCs w:val="0"/>
          <w:color w:val="auto"/>
          <w:sz w:val="36"/>
          <w:szCs w:val="36"/>
          <w:highlight w:val="none"/>
          <w:u w:val="single"/>
        </w:rPr>
        <w:t xml:space="preserve">  </w:t>
      </w:r>
    </w:p>
    <w:p w14:paraId="3D13E934">
      <w:pPr>
        <w:rPr>
          <w:rFonts w:ascii="宋体" w:hAnsi="宋体" w:cs="宋体"/>
          <w:b w:val="0"/>
          <w:bCs w:val="0"/>
          <w:color w:val="auto"/>
          <w:sz w:val="20"/>
          <w:highlight w:val="none"/>
        </w:rPr>
      </w:pPr>
    </w:p>
    <w:p w14:paraId="72572876">
      <w:pPr>
        <w:rPr>
          <w:rFonts w:ascii="宋体" w:hAnsi="宋体" w:cs="宋体"/>
          <w:b w:val="0"/>
          <w:bCs w:val="0"/>
          <w:color w:val="auto"/>
          <w:sz w:val="20"/>
          <w:highlight w:val="none"/>
        </w:rPr>
      </w:pPr>
    </w:p>
    <w:p w14:paraId="3A68F31B">
      <w:pPr>
        <w:jc w:val="center"/>
        <w:rPr>
          <w:rFonts w:ascii="宋体" w:hAnsi="宋体" w:cs="宋体"/>
          <w:b w:val="0"/>
          <w:bCs w:val="0"/>
          <w:color w:val="auto"/>
          <w:sz w:val="44"/>
          <w:highlight w:val="none"/>
        </w:rPr>
      </w:pPr>
    </w:p>
    <w:p w14:paraId="574768FF">
      <w:pPr>
        <w:jc w:val="center"/>
        <w:rPr>
          <w:rFonts w:ascii="宋体" w:hAnsi="宋体" w:cs="宋体"/>
          <w:b w:val="0"/>
          <w:bCs w:val="0"/>
          <w:color w:val="auto"/>
          <w:sz w:val="44"/>
          <w:highlight w:val="none"/>
        </w:rPr>
      </w:pPr>
    </w:p>
    <w:p w14:paraId="03F4726F">
      <w:pPr>
        <w:jc w:val="center"/>
        <w:rPr>
          <w:rFonts w:ascii="宋体" w:hAnsi="宋体" w:cs="宋体"/>
          <w:b w:val="0"/>
          <w:bCs w:val="0"/>
          <w:color w:val="auto"/>
          <w:sz w:val="44"/>
          <w:highlight w:val="none"/>
        </w:rPr>
      </w:pPr>
    </w:p>
    <w:p w14:paraId="25FC3DDF">
      <w:pPr>
        <w:jc w:val="center"/>
        <w:rPr>
          <w:rFonts w:ascii="宋体" w:hAnsi="宋体" w:cs="宋体"/>
          <w:b w:val="0"/>
          <w:bCs w:val="0"/>
          <w:color w:val="auto"/>
          <w:sz w:val="44"/>
          <w:highlight w:val="none"/>
        </w:rPr>
      </w:pPr>
    </w:p>
    <w:p w14:paraId="6C48B564">
      <w:pPr>
        <w:jc w:val="center"/>
        <w:rPr>
          <w:rFonts w:ascii="宋体" w:hAnsi="宋体" w:cs="宋体"/>
          <w:b w:val="0"/>
          <w:bCs w:val="0"/>
          <w:color w:val="auto"/>
          <w:sz w:val="84"/>
          <w:szCs w:val="84"/>
          <w:highlight w:val="none"/>
        </w:rPr>
      </w:pPr>
      <w:r>
        <w:rPr>
          <w:rFonts w:hint="eastAsia" w:ascii="宋体" w:hAnsi="宋体" w:cs="宋体"/>
          <w:b w:val="0"/>
          <w:bCs w:val="0"/>
          <w:color w:val="auto"/>
          <w:sz w:val="72"/>
          <w:szCs w:val="72"/>
          <w:highlight w:val="none"/>
        </w:rPr>
        <w:t>投标文件</w:t>
      </w:r>
    </w:p>
    <w:p w14:paraId="15D3A5D6">
      <w:pPr>
        <w:jc w:val="center"/>
        <w:rPr>
          <w:rFonts w:ascii="宋体" w:hAnsi="宋体" w:cs="宋体"/>
          <w:b w:val="0"/>
          <w:bCs w:val="0"/>
          <w:color w:val="auto"/>
          <w:sz w:val="44"/>
          <w:highlight w:val="none"/>
        </w:rPr>
      </w:pPr>
    </w:p>
    <w:p w14:paraId="7DF319A4">
      <w:pPr>
        <w:rPr>
          <w:rFonts w:ascii="宋体" w:hAnsi="宋体" w:cs="宋体"/>
          <w:b w:val="0"/>
          <w:bCs w:val="0"/>
          <w:color w:val="auto"/>
          <w:sz w:val="28"/>
          <w:highlight w:val="none"/>
        </w:rPr>
      </w:pPr>
    </w:p>
    <w:p w14:paraId="2C70982F">
      <w:pPr>
        <w:rPr>
          <w:rFonts w:ascii="宋体" w:hAnsi="宋体" w:cs="宋体"/>
          <w:b w:val="0"/>
          <w:bCs w:val="0"/>
          <w:color w:val="auto"/>
          <w:sz w:val="28"/>
          <w:highlight w:val="none"/>
        </w:rPr>
      </w:pPr>
    </w:p>
    <w:p w14:paraId="45BFF33B">
      <w:pPr>
        <w:rPr>
          <w:rFonts w:ascii="宋体" w:hAnsi="宋体" w:cs="宋体"/>
          <w:b w:val="0"/>
          <w:bCs w:val="0"/>
          <w:color w:val="auto"/>
          <w:sz w:val="28"/>
          <w:highlight w:val="none"/>
        </w:rPr>
      </w:pPr>
    </w:p>
    <w:p w14:paraId="39F41790">
      <w:pPr>
        <w:rPr>
          <w:rFonts w:ascii="宋体" w:hAnsi="宋体" w:cs="宋体"/>
          <w:b w:val="0"/>
          <w:bCs w:val="0"/>
          <w:color w:val="auto"/>
          <w:sz w:val="28"/>
          <w:highlight w:val="none"/>
        </w:rPr>
      </w:pPr>
    </w:p>
    <w:p w14:paraId="24E794CD">
      <w:pPr>
        <w:rPr>
          <w:rFonts w:ascii="宋体" w:hAnsi="宋体" w:cs="宋体"/>
          <w:b w:val="0"/>
          <w:bCs w:val="0"/>
          <w:color w:val="auto"/>
          <w:sz w:val="28"/>
          <w:highlight w:val="none"/>
        </w:rPr>
      </w:pPr>
    </w:p>
    <w:p w14:paraId="0E6B3FEE">
      <w:pPr>
        <w:rPr>
          <w:rFonts w:ascii="宋体" w:hAnsi="宋体" w:cs="宋体"/>
          <w:b w:val="0"/>
          <w:bCs w:val="0"/>
          <w:color w:val="auto"/>
          <w:sz w:val="28"/>
          <w:highlight w:val="none"/>
        </w:rPr>
      </w:pPr>
    </w:p>
    <w:p w14:paraId="0C93DBB6">
      <w:pPr>
        <w:rPr>
          <w:rFonts w:ascii="宋体" w:hAnsi="宋体" w:cs="宋体"/>
          <w:b w:val="0"/>
          <w:bCs w:val="0"/>
          <w:color w:val="auto"/>
          <w:sz w:val="28"/>
          <w:highlight w:val="none"/>
        </w:rPr>
      </w:pPr>
    </w:p>
    <w:p w14:paraId="5A7044EF">
      <w:pPr>
        <w:rPr>
          <w:rFonts w:ascii="宋体" w:hAnsi="宋体" w:cs="宋体"/>
          <w:b w:val="0"/>
          <w:bCs w:val="0"/>
          <w:color w:val="auto"/>
          <w:sz w:val="28"/>
          <w:highlight w:val="none"/>
        </w:rPr>
      </w:pPr>
    </w:p>
    <w:p w14:paraId="7EDACF83">
      <w:pPr>
        <w:spacing w:line="360" w:lineRule="auto"/>
        <w:rPr>
          <w:rFonts w:ascii="宋体" w:hAnsi="宋体" w:cs="宋体"/>
          <w:b w:val="0"/>
          <w:bCs w:val="0"/>
          <w:color w:val="auto"/>
          <w:sz w:val="28"/>
          <w:highlight w:val="none"/>
        </w:rPr>
      </w:pPr>
    </w:p>
    <w:p w14:paraId="2F33285B">
      <w:pPr>
        <w:spacing w:line="360" w:lineRule="auto"/>
        <w:ind w:firstLine="1120" w:firstLineChars="400"/>
        <w:rPr>
          <w:rFonts w:ascii="宋体" w:hAnsi="宋体" w:cs="宋体"/>
          <w:b w:val="0"/>
          <w:bCs w:val="0"/>
          <w:color w:val="auto"/>
          <w:sz w:val="24"/>
          <w:szCs w:val="21"/>
          <w:highlight w:val="none"/>
          <w:u w:val="single"/>
        </w:rPr>
      </w:pPr>
      <w:r>
        <w:rPr>
          <w:rFonts w:hint="eastAsia" w:ascii="宋体" w:hAnsi="宋体" w:cs="宋体"/>
          <w:b w:val="0"/>
          <w:bCs w:val="0"/>
          <w:color w:val="auto"/>
          <w:sz w:val="28"/>
          <w:szCs w:val="28"/>
          <w:highlight w:val="none"/>
        </w:rPr>
        <w:t>投标人</w:t>
      </w:r>
      <w:r>
        <w:rPr>
          <w:rFonts w:hint="eastAsia" w:ascii="宋体" w:hAnsi="宋体" w:cs="宋体"/>
          <w:b w:val="0"/>
          <w:bCs w:val="0"/>
          <w:color w:val="auto"/>
          <w:sz w:val="24"/>
          <w:szCs w:val="21"/>
          <w:highlight w:val="none"/>
        </w:rPr>
        <w:t>：</w:t>
      </w:r>
      <w:r>
        <w:rPr>
          <w:rFonts w:hint="eastAsia" w:ascii="宋体" w:hAnsi="宋体" w:cs="宋体"/>
          <w:b w:val="0"/>
          <w:bCs w:val="0"/>
          <w:color w:val="auto"/>
          <w:sz w:val="24"/>
          <w:szCs w:val="21"/>
          <w:highlight w:val="none"/>
          <w:u w:val="single"/>
          <w:lang w:val="en-US" w:eastAsia="zh-CN"/>
        </w:rPr>
        <w:t xml:space="preserve">                                 </w:t>
      </w:r>
      <w:r>
        <w:rPr>
          <w:rFonts w:hint="eastAsia" w:ascii="宋体" w:hAnsi="宋体" w:cs="宋体"/>
          <w:b w:val="0"/>
          <w:bCs w:val="0"/>
          <w:color w:val="auto"/>
          <w:sz w:val="28"/>
          <w:szCs w:val="28"/>
          <w:highlight w:val="none"/>
        </w:rPr>
        <w:t>（盖单位章）</w:t>
      </w:r>
    </w:p>
    <w:p w14:paraId="027222D3">
      <w:pPr>
        <w:spacing w:line="360" w:lineRule="auto"/>
        <w:ind w:firstLine="1120" w:firstLineChars="400"/>
        <w:jc w:val="left"/>
        <w:rPr>
          <w:rFonts w:ascii="宋体" w:hAnsi="宋体" w:cs="宋体"/>
          <w:b w:val="0"/>
          <w:bCs w:val="0"/>
          <w:color w:val="auto"/>
          <w:sz w:val="24"/>
          <w:szCs w:val="21"/>
          <w:highlight w:val="none"/>
        </w:rPr>
      </w:pPr>
      <w:r>
        <w:rPr>
          <w:rFonts w:hint="eastAsia" w:ascii="宋体" w:hAnsi="宋体" w:cs="宋体"/>
          <w:b w:val="0"/>
          <w:bCs w:val="0"/>
          <w:color w:val="auto"/>
          <w:sz w:val="28"/>
          <w:szCs w:val="28"/>
          <w:highlight w:val="none"/>
        </w:rPr>
        <w:t>法定代表人或其委托代理人：</w:t>
      </w:r>
      <w:r>
        <w:rPr>
          <w:rFonts w:hint="eastAsia" w:ascii="宋体" w:hAnsi="宋体" w:cs="宋体"/>
          <w:b w:val="0"/>
          <w:bCs w:val="0"/>
          <w:color w:val="auto"/>
          <w:sz w:val="28"/>
          <w:szCs w:val="28"/>
          <w:highlight w:val="none"/>
          <w:u w:val="single"/>
          <w:lang w:val="en-US" w:eastAsia="zh-CN"/>
        </w:rPr>
        <w:t xml:space="preserve">           </w:t>
      </w:r>
      <w:r>
        <w:rPr>
          <w:rFonts w:hint="eastAsia" w:ascii="宋体" w:hAnsi="宋体" w:cs="宋体"/>
          <w:b w:val="0"/>
          <w:bCs w:val="0"/>
          <w:color w:val="auto"/>
          <w:sz w:val="28"/>
          <w:szCs w:val="28"/>
          <w:highlight w:val="none"/>
        </w:rPr>
        <w:t>（签字或盖章）</w:t>
      </w:r>
    </w:p>
    <w:p w14:paraId="5C8AC4A9">
      <w:pPr>
        <w:jc w:val="center"/>
        <w:rPr>
          <w:rFonts w:ascii="宋体" w:hAnsi="宋体" w:cs="宋体"/>
          <w:b w:val="0"/>
          <w:bCs w:val="0"/>
          <w:color w:val="auto"/>
          <w:sz w:val="24"/>
          <w:szCs w:val="21"/>
          <w:highlight w:val="none"/>
        </w:rPr>
      </w:pPr>
    </w:p>
    <w:p w14:paraId="54F7D292">
      <w:pPr>
        <w:spacing w:line="400" w:lineRule="exact"/>
        <w:jc w:val="center"/>
        <w:rPr>
          <w:rFonts w:ascii="宋体" w:hAnsi="宋体"/>
          <w:color w:val="auto"/>
          <w:sz w:val="24"/>
          <w:highlight w:val="none"/>
        </w:rPr>
      </w:pPr>
      <w:r>
        <w:rPr>
          <w:rFonts w:hint="eastAsia" w:ascii="宋体" w:hAnsi="宋体" w:cs="宋体"/>
          <w:b w:val="0"/>
          <w:bCs w:val="0"/>
          <w:color w:val="auto"/>
          <w:sz w:val="28"/>
          <w:szCs w:val="28"/>
          <w:highlight w:val="none"/>
        </w:rPr>
        <w:t>年   月   日</w:t>
      </w:r>
      <w:r>
        <w:rPr>
          <w:rFonts w:ascii="宋体" w:hAnsi="宋体" w:cs="宋体"/>
          <w:b w:val="0"/>
          <w:bCs w:val="0"/>
          <w:color w:val="auto"/>
          <w:highlight w:val="none"/>
        </w:rPr>
        <w:br w:type="page"/>
      </w:r>
    </w:p>
    <w:p w14:paraId="3F646127">
      <w:pPr>
        <w:keepNext w:val="0"/>
        <w:keepLines w:val="0"/>
        <w:jc w:val="center"/>
        <w:outlineLvl w:val="9"/>
        <w:rPr>
          <w:rFonts w:ascii="Times New Roman" w:hAnsi="Times New Roman"/>
          <w:b/>
          <w:bCs/>
          <w:color w:val="auto"/>
          <w:sz w:val="28"/>
          <w:szCs w:val="32"/>
          <w:highlight w:val="none"/>
        </w:rPr>
      </w:pPr>
      <w:bookmarkStart w:id="288" w:name="_Toc15270"/>
      <w:bookmarkStart w:id="289" w:name="_Toc21829"/>
      <w:bookmarkStart w:id="290" w:name="_Toc24852"/>
      <w:bookmarkStart w:id="291" w:name="_Toc17946"/>
      <w:bookmarkStart w:id="292" w:name="_Toc31426"/>
      <w:bookmarkStart w:id="293" w:name="_Toc8751"/>
      <w:bookmarkStart w:id="294" w:name="_Toc18950"/>
      <w:bookmarkStart w:id="295" w:name="_Toc29526"/>
      <w:r>
        <w:rPr>
          <w:rFonts w:hint="eastAsia" w:ascii="Times New Roman" w:hAnsi="Times New Roman"/>
          <w:b/>
          <w:bCs/>
          <w:color w:val="auto"/>
          <w:sz w:val="28"/>
          <w:szCs w:val="32"/>
          <w:highlight w:val="none"/>
        </w:rPr>
        <w:t>目</w:t>
      </w:r>
      <w:r>
        <w:rPr>
          <w:rFonts w:ascii="Times New Roman" w:hAnsi="Times New Roman"/>
          <w:b/>
          <w:bCs/>
          <w:color w:val="auto"/>
          <w:sz w:val="28"/>
          <w:szCs w:val="32"/>
          <w:highlight w:val="none"/>
        </w:rPr>
        <w:t xml:space="preserve"> </w:t>
      </w:r>
      <w:r>
        <w:rPr>
          <w:rFonts w:hint="eastAsia" w:ascii="Times New Roman" w:hAnsi="Times New Roman"/>
          <w:b/>
          <w:bCs/>
          <w:color w:val="auto"/>
          <w:sz w:val="28"/>
          <w:szCs w:val="32"/>
          <w:highlight w:val="none"/>
        </w:rPr>
        <w:t>录</w:t>
      </w:r>
      <w:bookmarkEnd w:id="288"/>
      <w:bookmarkEnd w:id="289"/>
      <w:bookmarkEnd w:id="290"/>
      <w:bookmarkEnd w:id="291"/>
      <w:bookmarkEnd w:id="292"/>
      <w:bookmarkEnd w:id="293"/>
      <w:bookmarkEnd w:id="294"/>
      <w:bookmarkEnd w:id="295"/>
    </w:p>
    <w:p w14:paraId="44E3B6B7">
      <w:pPr>
        <w:spacing w:line="540" w:lineRule="exact"/>
        <w:rPr>
          <w:color w:val="auto"/>
          <w:sz w:val="24"/>
          <w:szCs w:val="28"/>
          <w:highlight w:val="none"/>
        </w:rPr>
      </w:pPr>
      <w:r>
        <w:rPr>
          <w:rFonts w:hint="eastAsia"/>
          <w:color w:val="auto"/>
          <w:sz w:val="24"/>
          <w:szCs w:val="28"/>
          <w:highlight w:val="none"/>
        </w:rPr>
        <w:t>一、投标函及投标函附录</w:t>
      </w:r>
    </w:p>
    <w:p w14:paraId="29FD1AB6">
      <w:pPr>
        <w:spacing w:line="540" w:lineRule="exact"/>
        <w:rPr>
          <w:rFonts w:hint="eastAsia" w:eastAsia="宋体"/>
          <w:color w:val="auto"/>
          <w:sz w:val="24"/>
          <w:szCs w:val="28"/>
          <w:highlight w:val="none"/>
          <w:lang w:eastAsia="zh-CN"/>
        </w:rPr>
      </w:pPr>
      <w:r>
        <w:rPr>
          <w:rFonts w:hint="eastAsia"/>
          <w:color w:val="auto"/>
          <w:sz w:val="24"/>
          <w:szCs w:val="28"/>
          <w:highlight w:val="none"/>
        </w:rPr>
        <w:t>二、法定代表人身份证明</w:t>
      </w:r>
      <w:r>
        <w:rPr>
          <w:rFonts w:hint="eastAsia"/>
          <w:color w:val="auto"/>
          <w:sz w:val="24"/>
          <w:szCs w:val="28"/>
          <w:highlight w:val="none"/>
          <w:lang w:eastAsia="zh-CN"/>
        </w:rPr>
        <w:t>书</w:t>
      </w:r>
      <w:r>
        <w:rPr>
          <w:rFonts w:hint="eastAsia"/>
          <w:color w:val="auto"/>
          <w:sz w:val="24"/>
          <w:szCs w:val="28"/>
          <w:highlight w:val="none"/>
        </w:rPr>
        <w:t xml:space="preserve"> </w:t>
      </w:r>
    </w:p>
    <w:p w14:paraId="628E7CA8">
      <w:pPr>
        <w:spacing w:line="540" w:lineRule="exact"/>
        <w:rPr>
          <w:rFonts w:hint="eastAsia"/>
          <w:color w:val="auto"/>
          <w:sz w:val="24"/>
          <w:szCs w:val="28"/>
          <w:highlight w:val="none"/>
        </w:rPr>
      </w:pPr>
      <w:r>
        <w:rPr>
          <w:rFonts w:hint="eastAsia"/>
          <w:color w:val="auto"/>
          <w:sz w:val="24"/>
          <w:szCs w:val="28"/>
          <w:highlight w:val="none"/>
          <w:lang w:eastAsia="zh-CN"/>
        </w:rPr>
        <w:t>二</w:t>
      </w:r>
      <w:r>
        <w:rPr>
          <w:rFonts w:hint="eastAsia"/>
          <w:color w:val="auto"/>
          <w:sz w:val="24"/>
          <w:szCs w:val="28"/>
          <w:highlight w:val="none"/>
        </w:rPr>
        <w:t>、授权委托书（适用于有委托代理人的情况）</w:t>
      </w:r>
    </w:p>
    <w:p w14:paraId="1DD94049">
      <w:pPr>
        <w:spacing w:line="540" w:lineRule="exact"/>
        <w:rPr>
          <w:rFonts w:hint="eastAsia"/>
          <w:strike/>
          <w:color w:val="auto"/>
          <w:sz w:val="24"/>
          <w:szCs w:val="28"/>
          <w:highlight w:val="none"/>
          <w:lang w:val="en-US" w:eastAsia="zh-CN"/>
        </w:rPr>
      </w:pPr>
      <w:r>
        <w:rPr>
          <w:rFonts w:hint="eastAsia"/>
          <w:strike/>
          <w:color w:val="auto"/>
          <w:sz w:val="24"/>
          <w:szCs w:val="28"/>
          <w:highlight w:val="none"/>
          <w:lang w:val="en-US" w:eastAsia="zh-CN"/>
        </w:rPr>
        <w:t>三、联合体协议书（如有）</w:t>
      </w:r>
    </w:p>
    <w:p w14:paraId="1D462572">
      <w:pPr>
        <w:spacing w:line="540" w:lineRule="exact"/>
        <w:rPr>
          <w:rFonts w:hint="eastAsia" w:eastAsia="宋体"/>
          <w:color w:val="auto"/>
          <w:sz w:val="24"/>
          <w:szCs w:val="28"/>
          <w:highlight w:val="none"/>
          <w:lang w:val="en-US" w:eastAsia="zh-CN"/>
        </w:rPr>
      </w:pPr>
      <w:r>
        <w:rPr>
          <w:rFonts w:hint="eastAsia"/>
          <w:color w:val="auto"/>
          <w:sz w:val="24"/>
          <w:szCs w:val="28"/>
          <w:highlight w:val="none"/>
          <w:lang w:val="en-US" w:eastAsia="zh-CN"/>
        </w:rPr>
        <w:t>四、投标人声明</w:t>
      </w:r>
    </w:p>
    <w:p w14:paraId="73C3409D">
      <w:pPr>
        <w:spacing w:line="540" w:lineRule="exact"/>
        <w:rPr>
          <w:rFonts w:hint="eastAsia" w:eastAsia="宋体"/>
          <w:strike/>
          <w:color w:val="auto"/>
          <w:sz w:val="24"/>
          <w:szCs w:val="28"/>
          <w:highlight w:val="none"/>
          <w:lang w:eastAsia="zh-CN"/>
        </w:rPr>
      </w:pPr>
      <w:r>
        <w:rPr>
          <w:rFonts w:hint="eastAsia"/>
          <w:strike/>
          <w:color w:val="auto"/>
          <w:sz w:val="24"/>
          <w:szCs w:val="28"/>
          <w:highlight w:val="none"/>
          <w:lang w:val="en-US" w:eastAsia="zh-CN"/>
        </w:rPr>
        <w:t>五</w:t>
      </w:r>
      <w:r>
        <w:rPr>
          <w:rFonts w:hint="eastAsia"/>
          <w:strike/>
          <w:color w:val="auto"/>
          <w:sz w:val="24"/>
          <w:szCs w:val="28"/>
          <w:highlight w:val="none"/>
        </w:rPr>
        <w:t>、投标保证金</w:t>
      </w:r>
      <w:r>
        <w:rPr>
          <w:rFonts w:hint="eastAsia"/>
          <w:strike/>
          <w:color w:val="auto"/>
          <w:sz w:val="24"/>
          <w:szCs w:val="28"/>
          <w:highlight w:val="none"/>
          <w:lang w:eastAsia="zh-CN"/>
        </w:rPr>
        <w:t>（如有）</w:t>
      </w:r>
    </w:p>
    <w:p w14:paraId="50B25599">
      <w:pPr>
        <w:spacing w:line="540" w:lineRule="exact"/>
        <w:rPr>
          <w:color w:val="auto"/>
          <w:sz w:val="24"/>
          <w:szCs w:val="28"/>
          <w:highlight w:val="none"/>
        </w:rPr>
      </w:pPr>
      <w:r>
        <w:rPr>
          <w:rFonts w:hint="eastAsia"/>
          <w:color w:val="auto"/>
          <w:sz w:val="24"/>
          <w:szCs w:val="28"/>
          <w:highlight w:val="none"/>
          <w:lang w:val="en-US" w:eastAsia="zh-CN"/>
        </w:rPr>
        <w:t>六</w:t>
      </w:r>
      <w:r>
        <w:rPr>
          <w:rFonts w:hint="eastAsia"/>
          <w:color w:val="auto"/>
          <w:sz w:val="24"/>
          <w:szCs w:val="28"/>
          <w:highlight w:val="none"/>
        </w:rPr>
        <w:t>、监理报酬清单</w:t>
      </w:r>
    </w:p>
    <w:p w14:paraId="7B3C17F1">
      <w:pPr>
        <w:spacing w:line="540" w:lineRule="exact"/>
        <w:rPr>
          <w:color w:val="auto"/>
          <w:sz w:val="24"/>
          <w:szCs w:val="28"/>
          <w:highlight w:val="none"/>
        </w:rPr>
      </w:pPr>
      <w:r>
        <w:rPr>
          <w:rFonts w:hint="eastAsia"/>
          <w:color w:val="auto"/>
          <w:sz w:val="24"/>
          <w:szCs w:val="28"/>
          <w:highlight w:val="none"/>
          <w:lang w:val="en-US" w:eastAsia="zh-CN"/>
        </w:rPr>
        <w:t>七</w:t>
      </w:r>
      <w:r>
        <w:rPr>
          <w:rFonts w:hint="eastAsia"/>
          <w:color w:val="auto"/>
          <w:sz w:val="24"/>
          <w:szCs w:val="28"/>
          <w:highlight w:val="none"/>
        </w:rPr>
        <w:t>、资格审查资料</w:t>
      </w:r>
    </w:p>
    <w:p w14:paraId="61CAB282">
      <w:pPr>
        <w:spacing w:line="540" w:lineRule="exact"/>
        <w:rPr>
          <w:color w:val="auto"/>
          <w:sz w:val="24"/>
          <w:szCs w:val="28"/>
          <w:highlight w:val="none"/>
        </w:rPr>
      </w:pPr>
      <w:r>
        <w:rPr>
          <w:rFonts w:hint="eastAsia"/>
          <w:color w:val="auto"/>
          <w:sz w:val="24"/>
          <w:szCs w:val="28"/>
          <w:highlight w:val="none"/>
          <w:lang w:val="en-US" w:eastAsia="zh-CN"/>
        </w:rPr>
        <w:t>八</w:t>
      </w:r>
      <w:r>
        <w:rPr>
          <w:rFonts w:hint="eastAsia"/>
          <w:color w:val="auto"/>
          <w:sz w:val="24"/>
          <w:szCs w:val="28"/>
          <w:highlight w:val="none"/>
        </w:rPr>
        <w:t>、监理大纲</w:t>
      </w:r>
    </w:p>
    <w:p w14:paraId="750FD586">
      <w:pPr>
        <w:spacing w:line="540" w:lineRule="exact"/>
        <w:rPr>
          <w:rFonts w:hint="eastAsia"/>
          <w:color w:val="auto"/>
          <w:sz w:val="24"/>
          <w:szCs w:val="28"/>
          <w:highlight w:val="none"/>
          <w:lang w:eastAsia="zh-CN"/>
        </w:rPr>
      </w:pPr>
      <w:r>
        <w:rPr>
          <w:rFonts w:hint="eastAsia"/>
          <w:color w:val="auto"/>
          <w:sz w:val="24"/>
          <w:szCs w:val="28"/>
          <w:highlight w:val="none"/>
          <w:lang w:val="en-US" w:eastAsia="zh-CN"/>
        </w:rPr>
        <w:t>九</w:t>
      </w:r>
      <w:r>
        <w:rPr>
          <w:rFonts w:hint="eastAsia"/>
          <w:color w:val="auto"/>
          <w:sz w:val="24"/>
          <w:szCs w:val="28"/>
          <w:highlight w:val="none"/>
        </w:rPr>
        <w:t>、</w:t>
      </w:r>
      <w:r>
        <w:rPr>
          <w:rFonts w:hint="eastAsia"/>
          <w:color w:val="auto"/>
          <w:sz w:val="24"/>
          <w:szCs w:val="28"/>
          <w:highlight w:val="none"/>
          <w:lang w:eastAsia="zh-CN"/>
        </w:rPr>
        <w:t>中小企业声明函（如有）</w:t>
      </w:r>
    </w:p>
    <w:p w14:paraId="0EF35672">
      <w:pPr>
        <w:spacing w:line="540" w:lineRule="exact"/>
        <w:rPr>
          <w:rFonts w:hint="eastAsia"/>
          <w:strike/>
          <w:color w:val="auto"/>
          <w:sz w:val="24"/>
          <w:szCs w:val="28"/>
          <w:highlight w:val="none"/>
          <w:lang w:eastAsia="zh-CN"/>
        </w:rPr>
      </w:pPr>
      <w:r>
        <w:rPr>
          <w:rFonts w:hint="eastAsia"/>
          <w:strike/>
          <w:color w:val="auto"/>
          <w:sz w:val="24"/>
          <w:szCs w:val="28"/>
          <w:highlight w:val="none"/>
          <w:lang w:eastAsia="zh-CN"/>
        </w:rPr>
        <w:t>十、关于投标保证金的承诺（如有）</w:t>
      </w:r>
    </w:p>
    <w:p w14:paraId="539D0431">
      <w:pPr>
        <w:spacing w:line="540" w:lineRule="exact"/>
        <w:rPr>
          <w:color w:val="auto"/>
          <w:sz w:val="24"/>
          <w:szCs w:val="28"/>
          <w:highlight w:val="none"/>
        </w:rPr>
      </w:pPr>
      <w:r>
        <w:rPr>
          <w:rFonts w:hint="eastAsia"/>
          <w:color w:val="auto"/>
          <w:sz w:val="24"/>
          <w:szCs w:val="28"/>
          <w:highlight w:val="none"/>
          <w:lang w:eastAsia="zh-CN"/>
        </w:rPr>
        <w:t>十一、</w:t>
      </w:r>
      <w:r>
        <w:rPr>
          <w:rFonts w:hint="eastAsia"/>
          <w:color w:val="auto"/>
          <w:sz w:val="24"/>
          <w:szCs w:val="28"/>
          <w:highlight w:val="none"/>
        </w:rPr>
        <w:t>其他资料</w:t>
      </w:r>
    </w:p>
    <w:p w14:paraId="5173CD22">
      <w:pPr>
        <w:spacing w:line="440" w:lineRule="exact"/>
        <w:rPr>
          <w:rFonts w:hint="eastAsia" w:ascii="楷体_GB2312" w:hAnsi="楷体_GB2312" w:eastAsia="楷体_GB2312" w:cs="楷体_GB2312"/>
          <w:color w:val="auto"/>
          <w:kern w:val="2"/>
          <w:sz w:val="21"/>
          <w:szCs w:val="24"/>
          <w:highlight w:val="none"/>
          <w:lang w:val="en-US" w:eastAsia="zh-CN" w:bidi="ar-SA"/>
        </w:rPr>
      </w:pPr>
      <w:r>
        <w:rPr>
          <w:rFonts w:hint="eastAsia" w:ascii="楷体_GB2312" w:hAnsi="楷体_GB2312" w:eastAsia="楷体_GB2312" w:cs="楷体_GB2312"/>
          <w:color w:val="auto"/>
          <w:kern w:val="2"/>
          <w:sz w:val="21"/>
          <w:szCs w:val="24"/>
          <w:highlight w:val="none"/>
          <w:lang w:val="en-US" w:eastAsia="zh-CN" w:bidi="ar-SA"/>
        </w:rPr>
        <w:t>注：格式内容由招标人根据实际需要进行调整。</w:t>
      </w:r>
    </w:p>
    <w:p w14:paraId="27BEADB4">
      <w:pPr>
        <w:spacing w:line="540" w:lineRule="exact"/>
        <w:rPr>
          <w:rFonts w:eastAsia="黑体"/>
          <w:color w:val="auto"/>
          <w:sz w:val="20"/>
          <w:highlight w:val="none"/>
        </w:rPr>
      </w:pPr>
    </w:p>
    <w:p w14:paraId="6B5E90DD">
      <w:pPr>
        <w:spacing w:line="540" w:lineRule="exact"/>
        <w:rPr>
          <w:rFonts w:eastAsia="黑体"/>
          <w:color w:val="auto"/>
          <w:sz w:val="20"/>
          <w:highlight w:val="none"/>
        </w:rPr>
      </w:pPr>
    </w:p>
    <w:p w14:paraId="640D868E">
      <w:pPr>
        <w:spacing w:line="540" w:lineRule="exact"/>
        <w:rPr>
          <w:rFonts w:eastAsia="黑体"/>
          <w:color w:val="auto"/>
          <w:sz w:val="20"/>
          <w:highlight w:val="none"/>
        </w:rPr>
      </w:pPr>
    </w:p>
    <w:p w14:paraId="6CE05517">
      <w:pPr>
        <w:spacing w:line="540" w:lineRule="exact"/>
        <w:rPr>
          <w:rFonts w:eastAsia="黑体"/>
          <w:color w:val="auto"/>
          <w:sz w:val="20"/>
          <w:highlight w:val="none"/>
        </w:rPr>
      </w:pPr>
    </w:p>
    <w:p w14:paraId="6BB402FF">
      <w:pPr>
        <w:spacing w:line="540" w:lineRule="exact"/>
        <w:rPr>
          <w:rFonts w:eastAsia="黑体"/>
          <w:color w:val="auto"/>
          <w:sz w:val="20"/>
          <w:highlight w:val="none"/>
        </w:rPr>
      </w:pPr>
    </w:p>
    <w:p w14:paraId="5AB31511">
      <w:pPr>
        <w:rPr>
          <w:color w:val="auto"/>
          <w:highlight w:val="none"/>
        </w:rPr>
      </w:pPr>
      <w:r>
        <w:rPr>
          <w:color w:val="auto"/>
          <w:highlight w:val="none"/>
        </w:rPr>
        <w:br w:type="page"/>
      </w:r>
    </w:p>
    <w:p w14:paraId="6AB1BE1A">
      <w:pPr>
        <w:pStyle w:val="5"/>
        <w:bidi w:val="0"/>
        <w:jc w:val="center"/>
        <w:rPr>
          <w:rFonts w:hint="eastAsia" w:ascii="宋体" w:hAnsi="宋体" w:eastAsia="宋体" w:cs="宋体"/>
          <w:b/>
          <w:bCs w:val="0"/>
          <w:color w:val="auto"/>
          <w:sz w:val="28"/>
          <w:szCs w:val="28"/>
          <w:highlight w:val="none"/>
        </w:rPr>
      </w:pPr>
      <w:bookmarkStart w:id="296" w:name="_Toc25733"/>
      <w:bookmarkStart w:id="297" w:name="_Toc16424"/>
      <w:bookmarkStart w:id="298" w:name="_Toc6243"/>
      <w:bookmarkStart w:id="299" w:name="_Toc22780"/>
      <w:bookmarkStart w:id="300" w:name="_Toc24004"/>
      <w:bookmarkStart w:id="301" w:name="_Toc28018"/>
      <w:bookmarkStart w:id="302" w:name="_Toc12602"/>
      <w:bookmarkStart w:id="303" w:name="_Toc11469"/>
      <w:bookmarkStart w:id="304" w:name="_Toc20246"/>
      <w:bookmarkStart w:id="305" w:name="_Toc21296"/>
      <w:r>
        <w:rPr>
          <w:rFonts w:hint="eastAsia" w:ascii="宋体" w:hAnsi="宋体" w:eastAsia="宋体" w:cs="宋体"/>
          <w:b/>
          <w:bCs w:val="0"/>
          <w:color w:val="auto"/>
          <w:sz w:val="28"/>
          <w:szCs w:val="28"/>
          <w:highlight w:val="none"/>
        </w:rPr>
        <w:t>一、投标函及投标函附录</w:t>
      </w:r>
      <w:bookmarkEnd w:id="296"/>
      <w:bookmarkEnd w:id="297"/>
      <w:bookmarkEnd w:id="298"/>
      <w:bookmarkEnd w:id="299"/>
      <w:bookmarkEnd w:id="300"/>
      <w:bookmarkEnd w:id="301"/>
      <w:bookmarkEnd w:id="302"/>
      <w:bookmarkEnd w:id="303"/>
      <w:bookmarkEnd w:id="304"/>
      <w:bookmarkEnd w:id="305"/>
    </w:p>
    <w:p w14:paraId="5A1C97D8">
      <w:pPr>
        <w:bidi w:val="0"/>
        <w:outlineLvl w:val="9"/>
        <w:rPr>
          <w:rFonts w:ascii="楷体" w:hAnsi="楷体" w:eastAsia="楷体"/>
          <w:color w:val="auto"/>
          <w:sz w:val="24"/>
          <w:szCs w:val="28"/>
          <w:highlight w:val="none"/>
        </w:rPr>
      </w:pPr>
      <w:bookmarkStart w:id="306" w:name="_Toc1199"/>
      <w:bookmarkStart w:id="307" w:name="_Toc13962"/>
      <w:bookmarkStart w:id="308" w:name="_Toc16482"/>
      <w:bookmarkStart w:id="309" w:name="_Toc28989"/>
      <w:bookmarkStart w:id="310" w:name="_Toc4664"/>
      <w:bookmarkStart w:id="311" w:name="_Toc24571"/>
      <w:bookmarkStart w:id="312" w:name="_Toc8229"/>
      <w:bookmarkStart w:id="313" w:name="_Toc9088"/>
      <w:r>
        <w:rPr>
          <w:rFonts w:hint="eastAsia"/>
          <w:color w:val="auto"/>
          <w:sz w:val="24"/>
          <w:szCs w:val="28"/>
          <w:highlight w:val="none"/>
        </w:rPr>
        <w:t>（一）投标函</w:t>
      </w:r>
      <w:bookmarkEnd w:id="306"/>
      <w:bookmarkEnd w:id="307"/>
      <w:bookmarkEnd w:id="308"/>
      <w:bookmarkEnd w:id="309"/>
      <w:bookmarkEnd w:id="310"/>
      <w:bookmarkEnd w:id="311"/>
      <w:bookmarkEnd w:id="312"/>
      <w:bookmarkEnd w:id="313"/>
    </w:p>
    <w:p w14:paraId="3A4162B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（招标人名称）：</w:t>
      </w:r>
    </w:p>
    <w:p w14:paraId="11DD993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1.我方已仔细研究了</w:t>
      </w:r>
      <w:r>
        <w:rPr>
          <w:rFonts w:hint="eastAsia" w:ascii="宋体" w:hAnsi="宋体" w:eastAsia="宋体" w:cs="宋体"/>
          <w:color w:val="auto"/>
          <w:sz w:val="21"/>
          <w:szCs w:val="21"/>
          <w:highlight w:val="none"/>
          <w:u w:val="single"/>
        </w:rPr>
        <w:t>（项目名称）      的</w:t>
      </w:r>
      <w:r>
        <w:rPr>
          <w:rFonts w:hint="eastAsia" w:ascii="宋体" w:hAnsi="宋体" w:eastAsia="宋体" w:cs="宋体"/>
          <w:color w:val="auto"/>
          <w:sz w:val="21"/>
          <w:szCs w:val="21"/>
          <w:highlight w:val="none"/>
        </w:rPr>
        <w:t>监理招标项目招标文件的全部内容，愿意以人民币（大写）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元</w:t>
      </w:r>
      <w:r>
        <w:rPr>
          <w:rFonts w:hint="eastAsia" w:ascii="宋体" w:hAnsi="宋体" w:eastAsia="宋体" w:cs="宋体"/>
          <w:color w:val="auto"/>
          <w:sz w:val="21"/>
          <w:szCs w:val="21"/>
          <w:highlight w:val="none"/>
        </w:rPr>
        <w:t>）的投标总报价（</w:t>
      </w:r>
      <w:r>
        <w:rPr>
          <w:rFonts w:hint="eastAsia" w:ascii="宋体" w:hAnsi="宋体" w:eastAsia="宋体" w:cs="宋体"/>
          <w:color w:val="auto"/>
          <w:sz w:val="21"/>
          <w:szCs w:val="21"/>
          <w:highlight w:val="none"/>
          <w:u w:val="single"/>
        </w:rPr>
        <w:t xml:space="preserve">监理费率为      </w:t>
      </w:r>
      <w:r>
        <w:rPr>
          <w:rFonts w:hint="eastAsia" w:ascii="宋体" w:hAnsi="宋体" w:eastAsia="宋体" w:cs="宋体"/>
          <w:color w:val="auto"/>
          <w:sz w:val="21"/>
          <w:szCs w:val="21"/>
          <w:highlight w:val="none"/>
        </w:rPr>
        <w:t>），监理服务期限：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，按合同约定完成监理工作。</w:t>
      </w:r>
    </w:p>
    <w:p w14:paraId="320C347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我方的投标文件包括下列内容：</w:t>
      </w:r>
    </w:p>
    <w:p w14:paraId="469F01BA">
      <w:pPr>
        <w:spacing w:line="360" w:lineRule="auto"/>
        <w:ind w:firstLine="4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（1）投标函及投标函附录；</w:t>
      </w:r>
    </w:p>
    <w:p w14:paraId="3941882A">
      <w:pPr>
        <w:spacing w:line="360" w:lineRule="auto"/>
        <w:ind w:firstLine="4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（2）法定代表人身份证明或授权委托书；</w:t>
      </w:r>
    </w:p>
    <w:p w14:paraId="1D61989D">
      <w:pPr>
        <w:spacing w:line="360" w:lineRule="auto"/>
        <w:ind w:firstLine="405"/>
        <w:rPr>
          <w:rFonts w:hint="eastAsia" w:ascii="宋体" w:hAnsi="宋体" w:eastAsia="宋体" w:cs="宋体"/>
          <w:strike/>
          <w:dstrike w:val="0"/>
          <w:color w:val="auto"/>
          <w:sz w:val="21"/>
          <w:szCs w:val="21"/>
          <w:highlight w:val="none"/>
        </w:rPr>
      </w:pPr>
      <w:r>
        <w:rPr>
          <w:rFonts w:hint="eastAsia" w:ascii="宋体" w:hAnsi="宋体" w:eastAsia="宋体" w:cs="宋体"/>
          <w:strike/>
          <w:dstrike w:val="0"/>
          <w:color w:val="auto"/>
          <w:sz w:val="21"/>
          <w:szCs w:val="21"/>
          <w:highlight w:val="none"/>
          <w:lang w:eastAsia="zh-CN"/>
        </w:rPr>
        <w:t>（</w:t>
      </w:r>
      <w:r>
        <w:rPr>
          <w:rFonts w:hint="eastAsia" w:ascii="宋体" w:hAnsi="宋体" w:eastAsia="宋体" w:cs="宋体"/>
          <w:strike/>
          <w:dstrike w:val="0"/>
          <w:color w:val="auto"/>
          <w:sz w:val="21"/>
          <w:szCs w:val="21"/>
          <w:highlight w:val="none"/>
          <w:lang w:val="en-US" w:eastAsia="zh-CN"/>
        </w:rPr>
        <w:t>3）联合体协议书（如有）；</w:t>
      </w:r>
    </w:p>
    <w:p w14:paraId="577FE720">
      <w:pPr>
        <w:spacing w:line="360" w:lineRule="auto"/>
        <w:ind w:firstLine="40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投标人声明</w:t>
      </w:r>
    </w:p>
    <w:p w14:paraId="4AD4B234">
      <w:pPr>
        <w:spacing w:line="360" w:lineRule="auto"/>
        <w:ind w:firstLine="405"/>
        <w:rPr>
          <w:rFonts w:hint="eastAsia" w:ascii="宋体" w:hAnsi="宋体" w:eastAsia="宋体" w:cs="宋体"/>
          <w:strike/>
          <w:dstrike w:val="0"/>
          <w:color w:val="auto"/>
          <w:sz w:val="21"/>
          <w:szCs w:val="21"/>
          <w:highlight w:val="none"/>
        </w:rPr>
      </w:pPr>
      <w:r>
        <w:rPr>
          <w:rFonts w:hint="eastAsia" w:ascii="宋体" w:hAnsi="宋体" w:eastAsia="宋体" w:cs="宋体"/>
          <w:strike/>
          <w:dstrike w:val="0"/>
          <w:color w:val="auto"/>
          <w:sz w:val="21"/>
          <w:szCs w:val="21"/>
          <w:highlight w:val="none"/>
          <w:lang w:eastAsia="zh-CN"/>
        </w:rPr>
        <w:t>（</w:t>
      </w:r>
      <w:r>
        <w:rPr>
          <w:rFonts w:hint="eastAsia" w:ascii="宋体" w:hAnsi="宋体" w:eastAsia="宋体" w:cs="宋体"/>
          <w:strike/>
          <w:dstrike w:val="0"/>
          <w:color w:val="auto"/>
          <w:sz w:val="21"/>
          <w:szCs w:val="21"/>
          <w:highlight w:val="none"/>
          <w:lang w:val="en-US" w:eastAsia="zh-CN"/>
        </w:rPr>
        <w:t>5）</w:t>
      </w:r>
      <w:r>
        <w:rPr>
          <w:rFonts w:hint="eastAsia" w:ascii="宋体" w:hAnsi="宋体" w:eastAsia="宋体" w:cs="宋体"/>
          <w:strike/>
          <w:dstrike w:val="0"/>
          <w:color w:val="auto"/>
          <w:sz w:val="21"/>
          <w:szCs w:val="21"/>
          <w:highlight w:val="none"/>
        </w:rPr>
        <w:t>投标保证金</w:t>
      </w:r>
      <w:r>
        <w:rPr>
          <w:rFonts w:hint="eastAsia" w:ascii="宋体" w:hAnsi="宋体" w:eastAsia="宋体" w:cs="宋体"/>
          <w:strike/>
          <w:dstrike w:val="0"/>
          <w:color w:val="auto"/>
          <w:sz w:val="21"/>
          <w:szCs w:val="21"/>
          <w:highlight w:val="none"/>
          <w:lang w:eastAsia="zh-CN"/>
        </w:rPr>
        <w:t>（</w:t>
      </w:r>
      <w:r>
        <w:rPr>
          <w:rFonts w:hint="eastAsia" w:ascii="宋体" w:hAnsi="宋体" w:eastAsia="宋体" w:cs="宋体"/>
          <w:strike/>
          <w:dstrike w:val="0"/>
          <w:color w:val="auto"/>
          <w:sz w:val="21"/>
          <w:szCs w:val="21"/>
          <w:highlight w:val="none"/>
          <w:lang w:val="en-US" w:eastAsia="zh-CN"/>
        </w:rPr>
        <w:t>如有）</w:t>
      </w:r>
      <w:r>
        <w:rPr>
          <w:rFonts w:hint="eastAsia" w:ascii="宋体" w:hAnsi="宋体" w:eastAsia="宋体" w:cs="宋体"/>
          <w:strike/>
          <w:dstrike w:val="0"/>
          <w:color w:val="auto"/>
          <w:sz w:val="21"/>
          <w:szCs w:val="21"/>
          <w:highlight w:val="none"/>
        </w:rPr>
        <w:t>；</w:t>
      </w:r>
    </w:p>
    <w:p w14:paraId="0E65A22D">
      <w:pPr>
        <w:spacing w:line="360" w:lineRule="auto"/>
        <w:ind w:firstLine="4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）监理报酬清单；</w:t>
      </w:r>
    </w:p>
    <w:p w14:paraId="5A46427F">
      <w:pPr>
        <w:spacing w:line="360" w:lineRule="auto"/>
        <w:ind w:firstLine="4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）资格审查资料；</w:t>
      </w:r>
    </w:p>
    <w:p w14:paraId="7FD65966">
      <w:pPr>
        <w:spacing w:line="360" w:lineRule="auto"/>
        <w:ind w:firstLine="4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）监理大纲；</w:t>
      </w:r>
    </w:p>
    <w:p w14:paraId="2DE24F7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）其他资料。投标文件的上述组成部分如存在内容不一致的，以投标函为准。</w:t>
      </w:r>
    </w:p>
    <w:p w14:paraId="775C577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3．我方承诺在招标文件规定的投标有效期内不撤销投标文件。</w:t>
      </w:r>
    </w:p>
    <w:p w14:paraId="7061ECF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4．如我方中标，我方承诺：</w:t>
      </w:r>
    </w:p>
    <w:p w14:paraId="51E0D51C">
      <w:pPr>
        <w:spacing w:line="360" w:lineRule="auto"/>
        <w:ind w:left="945" w:leftChars="400" w:hanging="105" w:hanging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（1）在收到中标通知书后，在中标通知书规定的期限内与你方签订合同；</w:t>
      </w:r>
    </w:p>
    <w:p w14:paraId="1D6DF4DE">
      <w:pPr>
        <w:spacing w:line="360" w:lineRule="auto"/>
        <w:ind w:left="945" w:leftChars="400" w:hanging="105" w:hanging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（2）在签订合同时不向你方提出附加条件；</w:t>
      </w:r>
    </w:p>
    <w:p w14:paraId="3B282AB6">
      <w:pPr>
        <w:spacing w:line="360" w:lineRule="auto"/>
        <w:ind w:left="945" w:leftChars="400" w:hanging="105" w:hanging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（3）按照招标文件要求提交履约保证金；</w:t>
      </w:r>
    </w:p>
    <w:p w14:paraId="7A1BFD4B">
      <w:pPr>
        <w:spacing w:line="360" w:lineRule="auto"/>
        <w:ind w:left="945" w:leftChars="400" w:hanging="105" w:hanging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（4）在合同约定的期限内完成合同规定的全部义务</w:t>
      </w:r>
      <w:r>
        <w:rPr>
          <w:rFonts w:hint="eastAsia" w:ascii="宋体" w:hAnsi="宋体" w:eastAsia="宋体" w:cs="宋体"/>
          <w:color w:val="auto"/>
          <w:sz w:val="21"/>
          <w:szCs w:val="21"/>
          <w:highlight w:val="none"/>
          <w:lang w:eastAsia="zh-CN"/>
        </w:rPr>
        <w:t>；</w:t>
      </w:r>
    </w:p>
    <w:p w14:paraId="61ED23D5">
      <w:pPr>
        <w:pStyle w:val="18"/>
        <w:ind w:firstLine="840" w:firstLineChars="4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（5）承诺本项目拟投入的人员为本单位人员，并已按规定购买社保。</w:t>
      </w:r>
    </w:p>
    <w:p w14:paraId="2D51012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5．我方在此声明，所递交的投标文件及有关资料内容完整、真实和准确，且不存在第二章“投标人须知”第1.4.3项规定的任何一种情形。</w:t>
      </w:r>
    </w:p>
    <w:p w14:paraId="4CECB51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（其他补充说明）。</w:t>
      </w:r>
    </w:p>
    <w:p w14:paraId="17880BC6">
      <w:pPr>
        <w:spacing w:line="360" w:lineRule="auto"/>
        <w:ind w:firstLine="2520" w:firstLineChars="1200"/>
        <w:jc w:val="left"/>
        <w:rPr>
          <w:rFonts w:hint="eastAsia" w:ascii="宋体" w:hAnsi="宋体" w:eastAsia="宋体" w:cs="宋体"/>
          <w:color w:val="auto"/>
          <w:sz w:val="21"/>
          <w:szCs w:val="21"/>
          <w:highlight w:val="none"/>
        </w:rPr>
      </w:pPr>
    </w:p>
    <w:p w14:paraId="735FE7E0">
      <w:pPr>
        <w:spacing w:line="360" w:lineRule="auto"/>
        <w:ind w:firstLine="2520" w:firstLineChars="1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（盖单位章）</w:t>
      </w:r>
    </w:p>
    <w:p w14:paraId="14839AAF">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（签字或盖章）</w:t>
      </w:r>
    </w:p>
    <w:p w14:paraId="0C3DF8AF">
      <w:pPr>
        <w:spacing w:line="360" w:lineRule="auto"/>
        <w:ind w:firstLine="2520" w:firstLineChars="1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（签字）</w:t>
      </w:r>
    </w:p>
    <w:p w14:paraId="64A53066">
      <w:pPr>
        <w:spacing w:line="360" w:lineRule="auto"/>
        <w:ind w:firstLine="2520" w:firstLineChars="1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p>
    <w:p w14:paraId="4DCFC448">
      <w:pPr>
        <w:spacing w:line="360" w:lineRule="auto"/>
        <w:ind w:firstLine="2520" w:firstLineChars="1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    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p>
    <w:p w14:paraId="7F94107A">
      <w:pPr>
        <w:spacing w:line="360" w:lineRule="auto"/>
        <w:ind w:firstLine="2520" w:firstLineChars="1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p>
    <w:p w14:paraId="1A28E7E1">
      <w:pPr>
        <w:spacing w:line="360" w:lineRule="auto"/>
        <w:ind w:firstLine="2520" w:firstLineChars="1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p>
    <w:p w14:paraId="3E7DE943">
      <w:pPr>
        <w:spacing w:line="360" w:lineRule="auto"/>
        <w:ind w:firstLine="2520" w:firstLineChars="1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p>
    <w:p w14:paraId="4B6735D3">
      <w:pPr>
        <w:spacing w:line="360" w:lineRule="auto"/>
        <w:ind w:firstLine="4725" w:firstLineChars="225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38FC96C">
      <w:pPr>
        <w:spacing w:line="440" w:lineRule="exact"/>
        <w:rPr>
          <w:rFonts w:eastAsia="黑体"/>
          <w:color w:val="auto"/>
          <w:sz w:val="20"/>
          <w:highlight w:val="none"/>
        </w:rPr>
      </w:pPr>
    </w:p>
    <w:p w14:paraId="4503E6C6">
      <w:pPr>
        <w:spacing w:line="440" w:lineRule="exact"/>
        <w:rPr>
          <w:rFonts w:eastAsia="黑体"/>
          <w:color w:val="auto"/>
          <w:sz w:val="20"/>
          <w:highlight w:val="none"/>
        </w:rPr>
      </w:pPr>
    </w:p>
    <w:p w14:paraId="0B69F5A0">
      <w:pPr>
        <w:pStyle w:val="5"/>
        <w:keepNext w:val="0"/>
        <w:keepLines w:val="0"/>
        <w:ind w:firstLine="137"/>
        <w:outlineLvl w:val="9"/>
        <w:rPr>
          <w:rFonts w:hint="eastAsia"/>
          <w:color w:val="auto"/>
          <w:highlight w:val="none"/>
        </w:rPr>
      </w:pPr>
      <w:bookmarkStart w:id="314" w:name="_Toc20301"/>
      <w:bookmarkStart w:id="315" w:name="_Toc28127"/>
      <w:bookmarkStart w:id="316" w:name="_Toc30886"/>
      <w:bookmarkStart w:id="317" w:name="_Toc6106"/>
      <w:bookmarkStart w:id="318" w:name="_Toc29652"/>
      <w:bookmarkStart w:id="319" w:name="_Toc19781"/>
      <w:bookmarkStart w:id="320" w:name="_Toc12051"/>
    </w:p>
    <w:p w14:paraId="47DF8F6D">
      <w:pPr>
        <w:bidi w:val="0"/>
        <w:outlineLvl w:val="9"/>
        <w:rPr>
          <w:rFonts w:hint="eastAsia" w:eastAsia="宋体"/>
          <w:color w:val="auto"/>
          <w:highlight w:val="none"/>
          <w:lang w:eastAsia="zh-CN"/>
        </w:rPr>
      </w:pPr>
      <w:bookmarkStart w:id="321" w:name="_Toc15566"/>
      <w:bookmarkStart w:id="322" w:name="_Toc14797"/>
      <w:r>
        <w:rPr>
          <w:rFonts w:hint="eastAsia"/>
          <w:color w:val="auto"/>
          <w:highlight w:val="none"/>
        </w:rPr>
        <w:br w:type="page"/>
      </w:r>
      <w:r>
        <w:rPr>
          <w:rFonts w:hint="eastAsia"/>
          <w:color w:val="auto"/>
          <w:sz w:val="24"/>
          <w:szCs w:val="28"/>
          <w:highlight w:val="none"/>
        </w:rPr>
        <w:t>（二）投标函附录</w:t>
      </w:r>
      <w:bookmarkEnd w:id="314"/>
      <w:bookmarkEnd w:id="315"/>
      <w:bookmarkEnd w:id="316"/>
      <w:bookmarkEnd w:id="317"/>
      <w:bookmarkEnd w:id="318"/>
      <w:bookmarkEnd w:id="319"/>
      <w:bookmarkEnd w:id="320"/>
      <w:bookmarkEnd w:id="321"/>
      <w:bookmarkEnd w:id="322"/>
      <w:r>
        <w:rPr>
          <w:rFonts w:hint="eastAsia"/>
          <w:color w:val="auto"/>
          <w:sz w:val="24"/>
          <w:szCs w:val="28"/>
          <w:highlight w:val="none"/>
          <w:lang w:eastAsia="zh-CN"/>
        </w:rPr>
        <w:t>（格式一）</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161"/>
        <w:gridCol w:w="4228"/>
        <w:gridCol w:w="1117"/>
      </w:tblGrid>
      <w:tr w14:paraId="4E111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3" w:type="dxa"/>
            <w:noWrap w:val="0"/>
            <w:vAlign w:val="center"/>
          </w:tcPr>
          <w:p w14:paraId="47235C8C">
            <w:pPr>
              <w:spacing w:line="440" w:lineRule="exact"/>
              <w:jc w:val="center"/>
              <w:rPr>
                <w:rFonts w:ascii="宋体" w:cs="宋体"/>
                <w:b/>
                <w:color w:val="auto"/>
                <w:szCs w:val="21"/>
                <w:highlight w:val="none"/>
              </w:rPr>
            </w:pPr>
            <w:r>
              <w:rPr>
                <w:rFonts w:hint="eastAsia" w:ascii="宋体" w:hAnsi="宋体" w:cs="宋体"/>
                <w:b/>
                <w:color w:val="auto"/>
                <w:szCs w:val="21"/>
                <w:highlight w:val="none"/>
              </w:rPr>
              <w:t>序号</w:t>
            </w:r>
          </w:p>
        </w:tc>
        <w:tc>
          <w:tcPr>
            <w:tcW w:w="2161" w:type="dxa"/>
            <w:noWrap w:val="0"/>
            <w:vAlign w:val="center"/>
          </w:tcPr>
          <w:p w14:paraId="7E6118DB">
            <w:pPr>
              <w:spacing w:line="440" w:lineRule="exact"/>
              <w:jc w:val="center"/>
              <w:rPr>
                <w:rFonts w:ascii="宋体" w:cs="宋体"/>
                <w:b/>
                <w:color w:val="auto"/>
                <w:szCs w:val="21"/>
                <w:highlight w:val="none"/>
              </w:rPr>
            </w:pPr>
            <w:r>
              <w:rPr>
                <w:rFonts w:hint="eastAsia" w:ascii="宋体" w:hAnsi="宋体" w:cs="宋体"/>
                <w:b/>
                <w:color w:val="auto"/>
                <w:szCs w:val="21"/>
                <w:highlight w:val="none"/>
              </w:rPr>
              <w:t>条款名称</w:t>
            </w:r>
          </w:p>
        </w:tc>
        <w:tc>
          <w:tcPr>
            <w:tcW w:w="4228" w:type="dxa"/>
            <w:noWrap w:val="0"/>
            <w:vAlign w:val="center"/>
          </w:tcPr>
          <w:p w14:paraId="4744A810">
            <w:pPr>
              <w:spacing w:line="440" w:lineRule="exact"/>
              <w:jc w:val="center"/>
              <w:rPr>
                <w:rFonts w:ascii="宋体" w:cs="宋体"/>
                <w:b/>
                <w:color w:val="auto"/>
                <w:szCs w:val="21"/>
                <w:highlight w:val="none"/>
              </w:rPr>
            </w:pPr>
            <w:r>
              <w:rPr>
                <w:rFonts w:hint="eastAsia" w:ascii="宋体" w:hAnsi="宋体" w:cs="宋体"/>
                <w:b/>
                <w:color w:val="auto"/>
                <w:szCs w:val="21"/>
                <w:highlight w:val="none"/>
              </w:rPr>
              <w:t>约定内容</w:t>
            </w:r>
          </w:p>
        </w:tc>
        <w:tc>
          <w:tcPr>
            <w:tcW w:w="1117" w:type="dxa"/>
            <w:noWrap w:val="0"/>
            <w:vAlign w:val="center"/>
          </w:tcPr>
          <w:p w14:paraId="4B700BC7">
            <w:pPr>
              <w:spacing w:line="440" w:lineRule="exact"/>
              <w:jc w:val="center"/>
              <w:rPr>
                <w:rFonts w:ascii="宋体" w:cs="宋体"/>
                <w:b/>
                <w:color w:val="auto"/>
                <w:szCs w:val="21"/>
                <w:highlight w:val="none"/>
              </w:rPr>
            </w:pPr>
            <w:r>
              <w:rPr>
                <w:rFonts w:hint="eastAsia" w:ascii="宋体" w:hAnsi="宋体" w:cs="宋体"/>
                <w:b/>
                <w:color w:val="auto"/>
                <w:szCs w:val="21"/>
                <w:highlight w:val="none"/>
              </w:rPr>
              <w:t>备注</w:t>
            </w:r>
          </w:p>
        </w:tc>
      </w:tr>
      <w:tr w14:paraId="3D8B6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3" w:type="dxa"/>
            <w:noWrap w:val="0"/>
            <w:vAlign w:val="center"/>
          </w:tcPr>
          <w:p w14:paraId="1F803CCA">
            <w:pPr>
              <w:spacing w:line="440" w:lineRule="exact"/>
              <w:jc w:val="center"/>
              <w:rPr>
                <w:rFonts w:ascii="宋体" w:cs="宋体"/>
                <w:color w:val="auto"/>
                <w:szCs w:val="21"/>
                <w:highlight w:val="none"/>
              </w:rPr>
            </w:pPr>
            <w:r>
              <w:rPr>
                <w:rFonts w:ascii="宋体" w:hAnsi="宋体" w:cs="宋体"/>
                <w:color w:val="auto"/>
                <w:szCs w:val="21"/>
                <w:highlight w:val="none"/>
              </w:rPr>
              <w:t>1</w:t>
            </w:r>
          </w:p>
        </w:tc>
        <w:tc>
          <w:tcPr>
            <w:tcW w:w="2161" w:type="dxa"/>
            <w:noWrap w:val="0"/>
            <w:vAlign w:val="center"/>
          </w:tcPr>
          <w:p w14:paraId="16BF340B">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总监理工程师</w:t>
            </w:r>
          </w:p>
        </w:tc>
        <w:tc>
          <w:tcPr>
            <w:tcW w:w="4228" w:type="dxa"/>
            <w:noWrap w:val="0"/>
            <w:vAlign w:val="center"/>
          </w:tcPr>
          <w:p w14:paraId="7DBE02A4">
            <w:pPr>
              <w:spacing w:line="440" w:lineRule="exact"/>
              <w:jc w:val="left"/>
              <w:rPr>
                <w:rFonts w:ascii="宋体" w:cs="宋体"/>
                <w:color w:val="auto"/>
                <w:szCs w:val="21"/>
                <w:highlight w:val="none"/>
              </w:rPr>
            </w:pPr>
            <w:r>
              <w:rPr>
                <w:rFonts w:hint="eastAsia" w:ascii="宋体" w:hAnsi="宋体" w:cs="宋体"/>
                <w:color w:val="auto"/>
                <w:szCs w:val="21"/>
                <w:highlight w:val="none"/>
              </w:rPr>
              <w:t>姓名：</w:t>
            </w:r>
            <w:r>
              <w:rPr>
                <w:rFonts w:ascii="宋体" w:hAnsi="宋体" w:cs="宋体"/>
                <w:color w:val="auto"/>
                <w:szCs w:val="21"/>
                <w:highlight w:val="none"/>
              </w:rPr>
              <w:t xml:space="preserve">                         </w:t>
            </w:r>
          </w:p>
          <w:p w14:paraId="64B4224D">
            <w:pPr>
              <w:spacing w:line="440" w:lineRule="exact"/>
              <w:jc w:val="left"/>
              <w:rPr>
                <w:rFonts w:ascii="宋体" w:cs="宋体"/>
                <w:color w:val="auto"/>
                <w:szCs w:val="21"/>
                <w:highlight w:val="none"/>
              </w:rPr>
            </w:pPr>
            <w:r>
              <w:rPr>
                <w:rFonts w:hint="eastAsia" w:ascii="宋体" w:hAnsi="宋体" w:cs="宋体"/>
                <w:color w:val="auto"/>
                <w:szCs w:val="21"/>
                <w:highlight w:val="none"/>
              </w:rPr>
              <w:t>技术职称</w:t>
            </w:r>
            <w:r>
              <w:rPr>
                <w:rFonts w:ascii="宋体" w:hAnsi="宋体" w:cs="宋体"/>
                <w:color w:val="auto"/>
                <w:szCs w:val="21"/>
                <w:highlight w:val="none"/>
              </w:rPr>
              <w:t xml:space="preserve"> </w:t>
            </w:r>
            <w:r>
              <w:rPr>
                <w:rFonts w:hint="eastAsia" w:ascii="宋体" w:hAnsi="宋体" w:cs="宋体"/>
                <w:color w:val="auto"/>
                <w:szCs w:val="21"/>
                <w:highlight w:val="none"/>
              </w:rPr>
              <w:t>：</w:t>
            </w:r>
            <w:r>
              <w:rPr>
                <w:rFonts w:ascii="宋体" w:hAnsi="宋体" w:cs="宋体"/>
                <w:color w:val="auto"/>
                <w:szCs w:val="21"/>
                <w:highlight w:val="none"/>
              </w:rPr>
              <w:t xml:space="preserve">                    </w:t>
            </w:r>
          </w:p>
          <w:p w14:paraId="569F9E12">
            <w:pPr>
              <w:spacing w:line="440" w:lineRule="exact"/>
              <w:jc w:val="left"/>
              <w:rPr>
                <w:rFonts w:ascii="宋体" w:cs="宋体"/>
                <w:color w:val="auto"/>
                <w:szCs w:val="21"/>
                <w:highlight w:val="none"/>
              </w:rPr>
            </w:pPr>
            <w:r>
              <w:rPr>
                <w:rFonts w:hint="eastAsia" w:ascii="宋体" w:hAnsi="宋体" w:cs="宋体"/>
                <w:color w:val="auto"/>
                <w:szCs w:val="21"/>
                <w:highlight w:val="none"/>
              </w:rPr>
              <w:t>注册证号：</w:t>
            </w:r>
            <w:r>
              <w:rPr>
                <w:rFonts w:ascii="宋体" w:hAnsi="宋体" w:cs="宋体"/>
                <w:color w:val="auto"/>
                <w:szCs w:val="21"/>
                <w:highlight w:val="none"/>
              </w:rPr>
              <w:t xml:space="preserve">                    </w:t>
            </w:r>
          </w:p>
        </w:tc>
        <w:tc>
          <w:tcPr>
            <w:tcW w:w="1117" w:type="dxa"/>
            <w:noWrap w:val="0"/>
            <w:vAlign w:val="center"/>
          </w:tcPr>
          <w:p w14:paraId="7D4F9832">
            <w:pPr>
              <w:spacing w:line="440" w:lineRule="exact"/>
              <w:jc w:val="left"/>
              <w:rPr>
                <w:rFonts w:ascii="宋体" w:cs="宋体"/>
                <w:color w:val="auto"/>
                <w:szCs w:val="21"/>
                <w:highlight w:val="none"/>
              </w:rPr>
            </w:pPr>
          </w:p>
        </w:tc>
      </w:tr>
      <w:tr w14:paraId="587C1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3" w:type="dxa"/>
            <w:noWrap w:val="0"/>
            <w:vAlign w:val="center"/>
          </w:tcPr>
          <w:p w14:paraId="75E4768E">
            <w:pPr>
              <w:spacing w:line="440" w:lineRule="exact"/>
              <w:jc w:val="center"/>
              <w:rPr>
                <w:rFonts w:hint="eastAsia" w:ascii="宋体" w:eastAsia="宋体" w:cs="宋体"/>
                <w:color w:val="auto"/>
                <w:szCs w:val="21"/>
                <w:highlight w:val="none"/>
                <w:lang w:eastAsia="zh-CN"/>
              </w:rPr>
            </w:pPr>
            <w:r>
              <w:rPr>
                <w:rFonts w:hint="eastAsia" w:ascii="宋体" w:hAnsi="宋体" w:cs="宋体"/>
                <w:color w:val="auto"/>
                <w:szCs w:val="21"/>
                <w:highlight w:val="none"/>
                <w:lang w:val="en-US" w:eastAsia="zh-CN"/>
              </w:rPr>
              <w:t>2</w:t>
            </w:r>
          </w:p>
        </w:tc>
        <w:tc>
          <w:tcPr>
            <w:tcW w:w="2161" w:type="dxa"/>
            <w:noWrap w:val="0"/>
            <w:vAlign w:val="center"/>
          </w:tcPr>
          <w:p w14:paraId="65C182AE">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合同价款确定方式</w:t>
            </w:r>
          </w:p>
        </w:tc>
        <w:tc>
          <w:tcPr>
            <w:tcW w:w="4228" w:type="dxa"/>
            <w:noWrap w:val="0"/>
            <w:vAlign w:val="center"/>
          </w:tcPr>
          <w:p w14:paraId="2A106611">
            <w:pPr>
              <w:spacing w:line="440" w:lineRule="exact"/>
              <w:jc w:val="left"/>
              <w:rPr>
                <w:rFonts w:ascii="宋体" w:cs="宋体"/>
                <w:color w:val="auto"/>
                <w:szCs w:val="21"/>
                <w:highlight w:val="none"/>
              </w:rPr>
            </w:pPr>
          </w:p>
        </w:tc>
        <w:tc>
          <w:tcPr>
            <w:tcW w:w="1117" w:type="dxa"/>
            <w:noWrap w:val="0"/>
            <w:vAlign w:val="center"/>
          </w:tcPr>
          <w:p w14:paraId="0BE26D08">
            <w:pPr>
              <w:spacing w:line="440" w:lineRule="exact"/>
              <w:jc w:val="left"/>
              <w:rPr>
                <w:rFonts w:ascii="宋体" w:cs="宋体"/>
                <w:color w:val="auto"/>
                <w:szCs w:val="21"/>
                <w:highlight w:val="none"/>
              </w:rPr>
            </w:pPr>
          </w:p>
        </w:tc>
      </w:tr>
      <w:tr w14:paraId="59E15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3" w:type="dxa"/>
            <w:noWrap w:val="0"/>
            <w:vAlign w:val="center"/>
          </w:tcPr>
          <w:p w14:paraId="62E7541B">
            <w:pPr>
              <w:spacing w:line="440" w:lineRule="exact"/>
              <w:jc w:val="center"/>
              <w:rPr>
                <w:rFonts w:hint="eastAsia" w:ascii="宋体" w:eastAsia="宋体" w:cs="宋体"/>
                <w:color w:val="auto"/>
                <w:szCs w:val="21"/>
                <w:highlight w:val="none"/>
                <w:lang w:eastAsia="zh-CN"/>
              </w:rPr>
            </w:pPr>
            <w:r>
              <w:rPr>
                <w:rFonts w:hint="eastAsia" w:ascii="宋体" w:hAnsi="宋体" w:cs="宋体"/>
                <w:color w:val="auto"/>
                <w:szCs w:val="21"/>
                <w:highlight w:val="none"/>
                <w:lang w:val="en-US" w:eastAsia="zh-CN"/>
              </w:rPr>
              <w:t>3</w:t>
            </w:r>
          </w:p>
        </w:tc>
        <w:tc>
          <w:tcPr>
            <w:tcW w:w="2161" w:type="dxa"/>
            <w:noWrap w:val="0"/>
            <w:vAlign w:val="center"/>
          </w:tcPr>
          <w:p w14:paraId="2675C6F7">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质量标准</w:t>
            </w:r>
          </w:p>
        </w:tc>
        <w:tc>
          <w:tcPr>
            <w:tcW w:w="4228" w:type="dxa"/>
            <w:noWrap w:val="0"/>
            <w:vAlign w:val="center"/>
          </w:tcPr>
          <w:p w14:paraId="247D062A">
            <w:pPr>
              <w:spacing w:line="440" w:lineRule="exact"/>
              <w:jc w:val="left"/>
              <w:rPr>
                <w:rFonts w:ascii="宋体" w:cs="宋体"/>
                <w:color w:val="auto"/>
                <w:szCs w:val="21"/>
                <w:highlight w:val="none"/>
              </w:rPr>
            </w:pPr>
          </w:p>
        </w:tc>
        <w:tc>
          <w:tcPr>
            <w:tcW w:w="1117" w:type="dxa"/>
            <w:noWrap w:val="0"/>
            <w:vAlign w:val="center"/>
          </w:tcPr>
          <w:p w14:paraId="18C29DC6">
            <w:pPr>
              <w:spacing w:line="440" w:lineRule="exact"/>
              <w:jc w:val="left"/>
              <w:rPr>
                <w:rFonts w:ascii="宋体" w:cs="宋体"/>
                <w:color w:val="auto"/>
                <w:szCs w:val="21"/>
                <w:highlight w:val="none"/>
              </w:rPr>
            </w:pPr>
          </w:p>
        </w:tc>
      </w:tr>
      <w:tr w14:paraId="06E9C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33" w:type="dxa"/>
            <w:noWrap w:val="0"/>
            <w:vAlign w:val="center"/>
          </w:tcPr>
          <w:p w14:paraId="766761FC">
            <w:pPr>
              <w:spacing w:line="440" w:lineRule="exact"/>
              <w:jc w:val="center"/>
              <w:rPr>
                <w:rFonts w:hint="eastAsia" w:ascii="宋体" w:eastAsia="宋体" w:cs="宋体"/>
                <w:color w:val="auto"/>
                <w:szCs w:val="21"/>
                <w:highlight w:val="none"/>
                <w:lang w:eastAsia="zh-CN"/>
              </w:rPr>
            </w:pPr>
            <w:r>
              <w:rPr>
                <w:rFonts w:hint="eastAsia" w:ascii="宋体" w:hAnsi="宋体" w:cs="宋体"/>
                <w:color w:val="auto"/>
                <w:szCs w:val="21"/>
                <w:highlight w:val="none"/>
                <w:lang w:val="en-US" w:eastAsia="zh-CN"/>
              </w:rPr>
              <w:t>4</w:t>
            </w:r>
          </w:p>
        </w:tc>
        <w:tc>
          <w:tcPr>
            <w:tcW w:w="2161" w:type="dxa"/>
            <w:noWrap w:val="0"/>
            <w:vAlign w:val="center"/>
          </w:tcPr>
          <w:p w14:paraId="75419B38">
            <w:pPr>
              <w:spacing w:line="44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rPr>
              <w:t>监理</w:t>
            </w:r>
            <w:r>
              <w:rPr>
                <w:rFonts w:hint="eastAsia" w:ascii="宋体" w:hAnsi="宋体" w:cs="宋体"/>
                <w:color w:val="auto"/>
                <w:szCs w:val="21"/>
                <w:highlight w:val="none"/>
                <w:lang w:eastAsia="zh-CN"/>
              </w:rPr>
              <w:t>服务期限</w:t>
            </w:r>
          </w:p>
        </w:tc>
        <w:tc>
          <w:tcPr>
            <w:tcW w:w="4228" w:type="dxa"/>
            <w:noWrap w:val="0"/>
            <w:vAlign w:val="center"/>
          </w:tcPr>
          <w:p w14:paraId="149F9883">
            <w:pPr>
              <w:spacing w:line="440" w:lineRule="exact"/>
              <w:jc w:val="left"/>
              <w:rPr>
                <w:rFonts w:ascii="宋体" w:cs="宋体"/>
                <w:color w:val="auto"/>
                <w:szCs w:val="21"/>
                <w:highlight w:val="none"/>
              </w:rPr>
            </w:pPr>
          </w:p>
        </w:tc>
        <w:tc>
          <w:tcPr>
            <w:tcW w:w="1117" w:type="dxa"/>
            <w:noWrap w:val="0"/>
            <w:vAlign w:val="center"/>
          </w:tcPr>
          <w:p w14:paraId="23C35803">
            <w:pPr>
              <w:spacing w:line="440" w:lineRule="exact"/>
              <w:jc w:val="left"/>
              <w:rPr>
                <w:rFonts w:ascii="宋体" w:cs="宋体"/>
                <w:color w:val="auto"/>
                <w:szCs w:val="21"/>
                <w:highlight w:val="none"/>
              </w:rPr>
            </w:pPr>
          </w:p>
        </w:tc>
      </w:tr>
      <w:tr w14:paraId="7A415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33" w:type="dxa"/>
            <w:noWrap w:val="0"/>
            <w:vAlign w:val="center"/>
          </w:tcPr>
          <w:p w14:paraId="5436538C">
            <w:pPr>
              <w:spacing w:line="440" w:lineRule="exact"/>
              <w:jc w:val="center"/>
              <w:rPr>
                <w:rFonts w:hint="eastAsia" w:asci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2161" w:type="dxa"/>
            <w:noWrap w:val="0"/>
            <w:vAlign w:val="center"/>
          </w:tcPr>
          <w:p w14:paraId="08137C70">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暂定工程费（元）</w:t>
            </w:r>
          </w:p>
        </w:tc>
        <w:tc>
          <w:tcPr>
            <w:tcW w:w="4228" w:type="dxa"/>
            <w:noWrap w:val="0"/>
            <w:vAlign w:val="center"/>
          </w:tcPr>
          <w:p w14:paraId="50024F2F">
            <w:pPr>
              <w:spacing w:line="440" w:lineRule="exact"/>
              <w:jc w:val="left"/>
              <w:rPr>
                <w:rFonts w:hint="eastAsia" w:ascii="宋体" w:hAnsi="宋体" w:eastAsia="宋体" w:cs="宋体"/>
                <w:color w:val="auto"/>
                <w:szCs w:val="21"/>
                <w:highlight w:val="none"/>
                <w:u w:val="single"/>
              </w:rPr>
            </w:pPr>
          </w:p>
        </w:tc>
        <w:tc>
          <w:tcPr>
            <w:tcW w:w="1117" w:type="dxa"/>
            <w:noWrap w:val="0"/>
            <w:vAlign w:val="center"/>
          </w:tcPr>
          <w:p w14:paraId="1677BB9B">
            <w:pPr>
              <w:spacing w:line="440" w:lineRule="exact"/>
              <w:jc w:val="left"/>
              <w:rPr>
                <w:rFonts w:ascii="宋体" w:cs="宋体"/>
                <w:color w:val="auto"/>
                <w:szCs w:val="21"/>
                <w:highlight w:val="none"/>
              </w:rPr>
            </w:pPr>
          </w:p>
        </w:tc>
      </w:tr>
      <w:tr w14:paraId="7ACAE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3" w:type="dxa"/>
            <w:noWrap w:val="0"/>
            <w:vAlign w:val="center"/>
          </w:tcPr>
          <w:p w14:paraId="35C2AC0E">
            <w:pPr>
              <w:spacing w:line="440" w:lineRule="exact"/>
              <w:jc w:val="center"/>
              <w:rPr>
                <w:rFonts w:hint="eastAsia" w:asci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2161" w:type="dxa"/>
            <w:noWrap w:val="0"/>
            <w:vAlign w:val="center"/>
          </w:tcPr>
          <w:p w14:paraId="5720F624">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投标总报价（元）</w:t>
            </w:r>
          </w:p>
        </w:tc>
        <w:tc>
          <w:tcPr>
            <w:tcW w:w="4228" w:type="dxa"/>
            <w:noWrap w:val="0"/>
            <w:vAlign w:val="center"/>
          </w:tcPr>
          <w:p w14:paraId="132A2F1E">
            <w:pPr>
              <w:spacing w:line="440" w:lineRule="exact"/>
              <w:jc w:val="left"/>
              <w:rPr>
                <w:rFonts w:ascii="宋体" w:cs="宋体"/>
                <w:color w:val="auto"/>
                <w:szCs w:val="21"/>
                <w:highlight w:val="none"/>
              </w:rPr>
            </w:pPr>
          </w:p>
        </w:tc>
        <w:tc>
          <w:tcPr>
            <w:tcW w:w="1117" w:type="dxa"/>
            <w:noWrap w:val="0"/>
            <w:vAlign w:val="center"/>
          </w:tcPr>
          <w:p w14:paraId="4557E85D">
            <w:pPr>
              <w:spacing w:line="440" w:lineRule="exact"/>
              <w:jc w:val="left"/>
              <w:rPr>
                <w:rFonts w:ascii="宋体" w:cs="宋体"/>
                <w:color w:val="auto"/>
                <w:szCs w:val="21"/>
                <w:highlight w:val="none"/>
              </w:rPr>
            </w:pPr>
          </w:p>
        </w:tc>
      </w:tr>
      <w:tr w14:paraId="10B8B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3" w:type="dxa"/>
            <w:noWrap w:val="0"/>
            <w:vAlign w:val="center"/>
          </w:tcPr>
          <w:p w14:paraId="28079293">
            <w:pPr>
              <w:spacing w:line="440" w:lineRule="exact"/>
              <w:jc w:val="center"/>
              <w:rPr>
                <w:rFonts w:hint="eastAsia" w:asci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2161" w:type="dxa"/>
            <w:noWrap w:val="0"/>
            <w:vAlign w:val="center"/>
          </w:tcPr>
          <w:p w14:paraId="190099AA">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监理费率</w:t>
            </w:r>
          </w:p>
        </w:tc>
        <w:tc>
          <w:tcPr>
            <w:tcW w:w="4228" w:type="dxa"/>
            <w:noWrap w:val="0"/>
            <w:vAlign w:val="center"/>
          </w:tcPr>
          <w:p w14:paraId="3FE621E4">
            <w:pPr>
              <w:spacing w:line="440" w:lineRule="exact"/>
              <w:jc w:val="left"/>
              <w:rPr>
                <w:rFonts w:ascii="宋体" w:cs="宋体"/>
                <w:color w:val="auto"/>
                <w:szCs w:val="21"/>
                <w:highlight w:val="none"/>
              </w:rPr>
            </w:pPr>
          </w:p>
        </w:tc>
        <w:tc>
          <w:tcPr>
            <w:tcW w:w="1117" w:type="dxa"/>
            <w:noWrap w:val="0"/>
            <w:vAlign w:val="center"/>
          </w:tcPr>
          <w:p w14:paraId="69D5B1C1">
            <w:pPr>
              <w:spacing w:line="440" w:lineRule="exact"/>
              <w:jc w:val="left"/>
              <w:rPr>
                <w:rFonts w:ascii="宋体" w:cs="宋体"/>
                <w:color w:val="auto"/>
                <w:szCs w:val="21"/>
                <w:highlight w:val="none"/>
              </w:rPr>
            </w:pPr>
          </w:p>
        </w:tc>
      </w:tr>
      <w:tr w14:paraId="08B64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3" w:type="dxa"/>
            <w:noWrap w:val="0"/>
            <w:vAlign w:val="center"/>
          </w:tcPr>
          <w:p w14:paraId="77FFBC72">
            <w:pPr>
              <w:spacing w:line="440" w:lineRule="exact"/>
              <w:jc w:val="center"/>
              <w:rPr>
                <w:rFonts w:hint="eastAsia" w:asci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2161" w:type="dxa"/>
            <w:noWrap w:val="0"/>
            <w:vAlign w:val="center"/>
          </w:tcPr>
          <w:p w14:paraId="047D32D9">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法人营业执照证号</w:t>
            </w:r>
          </w:p>
        </w:tc>
        <w:tc>
          <w:tcPr>
            <w:tcW w:w="4228" w:type="dxa"/>
            <w:noWrap w:val="0"/>
            <w:vAlign w:val="center"/>
          </w:tcPr>
          <w:p w14:paraId="34491C0C">
            <w:pPr>
              <w:spacing w:line="440" w:lineRule="exact"/>
              <w:jc w:val="left"/>
              <w:rPr>
                <w:rFonts w:ascii="宋体" w:cs="宋体"/>
                <w:color w:val="auto"/>
                <w:szCs w:val="21"/>
                <w:highlight w:val="none"/>
              </w:rPr>
            </w:pPr>
          </w:p>
        </w:tc>
        <w:tc>
          <w:tcPr>
            <w:tcW w:w="1117" w:type="dxa"/>
            <w:noWrap w:val="0"/>
            <w:vAlign w:val="center"/>
          </w:tcPr>
          <w:p w14:paraId="7562E659">
            <w:pPr>
              <w:spacing w:line="440" w:lineRule="exact"/>
              <w:jc w:val="left"/>
              <w:rPr>
                <w:rFonts w:ascii="宋体" w:cs="宋体"/>
                <w:color w:val="auto"/>
                <w:szCs w:val="21"/>
                <w:highlight w:val="none"/>
              </w:rPr>
            </w:pPr>
          </w:p>
        </w:tc>
      </w:tr>
      <w:tr w14:paraId="7DDA6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3" w:type="dxa"/>
            <w:noWrap w:val="0"/>
            <w:vAlign w:val="center"/>
          </w:tcPr>
          <w:p w14:paraId="62C9F32A">
            <w:pPr>
              <w:spacing w:line="440" w:lineRule="exact"/>
              <w:jc w:val="center"/>
              <w:rPr>
                <w:rFonts w:hint="eastAsia" w:asci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2161" w:type="dxa"/>
            <w:noWrap w:val="0"/>
            <w:vAlign w:val="center"/>
          </w:tcPr>
          <w:p w14:paraId="28B05938">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资质等级及证书号</w:t>
            </w:r>
          </w:p>
        </w:tc>
        <w:tc>
          <w:tcPr>
            <w:tcW w:w="4228" w:type="dxa"/>
            <w:noWrap w:val="0"/>
            <w:vAlign w:val="center"/>
          </w:tcPr>
          <w:p w14:paraId="17162218">
            <w:pPr>
              <w:spacing w:line="440" w:lineRule="exact"/>
              <w:jc w:val="left"/>
              <w:rPr>
                <w:rFonts w:ascii="宋体" w:cs="宋体"/>
                <w:color w:val="auto"/>
                <w:szCs w:val="21"/>
                <w:highlight w:val="none"/>
              </w:rPr>
            </w:pPr>
          </w:p>
        </w:tc>
        <w:tc>
          <w:tcPr>
            <w:tcW w:w="1117" w:type="dxa"/>
            <w:noWrap w:val="0"/>
            <w:vAlign w:val="center"/>
          </w:tcPr>
          <w:p w14:paraId="1870A2AF">
            <w:pPr>
              <w:spacing w:line="440" w:lineRule="exact"/>
              <w:jc w:val="left"/>
              <w:rPr>
                <w:rFonts w:ascii="宋体" w:cs="宋体"/>
                <w:color w:val="auto"/>
                <w:szCs w:val="21"/>
                <w:highlight w:val="none"/>
              </w:rPr>
            </w:pPr>
          </w:p>
        </w:tc>
      </w:tr>
      <w:tr w14:paraId="77D02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3" w:type="dxa"/>
            <w:noWrap w:val="0"/>
            <w:vAlign w:val="center"/>
          </w:tcPr>
          <w:p w14:paraId="5068E980">
            <w:pPr>
              <w:spacing w:line="440" w:lineRule="exact"/>
              <w:jc w:val="center"/>
              <w:rPr>
                <w:rFonts w:hint="default" w:asci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2161" w:type="dxa"/>
            <w:noWrap w:val="0"/>
            <w:vAlign w:val="center"/>
          </w:tcPr>
          <w:p w14:paraId="40D64E9A">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4228" w:type="dxa"/>
            <w:noWrap w:val="0"/>
            <w:vAlign w:val="center"/>
          </w:tcPr>
          <w:p w14:paraId="2A326552">
            <w:pPr>
              <w:spacing w:line="440" w:lineRule="exact"/>
              <w:jc w:val="left"/>
              <w:rPr>
                <w:rFonts w:ascii="宋体" w:cs="宋体"/>
                <w:color w:val="auto"/>
                <w:szCs w:val="21"/>
                <w:highlight w:val="none"/>
              </w:rPr>
            </w:pPr>
          </w:p>
        </w:tc>
        <w:tc>
          <w:tcPr>
            <w:tcW w:w="1117" w:type="dxa"/>
            <w:noWrap w:val="0"/>
            <w:vAlign w:val="center"/>
          </w:tcPr>
          <w:p w14:paraId="3CCB0FC9">
            <w:pPr>
              <w:spacing w:line="440" w:lineRule="exact"/>
              <w:jc w:val="left"/>
              <w:rPr>
                <w:rFonts w:ascii="宋体" w:cs="宋体"/>
                <w:color w:val="auto"/>
                <w:szCs w:val="21"/>
                <w:highlight w:val="none"/>
              </w:rPr>
            </w:pPr>
          </w:p>
        </w:tc>
      </w:tr>
    </w:tbl>
    <w:p w14:paraId="201D4784">
      <w:pPr>
        <w:spacing w:line="440" w:lineRule="exact"/>
        <w:ind w:firstLine="2880" w:firstLineChars="1200"/>
        <w:jc w:val="left"/>
        <w:rPr>
          <w:rFonts w:ascii="宋体" w:cs="宋体"/>
          <w:color w:val="auto"/>
          <w:sz w:val="24"/>
          <w:szCs w:val="24"/>
          <w:highlight w:val="none"/>
        </w:rPr>
      </w:pPr>
    </w:p>
    <w:p w14:paraId="729EC928">
      <w:pPr>
        <w:spacing w:line="360" w:lineRule="auto"/>
        <w:ind w:firstLine="2880" w:firstLineChars="1200"/>
        <w:jc w:val="left"/>
        <w:rPr>
          <w:color w:val="auto"/>
          <w:sz w:val="24"/>
          <w:szCs w:val="24"/>
          <w:highlight w:val="none"/>
        </w:rPr>
      </w:pPr>
      <w:r>
        <w:rPr>
          <w:rFonts w:hint="eastAsia" w:ascii="宋体" w:hAnsi="宋体" w:cs="宋体"/>
          <w:color w:val="auto"/>
          <w:sz w:val="24"/>
          <w:szCs w:val="24"/>
          <w:highlight w:val="none"/>
        </w:rPr>
        <w:t>投标人：</w:t>
      </w:r>
      <w:r>
        <w:rPr>
          <w:rFonts w:ascii="宋体" w:hAnsi="宋体" w:cs="宋体"/>
          <w:color w:val="auto"/>
          <w:sz w:val="24"/>
          <w:szCs w:val="24"/>
          <w:highlight w:val="none"/>
          <w:u w:val="single"/>
        </w:rPr>
        <w:t xml:space="preserve">                           </w:t>
      </w:r>
      <w:r>
        <w:rPr>
          <w:rFonts w:ascii="宋体" w:hAnsi="宋体" w:cs="宋体"/>
          <w:color w:val="auto"/>
          <w:sz w:val="24"/>
          <w:szCs w:val="24"/>
          <w:highlight w:val="none"/>
          <w:u w:val="single"/>
        </w:rPr>
        <w:tab/>
      </w:r>
      <w:r>
        <w:rPr>
          <w:rFonts w:hint="eastAsia" w:ascii="宋体" w:hAnsi="宋体" w:cs="宋体"/>
          <w:color w:val="auto"/>
          <w:sz w:val="24"/>
          <w:szCs w:val="24"/>
          <w:highlight w:val="none"/>
        </w:rPr>
        <w:t>（盖单位章）</w:t>
      </w:r>
    </w:p>
    <w:p w14:paraId="57B8A981">
      <w:pPr>
        <w:spacing w:line="360" w:lineRule="auto"/>
        <w:jc w:val="left"/>
        <w:rPr>
          <w:color w:val="auto"/>
          <w:sz w:val="24"/>
          <w:szCs w:val="24"/>
          <w:highlight w:val="none"/>
        </w:rPr>
      </w:pPr>
      <w:r>
        <w:rPr>
          <w:color w:val="auto"/>
          <w:sz w:val="24"/>
          <w:szCs w:val="24"/>
          <w:highlight w:val="none"/>
        </w:rPr>
        <w:t xml:space="preserve">                        </w:t>
      </w:r>
      <w:r>
        <w:rPr>
          <w:rFonts w:hint="eastAsia"/>
          <w:color w:val="auto"/>
          <w:sz w:val="24"/>
          <w:szCs w:val="24"/>
          <w:highlight w:val="none"/>
        </w:rPr>
        <w:t>法定代表人或其委托代理人：</w:t>
      </w:r>
      <w:r>
        <w:rPr>
          <w:color w:val="auto"/>
          <w:sz w:val="24"/>
          <w:szCs w:val="24"/>
          <w:highlight w:val="none"/>
          <w:u w:val="single"/>
        </w:rPr>
        <w:t xml:space="preserve">     </w:t>
      </w:r>
      <w:r>
        <w:rPr>
          <w:color w:val="auto"/>
          <w:sz w:val="24"/>
          <w:szCs w:val="24"/>
          <w:highlight w:val="none"/>
          <w:u w:val="single"/>
        </w:rPr>
        <w:tab/>
      </w:r>
      <w:r>
        <w:rPr>
          <w:rFonts w:hint="eastAsia"/>
          <w:color w:val="auto"/>
          <w:sz w:val="24"/>
          <w:szCs w:val="24"/>
          <w:highlight w:val="none"/>
        </w:rPr>
        <w:t>（签字或盖章）</w:t>
      </w:r>
    </w:p>
    <w:p w14:paraId="6BFDD64A">
      <w:pPr>
        <w:spacing w:line="360" w:lineRule="auto"/>
        <w:ind w:firstLine="5400" w:firstLineChars="2250"/>
        <w:jc w:val="right"/>
        <w:rPr>
          <w:color w:val="auto"/>
          <w:szCs w:val="21"/>
          <w:highlight w:val="none"/>
        </w:rPr>
      </w:pPr>
      <w:r>
        <w:rPr>
          <w:color w:val="auto"/>
          <w:sz w:val="24"/>
          <w:szCs w:val="24"/>
          <w:highlight w:val="none"/>
          <w:u w:val="single"/>
        </w:rPr>
        <w:t xml:space="preserve">      </w:t>
      </w:r>
      <w:r>
        <w:rPr>
          <w:rFonts w:hint="eastAsia"/>
          <w:color w:val="auto"/>
          <w:sz w:val="24"/>
          <w:szCs w:val="24"/>
          <w:highlight w:val="none"/>
        </w:rPr>
        <w:t>年</w:t>
      </w:r>
      <w:r>
        <w:rPr>
          <w:color w:val="auto"/>
          <w:sz w:val="24"/>
          <w:szCs w:val="24"/>
          <w:highlight w:val="none"/>
          <w:u w:val="single"/>
        </w:rPr>
        <w:t xml:space="preserve">      </w:t>
      </w:r>
      <w:r>
        <w:rPr>
          <w:rFonts w:hint="eastAsia"/>
          <w:color w:val="auto"/>
          <w:sz w:val="24"/>
          <w:szCs w:val="24"/>
          <w:highlight w:val="none"/>
        </w:rPr>
        <w:t>月</w:t>
      </w:r>
      <w:r>
        <w:rPr>
          <w:color w:val="auto"/>
          <w:sz w:val="24"/>
          <w:szCs w:val="24"/>
          <w:highlight w:val="none"/>
          <w:u w:val="single"/>
        </w:rPr>
        <w:t xml:space="preserve">      </w:t>
      </w:r>
      <w:r>
        <w:rPr>
          <w:rFonts w:hint="eastAsia"/>
          <w:color w:val="auto"/>
          <w:sz w:val="24"/>
          <w:szCs w:val="24"/>
          <w:highlight w:val="none"/>
        </w:rPr>
        <w:t>日</w:t>
      </w:r>
    </w:p>
    <w:p w14:paraId="30D89657">
      <w:pPr>
        <w:numPr>
          <w:ilvl w:val="0"/>
          <w:numId w:val="2"/>
        </w:numPr>
        <w:spacing w:line="440" w:lineRule="exact"/>
        <w:ind w:left="0" w:leftChars="0" w:firstLine="0" w:firstLineChars="0"/>
        <w:jc w:val="left"/>
        <w:rPr>
          <w:rFonts w:hint="eastAsia"/>
          <w:color w:val="auto"/>
          <w:sz w:val="24"/>
          <w:szCs w:val="28"/>
          <w:highlight w:val="none"/>
          <w:lang w:eastAsia="zh-CN"/>
        </w:rPr>
      </w:pPr>
      <w:r>
        <w:rPr>
          <w:color w:val="auto"/>
          <w:szCs w:val="21"/>
          <w:highlight w:val="none"/>
        </w:rPr>
        <w:br w:type="page"/>
      </w:r>
      <w:r>
        <w:rPr>
          <w:rFonts w:hint="eastAsia"/>
          <w:color w:val="auto"/>
          <w:sz w:val="24"/>
          <w:szCs w:val="28"/>
          <w:highlight w:val="none"/>
        </w:rPr>
        <w:t>投标函附录</w:t>
      </w:r>
      <w:r>
        <w:rPr>
          <w:rFonts w:hint="eastAsia"/>
          <w:color w:val="auto"/>
          <w:sz w:val="24"/>
          <w:szCs w:val="28"/>
          <w:highlight w:val="none"/>
          <w:lang w:eastAsia="zh-CN"/>
        </w:rPr>
        <w:t>（格式二）</w:t>
      </w:r>
    </w:p>
    <w:tbl>
      <w:tblPr>
        <w:tblStyle w:val="29"/>
        <w:tblW w:w="9033" w:type="dxa"/>
        <w:tblInd w:w="2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28"/>
        <w:gridCol w:w="5505"/>
      </w:tblGrid>
      <w:tr w14:paraId="38918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7581A4">
            <w:pPr>
              <w:pStyle w:val="132"/>
              <w:kinsoku w:val="0"/>
              <w:overflowPunct w:val="0"/>
              <w:spacing w:before="26"/>
              <w:jc w:val="center"/>
              <w:rPr>
                <w:rFonts w:hint="default" w:ascii="宋体" w:hAnsi="宋体" w:eastAsia="宋体" w:cs="宋体"/>
                <w:color w:val="auto"/>
                <w:sz w:val="21"/>
                <w:szCs w:val="24"/>
                <w:highlight w:val="none"/>
                <w:lang w:eastAsia="zh-CN"/>
              </w:rPr>
            </w:pPr>
            <w:r>
              <w:rPr>
                <w:rFonts w:hint="default" w:ascii="宋体" w:hAnsi="宋体" w:eastAsia="宋体" w:cs="宋体"/>
                <w:color w:val="auto"/>
                <w:sz w:val="21"/>
                <w:szCs w:val="24"/>
                <w:highlight w:val="none"/>
                <w:lang w:eastAsia="zh-CN"/>
              </w:rPr>
              <w:t>项目名称</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FF0C1A">
            <w:pPr>
              <w:pStyle w:val="132"/>
              <w:kinsoku w:val="0"/>
              <w:overflowPunct w:val="0"/>
              <w:spacing w:before="26"/>
              <w:jc w:val="center"/>
              <w:rPr>
                <w:rFonts w:hint="default" w:ascii="宋体" w:hAnsi="宋体" w:eastAsia="宋体" w:cs="宋体"/>
                <w:b/>
                <w:color w:val="auto"/>
                <w:sz w:val="21"/>
                <w:szCs w:val="21"/>
                <w:highlight w:val="none"/>
              </w:rPr>
            </w:pPr>
          </w:p>
        </w:tc>
      </w:tr>
      <w:tr w14:paraId="08BA0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22529D">
            <w:pPr>
              <w:pStyle w:val="132"/>
              <w:kinsoku w:val="0"/>
              <w:overflowPunct w:val="0"/>
              <w:spacing w:before="26"/>
              <w:jc w:val="center"/>
              <w:rPr>
                <w:rFonts w:hint="default" w:ascii="宋体" w:hAnsi="宋体" w:eastAsia="宋体" w:cs="宋体"/>
                <w:color w:val="auto"/>
                <w:sz w:val="21"/>
                <w:szCs w:val="24"/>
                <w:highlight w:val="none"/>
                <w:lang w:eastAsia="zh-CN"/>
              </w:rPr>
            </w:pPr>
            <w:r>
              <w:rPr>
                <w:rFonts w:hint="default" w:ascii="宋体" w:hAnsi="宋体" w:eastAsia="宋体" w:cs="宋体"/>
                <w:color w:val="auto"/>
                <w:sz w:val="21"/>
                <w:szCs w:val="24"/>
                <w:highlight w:val="none"/>
                <w:lang w:eastAsia="zh-CN"/>
              </w:rPr>
              <w:t>投标总报价（元）</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16A89E">
            <w:pPr>
              <w:pStyle w:val="132"/>
              <w:kinsoku w:val="0"/>
              <w:overflowPunct w:val="0"/>
              <w:spacing w:before="26"/>
              <w:jc w:val="center"/>
              <w:rPr>
                <w:rFonts w:hint="default" w:ascii="宋体" w:hAnsi="宋体" w:eastAsia="宋体" w:cs="宋体"/>
                <w:b/>
                <w:color w:val="auto"/>
                <w:sz w:val="21"/>
                <w:szCs w:val="21"/>
                <w:highlight w:val="none"/>
              </w:rPr>
            </w:pPr>
          </w:p>
        </w:tc>
      </w:tr>
      <w:tr w14:paraId="62954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5988E8">
            <w:pPr>
              <w:pStyle w:val="132"/>
              <w:kinsoku w:val="0"/>
              <w:overflowPunct w:val="0"/>
              <w:spacing w:before="26"/>
              <w:jc w:val="center"/>
              <w:rPr>
                <w:rFonts w:hint="default" w:ascii="宋体" w:hAnsi="宋体" w:eastAsia="宋体" w:cs="宋体"/>
                <w:color w:val="auto"/>
                <w:sz w:val="21"/>
                <w:szCs w:val="24"/>
                <w:highlight w:val="none"/>
                <w:lang w:eastAsia="zh-CN"/>
              </w:rPr>
            </w:pPr>
            <w:r>
              <w:rPr>
                <w:rFonts w:hint="default" w:ascii="宋体" w:hAnsi="宋体" w:eastAsia="宋体" w:cs="宋体"/>
                <w:color w:val="auto"/>
                <w:sz w:val="21"/>
                <w:szCs w:val="24"/>
                <w:highlight w:val="none"/>
                <w:lang w:eastAsia="zh-CN"/>
              </w:rPr>
              <w:t>投标报价下浮率</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38C105">
            <w:pPr>
              <w:pStyle w:val="132"/>
              <w:kinsoku w:val="0"/>
              <w:overflowPunct w:val="0"/>
              <w:spacing w:before="26"/>
              <w:jc w:val="center"/>
              <w:rPr>
                <w:rFonts w:hint="default" w:ascii="宋体" w:hAnsi="宋体" w:eastAsia="宋体" w:cs="宋体"/>
                <w:b/>
                <w:color w:val="auto"/>
                <w:sz w:val="21"/>
                <w:szCs w:val="21"/>
                <w:highlight w:val="none"/>
                <w:lang w:val="en-US" w:eastAsia="zh-CN"/>
              </w:rPr>
            </w:pPr>
            <w:r>
              <w:rPr>
                <w:rFonts w:hint="default" w:ascii="宋体" w:hAnsi="宋体" w:eastAsia="宋体" w:cs="宋体"/>
                <w:b/>
                <w:color w:val="auto"/>
                <w:sz w:val="21"/>
                <w:szCs w:val="21"/>
                <w:highlight w:val="none"/>
                <w:lang w:val="en-US" w:eastAsia="zh-CN"/>
              </w:rPr>
              <w:t>%</w:t>
            </w:r>
          </w:p>
        </w:tc>
      </w:tr>
      <w:tr w14:paraId="18D37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8"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AD281F">
            <w:pPr>
              <w:pStyle w:val="132"/>
              <w:kinsoku w:val="0"/>
              <w:overflowPunct w:val="0"/>
              <w:spacing w:before="107"/>
              <w:jc w:val="center"/>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rPr>
              <w:t>总监理工程师</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01C867">
            <w:pPr>
              <w:spacing w:line="360" w:lineRule="auto"/>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姓名：</w:t>
            </w:r>
            <w:r>
              <w:rPr>
                <w:rFonts w:hint="default" w:ascii="宋体" w:hAnsi="宋体" w:eastAsia="宋体" w:cs="宋体"/>
                <w:color w:val="auto"/>
                <w:sz w:val="21"/>
                <w:szCs w:val="21"/>
                <w:highlight w:val="none"/>
                <w:u w:val="single"/>
              </w:rPr>
              <w:t xml:space="preserve">                       </w:t>
            </w:r>
          </w:p>
          <w:p w14:paraId="58CEB58C">
            <w:pPr>
              <w:spacing w:line="360" w:lineRule="auto"/>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技术职称：</w:t>
            </w:r>
            <w:r>
              <w:rPr>
                <w:rFonts w:hint="default" w:ascii="宋体" w:hAnsi="宋体" w:eastAsia="宋体" w:cs="宋体"/>
                <w:color w:val="auto"/>
                <w:sz w:val="21"/>
                <w:szCs w:val="21"/>
                <w:highlight w:val="none"/>
                <w:u w:val="single"/>
              </w:rPr>
              <w:t xml:space="preserve">                    </w:t>
            </w:r>
          </w:p>
          <w:p w14:paraId="21624723">
            <w:pPr>
              <w:pStyle w:val="132"/>
              <w:kinsoku w:val="0"/>
              <w:overflowPunct w:val="0"/>
              <w:spacing w:before="95" w:line="360" w:lineRule="auto"/>
              <w:jc w:val="both"/>
              <w:rPr>
                <w:rFonts w:hint="default" w:ascii="宋体" w:hAnsi="宋体" w:eastAsia="宋体" w:cs="宋体"/>
                <w:color w:val="auto"/>
                <w:sz w:val="21"/>
                <w:szCs w:val="21"/>
                <w:highlight w:val="none"/>
                <w:u w:val="single"/>
                <w:lang w:val="en-US" w:eastAsia="zh-CN"/>
              </w:rPr>
            </w:pPr>
            <w:r>
              <w:rPr>
                <w:rFonts w:hint="default" w:ascii="宋体" w:hAnsi="宋体" w:eastAsia="宋体" w:cs="宋体"/>
                <w:color w:val="auto"/>
                <w:sz w:val="21"/>
                <w:szCs w:val="21"/>
                <w:highlight w:val="none"/>
              </w:rPr>
              <w:t>注册证号：</w:t>
            </w:r>
            <w:r>
              <w:rPr>
                <w:rFonts w:hint="default" w:ascii="宋体" w:hAnsi="宋体" w:eastAsia="宋体" w:cs="宋体"/>
                <w:color w:val="auto"/>
                <w:sz w:val="21"/>
                <w:szCs w:val="21"/>
                <w:highlight w:val="none"/>
                <w:u w:val="single"/>
              </w:rPr>
              <w:t xml:space="preserve">                    </w:t>
            </w:r>
          </w:p>
        </w:tc>
      </w:tr>
      <w:tr w14:paraId="48273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9"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726947">
            <w:pPr>
              <w:pStyle w:val="132"/>
              <w:kinsoku w:val="0"/>
              <w:overflowPunct w:val="0"/>
              <w:spacing w:before="107"/>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监理服务期限</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9AA865">
            <w:pPr>
              <w:pStyle w:val="132"/>
              <w:tabs>
                <w:tab w:val="left" w:pos="734"/>
              </w:tabs>
              <w:kinsoku w:val="0"/>
              <w:overflowPunct w:val="0"/>
              <w:spacing w:before="93"/>
              <w:ind w:left="103"/>
              <w:jc w:val="both"/>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u w:val="single"/>
              </w:rPr>
              <w:t xml:space="preserve"> </w:t>
            </w:r>
            <w:r>
              <w:rPr>
                <w:rFonts w:hint="default" w:ascii="宋体" w:hAnsi="宋体" w:eastAsia="宋体" w:cs="宋体"/>
                <w:color w:val="auto"/>
                <w:sz w:val="21"/>
                <w:szCs w:val="21"/>
                <w:highlight w:val="none"/>
                <w:u w:val="single"/>
              </w:rPr>
              <w:tab/>
            </w:r>
            <w:r>
              <w:rPr>
                <w:rFonts w:hint="default" w:ascii="宋体" w:hAnsi="宋体" w:eastAsia="宋体" w:cs="宋体"/>
                <w:color w:val="auto"/>
                <w:sz w:val="21"/>
                <w:szCs w:val="21"/>
                <w:highlight w:val="none"/>
              </w:rPr>
              <w:t>日历天</w:t>
            </w:r>
            <w:r>
              <w:rPr>
                <w:rFonts w:hint="default" w:ascii="宋体" w:hAnsi="宋体" w:eastAsia="宋体" w:cs="宋体"/>
                <w:color w:val="auto"/>
                <w:sz w:val="21"/>
                <w:szCs w:val="21"/>
                <w:highlight w:val="none"/>
                <w:lang w:eastAsia="zh-CN"/>
              </w:rPr>
              <w:t>（或按招标文件的要求）</w:t>
            </w:r>
          </w:p>
        </w:tc>
      </w:tr>
      <w:tr w14:paraId="37BAF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427DC4">
            <w:pPr>
              <w:pStyle w:val="132"/>
              <w:kinsoku w:val="0"/>
              <w:overflowPunct w:val="0"/>
              <w:spacing w:before="107"/>
              <w:jc w:val="center"/>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rPr>
              <w:t>质量标准</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D90C51">
            <w:pPr>
              <w:pStyle w:val="132"/>
              <w:tabs>
                <w:tab w:val="left" w:pos="734"/>
              </w:tabs>
              <w:kinsoku w:val="0"/>
              <w:overflowPunct w:val="0"/>
              <w:spacing w:before="93"/>
              <w:ind w:left="103"/>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rPr>
              <w:t>按招标文件</w:t>
            </w:r>
            <w:r>
              <w:rPr>
                <w:rFonts w:hint="default" w:ascii="宋体" w:hAnsi="宋体" w:eastAsia="宋体" w:cs="宋体"/>
                <w:color w:val="auto"/>
                <w:sz w:val="21"/>
                <w:szCs w:val="21"/>
                <w:highlight w:val="none"/>
                <w:lang w:eastAsia="zh-CN"/>
              </w:rPr>
              <w:t>的</w:t>
            </w:r>
            <w:r>
              <w:rPr>
                <w:rFonts w:hint="default" w:ascii="宋体" w:hAnsi="宋体" w:eastAsia="宋体" w:cs="宋体"/>
                <w:color w:val="auto"/>
                <w:sz w:val="21"/>
                <w:szCs w:val="21"/>
                <w:highlight w:val="none"/>
              </w:rPr>
              <w:t>要求</w:t>
            </w:r>
          </w:p>
        </w:tc>
      </w:tr>
    </w:tbl>
    <w:p w14:paraId="76D47D14">
      <w:pPr>
        <w:pStyle w:val="12"/>
        <w:rPr>
          <w:rFonts w:hint="eastAsia"/>
          <w:color w:val="auto"/>
          <w:highlight w:val="none"/>
          <w:lang w:eastAsia="zh-CN"/>
        </w:rPr>
      </w:pPr>
    </w:p>
    <w:p w14:paraId="42C8DFD9">
      <w:pPr>
        <w:rPr>
          <w:rFonts w:hint="eastAsia"/>
          <w:color w:val="auto"/>
          <w:highlight w:val="none"/>
          <w:lang w:eastAsia="zh-CN"/>
        </w:rPr>
      </w:pPr>
    </w:p>
    <w:p w14:paraId="67A7AC21">
      <w:pPr>
        <w:pStyle w:val="12"/>
        <w:rPr>
          <w:rFonts w:hint="eastAsia"/>
          <w:color w:val="auto"/>
          <w:highlight w:val="none"/>
          <w:lang w:eastAsia="zh-CN"/>
        </w:rPr>
      </w:pPr>
    </w:p>
    <w:p w14:paraId="004F88F2">
      <w:pPr>
        <w:rPr>
          <w:rFonts w:hint="eastAsia"/>
          <w:color w:val="auto"/>
          <w:highlight w:val="none"/>
          <w:lang w:eastAsia="zh-CN"/>
        </w:rPr>
      </w:pPr>
    </w:p>
    <w:p w14:paraId="5E515850">
      <w:pPr>
        <w:pStyle w:val="12"/>
        <w:rPr>
          <w:rFonts w:hint="eastAsia"/>
          <w:color w:val="auto"/>
          <w:highlight w:val="none"/>
          <w:lang w:eastAsia="zh-CN"/>
        </w:rPr>
      </w:pPr>
    </w:p>
    <w:p w14:paraId="26EF1BDA">
      <w:pPr>
        <w:rPr>
          <w:rFonts w:hint="eastAsia"/>
          <w:color w:val="auto"/>
          <w:highlight w:val="none"/>
          <w:lang w:eastAsia="zh-CN"/>
        </w:rPr>
      </w:pPr>
    </w:p>
    <w:p w14:paraId="4EF60CF9">
      <w:pPr>
        <w:pStyle w:val="12"/>
        <w:rPr>
          <w:rFonts w:hint="eastAsia"/>
          <w:color w:val="auto"/>
          <w:highlight w:val="none"/>
          <w:lang w:eastAsia="zh-CN"/>
        </w:rPr>
      </w:pPr>
    </w:p>
    <w:p w14:paraId="7E6BC02D">
      <w:pPr>
        <w:rPr>
          <w:rFonts w:hint="eastAsia"/>
          <w:color w:val="auto"/>
          <w:highlight w:val="none"/>
          <w:lang w:eastAsia="zh-CN"/>
        </w:rPr>
      </w:pPr>
    </w:p>
    <w:p w14:paraId="4B2C6E50">
      <w:pPr>
        <w:pStyle w:val="12"/>
        <w:rPr>
          <w:rFonts w:hint="eastAsia"/>
          <w:color w:val="auto"/>
          <w:highlight w:val="none"/>
          <w:lang w:eastAsia="zh-CN"/>
        </w:rPr>
      </w:pPr>
    </w:p>
    <w:p w14:paraId="08443BFE">
      <w:pPr>
        <w:rPr>
          <w:rFonts w:hint="eastAsia"/>
          <w:color w:val="auto"/>
          <w:highlight w:val="none"/>
          <w:lang w:eastAsia="zh-CN"/>
        </w:rPr>
      </w:pPr>
    </w:p>
    <w:p w14:paraId="679158B4">
      <w:pPr>
        <w:pStyle w:val="12"/>
        <w:rPr>
          <w:rFonts w:hint="eastAsia"/>
          <w:color w:val="auto"/>
          <w:highlight w:val="none"/>
          <w:lang w:eastAsia="zh-CN"/>
        </w:rPr>
      </w:pPr>
    </w:p>
    <w:p w14:paraId="0913A3AF">
      <w:pPr>
        <w:rPr>
          <w:rFonts w:hint="eastAsia"/>
          <w:color w:val="auto"/>
          <w:highlight w:val="none"/>
          <w:lang w:eastAsia="zh-CN"/>
        </w:rPr>
      </w:pPr>
    </w:p>
    <w:p w14:paraId="27B1DB73">
      <w:pPr>
        <w:pStyle w:val="12"/>
        <w:rPr>
          <w:rFonts w:hint="eastAsia"/>
          <w:color w:val="auto"/>
          <w:highlight w:val="none"/>
          <w:lang w:eastAsia="zh-CN"/>
        </w:rPr>
      </w:pPr>
    </w:p>
    <w:p w14:paraId="274719C1">
      <w:pPr>
        <w:rPr>
          <w:rFonts w:hint="eastAsia"/>
          <w:color w:val="auto"/>
          <w:highlight w:val="none"/>
          <w:lang w:eastAsia="zh-CN"/>
        </w:rPr>
      </w:pPr>
    </w:p>
    <w:p w14:paraId="24D59EC9">
      <w:pPr>
        <w:pStyle w:val="12"/>
        <w:rPr>
          <w:rFonts w:hint="eastAsia"/>
          <w:color w:val="auto"/>
          <w:highlight w:val="none"/>
          <w:lang w:eastAsia="zh-CN"/>
        </w:rPr>
      </w:pPr>
    </w:p>
    <w:p w14:paraId="38B39F79">
      <w:pPr>
        <w:rPr>
          <w:rFonts w:hint="eastAsia"/>
          <w:color w:val="auto"/>
          <w:highlight w:val="none"/>
          <w:lang w:eastAsia="zh-CN"/>
        </w:rPr>
      </w:pPr>
    </w:p>
    <w:p w14:paraId="4D80912D">
      <w:pPr>
        <w:pStyle w:val="12"/>
        <w:rPr>
          <w:rFonts w:hint="eastAsia"/>
          <w:color w:val="auto"/>
          <w:highlight w:val="none"/>
          <w:lang w:eastAsia="zh-CN"/>
        </w:rPr>
      </w:pPr>
    </w:p>
    <w:p w14:paraId="4E7DA77F">
      <w:pPr>
        <w:rPr>
          <w:rFonts w:hint="eastAsia"/>
          <w:color w:val="auto"/>
          <w:highlight w:val="none"/>
          <w:lang w:eastAsia="zh-CN"/>
        </w:rPr>
      </w:pPr>
      <w:r>
        <w:rPr>
          <w:rFonts w:hint="eastAsia"/>
          <w:color w:val="auto"/>
          <w:highlight w:val="none"/>
          <w:lang w:eastAsia="zh-CN"/>
        </w:rPr>
        <w:br w:type="page"/>
      </w:r>
    </w:p>
    <w:p w14:paraId="4DA58836">
      <w:pPr>
        <w:pStyle w:val="2"/>
        <w:rPr>
          <w:rFonts w:hint="eastAsia"/>
          <w:lang w:eastAsia="zh-CN"/>
        </w:rPr>
      </w:pPr>
    </w:p>
    <w:p w14:paraId="5074653E">
      <w:pPr>
        <w:pStyle w:val="12"/>
        <w:numPr>
          <w:ilvl w:val="0"/>
          <w:numId w:val="0"/>
        </w:numPr>
        <w:ind w:leftChars="0"/>
        <w:rPr>
          <w:color w:val="auto"/>
          <w:highlight w:val="none"/>
        </w:rPr>
      </w:pPr>
    </w:p>
    <w:p w14:paraId="6E24CFF3">
      <w:pPr>
        <w:pStyle w:val="5"/>
        <w:bidi w:val="0"/>
        <w:jc w:val="center"/>
        <w:rPr>
          <w:rFonts w:hint="eastAsia" w:ascii="黑体" w:hAnsi="黑体" w:eastAsia="黑体" w:cs="黑体"/>
          <w:color w:val="auto"/>
          <w:sz w:val="28"/>
          <w:szCs w:val="28"/>
          <w:highlight w:val="none"/>
          <w:lang w:eastAsia="zh-CN"/>
        </w:rPr>
      </w:pPr>
      <w:bookmarkStart w:id="323" w:name="_Toc25883"/>
      <w:bookmarkStart w:id="324" w:name="_Toc7094"/>
      <w:bookmarkStart w:id="325" w:name="_Toc9548"/>
      <w:bookmarkStart w:id="326" w:name="_Toc15678"/>
      <w:bookmarkStart w:id="327" w:name="_Toc21346"/>
      <w:bookmarkStart w:id="328" w:name="_Toc27319"/>
      <w:bookmarkStart w:id="329" w:name="_Toc2333"/>
      <w:bookmarkStart w:id="330" w:name="_Toc26602"/>
      <w:bookmarkStart w:id="331" w:name="_Toc23566"/>
      <w:bookmarkStart w:id="332" w:name="_Toc3420"/>
      <w:r>
        <w:rPr>
          <w:rFonts w:hint="eastAsia" w:ascii="宋体" w:hAnsi="宋体" w:eastAsia="宋体" w:cs="宋体"/>
          <w:b/>
          <w:bCs w:val="0"/>
          <w:color w:val="auto"/>
          <w:sz w:val="28"/>
          <w:szCs w:val="28"/>
          <w:highlight w:val="none"/>
        </w:rPr>
        <w:t>二、法定代表人身份证明</w:t>
      </w:r>
      <w:bookmarkEnd w:id="323"/>
      <w:bookmarkEnd w:id="324"/>
      <w:bookmarkEnd w:id="325"/>
      <w:bookmarkEnd w:id="326"/>
      <w:bookmarkEnd w:id="327"/>
      <w:bookmarkEnd w:id="328"/>
      <w:bookmarkEnd w:id="329"/>
      <w:r>
        <w:rPr>
          <w:rFonts w:hint="eastAsia" w:ascii="宋体" w:hAnsi="宋体" w:eastAsia="宋体" w:cs="宋体"/>
          <w:b/>
          <w:bCs w:val="0"/>
          <w:color w:val="auto"/>
          <w:sz w:val="28"/>
          <w:szCs w:val="28"/>
          <w:highlight w:val="none"/>
          <w:lang w:eastAsia="zh-CN"/>
        </w:rPr>
        <w:t>书</w:t>
      </w:r>
      <w:bookmarkEnd w:id="330"/>
      <w:bookmarkEnd w:id="331"/>
      <w:bookmarkEnd w:id="332"/>
    </w:p>
    <w:p w14:paraId="0CF46642">
      <w:pPr>
        <w:spacing w:line="440" w:lineRule="exact"/>
        <w:rPr>
          <w:color w:val="auto"/>
          <w:sz w:val="20"/>
          <w:highlight w:val="none"/>
        </w:rPr>
      </w:pPr>
    </w:p>
    <w:p w14:paraId="5544D34F">
      <w:pPr>
        <w:spacing w:line="440" w:lineRule="exact"/>
        <w:rPr>
          <w:color w:val="auto"/>
          <w:highlight w:val="none"/>
        </w:rPr>
      </w:pPr>
    </w:p>
    <w:p w14:paraId="06449D6B">
      <w:pPr>
        <w:spacing w:line="360" w:lineRule="auto"/>
        <w:rPr>
          <w:color w:val="auto"/>
          <w:sz w:val="21"/>
          <w:szCs w:val="21"/>
          <w:highlight w:val="none"/>
        </w:rPr>
      </w:pPr>
      <w:r>
        <w:rPr>
          <w:rFonts w:hint="eastAsia"/>
          <w:color w:val="auto"/>
          <w:sz w:val="21"/>
          <w:szCs w:val="21"/>
          <w:highlight w:val="none"/>
        </w:rPr>
        <w:t>投标人名称：</w:t>
      </w:r>
      <w:r>
        <w:rPr>
          <w:color w:val="auto"/>
          <w:sz w:val="21"/>
          <w:szCs w:val="21"/>
          <w:highlight w:val="none"/>
          <w:u w:val="single"/>
        </w:rPr>
        <w:t xml:space="preserve">                        </w:t>
      </w:r>
    </w:p>
    <w:p w14:paraId="5BA8B0A6">
      <w:pPr>
        <w:spacing w:line="360" w:lineRule="auto"/>
        <w:rPr>
          <w:color w:val="auto"/>
          <w:sz w:val="21"/>
          <w:szCs w:val="21"/>
          <w:highlight w:val="none"/>
        </w:rPr>
      </w:pPr>
      <w:r>
        <w:rPr>
          <w:rFonts w:hint="eastAsia"/>
          <w:color w:val="auto"/>
          <w:sz w:val="21"/>
          <w:szCs w:val="21"/>
          <w:highlight w:val="none"/>
        </w:rPr>
        <w:t>姓名：</w:t>
      </w:r>
      <w:r>
        <w:rPr>
          <w:color w:val="auto"/>
          <w:sz w:val="21"/>
          <w:szCs w:val="21"/>
          <w:highlight w:val="none"/>
          <w:u w:val="single"/>
        </w:rPr>
        <w:t xml:space="preserve">                </w:t>
      </w:r>
      <w:r>
        <w:rPr>
          <w:rFonts w:hint="eastAsia"/>
          <w:color w:val="auto"/>
          <w:sz w:val="21"/>
          <w:szCs w:val="21"/>
          <w:highlight w:val="none"/>
        </w:rPr>
        <w:t>性别：</w:t>
      </w:r>
      <w:r>
        <w:rPr>
          <w:color w:val="auto"/>
          <w:sz w:val="21"/>
          <w:szCs w:val="21"/>
          <w:highlight w:val="none"/>
          <w:u w:val="single"/>
        </w:rPr>
        <w:t xml:space="preserve">        </w:t>
      </w:r>
      <w:r>
        <w:rPr>
          <w:rFonts w:hint="eastAsia"/>
          <w:color w:val="auto"/>
          <w:sz w:val="21"/>
          <w:szCs w:val="21"/>
          <w:highlight w:val="none"/>
        </w:rPr>
        <w:t>年龄：</w:t>
      </w:r>
      <w:r>
        <w:rPr>
          <w:color w:val="auto"/>
          <w:sz w:val="21"/>
          <w:szCs w:val="21"/>
          <w:highlight w:val="none"/>
          <w:u w:val="single"/>
        </w:rPr>
        <w:t xml:space="preserve">        </w:t>
      </w:r>
      <w:r>
        <w:rPr>
          <w:rFonts w:hint="eastAsia"/>
          <w:color w:val="auto"/>
          <w:sz w:val="21"/>
          <w:szCs w:val="21"/>
          <w:highlight w:val="none"/>
        </w:rPr>
        <w:t>职务：</w:t>
      </w:r>
      <w:r>
        <w:rPr>
          <w:color w:val="auto"/>
          <w:sz w:val="21"/>
          <w:szCs w:val="21"/>
          <w:highlight w:val="none"/>
          <w:u w:val="single"/>
        </w:rPr>
        <w:t xml:space="preserve">        </w:t>
      </w:r>
    </w:p>
    <w:p w14:paraId="06893644">
      <w:pPr>
        <w:spacing w:line="360" w:lineRule="auto"/>
        <w:rPr>
          <w:color w:val="auto"/>
          <w:sz w:val="21"/>
          <w:szCs w:val="21"/>
          <w:highlight w:val="none"/>
        </w:rPr>
      </w:pPr>
      <w:r>
        <w:rPr>
          <w:rFonts w:hint="eastAsia"/>
          <w:color w:val="auto"/>
          <w:sz w:val="21"/>
          <w:szCs w:val="21"/>
          <w:highlight w:val="none"/>
        </w:rPr>
        <w:t>系</w:t>
      </w:r>
      <w:r>
        <w:rPr>
          <w:color w:val="auto"/>
          <w:sz w:val="21"/>
          <w:szCs w:val="21"/>
          <w:highlight w:val="none"/>
          <w:u w:val="single"/>
        </w:rPr>
        <w:t xml:space="preserve">                        </w:t>
      </w:r>
      <w:r>
        <w:rPr>
          <w:rFonts w:hint="eastAsia"/>
          <w:color w:val="auto"/>
          <w:sz w:val="21"/>
          <w:szCs w:val="21"/>
          <w:highlight w:val="none"/>
        </w:rPr>
        <w:t>（投标人名称）的法定代表人。</w:t>
      </w:r>
    </w:p>
    <w:p w14:paraId="563FA11B">
      <w:pPr>
        <w:spacing w:line="360" w:lineRule="auto"/>
        <w:ind w:firstLine="420" w:firstLineChars="200"/>
        <w:rPr>
          <w:color w:val="auto"/>
          <w:sz w:val="21"/>
          <w:szCs w:val="21"/>
          <w:highlight w:val="none"/>
        </w:rPr>
      </w:pPr>
      <w:r>
        <w:rPr>
          <w:rFonts w:hint="eastAsia"/>
          <w:color w:val="auto"/>
          <w:sz w:val="21"/>
          <w:szCs w:val="21"/>
          <w:highlight w:val="none"/>
        </w:rPr>
        <w:t>特此证明。</w:t>
      </w:r>
    </w:p>
    <w:p w14:paraId="3C417EBD">
      <w:pPr>
        <w:spacing w:line="360" w:lineRule="auto"/>
        <w:rPr>
          <w:color w:val="auto"/>
          <w:sz w:val="21"/>
          <w:szCs w:val="21"/>
          <w:highlight w:val="none"/>
        </w:rPr>
      </w:pPr>
    </w:p>
    <w:p w14:paraId="5B982D9A">
      <w:pPr>
        <w:spacing w:line="360" w:lineRule="auto"/>
        <w:rPr>
          <w:color w:val="auto"/>
          <w:sz w:val="21"/>
          <w:szCs w:val="21"/>
          <w:highlight w:val="none"/>
        </w:rPr>
      </w:pPr>
      <w:r>
        <w:rPr>
          <w:rFonts w:hint="eastAsia"/>
          <w:color w:val="auto"/>
          <w:sz w:val="21"/>
          <w:szCs w:val="21"/>
          <w:highlight w:val="none"/>
        </w:rPr>
        <w:t>附：法定代表人身份证</w:t>
      </w:r>
      <w:r>
        <w:rPr>
          <w:rFonts w:hint="eastAsia"/>
          <w:color w:val="auto"/>
          <w:spacing w:val="-3"/>
          <w:highlight w:val="none"/>
        </w:rPr>
        <w:t>扫描件</w:t>
      </w:r>
      <w:r>
        <w:rPr>
          <w:rFonts w:hint="eastAsia"/>
          <w:color w:val="auto"/>
          <w:sz w:val="21"/>
          <w:szCs w:val="21"/>
          <w:highlight w:val="none"/>
        </w:rPr>
        <w:t>。</w:t>
      </w:r>
    </w:p>
    <w:p w14:paraId="23423341">
      <w:pPr>
        <w:spacing w:line="360" w:lineRule="auto"/>
        <w:rPr>
          <w:color w:val="auto"/>
          <w:sz w:val="21"/>
          <w:szCs w:val="21"/>
          <w:highlight w:val="none"/>
        </w:rPr>
      </w:pPr>
    </w:p>
    <w:p w14:paraId="5F58521E">
      <w:pPr>
        <w:spacing w:line="360" w:lineRule="auto"/>
        <w:rPr>
          <w:color w:val="auto"/>
          <w:sz w:val="21"/>
          <w:szCs w:val="21"/>
          <w:highlight w:val="none"/>
        </w:rPr>
      </w:pPr>
    </w:p>
    <w:p w14:paraId="63295795">
      <w:pPr>
        <w:spacing w:line="360" w:lineRule="auto"/>
        <w:rPr>
          <w:color w:val="auto"/>
          <w:sz w:val="21"/>
          <w:szCs w:val="21"/>
          <w:highlight w:val="none"/>
        </w:rPr>
      </w:pPr>
    </w:p>
    <w:p w14:paraId="7C2FB8D6">
      <w:pPr>
        <w:spacing w:line="360" w:lineRule="auto"/>
        <w:jc w:val="center"/>
        <w:rPr>
          <w:color w:val="auto"/>
          <w:sz w:val="21"/>
          <w:szCs w:val="21"/>
          <w:highlight w:val="none"/>
        </w:rPr>
      </w:pPr>
      <w:r>
        <w:rPr>
          <w:color w:val="auto"/>
          <w:sz w:val="21"/>
          <w:szCs w:val="21"/>
          <w:highlight w:val="none"/>
        </w:rPr>
        <w:t xml:space="preserve">                              </w:t>
      </w:r>
      <w:r>
        <w:rPr>
          <w:rFonts w:hint="eastAsia"/>
          <w:color w:val="auto"/>
          <w:sz w:val="21"/>
          <w:szCs w:val="21"/>
          <w:highlight w:val="none"/>
        </w:rPr>
        <w:t>投标人：</w:t>
      </w:r>
      <w:r>
        <w:rPr>
          <w:color w:val="auto"/>
          <w:sz w:val="21"/>
          <w:szCs w:val="21"/>
          <w:highlight w:val="none"/>
          <w:u w:val="single"/>
        </w:rPr>
        <w:t xml:space="preserve">          </w:t>
      </w:r>
      <w:r>
        <w:rPr>
          <w:color w:val="auto"/>
          <w:sz w:val="21"/>
          <w:szCs w:val="21"/>
          <w:highlight w:val="none"/>
          <w:u w:val="single"/>
        </w:rPr>
        <w:tab/>
      </w:r>
      <w:r>
        <w:rPr>
          <w:rFonts w:hint="eastAsia"/>
          <w:color w:val="auto"/>
          <w:sz w:val="21"/>
          <w:szCs w:val="21"/>
          <w:highlight w:val="none"/>
        </w:rPr>
        <w:t>（盖单位章）</w:t>
      </w:r>
    </w:p>
    <w:p w14:paraId="7BD26105">
      <w:pPr>
        <w:spacing w:line="360" w:lineRule="auto"/>
        <w:rPr>
          <w:color w:val="auto"/>
          <w:sz w:val="21"/>
          <w:szCs w:val="21"/>
          <w:highlight w:val="none"/>
        </w:rPr>
      </w:pPr>
    </w:p>
    <w:p w14:paraId="5C5C42B3">
      <w:pPr>
        <w:spacing w:line="360" w:lineRule="auto"/>
        <w:ind w:firstLine="4620" w:firstLineChars="2200"/>
        <w:rPr>
          <w:color w:val="auto"/>
          <w:sz w:val="21"/>
          <w:szCs w:val="21"/>
          <w:highlight w:val="none"/>
        </w:rPr>
      </w:pPr>
      <w:r>
        <w:rPr>
          <w:color w:val="auto"/>
          <w:sz w:val="21"/>
          <w:szCs w:val="21"/>
          <w:highlight w:val="none"/>
          <w:u w:val="single"/>
        </w:rPr>
        <w:t xml:space="preserve">      </w:t>
      </w:r>
      <w:r>
        <w:rPr>
          <w:rFonts w:hint="eastAsia"/>
          <w:color w:val="auto"/>
          <w:sz w:val="21"/>
          <w:szCs w:val="21"/>
          <w:highlight w:val="none"/>
        </w:rPr>
        <w:t>年</w:t>
      </w:r>
      <w:r>
        <w:rPr>
          <w:color w:val="auto"/>
          <w:sz w:val="21"/>
          <w:szCs w:val="21"/>
          <w:highlight w:val="none"/>
          <w:u w:val="single"/>
        </w:rPr>
        <w:t xml:space="preserve">      </w:t>
      </w:r>
      <w:r>
        <w:rPr>
          <w:rFonts w:hint="eastAsia"/>
          <w:color w:val="auto"/>
          <w:sz w:val="21"/>
          <w:szCs w:val="21"/>
          <w:highlight w:val="none"/>
        </w:rPr>
        <w:t>月</w:t>
      </w:r>
      <w:r>
        <w:rPr>
          <w:color w:val="auto"/>
          <w:sz w:val="21"/>
          <w:szCs w:val="21"/>
          <w:highlight w:val="none"/>
          <w:u w:val="single"/>
        </w:rPr>
        <w:t xml:space="preserve">      </w:t>
      </w:r>
      <w:r>
        <w:rPr>
          <w:rFonts w:hint="eastAsia"/>
          <w:color w:val="auto"/>
          <w:sz w:val="21"/>
          <w:szCs w:val="21"/>
          <w:highlight w:val="none"/>
        </w:rPr>
        <w:t>日</w:t>
      </w:r>
    </w:p>
    <w:p w14:paraId="3DB0376F">
      <w:pPr>
        <w:spacing w:line="440" w:lineRule="exact"/>
        <w:rPr>
          <w:rFonts w:eastAsia="黑体"/>
          <w:color w:val="auto"/>
          <w:sz w:val="20"/>
          <w:highlight w:val="none"/>
        </w:rPr>
      </w:pPr>
    </w:p>
    <w:p w14:paraId="0742CC36">
      <w:pPr>
        <w:spacing w:line="440" w:lineRule="exact"/>
        <w:rPr>
          <w:rFonts w:eastAsia="黑体"/>
          <w:color w:val="auto"/>
          <w:sz w:val="20"/>
          <w:highlight w:val="none"/>
        </w:rPr>
      </w:pPr>
    </w:p>
    <w:p w14:paraId="310BCAB3">
      <w:pPr>
        <w:spacing w:line="440" w:lineRule="exact"/>
        <w:rPr>
          <w:rFonts w:eastAsia="黑体"/>
          <w:color w:val="auto"/>
          <w:sz w:val="20"/>
          <w:highlight w:val="none"/>
        </w:rPr>
      </w:pPr>
    </w:p>
    <w:p w14:paraId="38003FB0">
      <w:pPr>
        <w:spacing w:line="440" w:lineRule="exact"/>
        <w:rPr>
          <w:rFonts w:eastAsia="黑体"/>
          <w:color w:val="auto"/>
          <w:sz w:val="20"/>
          <w:highlight w:val="none"/>
        </w:rPr>
      </w:pPr>
    </w:p>
    <w:p w14:paraId="0C7BD5A5">
      <w:pPr>
        <w:spacing w:line="440" w:lineRule="exact"/>
        <w:rPr>
          <w:rFonts w:eastAsia="黑体"/>
          <w:color w:val="auto"/>
          <w:sz w:val="20"/>
          <w:highlight w:val="none"/>
        </w:rPr>
      </w:pPr>
    </w:p>
    <w:p w14:paraId="33D91102">
      <w:pPr>
        <w:spacing w:line="440" w:lineRule="exact"/>
        <w:rPr>
          <w:rFonts w:eastAsia="黑体"/>
          <w:color w:val="auto"/>
          <w:sz w:val="20"/>
          <w:highlight w:val="none"/>
        </w:rPr>
      </w:pPr>
    </w:p>
    <w:p w14:paraId="44A66A3F">
      <w:pPr>
        <w:spacing w:line="440" w:lineRule="exact"/>
        <w:rPr>
          <w:rFonts w:eastAsia="黑体"/>
          <w:color w:val="auto"/>
          <w:sz w:val="20"/>
          <w:highlight w:val="none"/>
        </w:rPr>
      </w:pPr>
      <w:r>
        <w:rPr>
          <w:rFonts w:eastAsia="黑体"/>
          <w:color w:val="auto"/>
          <w:sz w:val="20"/>
          <w:highlight w:val="none"/>
        </w:rPr>
        <w:br w:type="page"/>
      </w:r>
    </w:p>
    <w:p w14:paraId="03540C59">
      <w:pPr>
        <w:pStyle w:val="5"/>
        <w:bidi w:val="0"/>
        <w:jc w:val="center"/>
        <w:rPr>
          <w:rFonts w:hint="eastAsia" w:ascii="宋体" w:hAnsi="宋体" w:eastAsia="宋体" w:cs="宋体"/>
          <w:b/>
          <w:bCs w:val="0"/>
          <w:color w:val="auto"/>
          <w:sz w:val="28"/>
          <w:szCs w:val="28"/>
          <w:highlight w:val="none"/>
        </w:rPr>
      </w:pPr>
      <w:bookmarkStart w:id="333" w:name="_Toc30480"/>
      <w:bookmarkStart w:id="334" w:name="_Toc26957"/>
      <w:bookmarkStart w:id="335" w:name="_Toc19251"/>
      <w:bookmarkStart w:id="336" w:name="_Toc30587"/>
      <w:bookmarkStart w:id="337" w:name="_Toc590"/>
      <w:bookmarkStart w:id="338" w:name="_Toc11358"/>
      <w:bookmarkStart w:id="339" w:name="_Toc4555"/>
      <w:bookmarkStart w:id="340" w:name="_Toc6211"/>
      <w:bookmarkStart w:id="341" w:name="_Toc28983"/>
      <w:bookmarkStart w:id="342" w:name="_Toc21219"/>
      <w:r>
        <w:rPr>
          <w:rFonts w:hint="eastAsia" w:ascii="宋体" w:hAnsi="宋体" w:eastAsia="宋体" w:cs="宋体"/>
          <w:b/>
          <w:bCs w:val="0"/>
          <w:color w:val="auto"/>
          <w:sz w:val="28"/>
          <w:szCs w:val="28"/>
          <w:highlight w:val="none"/>
          <w:lang w:eastAsia="zh-CN"/>
        </w:rPr>
        <w:t>二</w:t>
      </w:r>
      <w:r>
        <w:rPr>
          <w:rFonts w:hint="eastAsia" w:ascii="宋体" w:hAnsi="宋体" w:eastAsia="宋体" w:cs="宋体"/>
          <w:b/>
          <w:bCs w:val="0"/>
          <w:color w:val="auto"/>
          <w:sz w:val="28"/>
          <w:szCs w:val="28"/>
          <w:highlight w:val="none"/>
        </w:rPr>
        <w:t>、授权委托书</w:t>
      </w:r>
      <w:bookmarkEnd w:id="333"/>
      <w:bookmarkEnd w:id="334"/>
      <w:bookmarkEnd w:id="335"/>
      <w:bookmarkEnd w:id="336"/>
      <w:bookmarkEnd w:id="337"/>
      <w:bookmarkEnd w:id="338"/>
      <w:bookmarkEnd w:id="339"/>
      <w:bookmarkEnd w:id="340"/>
      <w:bookmarkEnd w:id="341"/>
      <w:bookmarkEnd w:id="342"/>
    </w:p>
    <w:p w14:paraId="42A15AEE">
      <w:pPr>
        <w:spacing w:line="440" w:lineRule="exact"/>
        <w:rPr>
          <w:rFonts w:eastAsia="黑体"/>
          <w:color w:val="auto"/>
          <w:highlight w:val="none"/>
        </w:rPr>
      </w:pPr>
    </w:p>
    <w:p w14:paraId="137FCCA8">
      <w:pPr>
        <w:topLinePunct/>
        <w:spacing w:line="360" w:lineRule="auto"/>
        <w:ind w:firstLine="420" w:firstLineChars="200"/>
        <w:rPr>
          <w:color w:val="auto"/>
          <w:sz w:val="21"/>
          <w:szCs w:val="21"/>
          <w:highlight w:val="none"/>
        </w:rPr>
      </w:pPr>
      <w:r>
        <w:rPr>
          <w:rFonts w:hint="eastAsia"/>
          <w:color w:val="auto"/>
          <w:sz w:val="21"/>
          <w:szCs w:val="21"/>
          <w:highlight w:val="none"/>
        </w:rPr>
        <w:t>本人</w:t>
      </w:r>
      <w:r>
        <w:rPr>
          <w:color w:val="auto"/>
          <w:sz w:val="21"/>
          <w:szCs w:val="21"/>
          <w:highlight w:val="none"/>
          <w:u w:val="single"/>
        </w:rPr>
        <w:t xml:space="preserve">          </w:t>
      </w:r>
      <w:r>
        <w:rPr>
          <w:rFonts w:hint="eastAsia"/>
          <w:color w:val="auto"/>
          <w:sz w:val="21"/>
          <w:szCs w:val="21"/>
          <w:highlight w:val="none"/>
        </w:rPr>
        <w:t>（姓名）系</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u w:val="single"/>
        </w:rPr>
        <w:t xml:space="preserve">   </w:t>
      </w:r>
      <w:r>
        <w:rPr>
          <w:rFonts w:hint="eastAsia"/>
          <w:color w:val="auto"/>
          <w:sz w:val="21"/>
          <w:szCs w:val="21"/>
          <w:highlight w:val="none"/>
        </w:rPr>
        <w:t>（投标人名称）的法定代表人，现委托</w:t>
      </w:r>
      <w:r>
        <w:rPr>
          <w:color w:val="auto"/>
          <w:sz w:val="21"/>
          <w:szCs w:val="21"/>
          <w:highlight w:val="none"/>
          <w:u w:val="single"/>
        </w:rPr>
        <w:t xml:space="preserve">            </w:t>
      </w:r>
      <w:r>
        <w:rPr>
          <w:rFonts w:hint="eastAsia"/>
          <w:color w:val="auto"/>
          <w:sz w:val="21"/>
          <w:szCs w:val="21"/>
          <w:highlight w:val="none"/>
        </w:rPr>
        <w:t>（姓名）为我方代理人。代理人根据授权，以我方名义签署、澄清确认、递交、撤回、修改监理招标项目投标文件、签订合同和处理有关事宜，其法律后果由我方承担。</w:t>
      </w:r>
    </w:p>
    <w:p w14:paraId="5EC036FD">
      <w:pPr>
        <w:spacing w:line="360" w:lineRule="auto"/>
        <w:rPr>
          <w:color w:val="auto"/>
          <w:sz w:val="21"/>
          <w:szCs w:val="21"/>
          <w:highlight w:val="none"/>
        </w:rPr>
      </w:pPr>
      <w:r>
        <w:rPr>
          <w:rFonts w:hint="eastAsia"/>
          <w:color w:val="auto"/>
          <w:sz w:val="21"/>
          <w:szCs w:val="21"/>
          <w:highlight w:val="none"/>
        </w:rPr>
        <w:t>委托期限：</w:t>
      </w:r>
      <w:r>
        <w:rPr>
          <w:color w:val="auto"/>
          <w:sz w:val="21"/>
          <w:szCs w:val="21"/>
          <w:highlight w:val="none"/>
          <w:u w:val="single"/>
        </w:rPr>
        <w:t xml:space="preserve">                       </w:t>
      </w:r>
      <w:r>
        <w:rPr>
          <w:rFonts w:hint="eastAsia"/>
          <w:color w:val="auto"/>
          <w:sz w:val="21"/>
          <w:szCs w:val="21"/>
          <w:highlight w:val="none"/>
        </w:rPr>
        <w:t>。</w:t>
      </w:r>
    </w:p>
    <w:p w14:paraId="0374C7C9">
      <w:pPr>
        <w:spacing w:line="360" w:lineRule="auto"/>
        <w:ind w:firstLine="420" w:firstLineChars="200"/>
        <w:rPr>
          <w:color w:val="auto"/>
          <w:sz w:val="21"/>
          <w:szCs w:val="21"/>
          <w:highlight w:val="none"/>
        </w:rPr>
      </w:pPr>
      <w:r>
        <w:rPr>
          <w:rFonts w:hint="eastAsia"/>
          <w:color w:val="auto"/>
          <w:sz w:val="21"/>
          <w:szCs w:val="21"/>
          <w:highlight w:val="none"/>
        </w:rPr>
        <w:t>代理人无转委托权</w:t>
      </w:r>
      <w:r>
        <w:rPr>
          <w:rFonts w:hint="eastAsia" w:eastAsia="宋体" w:cs="Times New Roman"/>
          <w:color w:val="auto"/>
          <w:sz w:val="21"/>
          <w:szCs w:val="21"/>
          <w:highlight w:val="none"/>
        </w:rPr>
        <w:t>。</w:t>
      </w:r>
      <w:r>
        <w:rPr>
          <w:rFonts w:hint="default" w:eastAsia="宋体" w:cs="Times New Roman"/>
          <w:color w:val="auto"/>
          <w:sz w:val="21"/>
          <w:szCs w:val="21"/>
          <w:highlight w:val="none"/>
        </w:rPr>
        <w:t>代理人为投标人正式职工</w:t>
      </w:r>
      <w:r>
        <w:rPr>
          <w:rFonts w:hint="eastAsia" w:eastAsia="宋体" w:cs="Times New Roman"/>
          <w:color w:val="auto"/>
          <w:sz w:val="21"/>
          <w:szCs w:val="21"/>
          <w:highlight w:val="none"/>
          <w:lang w:eastAsia="zh-CN"/>
        </w:rPr>
        <w:t>，必须具有离投标截止时间最近的至少1个月在本单位缴纳的社保证明文件。</w:t>
      </w:r>
    </w:p>
    <w:p w14:paraId="6CB4EDCC">
      <w:pPr>
        <w:spacing w:line="360" w:lineRule="auto"/>
        <w:ind w:firstLine="420" w:firstLineChars="200"/>
        <w:rPr>
          <w:color w:val="auto"/>
          <w:sz w:val="21"/>
          <w:szCs w:val="21"/>
          <w:highlight w:val="none"/>
        </w:rPr>
      </w:pPr>
    </w:p>
    <w:p w14:paraId="5409EA6D">
      <w:pPr>
        <w:spacing w:line="360" w:lineRule="auto"/>
        <w:rPr>
          <w:rFonts w:hint="eastAsia" w:eastAsia="宋体"/>
          <w:color w:val="auto"/>
          <w:sz w:val="21"/>
          <w:szCs w:val="21"/>
          <w:highlight w:val="none"/>
          <w:lang w:val="en-US" w:eastAsia="zh-CN"/>
        </w:rPr>
      </w:pPr>
      <w:r>
        <w:rPr>
          <w:rFonts w:hint="eastAsia"/>
          <w:color w:val="auto"/>
          <w:sz w:val="21"/>
          <w:szCs w:val="21"/>
          <w:highlight w:val="none"/>
        </w:rPr>
        <w:t>附：法定代表人身份证</w:t>
      </w:r>
      <w:r>
        <w:rPr>
          <w:rFonts w:hint="eastAsia"/>
          <w:color w:val="auto"/>
          <w:sz w:val="21"/>
          <w:szCs w:val="21"/>
          <w:highlight w:val="none"/>
          <w:lang w:val="en-US" w:eastAsia="zh-CN"/>
        </w:rPr>
        <w:t>扫描件</w:t>
      </w:r>
      <w:r>
        <w:rPr>
          <w:rFonts w:hint="eastAsia"/>
          <w:color w:val="auto"/>
          <w:sz w:val="21"/>
          <w:szCs w:val="21"/>
          <w:highlight w:val="none"/>
        </w:rPr>
        <w:t>及委托代理人身份证</w:t>
      </w:r>
      <w:r>
        <w:rPr>
          <w:rFonts w:hint="eastAsia"/>
          <w:color w:val="auto"/>
          <w:sz w:val="21"/>
          <w:szCs w:val="21"/>
          <w:highlight w:val="none"/>
          <w:lang w:val="en-US" w:eastAsia="zh-CN"/>
        </w:rPr>
        <w:t>扫描件</w:t>
      </w:r>
    </w:p>
    <w:p w14:paraId="734C2000">
      <w:pPr>
        <w:spacing w:line="360" w:lineRule="auto"/>
        <w:rPr>
          <w:color w:val="auto"/>
          <w:sz w:val="21"/>
          <w:szCs w:val="21"/>
          <w:highlight w:val="none"/>
        </w:rPr>
      </w:pPr>
    </w:p>
    <w:p w14:paraId="31B749C3">
      <w:pPr>
        <w:pStyle w:val="17"/>
        <w:rPr>
          <w:rFonts w:hint="eastAsia" w:ascii="方正楷体_GB2312" w:hAnsi="方正楷体_GB2312" w:eastAsia="方正楷体_GB2312" w:cs="方正楷体_GB2312"/>
          <w:color w:val="auto"/>
          <w:sz w:val="21"/>
          <w:szCs w:val="21"/>
          <w:highlight w:val="none"/>
        </w:rPr>
      </w:pPr>
    </w:p>
    <w:p w14:paraId="28E69409">
      <w:pPr>
        <w:rPr>
          <w:color w:val="auto"/>
          <w:highlight w:val="none"/>
        </w:rPr>
      </w:pPr>
    </w:p>
    <w:p w14:paraId="66CD7916">
      <w:pPr>
        <w:spacing w:line="360" w:lineRule="auto"/>
        <w:ind w:firstLine="2692" w:firstLineChars="1282"/>
        <w:rPr>
          <w:color w:val="auto"/>
          <w:sz w:val="21"/>
          <w:szCs w:val="21"/>
          <w:highlight w:val="none"/>
        </w:rPr>
      </w:pPr>
      <w:r>
        <w:rPr>
          <w:rFonts w:hint="eastAsia"/>
          <w:color w:val="auto"/>
          <w:sz w:val="21"/>
          <w:szCs w:val="21"/>
          <w:highlight w:val="none"/>
        </w:rPr>
        <w:t>投</w:t>
      </w:r>
      <w:r>
        <w:rPr>
          <w:color w:val="auto"/>
          <w:sz w:val="21"/>
          <w:szCs w:val="21"/>
          <w:highlight w:val="none"/>
        </w:rPr>
        <w:t xml:space="preserve">  </w:t>
      </w:r>
      <w:r>
        <w:rPr>
          <w:rFonts w:hint="eastAsia"/>
          <w:color w:val="auto"/>
          <w:sz w:val="21"/>
          <w:szCs w:val="21"/>
          <w:highlight w:val="none"/>
        </w:rPr>
        <w:t>标</w:t>
      </w:r>
      <w:r>
        <w:rPr>
          <w:color w:val="auto"/>
          <w:sz w:val="21"/>
          <w:szCs w:val="21"/>
          <w:highlight w:val="none"/>
        </w:rPr>
        <w:t xml:space="preserve">  </w:t>
      </w:r>
      <w:r>
        <w:rPr>
          <w:rFonts w:hint="eastAsia"/>
          <w:color w:val="auto"/>
          <w:sz w:val="21"/>
          <w:szCs w:val="21"/>
          <w:highlight w:val="none"/>
        </w:rPr>
        <w:t>人：</w:t>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 xml:space="preserve">             </w:t>
      </w:r>
      <w:r>
        <w:rPr>
          <w:color w:val="auto"/>
          <w:sz w:val="21"/>
          <w:szCs w:val="21"/>
          <w:highlight w:val="none"/>
          <w:u w:val="single"/>
        </w:rPr>
        <w:tab/>
      </w:r>
      <w:r>
        <w:rPr>
          <w:rFonts w:hint="eastAsia"/>
          <w:color w:val="auto"/>
          <w:sz w:val="21"/>
          <w:szCs w:val="21"/>
          <w:highlight w:val="none"/>
        </w:rPr>
        <w:t>（盖单位章）</w:t>
      </w:r>
    </w:p>
    <w:p w14:paraId="61137E31">
      <w:pPr>
        <w:spacing w:line="360" w:lineRule="auto"/>
        <w:ind w:firstLine="2692" w:firstLineChars="1282"/>
        <w:rPr>
          <w:color w:val="auto"/>
          <w:sz w:val="21"/>
          <w:szCs w:val="21"/>
          <w:highlight w:val="none"/>
        </w:rPr>
      </w:pPr>
    </w:p>
    <w:p w14:paraId="715FF124">
      <w:pPr>
        <w:spacing w:line="360" w:lineRule="auto"/>
        <w:ind w:firstLine="2690" w:firstLineChars="1281"/>
        <w:jc w:val="left"/>
        <w:rPr>
          <w:color w:val="auto"/>
          <w:sz w:val="21"/>
          <w:szCs w:val="21"/>
          <w:highlight w:val="none"/>
        </w:rPr>
      </w:pPr>
      <w:r>
        <w:rPr>
          <w:rFonts w:hint="eastAsia"/>
          <w:color w:val="auto"/>
          <w:sz w:val="21"/>
          <w:szCs w:val="21"/>
          <w:highlight w:val="none"/>
        </w:rPr>
        <w:t>法定代表人：</w:t>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 xml:space="preserve">        </w:t>
      </w:r>
      <w:r>
        <w:rPr>
          <w:color w:val="auto"/>
          <w:sz w:val="21"/>
          <w:szCs w:val="21"/>
          <w:highlight w:val="none"/>
          <w:u w:val="single"/>
        </w:rPr>
        <w:tab/>
      </w:r>
      <w:r>
        <w:rPr>
          <w:rFonts w:hint="eastAsia"/>
          <w:color w:val="auto"/>
          <w:sz w:val="21"/>
          <w:szCs w:val="21"/>
          <w:highlight w:val="none"/>
        </w:rPr>
        <w:t>（签字或盖章）</w:t>
      </w:r>
    </w:p>
    <w:p w14:paraId="3AF9FDCB">
      <w:pPr>
        <w:spacing w:line="360" w:lineRule="auto"/>
        <w:ind w:firstLine="2692" w:firstLineChars="1282"/>
        <w:rPr>
          <w:color w:val="auto"/>
          <w:sz w:val="21"/>
          <w:szCs w:val="21"/>
          <w:highlight w:val="none"/>
        </w:rPr>
      </w:pPr>
    </w:p>
    <w:p w14:paraId="47E216A0">
      <w:pPr>
        <w:spacing w:line="360" w:lineRule="auto"/>
        <w:ind w:firstLine="2692" w:firstLineChars="1282"/>
        <w:rPr>
          <w:color w:val="auto"/>
          <w:sz w:val="21"/>
          <w:szCs w:val="21"/>
          <w:highlight w:val="none"/>
        </w:rPr>
      </w:pPr>
      <w:r>
        <w:rPr>
          <w:rFonts w:hint="eastAsia"/>
          <w:color w:val="auto"/>
          <w:sz w:val="21"/>
          <w:szCs w:val="21"/>
          <w:highlight w:val="none"/>
        </w:rPr>
        <w:t>身份证号码：</w:t>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 xml:space="preserve">             </w:t>
      </w:r>
      <w:r>
        <w:rPr>
          <w:color w:val="auto"/>
          <w:sz w:val="21"/>
          <w:szCs w:val="21"/>
          <w:highlight w:val="none"/>
          <w:u w:val="single"/>
        </w:rPr>
        <w:tab/>
      </w:r>
    </w:p>
    <w:p w14:paraId="4FA1249A">
      <w:pPr>
        <w:spacing w:line="360" w:lineRule="auto"/>
        <w:ind w:firstLine="2692" w:firstLineChars="1282"/>
        <w:rPr>
          <w:color w:val="auto"/>
          <w:sz w:val="21"/>
          <w:szCs w:val="21"/>
          <w:highlight w:val="none"/>
        </w:rPr>
      </w:pPr>
    </w:p>
    <w:p w14:paraId="0DF6510A">
      <w:pPr>
        <w:spacing w:line="360" w:lineRule="auto"/>
        <w:ind w:firstLine="2692" w:firstLineChars="1282"/>
        <w:rPr>
          <w:color w:val="auto"/>
          <w:sz w:val="21"/>
          <w:szCs w:val="21"/>
          <w:highlight w:val="none"/>
        </w:rPr>
      </w:pPr>
      <w:r>
        <w:rPr>
          <w:rFonts w:hint="eastAsia"/>
          <w:color w:val="auto"/>
          <w:sz w:val="21"/>
          <w:szCs w:val="21"/>
          <w:highlight w:val="none"/>
        </w:rPr>
        <w:t>委托代理人：</w:t>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 xml:space="preserve">             </w:t>
      </w:r>
      <w:r>
        <w:rPr>
          <w:color w:val="auto"/>
          <w:sz w:val="21"/>
          <w:szCs w:val="21"/>
          <w:highlight w:val="none"/>
          <w:u w:val="single"/>
        </w:rPr>
        <w:tab/>
      </w:r>
      <w:r>
        <w:rPr>
          <w:rFonts w:hint="eastAsia"/>
          <w:color w:val="auto"/>
          <w:sz w:val="21"/>
          <w:szCs w:val="21"/>
          <w:highlight w:val="none"/>
        </w:rPr>
        <w:t>（签字或盖章）</w:t>
      </w:r>
    </w:p>
    <w:p w14:paraId="54919795">
      <w:pPr>
        <w:spacing w:line="360" w:lineRule="auto"/>
        <w:ind w:firstLine="2692" w:firstLineChars="1282"/>
        <w:rPr>
          <w:color w:val="auto"/>
          <w:sz w:val="21"/>
          <w:szCs w:val="21"/>
          <w:highlight w:val="none"/>
        </w:rPr>
      </w:pPr>
    </w:p>
    <w:p w14:paraId="6F33EE76">
      <w:pPr>
        <w:spacing w:line="360" w:lineRule="auto"/>
        <w:ind w:firstLine="2692" w:firstLineChars="1282"/>
        <w:rPr>
          <w:color w:val="auto"/>
          <w:sz w:val="21"/>
          <w:szCs w:val="21"/>
          <w:highlight w:val="none"/>
        </w:rPr>
      </w:pPr>
      <w:r>
        <w:rPr>
          <w:rFonts w:hint="eastAsia"/>
          <w:color w:val="auto"/>
          <w:sz w:val="21"/>
          <w:szCs w:val="21"/>
          <w:highlight w:val="none"/>
        </w:rPr>
        <w:t>身份证号码：</w:t>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 xml:space="preserve">              </w:t>
      </w:r>
      <w:r>
        <w:rPr>
          <w:color w:val="auto"/>
          <w:sz w:val="21"/>
          <w:szCs w:val="21"/>
          <w:highlight w:val="none"/>
          <w:u w:val="single"/>
        </w:rPr>
        <w:tab/>
      </w:r>
    </w:p>
    <w:p w14:paraId="13712EF2">
      <w:pPr>
        <w:spacing w:line="360" w:lineRule="auto"/>
        <w:rPr>
          <w:color w:val="auto"/>
          <w:sz w:val="21"/>
          <w:szCs w:val="21"/>
          <w:highlight w:val="none"/>
        </w:rPr>
      </w:pPr>
    </w:p>
    <w:p w14:paraId="75ABFC01">
      <w:pPr>
        <w:spacing w:line="360" w:lineRule="auto"/>
        <w:ind w:firstLine="4057" w:firstLineChars="1932"/>
        <w:jc w:val="right"/>
        <w:rPr>
          <w:color w:val="auto"/>
          <w:sz w:val="21"/>
          <w:szCs w:val="21"/>
          <w:highlight w:val="none"/>
        </w:rPr>
      </w:pPr>
      <w:r>
        <w:rPr>
          <w:color w:val="auto"/>
          <w:sz w:val="21"/>
          <w:szCs w:val="21"/>
          <w:highlight w:val="none"/>
          <w:u w:val="single"/>
        </w:rPr>
        <w:t xml:space="preserve">       </w:t>
      </w:r>
      <w:r>
        <w:rPr>
          <w:rFonts w:hint="eastAsia"/>
          <w:color w:val="auto"/>
          <w:sz w:val="21"/>
          <w:szCs w:val="21"/>
          <w:highlight w:val="none"/>
        </w:rPr>
        <w:t>年</w:t>
      </w:r>
      <w:r>
        <w:rPr>
          <w:color w:val="auto"/>
          <w:sz w:val="21"/>
          <w:szCs w:val="21"/>
          <w:highlight w:val="none"/>
          <w:u w:val="single"/>
        </w:rPr>
        <w:t xml:space="preserve">       </w:t>
      </w:r>
      <w:r>
        <w:rPr>
          <w:rFonts w:hint="eastAsia"/>
          <w:color w:val="auto"/>
          <w:sz w:val="21"/>
          <w:szCs w:val="21"/>
          <w:highlight w:val="none"/>
        </w:rPr>
        <w:t>月</w:t>
      </w:r>
      <w:r>
        <w:rPr>
          <w:color w:val="auto"/>
          <w:sz w:val="21"/>
          <w:szCs w:val="21"/>
          <w:highlight w:val="none"/>
          <w:u w:val="single"/>
        </w:rPr>
        <w:t xml:space="preserve">       </w:t>
      </w:r>
      <w:r>
        <w:rPr>
          <w:rFonts w:hint="eastAsia"/>
          <w:color w:val="auto"/>
          <w:sz w:val="21"/>
          <w:szCs w:val="21"/>
          <w:highlight w:val="none"/>
        </w:rPr>
        <w:t>日</w:t>
      </w:r>
    </w:p>
    <w:p w14:paraId="261138D2">
      <w:pPr>
        <w:spacing w:line="440" w:lineRule="exact"/>
        <w:ind w:firstLine="4057" w:firstLineChars="1932"/>
        <w:jc w:val="right"/>
        <w:rPr>
          <w:color w:val="auto"/>
          <w:highlight w:val="none"/>
        </w:rPr>
      </w:pPr>
    </w:p>
    <w:p w14:paraId="19A5D5D0">
      <w:pPr>
        <w:rPr>
          <w:color w:val="auto"/>
          <w:highlight w:val="none"/>
        </w:rPr>
      </w:pPr>
    </w:p>
    <w:p w14:paraId="2120B974">
      <w:pPr>
        <w:pStyle w:val="147"/>
        <w:kinsoku w:val="0"/>
        <w:overflowPunct w:val="0"/>
        <w:spacing w:beforeLines="0" w:afterLines="0" w:line="427" w:lineRule="exact"/>
        <w:ind w:right="223"/>
        <w:jc w:val="center"/>
        <w:outlineLvl w:val="9"/>
        <w:rPr>
          <w:rFonts w:hint="eastAsia"/>
          <w:color w:val="auto"/>
          <w:spacing w:val="2"/>
          <w:sz w:val="32"/>
          <w:highlight w:val="none"/>
        </w:rPr>
      </w:pPr>
      <w:bookmarkStart w:id="343" w:name="_Toc12943"/>
      <w:bookmarkStart w:id="344" w:name="_Toc4912"/>
      <w:bookmarkStart w:id="345" w:name="_Toc28697"/>
      <w:bookmarkStart w:id="346" w:name="_Toc3886"/>
      <w:bookmarkStart w:id="347" w:name="_Toc718"/>
      <w:bookmarkStart w:id="348" w:name="_Toc5181"/>
      <w:bookmarkStart w:id="349" w:name="_Toc7407"/>
    </w:p>
    <w:p w14:paraId="08BE83C6">
      <w:pPr>
        <w:pStyle w:val="147"/>
        <w:kinsoku w:val="0"/>
        <w:overflowPunct w:val="0"/>
        <w:spacing w:beforeLines="0" w:afterLines="0" w:line="427" w:lineRule="exact"/>
        <w:ind w:right="223"/>
        <w:jc w:val="center"/>
        <w:outlineLvl w:val="9"/>
        <w:rPr>
          <w:rFonts w:hint="eastAsia"/>
          <w:color w:val="auto"/>
          <w:spacing w:val="2"/>
          <w:sz w:val="32"/>
          <w:highlight w:val="none"/>
        </w:rPr>
      </w:pPr>
    </w:p>
    <w:p w14:paraId="29936C01">
      <w:pPr>
        <w:pStyle w:val="147"/>
        <w:kinsoku w:val="0"/>
        <w:overflowPunct w:val="0"/>
        <w:spacing w:beforeLines="0" w:afterLines="0" w:line="427" w:lineRule="exact"/>
        <w:ind w:right="223"/>
        <w:jc w:val="both"/>
        <w:outlineLvl w:val="9"/>
        <w:rPr>
          <w:rFonts w:hint="eastAsia"/>
          <w:color w:val="auto"/>
          <w:spacing w:val="2"/>
          <w:sz w:val="32"/>
          <w:highlight w:val="none"/>
        </w:rPr>
      </w:pPr>
    </w:p>
    <w:bookmarkEnd w:id="343"/>
    <w:bookmarkEnd w:id="344"/>
    <w:bookmarkEnd w:id="345"/>
    <w:bookmarkEnd w:id="346"/>
    <w:bookmarkEnd w:id="347"/>
    <w:bookmarkEnd w:id="348"/>
    <w:bookmarkEnd w:id="349"/>
    <w:p w14:paraId="348D0155">
      <w:pPr>
        <w:pStyle w:val="5"/>
        <w:bidi w:val="0"/>
        <w:jc w:val="center"/>
        <w:rPr>
          <w:rFonts w:hint="eastAsia" w:ascii="黑体" w:hAnsi="黑体" w:eastAsia="黑体" w:cs="黑体"/>
          <w:strike/>
          <w:color w:val="auto"/>
          <w:sz w:val="28"/>
          <w:szCs w:val="28"/>
          <w:highlight w:val="none"/>
          <w:lang w:val="en-US" w:eastAsia="zh-CN"/>
        </w:rPr>
      </w:pPr>
      <w:bookmarkStart w:id="350" w:name="_Toc13182"/>
      <w:bookmarkStart w:id="351" w:name="_Toc10729"/>
      <w:r>
        <w:rPr>
          <w:rFonts w:hint="eastAsia" w:ascii="宋体" w:hAnsi="宋体" w:eastAsia="宋体" w:cs="宋体"/>
          <w:b/>
          <w:bCs w:val="0"/>
          <w:color w:val="auto"/>
          <w:sz w:val="28"/>
          <w:szCs w:val="28"/>
          <w:highlight w:val="none"/>
          <w:lang w:eastAsia="zh-CN"/>
        </w:rPr>
        <w:br w:type="page"/>
      </w:r>
      <w:bookmarkStart w:id="352" w:name="_Toc7930"/>
      <w:r>
        <w:rPr>
          <w:rFonts w:hint="eastAsia" w:ascii="宋体" w:hAnsi="宋体" w:eastAsia="宋体" w:cs="宋体"/>
          <w:b/>
          <w:bCs w:val="0"/>
          <w:strike/>
          <w:color w:val="auto"/>
          <w:sz w:val="28"/>
          <w:szCs w:val="28"/>
          <w:highlight w:val="none"/>
          <w:lang w:eastAsia="zh-CN"/>
        </w:rPr>
        <w:t>三、联合体协议书</w:t>
      </w:r>
      <w:bookmarkEnd w:id="350"/>
      <w:bookmarkEnd w:id="351"/>
      <w:bookmarkEnd w:id="352"/>
    </w:p>
    <w:p w14:paraId="22424D42">
      <w:pPr>
        <w:rPr>
          <w:rFonts w:hint="default"/>
          <w:strike/>
          <w:color w:val="auto"/>
          <w:highlight w:val="none"/>
        </w:rPr>
      </w:pPr>
    </w:p>
    <w:p w14:paraId="04707BDC">
      <w:pPr>
        <w:pStyle w:val="2"/>
        <w:tabs>
          <w:tab w:val="left" w:pos="2202"/>
          <w:tab w:val="left" w:pos="6000"/>
        </w:tabs>
        <w:kinsoku w:val="0"/>
        <w:overflowPunct w:val="0"/>
        <w:ind w:left="0" w:leftChars="0" w:firstLine="0" w:firstLineChars="0"/>
        <w:jc w:val="both"/>
        <w:rPr>
          <w:rFonts w:hint="eastAsia"/>
          <w:strike/>
          <w:color w:val="auto"/>
          <w:highlight w:val="none"/>
          <w:u w:val="single"/>
          <w:lang w:val="en-US" w:eastAsia="zh-CN"/>
        </w:rPr>
      </w:pPr>
      <w:bookmarkStart w:id="353" w:name="_Toc1653"/>
      <w:bookmarkStart w:id="354" w:name="_Toc32687"/>
      <w:bookmarkStart w:id="355" w:name="_Toc3518"/>
      <w:bookmarkStart w:id="356" w:name="_Toc28038"/>
      <w:bookmarkStart w:id="357" w:name="_Toc14767"/>
      <w:bookmarkStart w:id="358" w:name="_Toc31381"/>
      <w:bookmarkStart w:id="359" w:name="_Toc29467"/>
      <w:bookmarkStart w:id="360" w:name="_Toc7546"/>
      <w:bookmarkStart w:id="361" w:name="_Toc15501"/>
      <w:r>
        <w:rPr>
          <w:rFonts w:hint="eastAsia"/>
          <w:strike/>
          <w:color w:val="auto"/>
          <w:highlight w:val="none"/>
          <w:u w:val="none"/>
          <w:lang w:eastAsia="zh-CN"/>
        </w:rPr>
        <w:t>投标项目名称：</w:t>
      </w:r>
      <w:r>
        <w:rPr>
          <w:rFonts w:hint="eastAsia"/>
          <w:strike/>
          <w:color w:val="auto"/>
          <w:highlight w:val="none"/>
          <w:u w:val="single"/>
          <w:lang w:val="en-US" w:eastAsia="zh-CN"/>
        </w:rPr>
        <w:t xml:space="preserve">                                       </w:t>
      </w:r>
    </w:p>
    <w:p w14:paraId="399263AE">
      <w:pPr>
        <w:pStyle w:val="2"/>
        <w:tabs>
          <w:tab w:val="left" w:pos="2202"/>
          <w:tab w:val="left" w:pos="6000"/>
        </w:tabs>
        <w:kinsoku w:val="0"/>
        <w:overflowPunct w:val="0"/>
        <w:ind w:left="0" w:leftChars="0" w:firstLine="0" w:firstLineChars="0"/>
        <w:jc w:val="both"/>
        <w:rPr>
          <w:rFonts w:hint="eastAsia"/>
          <w:strike/>
          <w:color w:val="auto"/>
          <w:highlight w:val="none"/>
          <w:u w:val="single"/>
          <w:lang w:val="en-US" w:eastAsia="zh-CN"/>
        </w:rPr>
      </w:pPr>
    </w:p>
    <w:p w14:paraId="3C57878C">
      <w:pPr>
        <w:pStyle w:val="2"/>
        <w:tabs>
          <w:tab w:val="left" w:pos="2202"/>
          <w:tab w:val="left" w:pos="6000"/>
        </w:tabs>
        <w:kinsoku w:val="0"/>
        <w:overflowPunct w:val="0"/>
        <w:ind w:left="0" w:leftChars="0" w:firstLine="0" w:firstLineChars="0"/>
        <w:jc w:val="both"/>
        <w:rPr>
          <w:rFonts w:hint="default"/>
          <w:strike/>
          <w:color w:val="auto"/>
          <w:highlight w:val="none"/>
          <w:u w:val="single"/>
          <w:lang w:val="en-US" w:eastAsia="zh-CN"/>
        </w:rPr>
      </w:pPr>
      <w:r>
        <w:rPr>
          <w:rFonts w:hint="eastAsia"/>
          <w:strike/>
          <w:color w:val="auto"/>
          <w:highlight w:val="none"/>
          <w:u w:val="single"/>
          <w:lang w:val="en-US" w:eastAsia="zh-CN"/>
        </w:rPr>
        <w:t xml:space="preserve">致：                                                 </w:t>
      </w:r>
      <w:r>
        <w:rPr>
          <w:rFonts w:hint="eastAsia"/>
          <w:strike/>
          <w:color w:val="auto"/>
          <w:highlight w:val="none"/>
          <w:u w:val="none"/>
          <w:lang w:val="en-US" w:eastAsia="zh-CN"/>
        </w:rPr>
        <w:t>（招标人、招标代理机构名称）</w:t>
      </w:r>
    </w:p>
    <w:p w14:paraId="006E5128">
      <w:pPr>
        <w:pStyle w:val="2"/>
        <w:tabs>
          <w:tab w:val="left" w:pos="2202"/>
          <w:tab w:val="left" w:pos="6000"/>
        </w:tabs>
        <w:kinsoku w:val="0"/>
        <w:overflowPunct w:val="0"/>
        <w:jc w:val="both"/>
        <w:rPr>
          <w:strike/>
          <w:color w:val="auto"/>
          <w:highlight w:val="none"/>
          <w:u w:val="single"/>
        </w:rPr>
      </w:pPr>
    </w:p>
    <w:p w14:paraId="60A78D2C">
      <w:pPr>
        <w:pStyle w:val="2"/>
        <w:tabs>
          <w:tab w:val="left" w:pos="2202"/>
          <w:tab w:val="left" w:pos="6000"/>
        </w:tabs>
        <w:kinsoku w:val="0"/>
        <w:overflowPunct w:val="0"/>
        <w:spacing w:line="360" w:lineRule="auto"/>
        <w:ind w:left="0" w:leftChars="0" w:firstLine="420" w:firstLineChars="200"/>
        <w:jc w:val="both"/>
        <w:rPr>
          <w:strike/>
          <w:color w:val="auto"/>
          <w:highlight w:val="none"/>
        </w:rPr>
      </w:pPr>
      <w:r>
        <w:rPr>
          <w:strike/>
          <w:color w:val="auto"/>
          <w:highlight w:val="none"/>
          <w:u w:val="single"/>
        </w:rPr>
        <w:t xml:space="preserve"> </w:t>
      </w:r>
      <w:r>
        <w:rPr>
          <w:strike/>
          <w:color w:val="auto"/>
          <w:highlight w:val="none"/>
          <w:u w:val="single"/>
        </w:rPr>
        <w:tab/>
      </w:r>
      <w:r>
        <w:rPr>
          <w:strike/>
          <w:color w:val="auto"/>
          <w:highlight w:val="none"/>
        </w:rPr>
        <w:t>（所</w:t>
      </w:r>
      <w:r>
        <w:rPr>
          <w:strike/>
          <w:color w:val="auto"/>
          <w:spacing w:val="-3"/>
          <w:highlight w:val="none"/>
        </w:rPr>
        <w:t>有</w:t>
      </w:r>
      <w:r>
        <w:rPr>
          <w:strike/>
          <w:color w:val="auto"/>
          <w:highlight w:val="none"/>
        </w:rPr>
        <w:t>成员单位名称）自愿组成</w:t>
      </w:r>
      <w:r>
        <w:rPr>
          <w:strike/>
          <w:color w:val="auto"/>
          <w:highlight w:val="none"/>
          <w:u w:val="single"/>
        </w:rPr>
        <w:tab/>
      </w:r>
      <w:r>
        <w:rPr>
          <w:strike/>
          <w:color w:val="auto"/>
          <w:highlight w:val="none"/>
        </w:rPr>
        <w:t>（联合体名称）联合体，共同参</w:t>
      </w:r>
      <w:r>
        <w:rPr>
          <w:strike/>
          <w:color w:val="auto"/>
          <w:spacing w:val="-1"/>
          <w:highlight w:val="none"/>
        </w:rPr>
        <w:t>加</w:t>
      </w:r>
      <w:r>
        <w:rPr>
          <w:strike/>
          <w:color w:val="auto"/>
          <w:spacing w:val="-1"/>
          <w:highlight w:val="none"/>
          <w:u w:val="single"/>
        </w:rPr>
        <w:tab/>
      </w:r>
      <w:r>
        <w:rPr>
          <w:strike/>
          <w:color w:val="auto"/>
          <w:spacing w:val="-3"/>
          <w:highlight w:val="none"/>
        </w:rPr>
        <w:t>（</w:t>
      </w:r>
      <w:r>
        <w:rPr>
          <w:strike/>
          <w:color w:val="auto"/>
          <w:highlight w:val="none"/>
        </w:rPr>
        <w:t>项目</w:t>
      </w:r>
      <w:r>
        <w:rPr>
          <w:strike/>
          <w:color w:val="auto"/>
          <w:spacing w:val="-3"/>
          <w:highlight w:val="none"/>
        </w:rPr>
        <w:t>名</w:t>
      </w:r>
      <w:r>
        <w:rPr>
          <w:strike/>
          <w:color w:val="auto"/>
          <w:highlight w:val="none"/>
        </w:rPr>
        <w:t>称</w:t>
      </w:r>
      <w:r>
        <w:rPr>
          <w:strike/>
          <w:color w:val="auto"/>
          <w:spacing w:val="-2"/>
          <w:highlight w:val="none"/>
        </w:rPr>
        <w:t>）</w:t>
      </w:r>
      <w:r>
        <w:rPr>
          <w:strike/>
          <w:color w:val="auto"/>
          <w:highlight w:val="none"/>
        </w:rPr>
        <w:t>招</w:t>
      </w:r>
      <w:r>
        <w:rPr>
          <w:strike/>
          <w:color w:val="auto"/>
          <w:spacing w:val="-3"/>
          <w:highlight w:val="none"/>
        </w:rPr>
        <w:t>标</w:t>
      </w:r>
      <w:r>
        <w:rPr>
          <w:strike/>
          <w:color w:val="auto"/>
          <w:highlight w:val="none"/>
        </w:rPr>
        <w:t>项</w:t>
      </w:r>
      <w:r>
        <w:rPr>
          <w:strike/>
          <w:color w:val="auto"/>
          <w:spacing w:val="-3"/>
          <w:highlight w:val="none"/>
        </w:rPr>
        <w:t>目</w:t>
      </w:r>
      <w:r>
        <w:rPr>
          <w:strike/>
          <w:color w:val="auto"/>
          <w:highlight w:val="none"/>
        </w:rPr>
        <w:t>投标</w:t>
      </w:r>
      <w:r>
        <w:rPr>
          <w:strike/>
          <w:color w:val="auto"/>
          <w:spacing w:val="-3"/>
          <w:highlight w:val="none"/>
        </w:rPr>
        <w:t>。</w:t>
      </w:r>
      <w:r>
        <w:rPr>
          <w:strike/>
          <w:color w:val="auto"/>
          <w:highlight w:val="none"/>
        </w:rPr>
        <w:t>现</w:t>
      </w:r>
      <w:r>
        <w:rPr>
          <w:strike/>
          <w:color w:val="auto"/>
          <w:spacing w:val="-3"/>
          <w:highlight w:val="none"/>
        </w:rPr>
        <w:t>就</w:t>
      </w:r>
      <w:r>
        <w:rPr>
          <w:strike/>
          <w:color w:val="auto"/>
          <w:highlight w:val="none"/>
        </w:rPr>
        <w:t>联</w:t>
      </w:r>
      <w:r>
        <w:rPr>
          <w:strike/>
          <w:color w:val="auto"/>
          <w:spacing w:val="-3"/>
          <w:highlight w:val="none"/>
        </w:rPr>
        <w:t>合</w:t>
      </w:r>
      <w:r>
        <w:rPr>
          <w:strike/>
          <w:color w:val="auto"/>
          <w:spacing w:val="2"/>
          <w:highlight w:val="none"/>
        </w:rPr>
        <w:t>体</w:t>
      </w:r>
      <w:r>
        <w:rPr>
          <w:strike/>
          <w:color w:val="auto"/>
          <w:highlight w:val="none"/>
        </w:rPr>
        <w:t>投</w:t>
      </w:r>
      <w:r>
        <w:rPr>
          <w:strike/>
          <w:color w:val="auto"/>
          <w:spacing w:val="2"/>
          <w:highlight w:val="none"/>
        </w:rPr>
        <w:t>标</w:t>
      </w:r>
      <w:r>
        <w:rPr>
          <w:strike/>
          <w:color w:val="auto"/>
          <w:highlight w:val="none"/>
        </w:rPr>
        <w:t>事</w:t>
      </w:r>
      <w:r>
        <w:rPr>
          <w:strike/>
          <w:color w:val="auto"/>
          <w:spacing w:val="2"/>
          <w:highlight w:val="none"/>
        </w:rPr>
        <w:t>宜订</w:t>
      </w:r>
      <w:r>
        <w:rPr>
          <w:strike/>
          <w:color w:val="auto"/>
          <w:highlight w:val="none"/>
        </w:rPr>
        <w:t>立</w:t>
      </w:r>
      <w:r>
        <w:rPr>
          <w:strike/>
          <w:color w:val="auto"/>
          <w:spacing w:val="2"/>
          <w:highlight w:val="none"/>
        </w:rPr>
        <w:t>如</w:t>
      </w:r>
      <w:r>
        <w:rPr>
          <w:strike/>
          <w:color w:val="auto"/>
          <w:highlight w:val="none"/>
        </w:rPr>
        <w:t>下</w:t>
      </w:r>
      <w:r>
        <w:rPr>
          <w:strike/>
          <w:color w:val="auto"/>
          <w:spacing w:val="2"/>
          <w:highlight w:val="none"/>
        </w:rPr>
        <w:t>协</w:t>
      </w:r>
      <w:r>
        <w:rPr>
          <w:strike/>
          <w:color w:val="auto"/>
          <w:highlight w:val="none"/>
        </w:rPr>
        <w:t>议。</w:t>
      </w:r>
    </w:p>
    <w:p w14:paraId="0EF49A67">
      <w:pPr>
        <w:kinsoku w:val="0"/>
        <w:overflowPunct w:val="0"/>
        <w:spacing w:before="8" w:line="360" w:lineRule="auto"/>
        <w:jc w:val="both"/>
        <w:rPr>
          <w:strike/>
          <w:color w:val="auto"/>
          <w:sz w:val="12"/>
          <w:highlight w:val="none"/>
        </w:rPr>
      </w:pPr>
    </w:p>
    <w:p w14:paraId="42B50EC0">
      <w:pPr>
        <w:pStyle w:val="2"/>
        <w:numPr>
          <w:ilvl w:val="0"/>
          <w:numId w:val="3"/>
        </w:numPr>
        <w:tabs>
          <w:tab w:val="left" w:pos="2673"/>
          <w:tab w:val="left" w:pos="5614"/>
        </w:tabs>
        <w:kinsoku w:val="0"/>
        <w:overflowPunct w:val="0"/>
        <w:spacing w:before="1" w:line="360" w:lineRule="auto"/>
        <w:ind w:left="0" w:leftChars="0" w:firstLine="408" w:firstLineChars="200"/>
        <w:jc w:val="both"/>
        <w:rPr>
          <w:strike/>
          <w:color w:val="auto"/>
          <w:highlight w:val="none"/>
        </w:rPr>
      </w:pPr>
      <w:r>
        <w:rPr>
          <w:strike/>
          <w:color w:val="auto"/>
          <w:spacing w:val="-3"/>
          <w:highlight w:val="none"/>
          <w:u w:val="single"/>
        </w:rPr>
        <w:t>（</w:t>
      </w:r>
      <w:r>
        <w:rPr>
          <w:strike/>
          <w:color w:val="auto"/>
          <w:highlight w:val="none"/>
          <w:u w:val="single"/>
        </w:rPr>
        <w:t>某成</w:t>
      </w:r>
      <w:r>
        <w:rPr>
          <w:strike/>
          <w:color w:val="auto"/>
          <w:spacing w:val="-3"/>
          <w:highlight w:val="none"/>
          <w:u w:val="single"/>
        </w:rPr>
        <w:t>员</w:t>
      </w:r>
      <w:r>
        <w:rPr>
          <w:strike/>
          <w:color w:val="auto"/>
          <w:highlight w:val="none"/>
          <w:u w:val="single"/>
        </w:rPr>
        <w:t>单</w:t>
      </w:r>
      <w:r>
        <w:rPr>
          <w:strike/>
          <w:color w:val="auto"/>
          <w:spacing w:val="-3"/>
          <w:highlight w:val="none"/>
          <w:u w:val="single"/>
        </w:rPr>
        <w:t>位</w:t>
      </w:r>
      <w:r>
        <w:rPr>
          <w:strike/>
          <w:color w:val="auto"/>
          <w:highlight w:val="none"/>
          <w:u w:val="single"/>
        </w:rPr>
        <w:t>名</w:t>
      </w:r>
      <w:r>
        <w:rPr>
          <w:strike/>
          <w:color w:val="auto"/>
          <w:spacing w:val="-3"/>
          <w:highlight w:val="none"/>
          <w:u w:val="single"/>
        </w:rPr>
        <w:t>称</w:t>
      </w:r>
      <w:r>
        <w:rPr>
          <w:strike/>
          <w:color w:val="auto"/>
          <w:highlight w:val="none"/>
          <w:u w:val="single"/>
        </w:rPr>
        <w:t>）</w:t>
      </w:r>
      <w:r>
        <w:rPr>
          <w:strike/>
          <w:color w:val="auto"/>
          <w:spacing w:val="-3"/>
          <w:highlight w:val="none"/>
        </w:rPr>
        <w:t>为</w:t>
      </w:r>
      <w:r>
        <w:rPr>
          <w:strike/>
          <w:color w:val="auto"/>
          <w:spacing w:val="-3"/>
          <w:highlight w:val="none"/>
          <w:u w:val="single"/>
        </w:rPr>
        <w:t>（</w:t>
      </w:r>
      <w:r>
        <w:rPr>
          <w:strike/>
          <w:color w:val="auto"/>
          <w:highlight w:val="none"/>
          <w:u w:val="single"/>
        </w:rPr>
        <w:t>联</w:t>
      </w:r>
      <w:r>
        <w:rPr>
          <w:strike/>
          <w:color w:val="auto"/>
          <w:spacing w:val="-3"/>
          <w:highlight w:val="none"/>
          <w:u w:val="single"/>
        </w:rPr>
        <w:t>合</w:t>
      </w:r>
      <w:r>
        <w:rPr>
          <w:strike/>
          <w:color w:val="auto"/>
          <w:highlight w:val="none"/>
          <w:u w:val="single"/>
        </w:rPr>
        <w:t>体</w:t>
      </w:r>
      <w:r>
        <w:rPr>
          <w:strike/>
          <w:color w:val="auto"/>
          <w:spacing w:val="-3"/>
          <w:highlight w:val="none"/>
          <w:u w:val="single"/>
        </w:rPr>
        <w:t>名</w:t>
      </w:r>
      <w:r>
        <w:rPr>
          <w:strike/>
          <w:color w:val="auto"/>
          <w:highlight w:val="none"/>
          <w:u w:val="single"/>
        </w:rPr>
        <w:t>称</w:t>
      </w:r>
      <w:r>
        <w:rPr>
          <w:strike/>
          <w:color w:val="auto"/>
          <w:spacing w:val="-3"/>
          <w:highlight w:val="none"/>
          <w:u w:val="single"/>
        </w:rPr>
        <w:t>）</w:t>
      </w:r>
      <w:r>
        <w:rPr>
          <w:rFonts w:hint="eastAsia"/>
          <w:strike/>
          <w:color w:val="auto"/>
          <w:spacing w:val="-3"/>
          <w:highlight w:val="none"/>
          <w:lang w:eastAsia="zh-CN"/>
        </w:rPr>
        <w:t>主办方</w:t>
      </w:r>
      <w:r>
        <w:rPr>
          <w:strike/>
          <w:color w:val="auto"/>
          <w:highlight w:val="none"/>
        </w:rPr>
        <w:t>。</w:t>
      </w:r>
    </w:p>
    <w:p w14:paraId="603F79F2">
      <w:pPr>
        <w:kinsoku w:val="0"/>
        <w:overflowPunct w:val="0"/>
        <w:spacing w:before="4" w:line="360" w:lineRule="auto"/>
        <w:jc w:val="both"/>
        <w:rPr>
          <w:strike/>
          <w:color w:val="auto"/>
          <w:sz w:val="11"/>
          <w:highlight w:val="none"/>
        </w:rPr>
      </w:pPr>
    </w:p>
    <w:p w14:paraId="699BBFB8">
      <w:pPr>
        <w:pStyle w:val="2"/>
        <w:kinsoku w:val="0"/>
        <w:overflowPunct w:val="0"/>
        <w:spacing w:line="360" w:lineRule="auto"/>
        <w:ind w:left="0" w:leftChars="0" w:right="210" w:firstLine="420" w:firstLineChars="200"/>
        <w:jc w:val="both"/>
        <w:rPr>
          <w:strike/>
          <w:color w:val="auto"/>
          <w:highlight w:val="none"/>
        </w:rPr>
      </w:pPr>
      <w:r>
        <w:rPr>
          <w:rFonts w:ascii="Times New Roman" w:hAnsi="Times New Roman" w:eastAsia="Times New Roman"/>
          <w:strike/>
          <w:color w:val="auto"/>
          <w:highlight w:val="none"/>
        </w:rPr>
        <w:t xml:space="preserve">2.  </w:t>
      </w:r>
      <w:r>
        <w:rPr>
          <w:strike/>
          <w:color w:val="auto"/>
          <w:spacing w:val="-3"/>
          <w:highlight w:val="none"/>
        </w:rPr>
        <w:t>联</w:t>
      </w:r>
      <w:r>
        <w:rPr>
          <w:strike/>
          <w:color w:val="auto"/>
          <w:highlight w:val="none"/>
        </w:rPr>
        <w:t>合</w:t>
      </w:r>
      <w:r>
        <w:rPr>
          <w:strike/>
          <w:color w:val="auto"/>
          <w:spacing w:val="-3"/>
          <w:highlight w:val="none"/>
        </w:rPr>
        <w:t>体</w:t>
      </w:r>
      <w:r>
        <w:rPr>
          <w:strike/>
          <w:color w:val="auto"/>
          <w:highlight w:val="none"/>
        </w:rPr>
        <w:t>各</w:t>
      </w:r>
      <w:r>
        <w:rPr>
          <w:strike/>
          <w:color w:val="auto"/>
          <w:spacing w:val="-3"/>
          <w:highlight w:val="none"/>
        </w:rPr>
        <w:t>成</w:t>
      </w:r>
      <w:r>
        <w:rPr>
          <w:strike/>
          <w:color w:val="auto"/>
          <w:highlight w:val="none"/>
        </w:rPr>
        <w:t>员</w:t>
      </w:r>
      <w:r>
        <w:rPr>
          <w:strike/>
          <w:color w:val="auto"/>
          <w:spacing w:val="-3"/>
          <w:highlight w:val="none"/>
        </w:rPr>
        <w:t>授</w:t>
      </w:r>
      <w:r>
        <w:rPr>
          <w:strike/>
          <w:color w:val="auto"/>
          <w:highlight w:val="none"/>
        </w:rPr>
        <w:t>权</w:t>
      </w:r>
      <w:r>
        <w:rPr>
          <w:rFonts w:hint="eastAsia"/>
          <w:strike/>
          <w:color w:val="auto"/>
          <w:spacing w:val="-3"/>
          <w:highlight w:val="none"/>
          <w:lang w:eastAsia="zh-CN"/>
        </w:rPr>
        <w:t>主办方</w:t>
      </w:r>
      <w:r>
        <w:rPr>
          <w:strike/>
          <w:color w:val="auto"/>
          <w:highlight w:val="none"/>
        </w:rPr>
        <w:t>代</w:t>
      </w:r>
      <w:r>
        <w:rPr>
          <w:strike/>
          <w:color w:val="auto"/>
          <w:spacing w:val="-3"/>
          <w:highlight w:val="none"/>
        </w:rPr>
        <w:t>表</w:t>
      </w:r>
      <w:r>
        <w:rPr>
          <w:strike/>
          <w:color w:val="auto"/>
          <w:highlight w:val="none"/>
        </w:rPr>
        <w:t>联</w:t>
      </w:r>
      <w:r>
        <w:rPr>
          <w:strike/>
          <w:color w:val="auto"/>
          <w:spacing w:val="-3"/>
          <w:highlight w:val="none"/>
        </w:rPr>
        <w:t>合</w:t>
      </w:r>
      <w:r>
        <w:rPr>
          <w:strike/>
          <w:color w:val="auto"/>
          <w:highlight w:val="none"/>
        </w:rPr>
        <w:t>体</w:t>
      </w:r>
      <w:r>
        <w:rPr>
          <w:strike/>
          <w:color w:val="auto"/>
          <w:spacing w:val="-3"/>
          <w:highlight w:val="none"/>
        </w:rPr>
        <w:t>参</w:t>
      </w:r>
      <w:r>
        <w:rPr>
          <w:strike/>
          <w:color w:val="auto"/>
          <w:highlight w:val="none"/>
        </w:rPr>
        <w:t>加</w:t>
      </w:r>
      <w:r>
        <w:rPr>
          <w:strike/>
          <w:color w:val="auto"/>
          <w:spacing w:val="-3"/>
          <w:highlight w:val="none"/>
        </w:rPr>
        <w:t>投</w:t>
      </w:r>
      <w:r>
        <w:rPr>
          <w:strike/>
          <w:color w:val="auto"/>
          <w:highlight w:val="none"/>
        </w:rPr>
        <w:t>标</w:t>
      </w:r>
      <w:r>
        <w:rPr>
          <w:strike/>
          <w:color w:val="auto"/>
          <w:spacing w:val="-3"/>
          <w:highlight w:val="none"/>
        </w:rPr>
        <w:t>活</w:t>
      </w:r>
      <w:r>
        <w:rPr>
          <w:strike/>
          <w:color w:val="auto"/>
          <w:highlight w:val="none"/>
        </w:rPr>
        <w:t>动</w:t>
      </w:r>
      <w:r>
        <w:rPr>
          <w:strike/>
          <w:color w:val="auto"/>
          <w:spacing w:val="-65"/>
          <w:highlight w:val="none"/>
        </w:rPr>
        <w:t>，</w:t>
      </w:r>
      <w:r>
        <w:rPr>
          <w:strike/>
          <w:color w:val="auto"/>
          <w:spacing w:val="-3"/>
          <w:highlight w:val="none"/>
        </w:rPr>
        <w:t>签</w:t>
      </w:r>
      <w:r>
        <w:rPr>
          <w:strike/>
          <w:color w:val="auto"/>
          <w:highlight w:val="none"/>
        </w:rPr>
        <w:t>署</w:t>
      </w:r>
      <w:r>
        <w:rPr>
          <w:strike/>
          <w:color w:val="auto"/>
          <w:spacing w:val="-3"/>
          <w:highlight w:val="none"/>
        </w:rPr>
        <w:t>文</w:t>
      </w:r>
      <w:r>
        <w:rPr>
          <w:strike/>
          <w:color w:val="auto"/>
          <w:highlight w:val="none"/>
        </w:rPr>
        <w:t>件</w:t>
      </w:r>
      <w:r>
        <w:rPr>
          <w:strike/>
          <w:color w:val="auto"/>
          <w:spacing w:val="-65"/>
          <w:highlight w:val="none"/>
        </w:rPr>
        <w:t>，</w:t>
      </w:r>
      <w:r>
        <w:rPr>
          <w:strike/>
          <w:color w:val="auto"/>
          <w:spacing w:val="-3"/>
          <w:highlight w:val="none"/>
        </w:rPr>
        <w:t>提</w:t>
      </w:r>
      <w:r>
        <w:rPr>
          <w:strike/>
          <w:color w:val="auto"/>
          <w:highlight w:val="none"/>
        </w:rPr>
        <w:t>交</w:t>
      </w:r>
      <w:r>
        <w:rPr>
          <w:strike/>
          <w:color w:val="auto"/>
          <w:spacing w:val="-3"/>
          <w:highlight w:val="none"/>
        </w:rPr>
        <w:t>和</w:t>
      </w:r>
      <w:r>
        <w:rPr>
          <w:strike/>
          <w:color w:val="auto"/>
          <w:highlight w:val="none"/>
        </w:rPr>
        <w:t>接</w:t>
      </w:r>
      <w:r>
        <w:rPr>
          <w:strike/>
          <w:color w:val="auto"/>
          <w:spacing w:val="-3"/>
          <w:highlight w:val="none"/>
        </w:rPr>
        <w:t>收</w:t>
      </w:r>
      <w:r>
        <w:rPr>
          <w:strike/>
          <w:color w:val="auto"/>
          <w:highlight w:val="none"/>
        </w:rPr>
        <w:t>相关</w:t>
      </w:r>
      <w:r>
        <w:rPr>
          <w:strike/>
          <w:color w:val="auto"/>
          <w:spacing w:val="-3"/>
          <w:highlight w:val="none"/>
        </w:rPr>
        <w:t>的</w:t>
      </w:r>
      <w:r>
        <w:rPr>
          <w:strike/>
          <w:color w:val="auto"/>
          <w:highlight w:val="none"/>
        </w:rPr>
        <w:t>资</w:t>
      </w:r>
      <w:r>
        <w:rPr>
          <w:strike/>
          <w:color w:val="auto"/>
          <w:spacing w:val="-3"/>
          <w:highlight w:val="none"/>
        </w:rPr>
        <w:t>料</w:t>
      </w:r>
      <w:r>
        <w:rPr>
          <w:strike/>
          <w:color w:val="auto"/>
          <w:highlight w:val="none"/>
        </w:rPr>
        <w:t>、 信息及指示，进</w:t>
      </w:r>
      <w:r>
        <w:rPr>
          <w:strike/>
          <w:color w:val="auto"/>
          <w:spacing w:val="-3"/>
          <w:highlight w:val="none"/>
        </w:rPr>
        <w:t>行</w:t>
      </w:r>
      <w:r>
        <w:rPr>
          <w:strike/>
          <w:color w:val="auto"/>
          <w:highlight w:val="none"/>
        </w:rPr>
        <w:t>合同</w:t>
      </w:r>
      <w:r>
        <w:rPr>
          <w:strike/>
          <w:color w:val="auto"/>
          <w:spacing w:val="-3"/>
          <w:highlight w:val="none"/>
        </w:rPr>
        <w:t>谈</w:t>
      </w:r>
      <w:r>
        <w:rPr>
          <w:strike/>
          <w:color w:val="auto"/>
          <w:highlight w:val="none"/>
        </w:rPr>
        <w:t>判活动，负责合</w:t>
      </w:r>
      <w:r>
        <w:rPr>
          <w:strike/>
          <w:color w:val="auto"/>
          <w:spacing w:val="-3"/>
          <w:highlight w:val="none"/>
        </w:rPr>
        <w:t>同</w:t>
      </w:r>
      <w:r>
        <w:rPr>
          <w:strike/>
          <w:color w:val="auto"/>
          <w:highlight w:val="none"/>
        </w:rPr>
        <w:t>实施</w:t>
      </w:r>
      <w:r>
        <w:rPr>
          <w:strike/>
          <w:color w:val="auto"/>
          <w:spacing w:val="-3"/>
          <w:highlight w:val="none"/>
        </w:rPr>
        <w:t>阶</w:t>
      </w:r>
      <w:r>
        <w:rPr>
          <w:strike/>
          <w:color w:val="auto"/>
          <w:highlight w:val="none"/>
        </w:rPr>
        <w:t>段的组织和协调</w:t>
      </w:r>
      <w:r>
        <w:rPr>
          <w:strike/>
          <w:color w:val="auto"/>
          <w:spacing w:val="-3"/>
          <w:highlight w:val="none"/>
        </w:rPr>
        <w:t>工</w:t>
      </w:r>
      <w:r>
        <w:rPr>
          <w:strike/>
          <w:color w:val="auto"/>
          <w:highlight w:val="none"/>
        </w:rPr>
        <w:t>作，</w:t>
      </w:r>
      <w:r>
        <w:rPr>
          <w:strike/>
          <w:color w:val="auto"/>
          <w:spacing w:val="-3"/>
          <w:highlight w:val="none"/>
        </w:rPr>
        <w:t>以</w:t>
      </w:r>
      <w:r>
        <w:rPr>
          <w:strike/>
          <w:color w:val="auto"/>
          <w:highlight w:val="none"/>
        </w:rPr>
        <w:t>及处理与本招</w:t>
      </w:r>
      <w:r>
        <w:rPr>
          <w:strike/>
          <w:color w:val="auto"/>
          <w:spacing w:val="-3"/>
          <w:highlight w:val="none"/>
        </w:rPr>
        <w:t>标</w:t>
      </w:r>
      <w:r>
        <w:rPr>
          <w:strike/>
          <w:color w:val="auto"/>
          <w:highlight w:val="none"/>
        </w:rPr>
        <w:t>项目有</w:t>
      </w:r>
      <w:r>
        <w:rPr>
          <w:strike/>
          <w:color w:val="auto"/>
          <w:spacing w:val="-3"/>
          <w:highlight w:val="none"/>
        </w:rPr>
        <w:t>关</w:t>
      </w:r>
      <w:r>
        <w:rPr>
          <w:strike/>
          <w:color w:val="auto"/>
          <w:highlight w:val="none"/>
        </w:rPr>
        <w:t>的</w:t>
      </w:r>
      <w:r>
        <w:rPr>
          <w:strike/>
          <w:color w:val="auto"/>
          <w:spacing w:val="-3"/>
          <w:highlight w:val="none"/>
        </w:rPr>
        <w:t>一</w:t>
      </w:r>
      <w:r>
        <w:rPr>
          <w:strike/>
          <w:color w:val="auto"/>
          <w:highlight w:val="none"/>
        </w:rPr>
        <w:t>切</w:t>
      </w:r>
      <w:r>
        <w:rPr>
          <w:strike/>
          <w:color w:val="auto"/>
          <w:spacing w:val="-3"/>
          <w:highlight w:val="none"/>
        </w:rPr>
        <w:t>事</w:t>
      </w:r>
      <w:r>
        <w:rPr>
          <w:strike/>
          <w:color w:val="auto"/>
          <w:highlight w:val="none"/>
        </w:rPr>
        <w:t>宜。</w:t>
      </w:r>
    </w:p>
    <w:p w14:paraId="72AEBB88">
      <w:pPr>
        <w:pStyle w:val="2"/>
        <w:kinsoku w:val="0"/>
        <w:overflowPunct w:val="0"/>
        <w:spacing w:before="48" w:line="360" w:lineRule="auto"/>
        <w:ind w:left="100" w:right="104" w:firstLine="419"/>
        <w:jc w:val="both"/>
        <w:rPr>
          <w:strike/>
          <w:color w:val="auto"/>
          <w:highlight w:val="none"/>
        </w:rPr>
      </w:pPr>
      <w:r>
        <w:rPr>
          <w:rFonts w:ascii="Times New Roman" w:hAnsi="Times New Roman" w:eastAsia="Times New Roman"/>
          <w:strike/>
          <w:color w:val="auto"/>
          <w:highlight w:val="none"/>
        </w:rPr>
        <w:t xml:space="preserve">3.  </w:t>
      </w:r>
      <w:r>
        <w:rPr>
          <w:rFonts w:hint="eastAsia"/>
          <w:strike/>
          <w:color w:val="auto"/>
          <w:spacing w:val="-3"/>
          <w:sz w:val="21"/>
          <w:highlight w:val="none"/>
        </w:rPr>
        <w:t>联</w:t>
      </w:r>
      <w:r>
        <w:rPr>
          <w:rFonts w:hint="eastAsia"/>
          <w:strike/>
          <w:color w:val="auto"/>
          <w:sz w:val="21"/>
          <w:highlight w:val="none"/>
        </w:rPr>
        <w:t>合</w:t>
      </w:r>
      <w:r>
        <w:rPr>
          <w:rFonts w:hint="eastAsia"/>
          <w:strike/>
          <w:color w:val="auto"/>
          <w:spacing w:val="-3"/>
          <w:sz w:val="21"/>
          <w:highlight w:val="none"/>
        </w:rPr>
        <w:t>体</w:t>
      </w:r>
      <w:r>
        <w:rPr>
          <w:rFonts w:hint="eastAsia"/>
          <w:strike/>
          <w:color w:val="auto"/>
          <w:sz w:val="21"/>
          <w:highlight w:val="none"/>
          <w:lang w:eastAsia="zh-CN"/>
        </w:rPr>
        <w:t>主办方及联合体成员单位单方签署、盖章确认的</w:t>
      </w:r>
      <w:r>
        <w:rPr>
          <w:rFonts w:hint="eastAsia"/>
          <w:strike/>
          <w:color w:val="auto"/>
          <w:sz w:val="21"/>
          <w:highlight w:val="none"/>
        </w:rPr>
        <w:t>本</w:t>
      </w:r>
      <w:r>
        <w:rPr>
          <w:rFonts w:hint="eastAsia"/>
          <w:strike/>
          <w:color w:val="auto"/>
          <w:spacing w:val="-3"/>
          <w:sz w:val="21"/>
          <w:highlight w:val="none"/>
        </w:rPr>
        <w:t>项目一</w:t>
      </w:r>
      <w:r>
        <w:rPr>
          <w:rFonts w:hint="eastAsia"/>
          <w:strike/>
          <w:color w:val="auto"/>
          <w:sz w:val="21"/>
          <w:highlight w:val="none"/>
        </w:rPr>
        <w:t>切</w:t>
      </w:r>
      <w:r>
        <w:rPr>
          <w:rFonts w:hint="eastAsia"/>
          <w:strike/>
          <w:color w:val="auto"/>
          <w:spacing w:val="-3"/>
          <w:sz w:val="21"/>
          <w:highlight w:val="none"/>
        </w:rPr>
        <w:t>文</w:t>
      </w:r>
      <w:r>
        <w:rPr>
          <w:rFonts w:hint="eastAsia"/>
          <w:strike/>
          <w:color w:val="auto"/>
          <w:sz w:val="21"/>
          <w:highlight w:val="none"/>
        </w:rPr>
        <w:t>件</w:t>
      </w:r>
      <w:r>
        <w:rPr>
          <w:rFonts w:hint="eastAsia"/>
          <w:strike/>
          <w:color w:val="auto"/>
          <w:spacing w:val="-3"/>
          <w:sz w:val="21"/>
          <w:highlight w:val="none"/>
        </w:rPr>
        <w:t>和</w:t>
      </w:r>
      <w:r>
        <w:rPr>
          <w:rFonts w:hint="eastAsia"/>
          <w:strike/>
          <w:color w:val="auto"/>
          <w:sz w:val="21"/>
          <w:highlight w:val="none"/>
        </w:rPr>
        <w:t>处</w:t>
      </w:r>
      <w:r>
        <w:rPr>
          <w:rFonts w:hint="eastAsia"/>
          <w:strike/>
          <w:color w:val="auto"/>
          <w:spacing w:val="-3"/>
          <w:sz w:val="21"/>
          <w:highlight w:val="none"/>
        </w:rPr>
        <w:t>理</w:t>
      </w:r>
      <w:r>
        <w:rPr>
          <w:rFonts w:hint="eastAsia"/>
          <w:strike/>
          <w:color w:val="auto"/>
          <w:sz w:val="21"/>
          <w:highlight w:val="none"/>
        </w:rPr>
        <w:t>的一</w:t>
      </w:r>
      <w:r>
        <w:rPr>
          <w:rFonts w:hint="eastAsia"/>
          <w:strike/>
          <w:color w:val="auto"/>
          <w:spacing w:val="-3"/>
          <w:sz w:val="21"/>
          <w:highlight w:val="none"/>
        </w:rPr>
        <w:t>切</w:t>
      </w:r>
      <w:r>
        <w:rPr>
          <w:rFonts w:hint="eastAsia"/>
          <w:strike/>
          <w:color w:val="auto"/>
          <w:sz w:val="21"/>
          <w:highlight w:val="none"/>
        </w:rPr>
        <w:t>事</w:t>
      </w:r>
      <w:r>
        <w:rPr>
          <w:rFonts w:hint="eastAsia"/>
          <w:strike/>
          <w:color w:val="auto"/>
          <w:spacing w:val="-3"/>
          <w:sz w:val="21"/>
          <w:highlight w:val="none"/>
        </w:rPr>
        <w:t>宜</w:t>
      </w:r>
      <w:r>
        <w:rPr>
          <w:rFonts w:hint="eastAsia"/>
          <w:strike/>
          <w:color w:val="auto"/>
          <w:spacing w:val="-25"/>
          <w:sz w:val="21"/>
          <w:highlight w:val="none"/>
        </w:rPr>
        <w:t>，</w:t>
      </w:r>
      <w:r>
        <w:rPr>
          <w:rFonts w:hint="eastAsia"/>
          <w:strike/>
          <w:color w:val="auto"/>
          <w:spacing w:val="-25"/>
          <w:sz w:val="21"/>
          <w:highlight w:val="none"/>
          <w:lang w:eastAsia="zh-CN"/>
        </w:rPr>
        <w:t>均视为</w:t>
      </w:r>
      <w:r>
        <w:rPr>
          <w:rFonts w:hint="eastAsia"/>
          <w:strike/>
          <w:color w:val="auto"/>
          <w:sz w:val="21"/>
          <w:highlight w:val="none"/>
        </w:rPr>
        <w:t>联</w:t>
      </w:r>
      <w:r>
        <w:rPr>
          <w:rFonts w:hint="eastAsia"/>
          <w:strike/>
          <w:color w:val="auto"/>
          <w:spacing w:val="-3"/>
          <w:sz w:val="21"/>
          <w:highlight w:val="none"/>
        </w:rPr>
        <w:t>合</w:t>
      </w:r>
      <w:r>
        <w:rPr>
          <w:rFonts w:hint="eastAsia"/>
          <w:strike/>
          <w:color w:val="auto"/>
          <w:sz w:val="21"/>
          <w:highlight w:val="none"/>
        </w:rPr>
        <w:t>体</w:t>
      </w:r>
      <w:r>
        <w:rPr>
          <w:rFonts w:hint="eastAsia"/>
          <w:strike/>
          <w:color w:val="auto"/>
          <w:spacing w:val="-3"/>
          <w:sz w:val="21"/>
          <w:highlight w:val="none"/>
        </w:rPr>
        <w:t>各成</w:t>
      </w:r>
      <w:r>
        <w:rPr>
          <w:rFonts w:hint="eastAsia"/>
          <w:strike/>
          <w:color w:val="auto"/>
          <w:sz w:val="21"/>
          <w:highlight w:val="none"/>
        </w:rPr>
        <w:t>员</w:t>
      </w:r>
      <w:r>
        <w:rPr>
          <w:rFonts w:hint="eastAsia"/>
          <w:strike/>
          <w:color w:val="auto"/>
          <w:sz w:val="21"/>
          <w:highlight w:val="none"/>
          <w:lang w:eastAsia="zh-CN"/>
        </w:rPr>
        <w:t>共同编制，联合体各成员均承认其法律效力，并共同对投标文件内容的真实性、合法性和完整性承担民事、行政、刑事相关责任</w:t>
      </w:r>
      <w:r>
        <w:rPr>
          <w:rFonts w:hint="eastAsia"/>
          <w:strike/>
          <w:color w:val="auto"/>
          <w:sz w:val="21"/>
          <w:highlight w:val="none"/>
        </w:rPr>
        <w:t>。 联合体各成员将</w:t>
      </w:r>
      <w:r>
        <w:rPr>
          <w:rFonts w:hint="eastAsia"/>
          <w:strike/>
          <w:color w:val="auto"/>
          <w:spacing w:val="-3"/>
          <w:sz w:val="21"/>
          <w:highlight w:val="none"/>
        </w:rPr>
        <w:t>严</w:t>
      </w:r>
      <w:r>
        <w:rPr>
          <w:rFonts w:hint="eastAsia"/>
          <w:strike/>
          <w:color w:val="auto"/>
          <w:sz w:val="21"/>
          <w:highlight w:val="none"/>
        </w:rPr>
        <w:t>格按</w:t>
      </w:r>
      <w:r>
        <w:rPr>
          <w:rFonts w:hint="eastAsia"/>
          <w:strike/>
          <w:color w:val="auto"/>
          <w:spacing w:val="-3"/>
          <w:sz w:val="21"/>
          <w:highlight w:val="none"/>
        </w:rPr>
        <w:t>照</w:t>
      </w:r>
      <w:r>
        <w:rPr>
          <w:rFonts w:hint="eastAsia"/>
          <w:strike/>
          <w:color w:val="auto"/>
          <w:sz w:val="21"/>
          <w:highlight w:val="none"/>
        </w:rPr>
        <w:t>招标文件、投标</w:t>
      </w:r>
      <w:r>
        <w:rPr>
          <w:rFonts w:hint="eastAsia"/>
          <w:strike/>
          <w:color w:val="auto"/>
          <w:spacing w:val="-3"/>
          <w:sz w:val="21"/>
          <w:highlight w:val="none"/>
        </w:rPr>
        <w:t>文</w:t>
      </w:r>
      <w:r>
        <w:rPr>
          <w:rFonts w:hint="eastAsia"/>
          <w:strike/>
          <w:color w:val="auto"/>
          <w:sz w:val="21"/>
          <w:highlight w:val="none"/>
        </w:rPr>
        <w:t>件和</w:t>
      </w:r>
      <w:r>
        <w:rPr>
          <w:rFonts w:hint="eastAsia"/>
          <w:strike/>
          <w:color w:val="auto"/>
          <w:spacing w:val="-3"/>
          <w:sz w:val="21"/>
          <w:highlight w:val="none"/>
        </w:rPr>
        <w:t>合</w:t>
      </w:r>
      <w:r>
        <w:rPr>
          <w:rFonts w:hint="eastAsia"/>
          <w:strike/>
          <w:color w:val="auto"/>
          <w:sz w:val="21"/>
          <w:highlight w:val="none"/>
        </w:rPr>
        <w:t>同的要求全面履</w:t>
      </w:r>
      <w:r>
        <w:rPr>
          <w:rFonts w:hint="eastAsia"/>
          <w:strike/>
          <w:color w:val="auto"/>
          <w:spacing w:val="-3"/>
          <w:sz w:val="21"/>
          <w:highlight w:val="none"/>
        </w:rPr>
        <w:t>行</w:t>
      </w:r>
      <w:r>
        <w:rPr>
          <w:rFonts w:hint="eastAsia"/>
          <w:strike/>
          <w:color w:val="auto"/>
          <w:sz w:val="21"/>
          <w:highlight w:val="none"/>
        </w:rPr>
        <w:t>义务</w:t>
      </w:r>
      <w:r>
        <w:rPr>
          <w:rFonts w:hint="eastAsia"/>
          <w:strike/>
          <w:color w:val="auto"/>
          <w:spacing w:val="-3"/>
          <w:sz w:val="21"/>
          <w:highlight w:val="none"/>
        </w:rPr>
        <w:t>，</w:t>
      </w:r>
      <w:r>
        <w:rPr>
          <w:rFonts w:hint="eastAsia"/>
          <w:strike/>
          <w:color w:val="auto"/>
          <w:sz w:val="21"/>
          <w:highlight w:val="none"/>
        </w:rPr>
        <w:t>并向招标人承</w:t>
      </w:r>
      <w:r>
        <w:rPr>
          <w:rFonts w:hint="eastAsia"/>
          <w:strike/>
          <w:color w:val="auto"/>
          <w:spacing w:val="-3"/>
          <w:sz w:val="21"/>
          <w:highlight w:val="none"/>
        </w:rPr>
        <w:t>担</w:t>
      </w:r>
      <w:r>
        <w:rPr>
          <w:rFonts w:hint="eastAsia"/>
          <w:strike/>
          <w:color w:val="auto"/>
          <w:sz w:val="21"/>
          <w:highlight w:val="none"/>
        </w:rPr>
        <w:t>连带责</w:t>
      </w:r>
      <w:r>
        <w:rPr>
          <w:rFonts w:hint="eastAsia"/>
          <w:strike/>
          <w:color w:val="auto"/>
          <w:spacing w:val="-3"/>
          <w:sz w:val="21"/>
          <w:highlight w:val="none"/>
        </w:rPr>
        <w:t>任</w:t>
      </w:r>
      <w:r>
        <w:rPr>
          <w:rFonts w:hint="eastAsia"/>
          <w:strike/>
          <w:color w:val="auto"/>
          <w:sz w:val="21"/>
          <w:highlight w:val="none"/>
        </w:rPr>
        <w:t>。</w:t>
      </w:r>
    </w:p>
    <w:p w14:paraId="3CB0CE06">
      <w:pPr>
        <w:pStyle w:val="2"/>
        <w:tabs>
          <w:tab w:val="left" w:pos="8741"/>
        </w:tabs>
        <w:kinsoku w:val="0"/>
        <w:overflowPunct w:val="0"/>
        <w:spacing w:before="48" w:line="360" w:lineRule="auto"/>
        <w:ind w:firstLine="420" w:firstLineChars="200"/>
        <w:jc w:val="both"/>
        <w:rPr>
          <w:strike/>
          <w:color w:val="auto"/>
          <w:highlight w:val="none"/>
        </w:rPr>
      </w:pPr>
      <w:r>
        <w:rPr>
          <w:rFonts w:ascii="Times New Roman" w:hAnsi="Times New Roman" w:eastAsia="Times New Roman"/>
          <w:strike/>
          <w:color w:val="auto"/>
          <w:highlight w:val="none"/>
        </w:rPr>
        <w:t xml:space="preserve">4.  </w:t>
      </w:r>
      <w:r>
        <w:rPr>
          <w:strike/>
          <w:color w:val="auto"/>
          <w:spacing w:val="-3"/>
          <w:highlight w:val="none"/>
        </w:rPr>
        <w:t>联</w:t>
      </w:r>
      <w:r>
        <w:rPr>
          <w:strike/>
          <w:color w:val="auto"/>
          <w:highlight w:val="none"/>
        </w:rPr>
        <w:t>合</w:t>
      </w:r>
      <w:r>
        <w:rPr>
          <w:strike/>
          <w:color w:val="auto"/>
          <w:spacing w:val="-3"/>
          <w:highlight w:val="none"/>
        </w:rPr>
        <w:t>体</w:t>
      </w:r>
      <w:r>
        <w:rPr>
          <w:strike/>
          <w:color w:val="auto"/>
          <w:highlight w:val="none"/>
        </w:rPr>
        <w:t>各</w:t>
      </w:r>
      <w:r>
        <w:rPr>
          <w:strike/>
          <w:color w:val="auto"/>
          <w:spacing w:val="-3"/>
          <w:highlight w:val="none"/>
        </w:rPr>
        <w:t>成</w:t>
      </w:r>
      <w:r>
        <w:rPr>
          <w:strike/>
          <w:color w:val="auto"/>
          <w:highlight w:val="none"/>
        </w:rPr>
        <w:t>员</w:t>
      </w:r>
      <w:r>
        <w:rPr>
          <w:strike/>
          <w:color w:val="auto"/>
          <w:spacing w:val="-3"/>
          <w:highlight w:val="none"/>
        </w:rPr>
        <w:t>单</w:t>
      </w:r>
      <w:r>
        <w:rPr>
          <w:strike/>
          <w:color w:val="auto"/>
          <w:highlight w:val="none"/>
        </w:rPr>
        <w:t>位</w:t>
      </w:r>
      <w:r>
        <w:rPr>
          <w:strike/>
          <w:color w:val="auto"/>
          <w:spacing w:val="-3"/>
          <w:highlight w:val="none"/>
        </w:rPr>
        <w:t>内部</w:t>
      </w:r>
      <w:r>
        <w:rPr>
          <w:strike/>
          <w:color w:val="auto"/>
          <w:highlight w:val="none"/>
        </w:rPr>
        <w:t>的职</w:t>
      </w:r>
      <w:r>
        <w:rPr>
          <w:strike/>
          <w:color w:val="auto"/>
          <w:spacing w:val="-3"/>
          <w:highlight w:val="none"/>
        </w:rPr>
        <w:t>责</w:t>
      </w:r>
      <w:r>
        <w:rPr>
          <w:strike/>
          <w:color w:val="auto"/>
          <w:highlight w:val="none"/>
        </w:rPr>
        <w:t>分</w:t>
      </w:r>
      <w:r>
        <w:rPr>
          <w:strike/>
          <w:color w:val="auto"/>
          <w:spacing w:val="-3"/>
          <w:highlight w:val="none"/>
        </w:rPr>
        <w:t>工</w:t>
      </w:r>
      <w:r>
        <w:rPr>
          <w:strike/>
          <w:color w:val="auto"/>
          <w:highlight w:val="none"/>
        </w:rPr>
        <w:t>如</w:t>
      </w:r>
      <w:r>
        <w:rPr>
          <w:strike/>
          <w:color w:val="auto"/>
          <w:spacing w:val="-3"/>
          <w:highlight w:val="none"/>
        </w:rPr>
        <w:t>下</w:t>
      </w:r>
      <w:r>
        <w:rPr>
          <w:strike/>
          <w:color w:val="auto"/>
          <w:spacing w:val="-25"/>
          <w:highlight w:val="none"/>
        </w:rPr>
        <w:t>：</w:t>
      </w:r>
      <w:r>
        <w:rPr>
          <w:strike/>
          <w:color w:val="auto"/>
          <w:spacing w:val="-25"/>
          <w:highlight w:val="none"/>
          <w:u w:val="single"/>
        </w:rPr>
        <w:tab/>
      </w:r>
      <w:r>
        <w:rPr>
          <w:strike/>
          <w:color w:val="auto"/>
          <w:highlight w:val="none"/>
        </w:rPr>
        <w:t>。</w:t>
      </w:r>
    </w:p>
    <w:p w14:paraId="2CE0F4F4">
      <w:pPr>
        <w:kinsoku w:val="0"/>
        <w:overflowPunct w:val="0"/>
        <w:spacing w:before="6" w:line="360" w:lineRule="auto"/>
        <w:jc w:val="both"/>
        <w:rPr>
          <w:strike/>
          <w:color w:val="auto"/>
          <w:sz w:val="11"/>
          <w:highlight w:val="none"/>
        </w:rPr>
      </w:pPr>
    </w:p>
    <w:p w14:paraId="174B522B">
      <w:pPr>
        <w:pStyle w:val="2"/>
        <w:kinsoku w:val="0"/>
        <w:overflowPunct w:val="0"/>
        <w:spacing w:line="360" w:lineRule="auto"/>
        <w:ind w:right="313" w:firstLine="420" w:firstLineChars="200"/>
        <w:jc w:val="both"/>
        <w:rPr>
          <w:strike/>
          <w:color w:val="auto"/>
          <w:highlight w:val="none"/>
        </w:rPr>
      </w:pPr>
      <w:r>
        <w:rPr>
          <w:rFonts w:ascii="Times New Roman" w:hAnsi="Times New Roman" w:eastAsia="Times New Roman"/>
          <w:strike/>
          <w:color w:val="auto"/>
          <w:highlight w:val="none"/>
        </w:rPr>
        <w:t xml:space="preserve">5.  </w:t>
      </w:r>
      <w:r>
        <w:rPr>
          <w:strike/>
          <w:color w:val="auto"/>
          <w:spacing w:val="-3"/>
          <w:highlight w:val="none"/>
        </w:rPr>
        <w:t>本</w:t>
      </w:r>
      <w:r>
        <w:rPr>
          <w:strike/>
          <w:color w:val="auto"/>
          <w:highlight w:val="none"/>
        </w:rPr>
        <w:t>协</w:t>
      </w:r>
      <w:r>
        <w:rPr>
          <w:strike/>
          <w:color w:val="auto"/>
          <w:spacing w:val="-3"/>
          <w:highlight w:val="none"/>
        </w:rPr>
        <w:t>议</w:t>
      </w:r>
      <w:r>
        <w:rPr>
          <w:strike/>
          <w:color w:val="auto"/>
          <w:highlight w:val="none"/>
        </w:rPr>
        <w:t>书</w:t>
      </w:r>
      <w:r>
        <w:rPr>
          <w:strike/>
          <w:color w:val="auto"/>
          <w:spacing w:val="-3"/>
          <w:highlight w:val="none"/>
        </w:rPr>
        <w:t>自</w:t>
      </w:r>
      <w:r>
        <w:rPr>
          <w:strike/>
          <w:color w:val="auto"/>
          <w:highlight w:val="none"/>
        </w:rPr>
        <w:t>所</w:t>
      </w:r>
      <w:r>
        <w:rPr>
          <w:strike/>
          <w:color w:val="auto"/>
          <w:spacing w:val="-3"/>
          <w:highlight w:val="none"/>
        </w:rPr>
        <w:t>有</w:t>
      </w:r>
      <w:r>
        <w:rPr>
          <w:strike/>
          <w:color w:val="auto"/>
          <w:highlight w:val="none"/>
        </w:rPr>
        <w:t>成</w:t>
      </w:r>
      <w:r>
        <w:rPr>
          <w:strike/>
          <w:color w:val="auto"/>
          <w:spacing w:val="-3"/>
          <w:highlight w:val="none"/>
        </w:rPr>
        <w:t>员单</w:t>
      </w:r>
      <w:r>
        <w:rPr>
          <w:strike/>
          <w:color w:val="auto"/>
          <w:highlight w:val="none"/>
        </w:rPr>
        <w:t>位法</w:t>
      </w:r>
      <w:r>
        <w:rPr>
          <w:strike/>
          <w:color w:val="auto"/>
          <w:spacing w:val="-3"/>
          <w:highlight w:val="none"/>
        </w:rPr>
        <w:t>定</w:t>
      </w:r>
      <w:r>
        <w:rPr>
          <w:strike/>
          <w:color w:val="auto"/>
          <w:highlight w:val="none"/>
        </w:rPr>
        <w:t>代</w:t>
      </w:r>
      <w:r>
        <w:rPr>
          <w:strike/>
          <w:color w:val="auto"/>
          <w:spacing w:val="-3"/>
          <w:highlight w:val="none"/>
        </w:rPr>
        <w:t>表</w:t>
      </w:r>
      <w:r>
        <w:rPr>
          <w:strike/>
          <w:color w:val="auto"/>
          <w:highlight w:val="none"/>
        </w:rPr>
        <w:t>人</w:t>
      </w:r>
      <w:r>
        <w:rPr>
          <w:strike/>
          <w:color w:val="auto"/>
          <w:spacing w:val="-3"/>
          <w:highlight w:val="none"/>
        </w:rPr>
        <w:t>或</w:t>
      </w:r>
      <w:r>
        <w:rPr>
          <w:strike/>
          <w:color w:val="auto"/>
          <w:highlight w:val="none"/>
        </w:rPr>
        <w:t>其</w:t>
      </w:r>
      <w:r>
        <w:rPr>
          <w:strike/>
          <w:color w:val="auto"/>
          <w:spacing w:val="-3"/>
          <w:highlight w:val="none"/>
        </w:rPr>
        <w:t>委</w:t>
      </w:r>
      <w:r>
        <w:rPr>
          <w:strike/>
          <w:color w:val="auto"/>
          <w:highlight w:val="none"/>
        </w:rPr>
        <w:t>托</w:t>
      </w:r>
      <w:r>
        <w:rPr>
          <w:strike/>
          <w:color w:val="auto"/>
          <w:spacing w:val="-3"/>
          <w:highlight w:val="none"/>
        </w:rPr>
        <w:t>代</w:t>
      </w:r>
      <w:r>
        <w:rPr>
          <w:strike/>
          <w:color w:val="auto"/>
          <w:highlight w:val="none"/>
        </w:rPr>
        <w:t>理人</w:t>
      </w:r>
      <w:r>
        <w:rPr>
          <w:strike/>
          <w:color w:val="auto"/>
          <w:spacing w:val="-3"/>
          <w:highlight w:val="none"/>
        </w:rPr>
        <w:t>签</w:t>
      </w:r>
      <w:r>
        <w:rPr>
          <w:strike/>
          <w:color w:val="auto"/>
          <w:highlight w:val="none"/>
        </w:rPr>
        <w:t>字</w:t>
      </w:r>
      <w:r>
        <w:rPr>
          <w:strike/>
          <w:color w:val="auto"/>
          <w:spacing w:val="-3"/>
          <w:highlight w:val="none"/>
        </w:rPr>
        <w:t>或</w:t>
      </w:r>
      <w:r>
        <w:rPr>
          <w:strike/>
          <w:color w:val="auto"/>
          <w:highlight w:val="none"/>
        </w:rPr>
        <w:t>盖</w:t>
      </w:r>
      <w:r>
        <w:rPr>
          <w:strike/>
          <w:color w:val="auto"/>
          <w:spacing w:val="-3"/>
          <w:highlight w:val="none"/>
        </w:rPr>
        <w:t>单</w:t>
      </w:r>
      <w:r>
        <w:rPr>
          <w:strike/>
          <w:color w:val="auto"/>
          <w:highlight w:val="none"/>
        </w:rPr>
        <w:t>位</w:t>
      </w:r>
      <w:r>
        <w:rPr>
          <w:strike/>
          <w:color w:val="auto"/>
          <w:spacing w:val="-3"/>
          <w:highlight w:val="none"/>
        </w:rPr>
        <w:t>章</w:t>
      </w:r>
      <w:r>
        <w:rPr>
          <w:strike/>
          <w:color w:val="auto"/>
          <w:highlight w:val="none"/>
        </w:rPr>
        <w:t>之</w:t>
      </w:r>
      <w:r>
        <w:rPr>
          <w:strike/>
          <w:color w:val="auto"/>
          <w:spacing w:val="-3"/>
          <w:highlight w:val="none"/>
        </w:rPr>
        <w:t>日</w:t>
      </w:r>
      <w:r>
        <w:rPr>
          <w:strike/>
          <w:color w:val="auto"/>
          <w:highlight w:val="none"/>
        </w:rPr>
        <w:t>起生</w:t>
      </w:r>
      <w:r>
        <w:rPr>
          <w:strike/>
          <w:color w:val="auto"/>
          <w:spacing w:val="-3"/>
          <w:highlight w:val="none"/>
        </w:rPr>
        <w:t>效</w:t>
      </w:r>
      <w:r>
        <w:rPr>
          <w:strike/>
          <w:color w:val="auto"/>
          <w:spacing w:val="-24"/>
          <w:highlight w:val="none"/>
        </w:rPr>
        <w:t>，</w:t>
      </w:r>
      <w:r>
        <w:rPr>
          <w:strike/>
          <w:color w:val="auto"/>
          <w:highlight w:val="none"/>
        </w:rPr>
        <w:t>合同履行</w:t>
      </w:r>
      <w:r>
        <w:rPr>
          <w:strike/>
          <w:color w:val="auto"/>
          <w:spacing w:val="-3"/>
          <w:highlight w:val="none"/>
        </w:rPr>
        <w:t>完</w:t>
      </w:r>
      <w:r>
        <w:rPr>
          <w:strike/>
          <w:color w:val="auto"/>
          <w:highlight w:val="none"/>
        </w:rPr>
        <w:t>毕</w:t>
      </w:r>
      <w:r>
        <w:rPr>
          <w:strike/>
          <w:color w:val="auto"/>
          <w:spacing w:val="-3"/>
          <w:highlight w:val="none"/>
        </w:rPr>
        <w:t>后</w:t>
      </w:r>
      <w:r>
        <w:rPr>
          <w:strike/>
          <w:color w:val="auto"/>
          <w:highlight w:val="none"/>
        </w:rPr>
        <w:t>自</w:t>
      </w:r>
      <w:r>
        <w:rPr>
          <w:strike/>
          <w:color w:val="auto"/>
          <w:spacing w:val="-3"/>
          <w:highlight w:val="none"/>
        </w:rPr>
        <w:t>动</w:t>
      </w:r>
      <w:r>
        <w:rPr>
          <w:strike/>
          <w:color w:val="auto"/>
          <w:highlight w:val="none"/>
        </w:rPr>
        <w:t>失</w:t>
      </w:r>
      <w:r>
        <w:rPr>
          <w:strike/>
          <w:color w:val="auto"/>
          <w:spacing w:val="-3"/>
          <w:highlight w:val="none"/>
        </w:rPr>
        <w:t>效</w:t>
      </w:r>
      <w:r>
        <w:rPr>
          <w:strike/>
          <w:color w:val="auto"/>
          <w:highlight w:val="none"/>
        </w:rPr>
        <w:t>。</w:t>
      </w:r>
    </w:p>
    <w:p w14:paraId="2AD534F0">
      <w:pPr>
        <w:pStyle w:val="2"/>
        <w:tabs>
          <w:tab w:val="left" w:pos="2464"/>
        </w:tabs>
        <w:kinsoku w:val="0"/>
        <w:overflowPunct w:val="0"/>
        <w:spacing w:before="56" w:line="360" w:lineRule="auto"/>
        <w:ind w:firstLine="420" w:firstLineChars="200"/>
        <w:jc w:val="both"/>
        <w:rPr>
          <w:strike/>
          <w:color w:val="auto"/>
          <w:sz w:val="15"/>
          <w:highlight w:val="none"/>
        </w:rPr>
      </w:pPr>
      <w:r>
        <w:rPr>
          <w:rFonts w:ascii="Times New Roman" w:hAnsi="Times New Roman" w:eastAsia="Times New Roman"/>
          <w:strike/>
          <w:color w:val="auto"/>
          <w:highlight w:val="none"/>
        </w:rPr>
        <w:t xml:space="preserve">6.  </w:t>
      </w:r>
      <w:r>
        <w:rPr>
          <w:strike/>
          <w:color w:val="auto"/>
          <w:spacing w:val="-3"/>
          <w:highlight w:val="none"/>
        </w:rPr>
        <w:t>本</w:t>
      </w:r>
      <w:r>
        <w:rPr>
          <w:strike/>
          <w:color w:val="auto"/>
          <w:highlight w:val="none"/>
        </w:rPr>
        <w:t>协</w:t>
      </w:r>
      <w:r>
        <w:rPr>
          <w:strike/>
          <w:color w:val="auto"/>
          <w:spacing w:val="-3"/>
          <w:highlight w:val="none"/>
        </w:rPr>
        <w:t>议</w:t>
      </w:r>
      <w:r>
        <w:rPr>
          <w:strike/>
          <w:color w:val="auto"/>
          <w:highlight w:val="none"/>
        </w:rPr>
        <w:t>书</w:t>
      </w:r>
      <w:r>
        <w:rPr>
          <w:strike/>
          <w:color w:val="auto"/>
          <w:spacing w:val="-3"/>
          <w:highlight w:val="none"/>
        </w:rPr>
        <w:t>一</w:t>
      </w:r>
      <w:r>
        <w:rPr>
          <w:strike/>
          <w:color w:val="auto"/>
          <w:spacing w:val="-1"/>
          <w:highlight w:val="none"/>
        </w:rPr>
        <w:t>式</w:t>
      </w:r>
      <w:r>
        <w:rPr>
          <w:strike/>
          <w:color w:val="auto"/>
          <w:spacing w:val="-1"/>
          <w:highlight w:val="none"/>
          <w:u w:val="single"/>
        </w:rPr>
        <w:tab/>
      </w:r>
      <w:r>
        <w:rPr>
          <w:strike/>
          <w:color w:val="auto"/>
          <w:spacing w:val="-3"/>
          <w:highlight w:val="none"/>
        </w:rPr>
        <w:t>份，</w:t>
      </w:r>
      <w:r>
        <w:rPr>
          <w:strike/>
          <w:color w:val="auto"/>
          <w:highlight w:val="none"/>
        </w:rPr>
        <w:t>联合</w:t>
      </w:r>
      <w:r>
        <w:rPr>
          <w:strike/>
          <w:color w:val="auto"/>
          <w:spacing w:val="-3"/>
          <w:highlight w:val="none"/>
        </w:rPr>
        <w:t>体</w:t>
      </w:r>
      <w:r>
        <w:rPr>
          <w:strike/>
          <w:color w:val="auto"/>
          <w:highlight w:val="none"/>
        </w:rPr>
        <w:t>成</w:t>
      </w:r>
      <w:r>
        <w:rPr>
          <w:strike/>
          <w:color w:val="auto"/>
          <w:spacing w:val="-3"/>
          <w:highlight w:val="none"/>
        </w:rPr>
        <w:t>员</w:t>
      </w:r>
      <w:r>
        <w:rPr>
          <w:strike/>
          <w:color w:val="auto"/>
          <w:highlight w:val="none"/>
        </w:rPr>
        <w:t>和</w:t>
      </w:r>
      <w:r>
        <w:rPr>
          <w:strike/>
          <w:color w:val="auto"/>
          <w:spacing w:val="-3"/>
          <w:highlight w:val="none"/>
        </w:rPr>
        <w:t>招</w:t>
      </w:r>
      <w:r>
        <w:rPr>
          <w:strike/>
          <w:color w:val="auto"/>
          <w:highlight w:val="none"/>
        </w:rPr>
        <w:t>标</w:t>
      </w:r>
      <w:r>
        <w:rPr>
          <w:strike/>
          <w:color w:val="auto"/>
          <w:spacing w:val="-3"/>
          <w:highlight w:val="none"/>
        </w:rPr>
        <w:t>人</w:t>
      </w:r>
      <w:r>
        <w:rPr>
          <w:strike/>
          <w:color w:val="auto"/>
          <w:highlight w:val="none"/>
        </w:rPr>
        <w:t>各</w:t>
      </w:r>
      <w:r>
        <w:rPr>
          <w:strike/>
          <w:color w:val="auto"/>
          <w:spacing w:val="-3"/>
          <w:highlight w:val="none"/>
        </w:rPr>
        <w:t>执</w:t>
      </w:r>
      <w:r>
        <w:rPr>
          <w:strike/>
          <w:color w:val="auto"/>
          <w:highlight w:val="none"/>
        </w:rPr>
        <w:t>一份。</w:t>
      </w:r>
    </w:p>
    <w:p w14:paraId="3677687F">
      <w:pPr>
        <w:pStyle w:val="2"/>
        <w:kinsoku w:val="0"/>
        <w:overflowPunct w:val="0"/>
        <w:spacing w:before="1" w:line="340" w:lineRule="auto"/>
        <w:ind w:left="100" w:right="316" w:firstLine="419"/>
        <w:jc w:val="both"/>
        <w:rPr>
          <w:rFonts w:hint="eastAsia" w:ascii="楷体" w:hAnsi="楷体" w:eastAsia="楷体" w:cs="楷体"/>
          <w:strike/>
          <w:color w:val="auto"/>
          <w:sz w:val="28"/>
          <w:highlight w:val="none"/>
        </w:rPr>
      </w:pPr>
      <w:r>
        <w:rPr>
          <w:rFonts w:hint="eastAsia" w:ascii="楷体" w:hAnsi="楷体" w:eastAsia="楷体" w:cs="楷体"/>
          <w:strike/>
          <w:color w:val="auto"/>
          <w:highlight w:val="none"/>
        </w:rPr>
        <w:t>注：本协议书由法</w:t>
      </w:r>
      <w:r>
        <w:rPr>
          <w:rFonts w:hint="eastAsia" w:ascii="楷体" w:hAnsi="楷体" w:eastAsia="楷体" w:cs="楷体"/>
          <w:strike/>
          <w:color w:val="auto"/>
          <w:spacing w:val="-3"/>
          <w:highlight w:val="none"/>
        </w:rPr>
        <w:t>定</w:t>
      </w:r>
      <w:r>
        <w:rPr>
          <w:rFonts w:hint="eastAsia" w:ascii="楷体" w:hAnsi="楷体" w:eastAsia="楷体" w:cs="楷体"/>
          <w:strike/>
          <w:color w:val="auto"/>
          <w:highlight w:val="none"/>
        </w:rPr>
        <w:t>代</w:t>
      </w:r>
      <w:r>
        <w:rPr>
          <w:rFonts w:hint="eastAsia" w:ascii="楷体" w:hAnsi="楷体" w:eastAsia="楷体" w:cs="楷体"/>
          <w:strike/>
          <w:color w:val="auto"/>
          <w:spacing w:val="-3"/>
          <w:highlight w:val="none"/>
        </w:rPr>
        <w:t>表</w:t>
      </w:r>
      <w:r>
        <w:rPr>
          <w:rFonts w:hint="eastAsia" w:ascii="楷体" w:hAnsi="楷体" w:eastAsia="楷体" w:cs="楷体"/>
          <w:strike/>
          <w:color w:val="auto"/>
          <w:highlight w:val="none"/>
        </w:rPr>
        <w:t>人签字</w:t>
      </w:r>
      <w:r>
        <w:rPr>
          <w:rFonts w:hint="eastAsia" w:ascii="楷体" w:hAnsi="楷体" w:eastAsia="楷体" w:cs="楷体"/>
          <w:strike/>
          <w:color w:val="auto"/>
          <w:highlight w:val="none"/>
          <w:lang w:val="en-US" w:eastAsia="zh-CN"/>
        </w:rPr>
        <w:t>或盖章</w:t>
      </w:r>
      <w:r>
        <w:rPr>
          <w:rFonts w:hint="eastAsia" w:ascii="楷体" w:hAnsi="楷体" w:eastAsia="楷体" w:cs="楷体"/>
          <w:strike/>
          <w:color w:val="auto"/>
          <w:highlight w:val="none"/>
        </w:rPr>
        <w:t>的，应附法</w:t>
      </w:r>
      <w:r>
        <w:rPr>
          <w:rFonts w:hint="eastAsia" w:ascii="楷体" w:hAnsi="楷体" w:eastAsia="楷体" w:cs="楷体"/>
          <w:strike/>
          <w:color w:val="auto"/>
          <w:spacing w:val="-3"/>
          <w:highlight w:val="none"/>
        </w:rPr>
        <w:t>定</w:t>
      </w:r>
      <w:r>
        <w:rPr>
          <w:rFonts w:hint="eastAsia" w:ascii="楷体" w:hAnsi="楷体" w:eastAsia="楷体" w:cs="楷体"/>
          <w:strike/>
          <w:color w:val="auto"/>
          <w:highlight w:val="none"/>
        </w:rPr>
        <w:t>代</w:t>
      </w:r>
      <w:r>
        <w:rPr>
          <w:rFonts w:hint="eastAsia" w:ascii="楷体" w:hAnsi="楷体" w:eastAsia="楷体" w:cs="楷体"/>
          <w:strike/>
          <w:color w:val="auto"/>
          <w:spacing w:val="-3"/>
          <w:highlight w:val="none"/>
        </w:rPr>
        <w:t>表</w:t>
      </w:r>
      <w:r>
        <w:rPr>
          <w:rFonts w:hint="eastAsia" w:ascii="楷体" w:hAnsi="楷体" w:eastAsia="楷体" w:cs="楷体"/>
          <w:strike/>
          <w:color w:val="auto"/>
          <w:highlight w:val="none"/>
        </w:rPr>
        <w:t>人身份证明；由委</w:t>
      </w:r>
      <w:r>
        <w:rPr>
          <w:rFonts w:hint="eastAsia" w:ascii="楷体" w:hAnsi="楷体" w:eastAsia="楷体" w:cs="楷体"/>
          <w:strike/>
          <w:color w:val="auto"/>
          <w:spacing w:val="-3"/>
          <w:highlight w:val="none"/>
        </w:rPr>
        <w:t>托</w:t>
      </w:r>
      <w:r>
        <w:rPr>
          <w:rFonts w:hint="eastAsia" w:ascii="楷体" w:hAnsi="楷体" w:eastAsia="楷体" w:cs="楷体"/>
          <w:strike/>
          <w:color w:val="auto"/>
          <w:highlight w:val="none"/>
        </w:rPr>
        <w:t>代</w:t>
      </w:r>
      <w:r>
        <w:rPr>
          <w:rFonts w:hint="eastAsia" w:ascii="楷体" w:hAnsi="楷体" w:eastAsia="楷体" w:cs="楷体"/>
          <w:strike/>
          <w:color w:val="auto"/>
          <w:spacing w:val="-3"/>
          <w:highlight w:val="none"/>
        </w:rPr>
        <w:t>理</w:t>
      </w:r>
      <w:r>
        <w:rPr>
          <w:rFonts w:hint="eastAsia" w:ascii="楷体" w:hAnsi="楷体" w:eastAsia="楷体" w:cs="楷体"/>
          <w:strike/>
          <w:color w:val="auto"/>
          <w:highlight w:val="none"/>
        </w:rPr>
        <w:t>人签字</w:t>
      </w:r>
      <w:r>
        <w:rPr>
          <w:rFonts w:hint="eastAsia" w:ascii="楷体" w:hAnsi="楷体" w:eastAsia="楷体" w:cs="楷体"/>
          <w:strike/>
          <w:color w:val="auto"/>
          <w:highlight w:val="none"/>
          <w:lang w:val="en-US" w:eastAsia="zh-CN"/>
        </w:rPr>
        <w:t>或盖章</w:t>
      </w:r>
      <w:r>
        <w:rPr>
          <w:rFonts w:hint="eastAsia" w:ascii="楷体" w:hAnsi="楷体" w:eastAsia="楷体" w:cs="楷体"/>
          <w:strike/>
          <w:color w:val="auto"/>
          <w:highlight w:val="none"/>
        </w:rPr>
        <w:t>的，应附授</w:t>
      </w:r>
      <w:r>
        <w:rPr>
          <w:rFonts w:hint="eastAsia" w:ascii="楷体" w:hAnsi="楷体" w:eastAsia="楷体" w:cs="楷体"/>
          <w:strike/>
          <w:color w:val="auto"/>
          <w:spacing w:val="-3"/>
          <w:highlight w:val="none"/>
        </w:rPr>
        <w:t>权</w:t>
      </w:r>
      <w:r>
        <w:rPr>
          <w:rFonts w:hint="eastAsia" w:ascii="楷体" w:hAnsi="楷体" w:eastAsia="楷体" w:cs="楷体"/>
          <w:strike/>
          <w:color w:val="auto"/>
          <w:highlight w:val="none"/>
        </w:rPr>
        <w:t>委</w:t>
      </w:r>
      <w:r>
        <w:rPr>
          <w:rFonts w:hint="eastAsia" w:ascii="楷体" w:hAnsi="楷体" w:eastAsia="楷体" w:cs="楷体"/>
          <w:strike/>
          <w:color w:val="auto"/>
          <w:spacing w:val="-3"/>
          <w:highlight w:val="none"/>
        </w:rPr>
        <w:t>托</w:t>
      </w:r>
      <w:r>
        <w:rPr>
          <w:rFonts w:hint="eastAsia" w:ascii="楷体" w:hAnsi="楷体" w:eastAsia="楷体" w:cs="楷体"/>
          <w:strike/>
          <w:color w:val="auto"/>
          <w:highlight w:val="none"/>
        </w:rPr>
        <w:t>书。</w:t>
      </w:r>
    </w:p>
    <w:p w14:paraId="2B120896">
      <w:pPr>
        <w:keepNext w:val="0"/>
        <w:keepLines w:val="0"/>
        <w:pageBreakBefore w:val="0"/>
        <w:widowControl/>
        <w:kinsoku w:val="0"/>
        <w:wordWrap/>
        <w:overflowPunct/>
        <w:topLinePunct w:val="0"/>
        <w:autoSpaceDE w:val="0"/>
        <w:autoSpaceDN w:val="0"/>
        <w:bidi w:val="0"/>
        <w:adjustRightInd w:val="0"/>
        <w:snapToGrid w:val="0"/>
        <w:spacing w:line="360" w:lineRule="auto"/>
        <w:ind w:left="2409" w:right="327"/>
        <w:textAlignment w:val="baseline"/>
        <w:rPr>
          <w:rFonts w:hint="eastAsia" w:ascii="宋体" w:hAnsi="宋体" w:eastAsia="宋体" w:cs="宋体"/>
          <w:strike/>
          <w:color w:val="auto"/>
          <w:spacing w:val="-4"/>
          <w:sz w:val="21"/>
          <w:szCs w:val="21"/>
          <w:highlight w:val="none"/>
        </w:rPr>
      </w:pPr>
      <w:bookmarkStart w:id="362" w:name="bookmark201"/>
      <w:bookmarkEnd w:id="362"/>
      <w:bookmarkStart w:id="363" w:name="bookmark202"/>
      <w:bookmarkEnd w:id="363"/>
      <w:r>
        <w:rPr>
          <w:rFonts w:hint="eastAsia" w:ascii="宋体" w:hAnsi="宋体" w:eastAsia="宋体" w:cs="宋体"/>
          <w:strike/>
          <w:color w:val="auto"/>
          <w:spacing w:val="-4"/>
          <w:sz w:val="21"/>
          <w:szCs w:val="21"/>
          <w:highlight w:val="none"/>
        </w:rPr>
        <w:t>联合体</w:t>
      </w:r>
      <w:r>
        <w:rPr>
          <w:rFonts w:hint="eastAsia" w:ascii="宋体" w:hAnsi="宋体" w:eastAsia="宋体" w:cs="宋体"/>
          <w:strike/>
          <w:color w:val="auto"/>
          <w:spacing w:val="-4"/>
          <w:sz w:val="21"/>
          <w:szCs w:val="21"/>
          <w:highlight w:val="none"/>
          <w:lang w:eastAsia="zh-CN"/>
        </w:rPr>
        <w:t>主办方</w:t>
      </w:r>
      <w:r>
        <w:rPr>
          <w:rFonts w:hint="eastAsia" w:ascii="宋体" w:hAnsi="宋体" w:eastAsia="宋体" w:cs="宋体"/>
          <w:strike/>
          <w:color w:val="auto"/>
          <w:spacing w:val="-4"/>
          <w:sz w:val="21"/>
          <w:szCs w:val="21"/>
          <w:highlight w:val="none"/>
        </w:rPr>
        <w:t>名称：</w:t>
      </w:r>
      <w:r>
        <w:rPr>
          <w:rFonts w:hint="eastAsia" w:ascii="宋体" w:hAnsi="宋体" w:eastAsia="宋体" w:cs="宋体"/>
          <w:strike/>
          <w:color w:val="auto"/>
          <w:spacing w:val="-4"/>
          <w:sz w:val="21"/>
          <w:szCs w:val="21"/>
          <w:highlight w:val="none"/>
          <w:u w:val="single" w:color="auto"/>
        </w:rPr>
        <w:t xml:space="preserve">        </w:t>
      </w:r>
      <w:r>
        <w:rPr>
          <w:rFonts w:hint="eastAsia" w:ascii="宋体" w:hAnsi="宋体" w:eastAsia="宋体" w:cs="宋体"/>
          <w:strike/>
          <w:color w:val="auto"/>
          <w:spacing w:val="-2"/>
          <w:sz w:val="21"/>
          <w:szCs w:val="21"/>
          <w:highlight w:val="none"/>
          <w:u w:val="single" w:color="auto"/>
        </w:rPr>
        <w:t xml:space="preserve">                     </w:t>
      </w:r>
      <w:r>
        <w:rPr>
          <w:rFonts w:hint="eastAsia" w:ascii="宋体" w:hAnsi="宋体" w:eastAsia="宋体" w:cs="宋体"/>
          <w:strike/>
          <w:color w:val="auto"/>
          <w:spacing w:val="-2"/>
          <w:sz w:val="21"/>
          <w:szCs w:val="21"/>
          <w:highlight w:val="none"/>
        </w:rPr>
        <w:t>(盖单位章)</w:t>
      </w:r>
      <w:r>
        <w:rPr>
          <w:rFonts w:hint="eastAsia" w:ascii="宋体" w:hAnsi="宋体" w:eastAsia="宋体" w:cs="宋体"/>
          <w:strike/>
          <w:color w:val="auto"/>
          <w:sz w:val="21"/>
          <w:szCs w:val="21"/>
          <w:highlight w:val="none"/>
        </w:rPr>
        <w:t xml:space="preserve"> </w:t>
      </w:r>
      <w:r>
        <w:rPr>
          <w:rFonts w:hint="eastAsia" w:ascii="宋体" w:hAnsi="宋体" w:eastAsia="宋体" w:cs="宋体"/>
          <w:strike/>
          <w:color w:val="auto"/>
          <w:spacing w:val="-4"/>
          <w:sz w:val="21"/>
          <w:szCs w:val="21"/>
          <w:highlight w:val="none"/>
        </w:rPr>
        <w:t>法定代表人：</w:t>
      </w:r>
      <w:r>
        <w:rPr>
          <w:rFonts w:hint="eastAsia" w:ascii="宋体" w:hAnsi="宋体" w:eastAsia="宋体" w:cs="宋体"/>
          <w:strike/>
          <w:color w:val="auto"/>
          <w:spacing w:val="-4"/>
          <w:sz w:val="21"/>
          <w:szCs w:val="21"/>
          <w:highlight w:val="none"/>
          <w:u w:val="single" w:color="auto"/>
        </w:rPr>
        <w:t xml:space="preserve">             </w:t>
      </w:r>
      <w:r>
        <w:rPr>
          <w:rFonts w:hint="eastAsia" w:ascii="宋体" w:hAnsi="宋体" w:eastAsia="宋体" w:cs="宋体"/>
          <w:strike/>
          <w:color w:val="auto"/>
          <w:spacing w:val="-4"/>
          <w:sz w:val="21"/>
          <w:szCs w:val="21"/>
          <w:highlight w:val="none"/>
        </w:rPr>
        <w:t>(签字</w:t>
      </w:r>
      <w:r>
        <w:rPr>
          <w:rFonts w:hint="eastAsia" w:ascii="宋体" w:hAnsi="宋体" w:eastAsia="宋体" w:cs="宋体"/>
          <w:strike/>
          <w:color w:val="auto"/>
          <w:spacing w:val="-4"/>
          <w:sz w:val="21"/>
          <w:szCs w:val="21"/>
          <w:highlight w:val="none"/>
          <w:lang w:eastAsia="zh-CN"/>
        </w:rPr>
        <w:t>或盖章</w:t>
      </w:r>
      <w:r>
        <w:rPr>
          <w:rFonts w:hint="eastAsia" w:ascii="宋体" w:hAnsi="宋体" w:eastAsia="宋体" w:cs="宋体"/>
          <w:strike/>
          <w:color w:val="auto"/>
          <w:spacing w:val="-1"/>
          <w:sz w:val="21"/>
          <w:szCs w:val="21"/>
          <w:highlight w:val="none"/>
        </w:rPr>
        <w:t>)</w:t>
      </w:r>
    </w:p>
    <w:p w14:paraId="7B0BA5D3">
      <w:pPr>
        <w:keepNext w:val="0"/>
        <w:keepLines w:val="0"/>
        <w:pageBreakBefore w:val="0"/>
        <w:widowControl/>
        <w:kinsoku w:val="0"/>
        <w:wordWrap/>
        <w:overflowPunct/>
        <w:topLinePunct w:val="0"/>
        <w:autoSpaceDE w:val="0"/>
        <w:autoSpaceDN w:val="0"/>
        <w:bidi w:val="0"/>
        <w:adjustRightInd w:val="0"/>
        <w:snapToGrid w:val="0"/>
        <w:spacing w:line="360" w:lineRule="auto"/>
        <w:ind w:left="2409" w:right="327"/>
        <w:textAlignment w:val="baseline"/>
        <w:rPr>
          <w:rFonts w:hint="eastAsia" w:ascii="宋体" w:hAnsi="宋体" w:eastAsia="宋体" w:cs="宋体"/>
          <w:strike/>
          <w:color w:val="auto"/>
          <w:sz w:val="21"/>
          <w:szCs w:val="21"/>
          <w:highlight w:val="none"/>
        </w:rPr>
      </w:pPr>
    </w:p>
    <w:p w14:paraId="2B54077E">
      <w:pPr>
        <w:keepNext w:val="0"/>
        <w:keepLines w:val="0"/>
        <w:pageBreakBefore w:val="0"/>
        <w:widowControl/>
        <w:kinsoku w:val="0"/>
        <w:wordWrap/>
        <w:overflowPunct/>
        <w:topLinePunct w:val="0"/>
        <w:autoSpaceDE w:val="0"/>
        <w:autoSpaceDN w:val="0"/>
        <w:bidi w:val="0"/>
        <w:adjustRightInd w:val="0"/>
        <w:snapToGrid w:val="0"/>
        <w:spacing w:line="360" w:lineRule="auto"/>
        <w:ind w:left="2409" w:right="327"/>
        <w:textAlignment w:val="baseline"/>
        <w:rPr>
          <w:rFonts w:hint="eastAsia" w:ascii="宋体" w:hAnsi="宋体" w:eastAsia="宋体" w:cs="宋体"/>
          <w:strike/>
          <w:color w:val="auto"/>
          <w:sz w:val="21"/>
          <w:szCs w:val="21"/>
          <w:highlight w:val="none"/>
        </w:rPr>
      </w:pPr>
      <w:r>
        <w:rPr>
          <w:rFonts w:hint="eastAsia" w:ascii="宋体" w:hAnsi="宋体" w:eastAsia="宋体" w:cs="宋体"/>
          <w:strike/>
          <w:color w:val="auto"/>
          <w:spacing w:val="-4"/>
          <w:sz w:val="21"/>
          <w:szCs w:val="21"/>
          <w:highlight w:val="none"/>
        </w:rPr>
        <w:t>联合体成员名称：</w:t>
      </w:r>
      <w:r>
        <w:rPr>
          <w:rFonts w:hint="eastAsia" w:ascii="宋体" w:hAnsi="宋体" w:eastAsia="宋体" w:cs="宋体"/>
          <w:strike/>
          <w:color w:val="auto"/>
          <w:spacing w:val="-4"/>
          <w:sz w:val="21"/>
          <w:szCs w:val="21"/>
          <w:highlight w:val="none"/>
          <w:u w:val="single" w:color="auto"/>
        </w:rPr>
        <w:t xml:space="preserve">        </w:t>
      </w:r>
      <w:r>
        <w:rPr>
          <w:rFonts w:hint="eastAsia" w:ascii="宋体" w:hAnsi="宋体" w:eastAsia="宋体" w:cs="宋体"/>
          <w:strike/>
          <w:color w:val="auto"/>
          <w:spacing w:val="-2"/>
          <w:sz w:val="21"/>
          <w:szCs w:val="21"/>
          <w:highlight w:val="none"/>
          <w:u w:val="single" w:color="auto"/>
        </w:rPr>
        <w:t xml:space="preserve">                       </w:t>
      </w:r>
      <w:r>
        <w:rPr>
          <w:rFonts w:hint="eastAsia" w:ascii="宋体" w:hAnsi="宋体" w:eastAsia="宋体" w:cs="宋体"/>
          <w:strike/>
          <w:color w:val="auto"/>
          <w:spacing w:val="-2"/>
          <w:sz w:val="21"/>
          <w:szCs w:val="21"/>
          <w:highlight w:val="none"/>
        </w:rPr>
        <w:t>(盖单位章)</w:t>
      </w:r>
      <w:r>
        <w:rPr>
          <w:rFonts w:hint="eastAsia" w:ascii="宋体" w:hAnsi="宋体" w:eastAsia="宋体" w:cs="宋体"/>
          <w:strike/>
          <w:color w:val="auto"/>
          <w:sz w:val="21"/>
          <w:szCs w:val="21"/>
          <w:highlight w:val="none"/>
        </w:rPr>
        <w:t xml:space="preserve"> </w:t>
      </w:r>
      <w:r>
        <w:rPr>
          <w:rFonts w:hint="eastAsia" w:ascii="宋体" w:hAnsi="宋体" w:eastAsia="宋体" w:cs="宋体"/>
          <w:strike/>
          <w:color w:val="auto"/>
          <w:spacing w:val="-8"/>
          <w:sz w:val="21"/>
          <w:szCs w:val="21"/>
          <w:highlight w:val="none"/>
        </w:rPr>
        <w:t>法定</w:t>
      </w:r>
      <w:r>
        <w:rPr>
          <w:rFonts w:hint="eastAsia" w:ascii="宋体" w:hAnsi="宋体" w:eastAsia="宋体" w:cs="宋体"/>
          <w:strike/>
          <w:color w:val="auto"/>
          <w:spacing w:val="-7"/>
          <w:sz w:val="21"/>
          <w:szCs w:val="21"/>
          <w:highlight w:val="none"/>
        </w:rPr>
        <w:t>代</w:t>
      </w:r>
      <w:r>
        <w:rPr>
          <w:rFonts w:hint="eastAsia" w:ascii="宋体" w:hAnsi="宋体" w:eastAsia="宋体" w:cs="宋体"/>
          <w:strike/>
          <w:color w:val="auto"/>
          <w:spacing w:val="-4"/>
          <w:sz w:val="21"/>
          <w:szCs w:val="21"/>
          <w:highlight w:val="none"/>
        </w:rPr>
        <w:t>表人：</w:t>
      </w:r>
      <w:r>
        <w:rPr>
          <w:rFonts w:hint="eastAsia" w:ascii="宋体" w:hAnsi="宋体" w:eastAsia="宋体" w:cs="宋体"/>
          <w:strike/>
          <w:color w:val="auto"/>
          <w:spacing w:val="-4"/>
          <w:sz w:val="21"/>
          <w:szCs w:val="21"/>
          <w:highlight w:val="none"/>
          <w:u w:val="single" w:color="auto"/>
        </w:rPr>
        <w:t xml:space="preserve">           </w:t>
      </w:r>
      <w:r>
        <w:rPr>
          <w:rFonts w:hint="eastAsia" w:ascii="宋体" w:hAnsi="宋体" w:eastAsia="宋体" w:cs="宋体"/>
          <w:strike/>
          <w:color w:val="auto"/>
          <w:spacing w:val="-4"/>
          <w:sz w:val="21"/>
          <w:szCs w:val="21"/>
          <w:highlight w:val="none"/>
        </w:rPr>
        <w:t>(签字</w:t>
      </w:r>
      <w:r>
        <w:rPr>
          <w:rFonts w:hint="eastAsia" w:ascii="宋体" w:hAnsi="宋体" w:eastAsia="宋体" w:cs="宋体"/>
          <w:strike/>
          <w:color w:val="auto"/>
          <w:spacing w:val="-4"/>
          <w:sz w:val="21"/>
          <w:szCs w:val="21"/>
          <w:highlight w:val="none"/>
          <w:lang w:eastAsia="zh-CN"/>
        </w:rPr>
        <w:t>或盖章</w:t>
      </w:r>
      <w:r>
        <w:rPr>
          <w:rFonts w:hint="eastAsia" w:ascii="宋体" w:hAnsi="宋体" w:eastAsia="宋体" w:cs="宋体"/>
          <w:strike/>
          <w:color w:val="auto"/>
          <w:spacing w:val="-4"/>
          <w:sz w:val="21"/>
          <w:szCs w:val="21"/>
          <w:highlight w:val="none"/>
        </w:rPr>
        <w:t>)</w:t>
      </w:r>
    </w:p>
    <w:p w14:paraId="1219734E">
      <w:pPr>
        <w:keepNext w:val="0"/>
        <w:keepLines w:val="0"/>
        <w:pageBreakBefore w:val="0"/>
        <w:widowControl/>
        <w:tabs>
          <w:tab w:val="left" w:pos="4407"/>
        </w:tabs>
        <w:kinsoku w:val="0"/>
        <w:wordWrap/>
        <w:overflowPunct/>
        <w:topLinePunct w:val="0"/>
        <w:autoSpaceDE w:val="0"/>
        <w:autoSpaceDN w:val="0"/>
        <w:bidi w:val="0"/>
        <w:adjustRightInd w:val="0"/>
        <w:snapToGrid w:val="0"/>
        <w:spacing w:line="360" w:lineRule="auto"/>
        <w:ind w:left="3663"/>
        <w:textAlignment w:val="baseline"/>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u w:val="single" w:color="auto"/>
        </w:rPr>
        <w:tab/>
      </w:r>
      <w:r>
        <w:rPr>
          <w:rFonts w:hint="eastAsia" w:ascii="宋体" w:hAnsi="宋体" w:eastAsia="宋体" w:cs="宋体"/>
          <w:strike/>
          <w:color w:val="auto"/>
          <w:spacing w:val="3"/>
          <w:sz w:val="21"/>
          <w:szCs w:val="21"/>
          <w:highlight w:val="none"/>
        </w:rPr>
        <w:t>年</w:t>
      </w:r>
      <w:r>
        <w:rPr>
          <w:rFonts w:hint="eastAsia" w:ascii="宋体" w:hAnsi="宋体" w:eastAsia="宋体" w:cs="宋体"/>
          <w:strike/>
          <w:color w:val="auto"/>
          <w:spacing w:val="2"/>
          <w:sz w:val="21"/>
          <w:szCs w:val="21"/>
          <w:highlight w:val="none"/>
          <w:u w:val="single" w:color="auto"/>
        </w:rPr>
        <w:t xml:space="preserve">       </w:t>
      </w:r>
      <w:r>
        <w:rPr>
          <w:rFonts w:hint="eastAsia" w:ascii="宋体" w:hAnsi="宋体" w:eastAsia="宋体" w:cs="宋体"/>
          <w:strike/>
          <w:color w:val="auto"/>
          <w:spacing w:val="2"/>
          <w:sz w:val="21"/>
          <w:szCs w:val="21"/>
          <w:highlight w:val="none"/>
        </w:rPr>
        <w:t>月</w:t>
      </w:r>
      <w:r>
        <w:rPr>
          <w:rFonts w:hint="eastAsia" w:ascii="宋体" w:hAnsi="宋体" w:eastAsia="宋体" w:cs="宋体"/>
          <w:strike/>
          <w:color w:val="auto"/>
          <w:spacing w:val="2"/>
          <w:sz w:val="21"/>
          <w:szCs w:val="21"/>
          <w:highlight w:val="none"/>
          <w:u w:val="single" w:color="auto"/>
        </w:rPr>
        <w:t xml:space="preserve">       </w:t>
      </w:r>
      <w:r>
        <w:rPr>
          <w:rFonts w:hint="eastAsia" w:ascii="宋体" w:hAnsi="宋体" w:eastAsia="宋体" w:cs="宋体"/>
          <w:strike/>
          <w:color w:val="auto"/>
          <w:spacing w:val="2"/>
          <w:sz w:val="21"/>
          <w:szCs w:val="21"/>
          <w:highlight w:val="none"/>
        </w:rPr>
        <w:t>日</w:t>
      </w:r>
    </w:p>
    <w:p w14:paraId="56C113D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sectPr>
          <w:footerReference r:id="rId3" w:type="default"/>
          <w:pgSz w:w="12240" w:h="15840"/>
          <w:pgMar w:top="1346" w:right="1836" w:bottom="1104" w:left="1836" w:header="0" w:footer="940" w:gutter="0"/>
          <w:pgNumType w:fmt="decimal"/>
          <w:cols w:space="720" w:num="1"/>
        </w:sectPr>
      </w:pPr>
    </w:p>
    <w:p w14:paraId="622405F6">
      <w:pPr>
        <w:pStyle w:val="5"/>
        <w:bidi w:val="0"/>
        <w:jc w:val="center"/>
        <w:rPr>
          <w:rFonts w:hint="eastAsia" w:ascii="宋体" w:hAnsi="宋体" w:cs="宋体"/>
          <w:color w:val="auto"/>
          <w:kern w:val="0"/>
          <w:szCs w:val="36"/>
          <w:highlight w:val="none"/>
        </w:rPr>
      </w:pPr>
      <w:bookmarkStart w:id="364" w:name="_Toc32158"/>
      <w:r>
        <w:rPr>
          <w:rFonts w:hint="eastAsia" w:ascii="宋体" w:hAnsi="宋体" w:eastAsia="宋体" w:cs="宋体"/>
          <w:b/>
          <w:bCs w:val="0"/>
          <w:color w:val="auto"/>
          <w:sz w:val="28"/>
          <w:szCs w:val="28"/>
          <w:highlight w:val="none"/>
          <w:lang w:eastAsia="zh-CN"/>
        </w:rPr>
        <w:t>四、</w:t>
      </w:r>
      <w:r>
        <w:rPr>
          <w:rFonts w:hint="eastAsia" w:ascii="宋体" w:hAnsi="宋体" w:eastAsia="宋体" w:cs="宋体"/>
          <w:b/>
          <w:bCs w:val="0"/>
          <w:color w:val="auto"/>
          <w:sz w:val="28"/>
          <w:szCs w:val="28"/>
          <w:highlight w:val="none"/>
        </w:rPr>
        <w:t>投标人声明</w:t>
      </w:r>
      <w:bookmarkEnd w:id="353"/>
      <w:bookmarkEnd w:id="354"/>
      <w:bookmarkEnd w:id="355"/>
      <w:bookmarkEnd w:id="356"/>
      <w:bookmarkEnd w:id="357"/>
      <w:bookmarkEnd w:id="358"/>
      <w:bookmarkEnd w:id="359"/>
      <w:bookmarkEnd w:id="360"/>
      <w:bookmarkEnd w:id="361"/>
      <w:bookmarkEnd w:id="364"/>
    </w:p>
    <w:p w14:paraId="35E3E837">
      <w:pPr>
        <w:snapToGrid w:val="0"/>
        <w:spacing w:line="360" w:lineRule="auto"/>
        <w:ind w:firstLine="420" w:firstLineChars="200"/>
        <w:rPr>
          <w:rFonts w:hint="eastAsia" w:ascii="宋体" w:hAnsi="宋体" w:cs="宋体"/>
          <w:color w:val="auto"/>
          <w:kern w:val="0"/>
          <w:szCs w:val="21"/>
          <w:highlight w:val="none"/>
        </w:rPr>
      </w:pPr>
    </w:p>
    <w:p w14:paraId="2C856708">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本招标项目招标人及招标监管机构：</w:t>
      </w:r>
    </w:p>
    <w:p w14:paraId="6B3894CC">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本公司就参加</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u w:val="none"/>
        </w:rPr>
        <w:t>项目</w:t>
      </w:r>
      <w:r>
        <w:rPr>
          <w:rFonts w:ascii="宋体" w:hAnsi="宋体" w:cs="宋体"/>
          <w:color w:val="auto"/>
          <w:kern w:val="0"/>
          <w:szCs w:val="21"/>
          <w:highlight w:val="none"/>
        </w:rPr>
        <w:t>投标工作，作出郑重声明：</w:t>
      </w:r>
    </w:p>
    <w:p w14:paraId="59BE81CB">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一、本公司保证投标</w:t>
      </w:r>
      <w:r>
        <w:rPr>
          <w:rFonts w:hint="default" w:ascii="宋体" w:hAnsi="宋体" w:cs="宋体"/>
          <w:color w:val="auto"/>
          <w:kern w:val="0"/>
          <w:szCs w:val="21"/>
          <w:highlight w:val="none"/>
          <w:lang w:val="en-US"/>
        </w:rPr>
        <w:t>报名</w:t>
      </w:r>
      <w:r>
        <w:rPr>
          <w:rFonts w:hint="eastAsia" w:ascii="宋体" w:hAnsi="宋体" w:cs="宋体"/>
          <w:color w:val="auto"/>
          <w:kern w:val="0"/>
          <w:szCs w:val="21"/>
          <w:highlight w:val="none"/>
          <w:lang w:val="en-US" w:eastAsia="zh-CN"/>
        </w:rPr>
        <w:t>登记</w:t>
      </w:r>
      <w:r>
        <w:rPr>
          <w:rFonts w:hint="eastAsia" w:ascii="宋体" w:hAnsi="宋体" w:cs="宋体"/>
          <w:color w:val="auto"/>
          <w:kern w:val="0"/>
          <w:szCs w:val="21"/>
          <w:highlight w:val="none"/>
        </w:rPr>
        <w:t>材料及其后提供的一切材料都是真实的。</w:t>
      </w:r>
      <w:r>
        <w:rPr>
          <w:rFonts w:ascii="宋体" w:hAnsi="宋体" w:cs="宋体"/>
          <w:color w:val="auto"/>
          <w:kern w:val="0"/>
          <w:szCs w:val="21"/>
          <w:highlight w:val="none"/>
        </w:rPr>
        <w:t>如我司成为本项目中标候选人，我司同意并授权招标人将我司投标文件商务部分的人员、业绩、奖项等资料进行公</w:t>
      </w:r>
      <w:r>
        <w:rPr>
          <w:rFonts w:hint="eastAsia" w:ascii="宋体" w:hAnsi="宋体" w:cs="宋体"/>
          <w:color w:val="auto"/>
          <w:kern w:val="0"/>
          <w:szCs w:val="21"/>
          <w:highlight w:val="none"/>
        </w:rPr>
        <w:t>开</w:t>
      </w:r>
      <w:r>
        <w:rPr>
          <w:rFonts w:ascii="宋体" w:hAnsi="宋体" w:cs="宋体"/>
          <w:color w:val="auto"/>
          <w:kern w:val="0"/>
          <w:szCs w:val="21"/>
          <w:highlight w:val="none"/>
        </w:rPr>
        <w:t>。</w:t>
      </w:r>
    </w:p>
    <w:p w14:paraId="7114F09B">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14:paraId="588ABB57">
      <w:pPr>
        <w:pStyle w:val="2"/>
        <w:kinsoku w:val="0"/>
        <w:overflowPunct w:val="0"/>
        <w:spacing w:before="75"/>
        <w:rPr>
          <w:rFonts w:hint="eastAsia" w:ascii="宋体" w:hAnsi="宋体" w:cs="宋体"/>
          <w:color w:val="auto"/>
          <w:kern w:val="0"/>
          <w:szCs w:val="21"/>
          <w:highlight w:val="none"/>
        </w:rPr>
      </w:pPr>
      <w:r>
        <w:rPr>
          <w:rFonts w:hint="eastAsia" w:ascii="宋体" w:hAnsi="宋体" w:cs="宋体"/>
          <w:color w:val="auto"/>
          <w:kern w:val="0"/>
          <w:szCs w:val="21"/>
          <w:highlight w:val="none"/>
        </w:rPr>
        <w:t>三、本公司不存在招标文件第二章投标人须知第1.4.3项所规定的任何一种情形。具体如下：</w:t>
      </w:r>
    </w:p>
    <w:p w14:paraId="1FC5C1A3">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一</w:t>
      </w:r>
      <w:r>
        <w:rPr>
          <w:rFonts w:hint="eastAsia" w:ascii="宋体" w:hAnsi="宋体" w:cs="宋体"/>
          <w:color w:val="auto"/>
          <w:kern w:val="0"/>
          <w:szCs w:val="21"/>
          <w:highlight w:val="none"/>
        </w:rPr>
        <w:t>）为招标人不具有独立法人资格的附属机构（单位）；</w:t>
      </w:r>
    </w:p>
    <w:p w14:paraId="1E616F4E">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二</w:t>
      </w:r>
      <w:r>
        <w:rPr>
          <w:rFonts w:hint="eastAsia" w:ascii="宋体" w:hAnsi="宋体" w:cs="宋体"/>
          <w:color w:val="auto"/>
          <w:kern w:val="0"/>
          <w:szCs w:val="21"/>
          <w:highlight w:val="none"/>
        </w:rPr>
        <w:t>）与招标人存在利害关系且可能影响招标公正性；</w:t>
      </w:r>
    </w:p>
    <w:p w14:paraId="42A4148C">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三</w:t>
      </w:r>
      <w:r>
        <w:rPr>
          <w:rFonts w:hint="eastAsia" w:ascii="宋体" w:hAnsi="宋体" w:cs="宋体"/>
          <w:color w:val="auto"/>
          <w:kern w:val="0"/>
          <w:szCs w:val="21"/>
          <w:highlight w:val="none"/>
        </w:rPr>
        <w:t>）与本招标项目的其他投标人为同一个单位负责人；</w:t>
      </w:r>
    </w:p>
    <w:p w14:paraId="5829623B">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四</w:t>
      </w:r>
      <w:r>
        <w:rPr>
          <w:rFonts w:hint="eastAsia" w:ascii="宋体" w:hAnsi="宋体" w:cs="宋体"/>
          <w:color w:val="auto"/>
          <w:kern w:val="0"/>
          <w:szCs w:val="21"/>
          <w:highlight w:val="none"/>
        </w:rPr>
        <w:t>）与本招标项目的其他投标人存在控股、管理关系；</w:t>
      </w:r>
    </w:p>
    <w:p w14:paraId="48B15BD2">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五</w:t>
      </w:r>
      <w:r>
        <w:rPr>
          <w:rFonts w:hint="eastAsia" w:ascii="宋体" w:hAnsi="宋体" w:cs="宋体"/>
          <w:color w:val="auto"/>
          <w:kern w:val="0"/>
          <w:szCs w:val="21"/>
          <w:highlight w:val="none"/>
        </w:rPr>
        <w:t>）为本招标项目的代建人或建设管理单位；</w:t>
      </w:r>
    </w:p>
    <w:p w14:paraId="112EED24">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六</w:t>
      </w:r>
      <w:r>
        <w:rPr>
          <w:rFonts w:hint="eastAsia" w:ascii="宋体" w:hAnsi="宋体" w:cs="宋体"/>
          <w:color w:val="auto"/>
          <w:kern w:val="0"/>
          <w:szCs w:val="21"/>
          <w:highlight w:val="none"/>
        </w:rPr>
        <w:t>）为本招标项目的招标代理机构；</w:t>
      </w:r>
    </w:p>
    <w:p w14:paraId="724B34EC">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七</w:t>
      </w:r>
      <w:r>
        <w:rPr>
          <w:rFonts w:hint="eastAsia" w:ascii="宋体" w:hAnsi="宋体" w:cs="宋体"/>
          <w:color w:val="auto"/>
          <w:kern w:val="0"/>
          <w:szCs w:val="21"/>
          <w:highlight w:val="none"/>
        </w:rPr>
        <w:t>）与本招标项目的</w:t>
      </w:r>
      <w:r>
        <w:rPr>
          <w:rFonts w:hint="eastAsia" w:ascii="宋体" w:hAnsi="宋体" w:cs="宋体"/>
          <w:color w:val="auto"/>
          <w:kern w:val="0"/>
          <w:szCs w:val="21"/>
          <w:highlight w:val="none"/>
          <w:lang w:eastAsia="zh-CN"/>
        </w:rPr>
        <w:t>代建人或</w:t>
      </w:r>
      <w:r>
        <w:rPr>
          <w:rFonts w:hint="eastAsia" w:ascii="宋体" w:hAnsi="宋体" w:cs="宋体"/>
          <w:color w:val="auto"/>
          <w:kern w:val="0"/>
          <w:szCs w:val="21"/>
          <w:highlight w:val="none"/>
        </w:rPr>
        <w:t>招标代理机构同为一个法定代表人；</w:t>
      </w:r>
    </w:p>
    <w:p w14:paraId="7441D978">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八</w:t>
      </w:r>
      <w:r>
        <w:rPr>
          <w:rFonts w:hint="eastAsia" w:ascii="宋体" w:hAnsi="宋体" w:cs="宋体"/>
          <w:color w:val="auto"/>
          <w:kern w:val="0"/>
          <w:szCs w:val="21"/>
          <w:highlight w:val="none"/>
        </w:rPr>
        <w:t>）与本招标项目的代建人或招标代理机构存在控股或参股关系；</w:t>
      </w:r>
    </w:p>
    <w:p w14:paraId="756DAD84">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九</w:t>
      </w:r>
      <w:r>
        <w:rPr>
          <w:rFonts w:hint="eastAsia" w:ascii="宋体" w:hAnsi="宋体" w:cs="宋体"/>
          <w:color w:val="auto"/>
          <w:kern w:val="0"/>
          <w:szCs w:val="21"/>
          <w:highlight w:val="none"/>
        </w:rPr>
        <w:t>）</w:t>
      </w:r>
      <w:r>
        <w:rPr>
          <w:rFonts w:hint="default" w:ascii="宋体" w:hAnsi="宋体" w:eastAsia="宋体" w:cs="宋体"/>
          <w:color w:val="auto"/>
          <w:kern w:val="2"/>
          <w:sz w:val="21"/>
          <w:szCs w:val="21"/>
          <w:highlight w:val="none"/>
          <w:lang w:val="en-US" w:eastAsia="zh-CN" w:bidi="ar-SA"/>
        </w:rPr>
        <w:t>与本招标项目的检测机构、建设</w:t>
      </w:r>
      <w:r>
        <w:rPr>
          <w:rFonts w:hint="eastAsia" w:ascii="宋体" w:hAnsi="宋体" w:eastAsia="宋体" w:cs="宋体"/>
          <w:color w:val="auto"/>
          <w:kern w:val="2"/>
          <w:sz w:val="21"/>
          <w:szCs w:val="21"/>
          <w:highlight w:val="none"/>
          <w:lang w:val="en-US" w:eastAsia="zh-CN" w:bidi="ar-SA"/>
        </w:rPr>
        <w:t>、施工</w:t>
      </w:r>
      <w:r>
        <w:rPr>
          <w:rFonts w:hint="default" w:ascii="宋体" w:hAnsi="宋体" w:eastAsia="宋体" w:cs="宋体"/>
          <w:color w:val="auto"/>
          <w:kern w:val="2"/>
          <w:sz w:val="21"/>
          <w:szCs w:val="21"/>
          <w:highlight w:val="none"/>
          <w:lang w:val="en-US" w:eastAsia="zh-CN" w:bidi="ar-SA"/>
        </w:rPr>
        <w:t>单位以及建筑材料、建筑构配件和设备供应商有隶属关系或者其他利害关系有隶属关系或者其他利害关系</w:t>
      </w:r>
      <w:r>
        <w:rPr>
          <w:rFonts w:hint="eastAsia" w:ascii="宋体" w:hAnsi="宋体" w:cs="宋体"/>
          <w:color w:val="auto"/>
          <w:kern w:val="0"/>
          <w:szCs w:val="21"/>
          <w:highlight w:val="none"/>
        </w:rPr>
        <w:t>；</w:t>
      </w:r>
    </w:p>
    <w:p w14:paraId="34274290">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（十）</w:t>
      </w:r>
      <w:r>
        <w:rPr>
          <w:rFonts w:hint="eastAsia" w:ascii="宋体" w:hAnsi="宋体" w:cs="宋体"/>
          <w:color w:val="auto"/>
          <w:kern w:val="0"/>
          <w:szCs w:val="21"/>
          <w:highlight w:val="none"/>
        </w:rPr>
        <w:t>被依法暂停或者取消投标资格（本项事实应当以根据《中华人民共和国行政处罚法》依法作出并已生效的行政处罚决定为认定依据。行政处罚决定中已明确暂停或取消投标资格的区域范围不包含本标段建设地点的，不受该项规定限制）；</w:t>
      </w:r>
    </w:p>
    <w:p w14:paraId="7A6142A3">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十一</w:t>
      </w:r>
      <w:r>
        <w:rPr>
          <w:rFonts w:hint="eastAsia" w:ascii="宋体" w:hAnsi="宋体" w:cs="宋体"/>
          <w:color w:val="auto"/>
          <w:kern w:val="0"/>
          <w:szCs w:val="21"/>
          <w:highlight w:val="none"/>
        </w:rPr>
        <w:t>）被责令停产停业、暂扣或者吊销许可证、暂扣或者吊销执照（本项事实应当以根据《中华人民共和国行政处罚法》依法作出并已生效的行政处罚决定为认定依据。）；</w:t>
      </w:r>
    </w:p>
    <w:p w14:paraId="0D3EF632">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十二</w:t>
      </w:r>
      <w:r>
        <w:rPr>
          <w:rFonts w:hint="eastAsia" w:ascii="宋体" w:hAnsi="宋体" w:cs="宋体"/>
          <w:color w:val="auto"/>
          <w:kern w:val="0"/>
          <w:szCs w:val="21"/>
          <w:highlight w:val="none"/>
        </w:rPr>
        <w:t>）进入清算程序，或被宣告破产，或其他丧失履约能力的情形；</w:t>
      </w:r>
    </w:p>
    <w:p w14:paraId="300A18F8">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十三</w:t>
      </w:r>
      <w:r>
        <w:rPr>
          <w:rFonts w:hint="eastAsia" w:ascii="宋体" w:hAnsi="宋体" w:cs="宋体"/>
          <w:color w:val="auto"/>
          <w:kern w:val="0"/>
          <w:szCs w:val="21"/>
          <w:highlight w:val="none"/>
        </w:rPr>
        <w:t>）在最近三年内有发生重大</w:t>
      </w:r>
      <w:r>
        <w:rPr>
          <w:rFonts w:hint="eastAsia" w:ascii="宋体" w:hAnsi="宋体" w:cs="宋体"/>
          <w:color w:val="auto"/>
          <w:kern w:val="0"/>
          <w:szCs w:val="21"/>
          <w:highlight w:val="none"/>
          <w:lang w:eastAsia="zh-CN"/>
        </w:rPr>
        <w:t>监理</w:t>
      </w:r>
      <w:r>
        <w:rPr>
          <w:rFonts w:hint="eastAsia" w:ascii="宋体" w:hAnsi="宋体" w:cs="宋体"/>
          <w:color w:val="auto"/>
          <w:kern w:val="0"/>
          <w:szCs w:val="21"/>
          <w:highlight w:val="none"/>
        </w:rPr>
        <w:t>质量问题的（以相关行业主管部门的行政处罚决定或司法机关出具的有关法律文书为准。“最近三年”是指从投标截止时间之日起逆推三年，以相关行业主管部门、司法机关、仲裁机构出具的生效文件的落款时间起计算。）；</w:t>
      </w:r>
    </w:p>
    <w:p w14:paraId="2F81ED30">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十四</w:t>
      </w:r>
      <w:r>
        <w:rPr>
          <w:rFonts w:hint="eastAsia" w:ascii="宋体" w:hAnsi="宋体" w:cs="宋体"/>
          <w:color w:val="auto"/>
          <w:kern w:val="0"/>
          <w:szCs w:val="21"/>
          <w:highlight w:val="none"/>
        </w:rPr>
        <w:t>）法律法规或投标人须知前附表规定的其他情形。</w:t>
      </w:r>
    </w:p>
    <w:p w14:paraId="680D1607">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四、本公司及其有隶属关系的机构，没有参加本项目招标文件的编写工作；本公司与本次招标的招标代理机构没有隶属关系或其他利害关系；本公司与本工程的承包单位以及建筑材料、建筑构配件和设备供应单位没有隶属关系或其他利害关系。</w:t>
      </w:r>
    </w:p>
    <w:p w14:paraId="66365CB4">
      <w:pPr>
        <w:snapToGrid w:val="0"/>
        <w:spacing w:line="360" w:lineRule="auto"/>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五、本公司承诺，中标后严格执行安全生产相关管理规定。</w:t>
      </w:r>
    </w:p>
    <w:p w14:paraId="4986808C">
      <w:pPr>
        <w:snapToGrid w:val="0"/>
        <w:spacing w:line="360" w:lineRule="auto"/>
        <w:ind w:firstLine="420" w:firstLineChars="200"/>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rPr>
        <w:t>六、与本公司单位负责人为同一人或者与本公司存在控股、管理关系的其他单位包括：</w:t>
      </w:r>
      <w:r>
        <w:rPr>
          <w:rFonts w:hint="eastAsia" w:ascii="宋体" w:hAnsi="宋体" w:cs="宋体"/>
          <w:b w:val="0"/>
          <w:bCs/>
          <w:color w:val="auto"/>
          <w:kern w:val="0"/>
          <w:szCs w:val="21"/>
          <w:highlight w:val="none"/>
          <w:u w:val="single"/>
        </w:rPr>
        <w:t xml:space="preserve">        </w:t>
      </w:r>
      <w:r>
        <w:rPr>
          <w:rFonts w:hint="eastAsia" w:ascii="宋体" w:hAnsi="宋体" w:cs="宋体"/>
          <w:b w:val="0"/>
          <w:bCs/>
          <w:color w:val="auto"/>
          <w:kern w:val="0"/>
          <w:szCs w:val="21"/>
          <w:highlight w:val="none"/>
        </w:rPr>
        <w:t>。（注：本条由投标人如实填写，如有，应列出全部满足招标公告资质要求的相关单位的名称；如无，则填写“无”。）</w:t>
      </w:r>
    </w:p>
    <w:p w14:paraId="27574289">
      <w:pPr>
        <w:snapToGrid w:val="0"/>
        <w:spacing w:line="360" w:lineRule="auto"/>
        <w:ind w:firstLine="420" w:firstLineChars="200"/>
        <w:rPr>
          <w:rFonts w:hint="eastAsia" w:ascii="宋体" w:hAnsi="宋体" w:eastAsia="宋体" w:cs="宋体"/>
          <w:b w:val="0"/>
          <w:bCs/>
          <w:color w:val="auto"/>
          <w:kern w:val="0"/>
          <w:szCs w:val="21"/>
          <w:highlight w:val="none"/>
          <w:lang w:val="en-US" w:eastAsia="zh-CN"/>
        </w:rPr>
      </w:pPr>
      <w:r>
        <w:rPr>
          <w:rFonts w:hint="eastAsia" w:ascii="宋体" w:hAnsi="宋体" w:cs="宋体"/>
          <w:b w:val="0"/>
          <w:bCs/>
          <w:color w:val="auto"/>
          <w:kern w:val="0"/>
          <w:szCs w:val="21"/>
          <w:highlight w:val="none"/>
          <w:lang w:val="en-US" w:eastAsia="zh-CN"/>
        </w:rPr>
        <w:t>七、本公司承诺所提供的银行保函、保证保险、专业工程担保公司担保（如有）真实、有效</w:t>
      </w:r>
    </w:p>
    <w:p w14:paraId="719D299A">
      <w:pPr>
        <w:pStyle w:val="121"/>
        <w:spacing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八、本公司积极响应广州市关于投身“百千万工程”的号召，主动参与政府投资类建设工程施工项目的建筑业结对帮扶等活动（市属国有企业投资项目参照执行）</w:t>
      </w:r>
      <w:r>
        <w:rPr>
          <w:rFonts w:hint="eastAsia" w:ascii="宋体" w:hAnsi="宋体" w:eastAsia="宋体" w:cs="宋体"/>
          <w:color w:val="auto"/>
          <w:sz w:val="21"/>
          <w:szCs w:val="21"/>
          <w:highlight w:val="none"/>
          <w:lang w:eastAsia="zh-CN"/>
        </w:rPr>
        <w:t>。</w:t>
      </w:r>
    </w:p>
    <w:p w14:paraId="356B1182">
      <w:pPr>
        <w:snapToGrid w:val="0"/>
        <w:spacing w:line="360" w:lineRule="auto"/>
        <w:ind w:firstLine="420" w:firstLineChars="200"/>
        <w:rPr>
          <w:rFonts w:ascii="宋体" w:hAnsi="宋体" w:cs="宋体"/>
          <w:color w:val="auto"/>
          <w:kern w:val="0"/>
          <w:szCs w:val="21"/>
          <w:highlight w:val="none"/>
        </w:rPr>
      </w:pPr>
      <w:r>
        <w:rPr>
          <w:rFonts w:hint="eastAsia" w:ascii="宋体" w:hAnsi="宋体" w:eastAsia="宋体" w:cs="宋体"/>
          <w:color w:val="auto"/>
          <w:sz w:val="21"/>
          <w:szCs w:val="21"/>
          <w:highlight w:val="none"/>
          <w:lang w:eastAsia="zh-CN"/>
        </w:rPr>
        <w:t>九、</w:t>
      </w:r>
      <w:r>
        <w:rPr>
          <w:rFonts w:hint="eastAsia" w:ascii="宋体" w:hAnsi="宋体" w:eastAsia="宋体" w:cs="宋体"/>
          <w:color w:val="auto"/>
          <w:sz w:val="21"/>
          <w:szCs w:val="21"/>
          <w:highlight w:val="none"/>
        </w:rPr>
        <w:t>本公司违反上述承诺，或本声明陈述与事实不符，经查实，本公司愿意接受公开通报，</w:t>
      </w:r>
      <w:r>
        <w:rPr>
          <w:rFonts w:hint="eastAsia" w:ascii="宋体" w:hAnsi="宋体" w:eastAsia="宋体" w:cs="宋体"/>
          <w:b/>
          <w:bCs/>
          <w:color w:val="auto"/>
          <w:sz w:val="21"/>
          <w:szCs w:val="21"/>
          <w:highlight w:val="none"/>
        </w:rPr>
        <w:t>愿意按照广州市交通运输局有关信用</w:t>
      </w:r>
      <w:r>
        <w:rPr>
          <w:rFonts w:hint="eastAsia" w:ascii="宋体" w:hAnsi="宋体" w:eastAsia="宋体" w:cs="宋体"/>
          <w:b/>
          <w:bCs/>
          <w:color w:val="auto"/>
          <w:sz w:val="21"/>
          <w:szCs w:val="21"/>
          <w:highlight w:val="none"/>
          <w:lang w:eastAsia="zh-CN"/>
        </w:rPr>
        <w:t>评价管理</w:t>
      </w:r>
      <w:r>
        <w:rPr>
          <w:rFonts w:hint="eastAsia" w:ascii="宋体" w:hAnsi="宋体" w:eastAsia="宋体" w:cs="宋体"/>
          <w:b/>
          <w:bCs/>
          <w:color w:val="auto"/>
          <w:sz w:val="21"/>
          <w:szCs w:val="21"/>
          <w:highlight w:val="none"/>
        </w:rPr>
        <w:t>有关规定，被记录为“不良</w:t>
      </w:r>
      <w:r>
        <w:rPr>
          <w:rFonts w:hint="eastAsia" w:ascii="宋体" w:hAnsi="宋体" w:eastAsia="宋体" w:cs="宋体"/>
          <w:b/>
          <w:bCs/>
          <w:color w:val="auto"/>
          <w:sz w:val="21"/>
          <w:szCs w:val="21"/>
          <w:highlight w:val="none"/>
          <w:lang w:eastAsia="zh-CN"/>
        </w:rPr>
        <w:t>交易行为</w:t>
      </w:r>
      <w:r>
        <w:rPr>
          <w:rFonts w:hint="eastAsia" w:ascii="宋体" w:hAnsi="宋体" w:eastAsia="宋体" w:cs="宋体"/>
          <w:b/>
          <w:bCs/>
          <w:color w:val="auto"/>
          <w:sz w:val="21"/>
          <w:szCs w:val="21"/>
          <w:highlight w:val="none"/>
        </w:rPr>
        <w:t>信息”</w:t>
      </w:r>
      <w:r>
        <w:rPr>
          <w:rFonts w:hint="eastAsia" w:ascii="宋体" w:hAnsi="宋体" w:eastAsia="宋体" w:cs="宋体"/>
          <w:color w:val="auto"/>
          <w:sz w:val="21"/>
          <w:szCs w:val="21"/>
          <w:highlight w:val="none"/>
        </w:rPr>
        <w:t>，承担由此带来的法律后果</w:t>
      </w:r>
      <w:r>
        <w:rPr>
          <w:rFonts w:ascii="宋体" w:hAnsi="宋体" w:cs="宋体"/>
          <w:color w:val="auto"/>
          <w:kern w:val="0"/>
          <w:szCs w:val="21"/>
          <w:highlight w:val="none"/>
        </w:rPr>
        <w:t>。</w:t>
      </w:r>
    </w:p>
    <w:p w14:paraId="6BEB18E7">
      <w:pPr>
        <w:pStyle w:val="17"/>
        <w:ind w:left="0" w:leftChars="0" w:firstLine="420" w:firstLineChars="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特此声明。</w:t>
      </w:r>
    </w:p>
    <w:p w14:paraId="44946737">
      <w:pPr>
        <w:ind w:firstLine="420"/>
        <w:rPr>
          <w:rFonts w:hint="default"/>
          <w:color w:val="auto"/>
          <w:highlight w:val="none"/>
          <w:lang w:val="en-US" w:eastAsia="zh-CN"/>
        </w:rPr>
      </w:pPr>
    </w:p>
    <w:p w14:paraId="579460C9">
      <w:pPr>
        <w:pStyle w:val="17"/>
        <w:rPr>
          <w:rFonts w:hint="default"/>
          <w:color w:val="auto"/>
          <w:highlight w:val="none"/>
          <w:lang w:val="en-US" w:eastAsia="zh-CN"/>
        </w:rPr>
      </w:pPr>
    </w:p>
    <w:p w14:paraId="322BCE99">
      <w:pPr>
        <w:rPr>
          <w:rFonts w:hint="default"/>
          <w:color w:val="auto"/>
          <w:highlight w:val="none"/>
          <w:lang w:val="en-US" w:eastAsia="zh-CN"/>
        </w:rPr>
      </w:pPr>
    </w:p>
    <w:p w14:paraId="2DCEF284">
      <w:pPr>
        <w:snapToGrid w:val="0"/>
        <w:spacing w:line="360" w:lineRule="auto"/>
        <w:ind w:firstLine="3990" w:firstLineChars="1900"/>
        <w:rPr>
          <w:rFonts w:hint="eastAsia" w:ascii="宋体" w:hAnsi="宋体" w:cs="宋体"/>
          <w:color w:val="auto"/>
          <w:kern w:val="0"/>
          <w:szCs w:val="21"/>
          <w:highlight w:val="none"/>
        </w:rPr>
      </w:pPr>
      <w:r>
        <w:rPr>
          <w:rFonts w:hint="eastAsia" w:ascii="宋体" w:hAnsi="宋体" w:cs="宋体"/>
          <w:color w:val="auto"/>
          <w:kern w:val="0"/>
          <w:szCs w:val="21"/>
          <w:highlight w:val="none"/>
        </w:rPr>
        <w:t>声明企业：            (企业公章)</w:t>
      </w:r>
    </w:p>
    <w:p w14:paraId="606687FE">
      <w:pPr>
        <w:snapToGrid w:val="0"/>
        <w:spacing w:line="360" w:lineRule="auto"/>
        <w:ind w:firstLine="3990" w:firstLineChars="190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法定代表人签字（或盖章）：</w:t>
      </w:r>
    </w:p>
    <w:p w14:paraId="1226B251">
      <w:pPr>
        <w:snapToGrid w:val="0"/>
        <w:spacing w:line="360" w:lineRule="auto"/>
        <w:ind w:firstLine="3990" w:firstLineChars="1900"/>
        <w:rPr>
          <w:rFonts w:hint="eastAsia" w:ascii="宋体" w:hAnsi="宋体" w:cs="宋体"/>
          <w:color w:val="auto"/>
          <w:kern w:val="0"/>
          <w:szCs w:val="21"/>
          <w:highlight w:val="none"/>
        </w:rPr>
      </w:pPr>
      <w:r>
        <w:rPr>
          <w:rFonts w:hint="eastAsia" w:ascii="宋体" w:hAnsi="宋体" w:cs="宋体"/>
          <w:color w:val="auto"/>
          <w:kern w:val="0"/>
          <w:szCs w:val="21"/>
          <w:highlight w:val="none"/>
        </w:rPr>
        <w:t>总监理工程师签字（或盖章）：</w:t>
      </w:r>
    </w:p>
    <w:p w14:paraId="564D2931">
      <w:pPr>
        <w:snapToGrid w:val="0"/>
        <w:spacing w:line="360" w:lineRule="auto"/>
        <w:ind w:firstLine="3990" w:firstLineChars="1900"/>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项目技术负责人签字（或盖章）：</w:t>
      </w:r>
    </w:p>
    <w:p w14:paraId="77F67622">
      <w:pPr>
        <w:snapToGrid w:val="0"/>
        <w:spacing w:line="360" w:lineRule="auto"/>
        <w:ind w:firstLine="3990" w:firstLineChars="19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年   月   日</w:t>
      </w:r>
    </w:p>
    <w:p w14:paraId="06C3CACB">
      <w:pPr>
        <w:pStyle w:val="5"/>
        <w:bidi w:val="0"/>
        <w:jc w:val="center"/>
        <w:rPr>
          <w:rFonts w:hint="eastAsia" w:ascii="黑体" w:hAnsi="黑体" w:eastAsia="黑体" w:cs="黑体"/>
          <w:strike/>
          <w:color w:val="auto"/>
          <w:sz w:val="28"/>
          <w:szCs w:val="28"/>
          <w:highlight w:val="none"/>
          <w:lang w:eastAsia="zh-CN"/>
        </w:rPr>
      </w:pPr>
      <w:r>
        <w:rPr>
          <w:color w:val="auto"/>
          <w:highlight w:val="none"/>
        </w:rPr>
        <w:br w:type="page"/>
      </w:r>
      <w:bookmarkStart w:id="365" w:name="_Toc5902"/>
      <w:bookmarkStart w:id="366" w:name="_Toc680"/>
      <w:bookmarkStart w:id="367" w:name="_Toc15797"/>
      <w:r>
        <w:rPr>
          <w:rFonts w:hint="eastAsia" w:ascii="宋体" w:hAnsi="宋体" w:eastAsia="宋体" w:cs="宋体"/>
          <w:b/>
          <w:bCs w:val="0"/>
          <w:strike/>
          <w:color w:val="auto"/>
          <w:sz w:val="28"/>
          <w:szCs w:val="28"/>
          <w:highlight w:val="none"/>
          <w:lang w:eastAsia="zh-CN"/>
        </w:rPr>
        <w:t>五</w:t>
      </w:r>
      <w:r>
        <w:rPr>
          <w:rFonts w:hint="eastAsia" w:ascii="宋体" w:hAnsi="宋体" w:eastAsia="宋体" w:cs="宋体"/>
          <w:b/>
          <w:bCs w:val="0"/>
          <w:strike/>
          <w:color w:val="auto"/>
          <w:sz w:val="28"/>
          <w:szCs w:val="28"/>
          <w:highlight w:val="none"/>
        </w:rPr>
        <w:t>、投标保证金</w:t>
      </w:r>
      <w:bookmarkEnd w:id="365"/>
      <w:bookmarkEnd w:id="366"/>
      <w:bookmarkEnd w:id="367"/>
    </w:p>
    <w:p w14:paraId="37F58473">
      <w:pPr>
        <w:spacing w:line="440" w:lineRule="exact"/>
        <w:jc w:val="center"/>
        <w:rPr>
          <w:rFonts w:ascii="宋体"/>
          <w:strike/>
          <w:color w:val="auto"/>
          <w:szCs w:val="21"/>
          <w:highlight w:val="none"/>
          <w:u w:val="single"/>
        </w:rPr>
      </w:pPr>
      <w:r>
        <w:rPr>
          <w:rFonts w:hint="eastAsia" w:ascii="宋体" w:hAnsi="宋体"/>
          <w:strike/>
          <w:color w:val="auto"/>
          <w:szCs w:val="21"/>
          <w:highlight w:val="none"/>
        </w:rPr>
        <w:t>详见本招标文件第二章投标人须知前附表</w:t>
      </w:r>
      <w:r>
        <w:rPr>
          <w:rFonts w:ascii="宋体" w:hAnsi="宋体"/>
          <w:strike/>
          <w:color w:val="auto"/>
          <w:szCs w:val="21"/>
          <w:highlight w:val="none"/>
        </w:rPr>
        <w:t>3.4.1</w:t>
      </w:r>
    </w:p>
    <w:p w14:paraId="426C842B">
      <w:pPr>
        <w:pStyle w:val="2"/>
        <w:kinsoku w:val="0"/>
        <w:overflowPunct w:val="0"/>
        <w:spacing w:beforeLines="0" w:afterLines="0" w:line="342" w:lineRule="auto"/>
        <w:ind w:right="218" w:firstLine="210" w:firstLineChars="100"/>
        <w:rPr>
          <w:rFonts w:hint="eastAsia"/>
          <w:strike/>
          <w:color w:val="auto"/>
          <w:sz w:val="21"/>
          <w:highlight w:val="none"/>
        </w:rPr>
      </w:pPr>
    </w:p>
    <w:p w14:paraId="74224B19">
      <w:pPr>
        <w:pStyle w:val="2"/>
        <w:kinsoku w:val="0"/>
        <w:overflowPunct w:val="0"/>
        <w:spacing w:beforeLines="0" w:afterLines="0" w:line="342" w:lineRule="auto"/>
        <w:ind w:right="218" w:firstLine="210" w:firstLineChars="100"/>
        <w:rPr>
          <w:rFonts w:hint="eastAsia"/>
          <w:strike/>
          <w:color w:val="auto"/>
          <w:sz w:val="21"/>
          <w:highlight w:val="none"/>
        </w:rPr>
      </w:pPr>
      <w:r>
        <w:rPr>
          <w:rFonts w:hint="eastAsia"/>
          <w:strike/>
          <w:color w:val="auto"/>
          <w:sz w:val="21"/>
          <w:highlight w:val="none"/>
        </w:rPr>
        <w:t>若采</w:t>
      </w:r>
      <w:r>
        <w:rPr>
          <w:rFonts w:hint="eastAsia"/>
          <w:strike/>
          <w:color w:val="auto"/>
          <w:spacing w:val="-3"/>
          <w:sz w:val="21"/>
          <w:highlight w:val="none"/>
        </w:rPr>
        <w:t>用</w:t>
      </w:r>
      <w:r>
        <w:rPr>
          <w:rFonts w:hint="eastAsia"/>
          <w:strike/>
          <w:color w:val="auto"/>
          <w:sz w:val="21"/>
          <w:highlight w:val="none"/>
        </w:rPr>
        <w:t>现</w:t>
      </w:r>
      <w:r>
        <w:rPr>
          <w:rFonts w:hint="eastAsia"/>
          <w:strike/>
          <w:color w:val="auto"/>
          <w:spacing w:val="-3"/>
          <w:sz w:val="21"/>
          <w:highlight w:val="none"/>
        </w:rPr>
        <w:t>金</w:t>
      </w:r>
      <w:r>
        <w:rPr>
          <w:rFonts w:hint="eastAsia"/>
          <w:strike/>
          <w:color w:val="auto"/>
          <w:sz w:val="21"/>
          <w:highlight w:val="none"/>
        </w:rPr>
        <w:t>或</w:t>
      </w:r>
      <w:r>
        <w:rPr>
          <w:rFonts w:hint="eastAsia"/>
          <w:strike/>
          <w:color w:val="auto"/>
          <w:spacing w:val="-3"/>
          <w:sz w:val="21"/>
          <w:highlight w:val="none"/>
        </w:rPr>
        <w:t>支</w:t>
      </w:r>
      <w:r>
        <w:rPr>
          <w:rFonts w:hint="eastAsia"/>
          <w:strike/>
          <w:color w:val="auto"/>
          <w:sz w:val="21"/>
          <w:highlight w:val="none"/>
        </w:rPr>
        <w:t>票</w:t>
      </w:r>
      <w:r>
        <w:rPr>
          <w:rFonts w:hint="eastAsia"/>
          <w:strike/>
          <w:color w:val="auto"/>
          <w:spacing w:val="-3"/>
          <w:sz w:val="21"/>
          <w:highlight w:val="none"/>
        </w:rPr>
        <w:t>，</w:t>
      </w:r>
      <w:r>
        <w:rPr>
          <w:rFonts w:hint="eastAsia"/>
          <w:strike/>
          <w:color w:val="auto"/>
          <w:sz w:val="21"/>
          <w:highlight w:val="none"/>
        </w:rPr>
        <w:t>投</w:t>
      </w:r>
      <w:r>
        <w:rPr>
          <w:rFonts w:hint="eastAsia"/>
          <w:strike/>
          <w:color w:val="auto"/>
          <w:spacing w:val="-3"/>
          <w:sz w:val="21"/>
          <w:highlight w:val="none"/>
        </w:rPr>
        <w:t>标</w:t>
      </w:r>
      <w:r>
        <w:rPr>
          <w:rFonts w:hint="eastAsia"/>
          <w:strike/>
          <w:color w:val="auto"/>
          <w:sz w:val="21"/>
          <w:highlight w:val="none"/>
        </w:rPr>
        <w:t>人应</w:t>
      </w:r>
      <w:r>
        <w:rPr>
          <w:rFonts w:hint="eastAsia"/>
          <w:strike/>
          <w:color w:val="auto"/>
          <w:spacing w:val="-3"/>
          <w:sz w:val="21"/>
          <w:highlight w:val="none"/>
        </w:rPr>
        <w:t>在</w:t>
      </w:r>
      <w:r>
        <w:rPr>
          <w:rFonts w:hint="eastAsia"/>
          <w:strike/>
          <w:color w:val="auto"/>
          <w:sz w:val="21"/>
          <w:highlight w:val="none"/>
        </w:rPr>
        <w:t>此</w:t>
      </w:r>
      <w:r>
        <w:rPr>
          <w:rFonts w:hint="eastAsia"/>
          <w:strike/>
          <w:color w:val="auto"/>
          <w:spacing w:val="-3"/>
          <w:sz w:val="21"/>
          <w:highlight w:val="none"/>
        </w:rPr>
        <w:t>提</w:t>
      </w:r>
      <w:r>
        <w:rPr>
          <w:rFonts w:hint="eastAsia"/>
          <w:strike/>
          <w:color w:val="auto"/>
          <w:sz w:val="21"/>
          <w:highlight w:val="none"/>
        </w:rPr>
        <w:t>供</w:t>
      </w:r>
      <w:r>
        <w:rPr>
          <w:rFonts w:hint="eastAsia"/>
          <w:strike/>
          <w:color w:val="auto"/>
          <w:spacing w:val="-3"/>
          <w:sz w:val="21"/>
          <w:highlight w:val="none"/>
        </w:rPr>
        <w:t>汇</w:t>
      </w:r>
      <w:r>
        <w:rPr>
          <w:rFonts w:hint="eastAsia"/>
          <w:strike/>
          <w:color w:val="auto"/>
          <w:sz w:val="21"/>
          <w:highlight w:val="none"/>
        </w:rPr>
        <w:t>款</w:t>
      </w:r>
      <w:r>
        <w:rPr>
          <w:rFonts w:hint="eastAsia"/>
          <w:strike/>
          <w:color w:val="auto"/>
          <w:spacing w:val="-3"/>
          <w:sz w:val="21"/>
          <w:highlight w:val="none"/>
        </w:rPr>
        <w:t>凭</w:t>
      </w:r>
      <w:r>
        <w:rPr>
          <w:rFonts w:hint="eastAsia"/>
          <w:strike/>
          <w:color w:val="auto"/>
          <w:sz w:val="21"/>
          <w:highlight w:val="none"/>
        </w:rPr>
        <w:t>证</w:t>
      </w:r>
      <w:r>
        <w:rPr>
          <w:rFonts w:hint="eastAsia"/>
          <w:strike/>
          <w:color w:val="auto"/>
          <w:spacing w:val="-3"/>
          <w:sz w:val="21"/>
          <w:highlight w:val="none"/>
        </w:rPr>
        <w:t>的</w:t>
      </w:r>
      <w:r>
        <w:rPr>
          <w:rFonts w:hint="eastAsia"/>
          <w:strike/>
          <w:color w:val="auto"/>
          <w:sz w:val="21"/>
          <w:highlight w:val="none"/>
        </w:rPr>
        <w:t>复印</w:t>
      </w:r>
      <w:r>
        <w:rPr>
          <w:rFonts w:hint="eastAsia"/>
          <w:strike/>
          <w:color w:val="auto"/>
          <w:spacing w:val="-3"/>
          <w:sz w:val="21"/>
          <w:highlight w:val="none"/>
        </w:rPr>
        <w:t>件</w:t>
      </w:r>
      <w:r>
        <w:rPr>
          <w:rFonts w:hint="eastAsia"/>
          <w:strike/>
          <w:color w:val="auto"/>
          <w:sz w:val="21"/>
          <w:highlight w:val="none"/>
        </w:rPr>
        <w:t>。</w:t>
      </w:r>
    </w:p>
    <w:p w14:paraId="58D9040D">
      <w:pPr>
        <w:pStyle w:val="2"/>
        <w:kinsoku w:val="0"/>
        <w:overflowPunct w:val="0"/>
        <w:spacing w:beforeLines="0" w:afterLines="0" w:line="342" w:lineRule="auto"/>
        <w:ind w:right="218"/>
        <w:rPr>
          <w:rFonts w:hint="eastAsia" w:eastAsia="宋体"/>
          <w:strike/>
          <w:color w:val="auto"/>
          <w:sz w:val="21"/>
          <w:highlight w:val="none"/>
          <w:lang w:eastAsia="zh-CN"/>
        </w:rPr>
      </w:pPr>
      <w:r>
        <w:rPr>
          <w:rFonts w:hint="eastAsia"/>
          <w:strike/>
          <w:color w:val="auto"/>
          <w:sz w:val="21"/>
          <w:highlight w:val="none"/>
        </w:rPr>
        <w:t xml:space="preserve"> </w:t>
      </w:r>
      <w:r>
        <w:rPr>
          <w:rFonts w:hint="eastAsia"/>
          <w:strike/>
          <w:color w:val="auto"/>
          <w:sz w:val="21"/>
          <w:highlight w:val="none"/>
          <w:lang w:val="en-US" w:eastAsia="zh-CN"/>
        </w:rPr>
        <w:t xml:space="preserve"> </w:t>
      </w:r>
      <w:r>
        <w:rPr>
          <w:rFonts w:hint="eastAsia"/>
          <w:strike/>
          <w:color w:val="auto"/>
          <w:sz w:val="21"/>
          <w:highlight w:val="none"/>
        </w:rPr>
        <w:t>如采</w:t>
      </w:r>
      <w:r>
        <w:rPr>
          <w:rFonts w:hint="eastAsia"/>
          <w:strike/>
          <w:color w:val="auto"/>
          <w:spacing w:val="-3"/>
          <w:sz w:val="21"/>
          <w:highlight w:val="none"/>
        </w:rPr>
        <w:t>用</w:t>
      </w:r>
      <w:r>
        <w:rPr>
          <w:rFonts w:hint="eastAsia"/>
          <w:strike/>
          <w:color w:val="auto"/>
          <w:sz w:val="21"/>
          <w:highlight w:val="none"/>
        </w:rPr>
        <w:t>银</w:t>
      </w:r>
      <w:r>
        <w:rPr>
          <w:rFonts w:hint="eastAsia"/>
          <w:strike/>
          <w:color w:val="auto"/>
          <w:spacing w:val="-3"/>
          <w:sz w:val="21"/>
          <w:highlight w:val="none"/>
        </w:rPr>
        <w:t>行</w:t>
      </w:r>
      <w:r>
        <w:rPr>
          <w:rFonts w:hint="eastAsia"/>
          <w:strike/>
          <w:color w:val="auto"/>
          <w:sz w:val="21"/>
          <w:highlight w:val="none"/>
        </w:rPr>
        <w:t>保</w:t>
      </w:r>
      <w:r>
        <w:rPr>
          <w:rFonts w:hint="eastAsia"/>
          <w:strike/>
          <w:color w:val="auto"/>
          <w:spacing w:val="-3"/>
          <w:sz w:val="21"/>
          <w:highlight w:val="none"/>
        </w:rPr>
        <w:t>函</w:t>
      </w:r>
      <w:r>
        <w:rPr>
          <w:rFonts w:hint="eastAsia"/>
          <w:strike/>
          <w:color w:val="auto"/>
          <w:sz w:val="21"/>
          <w:highlight w:val="none"/>
        </w:rPr>
        <w:t>，</w:t>
      </w:r>
      <w:r>
        <w:rPr>
          <w:rFonts w:hint="eastAsia"/>
          <w:strike/>
          <w:color w:val="auto"/>
          <w:spacing w:val="-3"/>
          <w:sz w:val="21"/>
          <w:highlight w:val="none"/>
        </w:rPr>
        <w:t>格</w:t>
      </w:r>
      <w:r>
        <w:rPr>
          <w:rFonts w:hint="eastAsia"/>
          <w:strike/>
          <w:color w:val="auto"/>
          <w:sz w:val="21"/>
          <w:highlight w:val="none"/>
        </w:rPr>
        <w:t>式</w:t>
      </w:r>
      <w:r>
        <w:rPr>
          <w:rFonts w:hint="eastAsia"/>
          <w:strike/>
          <w:color w:val="auto"/>
          <w:spacing w:val="-3"/>
          <w:sz w:val="21"/>
          <w:highlight w:val="none"/>
        </w:rPr>
        <w:t>如</w:t>
      </w:r>
      <w:r>
        <w:rPr>
          <w:rFonts w:hint="eastAsia"/>
          <w:strike/>
          <w:color w:val="auto"/>
          <w:sz w:val="21"/>
          <w:highlight w:val="none"/>
        </w:rPr>
        <w:t>下</w:t>
      </w:r>
      <w:r>
        <w:rPr>
          <w:rFonts w:hint="eastAsia"/>
          <w:strike/>
          <w:color w:val="auto"/>
          <w:sz w:val="21"/>
          <w:highlight w:val="none"/>
          <w:lang w:eastAsia="zh-CN"/>
        </w:rPr>
        <w:t>：</w:t>
      </w:r>
    </w:p>
    <w:p w14:paraId="1B019DC4">
      <w:pPr>
        <w:kinsoku w:val="0"/>
        <w:overflowPunct w:val="0"/>
        <w:spacing w:before="1" w:beforeLines="0" w:afterLines="0" w:line="120" w:lineRule="exact"/>
        <w:rPr>
          <w:rFonts w:hint="default"/>
          <w:strike/>
          <w:color w:val="auto"/>
          <w:sz w:val="12"/>
          <w:highlight w:val="none"/>
        </w:rPr>
      </w:pPr>
    </w:p>
    <w:p w14:paraId="21666E2D">
      <w:pPr>
        <w:kinsoku w:val="0"/>
        <w:overflowPunct w:val="0"/>
        <w:spacing w:beforeLines="0" w:afterLines="0" w:line="200" w:lineRule="exact"/>
        <w:rPr>
          <w:rFonts w:hint="default"/>
          <w:strike/>
          <w:color w:val="auto"/>
          <w:sz w:val="20"/>
          <w:highlight w:val="none"/>
        </w:rPr>
      </w:pPr>
    </w:p>
    <w:p w14:paraId="70CAD20F">
      <w:pPr>
        <w:kinsoku w:val="0"/>
        <w:overflowPunct w:val="0"/>
        <w:spacing w:beforeLines="0" w:afterLines="0" w:line="200" w:lineRule="exact"/>
        <w:rPr>
          <w:rFonts w:hint="default"/>
          <w:strike/>
          <w:color w:val="auto"/>
          <w:sz w:val="20"/>
          <w:highlight w:val="none"/>
        </w:rPr>
      </w:pPr>
    </w:p>
    <w:p w14:paraId="3613D7BA">
      <w:pPr>
        <w:kinsoku w:val="0"/>
        <w:overflowPunct w:val="0"/>
        <w:spacing w:beforeLines="0" w:afterLines="0" w:line="200" w:lineRule="exact"/>
        <w:rPr>
          <w:rFonts w:hint="default"/>
          <w:strike/>
          <w:color w:val="auto"/>
          <w:sz w:val="20"/>
          <w:highlight w:val="none"/>
        </w:rPr>
      </w:pPr>
    </w:p>
    <w:p w14:paraId="2931C17C">
      <w:pPr>
        <w:kinsoku w:val="0"/>
        <w:overflowPunct w:val="0"/>
        <w:spacing w:beforeLines="0" w:afterLines="0" w:line="200" w:lineRule="exact"/>
        <w:rPr>
          <w:rFonts w:hint="default"/>
          <w:strike/>
          <w:color w:val="auto"/>
          <w:sz w:val="20"/>
          <w:highlight w:val="none"/>
        </w:rPr>
      </w:pPr>
    </w:p>
    <w:p w14:paraId="1461CC24">
      <w:pPr>
        <w:pStyle w:val="2"/>
        <w:tabs>
          <w:tab w:val="left" w:pos="1780"/>
        </w:tabs>
        <w:kinsoku w:val="0"/>
        <w:overflowPunct w:val="0"/>
        <w:spacing w:beforeLines="0" w:afterLines="0"/>
        <w:ind w:left="100"/>
        <w:rPr>
          <w:rFonts w:hint="eastAsia"/>
          <w:strike/>
          <w:color w:val="auto"/>
          <w:sz w:val="21"/>
          <w:highlight w:val="none"/>
        </w:rPr>
      </w:pPr>
      <w:r>
        <w:rPr>
          <w:rFonts w:hint="eastAsia"/>
          <w:strike/>
          <w:color w:val="auto"/>
          <w:sz w:val="21"/>
          <w:highlight w:val="none"/>
          <w:u w:val="single"/>
        </w:rPr>
        <w:t xml:space="preserve"> </w:t>
      </w:r>
      <w:r>
        <w:rPr>
          <w:rFonts w:hint="eastAsia"/>
          <w:strike/>
          <w:color w:val="auto"/>
          <w:sz w:val="21"/>
          <w:highlight w:val="none"/>
          <w:u w:val="single"/>
        </w:rPr>
        <w:tab/>
      </w:r>
      <w:r>
        <w:rPr>
          <w:rFonts w:hint="eastAsia"/>
          <w:strike/>
          <w:color w:val="auto"/>
          <w:sz w:val="21"/>
          <w:highlight w:val="none"/>
        </w:rPr>
        <w:t>（招</w:t>
      </w:r>
      <w:r>
        <w:rPr>
          <w:rFonts w:hint="eastAsia"/>
          <w:strike/>
          <w:color w:val="auto"/>
          <w:spacing w:val="-3"/>
          <w:sz w:val="21"/>
          <w:highlight w:val="none"/>
        </w:rPr>
        <w:t>标</w:t>
      </w:r>
      <w:r>
        <w:rPr>
          <w:rFonts w:hint="eastAsia"/>
          <w:strike/>
          <w:color w:val="auto"/>
          <w:sz w:val="21"/>
          <w:highlight w:val="none"/>
        </w:rPr>
        <w:t>人</w:t>
      </w:r>
      <w:r>
        <w:rPr>
          <w:rFonts w:hint="eastAsia"/>
          <w:strike/>
          <w:color w:val="auto"/>
          <w:spacing w:val="-3"/>
          <w:sz w:val="21"/>
          <w:highlight w:val="none"/>
        </w:rPr>
        <w:t>名</w:t>
      </w:r>
      <w:r>
        <w:rPr>
          <w:rFonts w:hint="eastAsia"/>
          <w:strike/>
          <w:color w:val="auto"/>
          <w:sz w:val="21"/>
          <w:highlight w:val="none"/>
        </w:rPr>
        <w:t>称</w:t>
      </w:r>
      <w:r>
        <w:rPr>
          <w:rFonts w:hint="eastAsia"/>
          <w:strike/>
          <w:color w:val="auto"/>
          <w:spacing w:val="-108"/>
          <w:sz w:val="21"/>
          <w:highlight w:val="none"/>
        </w:rPr>
        <w:t>）</w:t>
      </w:r>
      <w:r>
        <w:rPr>
          <w:rFonts w:hint="eastAsia"/>
          <w:strike/>
          <w:color w:val="auto"/>
          <w:sz w:val="21"/>
          <w:highlight w:val="none"/>
        </w:rPr>
        <w:t>：</w:t>
      </w:r>
    </w:p>
    <w:p w14:paraId="0E8C012F">
      <w:pPr>
        <w:kinsoku w:val="0"/>
        <w:overflowPunct w:val="0"/>
        <w:spacing w:before="4" w:beforeLines="0" w:afterLines="0" w:line="130" w:lineRule="exact"/>
        <w:rPr>
          <w:rFonts w:hint="default"/>
          <w:strike/>
          <w:color w:val="auto"/>
          <w:sz w:val="13"/>
          <w:highlight w:val="none"/>
        </w:rPr>
      </w:pPr>
    </w:p>
    <w:p w14:paraId="20D1A8B9">
      <w:pPr>
        <w:kinsoku w:val="0"/>
        <w:overflowPunct w:val="0"/>
        <w:spacing w:beforeLines="0" w:afterLines="0" w:line="200" w:lineRule="exact"/>
        <w:rPr>
          <w:rFonts w:hint="default"/>
          <w:strike/>
          <w:color w:val="auto"/>
          <w:sz w:val="20"/>
          <w:highlight w:val="none"/>
        </w:rPr>
      </w:pPr>
    </w:p>
    <w:p w14:paraId="3802B8F4">
      <w:pPr>
        <w:pStyle w:val="2"/>
        <w:tabs>
          <w:tab w:val="left" w:pos="2305"/>
          <w:tab w:val="left" w:pos="2412"/>
          <w:tab w:val="left" w:pos="6197"/>
          <w:tab w:val="left" w:pos="6538"/>
          <w:tab w:val="left" w:pos="7481"/>
          <w:tab w:val="left" w:pos="7874"/>
          <w:tab w:val="left" w:pos="8533"/>
        </w:tabs>
        <w:kinsoku w:val="0"/>
        <w:overflowPunct w:val="0"/>
        <w:spacing w:before="1" w:beforeLines="0" w:afterLines="0" w:line="301" w:lineRule="auto"/>
        <w:ind w:right="115" w:firstLine="525" w:firstLineChars="250"/>
        <w:jc w:val="both"/>
        <w:rPr>
          <w:rFonts w:hint="eastAsia" w:ascii="宋体" w:hAnsi="宋体" w:eastAsia="宋体" w:cs="宋体"/>
          <w:strike/>
          <w:color w:val="auto"/>
          <w:sz w:val="21"/>
          <w:highlight w:val="none"/>
        </w:rPr>
      </w:pPr>
      <w:r>
        <w:rPr>
          <w:rFonts w:hint="eastAsia" w:ascii="宋体" w:hAnsi="宋体" w:eastAsia="宋体" w:cs="宋体"/>
          <w:strike/>
          <w:color w:val="auto"/>
          <w:sz w:val="21"/>
          <w:highlight w:val="none"/>
        </w:rPr>
        <w:t>鉴于</w:t>
      </w:r>
      <w:r>
        <w:rPr>
          <w:rFonts w:hint="eastAsia" w:ascii="宋体" w:hAnsi="宋体" w:eastAsia="宋体" w:cs="宋体"/>
          <w:strike/>
          <w:color w:val="auto"/>
          <w:sz w:val="21"/>
          <w:highlight w:val="none"/>
          <w:u w:val="single"/>
        </w:rPr>
        <w:tab/>
      </w:r>
      <w:r>
        <w:rPr>
          <w:rFonts w:hint="eastAsia" w:ascii="宋体" w:hAnsi="宋体" w:eastAsia="宋体" w:cs="宋体"/>
          <w:strike/>
          <w:color w:val="auto"/>
          <w:sz w:val="21"/>
          <w:highlight w:val="none"/>
          <w:u w:val="single"/>
        </w:rPr>
        <w:tab/>
      </w:r>
      <w:r>
        <w:rPr>
          <w:rFonts w:hint="eastAsia" w:ascii="宋体" w:hAnsi="宋体" w:eastAsia="宋体" w:cs="宋体"/>
          <w:strike/>
          <w:color w:val="auto"/>
          <w:spacing w:val="-3"/>
          <w:sz w:val="21"/>
          <w:highlight w:val="none"/>
        </w:rPr>
        <w:t>（投</w:t>
      </w:r>
      <w:r>
        <w:rPr>
          <w:rFonts w:hint="eastAsia" w:ascii="宋体" w:hAnsi="宋体" w:eastAsia="宋体" w:cs="宋体"/>
          <w:strike/>
          <w:color w:val="auto"/>
          <w:sz w:val="21"/>
          <w:highlight w:val="none"/>
        </w:rPr>
        <w:t>标人</w:t>
      </w:r>
      <w:r>
        <w:rPr>
          <w:rFonts w:hint="eastAsia" w:ascii="宋体" w:hAnsi="宋体" w:eastAsia="宋体" w:cs="宋体"/>
          <w:strike/>
          <w:color w:val="auto"/>
          <w:spacing w:val="-3"/>
          <w:sz w:val="21"/>
          <w:highlight w:val="none"/>
        </w:rPr>
        <w:t>名</w:t>
      </w:r>
      <w:r>
        <w:rPr>
          <w:rFonts w:hint="eastAsia" w:ascii="宋体" w:hAnsi="宋体" w:eastAsia="宋体" w:cs="宋体"/>
          <w:strike/>
          <w:color w:val="auto"/>
          <w:sz w:val="21"/>
          <w:highlight w:val="none"/>
        </w:rPr>
        <w:t>称</w:t>
      </w:r>
      <w:r>
        <w:rPr>
          <w:rFonts w:hint="eastAsia" w:ascii="宋体" w:hAnsi="宋体" w:eastAsia="宋体" w:cs="宋体"/>
          <w:strike/>
          <w:color w:val="auto"/>
          <w:spacing w:val="-125"/>
          <w:sz w:val="21"/>
          <w:highlight w:val="none"/>
        </w:rPr>
        <w:t>）</w:t>
      </w:r>
      <w:r>
        <w:rPr>
          <w:rFonts w:hint="eastAsia" w:ascii="宋体" w:hAnsi="宋体" w:eastAsia="宋体" w:cs="宋体"/>
          <w:strike/>
          <w:color w:val="auto"/>
          <w:sz w:val="21"/>
          <w:highlight w:val="none"/>
        </w:rPr>
        <w:t>（</w:t>
      </w:r>
      <w:r>
        <w:rPr>
          <w:rFonts w:hint="eastAsia" w:ascii="宋体" w:hAnsi="宋体" w:eastAsia="宋体" w:cs="宋体"/>
          <w:strike/>
          <w:color w:val="auto"/>
          <w:spacing w:val="-3"/>
          <w:sz w:val="21"/>
          <w:highlight w:val="none"/>
        </w:rPr>
        <w:t>以</w:t>
      </w:r>
      <w:r>
        <w:rPr>
          <w:rFonts w:hint="eastAsia" w:ascii="宋体" w:hAnsi="宋体" w:eastAsia="宋体" w:cs="宋体"/>
          <w:strike/>
          <w:color w:val="auto"/>
          <w:spacing w:val="-1"/>
          <w:sz w:val="21"/>
          <w:highlight w:val="none"/>
        </w:rPr>
        <w:t>下</w:t>
      </w:r>
      <w:r>
        <w:rPr>
          <w:rFonts w:hint="eastAsia" w:ascii="宋体" w:hAnsi="宋体" w:eastAsia="宋体" w:cs="宋体"/>
          <w:strike/>
          <w:color w:val="auto"/>
          <w:sz w:val="21"/>
          <w:highlight w:val="none"/>
        </w:rPr>
        <w:t>称</w:t>
      </w:r>
      <w:r>
        <w:rPr>
          <w:rFonts w:hint="eastAsia" w:ascii="宋体" w:hAnsi="宋体" w:eastAsia="宋体" w:cs="宋体"/>
          <w:strike/>
          <w:color w:val="auto"/>
          <w:spacing w:val="-3"/>
          <w:sz w:val="21"/>
          <w:highlight w:val="none"/>
        </w:rPr>
        <w:t>“</w:t>
      </w:r>
      <w:r>
        <w:rPr>
          <w:rFonts w:hint="eastAsia" w:ascii="宋体" w:hAnsi="宋体" w:eastAsia="宋体" w:cs="宋体"/>
          <w:strike/>
          <w:color w:val="auto"/>
          <w:sz w:val="21"/>
          <w:highlight w:val="none"/>
        </w:rPr>
        <w:t>投</w:t>
      </w:r>
      <w:r>
        <w:rPr>
          <w:rFonts w:hint="eastAsia" w:ascii="宋体" w:hAnsi="宋体" w:eastAsia="宋体" w:cs="宋体"/>
          <w:strike/>
          <w:color w:val="auto"/>
          <w:spacing w:val="-3"/>
          <w:sz w:val="21"/>
          <w:highlight w:val="none"/>
        </w:rPr>
        <w:t>标</w:t>
      </w:r>
      <w:r>
        <w:rPr>
          <w:rFonts w:hint="eastAsia" w:ascii="宋体" w:hAnsi="宋体" w:eastAsia="宋体" w:cs="宋体"/>
          <w:strike/>
          <w:color w:val="auto"/>
          <w:sz w:val="21"/>
          <w:highlight w:val="none"/>
        </w:rPr>
        <w:t>人</w:t>
      </w:r>
      <w:r>
        <w:rPr>
          <w:rFonts w:hint="eastAsia" w:ascii="宋体" w:hAnsi="宋体" w:eastAsia="宋体" w:cs="宋体"/>
          <w:strike/>
          <w:color w:val="auto"/>
          <w:spacing w:val="-1"/>
          <w:sz w:val="21"/>
          <w:highlight w:val="none"/>
        </w:rPr>
        <w:t>”</w:t>
      </w:r>
      <w:r>
        <w:rPr>
          <w:rFonts w:hint="eastAsia" w:ascii="宋体" w:hAnsi="宋体" w:eastAsia="宋体" w:cs="宋体"/>
          <w:strike/>
          <w:color w:val="auto"/>
          <w:spacing w:val="-20"/>
          <w:sz w:val="21"/>
          <w:highlight w:val="none"/>
        </w:rPr>
        <w:t>）</w:t>
      </w:r>
      <w:r>
        <w:rPr>
          <w:rFonts w:hint="eastAsia" w:ascii="宋体" w:hAnsi="宋体" w:eastAsia="宋体" w:cs="宋体"/>
          <w:strike/>
          <w:color w:val="auto"/>
          <w:sz w:val="21"/>
          <w:highlight w:val="none"/>
        </w:rPr>
        <w:t>于</w:t>
      </w:r>
      <w:r>
        <w:rPr>
          <w:rFonts w:hint="eastAsia" w:ascii="宋体" w:hAnsi="宋体" w:eastAsia="宋体" w:cs="宋体"/>
          <w:strike/>
          <w:color w:val="auto"/>
          <w:sz w:val="21"/>
          <w:highlight w:val="none"/>
          <w:u w:val="single"/>
        </w:rPr>
        <w:tab/>
      </w:r>
      <w:r>
        <w:rPr>
          <w:rFonts w:hint="eastAsia" w:ascii="宋体" w:hAnsi="宋体" w:eastAsia="宋体" w:cs="宋体"/>
          <w:strike/>
          <w:color w:val="auto"/>
          <w:sz w:val="21"/>
          <w:highlight w:val="none"/>
          <w:u w:val="single"/>
        </w:rPr>
        <w:tab/>
      </w:r>
      <w:r>
        <w:rPr>
          <w:rFonts w:hint="eastAsia" w:ascii="宋体" w:hAnsi="宋体" w:eastAsia="宋体" w:cs="宋体"/>
          <w:strike/>
          <w:color w:val="auto"/>
          <w:sz w:val="21"/>
          <w:highlight w:val="none"/>
        </w:rPr>
        <w:t>年</w:t>
      </w:r>
      <w:r>
        <w:rPr>
          <w:rFonts w:hint="eastAsia" w:ascii="宋体" w:hAnsi="宋体" w:eastAsia="宋体" w:cs="宋体"/>
          <w:strike/>
          <w:color w:val="auto"/>
          <w:sz w:val="21"/>
          <w:highlight w:val="none"/>
          <w:u w:val="single"/>
        </w:rPr>
        <w:tab/>
      </w:r>
      <w:r>
        <w:rPr>
          <w:rFonts w:hint="eastAsia" w:ascii="宋体" w:hAnsi="宋体" w:eastAsia="宋体" w:cs="宋体"/>
          <w:strike/>
          <w:color w:val="auto"/>
          <w:sz w:val="21"/>
          <w:highlight w:val="none"/>
        </w:rPr>
        <w:t>月</w:t>
      </w:r>
      <w:r>
        <w:rPr>
          <w:rFonts w:hint="eastAsia" w:ascii="宋体" w:hAnsi="宋体" w:eastAsia="宋体" w:cs="宋体"/>
          <w:strike/>
          <w:color w:val="auto"/>
          <w:sz w:val="21"/>
          <w:highlight w:val="none"/>
          <w:u w:val="single"/>
        </w:rPr>
        <w:tab/>
      </w:r>
      <w:r>
        <w:rPr>
          <w:rFonts w:hint="eastAsia" w:ascii="宋体" w:hAnsi="宋体" w:eastAsia="宋体" w:cs="宋体"/>
          <w:strike/>
          <w:color w:val="auto"/>
          <w:sz w:val="21"/>
          <w:highlight w:val="none"/>
          <w:u w:val="single"/>
        </w:rPr>
        <w:tab/>
      </w:r>
      <w:r>
        <w:rPr>
          <w:rFonts w:hint="eastAsia" w:ascii="宋体" w:hAnsi="宋体" w:eastAsia="宋体" w:cs="宋体"/>
          <w:strike/>
          <w:color w:val="auto"/>
          <w:sz w:val="21"/>
          <w:highlight w:val="none"/>
        </w:rPr>
        <w:t xml:space="preserve">日 </w:t>
      </w:r>
    </w:p>
    <w:p w14:paraId="6F640B07">
      <w:pPr>
        <w:pStyle w:val="2"/>
        <w:tabs>
          <w:tab w:val="left" w:pos="2305"/>
          <w:tab w:val="left" w:pos="2412"/>
          <w:tab w:val="left" w:pos="6197"/>
          <w:tab w:val="left" w:pos="6538"/>
          <w:tab w:val="left" w:pos="7481"/>
          <w:tab w:val="left" w:pos="7874"/>
          <w:tab w:val="left" w:pos="8533"/>
        </w:tabs>
        <w:kinsoku w:val="0"/>
        <w:overflowPunct w:val="0"/>
        <w:spacing w:before="1" w:beforeLines="0" w:afterLines="0" w:line="301" w:lineRule="auto"/>
        <w:ind w:right="115"/>
        <w:jc w:val="both"/>
        <w:rPr>
          <w:rFonts w:hint="eastAsia" w:ascii="宋体" w:hAnsi="宋体" w:eastAsia="宋体" w:cs="宋体"/>
          <w:strike/>
          <w:color w:val="auto"/>
          <w:sz w:val="21"/>
          <w:highlight w:val="none"/>
        </w:rPr>
      </w:pPr>
      <w:r>
        <w:rPr>
          <w:rFonts w:hint="eastAsia" w:ascii="宋体" w:hAnsi="宋体" w:eastAsia="宋体" w:cs="宋体"/>
          <w:strike/>
          <w:color w:val="auto"/>
          <w:sz w:val="21"/>
          <w:highlight w:val="none"/>
        </w:rPr>
        <w:t>参</w:t>
      </w:r>
      <w:r>
        <w:rPr>
          <w:rFonts w:hint="eastAsia" w:ascii="宋体" w:hAnsi="宋体" w:eastAsia="宋体" w:cs="宋体"/>
          <w:strike/>
          <w:color w:val="auto"/>
          <w:spacing w:val="-1"/>
          <w:sz w:val="21"/>
          <w:highlight w:val="none"/>
        </w:rPr>
        <w:t>加</w:t>
      </w:r>
      <w:r>
        <w:rPr>
          <w:rFonts w:hint="eastAsia" w:ascii="宋体" w:hAnsi="宋体" w:eastAsia="宋体" w:cs="宋体"/>
          <w:strike/>
          <w:color w:val="auto"/>
          <w:spacing w:val="-1"/>
          <w:sz w:val="21"/>
          <w:highlight w:val="none"/>
          <w:u w:val="single"/>
        </w:rPr>
        <w:tab/>
      </w:r>
      <w:r>
        <w:rPr>
          <w:rFonts w:hint="eastAsia" w:ascii="宋体" w:hAnsi="宋体" w:eastAsia="宋体" w:cs="宋体"/>
          <w:strike/>
          <w:color w:val="auto"/>
          <w:spacing w:val="-3"/>
          <w:sz w:val="21"/>
          <w:highlight w:val="none"/>
        </w:rPr>
        <w:t>（</w:t>
      </w:r>
      <w:r>
        <w:rPr>
          <w:rFonts w:hint="eastAsia" w:ascii="宋体" w:hAnsi="宋体" w:eastAsia="宋体" w:cs="宋体"/>
          <w:strike/>
          <w:color w:val="auto"/>
          <w:sz w:val="21"/>
          <w:highlight w:val="none"/>
        </w:rPr>
        <w:t>项目</w:t>
      </w:r>
      <w:r>
        <w:rPr>
          <w:rFonts w:hint="eastAsia" w:ascii="宋体" w:hAnsi="宋体" w:eastAsia="宋体" w:cs="宋体"/>
          <w:strike/>
          <w:color w:val="auto"/>
          <w:spacing w:val="-3"/>
          <w:sz w:val="21"/>
          <w:highlight w:val="none"/>
        </w:rPr>
        <w:t>名</w:t>
      </w:r>
      <w:r>
        <w:rPr>
          <w:rFonts w:hint="eastAsia" w:ascii="宋体" w:hAnsi="宋体" w:eastAsia="宋体" w:cs="宋体"/>
          <w:strike/>
          <w:color w:val="auto"/>
          <w:sz w:val="21"/>
          <w:highlight w:val="none"/>
        </w:rPr>
        <w:t>称</w:t>
      </w:r>
      <w:r>
        <w:rPr>
          <w:rFonts w:hint="eastAsia" w:ascii="宋体" w:hAnsi="宋体" w:eastAsia="宋体" w:cs="宋体"/>
          <w:strike/>
          <w:color w:val="auto"/>
          <w:spacing w:val="-36"/>
          <w:sz w:val="21"/>
          <w:highlight w:val="none"/>
        </w:rPr>
        <w:t>）</w:t>
      </w:r>
      <w:r>
        <w:rPr>
          <w:rFonts w:hint="eastAsia" w:ascii="宋体" w:hAnsi="宋体" w:eastAsia="宋体" w:cs="宋体"/>
          <w:strike/>
          <w:color w:val="auto"/>
          <w:sz w:val="21"/>
          <w:highlight w:val="none"/>
        </w:rPr>
        <w:t>监</w:t>
      </w:r>
      <w:r>
        <w:rPr>
          <w:rFonts w:hint="eastAsia" w:ascii="宋体" w:hAnsi="宋体" w:eastAsia="宋体" w:cs="宋体"/>
          <w:strike/>
          <w:color w:val="auto"/>
          <w:spacing w:val="-3"/>
          <w:sz w:val="21"/>
          <w:highlight w:val="none"/>
        </w:rPr>
        <w:t>理</w:t>
      </w:r>
      <w:r>
        <w:rPr>
          <w:rFonts w:hint="eastAsia" w:ascii="宋体" w:hAnsi="宋体" w:eastAsia="宋体" w:cs="宋体"/>
          <w:strike/>
          <w:color w:val="auto"/>
          <w:sz w:val="21"/>
          <w:highlight w:val="none"/>
        </w:rPr>
        <w:t>招</w:t>
      </w:r>
      <w:r>
        <w:rPr>
          <w:rFonts w:hint="eastAsia" w:ascii="宋体" w:hAnsi="宋体" w:eastAsia="宋体" w:cs="宋体"/>
          <w:strike/>
          <w:color w:val="auto"/>
          <w:spacing w:val="-3"/>
          <w:sz w:val="21"/>
          <w:highlight w:val="none"/>
        </w:rPr>
        <w:t>标</w:t>
      </w:r>
      <w:r>
        <w:rPr>
          <w:rFonts w:hint="eastAsia" w:ascii="宋体" w:hAnsi="宋体" w:eastAsia="宋体" w:cs="宋体"/>
          <w:strike/>
          <w:color w:val="auto"/>
          <w:spacing w:val="-1"/>
          <w:sz w:val="21"/>
          <w:highlight w:val="none"/>
        </w:rPr>
        <w:t>的</w:t>
      </w:r>
      <w:r>
        <w:rPr>
          <w:rFonts w:hint="eastAsia" w:ascii="宋体" w:hAnsi="宋体" w:eastAsia="宋体" w:cs="宋体"/>
          <w:strike/>
          <w:color w:val="auto"/>
          <w:spacing w:val="-3"/>
          <w:sz w:val="21"/>
          <w:highlight w:val="none"/>
        </w:rPr>
        <w:t>投</w:t>
      </w:r>
      <w:r>
        <w:rPr>
          <w:rFonts w:hint="eastAsia" w:ascii="宋体" w:hAnsi="宋体" w:eastAsia="宋体" w:cs="宋体"/>
          <w:strike/>
          <w:color w:val="auto"/>
          <w:sz w:val="21"/>
          <w:highlight w:val="none"/>
        </w:rPr>
        <w:t>标</w:t>
      </w:r>
      <w:r>
        <w:rPr>
          <w:rFonts w:hint="eastAsia" w:ascii="宋体" w:hAnsi="宋体" w:eastAsia="宋体" w:cs="宋体"/>
          <w:strike/>
          <w:color w:val="auto"/>
          <w:spacing w:val="-34"/>
          <w:sz w:val="21"/>
          <w:highlight w:val="none"/>
        </w:rPr>
        <w:t>，</w:t>
      </w:r>
      <w:r>
        <w:rPr>
          <w:rFonts w:hint="eastAsia" w:ascii="宋体" w:hAnsi="宋体" w:eastAsia="宋体" w:cs="宋体"/>
          <w:strike/>
          <w:color w:val="auto"/>
          <w:sz w:val="21"/>
          <w:highlight w:val="none"/>
          <w:u w:val="single"/>
        </w:rPr>
        <w:t xml:space="preserve"> </w:t>
      </w:r>
      <w:r>
        <w:rPr>
          <w:rFonts w:hint="eastAsia" w:ascii="宋体" w:hAnsi="宋体" w:eastAsia="宋体" w:cs="宋体"/>
          <w:strike/>
          <w:color w:val="auto"/>
          <w:sz w:val="21"/>
          <w:highlight w:val="none"/>
          <w:u w:val="single"/>
        </w:rPr>
        <w:tab/>
      </w:r>
      <w:r>
        <w:rPr>
          <w:rFonts w:hint="eastAsia" w:ascii="宋体" w:hAnsi="宋体" w:eastAsia="宋体" w:cs="宋体"/>
          <w:strike/>
          <w:color w:val="auto"/>
          <w:sz w:val="21"/>
          <w:highlight w:val="none"/>
        </w:rPr>
        <w:t>（</w:t>
      </w:r>
      <w:r>
        <w:rPr>
          <w:rFonts w:hint="eastAsia" w:ascii="宋体" w:hAnsi="宋体" w:eastAsia="宋体" w:cs="宋体"/>
          <w:strike/>
          <w:color w:val="auto"/>
          <w:spacing w:val="-3"/>
          <w:sz w:val="21"/>
          <w:highlight w:val="none"/>
        </w:rPr>
        <w:t>担</w:t>
      </w:r>
      <w:r>
        <w:rPr>
          <w:rFonts w:hint="eastAsia" w:ascii="宋体" w:hAnsi="宋体" w:eastAsia="宋体" w:cs="宋体"/>
          <w:strike/>
          <w:color w:val="auto"/>
          <w:sz w:val="21"/>
          <w:highlight w:val="none"/>
        </w:rPr>
        <w:t>保</w:t>
      </w:r>
      <w:r>
        <w:rPr>
          <w:rFonts w:hint="eastAsia" w:ascii="宋体" w:hAnsi="宋体" w:eastAsia="宋体" w:cs="宋体"/>
          <w:strike/>
          <w:color w:val="auto"/>
          <w:spacing w:val="-3"/>
          <w:sz w:val="21"/>
          <w:highlight w:val="none"/>
        </w:rPr>
        <w:t>人名</w:t>
      </w:r>
      <w:r>
        <w:rPr>
          <w:rFonts w:hint="eastAsia" w:ascii="宋体" w:hAnsi="宋体" w:eastAsia="宋体" w:cs="宋体"/>
          <w:strike/>
          <w:color w:val="auto"/>
          <w:sz w:val="21"/>
          <w:highlight w:val="none"/>
        </w:rPr>
        <w:t>称</w:t>
      </w:r>
      <w:r>
        <w:rPr>
          <w:rFonts w:hint="eastAsia" w:ascii="宋体" w:hAnsi="宋体" w:eastAsia="宋体" w:cs="宋体"/>
          <w:strike/>
          <w:color w:val="auto"/>
          <w:spacing w:val="-34"/>
          <w:sz w:val="21"/>
          <w:highlight w:val="none"/>
        </w:rPr>
        <w:t>，</w:t>
      </w:r>
      <w:r>
        <w:rPr>
          <w:rFonts w:hint="eastAsia" w:ascii="宋体" w:hAnsi="宋体" w:eastAsia="宋体" w:cs="宋体"/>
          <w:strike/>
          <w:color w:val="auto"/>
          <w:spacing w:val="-3"/>
          <w:sz w:val="21"/>
          <w:highlight w:val="none"/>
        </w:rPr>
        <w:t>以</w:t>
      </w:r>
      <w:r>
        <w:rPr>
          <w:rFonts w:hint="eastAsia" w:ascii="宋体" w:hAnsi="宋体" w:eastAsia="宋体" w:cs="宋体"/>
          <w:strike/>
          <w:color w:val="auto"/>
          <w:sz w:val="21"/>
          <w:highlight w:val="none"/>
        </w:rPr>
        <w:t>下</w:t>
      </w:r>
      <w:r>
        <w:rPr>
          <w:rFonts w:hint="eastAsia" w:ascii="宋体" w:hAnsi="宋体" w:eastAsia="宋体" w:cs="宋体"/>
          <w:strike/>
          <w:color w:val="auto"/>
          <w:spacing w:val="-3"/>
          <w:sz w:val="21"/>
          <w:highlight w:val="none"/>
        </w:rPr>
        <w:t>简</w:t>
      </w:r>
      <w:r>
        <w:rPr>
          <w:rFonts w:hint="eastAsia" w:ascii="宋体" w:hAnsi="宋体" w:eastAsia="宋体" w:cs="宋体"/>
          <w:strike/>
          <w:color w:val="auto"/>
          <w:sz w:val="21"/>
          <w:highlight w:val="none"/>
        </w:rPr>
        <w:t>称</w:t>
      </w:r>
      <w:r>
        <w:rPr>
          <w:rFonts w:hint="eastAsia" w:ascii="宋体" w:hAnsi="宋体" w:eastAsia="宋体" w:cs="宋体"/>
          <w:strike/>
          <w:color w:val="auto"/>
          <w:spacing w:val="-3"/>
          <w:sz w:val="21"/>
          <w:highlight w:val="none"/>
        </w:rPr>
        <w:t>“</w:t>
      </w:r>
      <w:r>
        <w:rPr>
          <w:rFonts w:hint="eastAsia" w:ascii="宋体" w:hAnsi="宋体" w:eastAsia="宋体" w:cs="宋体"/>
          <w:strike/>
          <w:color w:val="auto"/>
          <w:sz w:val="21"/>
          <w:highlight w:val="none"/>
        </w:rPr>
        <w:t xml:space="preserve">我 </w:t>
      </w:r>
      <w:r>
        <w:rPr>
          <w:rFonts w:hint="eastAsia" w:ascii="宋体" w:hAnsi="宋体" w:eastAsia="宋体" w:cs="宋体"/>
          <w:strike/>
          <w:color w:val="auto"/>
          <w:spacing w:val="-1"/>
          <w:sz w:val="21"/>
          <w:highlight w:val="none"/>
        </w:rPr>
        <w:t>方”</w:t>
      </w:r>
      <w:r>
        <w:rPr>
          <w:rFonts w:hint="eastAsia" w:ascii="宋体" w:hAnsi="宋体" w:eastAsia="宋体" w:cs="宋体"/>
          <w:strike/>
          <w:color w:val="auto"/>
          <w:spacing w:val="-17"/>
          <w:sz w:val="21"/>
          <w:highlight w:val="none"/>
        </w:rPr>
        <w:t>）</w:t>
      </w:r>
      <w:r>
        <w:rPr>
          <w:rFonts w:hint="eastAsia" w:ascii="宋体" w:hAnsi="宋体" w:eastAsia="宋体" w:cs="宋体"/>
          <w:strike/>
          <w:color w:val="auto"/>
          <w:spacing w:val="-3"/>
          <w:sz w:val="21"/>
          <w:highlight w:val="none"/>
        </w:rPr>
        <w:t>无</w:t>
      </w:r>
      <w:r>
        <w:rPr>
          <w:rFonts w:hint="eastAsia" w:ascii="宋体" w:hAnsi="宋体" w:eastAsia="宋体" w:cs="宋体"/>
          <w:strike/>
          <w:color w:val="auto"/>
          <w:sz w:val="21"/>
          <w:highlight w:val="none"/>
        </w:rPr>
        <w:t>条</w:t>
      </w:r>
      <w:r>
        <w:rPr>
          <w:rFonts w:hint="eastAsia" w:ascii="宋体" w:hAnsi="宋体" w:eastAsia="宋体" w:cs="宋体"/>
          <w:strike/>
          <w:color w:val="auto"/>
          <w:spacing w:val="-3"/>
          <w:sz w:val="21"/>
          <w:highlight w:val="none"/>
        </w:rPr>
        <w:t>件</w:t>
      </w:r>
      <w:r>
        <w:rPr>
          <w:rFonts w:hint="eastAsia" w:ascii="宋体" w:hAnsi="宋体" w:eastAsia="宋体" w:cs="宋体"/>
          <w:strike/>
          <w:color w:val="auto"/>
          <w:sz w:val="21"/>
          <w:highlight w:val="none"/>
        </w:rPr>
        <w:t>地</w:t>
      </w:r>
      <w:r>
        <w:rPr>
          <w:rFonts w:hint="eastAsia" w:ascii="宋体" w:hAnsi="宋体" w:eastAsia="宋体" w:cs="宋体"/>
          <w:strike/>
          <w:color w:val="auto"/>
          <w:spacing w:val="-17"/>
          <w:sz w:val="21"/>
          <w:highlight w:val="none"/>
        </w:rPr>
        <w:t>、</w:t>
      </w:r>
      <w:r>
        <w:rPr>
          <w:rFonts w:hint="eastAsia" w:ascii="宋体" w:hAnsi="宋体" w:eastAsia="宋体" w:cs="宋体"/>
          <w:strike/>
          <w:color w:val="auto"/>
          <w:spacing w:val="-3"/>
          <w:sz w:val="21"/>
          <w:highlight w:val="none"/>
        </w:rPr>
        <w:t>不</w:t>
      </w:r>
      <w:r>
        <w:rPr>
          <w:rFonts w:hint="eastAsia" w:ascii="宋体" w:hAnsi="宋体" w:eastAsia="宋体" w:cs="宋体"/>
          <w:strike/>
          <w:color w:val="auto"/>
          <w:sz w:val="21"/>
          <w:highlight w:val="none"/>
        </w:rPr>
        <w:t>可</w:t>
      </w:r>
      <w:r>
        <w:rPr>
          <w:rFonts w:hint="eastAsia" w:ascii="宋体" w:hAnsi="宋体" w:eastAsia="宋体" w:cs="宋体"/>
          <w:strike/>
          <w:color w:val="auto"/>
          <w:spacing w:val="-3"/>
          <w:sz w:val="21"/>
          <w:highlight w:val="none"/>
        </w:rPr>
        <w:t>撤销</w:t>
      </w:r>
      <w:r>
        <w:rPr>
          <w:rFonts w:hint="eastAsia" w:ascii="宋体" w:hAnsi="宋体" w:eastAsia="宋体" w:cs="宋体"/>
          <w:strike/>
          <w:color w:val="auto"/>
          <w:sz w:val="21"/>
          <w:highlight w:val="none"/>
        </w:rPr>
        <w:t>地保</w:t>
      </w:r>
      <w:r>
        <w:rPr>
          <w:rFonts w:hint="eastAsia" w:ascii="宋体" w:hAnsi="宋体" w:eastAsia="宋体" w:cs="宋体"/>
          <w:strike/>
          <w:color w:val="auto"/>
          <w:spacing w:val="-3"/>
          <w:sz w:val="21"/>
          <w:highlight w:val="none"/>
        </w:rPr>
        <w:t>证</w:t>
      </w:r>
      <w:r>
        <w:rPr>
          <w:rFonts w:hint="eastAsia" w:ascii="宋体" w:hAnsi="宋体" w:eastAsia="宋体" w:cs="宋体"/>
          <w:strike/>
          <w:color w:val="auto"/>
          <w:spacing w:val="-17"/>
          <w:sz w:val="21"/>
          <w:highlight w:val="none"/>
        </w:rPr>
        <w:t>：</w:t>
      </w:r>
      <w:r>
        <w:rPr>
          <w:rFonts w:hint="eastAsia" w:ascii="宋体" w:hAnsi="宋体" w:eastAsia="宋体" w:cs="宋体"/>
          <w:strike/>
          <w:color w:val="auto"/>
          <w:spacing w:val="-2"/>
          <w:sz w:val="21"/>
          <w:highlight w:val="none"/>
        </w:rPr>
        <w:t>若</w:t>
      </w:r>
      <w:r>
        <w:rPr>
          <w:rFonts w:hint="eastAsia" w:ascii="宋体" w:hAnsi="宋体" w:eastAsia="宋体" w:cs="宋体"/>
          <w:strike/>
          <w:color w:val="auto"/>
          <w:sz w:val="21"/>
          <w:highlight w:val="none"/>
        </w:rPr>
        <w:t>投</w:t>
      </w:r>
      <w:r>
        <w:rPr>
          <w:rFonts w:hint="eastAsia" w:ascii="宋体" w:hAnsi="宋体" w:eastAsia="宋体" w:cs="宋体"/>
          <w:strike/>
          <w:color w:val="auto"/>
          <w:spacing w:val="-3"/>
          <w:sz w:val="21"/>
          <w:highlight w:val="none"/>
        </w:rPr>
        <w:t>标</w:t>
      </w:r>
      <w:r>
        <w:rPr>
          <w:rFonts w:hint="eastAsia" w:ascii="宋体" w:hAnsi="宋体" w:eastAsia="宋体" w:cs="宋体"/>
          <w:strike/>
          <w:color w:val="auto"/>
          <w:sz w:val="21"/>
          <w:highlight w:val="none"/>
        </w:rPr>
        <w:t>人</w:t>
      </w:r>
      <w:r>
        <w:rPr>
          <w:rFonts w:hint="eastAsia" w:ascii="宋体" w:hAnsi="宋体" w:eastAsia="宋体" w:cs="宋体"/>
          <w:strike/>
          <w:color w:val="auto"/>
          <w:spacing w:val="-3"/>
          <w:sz w:val="21"/>
          <w:highlight w:val="none"/>
        </w:rPr>
        <w:t>在</w:t>
      </w:r>
      <w:r>
        <w:rPr>
          <w:rFonts w:hint="eastAsia" w:ascii="宋体" w:hAnsi="宋体" w:eastAsia="宋体" w:cs="宋体"/>
          <w:strike/>
          <w:color w:val="auto"/>
          <w:sz w:val="21"/>
          <w:highlight w:val="none"/>
        </w:rPr>
        <w:t>投</w:t>
      </w:r>
      <w:r>
        <w:rPr>
          <w:rFonts w:hint="eastAsia" w:ascii="宋体" w:hAnsi="宋体" w:eastAsia="宋体" w:cs="宋体"/>
          <w:strike/>
          <w:color w:val="auto"/>
          <w:spacing w:val="-3"/>
          <w:sz w:val="21"/>
          <w:highlight w:val="none"/>
        </w:rPr>
        <w:t>标</w:t>
      </w:r>
      <w:r>
        <w:rPr>
          <w:rFonts w:hint="eastAsia" w:ascii="宋体" w:hAnsi="宋体" w:eastAsia="宋体" w:cs="宋体"/>
          <w:strike/>
          <w:color w:val="auto"/>
          <w:sz w:val="21"/>
          <w:highlight w:val="none"/>
        </w:rPr>
        <w:t>有效</w:t>
      </w:r>
      <w:r>
        <w:rPr>
          <w:rFonts w:hint="eastAsia" w:ascii="宋体" w:hAnsi="宋体" w:eastAsia="宋体" w:cs="宋体"/>
          <w:strike/>
          <w:color w:val="auto"/>
          <w:spacing w:val="-3"/>
          <w:sz w:val="21"/>
          <w:highlight w:val="none"/>
        </w:rPr>
        <w:t>期</w:t>
      </w:r>
      <w:r>
        <w:rPr>
          <w:rFonts w:hint="eastAsia" w:ascii="宋体" w:hAnsi="宋体" w:eastAsia="宋体" w:cs="宋体"/>
          <w:strike/>
          <w:color w:val="auto"/>
          <w:sz w:val="21"/>
          <w:highlight w:val="none"/>
        </w:rPr>
        <w:t>内</w:t>
      </w:r>
      <w:r>
        <w:rPr>
          <w:rFonts w:hint="eastAsia" w:ascii="宋体" w:hAnsi="宋体" w:eastAsia="宋体" w:cs="宋体"/>
          <w:strike/>
          <w:color w:val="auto"/>
          <w:spacing w:val="-3"/>
          <w:sz w:val="21"/>
          <w:highlight w:val="none"/>
        </w:rPr>
        <w:t>撤</w:t>
      </w:r>
      <w:r>
        <w:rPr>
          <w:rFonts w:hint="eastAsia" w:ascii="宋体" w:hAnsi="宋体" w:eastAsia="宋体" w:cs="宋体"/>
          <w:strike/>
          <w:color w:val="auto"/>
          <w:sz w:val="21"/>
          <w:highlight w:val="none"/>
        </w:rPr>
        <w:t>销</w:t>
      </w:r>
      <w:r>
        <w:rPr>
          <w:rFonts w:hint="eastAsia" w:ascii="宋体" w:hAnsi="宋体" w:eastAsia="宋体" w:cs="宋体"/>
          <w:strike/>
          <w:color w:val="auto"/>
          <w:spacing w:val="-3"/>
          <w:sz w:val="21"/>
          <w:highlight w:val="none"/>
        </w:rPr>
        <w:t>投</w:t>
      </w:r>
      <w:r>
        <w:rPr>
          <w:rFonts w:hint="eastAsia" w:ascii="宋体" w:hAnsi="宋体" w:eastAsia="宋体" w:cs="宋体"/>
          <w:strike/>
          <w:color w:val="auto"/>
          <w:sz w:val="21"/>
          <w:highlight w:val="none"/>
        </w:rPr>
        <w:t>标</w:t>
      </w:r>
      <w:r>
        <w:rPr>
          <w:rFonts w:hint="eastAsia" w:ascii="宋体" w:hAnsi="宋体" w:eastAsia="宋体" w:cs="宋体"/>
          <w:strike/>
          <w:color w:val="auto"/>
          <w:spacing w:val="-3"/>
          <w:sz w:val="21"/>
          <w:highlight w:val="none"/>
        </w:rPr>
        <w:t>文</w:t>
      </w:r>
      <w:r>
        <w:rPr>
          <w:rFonts w:hint="eastAsia" w:ascii="宋体" w:hAnsi="宋体" w:eastAsia="宋体" w:cs="宋体"/>
          <w:strike/>
          <w:color w:val="auto"/>
          <w:sz w:val="21"/>
          <w:highlight w:val="none"/>
        </w:rPr>
        <w:t>件</w:t>
      </w:r>
      <w:r>
        <w:rPr>
          <w:rFonts w:hint="eastAsia" w:ascii="宋体" w:hAnsi="宋体" w:eastAsia="宋体" w:cs="宋体"/>
          <w:strike/>
          <w:color w:val="auto"/>
          <w:spacing w:val="-20"/>
          <w:sz w:val="21"/>
          <w:highlight w:val="none"/>
        </w:rPr>
        <w:t>，</w:t>
      </w:r>
      <w:r>
        <w:rPr>
          <w:rFonts w:hint="eastAsia" w:ascii="宋体" w:hAnsi="宋体" w:eastAsia="宋体" w:cs="宋体"/>
          <w:strike/>
          <w:color w:val="auto"/>
          <w:sz w:val="21"/>
          <w:highlight w:val="none"/>
        </w:rPr>
        <w:t>中标</w:t>
      </w:r>
      <w:r>
        <w:rPr>
          <w:rFonts w:hint="eastAsia" w:ascii="宋体" w:hAnsi="宋体" w:eastAsia="宋体" w:cs="宋体"/>
          <w:strike/>
          <w:color w:val="auto"/>
          <w:spacing w:val="-3"/>
          <w:sz w:val="21"/>
          <w:highlight w:val="none"/>
        </w:rPr>
        <w:t>后</w:t>
      </w:r>
      <w:r>
        <w:rPr>
          <w:rFonts w:hint="eastAsia" w:ascii="宋体" w:hAnsi="宋体" w:eastAsia="宋体" w:cs="宋体"/>
          <w:strike/>
          <w:color w:val="auto"/>
          <w:sz w:val="21"/>
          <w:highlight w:val="none"/>
        </w:rPr>
        <w:t>无</w:t>
      </w:r>
      <w:r>
        <w:rPr>
          <w:rFonts w:hint="eastAsia" w:ascii="宋体" w:hAnsi="宋体" w:eastAsia="宋体" w:cs="宋体"/>
          <w:strike/>
          <w:color w:val="auto"/>
          <w:spacing w:val="-3"/>
          <w:sz w:val="21"/>
          <w:highlight w:val="none"/>
        </w:rPr>
        <w:t>正</w:t>
      </w:r>
      <w:r>
        <w:rPr>
          <w:rFonts w:hint="eastAsia" w:ascii="宋体" w:hAnsi="宋体" w:eastAsia="宋体" w:cs="宋体"/>
          <w:strike/>
          <w:color w:val="auto"/>
          <w:sz w:val="21"/>
          <w:highlight w:val="none"/>
        </w:rPr>
        <w:t>当</w:t>
      </w:r>
      <w:r>
        <w:rPr>
          <w:rFonts w:hint="eastAsia" w:ascii="宋体" w:hAnsi="宋体" w:eastAsia="宋体" w:cs="宋体"/>
          <w:strike/>
          <w:color w:val="auto"/>
          <w:spacing w:val="-3"/>
          <w:sz w:val="21"/>
          <w:highlight w:val="none"/>
        </w:rPr>
        <w:t>理</w:t>
      </w:r>
      <w:r>
        <w:rPr>
          <w:rFonts w:hint="eastAsia" w:ascii="宋体" w:hAnsi="宋体" w:eastAsia="宋体" w:cs="宋体"/>
          <w:strike/>
          <w:color w:val="auto"/>
          <w:sz w:val="21"/>
          <w:highlight w:val="none"/>
        </w:rPr>
        <w:t>由 不与招标人订立</w:t>
      </w:r>
      <w:r>
        <w:rPr>
          <w:rFonts w:hint="eastAsia" w:ascii="宋体" w:hAnsi="宋体" w:eastAsia="宋体" w:cs="宋体"/>
          <w:strike/>
          <w:color w:val="auto"/>
          <w:spacing w:val="-3"/>
          <w:sz w:val="21"/>
          <w:highlight w:val="none"/>
        </w:rPr>
        <w:t>合</w:t>
      </w:r>
      <w:r>
        <w:rPr>
          <w:rFonts w:hint="eastAsia" w:ascii="宋体" w:hAnsi="宋体" w:eastAsia="宋体" w:cs="宋体"/>
          <w:strike/>
          <w:color w:val="auto"/>
          <w:sz w:val="21"/>
          <w:highlight w:val="none"/>
        </w:rPr>
        <w:t>同，</w:t>
      </w:r>
      <w:r>
        <w:rPr>
          <w:rFonts w:hint="eastAsia" w:ascii="宋体" w:hAnsi="宋体" w:eastAsia="宋体" w:cs="宋体"/>
          <w:strike/>
          <w:color w:val="auto"/>
          <w:spacing w:val="-3"/>
          <w:sz w:val="21"/>
          <w:highlight w:val="none"/>
        </w:rPr>
        <w:t>在</w:t>
      </w:r>
      <w:r>
        <w:rPr>
          <w:rFonts w:hint="eastAsia" w:ascii="宋体" w:hAnsi="宋体" w:eastAsia="宋体" w:cs="宋体"/>
          <w:strike/>
          <w:color w:val="auto"/>
          <w:sz w:val="21"/>
          <w:highlight w:val="none"/>
        </w:rPr>
        <w:t>签订合同时向招</w:t>
      </w:r>
      <w:r>
        <w:rPr>
          <w:rFonts w:hint="eastAsia" w:ascii="宋体" w:hAnsi="宋体" w:eastAsia="宋体" w:cs="宋体"/>
          <w:strike/>
          <w:color w:val="auto"/>
          <w:spacing w:val="-3"/>
          <w:sz w:val="21"/>
          <w:highlight w:val="none"/>
        </w:rPr>
        <w:t>标</w:t>
      </w:r>
      <w:r>
        <w:rPr>
          <w:rFonts w:hint="eastAsia" w:ascii="宋体" w:hAnsi="宋体" w:eastAsia="宋体" w:cs="宋体"/>
          <w:strike/>
          <w:color w:val="auto"/>
          <w:sz w:val="21"/>
          <w:highlight w:val="none"/>
        </w:rPr>
        <w:t>人提</w:t>
      </w:r>
      <w:r>
        <w:rPr>
          <w:rFonts w:hint="eastAsia" w:ascii="宋体" w:hAnsi="宋体" w:eastAsia="宋体" w:cs="宋体"/>
          <w:strike/>
          <w:color w:val="auto"/>
          <w:spacing w:val="-3"/>
          <w:sz w:val="21"/>
          <w:highlight w:val="none"/>
        </w:rPr>
        <w:t>出</w:t>
      </w:r>
      <w:r>
        <w:rPr>
          <w:rFonts w:hint="eastAsia" w:ascii="宋体" w:hAnsi="宋体" w:eastAsia="宋体" w:cs="宋体"/>
          <w:strike/>
          <w:color w:val="auto"/>
          <w:sz w:val="21"/>
          <w:highlight w:val="none"/>
        </w:rPr>
        <w:t>附加条件，不按</w:t>
      </w:r>
      <w:r>
        <w:rPr>
          <w:rFonts w:hint="eastAsia" w:ascii="宋体" w:hAnsi="宋体" w:eastAsia="宋体" w:cs="宋体"/>
          <w:strike/>
          <w:color w:val="auto"/>
          <w:spacing w:val="-3"/>
          <w:sz w:val="21"/>
          <w:highlight w:val="none"/>
        </w:rPr>
        <w:t>照</w:t>
      </w:r>
      <w:r>
        <w:rPr>
          <w:rFonts w:hint="eastAsia" w:ascii="宋体" w:hAnsi="宋体" w:eastAsia="宋体" w:cs="宋体"/>
          <w:strike/>
          <w:color w:val="auto"/>
          <w:sz w:val="21"/>
          <w:highlight w:val="none"/>
        </w:rPr>
        <w:t>招标</w:t>
      </w:r>
      <w:r>
        <w:rPr>
          <w:rFonts w:hint="eastAsia" w:ascii="宋体" w:hAnsi="宋体" w:eastAsia="宋体" w:cs="宋体"/>
          <w:strike/>
          <w:color w:val="auto"/>
          <w:spacing w:val="-3"/>
          <w:sz w:val="21"/>
          <w:highlight w:val="none"/>
        </w:rPr>
        <w:t>文</w:t>
      </w:r>
      <w:r>
        <w:rPr>
          <w:rFonts w:hint="eastAsia" w:ascii="宋体" w:hAnsi="宋体" w:eastAsia="宋体" w:cs="宋体"/>
          <w:strike/>
          <w:color w:val="auto"/>
          <w:sz w:val="21"/>
          <w:highlight w:val="none"/>
        </w:rPr>
        <w:t>件要求提交履</w:t>
      </w:r>
      <w:r>
        <w:rPr>
          <w:rFonts w:hint="eastAsia" w:ascii="宋体" w:hAnsi="宋体" w:eastAsia="宋体" w:cs="宋体"/>
          <w:strike/>
          <w:color w:val="auto"/>
          <w:spacing w:val="-3"/>
          <w:sz w:val="21"/>
          <w:highlight w:val="none"/>
        </w:rPr>
        <w:t>约</w:t>
      </w:r>
      <w:r>
        <w:rPr>
          <w:rFonts w:hint="eastAsia" w:ascii="宋体" w:hAnsi="宋体" w:eastAsia="宋体" w:cs="宋体"/>
          <w:strike/>
          <w:color w:val="auto"/>
          <w:sz w:val="21"/>
          <w:highlight w:val="none"/>
        </w:rPr>
        <w:t>保 证金，或</w:t>
      </w:r>
      <w:r>
        <w:rPr>
          <w:rFonts w:hint="eastAsia" w:ascii="宋体" w:hAnsi="宋体" w:eastAsia="宋体" w:cs="宋体"/>
          <w:strike/>
          <w:color w:val="auto"/>
          <w:spacing w:val="-1"/>
          <w:sz w:val="21"/>
          <w:highlight w:val="none"/>
        </w:rPr>
        <w:t>者</w:t>
      </w:r>
      <w:r>
        <w:rPr>
          <w:rFonts w:hint="eastAsia" w:ascii="宋体" w:hAnsi="宋体" w:eastAsia="宋体" w:cs="宋体"/>
          <w:strike/>
          <w:color w:val="auto"/>
          <w:sz w:val="21"/>
          <w:highlight w:val="none"/>
        </w:rPr>
        <w:t>发生</w:t>
      </w:r>
      <w:r>
        <w:rPr>
          <w:rFonts w:hint="eastAsia" w:ascii="宋体" w:hAnsi="宋体" w:eastAsia="宋体" w:cs="宋体"/>
          <w:strike/>
          <w:color w:val="auto"/>
          <w:spacing w:val="-3"/>
          <w:sz w:val="21"/>
          <w:highlight w:val="none"/>
        </w:rPr>
        <w:t>招</w:t>
      </w:r>
      <w:r>
        <w:rPr>
          <w:rFonts w:hint="eastAsia" w:ascii="宋体" w:hAnsi="宋体" w:eastAsia="宋体" w:cs="宋体"/>
          <w:strike/>
          <w:color w:val="auto"/>
          <w:sz w:val="21"/>
          <w:highlight w:val="none"/>
        </w:rPr>
        <w:t>标文</w:t>
      </w:r>
      <w:r>
        <w:rPr>
          <w:rFonts w:hint="eastAsia" w:ascii="宋体" w:hAnsi="宋体" w:eastAsia="宋体" w:cs="宋体"/>
          <w:strike/>
          <w:color w:val="auto"/>
          <w:spacing w:val="-3"/>
          <w:sz w:val="21"/>
          <w:highlight w:val="none"/>
        </w:rPr>
        <w:t>件</w:t>
      </w:r>
      <w:r>
        <w:rPr>
          <w:rFonts w:hint="eastAsia" w:ascii="宋体" w:hAnsi="宋体" w:eastAsia="宋体" w:cs="宋体"/>
          <w:strike/>
          <w:color w:val="auto"/>
          <w:sz w:val="21"/>
          <w:highlight w:val="none"/>
        </w:rPr>
        <w:t>明确规定可以不</w:t>
      </w:r>
      <w:r>
        <w:rPr>
          <w:rFonts w:hint="eastAsia" w:ascii="宋体" w:hAnsi="宋体" w:eastAsia="宋体" w:cs="宋体"/>
          <w:strike/>
          <w:color w:val="auto"/>
          <w:spacing w:val="-3"/>
          <w:sz w:val="21"/>
          <w:highlight w:val="none"/>
        </w:rPr>
        <w:t>予</w:t>
      </w:r>
      <w:r>
        <w:rPr>
          <w:rFonts w:hint="eastAsia" w:ascii="宋体" w:hAnsi="宋体" w:eastAsia="宋体" w:cs="宋体"/>
          <w:strike/>
          <w:color w:val="auto"/>
          <w:sz w:val="21"/>
          <w:highlight w:val="none"/>
        </w:rPr>
        <w:t>退</w:t>
      </w:r>
      <w:r>
        <w:rPr>
          <w:rFonts w:hint="eastAsia" w:ascii="宋体" w:hAnsi="宋体" w:eastAsia="宋体" w:cs="宋体"/>
          <w:strike/>
          <w:color w:val="auto"/>
          <w:spacing w:val="-1"/>
          <w:sz w:val="21"/>
          <w:highlight w:val="none"/>
        </w:rPr>
        <w:t>还</w:t>
      </w:r>
      <w:r>
        <w:rPr>
          <w:rFonts w:hint="eastAsia" w:ascii="宋体" w:hAnsi="宋体" w:eastAsia="宋体" w:cs="宋体"/>
          <w:strike/>
          <w:color w:val="auto"/>
          <w:spacing w:val="-3"/>
          <w:sz w:val="21"/>
          <w:highlight w:val="none"/>
        </w:rPr>
        <w:t>投</w:t>
      </w:r>
      <w:r>
        <w:rPr>
          <w:rFonts w:hint="eastAsia" w:ascii="宋体" w:hAnsi="宋体" w:eastAsia="宋体" w:cs="宋体"/>
          <w:strike/>
          <w:color w:val="auto"/>
          <w:sz w:val="21"/>
          <w:highlight w:val="none"/>
        </w:rPr>
        <w:t>标保证金的其他</w:t>
      </w:r>
      <w:r>
        <w:rPr>
          <w:rFonts w:hint="eastAsia" w:ascii="宋体" w:hAnsi="宋体" w:eastAsia="宋体" w:cs="宋体"/>
          <w:strike/>
          <w:color w:val="auto"/>
          <w:spacing w:val="-3"/>
          <w:sz w:val="21"/>
          <w:highlight w:val="none"/>
        </w:rPr>
        <w:t>情</w:t>
      </w:r>
      <w:r>
        <w:rPr>
          <w:rFonts w:hint="eastAsia" w:ascii="宋体" w:hAnsi="宋体" w:eastAsia="宋体" w:cs="宋体"/>
          <w:strike/>
          <w:color w:val="auto"/>
          <w:sz w:val="21"/>
          <w:highlight w:val="none"/>
        </w:rPr>
        <w:t>形，</w:t>
      </w:r>
      <w:r>
        <w:rPr>
          <w:rFonts w:hint="eastAsia" w:ascii="宋体" w:hAnsi="宋体" w:eastAsia="宋体" w:cs="宋体"/>
          <w:strike/>
          <w:color w:val="auto"/>
          <w:spacing w:val="-3"/>
          <w:sz w:val="21"/>
          <w:highlight w:val="none"/>
        </w:rPr>
        <w:t>我</w:t>
      </w:r>
      <w:r>
        <w:rPr>
          <w:rFonts w:hint="eastAsia" w:ascii="宋体" w:hAnsi="宋体" w:eastAsia="宋体" w:cs="宋体"/>
          <w:strike/>
          <w:color w:val="auto"/>
          <w:sz w:val="21"/>
          <w:highlight w:val="none"/>
        </w:rPr>
        <w:t>方承担保证责</w:t>
      </w:r>
      <w:r>
        <w:rPr>
          <w:rFonts w:hint="eastAsia" w:ascii="宋体" w:hAnsi="宋体" w:eastAsia="宋体" w:cs="宋体"/>
          <w:strike/>
          <w:color w:val="auto"/>
          <w:spacing w:val="-3"/>
          <w:sz w:val="21"/>
          <w:highlight w:val="none"/>
        </w:rPr>
        <w:t>任</w:t>
      </w:r>
      <w:r>
        <w:rPr>
          <w:rFonts w:hint="eastAsia" w:ascii="宋体" w:hAnsi="宋体" w:eastAsia="宋体" w:cs="宋体"/>
          <w:strike/>
          <w:color w:val="auto"/>
          <w:sz w:val="21"/>
          <w:highlight w:val="none"/>
        </w:rPr>
        <w:t>。 收到</w:t>
      </w:r>
      <w:r>
        <w:rPr>
          <w:rFonts w:hint="eastAsia" w:ascii="宋体" w:hAnsi="宋体" w:eastAsia="宋体" w:cs="宋体"/>
          <w:strike/>
          <w:color w:val="auto"/>
          <w:spacing w:val="-3"/>
          <w:sz w:val="21"/>
          <w:highlight w:val="none"/>
        </w:rPr>
        <w:t>你</w:t>
      </w:r>
      <w:r>
        <w:rPr>
          <w:rFonts w:hint="eastAsia" w:ascii="宋体" w:hAnsi="宋体" w:eastAsia="宋体" w:cs="宋体"/>
          <w:strike/>
          <w:color w:val="auto"/>
          <w:sz w:val="21"/>
          <w:highlight w:val="none"/>
        </w:rPr>
        <w:t>方</w:t>
      </w:r>
      <w:r>
        <w:rPr>
          <w:rFonts w:hint="eastAsia" w:ascii="宋体" w:hAnsi="宋体" w:eastAsia="宋体" w:cs="宋体"/>
          <w:strike/>
          <w:color w:val="auto"/>
          <w:spacing w:val="-3"/>
          <w:sz w:val="21"/>
          <w:highlight w:val="none"/>
        </w:rPr>
        <w:t>书</w:t>
      </w:r>
      <w:r>
        <w:rPr>
          <w:rFonts w:hint="eastAsia" w:ascii="宋体" w:hAnsi="宋体" w:eastAsia="宋体" w:cs="宋体"/>
          <w:strike/>
          <w:color w:val="auto"/>
          <w:sz w:val="21"/>
          <w:highlight w:val="none"/>
        </w:rPr>
        <w:t>面</w:t>
      </w:r>
      <w:r>
        <w:rPr>
          <w:rFonts w:hint="eastAsia" w:ascii="宋体" w:hAnsi="宋体" w:eastAsia="宋体" w:cs="宋体"/>
          <w:strike/>
          <w:color w:val="auto"/>
          <w:spacing w:val="-3"/>
          <w:sz w:val="21"/>
          <w:highlight w:val="none"/>
        </w:rPr>
        <w:t>通</w:t>
      </w:r>
      <w:r>
        <w:rPr>
          <w:rFonts w:hint="eastAsia" w:ascii="宋体" w:hAnsi="宋体" w:eastAsia="宋体" w:cs="宋体"/>
          <w:strike/>
          <w:color w:val="auto"/>
          <w:sz w:val="21"/>
          <w:highlight w:val="none"/>
        </w:rPr>
        <w:t>知</w:t>
      </w:r>
      <w:r>
        <w:rPr>
          <w:rFonts w:hint="eastAsia" w:ascii="宋体" w:hAnsi="宋体" w:eastAsia="宋体" w:cs="宋体"/>
          <w:strike/>
          <w:color w:val="auto"/>
          <w:spacing w:val="-3"/>
          <w:sz w:val="21"/>
          <w:highlight w:val="none"/>
        </w:rPr>
        <w:t>后</w:t>
      </w:r>
      <w:r>
        <w:rPr>
          <w:rFonts w:hint="eastAsia" w:ascii="宋体" w:hAnsi="宋体" w:eastAsia="宋体" w:cs="宋体"/>
          <w:strike/>
          <w:color w:val="auto"/>
          <w:sz w:val="21"/>
          <w:highlight w:val="none"/>
        </w:rPr>
        <w:t>，</w:t>
      </w:r>
      <w:r>
        <w:rPr>
          <w:rFonts w:hint="eastAsia" w:ascii="宋体" w:hAnsi="宋体" w:eastAsia="宋体" w:cs="宋体"/>
          <w:strike/>
          <w:color w:val="auto"/>
          <w:spacing w:val="-3"/>
          <w:sz w:val="21"/>
          <w:highlight w:val="none"/>
        </w:rPr>
        <w:t>我</w:t>
      </w:r>
      <w:r>
        <w:rPr>
          <w:rFonts w:hint="eastAsia" w:ascii="宋体" w:hAnsi="宋体" w:eastAsia="宋体" w:cs="宋体"/>
          <w:strike/>
          <w:color w:val="auto"/>
          <w:sz w:val="21"/>
          <w:highlight w:val="none"/>
        </w:rPr>
        <w:t>方在</w:t>
      </w:r>
      <w:r>
        <w:rPr>
          <w:rFonts w:hint="eastAsia" w:ascii="宋体" w:hAnsi="宋体" w:eastAsia="宋体" w:cs="宋体"/>
          <w:strike/>
          <w:color w:val="auto"/>
          <w:spacing w:val="-53"/>
          <w:sz w:val="21"/>
          <w:highlight w:val="none"/>
        </w:rPr>
        <w:t xml:space="preserve"> </w:t>
      </w:r>
      <w:r>
        <w:rPr>
          <w:rFonts w:hint="eastAsia" w:ascii="宋体" w:hAnsi="宋体" w:eastAsia="宋体" w:cs="宋体"/>
          <w:strike/>
          <w:color w:val="auto"/>
          <w:sz w:val="21"/>
          <w:highlight w:val="none"/>
        </w:rPr>
        <w:t>7</w:t>
      </w:r>
      <w:r>
        <w:rPr>
          <w:rFonts w:hint="eastAsia" w:ascii="宋体" w:hAnsi="宋体" w:eastAsia="宋体" w:cs="宋体"/>
          <w:strike/>
          <w:color w:val="auto"/>
          <w:spacing w:val="-3"/>
          <w:sz w:val="21"/>
          <w:highlight w:val="none"/>
        </w:rPr>
        <w:t xml:space="preserve"> </w:t>
      </w:r>
      <w:r>
        <w:rPr>
          <w:rFonts w:hint="eastAsia" w:ascii="宋体" w:hAnsi="宋体" w:eastAsia="宋体" w:cs="宋体"/>
          <w:strike/>
          <w:color w:val="auto"/>
          <w:sz w:val="21"/>
          <w:highlight w:val="none"/>
        </w:rPr>
        <w:t>日</w:t>
      </w:r>
      <w:r>
        <w:rPr>
          <w:rFonts w:hint="eastAsia" w:ascii="宋体" w:hAnsi="宋体" w:eastAsia="宋体" w:cs="宋体"/>
          <w:strike/>
          <w:color w:val="auto"/>
          <w:spacing w:val="-3"/>
          <w:sz w:val="21"/>
          <w:highlight w:val="none"/>
        </w:rPr>
        <w:t>内</w:t>
      </w:r>
      <w:r>
        <w:rPr>
          <w:rFonts w:hint="eastAsia" w:ascii="宋体" w:hAnsi="宋体" w:eastAsia="宋体" w:cs="宋体"/>
          <w:strike/>
          <w:color w:val="auto"/>
          <w:sz w:val="21"/>
          <w:highlight w:val="none"/>
        </w:rPr>
        <w:t>向</w:t>
      </w:r>
      <w:r>
        <w:rPr>
          <w:rFonts w:hint="eastAsia" w:ascii="宋体" w:hAnsi="宋体" w:eastAsia="宋体" w:cs="宋体"/>
          <w:strike/>
          <w:color w:val="auto"/>
          <w:spacing w:val="-3"/>
          <w:sz w:val="21"/>
          <w:highlight w:val="none"/>
        </w:rPr>
        <w:t>你</w:t>
      </w:r>
      <w:r>
        <w:rPr>
          <w:rFonts w:hint="eastAsia" w:ascii="宋体" w:hAnsi="宋体" w:eastAsia="宋体" w:cs="宋体"/>
          <w:strike/>
          <w:color w:val="auto"/>
          <w:sz w:val="21"/>
          <w:highlight w:val="none"/>
        </w:rPr>
        <w:t>方</w:t>
      </w:r>
      <w:r>
        <w:rPr>
          <w:rFonts w:hint="eastAsia" w:ascii="宋体" w:hAnsi="宋体" w:eastAsia="宋体" w:cs="宋体"/>
          <w:strike/>
          <w:color w:val="auto"/>
          <w:spacing w:val="-3"/>
          <w:sz w:val="21"/>
          <w:highlight w:val="none"/>
        </w:rPr>
        <w:t>无</w:t>
      </w:r>
      <w:r>
        <w:rPr>
          <w:rFonts w:hint="eastAsia" w:ascii="宋体" w:hAnsi="宋体" w:eastAsia="宋体" w:cs="宋体"/>
          <w:strike/>
          <w:color w:val="auto"/>
          <w:sz w:val="21"/>
          <w:highlight w:val="none"/>
        </w:rPr>
        <w:t>条</w:t>
      </w:r>
      <w:r>
        <w:rPr>
          <w:rFonts w:hint="eastAsia" w:ascii="宋体" w:hAnsi="宋体" w:eastAsia="宋体" w:cs="宋体"/>
          <w:strike/>
          <w:color w:val="auto"/>
          <w:spacing w:val="-3"/>
          <w:sz w:val="21"/>
          <w:highlight w:val="none"/>
        </w:rPr>
        <w:t>件</w:t>
      </w:r>
      <w:r>
        <w:rPr>
          <w:rFonts w:hint="eastAsia" w:ascii="宋体" w:hAnsi="宋体" w:eastAsia="宋体" w:cs="宋体"/>
          <w:strike/>
          <w:color w:val="auto"/>
          <w:sz w:val="21"/>
          <w:highlight w:val="none"/>
        </w:rPr>
        <w:t>支付</w:t>
      </w:r>
      <w:r>
        <w:rPr>
          <w:rFonts w:hint="eastAsia" w:ascii="宋体" w:hAnsi="宋体" w:eastAsia="宋体" w:cs="宋体"/>
          <w:strike/>
          <w:color w:val="auto"/>
          <w:spacing w:val="-3"/>
          <w:sz w:val="21"/>
          <w:highlight w:val="none"/>
        </w:rPr>
        <w:t>人</w:t>
      </w:r>
      <w:r>
        <w:rPr>
          <w:rFonts w:hint="eastAsia" w:ascii="宋体" w:hAnsi="宋体" w:eastAsia="宋体" w:cs="宋体"/>
          <w:strike/>
          <w:color w:val="auto"/>
          <w:sz w:val="21"/>
          <w:highlight w:val="none"/>
        </w:rPr>
        <w:t>民</w:t>
      </w:r>
      <w:r>
        <w:rPr>
          <w:rFonts w:hint="eastAsia" w:ascii="宋体" w:hAnsi="宋体" w:eastAsia="宋体" w:cs="宋体"/>
          <w:strike/>
          <w:color w:val="auto"/>
          <w:spacing w:val="-3"/>
          <w:sz w:val="21"/>
          <w:highlight w:val="none"/>
        </w:rPr>
        <w:t>币</w:t>
      </w:r>
      <w:r>
        <w:rPr>
          <w:rFonts w:hint="eastAsia" w:ascii="宋体" w:hAnsi="宋体" w:eastAsia="宋体" w:cs="宋体"/>
          <w:strike/>
          <w:color w:val="auto"/>
          <w:sz w:val="21"/>
          <w:highlight w:val="none"/>
        </w:rPr>
        <w:t>（</w:t>
      </w:r>
      <w:r>
        <w:rPr>
          <w:rFonts w:hint="eastAsia" w:ascii="宋体" w:hAnsi="宋体" w:eastAsia="宋体" w:cs="宋体"/>
          <w:strike/>
          <w:color w:val="auto"/>
          <w:spacing w:val="-3"/>
          <w:sz w:val="21"/>
          <w:highlight w:val="none"/>
        </w:rPr>
        <w:t>大</w:t>
      </w:r>
      <w:r>
        <w:rPr>
          <w:rFonts w:hint="eastAsia" w:ascii="宋体" w:hAnsi="宋体" w:eastAsia="宋体" w:cs="宋体"/>
          <w:strike/>
          <w:color w:val="auto"/>
          <w:sz w:val="21"/>
          <w:highlight w:val="none"/>
        </w:rPr>
        <w:t>写</w:t>
      </w:r>
      <w:r>
        <w:rPr>
          <w:rFonts w:hint="eastAsia" w:ascii="宋体" w:hAnsi="宋体" w:eastAsia="宋体" w:cs="宋体"/>
          <w:strike/>
          <w:color w:val="auto"/>
          <w:spacing w:val="-3"/>
          <w:sz w:val="21"/>
          <w:highlight w:val="none"/>
        </w:rPr>
        <w:t>）</w:t>
      </w:r>
      <w:r>
        <w:rPr>
          <w:rFonts w:hint="eastAsia" w:ascii="宋体" w:hAnsi="宋体" w:eastAsia="宋体" w:cs="宋体"/>
          <w:strike/>
          <w:color w:val="auto"/>
          <w:spacing w:val="-3"/>
          <w:sz w:val="21"/>
          <w:highlight w:val="none"/>
          <w:u w:val="single"/>
        </w:rPr>
        <w:tab/>
      </w:r>
      <w:r>
        <w:rPr>
          <w:rFonts w:hint="eastAsia" w:ascii="宋体" w:hAnsi="宋体" w:eastAsia="宋体" w:cs="宋体"/>
          <w:strike/>
          <w:color w:val="auto"/>
          <w:spacing w:val="-3"/>
          <w:sz w:val="21"/>
          <w:highlight w:val="none"/>
          <w:u w:val="single"/>
        </w:rPr>
        <w:tab/>
      </w:r>
      <w:r>
        <w:rPr>
          <w:rFonts w:hint="eastAsia" w:ascii="宋体" w:hAnsi="宋体" w:eastAsia="宋体" w:cs="宋体"/>
          <w:strike/>
          <w:color w:val="auto"/>
          <w:sz w:val="21"/>
          <w:highlight w:val="none"/>
        </w:rPr>
        <w:t>。</w:t>
      </w:r>
    </w:p>
    <w:p w14:paraId="3B8B6C56">
      <w:pPr>
        <w:pStyle w:val="2"/>
        <w:kinsoku w:val="0"/>
        <w:overflowPunct w:val="0"/>
        <w:spacing w:before="47" w:beforeLines="0" w:afterLines="0" w:line="342" w:lineRule="auto"/>
        <w:ind w:left="100" w:firstLine="419"/>
        <w:rPr>
          <w:rFonts w:hint="eastAsia" w:ascii="宋体" w:hAnsi="宋体" w:eastAsia="宋体" w:cs="宋体"/>
          <w:strike/>
          <w:color w:val="auto"/>
          <w:sz w:val="21"/>
          <w:highlight w:val="none"/>
        </w:rPr>
      </w:pPr>
      <w:r>
        <w:rPr>
          <w:rFonts w:hint="eastAsia" w:ascii="宋体" w:hAnsi="宋体" w:eastAsia="宋体" w:cs="宋体"/>
          <w:strike/>
          <w:color w:val="auto"/>
          <w:sz w:val="21"/>
          <w:highlight w:val="none"/>
        </w:rPr>
        <w:t>本保函在投标有效</w:t>
      </w:r>
      <w:r>
        <w:rPr>
          <w:rFonts w:hint="eastAsia" w:ascii="宋体" w:hAnsi="宋体" w:eastAsia="宋体" w:cs="宋体"/>
          <w:strike/>
          <w:color w:val="auto"/>
          <w:spacing w:val="-3"/>
          <w:sz w:val="21"/>
          <w:highlight w:val="none"/>
        </w:rPr>
        <w:t>期</w:t>
      </w:r>
      <w:r>
        <w:rPr>
          <w:rFonts w:hint="eastAsia" w:ascii="宋体" w:hAnsi="宋体" w:eastAsia="宋体" w:cs="宋体"/>
          <w:strike/>
          <w:color w:val="auto"/>
          <w:sz w:val="21"/>
          <w:highlight w:val="none"/>
        </w:rPr>
        <w:t>内</w:t>
      </w:r>
      <w:r>
        <w:rPr>
          <w:rFonts w:hint="eastAsia" w:ascii="宋体" w:hAnsi="宋体" w:eastAsia="宋体" w:cs="宋体"/>
          <w:strike/>
          <w:color w:val="auto"/>
          <w:spacing w:val="-3"/>
          <w:sz w:val="21"/>
          <w:highlight w:val="none"/>
        </w:rPr>
        <w:t>保</w:t>
      </w:r>
      <w:r>
        <w:rPr>
          <w:rFonts w:hint="eastAsia" w:ascii="宋体" w:hAnsi="宋体" w:eastAsia="宋体" w:cs="宋体"/>
          <w:strike/>
          <w:color w:val="auto"/>
          <w:sz w:val="21"/>
          <w:highlight w:val="none"/>
        </w:rPr>
        <w:t>持有效。要求我方</w:t>
      </w:r>
      <w:r>
        <w:rPr>
          <w:rFonts w:hint="eastAsia" w:ascii="宋体" w:hAnsi="宋体" w:eastAsia="宋体" w:cs="宋体"/>
          <w:strike/>
          <w:color w:val="auto"/>
          <w:spacing w:val="-3"/>
          <w:sz w:val="21"/>
          <w:highlight w:val="none"/>
        </w:rPr>
        <w:t>承</w:t>
      </w:r>
      <w:r>
        <w:rPr>
          <w:rFonts w:hint="eastAsia" w:ascii="宋体" w:hAnsi="宋体" w:eastAsia="宋体" w:cs="宋体"/>
          <w:strike/>
          <w:color w:val="auto"/>
          <w:sz w:val="21"/>
          <w:highlight w:val="none"/>
        </w:rPr>
        <w:t>担</w:t>
      </w:r>
      <w:r>
        <w:rPr>
          <w:rFonts w:hint="eastAsia" w:ascii="宋体" w:hAnsi="宋体" w:eastAsia="宋体" w:cs="宋体"/>
          <w:strike/>
          <w:color w:val="auto"/>
          <w:spacing w:val="-3"/>
          <w:sz w:val="21"/>
          <w:highlight w:val="none"/>
        </w:rPr>
        <w:t>保</w:t>
      </w:r>
      <w:r>
        <w:rPr>
          <w:rFonts w:hint="eastAsia" w:ascii="宋体" w:hAnsi="宋体" w:eastAsia="宋体" w:cs="宋体"/>
          <w:strike/>
          <w:color w:val="auto"/>
          <w:sz w:val="21"/>
          <w:highlight w:val="none"/>
        </w:rPr>
        <w:t>证责任的通知应在</w:t>
      </w:r>
      <w:r>
        <w:rPr>
          <w:rFonts w:hint="eastAsia" w:ascii="宋体" w:hAnsi="宋体" w:eastAsia="宋体" w:cs="宋体"/>
          <w:strike/>
          <w:color w:val="auto"/>
          <w:spacing w:val="-3"/>
          <w:sz w:val="21"/>
          <w:highlight w:val="none"/>
        </w:rPr>
        <w:t>投</w:t>
      </w:r>
      <w:r>
        <w:rPr>
          <w:rFonts w:hint="eastAsia" w:ascii="宋体" w:hAnsi="宋体" w:eastAsia="宋体" w:cs="宋体"/>
          <w:strike/>
          <w:color w:val="auto"/>
          <w:sz w:val="21"/>
          <w:highlight w:val="none"/>
        </w:rPr>
        <w:t>标</w:t>
      </w:r>
      <w:r>
        <w:rPr>
          <w:rFonts w:hint="eastAsia" w:ascii="宋体" w:hAnsi="宋体" w:eastAsia="宋体" w:cs="宋体"/>
          <w:strike/>
          <w:color w:val="auto"/>
          <w:spacing w:val="-3"/>
          <w:sz w:val="21"/>
          <w:highlight w:val="none"/>
        </w:rPr>
        <w:t>有</w:t>
      </w:r>
      <w:r>
        <w:rPr>
          <w:rFonts w:hint="eastAsia" w:ascii="宋体" w:hAnsi="宋体" w:eastAsia="宋体" w:cs="宋体"/>
          <w:strike/>
          <w:color w:val="auto"/>
          <w:sz w:val="21"/>
          <w:highlight w:val="none"/>
        </w:rPr>
        <w:t>效期内送达我方。</w:t>
      </w:r>
    </w:p>
    <w:p w14:paraId="2E929CF4">
      <w:pPr>
        <w:kinsoku w:val="0"/>
        <w:overflowPunct w:val="0"/>
        <w:spacing w:before="9" w:beforeLines="0" w:afterLines="0" w:line="190" w:lineRule="exact"/>
        <w:rPr>
          <w:rFonts w:hint="default"/>
          <w:strike/>
          <w:color w:val="auto"/>
          <w:sz w:val="19"/>
          <w:highlight w:val="none"/>
        </w:rPr>
      </w:pPr>
    </w:p>
    <w:p w14:paraId="3384B875">
      <w:pPr>
        <w:kinsoku w:val="0"/>
        <w:overflowPunct w:val="0"/>
        <w:spacing w:beforeLines="0" w:afterLines="0" w:line="200" w:lineRule="exact"/>
        <w:rPr>
          <w:rFonts w:hint="default"/>
          <w:strike/>
          <w:color w:val="auto"/>
          <w:sz w:val="20"/>
          <w:highlight w:val="none"/>
        </w:rPr>
      </w:pPr>
    </w:p>
    <w:p w14:paraId="102CEE66">
      <w:pPr>
        <w:kinsoku w:val="0"/>
        <w:overflowPunct w:val="0"/>
        <w:spacing w:beforeLines="0" w:afterLines="0" w:line="200" w:lineRule="exact"/>
        <w:rPr>
          <w:rFonts w:hint="default"/>
          <w:strike/>
          <w:color w:val="auto"/>
          <w:sz w:val="20"/>
          <w:highlight w:val="none"/>
        </w:rPr>
      </w:pPr>
    </w:p>
    <w:p w14:paraId="6903CC14">
      <w:pPr>
        <w:kinsoku w:val="0"/>
        <w:overflowPunct w:val="0"/>
        <w:spacing w:beforeLines="0" w:afterLines="0" w:line="200" w:lineRule="exact"/>
        <w:rPr>
          <w:rFonts w:hint="default"/>
          <w:strike/>
          <w:color w:val="auto"/>
          <w:sz w:val="20"/>
          <w:highlight w:val="none"/>
        </w:rPr>
      </w:pPr>
    </w:p>
    <w:p w14:paraId="2297095C">
      <w:pPr>
        <w:kinsoku w:val="0"/>
        <w:overflowPunct w:val="0"/>
        <w:spacing w:beforeLines="0" w:afterLines="0" w:line="200" w:lineRule="exact"/>
        <w:rPr>
          <w:rFonts w:hint="default"/>
          <w:strike/>
          <w:color w:val="auto"/>
          <w:sz w:val="20"/>
          <w:highlight w:val="none"/>
        </w:rPr>
      </w:pPr>
    </w:p>
    <w:p w14:paraId="3F80982A">
      <w:pPr>
        <w:kinsoku w:val="0"/>
        <w:overflowPunct w:val="0"/>
        <w:spacing w:beforeLines="0" w:afterLines="0" w:line="200" w:lineRule="exact"/>
        <w:rPr>
          <w:rFonts w:hint="default"/>
          <w:strike/>
          <w:color w:val="auto"/>
          <w:sz w:val="20"/>
          <w:highlight w:val="none"/>
        </w:rPr>
      </w:pPr>
    </w:p>
    <w:p w14:paraId="4EC7ED78">
      <w:pPr>
        <w:kinsoku w:val="0"/>
        <w:overflowPunct w:val="0"/>
        <w:spacing w:beforeLines="0" w:afterLines="0" w:line="200" w:lineRule="exact"/>
        <w:rPr>
          <w:rFonts w:hint="default"/>
          <w:strike/>
          <w:color w:val="auto"/>
          <w:sz w:val="20"/>
          <w:highlight w:val="none"/>
        </w:rPr>
      </w:pPr>
    </w:p>
    <w:p w14:paraId="15FC17AA">
      <w:pPr>
        <w:kinsoku w:val="0"/>
        <w:overflowPunct w:val="0"/>
        <w:spacing w:beforeLines="0" w:afterLines="0" w:line="200" w:lineRule="exact"/>
        <w:rPr>
          <w:rFonts w:hint="default"/>
          <w:strike/>
          <w:color w:val="auto"/>
          <w:sz w:val="20"/>
          <w:highlight w:val="none"/>
        </w:rPr>
      </w:pPr>
    </w:p>
    <w:p w14:paraId="01730CC9">
      <w:pPr>
        <w:kinsoku w:val="0"/>
        <w:overflowPunct w:val="0"/>
        <w:spacing w:beforeLines="0" w:afterLines="0" w:line="200" w:lineRule="exact"/>
        <w:rPr>
          <w:rFonts w:hint="default"/>
          <w:strike/>
          <w:color w:val="auto"/>
          <w:sz w:val="20"/>
          <w:highlight w:val="none"/>
        </w:rPr>
      </w:pPr>
    </w:p>
    <w:p w14:paraId="51F0723E">
      <w:pPr>
        <w:pStyle w:val="2"/>
        <w:tabs>
          <w:tab w:val="left" w:pos="7481"/>
        </w:tabs>
        <w:kinsoku w:val="0"/>
        <w:overflowPunct w:val="0"/>
        <w:spacing w:beforeLines="0" w:afterLines="0"/>
        <w:ind w:left="3549"/>
        <w:rPr>
          <w:rFonts w:hint="eastAsia"/>
          <w:strike/>
          <w:color w:val="auto"/>
          <w:sz w:val="21"/>
          <w:highlight w:val="none"/>
        </w:rPr>
      </w:pPr>
      <w:r>
        <w:rPr>
          <w:rFonts w:hint="eastAsia"/>
          <w:strike/>
          <w:color w:val="auto"/>
          <w:sz w:val="21"/>
          <w:highlight w:val="none"/>
        </w:rPr>
        <w:t>担保</w:t>
      </w:r>
      <w:r>
        <w:rPr>
          <w:rFonts w:hint="eastAsia"/>
          <w:strike/>
          <w:color w:val="auto"/>
          <w:spacing w:val="-3"/>
          <w:sz w:val="21"/>
          <w:highlight w:val="none"/>
        </w:rPr>
        <w:t>人</w:t>
      </w:r>
      <w:r>
        <w:rPr>
          <w:rFonts w:hint="eastAsia"/>
          <w:strike/>
          <w:color w:val="auto"/>
          <w:sz w:val="21"/>
          <w:highlight w:val="none"/>
        </w:rPr>
        <w:t>名</w:t>
      </w:r>
      <w:r>
        <w:rPr>
          <w:rFonts w:hint="eastAsia"/>
          <w:strike/>
          <w:color w:val="auto"/>
          <w:spacing w:val="-3"/>
          <w:sz w:val="21"/>
          <w:highlight w:val="none"/>
        </w:rPr>
        <w:t>称</w:t>
      </w:r>
      <w:r>
        <w:rPr>
          <w:rFonts w:hint="eastAsia"/>
          <w:strike/>
          <w:color w:val="auto"/>
          <w:spacing w:val="-1"/>
          <w:sz w:val="21"/>
          <w:highlight w:val="none"/>
        </w:rPr>
        <w:t>：</w:t>
      </w:r>
      <w:r>
        <w:rPr>
          <w:rFonts w:hint="eastAsia"/>
          <w:strike/>
          <w:color w:val="auto"/>
          <w:spacing w:val="-1"/>
          <w:sz w:val="21"/>
          <w:highlight w:val="none"/>
          <w:u w:val="single"/>
          <w:lang w:val="en-US" w:eastAsia="zh-CN"/>
        </w:rPr>
        <w:t xml:space="preserve">                        </w:t>
      </w:r>
      <w:r>
        <w:rPr>
          <w:rFonts w:hint="eastAsia"/>
          <w:strike/>
          <w:color w:val="auto"/>
          <w:sz w:val="21"/>
          <w:highlight w:val="none"/>
        </w:rPr>
        <w:t>（盖</w:t>
      </w:r>
      <w:r>
        <w:rPr>
          <w:rFonts w:hint="eastAsia"/>
          <w:strike/>
          <w:color w:val="auto"/>
          <w:spacing w:val="-3"/>
          <w:sz w:val="21"/>
          <w:highlight w:val="none"/>
        </w:rPr>
        <w:t>单</w:t>
      </w:r>
      <w:r>
        <w:rPr>
          <w:rFonts w:hint="eastAsia"/>
          <w:strike/>
          <w:color w:val="auto"/>
          <w:sz w:val="21"/>
          <w:highlight w:val="none"/>
        </w:rPr>
        <w:t>位</w:t>
      </w:r>
      <w:r>
        <w:rPr>
          <w:rFonts w:hint="eastAsia"/>
          <w:strike/>
          <w:color w:val="auto"/>
          <w:spacing w:val="-3"/>
          <w:sz w:val="21"/>
          <w:highlight w:val="none"/>
        </w:rPr>
        <w:t>章</w:t>
      </w:r>
      <w:r>
        <w:rPr>
          <w:rFonts w:hint="eastAsia"/>
          <w:strike/>
          <w:color w:val="auto"/>
          <w:sz w:val="21"/>
          <w:highlight w:val="none"/>
        </w:rPr>
        <w:t>）</w:t>
      </w:r>
    </w:p>
    <w:p w14:paraId="53FE314F">
      <w:pPr>
        <w:kinsoku w:val="0"/>
        <w:overflowPunct w:val="0"/>
        <w:spacing w:before="1" w:beforeLines="0" w:afterLines="0" w:line="130" w:lineRule="exact"/>
        <w:rPr>
          <w:rFonts w:hint="default"/>
          <w:strike/>
          <w:color w:val="auto"/>
          <w:sz w:val="13"/>
          <w:highlight w:val="none"/>
        </w:rPr>
      </w:pPr>
    </w:p>
    <w:p w14:paraId="76162268">
      <w:pPr>
        <w:pStyle w:val="2"/>
        <w:tabs>
          <w:tab w:val="left" w:pos="7901"/>
        </w:tabs>
        <w:kinsoku w:val="0"/>
        <w:overflowPunct w:val="0"/>
        <w:spacing w:before="1" w:beforeLines="0" w:afterLines="0"/>
        <w:ind w:firstLine="3570" w:firstLineChars="1700"/>
        <w:rPr>
          <w:rFonts w:hint="eastAsia"/>
          <w:strike/>
          <w:color w:val="auto"/>
          <w:sz w:val="21"/>
          <w:highlight w:val="none"/>
        </w:rPr>
      </w:pPr>
      <w:r>
        <w:rPr>
          <w:rFonts w:hint="eastAsia"/>
          <w:strike/>
          <w:color w:val="auto"/>
          <w:sz w:val="21"/>
          <w:highlight w:val="none"/>
        </w:rPr>
        <w:t>法定</w:t>
      </w:r>
      <w:r>
        <w:rPr>
          <w:rFonts w:hint="eastAsia"/>
          <w:strike/>
          <w:color w:val="auto"/>
          <w:spacing w:val="-3"/>
          <w:sz w:val="21"/>
          <w:highlight w:val="none"/>
        </w:rPr>
        <w:t>代</w:t>
      </w:r>
      <w:r>
        <w:rPr>
          <w:rFonts w:hint="eastAsia"/>
          <w:strike/>
          <w:color w:val="auto"/>
          <w:sz w:val="21"/>
          <w:highlight w:val="none"/>
        </w:rPr>
        <w:t>表</w:t>
      </w:r>
      <w:r>
        <w:rPr>
          <w:rFonts w:hint="eastAsia"/>
          <w:strike/>
          <w:color w:val="auto"/>
          <w:spacing w:val="-3"/>
          <w:sz w:val="21"/>
          <w:highlight w:val="none"/>
        </w:rPr>
        <w:t>人</w:t>
      </w:r>
      <w:r>
        <w:rPr>
          <w:rFonts w:hint="eastAsia"/>
          <w:strike/>
          <w:color w:val="auto"/>
          <w:sz w:val="21"/>
          <w:highlight w:val="none"/>
        </w:rPr>
        <w:t>或</w:t>
      </w:r>
      <w:r>
        <w:rPr>
          <w:rFonts w:hint="eastAsia"/>
          <w:strike/>
          <w:color w:val="auto"/>
          <w:spacing w:val="-3"/>
          <w:sz w:val="21"/>
          <w:highlight w:val="none"/>
        </w:rPr>
        <w:t>委</w:t>
      </w:r>
      <w:r>
        <w:rPr>
          <w:rFonts w:hint="eastAsia"/>
          <w:strike/>
          <w:color w:val="auto"/>
          <w:sz w:val="21"/>
          <w:highlight w:val="none"/>
        </w:rPr>
        <w:t>托</w:t>
      </w:r>
      <w:r>
        <w:rPr>
          <w:rFonts w:hint="eastAsia"/>
          <w:strike/>
          <w:color w:val="auto"/>
          <w:spacing w:val="-3"/>
          <w:sz w:val="21"/>
          <w:highlight w:val="none"/>
        </w:rPr>
        <w:t>代</w:t>
      </w:r>
      <w:r>
        <w:rPr>
          <w:rFonts w:hint="eastAsia"/>
          <w:strike/>
          <w:color w:val="auto"/>
          <w:sz w:val="21"/>
          <w:highlight w:val="none"/>
        </w:rPr>
        <w:t>理</w:t>
      </w:r>
      <w:r>
        <w:rPr>
          <w:rFonts w:hint="eastAsia"/>
          <w:strike/>
          <w:color w:val="auto"/>
          <w:spacing w:val="-3"/>
          <w:sz w:val="21"/>
          <w:highlight w:val="none"/>
        </w:rPr>
        <w:t>人</w:t>
      </w:r>
      <w:r>
        <w:rPr>
          <w:rFonts w:hint="eastAsia"/>
          <w:strike/>
          <w:color w:val="auto"/>
          <w:sz w:val="21"/>
          <w:highlight w:val="none"/>
        </w:rPr>
        <w:t>：</w:t>
      </w:r>
      <w:r>
        <w:rPr>
          <w:rFonts w:hint="eastAsia"/>
          <w:strike/>
          <w:color w:val="auto"/>
          <w:sz w:val="21"/>
          <w:highlight w:val="none"/>
          <w:u w:val="single"/>
          <w:lang w:val="en-US" w:eastAsia="zh-CN"/>
        </w:rPr>
        <w:t xml:space="preserve">               </w:t>
      </w:r>
      <w:r>
        <w:rPr>
          <w:rFonts w:hint="eastAsia"/>
          <w:strike/>
          <w:color w:val="auto"/>
          <w:sz w:val="21"/>
          <w:highlight w:val="none"/>
        </w:rPr>
        <w:t>（</w:t>
      </w:r>
      <w:r>
        <w:rPr>
          <w:rFonts w:hint="eastAsia"/>
          <w:strike/>
          <w:color w:val="auto"/>
          <w:spacing w:val="-3"/>
          <w:sz w:val="21"/>
          <w:highlight w:val="none"/>
        </w:rPr>
        <w:t>签</w:t>
      </w:r>
      <w:r>
        <w:rPr>
          <w:rFonts w:hint="eastAsia"/>
          <w:strike/>
          <w:color w:val="auto"/>
          <w:sz w:val="21"/>
          <w:highlight w:val="none"/>
        </w:rPr>
        <w:t>字）</w:t>
      </w:r>
    </w:p>
    <w:p w14:paraId="27BD7D12">
      <w:pPr>
        <w:kinsoku w:val="0"/>
        <w:overflowPunct w:val="0"/>
        <w:spacing w:before="8" w:beforeLines="0" w:afterLines="0" w:line="120" w:lineRule="exact"/>
        <w:rPr>
          <w:rFonts w:hint="default"/>
          <w:strike/>
          <w:color w:val="auto"/>
          <w:sz w:val="12"/>
          <w:highlight w:val="none"/>
        </w:rPr>
      </w:pPr>
    </w:p>
    <w:p w14:paraId="6C37B17C">
      <w:pPr>
        <w:pStyle w:val="2"/>
        <w:tabs>
          <w:tab w:val="left" w:pos="4286"/>
          <w:tab w:val="left" w:pos="8741"/>
        </w:tabs>
        <w:kinsoku w:val="0"/>
        <w:overflowPunct w:val="0"/>
        <w:spacing w:before="1" w:beforeLines="0" w:afterLines="0"/>
        <w:ind w:left="3549"/>
        <w:rPr>
          <w:rFonts w:hint="eastAsia"/>
          <w:strike/>
          <w:color w:val="auto"/>
          <w:sz w:val="21"/>
          <w:highlight w:val="none"/>
        </w:rPr>
      </w:pPr>
      <w:r>
        <w:rPr>
          <w:rFonts w:hint="eastAsia"/>
          <w:strike/>
          <w:color w:val="auto"/>
          <w:sz w:val="21"/>
          <w:highlight w:val="none"/>
        </w:rPr>
        <w:t>地</w:t>
      </w:r>
      <w:r>
        <w:rPr>
          <w:rFonts w:hint="eastAsia"/>
          <w:strike/>
          <w:color w:val="auto"/>
          <w:sz w:val="21"/>
          <w:highlight w:val="none"/>
        </w:rPr>
        <w:tab/>
      </w:r>
      <w:r>
        <w:rPr>
          <w:rFonts w:hint="eastAsia"/>
          <w:strike/>
          <w:color w:val="auto"/>
          <w:spacing w:val="-3"/>
          <w:sz w:val="21"/>
          <w:highlight w:val="none"/>
        </w:rPr>
        <w:t>址：</w:t>
      </w:r>
      <w:r>
        <w:rPr>
          <w:rFonts w:hint="eastAsia"/>
          <w:strike/>
          <w:color w:val="auto"/>
          <w:sz w:val="21"/>
          <w:highlight w:val="none"/>
          <w:u w:val="single"/>
        </w:rPr>
        <w:t xml:space="preserve"> </w:t>
      </w:r>
      <w:r>
        <w:rPr>
          <w:rFonts w:hint="eastAsia"/>
          <w:strike/>
          <w:color w:val="auto"/>
          <w:sz w:val="21"/>
          <w:highlight w:val="none"/>
          <w:u w:val="single"/>
        </w:rPr>
        <w:tab/>
      </w:r>
    </w:p>
    <w:p w14:paraId="40C5E439">
      <w:pPr>
        <w:kinsoku w:val="0"/>
        <w:overflowPunct w:val="0"/>
        <w:spacing w:before="8" w:beforeLines="0" w:afterLines="0" w:line="120" w:lineRule="exact"/>
        <w:rPr>
          <w:rFonts w:hint="default"/>
          <w:strike/>
          <w:color w:val="auto"/>
          <w:sz w:val="12"/>
          <w:highlight w:val="none"/>
        </w:rPr>
      </w:pPr>
    </w:p>
    <w:p w14:paraId="35867C57">
      <w:pPr>
        <w:pStyle w:val="2"/>
        <w:tabs>
          <w:tab w:val="left" w:pos="8741"/>
        </w:tabs>
        <w:kinsoku w:val="0"/>
        <w:overflowPunct w:val="0"/>
        <w:spacing w:before="1" w:beforeLines="0" w:afterLines="0"/>
        <w:ind w:left="3549"/>
        <w:rPr>
          <w:rFonts w:hint="eastAsia"/>
          <w:strike/>
          <w:color w:val="auto"/>
          <w:sz w:val="21"/>
          <w:highlight w:val="none"/>
        </w:rPr>
      </w:pPr>
      <w:r>
        <w:rPr>
          <w:rFonts w:hint="eastAsia"/>
          <w:strike/>
          <w:color w:val="auto"/>
          <w:sz w:val="21"/>
          <w:highlight w:val="none"/>
        </w:rPr>
        <w:t>邮政</w:t>
      </w:r>
      <w:r>
        <w:rPr>
          <w:rFonts w:hint="eastAsia"/>
          <w:strike/>
          <w:color w:val="auto"/>
          <w:spacing w:val="-3"/>
          <w:sz w:val="21"/>
          <w:highlight w:val="none"/>
        </w:rPr>
        <w:t>编</w:t>
      </w:r>
      <w:r>
        <w:rPr>
          <w:rFonts w:hint="eastAsia"/>
          <w:strike/>
          <w:color w:val="auto"/>
          <w:sz w:val="21"/>
          <w:highlight w:val="none"/>
        </w:rPr>
        <w:t>码</w:t>
      </w:r>
      <w:r>
        <w:rPr>
          <w:rFonts w:hint="eastAsia"/>
          <w:strike/>
          <w:color w:val="auto"/>
          <w:spacing w:val="-3"/>
          <w:sz w:val="21"/>
          <w:highlight w:val="none"/>
        </w:rPr>
        <w:t>：</w:t>
      </w:r>
      <w:r>
        <w:rPr>
          <w:rFonts w:hint="eastAsia"/>
          <w:strike/>
          <w:color w:val="auto"/>
          <w:sz w:val="21"/>
          <w:highlight w:val="none"/>
          <w:u w:val="single"/>
        </w:rPr>
        <w:t xml:space="preserve"> </w:t>
      </w:r>
      <w:r>
        <w:rPr>
          <w:rFonts w:hint="eastAsia"/>
          <w:strike/>
          <w:color w:val="auto"/>
          <w:sz w:val="21"/>
          <w:highlight w:val="none"/>
          <w:u w:val="single"/>
        </w:rPr>
        <w:tab/>
      </w:r>
    </w:p>
    <w:p w14:paraId="367B366D">
      <w:pPr>
        <w:kinsoku w:val="0"/>
        <w:overflowPunct w:val="0"/>
        <w:spacing w:before="1" w:beforeLines="0" w:afterLines="0" w:line="130" w:lineRule="exact"/>
        <w:rPr>
          <w:rFonts w:hint="default"/>
          <w:strike/>
          <w:color w:val="auto"/>
          <w:sz w:val="13"/>
          <w:highlight w:val="none"/>
        </w:rPr>
      </w:pPr>
    </w:p>
    <w:p w14:paraId="50283772">
      <w:pPr>
        <w:pStyle w:val="2"/>
        <w:tabs>
          <w:tab w:val="left" w:pos="4286"/>
          <w:tab w:val="left" w:pos="8741"/>
        </w:tabs>
        <w:kinsoku w:val="0"/>
        <w:overflowPunct w:val="0"/>
        <w:spacing w:before="1" w:beforeLines="0" w:afterLines="0"/>
        <w:ind w:left="3549"/>
        <w:rPr>
          <w:rFonts w:hint="eastAsia"/>
          <w:strike/>
          <w:color w:val="auto"/>
          <w:sz w:val="21"/>
          <w:highlight w:val="none"/>
        </w:rPr>
      </w:pPr>
      <w:r>
        <w:rPr>
          <w:rFonts w:hint="eastAsia"/>
          <w:strike/>
          <w:color w:val="auto"/>
          <w:sz w:val="21"/>
          <w:highlight w:val="none"/>
        </w:rPr>
        <w:t>电</w:t>
      </w:r>
      <w:r>
        <w:rPr>
          <w:rFonts w:hint="eastAsia"/>
          <w:strike/>
          <w:color w:val="auto"/>
          <w:sz w:val="21"/>
          <w:highlight w:val="none"/>
        </w:rPr>
        <w:tab/>
      </w:r>
      <w:r>
        <w:rPr>
          <w:rFonts w:hint="eastAsia"/>
          <w:strike/>
          <w:color w:val="auto"/>
          <w:spacing w:val="-3"/>
          <w:sz w:val="21"/>
          <w:highlight w:val="none"/>
        </w:rPr>
        <w:t>话</w:t>
      </w:r>
      <w:r>
        <w:rPr>
          <w:rFonts w:hint="eastAsia"/>
          <w:strike/>
          <w:color w:val="auto"/>
          <w:sz w:val="21"/>
          <w:highlight w:val="none"/>
        </w:rPr>
        <w:t>：</w:t>
      </w:r>
      <w:r>
        <w:rPr>
          <w:rFonts w:hint="eastAsia"/>
          <w:strike/>
          <w:color w:val="auto"/>
          <w:sz w:val="21"/>
          <w:highlight w:val="none"/>
          <w:u w:val="single"/>
        </w:rPr>
        <w:t xml:space="preserve"> </w:t>
      </w:r>
      <w:r>
        <w:rPr>
          <w:rFonts w:hint="eastAsia"/>
          <w:strike/>
          <w:color w:val="auto"/>
          <w:sz w:val="21"/>
          <w:highlight w:val="none"/>
          <w:u w:val="single"/>
        </w:rPr>
        <w:tab/>
      </w:r>
    </w:p>
    <w:p w14:paraId="7B9DB1F3">
      <w:pPr>
        <w:kinsoku w:val="0"/>
        <w:overflowPunct w:val="0"/>
        <w:spacing w:before="7" w:beforeLines="0" w:afterLines="0" w:line="160" w:lineRule="exact"/>
        <w:rPr>
          <w:rFonts w:hint="default"/>
          <w:strike/>
          <w:color w:val="auto"/>
          <w:sz w:val="16"/>
          <w:highlight w:val="none"/>
        </w:rPr>
      </w:pPr>
    </w:p>
    <w:p w14:paraId="1F23C2E1">
      <w:pPr>
        <w:kinsoku w:val="0"/>
        <w:overflowPunct w:val="0"/>
        <w:spacing w:beforeLines="0" w:afterLines="0" w:line="200" w:lineRule="exact"/>
        <w:rPr>
          <w:rFonts w:hint="default"/>
          <w:strike/>
          <w:color w:val="auto"/>
          <w:sz w:val="20"/>
          <w:highlight w:val="none"/>
        </w:rPr>
      </w:pPr>
    </w:p>
    <w:p w14:paraId="5B6593CD">
      <w:pPr>
        <w:kinsoku w:val="0"/>
        <w:overflowPunct w:val="0"/>
        <w:spacing w:beforeLines="0" w:afterLines="0" w:line="200" w:lineRule="exact"/>
        <w:rPr>
          <w:rFonts w:hint="default"/>
          <w:strike/>
          <w:color w:val="auto"/>
          <w:sz w:val="20"/>
          <w:highlight w:val="none"/>
        </w:rPr>
      </w:pPr>
    </w:p>
    <w:p w14:paraId="6D04887F">
      <w:pPr>
        <w:pStyle w:val="2"/>
        <w:tabs>
          <w:tab w:val="left" w:pos="6434"/>
          <w:tab w:val="left" w:pos="7483"/>
          <w:tab w:val="left" w:pos="8533"/>
        </w:tabs>
        <w:kinsoku w:val="0"/>
        <w:overflowPunct w:val="0"/>
        <w:spacing w:before="1" w:beforeLines="0" w:afterLines="0"/>
        <w:ind w:left="5592"/>
        <w:rPr>
          <w:rFonts w:hint="eastAsia"/>
          <w:strike/>
          <w:color w:val="auto"/>
          <w:sz w:val="21"/>
          <w:highlight w:val="none"/>
        </w:rPr>
      </w:pPr>
      <w:r>
        <w:rPr>
          <w:rFonts w:hint="eastAsia"/>
          <w:strike/>
          <w:color w:val="auto"/>
          <w:sz w:val="21"/>
          <w:highlight w:val="none"/>
          <w:u w:val="single"/>
        </w:rPr>
        <w:t xml:space="preserve"> </w:t>
      </w:r>
      <w:r>
        <w:rPr>
          <w:rFonts w:hint="eastAsia"/>
          <w:strike/>
          <w:color w:val="auto"/>
          <w:sz w:val="21"/>
          <w:highlight w:val="none"/>
          <w:u w:val="single"/>
        </w:rPr>
        <w:tab/>
      </w:r>
      <w:r>
        <w:rPr>
          <w:rFonts w:hint="eastAsia"/>
          <w:strike/>
          <w:color w:val="auto"/>
          <w:spacing w:val="-3"/>
          <w:sz w:val="21"/>
          <w:highlight w:val="none"/>
        </w:rPr>
        <w:t>年</w:t>
      </w:r>
      <w:r>
        <w:rPr>
          <w:rFonts w:hint="eastAsia"/>
          <w:strike/>
          <w:color w:val="auto"/>
          <w:spacing w:val="-3"/>
          <w:sz w:val="21"/>
          <w:highlight w:val="none"/>
          <w:u w:val="single"/>
        </w:rPr>
        <w:tab/>
      </w:r>
      <w:r>
        <w:rPr>
          <w:rFonts w:hint="eastAsia"/>
          <w:strike/>
          <w:color w:val="auto"/>
          <w:sz w:val="21"/>
          <w:highlight w:val="none"/>
        </w:rPr>
        <w:t>月</w:t>
      </w:r>
      <w:r>
        <w:rPr>
          <w:rFonts w:hint="eastAsia"/>
          <w:strike/>
          <w:color w:val="auto"/>
          <w:sz w:val="21"/>
          <w:highlight w:val="none"/>
          <w:u w:val="single"/>
        </w:rPr>
        <w:tab/>
      </w:r>
      <w:r>
        <w:rPr>
          <w:rFonts w:hint="eastAsia"/>
          <w:strike/>
          <w:color w:val="auto"/>
          <w:sz w:val="21"/>
          <w:highlight w:val="none"/>
        </w:rPr>
        <w:t>日</w:t>
      </w:r>
    </w:p>
    <w:p w14:paraId="13C7CB71">
      <w:pPr>
        <w:pStyle w:val="2"/>
        <w:tabs>
          <w:tab w:val="left" w:pos="6434"/>
          <w:tab w:val="left" w:pos="7483"/>
          <w:tab w:val="left" w:pos="8533"/>
        </w:tabs>
        <w:kinsoku w:val="0"/>
        <w:overflowPunct w:val="0"/>
        <w:spacing w:before="1" w:beforeLines="0" w:afterLines="0"/>
        <w:ind w:left="5592"/>
        <w:rPr>
          <w:rFonts w:hint="eastAsia"/>
          <w:strike w:val="0"/>
          <w:color w:val="auto"/>
          <w:sz w:val="21"/>
          <w:highlight w:val="none"/>
        </w:rPr>
        <w:sectPr>
          <w:pgSz w:w="11850" w:h="16840"/>
          <w:pgMar w:top="1380" w:right="1680" w:bottom="1120" w:left="1700" w:header="0" w:footer="921" w:gutter="0"/>
          <w:lnNumType w:countBy="0" w:distance="360"/>
          <w:pgNumType w:fmt="decimal"/>
          <w:cols w:space="720" w:num="1"/>
        </w:sectPr>
      </w:pPr>
    </w:p>
    <w:p w14:paraId="5C81341B">
      <w:pPr>
        <w:spacing w:line="440" w:lineRule="exact"/>
        <w:rPr>
          <w:color w:val="auto"/>
          <w:highlight w:val="none"/>
        </w:rPr>
      </w:pPr>
    </w:p>
    <w:p w14:paraId="59A3A366">
      <w:pPr>
        <w:pStyle w:val="5"/>
        <w:bidi w:val="0"/>
        <w:jc w:val="center"/>
        <w:rPr>
          <w:rFonts w:hint="eastAsia" w:ascii="Times New Roman" w:hAnsi="Times New Roman" w:eastAsia="宋体"/>
          <w:color w:val="auto"/>
          <w:highlight w:val="none"/>
          <w:lang w:eastAsia="zh-CN"/>
        </w:rPr>
      </w:pPr>
      <w:bookmarkStart w:id="368" w:name="_Toc15855"/>
      <w:bookmarkStart w:id="369" w:name="_Toc27959"/>
      <w:bookmarkStart w:id="370" w:name="_Toc10439"/>
      <w:bookmarkStart w:id="371" w:name="_Toc12506"/>
      <w:bookmarkStart w:id="372" w:name="_Toc29820"/>
      <w:bookmarkStart w:id="373" w:name="_Toc32433"/>
      <w:bookmarkStart w:id="374" w:name="_Toc5141"/>
      <w:bookmarkStart w:id="375" w:name="_Toc5061"/>
      <w:bookmarkStart w:id="376" w:name="_Toc23399"/>
      <w:bookmarkStart w:id="377" w:name="_Toc4826"/>
      <w:r>
        <w:rPr>
          <w:rFonts w:hint="eastAsia" w:ascii="宋体" w:hAnsi="宋体" w:eastAsia="宋体" w:cs="宋体"/>
          <w:b/>
          <w:bCs w:val="0"/>
          <w:color w:val="auto"/>
          <w:sz w:val="28"/>
          <w:szCs w:val="28"/>
          <w:highlight w:val="none"/>
          <w:lang w:eastAsia="zh-CN"/>
        </w:rPr>
        <w:t>六</w:t>
      </w:r>
      <w:r>
        <w:rPr>
          <w:rFonts w:hint="eastAsia" w:ascii="宋体" w:hAnsi="宋体" w:eastAsia="宋体" w:cs="宋体"/>
          <w:b/>
          <w:bCs w:val="0"/>
          <w:color w:val="auto"/>
          <w:sz w:val="28"/>
          <w:szCs w:val="28"/>
          <w:highlight w:val="none"/>
        </w:rPr>
        <w:t>、监理报酬清单</w:t>
      </w:r>
      <w:bookmarkEnd w:id="368"/>
      <w:bookmarkEnd w:id="369"/>
      <w:bookmarkEnd w:id="370"/>
      <w:bookmarkEnd w:id="371"/>
      <w:bookmarkEnd w:id="372"/>
      <w:bookmarkEnd w:id="373"/>
      <w:bookmarkEnd w:id="374"/>
      <w:bookmarkEnd w:id="375"/>
      <w:bookmarkEnd w:id="376"/>
      <w:r>
        <w:rPr>
          <w:rFonts w:hint="eastAsia" w:ascii="宋体" w:hAnsi="宋体" w:eastAsia="宋体" w:cs="宋体"/>
          <w:b/>
          <w:bCs w:val="0"/>
          <w:color w:val="auto"/>
          <w:sz w:val="28"/>
          <w:szCs w:val="28"/>
          <w:highlight w:val="none"/>
          <w:lang w:eastAsia="zh-CN"/>
        </w:rPr>
        <w:t>（格式一）</w:t>
      </w:r>
      <w:bookmarkEnd w:id="377"/>
    </w:p>
    <w:p w14:paraId="7C509E42">
      <w:pPr>
        <w:spacing w:line="440" w:lineRule="exact"/>
        <w:rPr>
          <w:rFonts w:ascii="宋体"/>
          <w:color w:val="auto"/>
          <w:szCs w:val="21"/>
          <w:highlight w:val="none"/>
        </w:rPr>
      </w:pPr>
      <w:r>
        <w:rPr>
          <w:rFonts w:ascii="宋体" w:hAnsi="宋体"/>
          <w:color w:val="auto"/>
          <w:szCs w:val="21"/>
          <w:highlight w:val="none"/>
        </w:rPr>
        <w:t xml:space="preserve">1. </w:t>
      </w:r>
      <w:r>
        <w:rPr>
          <w:rFonts w:hint="eastAsia" w:ascii="宋体" w:hAnsi="宋体"/>
          <w:color w:val="auto"/>
          <w:szCs w:val="21"/>
          <w:highlight w:val="none"/>
        </w:rPr>
        <w:t>监理报酬清单说明</w:t>
      </w:r>
    </w:p>
    <w:p w14:paraId="317BCB4F">
      <w:pPr>
        <w:spacing w:line="440" w:lineRule="exact"/>
        <w:rPr>
          <w:rFonts w:ascii="宋体"/>
          <w:color w:val="auto"/>
          <w:szCs w:val="21"/>
          <w:highlight w:val="none"/>
        </w:rPr>
      </w:pPr>
      <w:r>
        <w:rPr>
          <w:rFonts w:ascii="宋体" w:hAnsi="宋体"/>
          <w:color w:val="auto"/>
          <w:szCs w:val="21"/>
          <w:highlight w:val="none"/>
        </w:rPr>
        <w:t xml:space="preserve">2. </w:t>
      </w:r>
      <w:r>
        <w:rPr>
          <w:rFonts w:hint="eastAsia" w:ascii="宋体" w:hAnsi="宋体"/>
          <w:color w:val="auto"/>
          <w:szCs w:val="21"/>
          <w:highlight w:val="none"/>
        </w:rPr>
        <w:t>监理报酬清单</w:t>
      </w:r>
    </w:p>
    <w:p w14:paraId="0929D183">
      <w:pPr>
        <w:spacing w:line="440" w:lineRule="exact"/>
        <w:jc w:val="right"/>
        <w:rPr>
          <w:color w:val="auto"/>
          <w:szCs w:val="21"/>
          <w:highlight w:val="none"/>
        </w:rPr>
      </w:pPr>
      <w:r>
        <w:rPr>
          <w:rFonts w:hint="eastAsia" w:ascii="宋体" w:hAnsi="宋体"/>
          <w:color w:val="auto"/>
          <w:szCs w:val="21"/>
          <w:highlight w:val="none"/>
        </w:rPr>
        <w:t>单位：人民币元</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410"/>
        <w:gridCol w:w="2835"/>
        <w:gridCol w:w="1322"/>
        <w:gridCol w:w="1938"/>
      </w:tblGrid>
      <w:tr w14:paraId="71683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17" w:type="dxa"/>
            <w:noWrap w:val="0"/>
            <w:vAlign w:val="center"/>
          </w:tcPr>
          <w:p w14:paraId="4AF2A00E">
            <w:pPr>
              <w:jc w:val="center"/>
              <w:rPr>
                <w:b/>
                <w:color w:val="auto"/>
                <w:kern w:val="0"/>
                <w:szCs w:val="21"/>
                <w:highlight w:val="none"/>
              </w:rPr>
            </w:pPr>
            <w:r>
              <w:rPr>
                <w:rFonts w:hint="eastAsia"/>
                <w:b/>
                <w:color w:val="auto"/>
                <w:kern w:val="0"/>
                <w:szCs w:val="21"/>
                <w:highlight w:val="none"/>
              </w:rPr>
              <w:t>序号</w:t>
            </w:r>
          </w:p>
        </w:tc>
        <w:tc>
          <w:tcPr>
            <w:tcW w:w="2410" w:type="dxa"/>
            <w:noWrap w:val="0"/>
            <w:vAlign w:val="center"/>
          </w:tcPr>
          <w:p w14:paraId="31F03CC3">
            <w:pPr>
              <w:jc w:val="center"/>
              <w:rPr>
                <w:b/>
                <w:color w:val="auto"/>
                <w:kern w:val="0"/>
                <w:szCs w:val="21"/>
                <w:highlight w:val="none"/>
              </w:rPr>
            </w:pPr>
            <w:r>
              <w:rPr>
                <w:rFonts w:hint="eastAsia"/>
                <w:b/>
                <w:color w:val="auto"/>
                <w:kern w:val="0"/>
                <w:szCs w:val="21"/>
                <w:highlight w:val="none"/>
              </w:rPr>
              <w:t>监理报酬分项名称</w:t>
            </w:r>
          </w:p>
        </w:tc>
        <w:tc>
          <w:tcPr>
            <w:tcW w:w="2835" w:type="dxa"/>
            <w:noWrap w:val="0"/>
            <w:vAlign w:val="center"/>
          </w:tcPr>
          <w:p w14:paraId="001E7A6E">
            <w:pPr>
              <w:jc w:val="center"/>
              <w:rPr>
                <w:b/>
                <w:color w:val="auto"/>
                <w:kern w:val="0"/>
                <w:szCs w:val="21"/>
                <w:highlight w:val="none"/>
              </w:rPr>
            </w:pPr>
            <w:r>
              <w:rPr>
                <w:rFonts w:hint="eastAsia"/>
                <w:b/>
                <w:color w:val="auto"/>
                <w:kern w:val="0"/>
                <w:szCs w:val="21"/>
                <w:highlight w:val="none"/>
              </w:rPr>
              <w:t>计算依据、过程和公式</w:t>
            </w:r>
          </w:p>
        </w:tc>
        <w:tc>
          <w:tcPr>
            <w:tcW w:w="1322" w:type="dxa"/>
            <w:noWrap w:val="0"/>
            <w:vAlign w:val="center"/>
          </w:tcPr>
          <w:p w14:paraId="55F04419">
            <w:pPr>
              <w:jc w:val="center"/>
              <w:rPr>
                <w:b/>
                <w:color w:val="auto"/>
                <w:kern w:val="0"/>
                <w:szCs w:val="21"/>
                <w:highlight w:val="none"/>
              </w:rPr>
            </w:pPr>
            <w:r>
              <w:rPr>
                <w:rFonts w:hint="eastAsia"/>
                <w:b/>
                <w:color w:val="auto"/>
                <w:kern w:val="0"/>
                <w:szCs w:val="21"/>
                <w:highlight w:val="none"/>
              </w:rPr>
              <w:t>金额（元）</w:t>
            </w:r>
          </w:p>
        </w:tc>
        <w:tc>
          <w:tcPr>
            <w:tcW w:w="1938" w:type="dxa"/>
            <w:noWrap w:val="0"/>
            <w:vAlign w:val="center"/>
          </w:tcPr>
          <w:p w14:paraId="25E6E5E9">
            <w:pPr>
              <w:jc w:val="center"/>
              <w:rPr>
                <w:b/>
                <w:color w:val="auto"/>
                <w:kern w:val="0"/>
                <w:szCs w:val="21"/>
                <w:highlight w:val="none"/>
              </w:rPr>
            </w:pPr>
            <w:r>
              <w:rPr>
                <w:rFonts w:hint="eastAsia"/>
                <w:b/>
                <w:color w:val="auto"/>
                <w:kern w:val="0"/>
                <w:szCs w:val="21"/>
                <w:highlight w:val="none"/>
              </w:rPr>
              <w:t>备注</w:t>
            </w:r>
          </w:p>
        </w:tc>
      </w:tr>
      <w:tr w14:paraId="18B05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A0FC255">
            <w:pPr>
              <w:spacing w:line="360" w:lineRule="auto"/>
              <w:jc w:val="center"/>
              <w:rPr>
                <w:rFonts w:ascii="宋体" w:hAnsi="宋体"/>
                <w:color w:val="auto"/>
                <w:highlight w:val="none"/>
              </w:rPr>
            </w:pPr>
            <w:r>
              <w:rPr>
                <w:rFonts w:ascii="宋体" w:hAnsi="宋体"/>
                <w:color w:val="auto"/>
                <w:highlight w:val="none"/>
              </w:rPr>
              <w:t>1</w:t>
            </w:r>
          </w:p>
        </w:tc>
        <w:tc>
          <w:tcPr>
            <w:tcW w:w="2410" w:type="dxa"/>
            <w:noWrap w:val="0"/>
            <w:vAlign w:val="center"/>
          </w:tcPr>
          <w:p w14:paraId="577548B3">
            <w:pPr>
              <w:spacing w:line="360" w:lineRule="auto"/>
              <w:jc w:val="center"/>
              <w:rPr>
                <w:color w:val="auto"/>
                <w:highlight w:val="none"/>
              </w:rPr>
            </w:pPr>
          </w:p>
        </w:tc>
        <w:tc>
          <w:tcPr>
            <w:tcW w:w="2835" w:type="dxa"/>
            <w:noWrap w:val="0"/>
            <w:vAlign w:val="center"/>
          </w:tcPr>
          <w:p w14:paraId="489FC52E">
            <w:pPr>
              <w:spacing w:line="360" w:lineRule="auto"/>
              <w:jc w:val="center"/>
              <w:rPr>
                <w:color w:val="auto"/>
                <w:highlight w:val="none"/>
              </w:rPr>
            </w:pPr>
          </w:p>
        </w:tc>
        <w:tc>
          <w:tcPr>
            <w:tcW w:w="1322" w:type="dxa"/>
            <w:noWrap w:val="0"/>
            <w:vAlign w:val="center"/>
          </w:tcPr>
          <w:p w14:paraId="753172AD">
            <w:pPr>
              <w:spacing w:line="360" w:lineRule="auto"/>
              <w:jc w:val="center"/>
              <w:rPr>
                <w:color w:val="auto"/>
                <w:highlight w:val="none"/>
              </w:rPr>
            </w:pPr>
          </w:p>
        </w:tc>
        <w:tc>
          <w:tcPr>
            <w:tcW w:w="1938" w:type="dxa"/>
            <w:noWrap w:val="0"/>
            <w:vAlign w:val="center"/>
          </w:tcPr>
          <w:p w14:paraId="1D4931D8">
            <w:pPr>
              <w:spacing w:line="360" w:lineRule="auto"/>
              <w:jc w:val="center"/>
              <w:rPr>
                <w:color w:val="auto"/>
                <w:highlight w:val="none"/>
              </w:rPr>
            </w:pPr>
          </w:p>
        </w:tc>
      </w:tr>
      <w:tr w14:paraId="35FAA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4F13177B">
            <w:pPr>
              <w:spacing w:before="100" w:beforeAutospacing="1" w:after="100" w:afterAutospacing="1" w:line="360" w:lineRule="auto"/>
              <w:jc w:val="center"/>
              <w:rPr>
                <w:rFonts w:ascii="宋体" w:hAnsi="宋体"/>
                <w:color w:val="auto"/>
                <w:highlight w:val="none"/>
              </w:rPr>
            </w:pPr>
            <w:r>
              <w:rPr>
                <w:rFonts w:ascii="宋体" w:hAnsi="宋体"/>
                <w:color w:val="auto"/>
                <w:highlight w:val="none"/>
              </w:rPr>
              <w:t>2</w:t>
            </w:r>
          </w:p>
        </w:tc>
        <w:tc>
          <w:tcPr>
            <w:tcW w:w="2410" w:type="dxa"/>
            <w:noWrap w:val="0"/>
            <w:vAlign w:val="center"/>
          </w:tcPr>
          <w:p w14:paraId="132DFFF2">
            <w:pPr>
              <w:spacing w:line="360" w:lineRule="auto"/>
              <w:jc w:val="center"/>
              <w:rPr>
                <w:color w:val="auto"/>
                <w:highlight w:val="none"/>
              </w:rPr>
            </w:pPr>
          </w:p>
        </w:tc>
        <w:tc>
          <w:tcPr>
            <w:tcW w:w="2835" w:type="dxa"/>
            <w:noWrap w:val="0"/>
            <w:vAlign w:val="center"/>
          </w:tcPr>
          <w:p w14:paraId="6FFEC558">
            <w:pPr>
              <w:spacing w:line="360" w:lineRule="auto"/>
              <w:jc w:val="center"/>
              <w:rPr>
                <w:color w:val="auto"/>
                <w:highlight w:val="none"/>
              </w:rPr>
            </w:pPr>
          </w:p>
        </w:tc>
        <w:tc>
          <w:tcPr>
            <w:tcW w:w="1322" w:type="dxa"/>
            <w:noWrap w:val="0"/>
            <w:vAlign w:val="center"/>
          </w:tcPr>
          <w:p w14:paraId="4ED73EA2">
            <w:pPr>
              <w:spacing w:line="360" w:lineRule="auto"/>
              <w:jc w:val="center"/>
              <w:rPr>
                <w:color w:val="auto"/>
                <w:highlight w:val="none"/>
              </w:rPr>
            </w:pPr>
          </w:p>
        </w:tc>
        <w:tc>
          <w:tcPr>
            <w:tcW w:w="1938" w:type="dxa"/>
            <w:noWrap w:val="0"/>
            <w:vAlign w:val="center"/>
          </w:tcPr>
          <w:p w14:paraId="5B4480E7">
            <w:pPr>
              <w:spacing w:line="360" w:lineRule="auto"/>
              <w:jc w:val="center"/>
              <w:rPr>
                <w:color w:val="auto"/>
                <w:highlight w:val="none"/>
              </w:rPr>
            </w:pPr>
          </w:p>
        </w:tc>
      </w:tr>
      <w:tr w14:paraId="2AA4E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10129999">
            <w:pPr>
              <w:spacing w:before="100" w:beforeAutospacing="1" w:after="100" w:afterAutospacing="1" w:line="360" w:lineRule="auto"/>
              <w:jc w:val="center"/>
              <w:rPr>
                <w:rFonts w:ascii="宋体" w:hAnsi="宋体"/>
                <w:color w:val="auto"/>
                <w:highlight w:val="none"/>
              </w:rPr>
            </w:pPr>
            <w:r>
              <w:rPr>
                <w:rFonts w:ascii="宋体" w:hAnsi="宋体"/>
                <w:color w:val="auto"/>
                <w:highlight w:val="none"/>
              </w:rPr>
              <w:t>3</w:t>
            </w:r>
          </w:p>
        </w:tc>
        <w:tc>
          <w:tcPr>
            <w:tcW w:w="2410" w:type="dxa"/>
            <w:noWrap w:val="0"/>
            <w:vAlign w:val="center"/>
          </w:tcPr>
          <w:p w14:paraId="6D02B6E5">
            <w:pPr>
              <w:spacing w:line="360" w:lineRule="auto"/>
              <w:jc w:val="center"/>
              <w:rPr>
                <w:color w:val="auto"/>
                <w:highlight w:val="none"/>
              </w:rPr>
            </w:pPr>
          </w:p>
        </w:tc>
        <w:tc>
          <w:tcPr>
            <w:tcW w:w="2835" w:type="dxa"/>
            <w:noWrap w:val="0"/>
            <w:vAlign w:val="center"/>
          </w:tcPr>
          <w:p w14:paraId="203E2BD0">
            <w:pPr>
              <w:spacing w:line="360" w:lineRule="auto"/>
              <w:jc w:val="center"/>
              <w:rPr>
                <w:color w:val="auto"/>
                <w:highlight w:val="none"/>
              </w:rPr>
            </w:pPr>
          </w:p>
        </w:tc>
        <w:tc>
          <w:tcPr>
            <w:tcW w:w="1322" w:type="dxa"/>
            <w:noWrap w:val="0"/>
            <w:vAlign w:val="center"/>
          </w:tcPr>
          <w:p w14:paraId="485406C3">
            <w:pPr>
              <w:spacing w:line="360" w:lineRule="auto"/>
              <w:jc w:val="center"/>
              <w:rPr>
                <w:color w:val="auto"/>
                <w:highlight w:val="none"/>
              </w:rPr>
            </w:pPr>
          </w:p>
        </w:tc>
        <w:tc>
          <w:tcPr>
            <w:tcW w:w="1938" w:type="dxa"/>
            <w:noWrap w:val="0"/>
            <w:vAlign w:val="center"/>
          </w:tcPr>
          <w:p w14:paraId="05C46466">
            <w:pPr>
              <w:spacing w:line="360" w:lineRule="auto"/>
              <w:jc w:val="center"/>
              <w:rPr>
                <w:color w:val="auto"/>
                <w:highlight w:val="none"/>
              </w:rPr>
            </w:pPr>
          </w:p>
        </w:tc>
      </w:tr>
      <w:tr w14:paraId="6856D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384A44C">
            <w:pPr>
              <w:spacing w:before="100" w:beforeAutospacing="1" w:after="100" w:afterAutospacing="1" w:line="360" w:lineRule="auto"/>
              <w:jc w:val="center"/>
              <w:rPr>
                <w:rFonts w:ascii="宋体" w:hAnsi="宋体"/>
                <w:color w:val="auto"/>
                <w:highlight w:val="none"/>
              </w:rPr>
            </w:pPr>
            <w:r>
              <w:rPr>
                <w:rFonts w:ascii="宋体" w:hAnsi="宋体"/>
                <w:color w:val="auto"/>
                <w:highlight w:val="none"/>
              </w:rPr>
              <w:t>4</w:t>
            </w:r>
          </w:p>
        </w:tc>
        <w:tc>
          <w:tcPr>
            <w:tcW w:w="2410" w:type="dxa"/>
            <w:noWrap w:val="0"/>
            <w:vAlign w:val="center"/>
          </w:tcPr>
          <w:p w14:paraId="30FC57FC">
            <w:pPr>
              <w:spacing w:line="360" w:lineRule="auto"/>
              <w:jc w:val="center"/>
              <w:rPr>
                <w:color w:val="auto"/>
                <w:highlight w:val="none"/>
              </w:rPr>
            </w:pPr>
          </w:p>
        </w:tc>
        <w:tc>
          <w:tcPr>
            <w:tcW w:w="2835" w:type="dxa"/>
            <w:noWrap w:val="0"/>
            <w:vAlign w:val="center"/>
          </w:tcPr>
          <w:p w14:paraId="4EBB7A92">
            <w:pPr>
              <w:spacing w:line="360" w:lineRule="auto"/>
              <w:jc w:val="center"/>
              <w:rPr>
                <w:color w:val="auto"/>
                <w:highlight w:val="none"/>
              </w:rPr>
            </w:pPr>
          </w:p>
        </w:tc>
        <w:tc>
          <w:tcPr>
            <w:tcW w:w="1322" w:type="dxa"/>
            <w:noWrap w:val="0"/>
            <w:vAlign w:val="center"/>
          </w:tcPr>
          <w:p w14:paraId="62A71912">
            <w:pPr>
              <w:spacing w:line="360" w:lineRule="auto"/>
              <w:jc w:val="center"/>
              <w:rPr>
                <w:color w:val="auto"/>
                <w:highlight w:val="none"/>
              </w:rPr>
            </w:pPr>
          </w:p>
        </w:tc>
        <w:tc>
          <w:tcPr>
            <w:tcW w:w="1938" w:type="dxa"/>
            <w:noWrap w:val="0"/>
            <w:vAlign w:val="center"/>
          </w:tcPr>
          <w:p w14:paraId="5D8B3076">
            <w:pPr>
              <w:spacing w:line="360" w:lineRule="auto"/>
              <w:jc w:val="center"/>
              <w:rPr>
                <w:color w:val="auto"/>
                <w:highlight w:val="none"/>
              </w:rPr>
            </w:pPr>
          </w:p>
        </w:tc>
      </w:tr>
      <w:tr w14:paraId="27328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055D84C">
            <w:pPr>
              <w:spacing w:before="100" w:beforeAutospacing="1" w:after="100" w:afterAutospacing="1" w:line="360" w:lineRule="auto"/>
              <w:jc w:val="center"/>
              <w:rPr>
                <w:rFonts w:ascii="宋体" w:hAnsi="宋体"/>
                <w:color w:val="auto"/>
                <w:highlight w:val="none"/>
              </w:rPr>
            </w:pPr>
            <w:r>
              <w:rPr>
                <w:rFonts w:ascii="宋体" w:hAnsi="宋体"/>
                <w:color w:val="auto"/>
                <w:highlight w:val="none"/>
              </w:rPr>
              <w:t>5</w:t>
            </w:r>
          </w:p>
        </w:tc>
        <w:tc>
          <w:tcPr>
            <w:tcW w:w="2410" w:type="dxa"/>
            <w:noWrap w:val="0"/>
            <w:vAlign w:val="center"/>
          </w:tcPr>
          <w:p w14:paraId="607666F5">
            <w:pPr>
              <w:spacing w:line="360" w:lineRule="auto"/>
              <w:jc w:val="center"/>
              <w:rPr>
                <w:color w:val="auto"/>
                <w:highlight w:val="none"/>
              </w:rPr>
            </w:pPr>
          </w:p>
        </w:tc>
        <w:tc>
          <w:tcPr>
            <w:tcW w:w="2835" w:type="dxa"/>
            <w:noWrap w:val="0"/>
            <w:vAlign w:val="center"/>
          </w:tcPr>
          <w:p w14:paraId="507CFE3E">
            <w:pPr>
              <w:spacing w:line="360" w:lineRule="auto"/>
              <w:jc w:val="center"/>
              <w:rPr>
                <w:color w:val="auto"/>
                <w:highlight w:val="none"/>
              </w:rPr>
            </w:pPr>
          </w:p>
        </w:tc>
        <w:tc>
          <w:tcPr>
            <w:tcW w:w="1322" w:type="dxa"/>
            <w:noWrap w:val="0"/>
            <w:vAlign w:val="center"/>
          </w:tcPr>
          <w:p w14:paraId="742792DB">
            <w:pPr>
              <w:spacing w:line="360" w:lineRule="auto"/>
              <w:jc w:val="center"/>
              <w:rPr>
                <w:color w:val="auto"/>
                <w:highlight w:val="none"/>
              </w:rPr>
            </w:pPr>
          </w:p>
        </w:tc>
        <w:tc>
          <w:tcPr>
            <w:tcW w:w="1938" w:type="dxa"/>
            <w:noWrap w:val="0"/>
            <w:vAlign w:val="center"/>
          </w:tcPr>
          <w:p w14:paraId="4CAA69D3">
            <w:pPr>
              <w:spacing w:line="360" w:lineRule="auto"/>
              <w:jc w:val="center"/>
              <w:rPr>
                <w:color w:val="auto"/>
                <w:highlight w:val="none"/>
              </w:rPr>
            </w:pPr>
          </w:p>
        </w:tc>
      </w:tr>
      <w:tr w14:paraId="1149B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F923A99">
            <w:pPr>
              <w:jc w:val="center"/>
              <w:rPr>
                <w:color w:val="auto"/>
                <w:kern w:val="0"/>
                <w:szCs w:val="21"/>
                <w:highlight w:val="none"/>
              </w:rPr>
            </w:pPr>
            <w:r>
              <w:rPr>
                <w:color w:val="auto"/>
                <w:kern w:val="0"/>
                <w:szCs w:val="21"/>
                <w:highlight w:val="none"/>
              </w:rPr>
              <w:t>……</w:t>
            </w:r>
          </w:p>
        </w:tc>
        <w:tc>
          <w:tcPr>
            <w:tcW w:w="2410" w:type="dxa"/>
            <w:noWrap w:val="0"/>
            <w:vAlign w:val="center"/>
          </w:tcPr>
          <w:p w14:paraId="53A969F1">
            <w:pPr>
              <w:jc w:val="center"/>
              <w:rPr>
                <w:color w:val="auto"/>
                <w:kern w:val="0"/>
                <w:szCs w:val="21"/>
                <w:highlight w:val="none"/>
              </w:rPr>
            </w:pPr>
            <w:r>
              <w:rPr>
                <w:color w:val="auto"/>
                <w:kern w:val="0"/>
                <w:szCs w:val="21"/>
                <w:highlight w:val="none"/>
              </w:rPr>
              <w:t>……</w:t>
            </w:r>
          </w:p>
        </w:tc>
        <w:tc>
          <w:tcPr>
            <w:tcW w:w="2835" w:type="dxa"/>
            <w:noWrap w:val="0"/>
            <w:vAlign w:val="center"/>
          </w:tcPr>
          <w:p w14:paraId="4779EBB6">
            <w:pPr>
              <w:spacing w:line="360" w:lineRule="auto"/>
              <w:jc w:val="center"/>
              <w:rPr>
                <w:color w:val="auto"/>
                <w:highlight w:val="none"/>
              </w:rPr>
            </w:pPr>
          </w:p>
        </w:tc>
        <w:tc>
          <w:tcPr>
            <w:tcW w:w="1322" w:type="dxa"/>
            <w:noWrap w:val="0"/>
            <w:vAlign w:val="center"/>
          </w:tcPr>
          <w:p w14:paraId="610B700E">
            <w:pPr>
              <w:spacing w:line="360" w:lineRule="auto"/>
              <w:jc w:val="center"/>
              <w:rPr>
                <w:color w:val="auto"/>
                <w:highlight w:val="none"/>
              </w:rPr>
            </w:pPr>
          </w:p>
        </w:tc>
        <w:tc>
          <w:tcPr>
            <w:tcW w:w="1938" w:type="dxa"/>
            <w:noWrap w:val="0"/>
            <w:vAlign w:val="center"/>
          </w:tcPr>
          <w:p w14:paraId="33C74A0F">
            <w:pPr>
              <w:spacing w:line="360" w:lineRule="auto"/>
              <w:jc w:val="center"/>
              <w:rPr>
                <w:color w:val="auto"/>
                <w:highlight w:val="none"/>
              </w:rPr>
            </w:pPr>
          </w:p>
        </w:tc>
      </w:tr>
      <w:tr w14:paraId="0D406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gridSpan w:val="3"/>
            <w:noWrap w:val="0"/>
            <w:vAlign w:val="center"/>
          </w:tcPr>
          <w:p w14:paraId="4728F7FE">
            <w:pPr>
              <w:jc w:val="center"/>
              <w:rPr>
                <w:b/>
                <w:color w:val="auto"/>
                <w:kern w:val="0"/>
                <w:szCs w:val="21"/>
                <w:highlight w:val="none"/>
              </w:rPr>
            </w:pPr>
            <w:r>
              <w:rPr>
                <w:rFonts w:hint="eastAsia"/>
                <w:b/>
                <w:color w:val="auto"/>
                <w:kern w:val="0"/>
                <w:szCs w:val="21"/>
                <w:highlight w:val="none"/>
              </w:rPr>
              <w:t>合计报价</w:t>
            </w:r>
          </w:p>
        </w:tc>
        <w:tc>
          <w:tcPr>
            <w:tcW w:w="1322" w:type="dxa"/>
            <w:noWrap w:val="0"/>
            <w:vAlign w:val="center"/>
          </w:tcPr>
          <w:p w14:paraId="01E213CE">
            <w:pPr>
              <w:spacing w:line="360" w:lineRule="auto"/>
              <w:jc w:val="center"/>
              <w:rPr>
                <w:color w:val="auto"/>
                <w:highlight w:val="none"/>
              </w:rPr>
            </w:pPr>
          </w:p>
        </w:tc>
        <w:tc>
          <w:tcPr>
            <w:tcW w:w="1938" w:type="dxa"/>
            <w:noWrap w:val="0"/>
            <w:vAlign w:val="center"/>
          </w:tcPr>
          <w:p w14:paraId="0036DD26">
            <w:pPr>
              <w:spacing w:line="360" w:lineRule="auto"/>
              <w:jc w:val="center"/>
              <w:rPr>
                <w:color w:val="auto"/>
                <w:highlight w:val="none"/>
              </w:rPr>
            </w:pPr>
          </w:p>
        </w:tc>
      </w:tr>
      <w:tr w14:paraId="0CFB6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gridSpan w:val="3"/>
            <w:noWrap w:val="0"/>
            <w:vAlign w:val="center"/>
          </w:tcPr>
          <w:p w14:paraId="0605739D">
            <w:pPr>
              <w:jc w:val="center"/>
              <w:rPr>
                <w:b/>
                <w:color w:val="auto"/>
                <w:kern w:val="0"/>
                <w:szCs w:val="21"/>
                <w:highlight w:val="none"/>
              </w:rPr>
            </w:pPr>
            <w:r>
              <w:rPr>
                <w:rFonts w:hint="eastAsia" w:ascii="宋体" w:hAnsi="宋体"/>
                <w:color w:val="auto"/>
                <w:szCs w:val="21"/>
                <w:highlight w:val="none"/>
              </w:rPr>
              <w:t>监理费率</w:t>
            </w:r>
          </w:p>
        </w:tc>
        <w:tc>
          <w:tcPr>
            <w:tcW w:w="3260" w:type="dxa"/>
            <w:gridSpan w:val="2"/>
            <w:noWrap w:val="0"/>
            <w:vAlign w:val="center"/>
          </w:tcPr>
          <w:p w14:paraId="296ABBCC">
            <w:pPr>
              <w:spacing w:line="360" w:lineRule="auto"/>
              <w:jc w:val="center"/>
              <w:rPr>
                <w:color w:val="auto"/>
                <w:highlight w:val="none"/>
              </w:rPr>
            </w:pPr>
          </w:p>
        </w:tc>
      </w:tr>
    </w:tbl>
    <w:p w14:paraId="5BD17C62">
      <w:pPr>
        <w:spacing w:line="440" w:lineRule="exact"/>
        <w:rPr>
          <w:rFonts w:hint="eastAsia" w:ascii="楷体_GB2312" w:hAnsi="楷体_GB2312" w:eastAsia="楷体_GB2312" w:cs="楷体_GB2312"/>
          <w:color w:val="auto"/>
          <w:kern w:val="2"/>
          <w:sz w:val="21"/>
          <w:szCs w:val="24"/>
          <w:highlight w:val="none"/>
          <w:lang w:val="en-US" w:eastAsia="zh-CN" w:bidi="ar-SA"/>
        </w:rPr>
      </w:pPr>
      <w:r>
        <w:rPr>
          <w:rFonts w:hint="eastAsia" w:ascii="楷体_GB2312" w:hAnsi="楷体_GB2312" w:eastAsia="楷体_GB2312" w:cs="楷体_GB2312"/>
          <w:color w:val="auto"/>
          <w:kern w:val="2"/>
          <w:sz w:val="21"/>
          <w:szCs w:val="24"/>
          <w:highlight w:val="none"/>
          <w:lang w:val="en-US" w:eastAsia="zh-CN" w:bidi="ar-SA"/>
        </w:rPr>
        <w:t>注：1.监理报酬报价总金额不能超过最高投标限总价，并按此计算监理费率[监理费率=（监理总报价/暂定工程费）×100%]，监理费率在监理费结算时不予调整。</w:t>
      </w:r>
    </w:p>
    <w:p w14:paraId="238EF3A2">
      <w:pPr>
        <w:numPr>
          <w:ilvl w:val="0"/>
          <w:numId w:val="3"/>
        </w:numPr>
        <w:spacing w:line="440" w:lineRule="exact"/>
        <w:ind w:left="0" w:leftChars="0" w:firstLine="420" w:firstLineChars="200"/>
        <w:rPr>
          <w:rFonts w:hint="eastAsia" w:ascii="楷体_GB2312" w:hAnsi="楷体_GB2312" w:eastAsia="楷体_GB2312" w:cs="楷体_GB2312"/>
          <w:color w:val="auto"/>
          <w:kern w:val="2"/>
          <w:sz w:val="21"/>
          <w:szCs w:val="24"/>
          <w:highlight w:val="none"/>
          <w:lang w:val="en-US" w:eastAsia="zh-CN" w:bidi="ar-SA"/>
        </w:rPr>
      </w:pPr>
      <w:r>
        <w:rPr>
          <w:rFonts w:hint="eastAsia" w:ascii="楷体_GB2312" w:hAnsi="楷体_GB2312" w:eastAsia="楷体_GB2312" w:cs="楷体_GB2312"/>
          <w:color w:val="auto"/>
          <w:kern w:val="2"/>
          <w:sz w:val="21"/>
          <w:szCs w:val="24"/>
          <w:highlight w:val="none"/>
          <w:lang w:val="en-US" w:eastAsia="zh-CN" w:bidi="ar-SA"/>
        </w:rPr>
        <w:t>报价以元为单位，报价和监理费率均保留两位小数，第三位小数四舍五入。</w:t>
      </w:r>
    </w:p>
    <w:p w14:paraId="0AE83AA2">
      <w:pPr>
        <w:pStyle w:val="5"/>
        <w:jc w:val="center"/>
        <w:outlineLvl w:val="1"/>
        <w:rPr>
          <w:rFonts w:hint="eastAsia" w:ascii="宋体" w:hAnsi="宋体" w:eastAsia="宋体" w:cs="宋体"/>
          <w:b/>
          <w:bCs w:val="0"/>
          <w:color w:val="auto"/>
          <w:sz w:val="28"/>
          <w:szCs w:val="28"/>
          <w:highlight w:val="none"/>
          <w:lang w:eastAsia="zh-CN"/>
        </w:rPr>
      </w:pPr>
      <w:bookmarkStart w:id="378" w:name="_Toc22758"/>
    </w:p>
    <w:p w14:paraId="06F3CE6A">
      <w:pPr>
        <w:rPr>
          <w:rFonts w:hint="eastAsia" w:ascii="宋体" w:hAnsi="宋体" w:eastAsia="宋体" w:cs="宋体"/>
          <w:b/>
          <w:bCs w:val="0"/>
          <w:color w:val="auto"/>
          <w:sz w:val="28"/>
          <w:szCs w:val="28"/>
          <w:highlight w:val="none"/>
          <w:lang w:eastAsia="zh-CN"/>
        </w:rPr>
      </w:pPr>
    </w:p>
    <w:p w14:paraId="7F98225D">
      <w:pPr>
        <w:pStyle w:val="12"/>
        <w:rPr>
          <w:rFonts w:hint="eastAsia" w:ascii="宋体" w:hAnsi="宋体" w:eastAsia="宋体" w:cs="宋体"/>
          <w:b/>
          <w:bCs w:val="0"/>
          <w:color w:val="auto"/>
          <w:sz w:val="28"/>
          <w:szCs w:val="28"/>
          <w:highlight w:val="none"/>
          <w:lang w:eastAsia="zh-CN"/>
        </w:rPr>
      </w:pPr>
    </w:p>
    <w:p w14:paraId="17483B5E">
      <w:pPr>
        <w:rPr>
          <w:rFonts w:hint="eastAsia" w:ascii="宋体" w:hAnsi="宋体" w:eastAsia="宋体" w:cs="宋体"/>
          <w:b/>
          <w:bCs w:val="0"/>
          <w:color w:val="auto"/>
          <w:sz w:val="28"/>
          <w:szCs w:val="28"/>
          <w:highlight w:val="none"/>
          <w:lang w:eastAsia="zh-CN"/>
        </w:rPr>
      </w:pPr>
    </w:p>
    <w:p w14:paraId="236F9F29">
      <w:pPr>
        <w:pStyle w:val="12"/>
        <w:rPr>
          <w:rFonts w:hint="eastAsia" w:ascii="宋体" w:hAnsi="宋体" w:eastAsia="宋体" w:cs="宋体"/>
          <w:b/>
          <w:bCs w:val="0"/>
          <w:color w:val="auto"/>
          <w:sz w:val="28"/>
          <w:szCs w:val="28"/>
          <w:highlight w:val="none"/>
          <w:lang w:eastAsia="zh-CN"/>
        </w:rPr>
      </w:pPr>
    </w:p>
    <w:p w14:paraId="4E346F8A">
      <w:pPr>
        <w:rPr>
          <w:rFonts w:hint="eastAsia" w:ascii="宋体" w:hAnsi="宋体" w:eastAsia="宋体" w:cs="宋体"/>
          <w:b/>
          <w:bCs w:val="0"/>
          <w:color w:val="auto"/>
          <w:sz w:val="28"/>
          <w:szCs w:val="28"/>
          <w:highlight w:val="none"/>
          <w:lang w:eastAsia="zh-CN"/>
        </w:rPr>
      </w:pPr>
    </w:p>
    <w:p w14:paraId="135D7BF3">
      <w:pPr>
        <w:pStyle w:val="12"/>
        <w:rPr>
          <w:rFonts w:hint="eastAsia" w:ascii="宋体" w:hAnsi="宋体" w:eastAsia="宋体" w:cs="宋体"/>
          <w:b/>
          <w:bCs w:val="0"/>
          <w:color w:val="auto"/>
          <w:sz w:val="28"/>
          <w:szCs w:val="28"/>
          <w:highlight w:val="none"/>
          <w:lang w:eastAsia="zh-CN"/>
        </w:rPr>
      </w:pPr>
    </w:p>
    <w:p w14:paraId="7403C666">
      <w:pPr>
        <w:rPr>
          <w:rFonts w:hint="eastAsia"/>
          <w:color w:val="auto"/>
          <w:highlight w:val="none"/>
          <w:lang w:eastAsia="zh-CN"/>
        </w:rPr>
      </w:pPr>
    </w:p>
    <w:p w14:paraId="0CC1378C">
      <w:pPr>
        <w:pStyle w:val="5"/>
        <w:jc w:val="center"/>
        <w:outlineLvl w:val="1"/>
        <w:rPr>
          <w:rFonts w:hint="eastAsia" w:ascii="宋体" w:hAnsi="宋体" w:eastAsia="宋体" w:cs="宋体"/>
          <w:b/>
          <w:bCs w:val="0"/>
          <w:color w:val="auto"/>
          <w:sz w:val="28"/>
          <w:szCs w:val="28"/>
          <w:highlight w:val="none"/>
          <w:lang w:eastAsia="zh-CN"/>
        </w:rPr>
      </w:pPr>
    </w:p>
    <w:p w14:paraId="783DEE13">
      <w:pPr>
        <w:rPr>
          <w:rFonts w:hint="eastAsia" w:ascii="宋体" w:hAnsi="宋体" w:eastAsia="宋体" w:cs="宋体"/>
          <w:b/>
          <w:bCs w:val="0"/>
          <w:color w:val="auto"/>
          <w:sz w:val="28"/>
          <w:szCs w:val="28"/>
          <w:highlight w:val="none"/>
          <w:lang w:eastAsia="zh-CN"/>
        </w:rPr>
      </w:pPr>
    </w:p>
    <w:p w14:paraId="3710A1C4">
      <w:pPr>
        <w:pStyle w:val="2"/>
        <w:rPr>
          <w:rFonts w:hint="eastAsia" w:ascii="宋体" w:hAnsi="宋体" w:eastAsia="宋体" w:cs="宋体"/>
          <w:b/>
          <w:bCs w:val="0"/>
          <w:color w:val="auto"/>
          <w:sz w:val="28"/>
          <w:szCs w:val="28"/>
          <w:highlight w:val="none"/>
          <w:lang w:eastAsia="zh-CN"/>
        </w:rPr>
      </w:pPr>
    </w:p>
    <w:p w14:paraId="3AE40374">
      <w:pPr>
        <w:pStyle w:val="2"/>
        <w:rPr>
          <w:rFonts w:hint="eastAsia" w:ascii="宋体" w:hAnsi="宋体" w:eastAsia="宋体" w:cs="宋体"/>
          <w:b/>
          <w:bCs w:val="0"/>
          <w:color w:val="auto"/>
          <w:sz w:val="28"/>
          <w:szCs w:val="28"/>
          <w:highlight w:val="none"/>
          <w:lang w:eastAsia="zh-CN"/>
        </w:rPr>
      </w:pPr>
    </w:p>
    <w:p w14:paraId="7F4F03B9">
      <w:pPr>
        <w:pStyle w:val="2"/>
        <w:rPr>
          <w:rFonts w:hint="eastAsia" w:ascii="宋体" w:hAnsi="宋体" w:eastAsia="宋体" w:cs="宋体"/>
          <w:b/>
          <w:bCs w:val="0"/>
          <w:color w:val="auto"/>
          <w:sz w:val="28"/>
          <w:szCs w:val="28"/>
          <w:highlight w:val="none"/>
          <w:lang w:eastAsia="zh-CN"/>
        </w:rPr>
      </w:pPr>
    </w:p>
    <w:p w14:paraId="49346438">
      <w:pPr>
        <w:pStyle w:val="2"/>
        <w:rPr>
          <w:rFonts w:hint="eastAsia" w:ascii="宋体" w:hAnsi="宋体" w:eastAsia="宋体" w:cs="宋体"/>
          <w:b/>
          <w:bCs w:val="0"/>
          <w:color w:val="auto"/>
          <w:sz w:val="28"/>
          <w:szCs w:val="28"/>
          <w:highlight w:val="none"/>
          <w:lang w:eastAsia="zh-CN"/>
        </w:rPr>
      </w:pPr>
    </w:p>
    <w:p w14:paraId="304980A8">
      <w:pPr>
        <w:pStyle w:val="5"/>
        <w:jc w:val="center"/>
        <w:outlineLvl w:val="1"/>
        <w:rPr>
          <w:rFonts w:hint="eastAsia" w:eastAsia="宋体"/>
          <w:color w:val="auto"/>
          <w:sz w:val="28"/>
          <w:szCs w:val="24"/>
          <w:highlight w:val="none"/>
          <w:lang w:eastAsia="zh-CN"/>
        </w:rPr>
      </w:pPr>
      <w:bookmarkStart w:id="379" w:name="_Toc20116"/>
      <w:r>
        <w:rPr>
          <w:rFonts w:hint="eastAsia" w:ascii="宋体" w:hAnsi="宋体" w:eastAsia="宋体" w:cs="宋体"/>
          <w:b/>
          <w:bCs w:val="0"/>
          <w:color w:val="auto"/>
          <w:sz w:val="28"/>
          <w:szCs w:val="28"/>
          <w:highlight w:val="none"/>
          <w:lang w:eastAsia="zh-CN"/>
        </w:rPr>
        <w:t>六</w:t>
      </w:r>
      <w:r>
        <w:rPr>
          <w:rFonts w:hint="default" w:ascii="宋体" w:hAnsi="宋体" w:eastAsia="宋体" w:cs="宋体"/>
          <w:b/>
          <w:bCs w:val="0"/>
          <w:color w:val="auto"/>
          <w:sz w:val="28"/>
          <w:szCs w:val="28"/>
          <w:highlight w:val="none"/>
        </w:rPr>
        <w:t>、监理报酬清单</w:t>
      </w:r>
      <w:bookmarkEnd w:id="378"/>
      <w:r>
        <w:rPr>
          <w:rFonts w:hint="eastAsia" w:ascii="宋体" w:hAnsi="宋体" w:eastAsia="宋体" w:cs="宋体"/>
          <w:b/>
          <w:bCs w:val="0"/>
          <w:color w:val="auto"/>
          <w:sz w:val="28"/>
          <w:szCs w:val="28"/>
          <w:highlight w:val="none"/>
          <w:lang w:eastAsia="zh-CN"/>
        </w:rPr>
        <w:t>（</w:t>
      </w:r>
      <w:r>
        <w:rPr>
          <w:rFonts w:hint="eastAsia" w:ascii="宋体" w:hAnsi="宋体" w:eastAsia="宋体" w:cs="宋体"/>
          <w:b/>
          <w:bCs w:val="0"/>
          <w:color w:val="auto"/>
          <w:sz w:val="28"/>
          <w:szCs w:val="28"/>
          <w:highlight w:val="none"/>
          <w:lang w:val="en-US" w:eastAsia="zh-CN"/>
        </w:rPr>
        <w:t>格式二</w:t>
      </w:r>
      <w:r>
        <w:rPr>
          <w:rFonts w:hint="eastAsia" w:ascii="宋体" w:hAnsi="宋体" w:eastAsia="宋体" w:cs="宋体"/>
          <w:b/>
          <w:bCs w:val="0"/>
          <w:color w:val="auto"/>
          <w:sz w:val="28"/>
          <w:szCs w:val="28"/>
          <w:highlight w:val="none"/>
          <w:lang w:eastAsia="zh-CN"/>
        </w:rPr>
        <w:t>）</w:t>
      </w:r>
      <w:bookmarkEnd w:id="379"/>
    </w:p>
    <w:p w14:paraId="738B35B9">
      <w:pPr>
        <w:pStyle w:val="2"/>
        <w:kinsoku w:val="0"/>
        <w:overflowPunct w:val="0"/>
        <w:ind w:left="0"/>
        <w:rPr>
          <w:rFonts w:hint="default"/>
          <w:color w:val="auto"/>
          <w:sz w:val="20"/>
          <w:szCs w:val="24"/>
          <w:highlight w:val="none"/>
        </w:rPr>
      </w:pPr>
    </w:p>
    <w:p w14:paraId="62B9A056">
      <w:pPr>
        <w:spacing w:line="440" w:lineRule="exac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eastAsia="zh-CN"/>
        </w:rPr>
        <w:t>项目名称</w:t>
      </w:r>
      <w:r>
        <w:rPr>
          <w:rFonts w:hint="default" w:ascii="宋体" w:hAnsi="宋体" w:eastAsia="宋体" w:cs="宋体"/>
          <w:color w:val="auto"/>
          <w:sz w:val="21"/>
          <w:szCs w:val="21"/>
          <w:highlight w:val="none"/>
        </w:rPr>
        <w:t>：</w:t>
      </w:r>
      <w:r>
        <w:rPr>
          <w:rFonts w:hint="default" w:ascii="宋体" w:hAnsi="宋体" w:eastAsia="宋体" w:cs="宋体"/>
          <w:color w:val="auto"/>
          <w:sz w:val="21"/>
          <w:szCs w:val="21"/>
          <w:highlight w:val="none"/>
          <w:u w:val="single"/>
          <w:lang w:val="en-US" w:eastAsia="zh-CN"/>
        </w:rPr>
        <w:t xml:space="preserve">                 </w:t>
      </w:r>
      <w:r>
        <w:rPr>
          <w:rFonts w:hint="default" w:ascii="宋体" w:hAnsi="宋体" w:eastAsia="宋体" w:cs="宋体"/>
          <w:color w:val="auto"/>
          <w:sz w:val="21"/>
          <w:szCs w:val="21"/>
          <w:highlight w:val="none"/>
          <w:lang w:val="en-US" w:eastAsia="zh-CN"/>
        </w:rPr>
        <w:t xml:space="preserve"> </w:t>
      </w:r>
    </w:p>
    <w:tbl>
      <w:tblPr>
        <w:tblStyle w:val="29"/>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65"/>
        <w:gridCol w:w="1822"/>
        <w:gridCol w:w="1822"/>
        <w:gridCol w:w="992"/>
      </w:tblGrid>
      <w:tr w14:paraId="47A5A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14974E">
            <w:pPr>
              <w:jc w:val="center"/>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序号</w:t>
            </w:r>
          </w:p>
        </w:tc>
        <w:tc>
          <w:tcPr>
            <w:tcW w:w="35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B01C99">
            <w:pPr>
              <w:jc w:val="center"/>
              <w:rPr>
                <w:rFonts w:hint="default" w:ascii="宋体" w:hAnsi="宋体" w:eastAsia="宋体" w:cs="宋体"/>
                <w:color w:val="auto"/>
                <w:sz w:val="21"/>
                <w:szCs w:val="21"/>
                <w:highlight w:val="none"/>
              </w:rPr>
            </w:pPr>
            <w:r>
              <w:rPr>
                <w:rFonts w:hint="default" w:ascii="宋体" w:hAnsi="宋体" w:eastAsia="宋体" w:cs="宋体"/>
                <w:b/>
                <w:color w:val="auto"/>
                <w:sz w:val="21"/>
                <w:szCs w:val="21"/>
                <w:highlight w:val="none"/>
              </w:rPr>
              <w:t>监理子项目名称</w:t>
            </w: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EF7002">
            <w:pPr>
              <w:jc w:val="center"/>
              <w:rPr>
                <w:rFonts w:hint="default" w:ascii="宋体" w:hAnsi="宋体" w:eastAsia="宋体" w:cs="宋体"/>
                <w:b/>
                <w:color w:val="auto"/>
                <w:sz w:val="21"/>
                <w:szCs w:val="21"/>
                <w:highlight w:val="none"/>
                <w:lang w:eastAsia="zh-CN"/>
              </w:rPr>
            </w:pPr>
            <w:r>
              <w:rPr>
                <w:rFonts w:hint="default" w:ascii="宋体" w:hAnsi="宋体" w:eastAsia="宋体" w:cs="宋体"/>
                <w:b/>
                <w:color w:val="auto"/>
                <w:sz w:val="21"/>
                <w:szCs w:val="21"/>
                <w:highlight w:val="none"/>
              </w:rPr>
              <w:t>投标下浮率(%)</w:t>
            </w: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863CF9">
            <w:pPr>
              <w:jc w:val="center"/>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lang w:eastAsia="zh-CN"/>
              </w:rPr>
              <w:t>投标报价</w:t>
            </w:r>
            <w:r>
              <w:rPr>
                <w:rFonts w:hint="default" w:ascii="宋体" w:hAnsi="宋体" w:eastAsia="宋体" w:cs="宋体"/>
                <w:b/>
                <w:color w:val="auto"/>
                <w:sz w:val="21"/>
                <w:szCs w:val="21"/>
                <w:highlight w:val="none"/>
              </w:rPr>
              <w:t>（元）</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C0CA8B">
            <w:pPr>
              <w:jc w:val="center"/>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备注</w:t>
            </w:r>
          </w:p>
        </w:tc>
      </w:tr>
      <w:tr w14:paraId="5DD9A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8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0C4A9E">
            <w:pPr>
              <w:spacing w:line="360" w:lineRule="auto"/>
              <w:jc w:val="center"/>
              <w:rPr>
                <w:rFonts w:hint="default" w:ascii="宋体" w:hAnsi="宋体" w:eastAsia="宋体" w:cs="宋体"/>
                <w:color w:val="auto"/>
                <w:sz w:val="21"/>
                <w:szCs w:val="21"/>
                <w:highlight w:val="none"/>
              </w:rPr>
            </w:pPr>
          </w:p>
        </w:tc>
        <w:tc>
          <w:tcPr>
            <w:tcW w:w="35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D06F62">
            <w:pPr>
              <w:rPr>
                <w:rFonts w:hint="default" w:ascii="宋体" w:hAnsi="宋体" w:eastAsia="宋体" w:cs="宋体"/>
                <w:color w:val="auto"/>
                <w:sz w:val="21"/>
                <w:szCs w:val="21"/>
                <w:highlight w:val="none"/>
              </w:rPr>
            </w:pPr>
          </w:p>
        </w:tc>
        <w:tc>
          <w:tcPr>
            <w:tcW w:w="182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A6842E3">
            <w:pPr>
              <w:spacing w:line="360" w:lineRule="auto"/>
              <w:jc w:val="center"/>
              <w:rPr>
                <w:rFonts w:hint="default" w:ascii="宋体" w:hAnsi="宋体" w:eastAsia="宋体" w:cs="宋体"/>
                <w:color w:val="auto"/>
                <w:sz w:val="21"/>
                <w:szCs w:val="21"/>
                <w:highlight w:val="none"/>
              </w:rPr>
            </w:pP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574651">
            <w:pPr>
              <w:spacing w:line="360" w:lineRule="auto"/>
              <w:jc w:val="center"/>
              <w:rPr>
                <w:rFonts w:hint="default" w:ascii="宋体" w:hAnsi="宋体" w:eastAsia="宋体" w:cs="宋体"/>
                <w:color w:val="auto"/>
                <w:sz w:val="21"/>
                <w:szCs w:val="21"/>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0353D5">
            <w:pPr>
              <w:spacing w:line="360" w:lineRule="auto"/>
              <w:jc w:val="center"/>
              <w:rPr>
                <w:rFonts w:hint="default" w:ascii="宋体" w:hAnsi="宋体" w:eastAsia="宋体" w:cs="宋体"/>
                <w:color w:val="auto"/>
                <w:sz w:val="21"/>
                <w:szCs w:val="21"/>
                <w:highlight w:val="none"/>
              </w:rPr>
            </w:pPr>
          </w:p>
        </w:tc>
      </w:tr>
      <w:tr w14:paraId="73DFB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8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579C45">
            <w:pPr>
              <w:spacing w:line="360" w:lineRule="auto"/>
              <w:jc w:val="center"/>
              <w:rPr>
                <w:rFonts w:hint="default" w:ascii="宋体" w:hAnsi="宋体" w:eastAsia="宋体" w:cs="宋体"/>
                <w:color w:val="auto"/>
                <w:sz w:val="21"/>
                <w:szCs w:val="21"/>
                <w:highlight w:val="none"/>
              </w:rPr>
            </w:pPr>
          </w:p>
        </w:tc>
        <w:tc>
          <w:tcPr>
            <w:tcW w:w="35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8DD660">
            <w:pPr>
              <w:rPr>
                <w:rFonts w:hint="default" w:ascii="宋体" w:hAnsi="宋体" w:eastAsia="宋体" w:cs="宋体"/>
                <w:color w:val="auto"/>
                <w:sz w:val="21"/>
                <w:szCs w:val="21"/>
                <w:highlight w:val="none"/>
              </w:rPr>
            </w:pPr>
          </w:p>
        </w:tc>
        <w:tc>
          <w:tcPr>
            <w:tcW w:w="182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CD40023">
            <w:pPr>
              <w:spacing w:line="360" w:lineRule="auto"/>
              <w:jc w:val="center"/>
              <w:rPr>
                <w:rFonts w:hint="default" w:ascii="宋体" w:hAnsi="宋体" w:eastAsia="宋体" w:cs="宋体"/>
                <w:color w:val="auto"/>
                <w:sz w:val="21"/>
                <w:szCs w:val="21"/>
                <w:highlight w:val="none"/>
              </w:rPr>
            </w:pP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0AFE72">
            <w:pPr>
              <w:spacing w:line="360" w:lineRule="auto"/>
              <w:jc w:val="center"/>
              <w:rPr>
                <w:rFonts w:hint="default" w:ascii="宋体" w:hAnsi="宋体" w:eastAsia="宋体" w:cs="宋体"/>
                <w:color w:val="auto"/>
                <w:sz w:val="21"/>
                <w:szCs w:val="21"/>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3E7EC0">
            <w:pPr>
              <w:spacing w:line="360" w:lineRule="auto"/>
              <w:jc w:val="center"/>
              <w:rPr>
                <w:rFonts w:hint="default" w:ascii="宋体" w:hAnsi="宋体" w:eastAsia="宋体" w:cs="宋体"/>
                <w:color w:val="auto"/>
                <w:sz w:val="21"/>
                <w:szCs w:val="21"/>
                <w:highlight w:val="none"/>
              </w:rPr>
            </w:pPr>
          </w:p>
        </w:tc>
      </w:tr>
      <w:tr w14:paraId="04C0A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43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D7A46DC">
            <w:pPr>
              <w:jc w:val="center"/>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合计报价</w:t>
            </w: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C50703">
            <w:pPr>
              <w:spacing w:line="360" w:lineRule="auto"/>
              <w:jc w:val="center"/>
              <w:rPr>
                <w:rFonts w:hint="default" w:ascii="宋体" w:hAnsi="宋体" w:eastAsia="宋体" w:cs="宋体"/>
                <w:color w:val="auto"/>
                <w:sz w:val="21"/>
                <w:szCs w:val="21"/>
                <w:highlight w:val="none"/>
              </w:rPr>
            </w:pP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374EFA">
            <w:pPr>
              <w:spacing w:line="360" w:lineRule="auto"/>
              <w:jc w:val="center"/>
              <w:rPr>
                <w:rFonts w:hint="default" w:ascii="宋体" w:hAnsi="宋体" w:eastAsia="宋体" w:cs="宋体"/>
                <w:color w:val="auto"/>
                <w:sz w:val="21"/>
                <w:szCs w:val="21"/>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606AC1">
            <w:pPr>
              <w:spacing w:line="360" w:lineRule="auto"/>
              <w:jc w:val="center"/>
              <w:rPr>
                <w:rFonts w:hint="default" w:ascii="宋体" w:hAnsi="宋体" w:eastAsia="宋体" w:cs="宋体"/>
                <w:color w:val="auto"/>
                <w:sz w:val="21"/>
                <w:szCs w:val="21"/>
                <w:highlight w:val="none"/>
              </w:rPr>
            </w:pPr>
          </w:p>
        </w:tc>
      </w:tr>
    </w:tbl>
    <w:p w14:paraId="1E30D320">
      <w:pPr>
        <w:pStyle w:val="101"/>
        <w:spacing w:line="240" w:lineRule="auto"/>
        <w:ind w:firstLine="0" w:firstLineChars="0"/>
        <w:rPr>
          <w:rFonts w:hint="default" w:ascii="宋体" w:hAnsi="宋体" w:cs="宋体"/>
          <w:color w:val="auto"/>
          <w:sz w:val="21"/>
          <w:szCs w:val="21"/>
          <w:highlight w:val="none"/>
        </w:rPr>
      </w:pPr>
    </w:p>
    <w:p w14:paraId="2B8EDD43">
      <w:pPr>
        <w:pStyle w:val="101"/>
        <w:spacing w:line="240" w:lineRule="auto"/>
        <w:ind w:firstLine="0" w:firstLineChars="0"/>
        <w:rPr>
          <w:rFonts w:hint="default" w:ascii="楷体_GB2312" w:hAnsi="楷体_GB2312" w:eastAsia="楷体_GB2312" w:cs="楷体_GB2312"/>
          <w:snapToGrid/>
          <w:color w:val="auto"/>
          <w:spacing w:val="0"/>
          <w:kern w:val="2"/>
          <w:sz w:val="21"/>
          <w:szCs w:val="24"/>
          <w:highlight w:val="none"/>
          <w:lang w:val="en-US" w:eastAsia="zh-CN" w:bidi="ar-SA"/>
        </w:rPr>
      </w:pPr>
      <w:r>
        <w:rPr>
          <w:rFonts w:hint="default" w:ascii="楷体_GB2312" w:hAnsi="楷体_GB2312" w:eastAsia="楷体_GB2312" w:cs="楷体_GB2312"/>
          <w:snapToGrid/>
          <w:color w:val="auto"/>
          <w:spacing w:val="0"/>
          <w:kern w:val="2"/>
          <w:sz w:val="21"/>
          <w:szCs w:val="24"/>
          <w:highlight w:val="none"/>
          <w:lang w:val="en-US" w:eastAsia="zh-CN" w:bidi="ar-SA"/>
        </w:rPr>
        <w:t>注：</w:t>
      </w:r>
    </w:p>
    <w:p w14:paraId="4782DF81">
      <w:pPr>
        <w:pStyle w:val="101"/>
        <w:ind w:firstLine="436"/>
        <w:rPr>
          <w:rFonts w:hint="default" w:ascii="楷体_GB2312" w:hAnsi="楷体_GB2312" w:eastAsia="楷体_GB2312" w:cs="楷体_GB2312"/>
          <w:snapToGrid/>
          <w:color w:val="auto"/>
          <w:spacing w:val="0"/>
          <w:kern w:val="2"/>
          <w:sz w:val="21"/>
          <w:szCs w:val="24"/>
          <w:highlight w:val="none"/>
          <w:lang w:val="en-US" w:eastAsia="zh-CN" w:bidi="ar-SA"/>
        </w:rPr>
      </w:pPr>
      <w:r>
        <w:rPr>
          <w:rFonts w:hint="default" w:ascii="楷体_GB2312" w:hAnsi="楷体_GB2312" w:eastAsia="楷体_GB2312" w:cs="楷体_GB2312"/>
          <w:snapToGrid/>
          <w:color w:val="auto"/>
          <w:spacing w:val="0"/>
          <w:kern w:val="2"/>
          <w:sz w:val="21"/>
          <w:szCs w:val="24"/>
          <w:highlight w:val="none"/>
          <w:lang w:val="en-US" w:eastAsia="zh-CN" w:bidi="ar-SA"/>
        </w:rPr>
        <w:t>1、</w:t>
      </w:r>
      <w:r>
        <w:rPr>
          <w:rFonts w:hint="default" w:ascii="楷体_GB2312" w:hAnsi="楷体_GB2312" w:eastAsia="楷体_GB2312" w:cs="楷体_GB2312"/>
          <w:snapToGrid/>
          <w:color w:val="auto"/>
          <w:spacing w:val="0"/>
          <w:kern w:val="2"/>
          <w:sz w:val="21"/>
          <w:szCs w:val="24"/>
          <w:highlight w:val="none"/>
          <w:lang w:val="zh-CN" w:eastAsia="zh-CN" w:bidi="ar-SA"/>
        </w:rPr>
        <w:t>投标下浮率以百分比为单位，保留到小数点后</w:t>
      </w:r>
      <w:r>
        <w:rPr>
          <w:rFonts w:hint="eastAsia" w:ascii="楷体_GB2312" w:hAnsi="楷体_GB2312" w:eastAsia="楷体_GB2312" w:cs="楷体_GB2312"/>
          <w:snapToGrid/>
          <w:color w:val="auto"/>
          <w:spacing w:val="0"/>
          <w:kern w:val="2"/>
          <w:sz w:val="21"/>
          <w:szCs w:val="24"/>
          <w:highlight w:val="none"/>
          <w:lang w:val="en-US" w:eastAsia="zh-CN" w:bidi="ar-SA"/>
        </w:rPr>
        <w:t>2</w:t>
      </w:r>
      <w:r>
        <w:rPr>
          <w:rFonts w:hint="default" w:ascii="楷体_GB2312" w:hAnsi="楷体_GB2312" w:eastAsia="楷体_GB2312" w:cs="楷体_GB2312"/>
          <w:snapToGrid/>
          <w:color w:val="auto"/>
          <w:spacing w:val="0"/>
          <w:kern w:val="2"/>
          <w:sz w:val="21"/>
          <w:szCs w:val="24"/>
          <w:highlight w:val="none"/>
          <w:lang w:val="zh-CN" w:eastAsia="zh-CN" w:bidi="ar-SA"/>
        </w:rPr>
        <w:t>位</w:t>
      </w:r>
      <w:r>
        <w:rPr>
          <w:rFonts w:hint="default" w:ascii="楷体_GB2312" w:hAnsi="楷体_GB2312" w:eastAsia="楷体_GB2312" w:cs="楷体_GB2312"/>
          <w:snapToGrid/>
          <w:color w:val="auto"/>
          <w:spacing w:val="0"/>
          <w:kern w:val="2"/>
          <w:sz w:val="21"/>
          <w:szCs w:val="24"/>
          <w:highlight w:val="none"/>
          <w:lang w:val="en-US" w:eastAsia="zh-CN" w:bidi="ar-SA"/>
        </w:rPr>
        <w:t>，投标报价填报保留小数点后</w:t>
      </w:r>
      <w:r>
        <w:rPr>
          <w:rFonts w:hint="eastAsia" w:ascii="楷体_GB2312" w:hAnsi="楷体_GB2312" w:eastAsia="楷体_GB2312" w:cs="楷体_GB2312"/>
          <w:snapToGrid/>
          <w:color w:val="auto"/>
          <w:spacing w:val="0"/>
          <w:kern w:val="2"/>
          <w:sz w:val="21"/>
          <w:szCs w:val="24"/>
          <w:highlight w:val="none"/>
          <w:lang w:val="en-US" w:eastAsia="zh-CN" w:bidi="ar-SA"/>
        </w:rPr>
        <w:t>2</w:t>
      </w:r>
      <w:bookmarkStart w:id="498" w:name="_GoBack"/>
      <w:bookmarkEnd w:id="498"/>
      <w:r>
        <w:rPr>
          <w:rFonts w:hint="default" w:ascii="楷体_GB2312" w:hAnsi="楷体_GB2312" w:eastAsia="楷体_GB2312" w:cs="楷体_GB2312"/>
          <w:snapToGrid/>
          <w:color w:val="auto"/>
          <w:spacing w:val="0"/>
          <w:kern w:val="2"/>
          <w:sz w:val="21"/>
          <w:szCs w:val="24"/>
          <w:highlight w:val="none"/>
          <w:lang w:val="en-US" w:eastAsia="zh-CN" w:bidi="ar-SA"/>
        </w:rPr>
        <w:t>位。</w:t>
      </w:r>
    </w:p>
    <w:p w14:paraId="1E26F786">
      <w:pPr>
        <w:pStyle w:val="101"/>
        <w:ind w:firstLine="436"/>
        <w:rPr>
          <w:rFonts w:hint="default" w:ascii="楷体_GB2312" w:hAnsi="楷体_GB2312" w:eastAsia="楷体_GB2312" w:cs="楷体_GB2312"/>
          <w:snapToGrid/>
          <w:color w:val="auto"/>
          <w:spacing w:val="0"/>
          <w:kern w:val="2"/>
          <w:sz w:val="21"/>
          <w:szCs w:val="24"/>
          <w:highlight w:val="none"/>
          <w:lang w:val="en-US" w:eastAsia="zh-CN" w:bidi="ar-SA"/>
        </w:rPr>
      </w:pPr>
      <w:r>
        <w:rPr>
          <w:rFonts w:hint="default" w:ascii="楷体_GB2312" w:hAnsi="楷体_GB2312" w:eastAsia="楷体_GB2312" w:cs="楷体_GB2312"/>
          <w:snapToGrid/>
          <w:color w:val="auto"/>
          <w:spacing w:val="0"/>
          <w:kern w:val="2"/>
          <w:sz w:val="21"/>
          <w:szCs w:val="24"/>
          <w:highlight w:val="none"/>
          <w:lang w:val="en-US" w:eastAsia="zh-CN" w:bidi="ar-SA"/>
        </w:rPr>
        <w:t>2、监理费投标下浮率=（监理费最高投标限价-监理费投标报价）/监理费最高投标限价*100%。</w:t>
      </w:r>
    </w:p>
    <w:p w14:paraId="7BD212D8">
      <w:pPr>
        <w:pStyle w:val="101"/>
        <w:spacing w:line="240" w:lineRule="auto"/>
        <w:ind w:firstLine="420" w:firstLineChars="200"/>
        <w:rPr>
          <w:rFonts w:hint="eastAsia" w:ascii="楷体_GB2312" w:hAnsi="楷体_GB2312" w:eastAsia="楷体_GB2312" w:cs="楷体_GB2312"/>
          <w:snapToGrid/>
          <w:color w:val="auto"/>
          <w:spacing w:val="0"/>
          <w:kern w:val="2"/>
          <w:sz w:val="21"/>
          <w:szCs w:val="24"/>
          <w:highlight w:val="none"/>
          <w:lang w:val="en-US" w:eastAsia="zh-CN" w:bidi="ar-SA"/>
        </w:rPr>
      </w:pPr>
      <w:bookmarkStart w:id="380" w:name="_Toc6894"/>
      <w:r>
        <w:rPr>
          <w:rFonts w:hint="default" w:ascii="楷体_GB2312" w:hAnsi="楷体_GB2312" w:eastAsia="楷体_GB2312" w:cs="楷体_GB2312"/>
          <w:snapToGrid/>
          <w:color w:val="auto"/>
          <w:spacing w:val="0"/>
          <w:kern w:val="2"/>
          <w:sz w:val="21"/>
          <w:szCs w:val="24"/>
          <w:highlight w:val="none"/>
          <w:lang w:val="en-US" w:eastAsia="zh-CN" w:bidi="ar-SA"/>
        </w:rPr>
        <w:t>3、投标报价与投标下浮率不符时，以投标下浮率为准修正总价。</w:t>
      </w:r>
      <w:bookmarkEnd w:id="380"/>
    </w:p>
    <w:p w14:paraId="0FE83DF7">
      <w:pPr>
        <w:pStyle w:val="84"/>
        <w:rPr>
          <w:rFonts w:hint="eastAsia"/>
          <w:color w:val="auto"/>
          <w:highlight w:val="none"/>
        </w:rPr>
      </w:pPr>
    </w:p>
    <w:p w14:paraId="28BEF3DE">
      <w:pPr>
        <w:pStyle w:val="84"/>
        <w:rPr>
          <w:color w:val="auto"/>
          <w:highlight w:val="none"/>
        </w:rPr>
      </w:pPr>
      <w:r>
        <w:rPr>
          <w:color w:val="auto"/>
          <w:highlight w:val="none"/>
        </w:rPr>
        <w:br w:type="page"/>
      </w:r>
    </w:p>
    <w:p w14:paraId="55D1326C">
      <w:pPr>
        <w:pStyle w:val="5"/>
        <w:bidi w:val="0"/>
        <w:jc w:val="center"/>
        <w:rPr>
          <w:rFonts w:hint="eastAsia" w:ascii="黑体" w:hAnsi="黑体" w:eastAsia="黑体" w:cs="黑体"/>
          <w:color w:val="auto"/>
          <w:sz w:val="28"/>
          <w:szCs w:val="28"/>
          <w:highlight w:val="none"/>
        </w:rPr>
      </w:pPr>
      <w:bookmarkStart w:id="381" w:name="_Toc14264"/>
      <w:bookmarkStart w:id="382" w:name="_Toc22505"/>
      <w:bookmarkStart w:id="383" w:name="_Toc15817"/>
      <w:bookmarkStart w:id="384" w:name="_Toc30420"/>
      <w:bookmarkStart w:id="385" w:name="_Toc4450"/>
      <w:bookmarkStart w:id="386" w:name="_Toc151"/>
      <w:bookmarkStart w:id="387" w:name="_Toc19706"/>
      <w:bookmarkStart w:id="388" w:name="_Toc23869"/>
      <w:bookmarkStart w:id="389" w:name="_Toc22909"/>
      <w:bookmarkStart w:id="390" w:name="_Toc4834"/>
      <w:r>
        <w:rPr>
          <w:rFonts w:hint="eastAsia" w:ascii="宋体" w:hAnsi="宋体" w:eastAsia="宋体" w:cs="宋体"/>
          <w:b/>
          <w:bCs w:val="0"/>
          <w:color w:val="auto"/>
          <w:sz w:val="28"/>
          <w:szCs w:val="28"/>
          <w:highlight w:val="none"/>
          <w:lang w:eastAsia="zh-CN"/>
        </w:rPr>
        <w:t>七</w:t>
      </w:r>
      <w:r>
        <w:rPr>
          <w:rFonts w:hint="eastAsia" w:ascii="宋体" w:hAnsi="宋体" w:eastAsia="宋体" w:cs="宋体"/>
          <w:b/>
          <w:bCs w:val="0"/>
          <w:color w:val="auto"/>
          <w:sz w:val="28"/>
          <w:szCs w:val="28"/>
          <w:highlight w:val="none"/>
        </w:rPr>
        <w:t>、资格审查资料</w:t>
      </w:r>
      <w:bookmarkEnd w:id="381"/>
      <w:bookmarkEnd w:id="382"/>
      <w:bookmarkEnd w:id="383"/>
      <w:bookmarkEnd w:id="384"/>
      <w:bookmarkEnd w:id="385"/>
      <w:bookmarkEnd w:id="386"/>
      <w:bookmarkEnd w:id="387"/>
      <w:bookmarkEnd w:id="388"/>
      <w:bookmarkEnd w:id="389"/>
      <w:bookmarkEnd w:id="390"/>
    </w:p>
    <w:p w14:paraId="504F6CF3">
      <w:pPr>
        <w:pStyle w:val="5"/>
        <w:bidi w:val="0"/>
        <w:rPr>
          <w:color w:val="auto"/>
          <w:highlight w:val="none"/>
        </w:rPr>
      </w:pPr>
      <w:bookmarkStart w:id="391" w:name="_Toc31437"/>
      <w:bookmarkStart w:id="392" w:name="_Toc27615"/>
      <w:bookmarkStart w:id="393" w:name="_Toc9436"/>
      <w:bookmarkStart w:id="394" w:name="_Toc18652"/>
      <w:bookmarkStart w:id="395" w:name="_Toc31838"/>
      <w:bookmarkStart w:id="396" w:name="_Toc30686"/>
      <w:bookmarkStart w:id="397" w:name="_Toc27200"/>
      <w:bookmarkStart w:id="398" w:name="_Toc16550"/>
      <w:bookmarkStart w:id="399" w:name="_Toc26640"/>
      <w:bookmarkStart w:id="400" w:name="_Toc32344"/>
      <w:r>
        <w:rPr>
          <w:rFonts w:hint="eastAsia"/>
          <w:color w:val="auto"/>
          <w:highlight w:val="none"/>
        </w:rPr>
        <w:t>（一）基本情况表</w:t>
      </w:r>
      <w:bookmarkEnd w:id="391"/>
      <w:bookmarkEnd w:id="392"/>
      <w:bookmarkEnd w:id="393"/>
      <w:bookmarkEnd w:id="394"/>
      <w:bookmarkEnd w:id="395"/>
      <w:bookmarkEnd w:id="396"/>
      <w:bookmarkEnd w:id="397"/>
      <w:bookmarkEnd w:id="398"/>
      <w:bookmarkEnd w:id="399"/>
      <w:bookmarkEnd w:id="400"/>
    </w:p>
    <w:tbl>
      <w:tblPr>
        <w:tblStyle w:val="2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14:paraId="50B61E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4634602F">
            <w:pPr>
              <w:topLinePunct/>
              <w:spacing w:line="440" w:lineRule="exact"/>
              <w:jc w:val="center"/>
              <w:rPr>
                <w:color w:val="auto"/>
                <w:highlight w:val="none"/>
              </w:rPr>
            </w:pPr>
            <w:r>
              <w:rPr>
                <w:rFonts w:hint="eastAsia"/>
                <w:color w:val="auto"/>
                <w:highlight w:val="none"/>
              </w:rPr>
              <w:t>投标人名称</w:t>
            </w:r>
          </w:p>
        </w:tc>
        <w:tc>
          <w:tcPr>
            <w:tcW w:w="6840" w:type="dxa"/>
            <w:gridSpan w:val="8"/>
            <w:tcBorders>
              <w:top w:val="single" w:color="auto" w:sz="4" w:space="0"/>
              <w:left w:val="single" w:color="auto" w:sz="4" w:space="0"/>
              <w:bottom w:val="single" w:color="auto" w:sz="4" w:space="0"/>
            </w:tcBorders>
            <w:noWrap w:val="0"/>
            <w:vAlign w:val="center"/>
          </w:tcPr>
          <w:p w14:paraId="0225BCF6">
            <w:pPr>
              <w:topLinePunct/>
              <w:spacing w:line="440" w:lineRule="exact"/>
              <w:jc w:val="center"/>
              <w:rPr>
                <w:color w:val="auto"/>
                <w:highlight w:val="none"/>
              </w:rPr>
            </w:pPr>
          </w:p>
        </w:tc>
      </w:tr>
      <w:tr w14:paraId="1A92D6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28F518B5">
            <w:pPr>
              <w:topLinePunct/>
              <w:spacing w:line="440" w:lineRule="exact"/>
              <w:jc w:val="center"/>
              <w:rPr>
                <w:color w:val="auto"/>
                <w:highlight w:val="none"/>
              </w:rPr>
            </w:pPr>
            <w:r>
              <w:rPr>
                <w:rFonts w:hint="eastAsia"/>
                <w:color w:val="auto"/>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21630491">
            <w:pPr>
              <w:topLinePunct/>
              <w:spacing w:line="440" w:lineRule="exact"/>
              <w:jc w:val="center"/>
              <w:rPr>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10614DD1">
            <w:pPr>
              <w:topLinePunct/>
              <w:spacing w:before="100" w:beforeAutospacing="1" w:after="100" w:afterAutospacing="1" w:line="440" w:lineRule="exact"/>
              <w:jc w:val="center"/>
              <w:rPr>
                <w:color w:val="auto"/>
                <w:highlight w:val="none"/>
              </w:rPr>
            </w:pPr>
            <w:r>
              <w:rPr>
                <w:rFonts w:hint="eastAsia"/>
                <w:color w:val="auto"/>
                <w:highlight w:val="none"/>
              </w:rPr>
              <w:t>邮政编码</w:t>
            </w:r>
          </w:p>
        </w:tc>
        <w:tc>
          <w:tcPr>
            <w:tcW w:w="2342" w:type="dxa"/>
            <w:gridSpan w:val="3"/>
            <w:tcBorders>
              <w:top w:val="single" w:color="auto" w:sz="4" w:space="0"/>
              <w:left w:val="single" w:color="auto" w:sz="4" w:space="0"/>
              <w:bottom w:val="single" w:color="auto" w:sz="4" w:space="0"/>
            </w:tcBorders>
            <w:noWrap w:val="0"/>
            <w:vAlign w:val="center"/>
          </w:tcPr>
          <w:p w14:paraId="70C2E0B7">
            <w:pPr>
              <w:topLinePunct/>
              <w:spacing w:line="440" w:lineRule="exact"/>
              <w:jc w:val="center"/>
              <w:rPr>
                <w:color w:val="auto"/>
                <w:highlight w:val="none"/>
              </w:rPr>
            </w:pPr>
          </w:p>
        </w:tc>
      </w:tr>
      <w:tr w14:paraId="6922EE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bottom w:val="single" w:color="auto" w:sz="4" w:space="0"/>
              <w:right w:val="single" w:color="auto" w:sz="4" w:space="0"/>
            </w:tcBorders>
            <w:noWrap w:val="0"/>
            <w:vAlign w:val="center"/>
          </w:tcPr>
          <w:p w14:paraId="5CFA8D42">
            <w:pPr>
              <w:topLinePunct/>
              <w:spacing w:line="440" w:lineRule="exact"/>
              <w:jc w:val="center"/>
              <w:rPr>
                <w:color w:val="auto"/>
                <w:highlight w:val="none"/>
              </w:rPr>
            </w:pPr>
            <w:r>
              <w:rPr>
                <w:rFonts w:hint="eastAsia"/>
                <w:color w:val="auto"/>
                <w:highlight w:val="none"/>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2ECDBF7D">
            <w:pPr>
              <w:topLinePunct/>
              <w:spacing w:before="100" w:beforeAutospacing="1" w:after="100" w:afterAutospacing="1" w:line="440" w:lineRule="exact"/>
              <w:jc w:val="center"/>
              <w:rPr>
                <w:color w:val="auto"/>
                <w:highlight w:val="none"/>
              </w:rPr>
            </w:pPr>
            <w:r>
              <w:rPr>
                <w:rFonts w:hint="eastAsia"/>
                <w:color w:val="auto"/>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noWrap w:val="0"/>
            <w:vAlign w:val="center"/>
          </w:tcPr>
          <w:p w14:paraId="39FBEAB1">
            <w:pPr>
              <w:topLinePunct/>
              <w:spacing w:line="440" w:lineRule="exact"/>
              <w:jc w:val="center"/>
              <w:rPr>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43EB4C16">
            <w:pPr>
              <w:topLinePunct/>
              <w:spacing w:before="100" w:beforeAutospacing="1" w:after="100" w:afterAutospacing="1" w:line="440" w:lineRule="exact"/>
              <w:jc w:val="center"/>
              <w:rPr>
                <w:color w:val="auto"/>
                <w:highlight w:val="none"/>
              </w:rPr>
            </w:pPr>
            <w:r>
              <w:rPr>
                <w:rFonts w:hint="eastAsia"/>
                <w:color w:val="auto"/>
                <w:highlight w:val="none"/>
              </w:rPr>
              <w:t>电</w:t>
            </w:r>
            <w:r>
              <w:rPr>
                <w:color w:val="auto"/>
                <w:highlight w:val="none"/>
              </w:rPr>
              <w:t xml:space="preserve"> </w:t>
            </w:r>
            <w:r>
              <w:rPr>
                <w:rFonts w:hint="eastAsia"/>
                <w:color w:val="auto"/>
                <w:highlight w:val="none"/>
              </w:rPr>
              <w:t>话</w:t>
            </w:r>
          </w:p>
        </w:tc>
        <w:tc>
          <w:tcPr>
            <w:tcW w:w="2342" w:type="dxa"/>
            <w:gridSpan w:val="3"/>
            <w:tcBorders>
              <w:top w:val="single" w:color="auto" w:sz="4" w:space="0"/>
              <w:left w:val="single" w:color="auto" w:sz="4" w:space="0"/>
              <w:bottom w:val="single" w:color="auto" w:sz="4" w:space="0"/>
            </w:tcBorders>
            <w:noWrap w:val="0"/>
            <w:vAlign w:val="center"/>
          </w:tcPr>
          <w:p w14:paraId="2F757567">
            <w:pPr>
              <w:topLinePunct/>
              <w:spacing w:line="440" w:lineRule="exact"/>
              <w:jc w:val="center"/>
              <w:rPr>
                <w:color w:val="auto"/>
                <w:highlight w:val="none"/>
              </w:rPr>
            </w:pPr>
          </w:p>
        </w:tc>
      </w:tr>
      <w:tr w14:paraId="4BE99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bottom w:val="single" w:color="auto" w:sz="4" w:space="0"/>
              <w:right w:val="single" w:color="auto" w:sz="4" w:space="0"/>
            </w:tcBorders>
            <w:noWrap w:val="0"/>
            <w:vAlign w:val="center"/>
          </w:tcPr>
          <w:p w14:paraId="79545D7D">
            <w:pPr>
              <w:jc w:val="center"/>
              <w:rPr>
                <w:color w:val="auto"/>
                <w:highlight w:val="none"/>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66F15050">
            <w:pPr>
              <w:topLinePunct/>
              <w:spacing w:before="100" w:beforeAutospacing="1" w:after="100" w:afterAutospacing="1" w:line="440" w:lineRule="exact"/>
              <w:jc w:val="center"/>
              <w:rPr>
                <w:color w:val="auto"/>
                <w:highlight w:val="none"/>
              </w:rPr>
            </w:pPr>
            <w:r>
              <w:rPr>
                <w:rFonts w:hint="eastAsia"/>
                <w:color w:val="auto"/>
                <w:highlight w:val="none"/>
              </w:rPr>
              <w:t>传</w:t>
            </w:r>
            <w:r>
              <w:rPr>
                <w:color w:val="auto"/>
                <w:highlight w:val="none"/>
              </w:rPr>
              <w:t xml:space="preserve">  </w:t>
            </w:r>
            <w:r>
              <w:rPr>
                <w:rFonts w:hint="eastAsia"/>
                <w:color w:val="auto"/>
                <w:highlight w:val="none"/>
              </w:rPr>
              <w:t>真</w:t>
            </w:r>
          </w:p>
        </w:tc>
        <w:tc>
          <w:tcPr>
            <w:tcW w:w="2313" w:type="dxa"/>
            <w:gridSpan w:val="2"/>
            <w:tcBorders>
              <w:top w:val="single" w:color="auto" w:sz="4" w:space="0"/>
              <w:left w:val="single" w:color="auto" w:sz="4" w:space="0"/>
              <w:bottom w:val="single" w:color="auto" w:sz="4" w:space="0"/>
              <w:right w:val="single" w:color="auto" w:sz="4" w:space="0"/>
            </w:tcBorders>
            <w:noWrap w:val="0"/>
            <w:vAlign w:val="center"/>
          </w:tcPr>
          <w:p w14:paraId="270EC2A6">
            <w:pPr>
              <w:topLinePunct/>
              <w:spacing w:line="440" w:lineRule="exact"/>
              <w:jc w:val="center"/>
              <w:rPr>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57C269B1">
            <w:pPr>
              <w:topLinePunct/>
              <w:spacing w:before="100" w:beforeAutospacing="1" w:after="100" w:afterAutospacing="1" w:line="440" w:lineRule="exact"/>
              <w:jc w:val="center"/>
              <w:rPr>
                <w:color w:val="auto"/>
                <w:highlight w:val="none"/>
              </w:rPr>
            </w:pPr>
            <w:r>
              <w:rPr>
                <w:rFonts w:hint="eastAsia"/>
                <w:color w:val="auto"/>
                <w:highlight w:val="none"/>
              </w:rPr>
              <w:t>网</w:t>
            </w:r>
            <w:r>
              <w:rPr>
                <w:color w:val="auto"/>
                <w:highlight w:val="none"/>
              </w:rPr>
              <w:t xml:space="preserve"> </w:t>
            </w:r>
            <w:r>
              <w:rPr>
                <w:rFonts w:hint="eastAsia"/>
                <w:color w:val="auto"/>
                <w:highlight w:val="none"/>
              </w:rPr>
              <w:t>址</w:t>
            </w:r>
          </w:p>
        </w:tc>
        <w:tc>
          <w:tcPr>
            <w:tcW w:w="2342" w:type="dxa"/>
            <w:gridSpan w:val="3"/>
            <w:tcBorders>
              <w:top w:val="single" w:color="auto" w:sz="4" w:space="0"/>
              <w:left w:val="single" w:color="auto" w:sz="4" w:space="0"/>
              <w:bottom w:val="single" w:color="auto" w:sz="4" w:space="0"/>
            </w:tcBorders>
            <w:noWrap w:val="0"/>
            <w:vAlign w:val="center"/>
          </w:tcPr>
          <w:p w14:paraId="6593E892">
            <w:pPr>
              <w:topLinePunct/>
              <w:spacing w:line="440" w:lineRule="exact"/>
              <w:jc w:val="center"/>
              <w:rPr>
                <w:color w:val="auto"/>
                <w:highlight w:val="none"/>
              </w:rPr>
            </w:pPr>
          </w:p>
        </w:tc>
      </w:tr>
      <w:tr w14:paraId="7FDC7C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345F59A1">
            <w:pPr>
              <w:topLinePunct/>
              <w:spacing w:before="100" w:beforeAutospacing="1" w:after="100" w:afterAutospacing="1" w:line="440" w:lineRule="exact"/>
              <w:jc w:val="center"/>
              <w:rPr>
                <w:color w:val="auto"/>
                <w:highlight w:val="none"/>
              </w:rPr>
            </w:pPr>
            <w:r>
              <w:rPr>
                <w:rFonts w:hint="eastAsia"/>
                <w:color w:val="auto"/>
                <w:highlight w:val="none"/>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7B060DA3">
            <w:pPr>
              <w:topLinePunct/>
              <w:spacing w:before="100" w:beforeAutospacing="1" w:after="100" w:afterAutospacing="1" w:line="440" w:lineRule="exact"/>
              <w:jc w:val="center"/>
              <w:rPr>
                <w:color w:val="auto"/>
                <w:highlight w:val="none"/>
              </w:rPr>
            </w:pPr>
            <w:r>
              <w:rPr>
                <w:rFonts w:hint="eastAsia"/>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2AD99B2E">
            <w:pPr>
              <w:topLinePunct/>
              <w:spacing w:line="440" w:lineRule="exact"/>
              <w:jc w:val="center"/>
              <w:rPr>
                <w:color w:val="auto"/>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7358F69C">
            <w:pPr>
              <w:topLinePunct/>
              <w:spacing w:before="100" w:beforeAutospacing="1" w:after="100" w:afterAutospacing="1" w:line="440" w:lineRule="exact"/>
              <w:jc w:val="center"/>
              <w:rPr>
                <w:color w:val="auto"/>
                <w:highlight w:val="none"/>
              </w:rPr>
            </w:pPr>
            <w:r>
              <w:rPr>
                <w:rFonts w:hint="eastAsia"/>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2D423464">
            <w:pPr>
              <w:topLinePunct/>
              <w:spacing w:line="440" w:lineRule="exact"/>
              <w:jc w:val="center"/>
              <w:rPr>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14:paraId="79495EDD">
            <w:pPr>
              <w:topLinePunct/>
              <w:spacing w:before="100" w:beforeAutospacing="1" w:after="100" w:afterAutospacing="1" w:line="440" w:lineRule="exact"/>
              <w:jc w:val="center"/>
              <w:rPr>
                <w:color w:val="auto"/>
                <w:highlight w:val="none"/>
              </w:rPr>
            </w:pPr>
            <w:r>
              <w:rPr>
                <w:rFonts w:hint="eastAsia"/>
                <w:color w:val="auto"/>
                <w:highlight w:val="none"/>
              </w:rPr>
              <w:t>电话</w:t>
            </w:r>
          </w:p>
        </w:tc>
        <w:tc>
          <w:tcPr>
            <w:tcW w:w="1230" w:type="dxa"/>
            <w:tcBorders>
              <w:top w:val="single" w:color="auto" w:sz="4" w:space="0"/>
              <w:left w:val="single" w:color="auto" w:sz="4" w:space="0"/>
              <w:bottom w:val="single" w:color="auto" w:sz="4" w:space="0"/>
            </w:tcBorders>
            <w:noWrap w:val="0"/>
            <w:vAlign w:val="center"/>
          </w:tcPr>
          <w:p w14:paraId="30392820">
            <w:pPr>
              <w:topLinePunct/>
              <w:spacing w:line="440" w:lineRule="exact"/>
              <w:jc w:val="center"/>
              <w:rPr>
                <w:color w:val="auto"/>
                <w:highlight w:val="none"/>
              </w:rPr>
            </w:pPr>
          </w:p>
        </w:tc>
      </w:tr>
      <w:tr w14:paraId="5BC4B2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517951CB">
            <w:pPr>
              <w:topLinePunct/>
              <w:spacing w:line="440" w:lineRule="exact"/>
              <w:jc w:val="center"/>
              <w:rPr>
                <w:color w:val="auto"/>
                <w:highlight w:val="none"/>
              </w:rPr>
            </w:pPr>
            <w:r>
              <w:rPr>
                <w:rFonts w:hint="eastAsia"/>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12D721C9">
            <w:pPr>
              <w:topLinePunct/>
              <w:spacing w:before="100" w:beforeAutospacing="1" w:after="100" w:afterAutospacing="1" w:line="440" w:lineRule="exact"/>
              <w:jc w:val="center"/>
              <w:rPr>
                <w:color w:val="auto"/>
                <w:highlight w:val="none"/>
              </w:rPr>
            </w:pPr>
            <w:r>
              <w:rPr>
                <w:rFonts w:hint="eastAsia"/>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390B8678">
            <w:pPr>
              <w:topLinePunct/>
              <w:spacing w:line="440" w:lineRule="exact"/>
              <w:jc w:val="center"/>
              <w:rPr>
                <w:color w:val="auto"/>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697E780A">
            <w:pPr>
              <w:topLinePunct/>
              <w:spacing w:before="100" w:beforeAutospacing="1" w:after="100" w:afterAutospacing="1" w:line="440" w:lineRule="exact"/>
              <w:jc w:val="center"/>
              <w:rPr>
                <w:color w:val="auto"/>
                <w:highlight w:val="none"/>
              </w:rPr>
            </w:pPr>
            <w:r>
              <w:rPr>
                <w:rFonts w:hint="eastAsia"/>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47CC40F2">
            <w:pPr>
              <w:topLinePunct/>
              <w:spacing w:line="440" w:lineRule="exact"/>
              <w:jc w:val="center"/>
              <w:rPr>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14:paraId="1DD1FAB7">
            <w:pPr>
              <w:topLinePunct/>
              <w:spacing w:before="100" w:beforeAutospacing="1" w:after="100" w:afterAutospacing="1" w:line="440" w:lineRule="exact"/>
              <w:jc w:val="center"/>
              <w:rPr>
                <w:color w:val="auto"/>
                <w:highlight w:val="none"/>
              </w:rPr>
            </w:pPr>
            <w:r>
              <w:rPr>
                <w:rFonts w:hint="eastAsia"/>
                <w:color w:val="auto"/>
                <w:highlight w:val="none"/>
              </w:rPr>
              <w:t>电话</w:t>
            </w:r>
          </w:p>
        </w:tc>
        <w:tc>
          <w:tcPr>
            <w:tcW w:w="1230" w:type="dxa"/>
            <w:tcBorders>
              <w:top w:val="single" w:color="auto" w:sz="4" w:space="0"/>
              <w:left w:val="single" w:color="auto" w:sz="4" w:space="0"/>
              <w:bottom w:val="single" w:color="auto" w:sz="4" w:space="0"/>
            </w:tcBorders>
            <w:noWrap w:val="0"/>
            <w:vAlign w:val="center"/>
          </w:tcPr>
          <w:p w14:paraId="49311CE7">
            <w:pPr>
              <w:topLinePunct/>
              <w:spacing w:line="440" w:lineRule="exact"/>
              <w:jc w:val="center"/>
              <w:rPr>
                <w:color w:val="auto"/>
                <w:highlight w:val="none"/>
              </w:rPr>
            </w:pPr>
          </w:p>
        </w:tc>
      </w:tr>
      <w:tr w14:paraId="4F937B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1601CE51">
            <w:pPr>
              <w:topLinePunct/>
              <w:spacing w:before="100" w:beforeAutospacing="1" w:after="100" w:afterAutospacing="1" w:line="440" w:lineRule="exact"/>
              <w:jc w:val="center"/>
              <w:rPr>
                <w:color w:val="auto"/>
                <w:highlight w:val="none"/>
              </w:rPr>
            </w:pPr>
            <w:r>
              <w:rPr>
                <w:rFonts w:hint="eastAsia"/>
                <w:color w:val="auto"/>
                <w:highlight w:val="none"/>
              </w:rPr>
              <w:t>企业</w:t>
            </w:r>
            <w:r>
              <w:rPr>
                <w:rFonts w:hint="eastAsia"/>
                <w:color w:val="auto"/>
                <w:szCs w:val="21"/>
                <w:highlight w:val="none"/>
              </w:rPr>
              <w:t>监理</w:t>
            </w:r>
            <w:r>
              <w:rPr>
                <w:rFonts w:hint="eastAsia"/>
                <w:color w:val="auto"/>
                <w:highlight w:val="none"/>
              </w:rPr>
              <w:t>资质证书</w:t>
            </w:r>
          </w:p>
        </w:tc>
        <w:tc>
          <w:tcPr>
            <w:tcW w:w="6840" w:type="dxa"/>
            <w:gridSpan w:val="8"/>
            <w:tcBorders>
              <w:top w:val="single" w:color="auto" w:sz="4" w:space="0"/>
              <w:left w:val="single" w:color="auto" w:sz="4" w:space="0"/>
              <w:bottom w:val="single" w:color="auto" w:sz="4" w:space="0"/>
            </w:tcBorders>
            <w:noWrap w:val="0"/>
            <w:vAlign w:val="center"/>
          </w:tcPr>
          <w:p w14:paraId="336DF2F8">
            <w:pPr>
              <w:topLinePunct/>
              <w:spacing w:before="100" w:beforeAutospacing="1" w:after="100" w:afterAutospacing="1" w:line="440" w:lineRule="exact"/>
              <w:ind w:firstLine="105" w:firstLineChars="50"/>
              <w:jc w:val="center"/>
              <w:rPr>
                <w:color w:val="auto"/>
                <w:highlight w:val="none"/>
              </w:rPr>
            </w:pPr>
            <w:r>
              <w:rPr>
                <w:rFonts w:hint="eastAsia"/>
                <w:color w:val="auto"/>
                <w:highlight w:val="none"/>
              </w:rPr>
              <w:t>类型：</w:t>
            </w:r>
            <w:r>
              <w:rPr>
                <w:color w:val="auto"/>
                <w:highlight w:val="none"/>
              </w:rPr>
              <w:t xml:space="preserve">                    </w:t>
            </w:r>
            <w:r>
              <w:rPr>
                <w:rFonts w:hint="eastAsia"/>
                <w:color w:val="auto"/>
                <w:highlight w:val="none"/>
              </w:rPr>
              <w:t>等级：</w:t>
            </w:r>
            <w:r>
              <w:rPr>
                <w:color w:val="auto"/>
                <w:highlight w:val="none"/>
              </w:rPr>
              <w:t xml:space="preserve">      </w:t>
            </w:r>
            <w:r>
              <w:rPr>
                <w:rFonts w:hint="eastAsia"/>
                <w:color w:val="auto"/>
                <w:highlight w:val="none"/>
              </w:rPr>
              <w:t>证书号：</w:t>
            </w:r>
          </w:p>
        </w:tc>
      </w:tr>
      <w:tr w14:paraId="622704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40CDB6CF">
            <w:pPr>
              <w:topLinePunct/>
              <w:spacing w:before="100" w:beforeAutospacing="1" w:after="100" w:afterAutospacing="1" w:line="440" w:lineRule="exact"/>
              <w:jc w:val="center"/>
              <w:rPr>
                <w:color w:val="auto"/>
                <w:highlight w:val="none"/>
              </w:rPr>
            </w:pPr>
            <w:r>
              <w:rPr>
                <w:rFonts w:hint="eastAsia"/>
                <w:color w:val="auto"/>
                <w:highlight w:val="none"/>
              </w:rPr>
              <w:t>质量管理体系证书（如有）</w:t>
            </w:r>
          </w:p>
        </w:tc>
        <w:tc>
          <w:tcPr>
            <w:tcW w:w="6840" w:type="dxa"/>
            <w:gridSpan w:val="8"/>
            <w:tcBorders>
              <w:top w:val="single" w:color="auto" w:sz="4" w:space="0"/>
              <w:left w:val="single" w:color="auto" w:sz="4" w:space="0"/>
              <w:bottom w:val="single" w:color="auto" w:sz="4" w:space="0"/>
            </w:tcBorders>
            <w:noWrap w:val="0"/>
            <w:vAlign w:val="center"/>
          </w:tcPr>
          <w:p w14:paraId="51C0DB56">
            <w:pPr>
              <w:topLinePunct/>
              <w:spacing w:before="100" w:beforeAutospacing="1" w:after="100" w:afterAutospacing="1" w:line="440" w:lineRule="exact"/>
              <w:ind w:firstLine="105" w:firstLineChars="50"/>
              <w:jc w:val="center"/>
              <w:rPr>
                <w:color w:val="auto"/>
                <w:highlight w:val="none"/>
              </w:rPr>
            </w:pPr>
            <w:r>
              <w:rPr>
                <w:rFonts w:hint="eastAsia"/>
                <w:color w:val="auto"/>
                <w:highlight w:val="none"/>
              </w:rPr>
              <w:t>类型：</w:t>
            </w:r>
            <w:r>
              <w:rPr>
                <w:color w:val="auto"/>
                <w:highlight w:val="none"/>
              </w:rPr>
              <w:t xml:space="preserve">                    </w:t>
            </w:r>
            <w:r>
              <w:rPr>
                <w:rFonts w:hint="eastAsia"/>
                <w:color w:val="auto"/>
                <w:highlight w:val="none"/>
              </w:rPr>
              <w:t>等级：</w:t>
            </w:r>
            <w:r>
              <w:rPr>
                <w:color w:val="auto"/>
                <w:highlight w:val="none"/>
              </w:rPr>
              <w:t xml:space="preserve">      </w:t>
            </w:r>
            <w:r>
              <w:rPr>
                <w:rFonts w:hint="eastAsia"/>
                <w:color w:val="auto"/>
                <w:highlight w:val="none"/>
              </w:rPr>
              <w:t>证书号：</w:t>
            </w:r>
          </w:p>
        </w:tc>
      </w:tr>
      <w:tr w14:paraId="15D557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3C91D619">
            <w:pPr>
              <w:topLinePunct/>
              <w:spacing w:before="100" w:beforeAutospacing="1" w:after="100" w:afterAutospacing="1" w:line="440" w:lineRule="exact"/>
              <w:jc w:val="center"/>
              <w:rPr>
                <w:color w:val="auto"/>
                <w:highlight w:val="none"/>
              </w:rPr>
            </w:pPr>
            <w:r>
              <w:rPr>
                <w:rFonts w:hint="eastAsia"/>
                <w:color w:val="auto"/>
                <w:highlight w:val="none"/>
              </w:rPr>
              <w:t>营业执照号</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5C1D624A">
            <w:pPr>
              <w:topLinePunct/>
              <w:spacing w:line="440" w:lineRule="exact"/>
              <w:jc w:val="center"/>
              <w:rPr>
                <w:color w:val="auto"/>
                <w:highlight w:val="none"/>
              </w:rPr>
            </w:pPr>
          </w:p>
        </w:tc>
        <w:tc>
          <w:tcPr>
            <w:tcW w:w="3629" w:type="dxa"/>
            <w:gridSpan w:val="5"/>
            <w:tcBorders>
              <w:top w:val="single" w:color="auto" w:sz="4" w:space="0"/>
              <w:left w:val="single" w:color="auto" w:sz="4" w:space="0"/>
              <w:bottom w:val="single" w:color="auto" w:sz="4" w:space="0"/>
            </w:tcBorders>
            <w:noWrap w:val="0"/>
            <w:vAlign w:val="center"/>
          </w:tcPr>
          <w:p w14:paraId="6D353499">
            <w:pPr>
              <w:topLinePunct/>
              <w:spacing w:before="100" w:beforeAutospacing="1" w:after="100" w:afterAutospacing="1" w:line="440" w:lineRule="exact"/>
              <w:jc w:val="center"/>
              <w:rPr>
                <w:color w:val="auto"/>
                <w:highlight w:val="none"/>
              </w:rPr>
            </w:pPr>
            <w:r>
              <w:rPr>
                <w:rFonts w:hint="eastAsia"/>
                <w:color w:val="auto"/>
                <w:highlight w:val="none"/>
              </w:rPr>
              <w:t>员工总人数：</w:t>
            </w:r>
          </w:p>
        </w:tc>
      </w:tr>
      <w:tr w14:paraId="7716C4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0264F47A">
            <w:pPr>
              <w:topLinePunct/>
              <w:spacing w:before="100" w:beforeAutospacing="1" w:after="100" w:afterAutospacing="1" w:line="440" w:lineRule="exact"/>
              <w:jc w:val="center"/>
              <w:rPr>
                <w:color w:val="auto"/>
                <w:highlight w:val="none"/>
              </w:rPr>
            </w:pPr>
            <w:r>
              <w:rPr>
                <w:rFonts w:hint="eastAsia"/>
                <w:color w:val="auto"/>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0E51A6CB">
            <w:pPr>
              <w:topLinePunct/>
              <w:spacing w:line="440" w:lineRule="exact"/>
              <w:jc w:val="center"/>
              <w:rPr>
                <w:color w:val="auto"/>
                <w:highlight w:val="none"/>
              </w:rPr>
            </w:pPr>
          </w:p>
        </w:tc>
        <w:tc>
          <w:tcPr>
            <w:tcW w:w="414" w:type="dxa"/>
            <w:vMerge w:val="restart"/>
            <w:tcBorders>
              <w:top w:val="single" w:color="auto" w:sz="4" w:space="0"/>
              <w:left w:val="single" w:color="auto" w:sz="4" w:space="0"/>
              <w:right w:val="single" w:color="auto" w:sz="4" w:space="0"/>
            </w:tcBorders>
            <w:noWrap w:val="0"/>
            <w:vAlign w:val="center"/>
          </w:tcPr>
          <w:p w14:paraId="3DBFBD8F">
            <w:pPr>
              <w:topLinePunct/>
              <w:spacing w:before="100" w:beforeAutospacing="1" w:after="100" w:afterAutospacing="1" w:line="440" w:lineRule="exact"/>
              <w:jc w:val="center"/>
              <w:rPr>
                <w:color w:val="auto"/>
                <w:highlight w:val="none"/>
              </w:rPr>
            </w:pPr>
            <w:r>
              <w:rPr>
                <w:rFonts w:hint="eastAsia"/>
                <w:color w:val="auto"/>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0CE77AEB">
            <w:pPr>
              <w:topLinePunct/>
              <w:spacing w:before="100" w:beforeAutospacing="1" w:after="100" w:afterAutospacing="1" w:line="440" w:lineRule="exact"/>
              <w:jc w:val="center"/>
              <w:rPr>
                <w:color w:val="auto"/>
                <w:highlight w:val="none"/>
              </w:rPr>
            </w:pPr>
            <w:r>
              <w:rPr>
                <w:rFonts w:hint="eastAsia"/>
                <w:color w:val="auto"/>
                <w:highlight w:val="none"/>
              </w:rPr>
              <w:t>高级职称人员</w:t>
            </w:r>
          </w:p>
        </w:tc>
        <w:tc>
          <w:tcPr>
            <w:tcW w:w="1514" w:type="dxa"/>
            <w:gridSpan w:val="2"/>
            <w:tcBorders>
              <w:top w:val="single" w:color="auto" w:sz="4" w:space="0"/>
              <w:left w:val="single" w:color="auto" w:sz="4" w:space="0"/>
              <w:bottom w:val="single" w:color="auto" w:sz="4" w:space="0"/>
            </w:tcBorders>
            <w:noWrap w:val="0"/>
            <w:vAlign w:val="center"/>
          </w:tcPr>
          <w:p w14:paraId="27AC79D1">
            <w:pPr>
              <w:topLinePunct/>
              <w:spacing w:line="440" w:lineRule="exact"/>
              <w:jc w:val="center"/>
              <w:rPr>
                <w:color w:val="auto"/>
                <w:highlight w:val="none"/>
              </w:rPr>
            </w:pPr>
          </w:p>
        </w:tc>
      </w:tr>
      <w:tr w14:paraId="1F9305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2AC9B7FB">
            <w:pPr>
              <w:topLinePunct/>
              <w:spacing w:before="100" w:beforeAutospacing="1" w:after="100" w:afterAutospacing="1" w:line="440" w:lineRule="exact"/>
              <w:jc w:val="center"/>
              <w:rPr>
                <w:color w:val="auto"/>
                <w:highlight w:val="none"/>
              </w:rPr>
            </w:pPr>
            <w:r>
              <w:rPr>
                <w:rFonts w:hint="eastAsia"/>
                <w:color w:val="auto"/>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4C2D1940">
            <w:pPr>
              <w:topLinePunct/>
              <w:spacing w:line="440" w:lineRule="exact"/>
              <w:jc w:val="center"/>
              <w:rPr>
                <w:color w:val="auto"/>
                <w:highlight w:val="none"/>
              </w:rPr>
            </w:pPr>
          </w:p>
        </w:tc>
        <w:tc>
          <w:tcPr>
            <w:tcW w:w="414" w:type="dxa"/>
            <w:vMerge w:val="continue"/>
            <w:tcBorders>
              <w:left w:val="single" w:color="auto" w:sz="4" w:space="0"/>
              <w:right w:val="single" w:color="auto" w:sz="4" w:space="0"/>
            </w:tcBorders>
            <w:noWrap w:val="0"/>
            <w:vAlign w:val="center"/>
          </w:tcPr>
          <w:p w14:paraId="7777FDED">
            <w:pPr>
              <w:jc w:val="center"/>
              <w:rPr>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73BFA1BA">
            <w:pPr>
              <w:topLinePunct/>
              <w:spacing w:before="100" w:beforeAutospacing="1" w:after="100" w:afterAutospacing="1" w:line="440" w:lineRule="exact"/>
              <w:jc w:val="center"/>
              <w:rPr>
                <w:color w:val="auto"/>
                <w:highlight w:val="none"/>
              </w:rPr>
            </w:pPr>
            <w:r>
              <w:rPr>
                <w:rFonts w:hint="eastAsia"/>
                <w:color w:val="auto"/>
                <w:highlight w:val="none"/>
              </w:rPr>
              <w:t>中级职称人员</w:t>
            </w:r>
          </w:p>
        </w:tc>
        <w:tc>
          <w:tcPr>
            <w:tcW w:w="1514" w:type="dxa"/>
            <w:gridSpan w:val="2"/>
            <w:tcBorders>
              <w:top w:val="single" w:color="auto" w:sz="4" w:space="0"/>
              <w:left w:val="single" w:color="auto" w:sz="4" w:space="0"/>
              <w:bottom w:val="single" w:color="auto" w:sz="4" w:space="0"/>
            </w:tcBorders>
            <w:noWrap w:val="0"/>
            <w:vAlign w:val="center"/>
          </w:tcPr>
          <w:p w14:paraId="578C8EFF">
            <w:pPr>
              <w:topLinePunct/>
              <w:spacing w:line="440" w:lineRule="exact"/>
              <w:jc w:val="center"/>
              <w:rPr>
                <w:color w:val="auto"/>
                <w:highlight w:val="none"/>
              </w:rPr>
            </w:pPr>
          </w:p>
        </w:tc>
      </w:tr>
      <w:tr w14:paraId="648435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03F5FB23">
            <w:pPr>
              <w:topLinePunct/>
              <w:spacing w:before="100" w:beforeAutospacing="1" w:after="100" w:afterAutospacing="1" w:line="440" w:lineRule="exact"/>
              <w:jc w:val="center"/>
              <w:rPr>
                <w:color w:val="auto"/>
                <w:highlight w:val="none"/>
              </w:rPr>
            </w:pPr>
            <w:r>
              <w:rPr>
                <w:rFonts w:hint="eastAsia"/>
                <w:color w:val="auto"/>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7F7BB1D7">
            <w:pPr>
              <w:topLinePunct/>
              <w:spacing w:line="440" w:lineRule="exact"/>
              <w:jc w:val="center"/>
              <w:rPr>
                <w:color w:val="auto"/>
                <w:highlight w:val="none"/>
              </w:rPr>
            </w:pPr>
          </w:p>
        </w:tc>
        <w:tc>
          <w:tcPr>
            <w:tcW w:w="414" w:type="dxa"/>
            <w:vMerge w:val="continue"/>
            <w:tcBorders>
              <w:left w:val="single" w:color="auto" w:sz="4" w:space="0"/>
              <w:right w:val="single" w:color="auto" w:sz="4" w:space="0"/>
            </w:tcBorders>
            <w:noWrap w:val="0"/>
            <w:vAlign w:val="center"/>
          </w:tcPr>
          <w:p w14:paraId="4D7DFA7B">
            <w:pPr>
              <w:jc w:val="center"/>
              <w:rPr>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7C7467E2">
            <w:pPr>
              <w:topLinePunct/>
              <w:spacing w:before="100" w:beforeAutospacing="1" w:after="100" w:afterAutospacing="1" w:line="440" w:lineRule="exact"/>
              <w:jc w:val="center"/>
              <w:rPr>
                <w:color w:val="auto"/>
                <w:highlight w:val="none"/>
              </w:rPr>
            </w:pPr>
            <w:r>
              <w:rPr>
                <w:rFonts w:hint="eastAsia"/>
                <w:color w:val="auto"/>
                <w:highlight w:val="none"/>
              </w:rPr>
              <w:t>技术人员数量</w:t>
            </w:r>
          </w:p>
        </w:tc>
        <w:tc>
          <w:tcPr>
            <w:tcW w:w="1514" w:type="dxa"/>
            <w:gridSpan w:val="2"/>
            <w:tcBorders>
              <w:top w:val="single" w:color="auto" w:sz="4" w:space="0"/>
              <w:left w:val="single" w:color="auto" w:sz="4" w:space="0"/>
              <w:bottom w:val="single" w:color="auto" w:sz="4" w:space="0"/>
            </w:tcBorders>
            <w:noWrap w:val="0"/>
            <w:vAlign w:val="center"/>
          </w:tcPr>
          <w:p w14:paraId="3B002E47">
            <w:pPr>
              <w:topLinePunct/>
              <w:spacing w:line="440" w:lineRule="exact"/>
              <w:jc w:val="center"/>
              <w:rPr>
                <w:color w:val="auto"/>
                <w:highlight w:val="none"/>
              </w:rPr>
            </w:pPr>
          </w:p>
        </w:tc>
      </w:tr>
      <w:tr w14:paraId="7D0C81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454672FC">
            <w:pPr>
              <w:topLinePunct/>
              <w:spacing w:before="100" w:beforeAutospacing="1" w:after="100" w:afterAutospacing="1" w:line="440" w:lineRule="exact"/>
              <w:jc w:val="center"/>
              <w:rPr>
                <w:color w:val="auto"/>
                <w:highlight w:val="none"/>
              </w:rPr>
            </w:pPr>
            <w:r>
              <w:rPr>
                <w:rFonts w:hint="eastAsia"/>
                <w:color w:val="auto"/>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61CF7669">
            <w:pPr>
              <w:topLinePunct/>
              <w:spacing w:line="440" w:lineRule="exact"/>
              <w:jc w:val="center"/>
              <w:rPr>
                <w:color w:val="auto"/>
                <w:highlight w:val="none"/>
              </w:rPr>
            </w:pPr>
          </w:p>
        </w:tc>
        <w:tc>
          <w:tcPr>
            <w:tcW w:w="414" w:type="dxa"/>
            <w:vMerge w:val="continue"/>
            <w:tcBorders>
              <w:left w:val="single" w:color="auto" w:sz="4" w:space="0"/>
              <w:right w:val="single" w:color="auto" w:sz="4" w:space="0"/>
            </w:tcBorders>
            <w:noWrap w:val="0"/>
            <w:vAlign w:val="center"/>
          </w:tcPr>
          <w:p w14:paraId="20B9A9CD">
            <w:pPr>
              <w:jc w:val="center"/>
              <w:rPr>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302E2B17">
            <w:pPr>
              <w:topLinePunct/>
              <w:spacing w:before="100" w:beforeAutospacing="1" w:after="100" w:afterAutospacing="1" w:line="440" w:lineRule="exact"/>
              <w:jc w:val="center"/>
              <w:rPr>
                <w:color w:val="auto"/>
                <w:highlight w:val="none"/>
              </w:rPr>
            </w:pPr>
            <w:r>
              <w:rPr>
                <w:rFonts w:hint="eastAsia"/>
                <w:color w:val="auto"/>
                <w:szCs w:val="21"/>
                <w:highlight w:val="none"/>
              </w:rPr>
              <w:t>各类注册人员</w:t>
            </w:r>
          </w:p>
        </w:tc>
        <w:tc>
          <w:tcPr>
            <w:tcW w:w="1514" w:type="dxa"/>
            <w:gridSpan w:val="2"/>
            <w:tcBorders>
              <w:top w:val="single" w:color="auto" w:sz="4" w:space="0"/>
              <w:left w:val="single" w:color="auto" w:sz="4" w:space="0"/>
              <w:bottom w:val="single" w:color="auto" w:sz="4" w:space="0"/>
            </w:tcBorders>
            <w:noWrap w:val="0"/>
            <w:vAlign w:val="center"/>
          </w:tcPr>
          <w:p w14:paraId="5CC024B2">
            <w:pPr>
              <w:topLinePunct/>
              <w:spacing w:line="440" w:lineRule="exact"/>
              <w:jc w:val="center"/>
              <w:rPr>
                <w:color w:val="auto"/>
                <w:highlight w:val="none"/>
              </w:rPr>
            </w:pPr>
          </w:p>
        </w:tc>
      </w:tr>
      <w:tr w14:paraId="5B40EF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right w:val="single" w:color="auto" w:sz="4" w:space="0"/>
            </w:tcBorders>
            <w:noWrap w:val="0"/>
            <w:vAlign w:val="center"/>
          </w:tcPr>
          <w:p w14:paraId="5E40210C">
            <w:pPr>
              <w:topLinePunct/>
              <w:spacing w:before="100" w:beforeAutospacing="1" w:after="100" w:afterAutospacing="1" w:line="440" w:lineRule="exact"/>
              <w:ind w:firstLine="210" w:firstLineChars="100"/>
              <w:jc w:val="center"/>
              <w:rPr>
                <w:color w:val="auto"/>
                <w:highlight w:val="none"/>
              </w:rPr>
            </w:pPr>
            <w:r>
              <w:rPr>
                <w:rFonts w:hint="eastAsia"/>
                <w:color w:val="auto"/>
                <w:highlight w:val="none"/>
              </w:rPr>
              <w:t>经营范围</w:t>
            </w:r>
          </w:p>
        </w:tc>
        <w:tc>
          <w:tcPr>
            <w:tcW w:w="6840" w:type="dxa"/>
            <w:gridSpan w:val="8"/>
            <w:tcBorders>
              <w:top w:val="single" w:color="auto" w:sz="4" w:space="0"/>
              <w:left w:val="single" w:color="auto" w:sz="4" w:space="0"/>
            </w:tcBorders>
            <w:noWrap w:val="0"/>
            <w:vAlign w:val="center"/>
          </w:tcPr>
          <w:p w14:paraId="639CF7A0">
            <w:pPr>
              <w:topLinePunct/>
              <w:spacing w:line="440" w:lineRule="exact"/>
              <w:jc w:val="center"/>
              <w:rPr>
                <w:color w:val="auto"/>
                <w:highlight w:val="none"/>
              </w:rPr>
            </w:pPr>
          </w:p>
        </w:tc>
      </w:tr>
      <w:tr w14:paraId="1FB4D4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right w:val="single" w:color="auto" w:sz="4" w:space="0"/>
            </w:tcBorders>
            <w:noWrap w:val="0"/>
            <w:vAlign w:val="center"/>
          </w:tcPr>
          <w:p w14:paraId="571A4CE0">
            <w:pPr>
              <w:topLinePunct/>
              <w:spacing w:before="100" w:beforeAutospacing="1" w:after="100" w:afterAutospacing="1" w:line="400" w:lineRule="exact"/>
              <w:jc w:val="center"/>
              <w:rPr>
                <w:color w:val="auto"/>
                <w:highlight w:val="none"/>
              </w:rPr>
            </w:pPr>
            <w:r>
              <w:rPr>
                <w:rFonts w:hint="eastAsia"/>
                <w:color w:val="auto"/>
                <w:szCs w:val="21"/>
                <w:highlight w:val="none"/>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tcBorders>
            <w:noWrap w:val="0"/>
            <w:vAlign w:val="center"/>
          </w:tcPr>
          <w:p w14:paraId="1BD2CBA0">
            <w:pPr>
              <w:topLinePunct/>
              <w:spacing w:line="440" w:lineRule="exact"/>
              <w:jc w:val="center"/>
              <w:rPr>
                <w:color w:val="auto"/>
                <w:highlight w:val="none"/>
              </w:rPr>
            </w:pPr>
          </w:p>
        </w:tc>
      </w:tr>
      <w:tr w14:paraId="583261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bottom w:val="single" w:color="auto" w:sz="4" w:space="0"/>
              <w:right w:val="single" w:color="auto" w:sz="4" w:space="0"/>
            </w:tcBorders>
            <w:noWrap w:val="0"/>
            <w:vAlign w:val="center"/>
          </w:tcPr>
          <w:p w14:paraId="6AA55E7F">
            <w:pPr>
              <w:topLinePunct/>
              <w:spacing w:before="100" w:beforeAutospacing="1" w:after="100" w:afterAutospacing="1" w:line="440" w:lineRule="exact"/>
              <w:jc w:val="center"/>
              <w:rPr>
                <w:color w:val="auto"/>
                <w:highlight w:val="none"/>
              </w:rPr>
            </w:pPr>
            <w:r>
              <w:rPr>
                <w:rFonts w:hint="eastAsia"/>
                <w:color w:val="auto"/>
                <w:highlight w:val="none"/>
              </w:rPr>
              <w:t>备注</w:t>
            </w:r>
          </w:p>
        </w:tc>
        <w:tc>
          <w:tcPr>
            <w:tcW w:w="6840" w:type="dxa"/>
            <w:gridSpan w:val="8"/>
            <w:tcBorders>
              <w:top w:val="single" w:color="auto" w:sz="4" w:space="0"/>
              <w:left w:val="single" w:color="auto" w:sz="4" w:space="0"/>
              <w:bottom w:val="single" w:color="auto" w:sz="4" w:space="0"/>
            </w:tcBorders>
            <w:noWrap w:val="0"/>
            <w:vAlign w:val="center"/>
          </w:tcPr>
          <w:p w14:paraId="26299428">
            <w:pPr>
              <w:topLinePunct/>
              <w:spacing w:line="440" w:lineRule="exact"/>
              <w:jc w:val="center"/>
              <w:rPr>
                <w:color w:val="auto"/>
                <w:highlight w:val="none"/>
              </w:rPr>
            </w:pPr>
          </w:p>
        </w:tc>
      </w:tr>
    </w:tbl>
    <w:p w14:paraId="4085AE5E">
      <w:pPr>
        <w:spacing w:line="440" w:lineRule="exact"/>
        <w:rPr>
          <w:rFonts w:hint="eastAsia" w:ascii="楷体_GB2312" w:hAnsi="楷体_GB2312" w:eastAsia="楷体_GB2312" w:cs="楷体_GB2312"/>
          <w:color w:val="auto"/>
          <w:kern w:val="2"/>
          <w:sz w:val="21"/>
          <w:szCs w:val="24"/>
          <w:highlight w:val="none"/>
          <w:lang w:val="en-US" w:eastAsia="zh-CN" w:bidi="ar-SA"/>
        </w:rPr>
      </w:pPr>
      <w:r>
        <w:rPr>
          <w:rFonts w:hint="eastAsia" w:ascii="楷体_GB2312" w:hAnsi="楷体_GB2312" w:eastAsia="楷体_GB2312" w:cs="楷体_GB2312"/>
          <w:color w:val="auto"/>
          <w:kern w:val="2"/>
          <w:sz w:val="21"/>
          <w:szCs w:val="24"/>
          <w:highlight w:val="none"/>
          <w:lang w:val="en-US" w:eastAsia="zh-CN" w:bidi="ar-SA"/>
        </w:rPr>
        <w:t>注：投标人应根据投标人须知第3.5.1项的要求在本表后附相关证明材料。</w:t>
      </w:r>
    </w:p>
    <w:p w14:paraId="65A2C841">
      <w:pPr>
        <w:pStyle w:val="2"/>
        <w:kinsoku w:val="0"/>
        <w:overflowPunct w:val="0"/>
        <w:spacing w:before="38" w:beforeLines="0" w:afterLines="0" w:line="295" w:lineRule="auto"/>
        <w:ind w:left="240" w:right="235"/>
        <w:rPr>
          <w:rFonts w:hint="eastAsia"/>
          <w:color w:val="auto"/>
          <w:sz w:val="21"/>
          <w:highlight w:val="none"/>
        </w:rPr>
        <w:sectPr>
          <w:pgSz w:w="11850" w:h="16840"/>
          <w:pgMar w:top="1480" w:right="1560" w:bottom="1120" w:left="1560" w:header="0" w:footer="921" w:gutter="0"/>
          <w:lnNumType w:countBy="0" w:distance="360"/>
          <w:pgNumType w:fmt="decimal"/>
          <w:cols w:space="720" w:num="1"/>
        </w:sectPr>
      </w:pPr>
    </w:p>
    <w:p w14:paraId="4BE18A4F">
      <w:pPr>
        <w:pStyle w:val="5"/>
        <w:bidi w:val="0"/>
        <w:rPr>
          <w:color w:val="auto"/>
          <w:highlight w:val="none"/>
        </w:rPr>
      </w:pPr>
      <w:bookmarkStart w:id="401" w:name="_Toc1272"/>
      <w:bookmarkStart w:id="402" w:name="_Toc10421"/>
      <w:bookmarkStart w:id="403" w:name="_Toc32085"/>
      <w:bookmarkStart w:id="404" w:name="_Toc16205"/>
      <w:bookmarkStart w:id="405" w:name="_Toc32764"/>
      <w:bookmarkStart w:id="406" w:name="_Toc21629"/>
      <w:bookmarkStart w:id="407" w:name="_Toc26653"/>
      <w:bookmarkStart w:id="408" w:name="_Toc14113"/>
      <w:bookmarkStart w:id="409" w:name="_Toc14105"/>
      <w:bookmarkStart w:id="410" w:name="_Toc29237"/>
      <w:r>
        <w:rPr>
          <w:rFonts w:hint="eastAsia"/>
          <w:color w:val="auto"/>
          <w:highlight w:val="none"/>
        </w:rPr>
        <w:t>（</w:t>
      </w:r>
      <w:r>
        <w:rPr>
          <w:rFonts w:hint="eastAsia"/>
          <w:color w:val="auto"/>
          <w:highlight w:val="none"/>
          <w:lang w:eastAsia="zh-CN"/>
        </w:rPr>
        <w:t>二</w:t>
      </w:r>
      <w:r>
        <w:rPr>
          <w:rFonts w:hint="eastAsia"/>
          <w:color w:val="auto"/>
          <w:highlight w:val="none"/>
        </w:rPr>
        <w:t>）近年完成的类似项目情况表</w:t>
      </w:r>
      <w:bookmarkEnd w:id="401"/>
      <w:bookmarkEnd w:id="402"/>
      <w:bookmarkEnd w:id="403"/>
      <w:bookmarkEnd w:id="404"/>
      <w:bookmarkEnd w:id="405"/>
      <w:bookmarkEnd w:id="406"/>
      <w:bookmarkEnd w:id="407"/>
      <w:bookmarkEnd w:id="408"/>
      <w:bookmarkEnd w:id="409"/>
      <w:bookmarkEnd w:id="410"/>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7"/>
        <w:gridCol w:w="6055"/>
      </w:tblGrid>
      <w:tr w14:paraId="499AD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467" w:type="dxa"/>
            <w:noWrap w:val="0"/>
            <w:vAlign w:val="center"/>
          </w:tcPr>
          <w:p w14:paraId="3A2CB474">
            <w:pPr>
              <w:topLinePunct/>
              <w:spacing w:line="440" w:lineRule="exact"/>
              <w:jc w:val="center"/>
              <w:rPr>
                <w:color w:val="auto"/>
                <w:highlight w:val="none"/>
              </w:rPr>
            </w:pPr>
            <w:r>
              <w:rPr>
                <w:rFonts w:hint="eastAsia"/>
                <w:color w:val="auto"/>
                <w:highlight w:val="none"/>
              </w:rPr>
              <w:t>项目名称</w:t>
            </w:r>
          </w:p>
        </w:tc>
        <w:tc>
          <w:tcPr>
            <w:tcW w:w="6055" w:type="dxa"/>
            <w:noWrap w:val="0"/>
            <w:vAlign w:val="top"/>
          </w:tcPr>
          <w:p w14:paraId="6554086D">
            <w:pPr>
              <w:topLinePunct/>
              <w:spacing w:line="440" w:lineRule="exact"/>
              <w:rPr>
                <w:color w:val="auto"/>
                <w:highlight w:val="none"/>
              </w:rPr>
            </w:pPr>
          </w:p>
        </w:tc>
      </w:tr>
      <w:tr w14:paraId="36E6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467" w:type="dxa"/>
            <w:noWrap w:val="0"/>
            <w:vAlign w:val="center"/>
          </w:tcPr>
          <w:p w14:paraId="24238A10">
            <w:pPr>
              <w:topLinePunct/>
              <w:spacing w:line="440" w:lineRule="exact"/>
              <w:jc w:val="center"/>
              <w:rPr>
                <w:color w:val="auto"/>
                <w:highlight w:val="none"/>
              </w:rPr>
            </w:pPr>
            <w:r>
              <w:rPr>
                <w:rFonts w:hint="eastAsia"/>
                <w:color w:val="auto"/>
                <w:highlight w:val="none"/>
              </w:rPr>
              <w:t>项目所在地</w:t>
            </w:r>
          </w:p>
        </w:tc>
        <w:tc>
          <w:tcPr>
            <w:tcW w:w="6055" w:type="dxa"/>
            <w:noWrap w:val="0"/>
            <w:vAlign w:val="top"/>
          </w:tcPr>
          <w:p w14:paraId="5EAA29AE">
            <w:pPr>
              <w:topLinePunct/>
              <w:spacing w:line="440" w:lineRule="exact"/>
              <w:rPr>
                <w:color w:val="auto"/>
                <w:highlight w:val="none"/>
              </w:rPr>
            </w:pPr>
          </w:p>
        </w:tc>
      </w:tr>
      <w:tr w14:paraId="62196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467" w:type="dxa"/>
            <w:noWrap w:val="0"/>
            <w:vAlign w:val="top"/>
          </w:tcPr>
          <w:p w14:paraId="7F6F704A">
            <w:pPr>
              <w:topLinePunct/>
              <w:spacing w:line="440" w:lineRule="exact"/>
              <w:jc w:val="center"/>
              <w:rPr>
                <w:rFonts w:hint="eastAsia" w:eastAsia="宋体" w:cs="Times New Roman"/>
                <w:color w:val="auto"/>
                <w:highlight w:val="none"/>
              </w:rPr>
            </w:pPr>
            <w:r>
              <w:rPr>
                <w:rFonts w:hint="eastAsia" w:ascii="Calibri" w:hAnsi="Calibri" w:eastAsia="宋体" w:cs="Times New Roman"/>
                <w:color w:val="auto"/>
                <w:sz w:val="21"/>
                <w:highlight w:val="none"/>
              </w:rPr>
              <w:t>委托人</w:t>
            </w:r>
            <w:r>
              <w:rPr>
                <w:rFonts w:hint="eastAsia" w:ascii="Calibri" w:hAnsi="Calibri" w:eastAsia="宋体" w:cs="Times New Roman"/>
                <w:color w:val="auto"/>
                <w:sz w:val="21"/>
                <w:highlight w:val="none"/>
                <w:lang w:eastAsia="zh-CN"/>
              </w:rPr>
              <w:t>（或发包人）</w:t>
            </w:r>
            <w:r>
              <w:rPr>
                <w:rFonts w:hint="eastAsia" w:ascii="Calibri" w:hAnsi="Calibri" w:eastAsia="宋体" w:cs="Times New Roman"/>
                <w:color w:val="auto"/>
                <w:sz w:val="21"/>
                <w:highlight w:val="none"/>
              </w:rPr>
              <w:t>名称</w:t>
            </w:r>
          </w:p>
        </w:tc>
        <w:tc>
          <w:tcPr>
            <w:tcW w:w="6055" w:type="dxa"/>
            <w:noWrap w:val="0"/>
            <w:vAlign w:val="top"/>
          </w:tcPr>
          <w:p w14:paraId="7F3427C4">
            <w:pPr>
              <w:topLinePunct/>
              <w:spacing w:line="440" w:lineRule="exact"/>
              <w:rPr>
                <w:color w:val="auto"/>
                <w:highlight w:val="none"/>
              </w:rPr>
            </w:pPr>
          </w:p>
        </w:tc>
      </w:tr>
      <w:tr w14:paraId="3F30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467" w:type="dxa"/>
            <w:noWrap w:val="0"/>
            <w:vAlign w:val="top"/>
          </w:tcPr>
          <w:p w14:paraId="1A184963">
            <w:pPr>
              <w:topLinePunct/>
              <w:spacing w:line="440" w:lineRule="exact"/>
              <w:jc w:val="center"/>
              <w:rPr>
                <w:rFonts w:hint="eastAsia" w:eastAsia="宋体" w:cs="Times New Roman"/>
                <w:color w:val="auto"/>
                <w:highlight w:val="none"/>
              </w:rPr>
            </w:pPr>
            <w:r>
              <w:rPr>
                <w:rFonts w:hint="eastAsia" w:ascii="Calibri" w:hAnsi="Calibri" w:eastAsia="宋体" w:cs="Times New Roman"/>
                <w:color w:val="auto"/>
                <w:sz w:val="21"/>
                <w:highlight w:val="none"/>
              </w:rPr>
              <w:t>委托人</w:t>
            </w:r>
            <w:r>
              <w:rPr>
                <w:rFonts w:hint="eastAsia" w:ascii="Calibri" w:hAnsi="Calibri" w:eastAsia="宋体" w:cs="Times New Roman"/>
                <w:color w:val="auto"/>
                <w:sz w:val="21"/>
                <w:highlight w:val="none"/>
                <w:lang w:eastAsia="zh-CN"/>
              </w:rPr>
              <w:t>（或发包人）</w:t>
            </w:r>
            <w:r>
              <w:rPr>
                <w:rFonts w:hint="eastAsia" w:ascii="Calibri" w:hAnsi="Calibri" w:eastAsia="宋体" w:cs="Times New Roman"/>
                <w:color w:val="auto"/>
                <w:sz w:val="21"/>
                <w:highlight w:val="none"/>
              </w:rPr>
              <w:t>地址</w:t>
            </w:r>
          </w:p>
        </w:tc>
        <w:tc>
          <w:tcPr>
            <w:tcW w:w="6055" w:type="dxa"/>
            <w:noWrap w:val="0"/>
            <w:vAlign w:val="top"/>
          </w:tcPr>
          <w:p w14:paraId="6522383A">
            <w:pPr>
              <w:topLinePunct/>
              <w:spacing w:line="440" w:lineRule="exact"/>
              <w:rPr>
                <w:color w:val="auto"/>
                <w:highlight w:val="none"/>
              </w:rPr>
            </w:pPr>
          </w:p>
        </w:tc>
      </w:tr>
      <w:tr w14:paraId="30EB4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467" w:type="dxa"/>
            <w:noWrap w:val="0"/>
            <w:vAlign w:val="top"/>
          </w:tcPr>
          <w:p w14:paraId="247B885B">
            <w:pPr>
              <w:topLinePunct/>
              <w:spacing w:line="440" w:lineRule="exact"/>
              <w:jc w:val="center"/>
              <w:rPr>
                <w:rFonts w:hint="eastAsia" w:eastAsia="宋体" w:cs="Times New Roman"/>
                <w:color w:val="auto"/>
                <w:highlight w:val="none"/>
              </w:rPr>
            </w:pPr>
            <w:r>
              <w:rPr>
                <w:rFonts w:hint="eastAsia" w:ascii="Calibri" w:hAnsi="Calibri" w:eastAsia="宋体" w:cs="Times New Roman"/>
                <w:color w:val="auto"/>
                <w:sz w:val="21"/>
                <w:highlight w:val="none"/>
              </w:rPr>
              <w:t>委托人</w:t>
            </w:r>
            <w:r>
              <w:rPr>
                <w:rFonts w:hint="eastAsia" w:ascii="Calibri" w:hAnsi="Calibri" w:eastAsia="宋体" w:cs="Times New Roman"/>
                <w:color w:val="auto"/>
                <w:sz w:val="21"/>
                <w:highlight w:val="none"/>
                <w:lang w:eastAsia="zh-CN"/>
              </w:rPr>
              <w:t>（或发包人）</w:t>
            </w:r>
            <w:r>
              <w:rPr>
                <w:rFonts w:hint="eastAsia" w:ascii="Calibri" w:hAnsi="Calibri" w:eastAsia="宋体" w:cs="Times New Roman"/>
                <w:color w:val="auto"/>
                <w:sz w:val="21"/>
                <w:highlight w:val="none"/>
              </w:rPr>
              <w:t>电话</w:t>
            </w:r>
          </w:p>
        </w:tc>
        <w:tc>
          <w:tcPr>
            <w:tcW w:w="6055" w:type="dxa"/>
            <w:noWrap w:val="0"/>
            <w:vAlign w:val="top"/>
          </w:tcPr>
          <w:p w14:paraId="185D9AFC">
            <w:pPr>
              <w:topLinePunct/>
              <w:spacing w:line="440" w:lineRule="exact"/>
              <w:rPr>
                <w:color w:val="auto"/>
                <w:highlight w:val="none"/>
              </w:rPr>
            </w:pPr>
          </w:p>
        </w:tc>
      </w:tr>
      <w:tr w14:paraId="25112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467" w:type="dxa"/>
            <w:noWrap w:val="0"/>
            <w:vAlign w:val="center"/>
          </w:tcPr>
          <w:p w14:paraId="65ACEEF2">
            <w:pPr>
              <w:topLinePunct/>
              <w:spacing w:line="440" w:lineRule="exact"/>
              <w:jc w:val="center"/>
              <w:rPr>
                <w:color w:val="auto"/>
                <w:highlight w:val="none"/>
              </w:rPr>
            </w:pPr>
            <w:r>
              <w:rPr>
                <w:rFonts w:hint="eastAsia"/>
                <w:color w:val="auto"/>
                <w:highlight w:val="none"/>
              </w:rPr>
              <w:t>合同价格</w:t>
            </w:r>
          </w:p>
        </w:tc>
        <w:tc>
          <w:tcPr>
            <w:tcW w:w="6055" w:type="dxa"/>
            <w:noWrap w:val="0"/>
            <w:vAlign w:val="top"/>
          </w:tcPr>
          <w:p w14:paraId="2BF8D69D">
            <w:pPr>
              <w:topLinePunct/>
              <w:spacing w:line="440" w:lineRule="exact"/>
              <w:rPr>
                <w:color w:val="auto"/>
                <w:highlight w:val="none"/>
              </w:rPr>
            </w:pPr>
          </w:p>
        </w:tc>
      </w:tr>
      <w:tr w14:paraId="54746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467" w:type="dxa"/>
            <w:noWrap w:val="0"/>
            <w:vAlign w:val="center"/>
          </w:tcPr>
          <w:p w14:paraId="43629744">
            <w:pPr>
              <w:topLinePunct/>
              <w:spacing w:line="440" w:lineRule="exact"/>
              <w:jc w:val="center"/>
              <w:rPr>
                <w:color w:val="auto"/>
                <w:highlight w:val="none"/>
              </w:rPr>
            </w:pPr>
            <w:r>
              <w:rPr>
                <w:rFonts w:hint="eastAsia"/>
                <w:color w:val="auto"/>
                <w:highlight w:val="none"/>
              </w:rPr>
              <w:t>监理服务期限</w:t>
            </w:r>
          </w:p>
        </w:tc>
        <w:tc>
          <w:tcPr>
            <w:tcW w:w="6055" w:type="dxa"/>
            <w:noWrap w:val="0"/>
            <w:vAlign w:val="top"/>
          </w:tcPr>
          <w:p w14:paraId="71751957">
            <w:pPr>
              <w:topLinePunct/>
              <w:spacing w:line="440" w:lineRule="exact"/>
              <w:rPr>
                <w:color w:val="auto"/>
                <w:highlight w:val="none"/>
              </w:rPr>
            </w:pPr>
          </w:p>
        </w:tc>
      </w:tr>
      <w:tr w14:paraId="68396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467" w:type="dxa"/>
            <w:noWrap w:val="0"/>
            <w:vAlign w:val="center"/>
          </w:tcPr>
          <w:p w14:paraId="7CFD6412">
            <w:pPr>
              <w:topLinePunct/>
              <w:spacing w:line="440" w:lineRule="exact"/>
              <w:jc w:val="center"/>
              <w:rPr>
                <w:color w:val="auto"/>
                <w:highlight w:val="none"/>
              </w:rPr>
            </w:pPr>
            <w:r>
              <w:rPr>
                <w:rFonts w:hint="eastAsia"/>
                <w:color w:val="auto"/>
                <w:highlight w:val="none"/>
              </w:rPr>
              <w:t>监理内容</w:t>
            </w:r>
          </w:p>
        </w:tc>
        <w:tc>
          <w:tcPr>
            <w:tcW w:w="6055" w:type="dxa"/>
            <w:noWrap w:val="0"/>
            <w:vAlign w:val="top"/>
          </w:tcPr>
          <w:p w14:paraId="7104A217">
            <w:pPr>
              <w:topLinePunct/>
              <w:spacing w:line="440" w:lineRule="exact"/>
              <w:rPr>
                <w:color w:val="auto"/>
                <w:highlight w:val="none"/>
              </w:rPr>
            </w:pPr>
          </w:p>
        </w:tc>
      </w:tr>
      <w:tr w14:paraId="208FA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467" w:type="dxa"/>
            <w:noWrap w:val="0"/>
            <w:vAlign w:val="center"/>
          </w:tcPr>
          <w:p w14:paraId="62D9EA57">
            <w:pPr>
              <w:topLinePunct/>
              <w:spacing w:line="440" w:lineRule="exact"/>
              <w:jc w:val="center"/>
              <w:rPr>
                <w:color w:val="auto"/>
                <w:highlight w:val="none"/>
              </w:rPr>
            </w:pPr>
            <w:r>
              <w:rPr>
                <w:rFonts w:hint="eastAsia"/>
                <w:color w:val="auto"/>
                <w:highlight w:val="none"/>
              </w:rPr>
              <w:t>总监理工程师</w:t>
            </w:r>
          </w:p>
        </w:tc>
        <w:tc>
          <w:tcPr>
            <w:tcW w:w="6055" w:type="dxa"/>
            <w:noWrap w:val="0"/>
            <w:vAlign w:val="top"/>
          </w:tcPr>
          <w:p w14:paraId="37AEEDA3">
            <w:pPr>
              <w:topLinePunct/>
              <w:spacing w:line="440" w:lineRule="exact"/>
              <w:rPr>
                <w:color w:val="auto"/>
                <w:highlight w:val="none"/>
              </w:rPr>
            </w:pPr>
          </w:p>
        </w:tc>
      </w:tr>
      <w:tr w14:paraId="2FEFD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467" w:type="dxa"/>
            <w:noWrap w:val="0"/>
            <w:vAlign w:val="center"/>
          </w:tcPr>
          <w:p w14:paraId="2E464DE3">
            <w:pPr>
              <w:topLinePunct/>
              <w:spacing w:line="440" w:lineRule="exact"/>
              <w:jc w:val="center"/>
              <w:rPr>
                <w:color w:val="auto"/>
                <w:highlight w:val="none"/>
              </w:rPr>
            </w:pPr>
            <w:r>
              <w:rPr>
                <w:rFonts w:hint="eastAsia"/>
                <w:color w:val="auto"/>
                <w:highlight w:val="none"/>
              </w:rPr>
              <w:t>项目描述</w:t>
            </w:r>
          </w:p>
        </w:tc>
        <w:tc>
          <w:tcPr>
            <w:tcW w:w="6055" w:type="dxa"/>
            <w:noWrap w:val="0"/>
            <w:vAlign w:val="top"/>
          </w:tcPr>
          <w:p w14:paraId="47A1E141">
            <w:pPr>
              <w:topLinePunct/>
              <w:spacing w:line="440" w:lineRule="exact"/>
              <w:rPr>
                <w:color w:val="auto"/>
                <w:highlight w:val="none"/>
              </w:rPr>
            </w:pPr>
          </w:p>
          <w:p w14:paraId="533EA7AF">
            <w:pPr>
              <w:topLinePunct/>
              <w:spacing w:line="440" w:lineRule="exact"/>
              <w:rPr>
                <w:color w:val="auto"/>
                <w:highlight w:val="none"/>
              </w:rPr>
            </w:pPr>
          </w:p>
          <w:p w14:paraId="557FF3C7">
            <w:pPr>
              <w:topLinePunct/>
              <w:spacing w:line="440" w:lineRule="exact"/>
              <w:rPr>
                <w:color w:val="auto"/>
                <w:highlight w:val="none"/>
              </w:rPr>
            </w:pPr>
          </w:p>
          <w:p w14:paraId="21A82D07">
            <w:pPr>
              <w:topLinePunct/>
              <w:spacing w:line="440" w:lineRule="exact"/>
              <w:rPr>
                <w:color w:val="auto"/>
                <w:highlight w:val="none"/>
              </w:rPr>
            </w:pPr>
          </w:p>
          <w:p w14:paraId="0CA4FA7D">
            <w:pPr>
              <w:topLinePunct/>
              <w:spacing w:line="440" w:lineRule="exact"/>
              <w:rPr>
                <w:color w:val="auto"/>
                <w:highlight w:val="none"/>
              </w:rPr>
            </w:pPr>
          </w:p>
          <w:p w14:paraId="5BF3AD52">
            <w:pPr>
              <w:topLinePunct/>
              <w:spacing w:line="440" w:lineRule="exact"/>
              <w:rPr>
                <w:color w:val="auto"/>
                <w:highlight w:val="none"/>
              </w:rPr>
            </w:pPr>
          </w:p>
          <w:p w14:paraId="46FEA81F">
            <w:pPr>
              <w:topLinePunct/>
              <w:spacing w:line="440" w:lineRule="exact"/>
              <w:rPr>
                <w:color w:val="auto"/>
                <w:highlight w:val="none"/>
              </w:rPr>
            </w:pPr>
          </w:p>
        </w:tc>
      </w:tr>
      <w:tr w14:paraId="58D94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467" w:type="dxa"/>
            <w:noWrap w:val="0"/>
            <w:vAlign w:val="center"/>
          </w:tcPr>
          <w:p w14:paraId="2F499286">
            <w:pPr>
              <w:topLinePunct/>
              <w:spacing w:line="440" w:lineRule="exact"/>
              <w:jc w:val="center"/>
              <w:rPr>
                <w:color w:val="auto"/>
                <w:highlight w:val="none"/>
              </w:rPr>
            </w:pPr>
            <w:r>
              <w:rPr>
                <w:rFonts w:hint="eastAsia"/>
                <w:color w:val="auto"/>
                <w:highlight w:val="none"/>
              </w:rPr>
              <w:t>备注</w:t>
            </w:r>
          </w:p>
        </w:tc>
        <w:tc>
          <w:tcPr>
            <w:tcW w:w="6055" w:type="dxa"/>
            <w:noWrap w:val="0"/>
            <w:vAlign w:val="top"/>
          </w:tcPr>
          <w:p w14:paraId="58E9AF24">
            <w:pPr>
              <w:topLinePunct/>
              <w:spacing w:line="440" w:lineRule="exact"/>
              <w:rPr>
                <w:color w:val="auto"/>
                <w:highlight w:val="none"/>
              </w:rPr>
            </w:pPr>
          </w:p>
        </w:tc>
      </w:tr>
    </w:tbl>
    <w:p w14:paraId="7F3D041C">
      <w:pPr>
        <w:spacing w:line="440" w:lineRule="exact"/>
        <w:rPr>
          <w:rFonts w:hint="eastAsia" w:ascii="楷体_GB2312" w:hAnsi="楷体_GB2312" w:eastAsia="楷体_GB2312" w:cs="楷体_GB2312"/>
          <w:color w:val="auto"/>
          <w:kern w:val="2"/>
          <w:sz w:val="21"/>
          <w:szCs w:val="24"/>
          <w:highlight w:val="none"/>
          <w:lang w:val="en-US" w:eastAsia="zh-CN" w:bidi="ar-SA"/>
        </w:rPr>
      </w:pPr>
      <w:r>
        <w:rPr>
          <w:rFonts w:hint="eastAsia" w:ascii="楷体_GB2312" w:hAnsi="楷体_GB2312" w:eastAsia="楷体_GB2312" w:cs="楷体_GB2312"/>
          <w:color w:val="auto"/>
          <w:kern w:val="2"/>
          <w:sz w:val="21"/>
          <w:szCs w:val="24"/>
          <w:highlight w:val="none"/>
          <w:lang w:val="en-US" w:eastAsia="zh-CN" w:bidi="ar-SA"/>
        </w:rPr>
        <w:t>注：投标人应根据投标人须知第3.5.3项的要求在本表后附相关证明材料。</w:t>
      </w:r>
    </w:p>
    <w:p w14:paraId="2C54C9C0">
      <w:pPr>
        <w:spacing w:line="440" w:lineRule="exact"/>
        <w:rPr>
          <w:color w:val="auto"/>
          <w:highlight w:val="none"/>
        </w:rPr>
      </w:pPr>
      <w:r>
        <w:rPr>
          <w:color w:val="auto"/>
          <w:highlight w:val="none"/>
        </w:rPr>
        <w:br w:type="page"/>
      </w:r>
    </w:p>
    <w:p w14:paraId="399357D7">
      <w:pPr>
        <w:pStyle w:val="5"/>
        <w:bidi w:val="0"/>
        <w:rPr>
          <w:rFonts w:hint="eastAsia"/>
          <w:color w:val="auto"/>
          <w:highlight w:val="none"/>
          <w:lang w:eastAsia="zh-CN"/>
        </w:rPr>
      </w:pPr>
      <w:bookmarkStart w:id="411" w:name="_Toc384308388"/>
      <w:bookmarkStart w:id="412" w:name="_Toc370676438"/>
      <w:bookmarkStart w:id="413" w:name="_Toc152045810"/>
      <w:bookmarkStart w:id="414" w:name="_Toc22465"/>
      <w:bookmarkStart w:id="415" w:name="_Toc361508766"/>
      <w:bookmarkStart w:id="416" w:name="_Toc25794"/>
      <w:bookmarkStart w:id="417" w:name="_Toc300835226"/>
      <w:bookmarkStart w:id="418" w:name="_Toc247514302"/>
      <w:bookmarkStart w:id="419" w:name="_Toc15632"/>
      <w:bookmarkStart w:id="420" w:name="_Toc12851"/>
      <w:bookmarkStart w:id="421" w:name="_Toc184"/>
      <w:bookmarkStart w:id="422" w:name="_Toc359594247"/>
      <w:bookmarkStart w:id="423" w:name="_Toc152042599"/>
      <w:bookmarkStart w:id="424" w:name="_Toc526786518"/>
      <w:bookmarkStart w:id="425" w:name="_Toc9008"/>
      <w:bookmarkStart w:id="426" w:name="_Toc247527850"/>
      <w:bookmarkStart w:id="427" w:name="_Toc144974878"/>
      <w:bookmarkStart w:id="428" w:name="_Toc19114"/>
      <w:bookmarkStart w:id="429" w:name="_Toc59200721"/>
      <w:bookmarkStart w:id="430" w:name="_Toc18765"/>
      <w:bookmarkStart w:id="431" w:name="_Toc25840"/>
      <w:bookmarkStart w:id="432" w:name="_Toc4414"/>
      <w:bookmarkStart w:id="433" w:name="_Toc15748"/>
      <w:bookmarkStart w:id="434" w:name="_Toc24570"/>
      <w:bookmarkStart w:id="435" w:name="_Toc247514303"/>
      <w:bookmarkStart w:id="436" w:name="_Toc152045811"/>
      <w:bookmarkStart w:id="437" w:name="_Toc247527851"/>
      <w:bookmarkStart w:id="438" w:name="_Toc152042600"/>
      <w:bookmarkStart w:id="439" w:name="_Toc144974879"/>
      <w:r>
        <w:rPr>
          <w:rFonts w:hint="eastAsia"/>
          <w:color w:val="auto"/>
          <w:highlight w:val="none"/>
        </w:rPr>
        <w:t>（</w:t>
      </w:r>
      <w:r>
        <w:rPr>
          <w:rFonts w:hint="eastAsia"/>
          <w:color w:val="auto"/>
          <w:highlight w:val="none"/>
          <w:lang w:eastAsia="zh-CN"/>
        </w:rPr>
        <w:t>三</w:t>
      </w:r>
      <w:r>
        <w:rPr>
          <w:rFonts w:hint="eastAsia"/>
          <w:color w:val="auto"/>
          <w:highlight w:val="none"/>
        </w:rPr>
        <w:t>）正在监理和新承接的项目情况表</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r>
        <w:rPr>
          <w:rFonts w:hint="eastAsia"/>
          <w:color w:val="auto"/>
          <w:highlight w:val="none"/>
          <w:lang w:eastAsia="zh-CN"/>
        </w:rPr>
        <w:t>（如有）</w:t>
      </w:r>
      <w:bookmarkEnd w:id="432"/>
      <w:bookmarkEnd w:id="433"/>
      <w:bookmarkEnd w:id="434"/>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0"/>
        <w:gridCol w:w="5972"/>
      </w:tblGrid>
      <w:tr w14:paraId="62B64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50" w:type="dxa"/>
            <w:noWrap w:val="0"/>
            <w:vAlign w:val="center"/>
          </w:tcPr>
          <w:p w14:paraId="02B2AE7D">
            <w:pPr>
              <w:topLinePunct/>
              <w:spacing w:line="440" w:lineRule="exact"/>
              <w:jc w:val="center"/>
              <w:rPr>
                <w:color w:val="auto"/>
                <w:szCs w:val="21"/>
                <w:highlight w:val="none"/>
              </w:rPr>
            </w:pPr>
            <w:r>
              <w:rPr>
                <w:rFonts w:hint="eastAsia"/>
                <w:color w:val="auto"/>
                <w:szCs w:val="21"/>
                <w:highlight w:val="none"/>
              </w:rPr>
              <w:t>项目名称</w:t>
            </w:r>
          </w:p>
        </w:tc>
        <w:tc>
          <w:tcPr>
            <w:tcW w:w="5972" w:type="dxa"/>
            <w:noWrap w:val="0"/>
            <w:vAlign w:val="top"/>
          </w:tcPr>
          <w:p w14:paraId="1D58DE13">
            <w:pPr>
              <w:topLinePunct/>
              <w:spacing w:line="440" w:lineRule="exact"/>
              <w:rPr>
                <w:color w:val="auto"/>
                <w:highlight w:val="none"/>
              </w:rPr>
            </w:pPr>
          </w:p>
        </w:tc>
      </w:tr>
      <w:tr w14:paraId="5752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50" w:type="dxa"/>
            <w:noWrap w:val="0"/>
            <w:vAlign w:val="center"/>
          </w:tcPr>
          <w:p w14:paraId="31D8C828">
            <w:pPr>
              <w:topLinePunct/>
              <w:spacing w:line="440" w:lineRule="exact"/>
              <w:jc w:val="center"/>
              <w:rPr>
                <w:color w:val="auto"/>
                <w:szCs w:val="21"/>
                <w:highlight w:val="none"/>
              </w:rPr>
            </w:pPr>
            <w:r>
              <w:rPr>
                <w:rFonts w:hint="eastAsia"/>
                <w:color w:val="auto"/>
                <w:szCs w:val="21"/>
                <w:highlight w:val="none"/>
              </w:rPr>
              <w:t>项目所在地</w:t>
            </w:r>
          </w:p>
        </w:tc>
        <w:tc>
          <w:tcPr>
            <w:tcW w:w="5972" w:type="dxa"/>
            <w:noWrap w:val="0"/>
            <w:vAlign w:val="top"/>
          </w:tcPr>
          <w:p w14:paraId="1933A8B2">
            <w:pPr>
              <w:topLinePunct/>
              <w:spacing w:line="440" w:lineRule="exact"/>
              <w:rPr>
                <w:color w:val="auto"/>
                <w:highlight w:val="none"/>
              </w:rPr>
            </w:pPr>
          </w:p>
        </w:tc>
      </w:tr>
      <w:tr w14:paraId="3BF28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50" w:type="dxa"/>
            <w:noWrap w:val="0"/>
            <w:vAlign w:val="top"/>
          </w:tcPr>
          <w:p w14:paraId="3D3BC184">
            <w:pPr>
              <w:topLinePunct/>
              <w:spacing w:line="440" w:lineRule="exact"/>
              <w:jc w:val="center"/>
              <w:rPr>
                <w:rFonts w:hint="eastAsia" w:eastAsia="宋体" w:cs="Times New Roman"/>
                <w:color w:val="auto"/>
                <w:szCs w:val="21"/>
                <w:highlight w:val="none"/>
              </w:rPr>
            </w:pPr>
            <w:r>
              <w:rPr>
                <w:rFonts w:hint="eastAsia" w:ascii="Calibri" w:hAnsi="Calibri" w:eastAsia="宋体" w:cs="Times New Roman"/>
                <w:color w:val="auto"/>
                <w:sz w:val="21"/>
                <w:szCs w:val="21"/>
                <w:highlight w:val="none"/>
              </w:rPr>
              <w:t>委托人</w:t>
            </w:r>
            <w:r>
              <w:rPr>
                <w:rFonts w:hint="eastAsia" w:ascii="Calibri" w:hAnsi="Calibri" w:eastAsia="宋体" w:cs="Times New Roman"/>
                <w:color w:val="auto"/>
                <w:sz w:val="21"/>
                <w:szCs w:val="21"/>
                <w:highlight w:val="none"/>
                <w:lang w:eastAsia="zh-CN"/>
              </w:rPr>
              <w:t>（或发包人）</w:t>
            </w:r>
            <w:r>
              <w:rPr>
                <w:rFonts w:hint="eastAsia" w:ascii="Calibri" w:hAnsi="Calibri" w:eastAsia="宋体" w:cs="Times New Roman"/>
                <w:color w:val="auto"/>
                <w:sz w:val="21"/>
                <w:szCs w:val="21"/>
                <w:highlight w:val="none"/>
              </w:rPr>
              <w:t>名称</w:t>
            </w:r>
          </w:p>
        </w:tc>
        <w:tc>
          <w:tcPr>
            <w:tcW w:w="5972" w:type="dxa"/>
            <w:noWrap w:val="0"/>
            <w:vAlign w:val="top"/>
          </w:tcPr>
          <w:p w14:paraId="4EC80B18">
            <w:pPr>
              <w:topLinePunct/>
              <w:spacing w:line="440" w:lineRule="exact"/>
              <w:rPr>
                <w:color w:val="auto"/>
                <w:highlight w:val="none"/>
              </w:rPr>
            </w:pPr>
          </w:p>
        </w:tc>
      </w:tr>
      <w:tr w14:paraId="210AD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50" w:type="dxa"/>
            <w:noWrap w:val="0"/>
            <w:vAlign w:val="top"/>
          </w:tcPr>
          <w:p w14:paraId="783A23B0">
            <w:pPr>
              <w:topLinePunct/>
              <w:spacing w:line="440" w:lineRule="exact"/>
              <w:jc w:val="center"/>
              <w:rPr>
                <w:rFonts w:hint="eastAsia" w:eastAsia="宋体" w:cs="Times New Roman"/>
                <w:color w:val="auto"/>
                <w:szCs w:val="21"/>
                <w:highlight w:val="none"/>
              </w:rPr>
            </w:pPr>
            <w:r>
              <w:rPr>
                <w:rFonts w:hint="eastAsia" w:ascii="Calibri" w:hAnsi="Calibri" w:eastAsia="宋体" w:cs="Times New Roman"/>
                <w:color w:val="auto"/>
                <w:sz w:val="21"/>
                <w:szCs w:val="21"/>
                <w:highlight w:val="none"/>
              </w:rPr>
              <w:t>委托人</w:t>
            </w:r>
            <w:r>
              <w:rPr>
                <w:rFonts w:hint="eastAsia" w:ascii="Calibri" w:hAnsi="Calibri" w:eastAsia="宋体" w:cs="Times New Roman"/>
                <w:color w:val="auto"/>
                <w:sz w:val="21"/>
                <w:szCs w:val="21"/>
                <w:highlight w:val="none"/>
                <w:lang w:eastAsia="zh-CN"/>
              </w:rPr>
              <w:t>（或发包人）</w:t>
            </w:r>
            <w:r>
              <w:rPr>
                <w:rFonts w:hint="eastAsia" w:ascii="Calibri" w:hAnsi="Calibri" w:eastAsia="宋体" w:cs="Times New Roman"/>
                <w:color w:val="auto"/>
                <w:sz w:val="21"/>
                <w:szCs w:val="21"/>
                <w:highlight w:val="none"/>
              </w:rPr>
              <w:t>地址</w:t>
            </w:r>
          </w:p>
        </w:tc>
        <w:tc>
          <w:tcPr>
            <w:tcW w:w="5972" w:type="dxa"/>
            <w:noWrap w:val="0"/>
            <w:vAlign w:val="top"/>
          </w:tcPr>
          <w:p w14:paraId="74D7C79D">
            <w:pPr>
              <w:topLinePunct/>
              <w:spacing w:line="440" w:lineRule="exact"/>
              <w:rPr>
                <w:color w:val="auto"/>
                <w:highlight w:val="none"/>
              </w:rPr>
            </w:pPr>
          </w:p>
        </w:tc>
      </w:tr>
      <w:tr w14:paraId="21377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50" w:type="dxa"/>
            <w:noWrap w:val="0"/>
            <w:vAlign w:val="top"/>
          </w:tcPr>
          <w:p w14:paraId="3586B62C">
            <w:pPr>
              <w:topLinePunct/>
              <w:spacing w:line="440" w:lineRule="exact"/>
              <w:jc w:val="center"/>
              <w:rPr>
                <w:rFonts w:hint="eastAsia" w:eastAsia="宋体" w:cs="Times New Roman"/>
                <w:color w:val="auto"/>
                <w:szCs w:val="21"/>
                <w:highlight w:val="none"/>
              </w:rPr>
            </w:pPr>
            <w:r>
              <w:rPr>
                <w:rFonts w:hint="eastAsia" w:ascii="Calibri" w:hAnsi="Calibri" w:eastAsia="宋体" w:cs="Times New Roman"/>
                <w:color w:val="auto"/>
                <w:sz w:val="21"/>
                <w:szCs w:val="21"/>
                <w:highlight w:val="none"/>
              </w:rPr>
              <w:t>委托人</w:t>
            </w:r>
            <w:r>
              <w:rPr>
                <w:rFonts w:hint="eastAsia" w:ascii="Calibri" w:hAnsi="Calibri" w:eastAsia="宋体" w:cs="Times New Roman"/>
                <w:color w:val="auto"/>
                <w:sz w:val="21"/>
                <w:szCs w:val="21"/>
                <w:highlight w:val="none"/>
                <w:lang w:eastAsia="zh-CN"/>
              </w:rPr>
              <w:t>（或发包人）</w:t>
            </w:r>
            <w:r>
              <w:rPr>
                <w:rFonts w:hint="eastAsia" w:ascii="Calibri" w:hAnsi="Calibri" w:eastAsia="宋体" w:cs="Times New Roman"/>
                <w:color w:val="auto"/>
                <w:sz w:val="21"/>
                <w:szCs w:val="21"/>
                <w:highlight w:val="none"/>
              </w:rPr>
              <w:t>电话</w:t>
            </w:r>
          </w:p>
        </w:tc>
        <w:tc>
          <w:tcPr>
            <w:tcW w:w="5972" w:type="dxa"/>
            <w:noWrap w:val="0"/>
            <w:vAlign w:val="top"/>
          </w:tcPr>
          <w:p w14:paraId="1BC42C9D">
            <w:pPr>
              <w:topLinePunct/>
              <w:spacing w:line="440" w:lineRule="exact"/>
              <w:rPr>
                <w:color w:val="auto"/>
                <w:highlight w:val="none"/>
              </w:rPr>
            </w:pPr>
          </w:p>
        </w:tc>
      </w:tr>
      <w:tr w14:paraId="03D3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50" w:type="dxa"/>
            <w:noWrap w:val="0"/>
            <w:vAlign w:val="center"/>
          </w:tcPr>
          <w:p w14:paraId="3C34F2AE">
            <w:pPr>
              <w:topLinePunct/>
              <w:spacing w:line="440" w:lineRule="exact"/>
              <w:jc w:val="center"/>
              <w:rPr>
                <w:color w:val="auto"/>
                <w:szCs w:val="21"/>
                <w:highlight w:val="none"/>
              </w:rPr>
            </w:pPr>
            <w:r>
              <w:rPr>
                <w:rFonts w:hint="eastAsia"/>
                <w:color w:val="auto"/>
                <w:szCs w:val="21"/>
                <w:highlight w:val="none"/>
              </w:rPr>
              <w:t>签约合同价</w:t>
            </w:r>
          </w:p>
        </w:tc>
        <w:tc>
          <w:tcPr>
            <w:tcW w:w="5972" w:type="dxa"/>
            <w:noWrap w:val="0"/>
            <w:vAlign w:val="top"/>
          </w:tcPr>
          <w:p w14:paraId="2E11E8AA">
            <w:pPr>
              <w:topLinePunct/>
              <w:spacing w:line="440" w:lineRule="exact"/>
              <w:rPr>
                <w:color w:val="auto"/>
                <w:highlight w:val="none"/>
              </w:rPr>
            </w:pPr>
          </w:p>
        </w:tc>
      </w:tr>
      <w:tr w14:paraId="105BD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50" w:type="dxa"/>
            <w:noWrap w:val="0"/>
            <w:vAlign w:val="center"/>
          </w:tcPr>
          <w:p w14:paraId="3FEA0F82">
            <w:pPr>
              <w:topLinePunct/>
              <w:spacing w:line="440" w:lineRule="exact"/>
              <w:jc w:val="center"/>
              <w:rPr>
                <w:color w:val="auto"/>
                <w:szCs w:val="21"/>
                <w:highlight w:val="none"/>
              </w:rPr>
            </w:pPr>
            <w:r>
              <w:rPr>
                <w:rFonts w:hint="eastAsia"/>
                <w:color w:val="auto"/>
                <w:szCs w:val="21"/>
                <w:highlight w:val="none"/>
              </w:rPr>
              <w:t>监理服务期限</w:t>
            </w:r>
          </w:p>
        </w:tc>
        <w:tc>
          <w:tcPr>
            <w:tcW w:w="5972" w:type="dxa"/>
            <w:noWrap w:val="0"/>
            <w:vAlign w:val="top"/>
          </w:tcPr>
          <w:p w14:paraId="18116CF0">
            <w:pPr>
              <w:topLinePunct/>
              <w:spacing w:line="440" w:lineRule="exact"/>
              <w:rPr>
                <w:color w:val="auto"/>
                <w:highlight w:val="none"/>
              </w:rPr>
            </w:pPr>
          </w:p>
        </w:tc>
      </w:tr>
      <w:tr w14:paraId="0E126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50" w:type="dxa"/>
            <w:noWrap w:val="0"/>
            <w:vAlign w:val="center"/>
          </w:tcPr>
          <w:p w14:paraId="0577859C">
            <w:pPr>
              <w:topLinePunct/>
              <w:spacing w:line="440" w:lineRule="exact"/>
              <w:jc w:val="center"/>
              <w:rPr>
                <w:color w:val="auto"/>
                <w:szCs w:val="21"/>
                <w:highlight w:val="none"/>
              </w:rPr>
            </w:pPr>
            <w:r>
              <w:rPr>
                <w:rFonts w:hint="eastAsia"/>
                <w:color w:val="auto"/>
                <w:szCs w:val="21"/>
                <w:highlight w:val="none"/>
              </w:rPr>
              <w:t>监理内容</w:t>
            </w:r>
          </w:p>
        </w:tc>
        <w:tc>
          <w:tcPr>
            <w:tcW w:w="5972" w:type="dxa"/>
            <w:noWrap w:val="0"/>
            <w:vAlign w:val="top"/>
          </w:tcPr>
          <w:p w14:paraId="1A112E75">
            <w:pPr>
              <w:topLinePunct/>
              <w:spacing w:line="440" w:lineRule="exact"/>
              <w:rPr>
                <w:color w:val="auto"/>
                <w:highlight w:val="none"/>
              </w:rPr>
            </w:pPr>
          </w:p>
        </w:tc>
      </w:tr>
      <w:tr w14:paraId="01FCB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50" w:type="dxa"/>
            <w:noWrap w:val="0"/>
            <w:vAlign w:val="center"/>
          </w:tcPr>
          <w:p w14:paraId="1E740CE3">
            <w:pPr>
              <w:topLinePunct/>
              <w:spacing w:line="440" w:lineRule="exact"/>
              <w:jc w:val="center"/>
              <w:rPr>
                <w:color w:val="auto"/>
                <w:szCs w:val="21"/>
                <w:highlight w:val="none"/>
              </w:rPr>
            </w:pPr>
            <w:r>
              <w:rPr>
                <w:rFonts w:hint="eastAsia"/>
                <w:color w:val="auto"/>
                <w:szCs w:val="21"/>
                <w:highlight w:val="none"/>
              </w:rPr>
              <w:t>总监理工程师</w:t>
            </w:r>
          </w:p>
        </w:tc>
        <w:tc>
          <w:tcPr>
            <w:tcW w:w="5972" w:type="dxa"/>
            <w:noWrap w:val="0"/>
            <w:vAlign w:val="top"/>
          </w:tcPr>
          <w:p w14:paraId="6C570E89">
            <w:pPr>
              <w:topLinePunct/>
              <w:spacing w:line="440" w:lineRule="exact"/>
              <w:rPr>
                <w:color w:val="auto"/>
                <w:highlight w:val="none"/>
              </w:rPr>
            </w:pPr>
          </w:p>
        </w:tc>
      </w:tr>
      <w:tr w14:paraId="2E84A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50" w:type="dxa"/>
            <w:noWrap w:val="0"/>
            <w:vAlign w:val="center"/>
          </w:tcPr>
          <w:p w14:paraId="52D6A98D">
            <w:pPr>
              <w:topLinePunct/>
              <w:spacing w:line="440" w:lineRule="exact"/>
              <w:jc w:val="center"/>
              <w:rPr>
                <w:color w:val="auto"/>
                <w:szCs w:val="21"/>
                <w:highlight w:val="none"/>
              </w:rPr>
            </w:pPr>
            <w:r>
              <w:rPr>
                <w:rFonts w:hint="eastAsia"/>
                <w:color w:val="auto"/>
                <w:szCs w:val="21"/>
                <w:highlight w:val="none"/>
              </w:rPr>
              <w:t>项目描述</w:t>
            </w:r>
          </w:p>
        </w:tc>
        <w:tc>
          <w:tcPr>
            <w:tcW w:w="5972" w:type="dxa"/>
            <w:noWrap w:val="0"/>
            <w:vAlign w:val="top"/>
          </w:tcPr>
          <w:p w14:paraId="38C20606">
            <w:pPr>
              <w:topLinePunct/>
              <w:spacing w:line="440" w:lineRule="exact"/>
              <w:rPr>
                <w:color w:val="auto"/>
                <w:highlight w:val="none"/>
              </w:rPr>
            </w:pPr>
          </w:p>
          <w:p w14:paraId="2C692633">
            <w:pPr>
              <w:topLinePunct/>
              <w:spacing w:line="440" w:lineRule="exact"/>
              <w:rPr>
                <w:color w:val="auto"/>
                <w:highlight w:val="none"/>
              </w:rPr>
            </w:pPr>
          </w:p>
          <w:p w14:paraId="47B43A44">
            <w:pPr>
              <w:topLinePunct/>
              <w:spacing w:line="440" w:lineRule="exact"/>
              <w:rPr>
                <w:color w:val="auto"/>
                <w:highlight w:val="none"/>
              </w:rPr>
            </w:pPr>
          </w:p>
          <w:p w14:paraId="0B330718">
            <w:pPr>
              <w:topLinePunct/>
              <w:spacing w:line="440" w:lineRule="exact"/>
              <w:rPr>
                <w:color w:val="auto"/>
                <w:highlight w:val="none"/>
              </w:rPr>
            </w:pPr>
          </w:p>
          <w:p w14:paraId="780121C9">
            <w:pPr>
              <w:topLinePunct/>
              <w:spacing w:line="440" w:lineRule="exact"/>
              <w:rPr>
                <w:color w:val="auto"/>
                <w:highlight w:val="none"/>
              </w:rPr>
            </w:pPr>
          </w:p>
        </w:tc>
      </w:tr>
      <w:tr w14:paraId="5DF5F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50" w:type="dxa"/>
            <w:noWrap w:val="0"/>
            <w:vAlign w:val="center"/>
          </w:tcPr>
          <w:p w14:paraId="55F371D8">
            <w:pPr>
              <w:topLinePunct/>
              <w:spacing w:line="440" w:lineRule="exact"/>
              <w:jc w:val="center"/>
              <w:rPr>
                <w:color w:val="auto"/>
                <w:szCs w:val="21"/>
                <w:highlight w:val="none"/>
              </w:rPr>
            </w:pPr>
            <w:r>
              <w:rPr>
                <w:rFonts w:hint="eastAsia"/>
                <w:color w:val="auto"/>
                <w:szCs w:val="21"/>
                <w:highlight w:val="none"/>
              </w:rPr>
              <w:t>备注</w:t>
            </w:r>
          </w:p>
        </w:tc>
        <w:tc>
          <w:tcPr>
            <w:tcW w:w="5972" w:type="dxa"/>
            <w:noWrap w:val="0"/>
            <w:vAlign w:val="top"/>
          </w:tcPr>
          <w:p w14:paraId="73EECBF8">
            <w:pPr>
              <w:topLinePunct/>
              <w:spacing w:line="440" w:lineRule="exact"/>
              <w:rPr>
                <w:color w:val="auto"/>
                <w:highlight w:val="none"/>
              </w:rPr>
            </w:pPr>
          </w:p>
          <w:bookmarkEnd w:id="435"/>
          <w:bookmarkEnd w:id="436"/>
          <w:bookmarkEnd w:id="437"/>
          <w:bookmarkEnd w:id="438"/>
          <w:bookmarkEnd w:id="439"/>
        </w:tc>
      </w:tr>
    </w:tbl>
    <w:p w14:paraId="4542BDE9">
      <w:pPr>
        <w:spacing w:line="360" w:lineRule="auto"/>
        <w:ind w:firstLine="420" w:firstLineChars="200"/>
        <w:rPr>
          <w:rFonts w:hint="eastAsia" w:ascii="宋体" w:hAnsi="宋体" w:eastAsia="宋体" w:cs="Times New Roman"/>
          <w:color w:val="auto"/>
          <w:highlight w:val="none"/>
          <w:u w:val="single"/>
        </w:rPr>
      </w:pPr>
    </w:p>
    <w:p w14:paraId="0BC2F8CE">
      <w:pPr>
        <w:spacing w:line="360" w:lineRule="auto"/>
        <w:ind w:firstLine="420" w:firstLineChars="200"/>
        <w:rPr>
          <w:rFonts w:hint="eastAsia" w:ascii="宋体" w:hAnsi="宋体" w:eastAsia="宋体" w:cs="Times New Roman"/>
          <w:color w:val="auto"/>
          <w:highlight w:val="none"/>
          <w:u w:val="none"/>
          <w:lang w:val="en-US" w:eastAsia="zh-CN"/>
        </w:rPr>
      </w:pPr>
      <w:r>
        <w:rPr>
          <w:rFonts w:hint="eastAsia" w:ascii="宋体" w:hAnsi="宋体" w:eastAsia="宋体" w:cs="Times New Roman"/>
          <w:color w:val="auto"/>
          <w:highlight w:val="none"/>
          <w:u w:val="none"/>
          <w:lang w:val="en-US" w:eastAsia="zh-CN"/>
        </w:rPr>
        <w:t>本招标项目不需要提供此项内容。如投标人认为有需要提供，投标人应根据投标人须知第3.5.4项的要求在本表后附相关证明材料。</w:t>
      </w:r>
    </w:p>
    <w:p w14:paraId="3F094D3D">
      <w:pPr>
        <w:pStyle w:val="18"/>
        <w:ind w:firstLine="416" w:firstLineChars="200"/>
        <w:rPr>
          <w:rFonts w:hint="eastAsia" w:eastAsia="楷体_GB2312"/>
          <w:color w:val="auto"/>
          <w:highlight w:val="none"/>
          <w:lang w:eastAsia="zh-CN"/>
        </w:rPr>
      </w:pPr>
      <w:r>
        <w:rPr>
          <w:rFonts w:hint="eastAsia" w:ascii="楷体_GB2312" w:hAnsi="楷体_GB2312" w:eastAsia="楷体_GB2312" w:cs="楷体_GB2312"/>
          <w:color w:val="auto"/>
          <w:spacing w:val="-1"/>
          <w:highlight w:val="none"/>
        </w:rPr>
        <w:t>注：需明确是否需提供此项内容</w:t>
      </w:r>
      <w:r>
        <w:rPr>
          <w:rFonts w:hint="eastAsia" w:ascii="楷体_GB2312" w:hAnsi="楷体_GB2312" w:eastAsia="楷体_GB2312" w:cs="楷体_GB2312"/>
          <w:color w:val="auto"/>
          <w:spacing w:val="-1"/>
          <w:highlight w:val="none"/>
          <w:lang w:eastAsia="zh-CN"/>
        </w:rPr>
        <w:t>。</w:t>
      </w:r>
    </w:p>
    <w:p w14:paraId="295D59F7">
      <w:pPr>
        <w:spacing w:line="440" w:lineRule="exact"/>
        <w:rPr>
          <w:color w:val="auto"/>
          <w:highlight w:val="none"/>
        </w:rPr>
      </w:pPr>
    </w:p>
    <w:p w14:paraId="2F05FF71">
      <w:pPr>
        <w:spacing w:line="440" w:lineRule="exact"/>
        <w:rPr>
          <w:color w:val="auto"/>
          <w:highlight w:val="none"/>
        </w:rPr>
      </w:pPr>
    </w:p>
    <w:p w14:paraId="153F3CED">
      <w:pPr>
        <w:pStyle w:val="84"/>
        <w:rPr>
          <w:rFonts w:hint="eastAsia"/>
          <w:color w:val="auto"/>
          <w:highlight w:val="none"/>
        </w:rPr>
      </w:pPr>
    </w:p>
    <w:p w14:paraId="7656C5F6">
      <w:pPr>
        <w:pStyle w:val="84"/>
        <w:rPr>
          <w:rFonts w:hint="eastAsia"/>
          <w:color w:val="auto"/>
          <w:highlight w:val="none"/>
        </w:rPr>
      </w:pPr>
    </w:p>
    <w:p w14:paraId="3BF80D43">
      <w:pPr>
        <w:pStyle w:val="84"/>
        <w:rPr>
          <w:rFonts w:hint="eastAsia"/>
          <w:color w:val="auto"/>
          <w:highlight w:val="none"/>
        </w:rPr>
      </w:pPr>
    </w:p>
    <w:p w14:paraId="35DE73BA">
      <w:pPr>
        <w:pStyle w:val="84"/>
        <w:rPr>
          <w:rFonts w:hint="eastAsia"/>
          <w:color w:val="auto"/>
          <w:highlight w:val="none"/>
        </w:rPr>
      </w:pPr>
    </w:p>
    <w:p w14:paraId="474EC762">
      <w:pPr>
        <w:pStyle w:val="84"/>
        <w:rPr>
          <w:rFonts w:hint="eastAsia"/>
          <w:color w:val="auto"/>
          <w:highlight w:val="none"/>
        </w:rPr>
      </w:pPr>
    </w:p>
    <w:p w14:paraId="6A0D7801">
      <w:pPr>
        <w:pStyle w:val="84"/>
        <w:rPr>
          <w:color w:val="auto"/>
          <w:highlight w:val="none"/>
        </w:rPr>
      </w:pPr>
    </w:p>
    <w:p w14:paraId="5F05A718">
      <w:pPr>
        <w:rPr>
          <w:color w:val="auto"/>
          <w:highlight w:val="none"/>
        </w:rPr>
      </w:pPr>
    </w:p>
    <w:p w14:paraId="0601A26B">
      <w:pPr>
        <w:pStyle w:val="5"/>
        <w:bidi w:val="0"/>
        <w:rPr>
          <w:color w:val="auto"/>
          <w:highlight w:val="none"/>
        </w:rPr>
      </w:pPr>
      <w:bookmarkStart w:id="440" w:name="_Toc5361"/>
      <w:bookmarkStart w:id="441" w:name="_Toc9502"/>
      <w:bookmarkStart w:id="442" w:name="_Toc30452"/>
      <w:bookmarkStart w:id="443" w:name="_Toc16858"/>
      <w:bookmarkStart w:id="444" w:name="_Toc1477"/>
      <w:bookmarkStart w:id="445" w:name="_Toc26786"/>
      <w:bookmarkStart w:id="446" w:name="_Toc24889"/>
      <w:bookmarkStart w:id="447" w:name="_Toc17080"/>
      <w:bookmarkStart w:id="448" w:name="_Toc27258"/>
      <w:bookmarkStart w:id="449" w:name="_Toc5834"/>
      <w:r>
        <w:rPr>
          <w:rFonts w:hint="eastAsia"/>
          <w:color w:val="auto"/>
          <w:highlight w:val="none"/>
        </w:rPr>
        <w:t>（</w:t>
      </w:r>
      <w:r>
        <w:rPr>
          <w:rFonts w:hint="eastAsia"/>
          <w:color w:val="auto"/>
          <w:highlight w:val="none"/>
          <w:lang w:eastAsia="zh-CN"/>
        </w:rPr>
        <w:t>四</w:t>
      </w:r>
      <w:r>
        <w:rPr>
          <w:rFonts w:hint="eastAsia"/>
          <w:color w:val="auto"/>
          <w:highlight w:val="none"/>
        </w:rPr>
        <w:t>）拟委任的主要人员汇总表</w:t>
      </w:r>
      <w:bookmarkEnd w:id="440"/>
      <w:bookmarkEnd w:id="441"/>
      <w:bookmarkEnd w:id="442"/>
      <w:bookmarkEnd w:id="443"/>
      <w:bookmarkEnd w:id="444"/>
      <w:bookmarkEnd w:id="445"/>
      <w:bookmarkEnd w:id="446"/>
      <w:bookmarkEnd w:id="447"/>
      <w:bookmarkEnd w:id="448"/>
      <w:bookmarkEnd w:id="449"/>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5"/>
        <w:gridCol w:w="992"/>
        <w:gridCol w:w="603"/>
        <w:gridCol w:w="488"/>
        <w:gridCol w:w="1134"/>
        <w:gridCol w:w="709"/>
        <w:gridCol w:w="871"/>
        <w:gridCol w:w="1134"/>
      </w:tblGrid>
      <w:tr w14:paraId="2850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restart"/>
            <w:noWrap w:val="0"/>
            <w:vAlign w:val="center"/>
          </w:tcPr>
          <w:p w14:paraId="3A6BFA10">
            <w:pPr>
              <w:spacing w:line="440" w:lineRule="exact"/>
              <w:jc w:val="center"/>
              <w:rPr>
                <w:color w:val="auto"/>
                <w:highlight w:val="none"/>
              </w:rPr>
            </w:pPr>
            <w:r>
              <w:rPr>
                <w:rFonts w:hint="eastAsia"/>
                <w:color w:val="auto"/>
                <w:highlight w:val="none"/>
              </w:rPr>
              <w:t>序号</w:t>
            </w:r>
          </w:p>
        </w:tc>
        <w:tc>
          <w:tcPr>
            <w:tcW w:w="1275" w:type="dxa"/>
            <w:vMerge w:val="restart"/>
            <w:noWrap w:val="0"/>
            <w:vAlign w:val="center"/>
          </w:tcPr>
          <w:p w14:paraId="708FB67C">
            <w:pPr>
              <w:spacing w:line="440" w:lineRule="exact"/>
              <w:jc w:val="center"/>
              <w:rPr>
                <w:color w:val="auto"/>
                <w:highlight w:val="none"/>
              </w:rPr>
            </w:pPr>
            <w:r>
              <w:rPr>
                <w:rFonts w:hint="eastAsia"/>
                <w:color w:val="auto"/>
                <w:highlight w:val="none"/>
              </w:rPr>
              <w:t>本项目任职</w:t>
            </w:r>
          </w:p>
        </w:tc>
        <w:tc>
          <w:tcPr>
            <w:tcW w:w="992" w:type="dxa"/>
            <w:vMerge w:val="restart"/>
            <w:noWrap w:val="0"/>
            <w:vAlign w:val="center"/>
          </w:tcPr>
          <w:p w14:paraId="0028ADD0">
            <w:pPr>
              <w:spacing w:line="440" w:lineRule="exact"/>
              <w:jc w:val="center"/>
              <w:rPr>
                <w:color w:val="auto"/>
                <w:highlight w:val="none"/>
              </w:rPr>
            </w:pPr>
            <w:r>
              <w:rPr>
                <w:rFonts w:hint="eastAsia"/>
                <w:color w:val="auto"/>
                <w:highlight w:val="none"/>
              </w:rPr>
              <w:t>姓名</w:t>
            </w:r>
          </w:p>
        </w:tc>
        <w:tc>
          <w:tcPr>
            <w:tcW w:w="603" w:type="dxa"/>
            <w:vMerge w:val="restart"/>
            <w:noWrap w:val="0"/>
            <w:vAlign w:val="center"/>
          </w:tcPr>
          <w:p w14:paraId="00AC71D3">
            <w:pPr>
              <w:spacing w:line="440" w:lineRule="exact"/>
              <w:jc w:val="center"/>
              <w:rPr>
                <w:color w:val="auto"/>
                <w:highlight w:val="none"/>
              </w:rPr>
            </w:pPr>
            <w:r>
              <w:rPr>
                <w:rFonts w:hint="eastAsia"/>
                <w:color w:val="auto"/>
                <w:highlight w:val="none"/>
              </w:rPr>
              <w:t>职称</w:t>
            </w:r>
          </w:p>
        </w:tc>
        <w:tc>
          <w:tcPr>
            <w:tcW w:w="488" w:type="dxa"/>
            <w:vMerge w:val="restart"/>
            <w:noWrap w:val="0"/>
            <w:vAlign w:val="center"/>
          </w:tcPr>
          <w:p w14:paraId="119F146B">
            <w:pPr>
              <w:spacing w:line="440" w:lineRule="exact"/>
              <w:jc w:val="center"/>
              <w:rPr>
                <w:color w:val="auto"/>
                <w:highlight w:val="none"/>
              </w:rPr>
            </w:pPr>
            <w:r>
              <w:rPr>
                <w:rFonts w:hint="eastAsia"/>
                <w:color w:val="auto"/>
                <w:highlight w:val="none"/>
              </w:rPr>
              <w:t>专业</w:t>
            </w:r>
          </w:p>
        </w:tc>
        <w:tc>
          <w:tcPr>
            <w:tcW w:w="2714" w:type="dxa"/>
            <w:gridSpan w:val="3"/>
            <w:noWrap w:val="0"/>
            <w:vAlign w:val="center"/>
          </w:tcPr>
          <w:p w14:paraId="3A53A185">
            <w:pPr>
              <w:spacing w:line="440" w:lineRule="exact"/>
              <w:jc w:val="center"/>
              <w:rPr>
                <w:color w:val="auto"/>
                <w:highlight w:val="none"/>
              </w:rPr>
            </w:pPr>
            <w:r>
              <w:rPr>
                <w:rFonts w:hint="eastAsia"/>
                <w:color w:val="auto"/>
                <w:highlight w:val="none"/>
              </w:rPr>
              <w:t>执业或职业资格证明</w:t>
            </w:r>
          </w:p>
        </w:tc>
        <w:tc>
          <w:tcPr>
            <w:tcW w:w="1134" w:type="dxa"/>
            <w:noWrap w:val="0"/>
            <w:vAlign w:val="center"/>
          </w:tcPr>
          <w:p w14:paraId="7CDFF9BB">
            <w:pPr>
              <w:spacing w:line="440" w:lineRule="exact"/>
              <w:jc w:val="center"/>
              <w:rPr>
                <w:color w:val="auto"/>
                <w:highlight w:val="none"/>
              </w:rPr>
            </w:pPr>
            <w:r>
              <w:rPr>
                <w:rFonts w:hint="eastAsia"/>
                <w:color w:val="auto"/>
                <w:highlight w:val="none"/>
              </w:rPr>
              <w:t>备注</w:t>
            </w:r>
          </w:p>
        </w:tc>
      </w:tr>
      <w:tr w14:paraId="3F60A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noWrap w:val="0"/>
            <w:vAlign w:val="center"/>
          </w:tcPr>
          <w:p w14:paraId="3C3BEB25">
            <w:pPr>
              <w:rPr>
                <w:color w:val="auto"/>
                <w:highlight w:val="none"/>
              </w:rPr>
            </w:pPr>
          </w:p>
        </w:tc>
        <w:tc>
          <w:tcPr>
            <w:tcW w:w="1275" w:type="dxa"/>
            <w:vMerge w:val="continue"/>
            <w:noWrap w:val="0"/>
            <w:vAlign w:val="top"/>
          </w:tcPr>
          <w:p w14:paraId="199B0224">
            <w:pPr>
              <w:rPr>
                <w:color w:val="auto"/>
                <w:highlight w:val="none"/>
              </w:rPr>
            </w:pPr>
          </w:p>
        </w:tc>
        <w:tc>
          <w:tcPr>
            <w:tcW w:w="992" w:type="dxa"/>
            <w:vMerge w:val="continue"/>
            <w:noWrap w:val="0"/>
            <w:vAlign w:val="center"/>
          </w:tcPr>
          <w:p w14:paraId="1DC6C6CF">
            <w:pPr>
              <w:rPr>
                <w:color w:val="auto"/>
                <w:highlight w:val="none"/>
              </w:rPr>
            </w:pPr>
          </w:p>
        </w:tc>
        <w:tc>
          <w:tcPr>
            <w:tcW w:w="603" w:type="dxa"/>
            <w:vMerge w:val="continue"/>
            <w:noWrap w:val="0"/>
            <w:vAlign w:val="center"/>
          </w:tcPr>
          <w:p w14:paraId="24442B72">
            <w:pPr>
              <w:rPr>
                <w:color w:val="auto"/>
                <w:highlight w:val="none"/>
              </w:rPr>
            </w:pPr>
          </w:p>
        </w:tc>
        <w:tc>
          <w:tcPr>
            <w:tcW w:w="488" w:type="dxa"/>
            <w:vMerge w:val="continue"/>
            <w:noWrap w:val="0"/>
            <w:vAlign w:val="center"/>
          </w:tcPr>
          <w:p w14:paraId="7C03B28C">
            <w:pPr>
              <w:spacing w:line="440" w:lineRule="exact"/>
              <w:jc w:val="center"/>
              <w:rPr>
                <w:color w:val="auto"/>
                <w:highlight w:val="none"/>
              </w:rPr>
            </w:pPr>
          </w:p>
        </w:tc>
        <w:tc>
          <w:tcPr>
            <w:tcW w:w="1134" w:type="dxa"/>
            <w:noWrap w:val="0"/>
            <w:vAlign w:val="center"/>
          </w:tcPr>
          <w:p w14:paraId="4CBB3AA6">
            <w:pPr>
              <w:spacing w:before="100" w:beforeAutospacing="1" w:after="100" w:afterAutospacing="1" w:line="440" w:lineRule="exact"/>
              <w:jc w:val="center"/>
              <w:rPr>
                <w:color w:val="auto"/>
                <w:highlight w:val="none"/>
              </w:rPr>
            </w:pPr>
            <w:r>
              <w:rPr>
                <w:rFonts w:hint="eastAsia"/>
                <w:color w:val="auto"/>
                <w:highlight w:val="none"/>
              </w:rPr>
              <w:t>证书名称</w:t>
            </w:r>
          </w:p>
        </w:tc>
        <w:tc>
          <w:tcPr>
            <w:tcW w:w="709" w:type="dxa"/>
            <w:noWrap w:val="0"/>
            <w:vAlign w:val="center"/>
          </w:tcPr>
          <w:p w14:paraId="65FDD76A">
            <w:pPr>
              <w:spacing w:before="100" w:beforeAutospacing="1" w:after="100" w:afterAutospacing="1" w:line="440" w:lineRule="exact"/>
              <w:jc w:val="center"/>
              <w:rPr>
                <w:color w:val="auto"/>
                <w:highlight w:val="none"/>
              </w:rPr>
            </w:pPr>
            <w:r>
              <w:rPr>
                <w:rFonts w:hint="eastAsia"/>
                <w:color w:val="auto"/>
                <w:highlight w:val="none"/>
              </w:rPr>
              <w:t>级别</w:t>
            </w:r>
          </w:p>
        </w:tc>
        <w:tc>
          <w:tcPr>
            <w:tcW w:w="871" w:type="dxa"/>
            <w:noWrap w:val="0"/>
            <w:vAlign w:val="center"/>
          </w:tcPr>
          <w:p w14:paraId="6E6E80E0">
            <w:pPr>
              <w:spacing w:before="100" w:beforeAutospacing="1" w:after="100" w:afterAutospacing="1" w:line="440" w:lineRule="exact"/>
              <w:jc w:val="center"/>
              <w:rPr>
                <w:color w:val="auto"/>
                <w:highlight w:val="none"/>
              </w:rPr>
            </w:pPr>
            <w:r>
              <w:rPr>
                <w:rFonts w:hint="eastAsia"/>
                <w:color w:val="auto"/>
                <w:highlight w:val="none"/>
              </w:rPr>
              <w:t>证号</w:t>
            </w:r>
          </w:p>
        </w:tc>
        <w:tc>
          <w:tcPr>
            <w:tcW w:w="1134" w:type="dxa"/>
            <w:noWrap w:val="0"/>
            <w:vAlign w:val="center"/>
          </w:tcPr>
          <w:p w14:paraId="36019FD9">
            <w:pPr>
              <w:spacing w:line="440" w:lineRule="exact"/>
              <w:jc w:val="center"/>
              <w:rPr>
                <w:color w:val="auto"/>
                <w:highlight w:val="none"/>
              </w:rPr>
            </w:pPr>
          </w:p>
        </w:tc>
      </w:tr>
      <w:tr w14:paraId="2A07C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14:paraId="241174E9">
            <w:pPr>
              <w:spacing w:line="440" w:lineRule="exact"/>
              <w:jc w:val="center"/>
              <w:rPr>
                <w:color w:val="auto"/>
                <w:highlight w:val="none"/>
              </w:rPr>
            </w:pPr>
          </w:p>
        </w:tc>
        <w:tc>
          <w:tcPr>
            <w:tcW w:w="1275" w:type="dxa"/>
            <w:noWrap w:val="0"/>
            <w:vAlign w:val="top"/>
          </w:tcPr>
          <w:p w14:paraId="71044981">
            <w:pPr>
              <w:spacing w:line="440" w:lineRule="exact"/>
              <w:jc w:val="center"/>
              <w:rPr>
                <w:color w:val="auto"/>
                <w:highlight w:val="none"/>
              </w:rPr>
            </w:pPr>
          </w:p>
        </w:tc>
        <w:tc>
          <w:tcPr>
            <w:tcW w:w="992" w:type="dxa"/>
            <w:noWrap w:val="0"/>
            <w:vAlign w:val="center"/>
          </w:tcPr>
          <w:p w14:paraId="37155A14">
            <w:pPr>
              <w:spacing w:line="440" w:lineRule="exact"/>
              <w:jc w:val="center"/>
              <w:rPr>
                <w:color w:val="auto"/>
                <w:highlight w:val="none"/>
              </w:rPr>
            </w:pPr>
          </w:p>
        </w:tc>
        <w:tc>
          <w:tcPr>
            <w:tcW w:w="603" w:type="dxa"/>
            <w:noWrap w:val="0"/>
            <w:vAlign w:val="center"/>
          </w:tcPr>
          <w:p w14:paraId="75EF28F8">
            <w:pPr>
              <w:spacing w:line="440" w:lineRule="exact"/>
              <w:jc w:val="center"/>
              <w:rPr>
                <w:color w:val="auto"/>
                <w:highlight w:val="none"/>
              </w:rPr>
            </w:pPr>
          </w:p>
        </w:tc>
        <w:tc>
          <w:tcPr>
            <w:tcW w:w="488" w:type="dxa"/>
            <w:noWrap w:val="0"/>
            <w:vAlign w:val="center"/>
          </w:tcPr>
          <w:p w14:paraId="18FBC6AD">
            <w:pPr>
              <w:spacing w:line="440" w:lineRule="exact"/>
              <w:jc w:val="center"/>
              <w:rPr>
                <w:color w:val="auto"/>
                <w:highlight w:val="none"/>
              </w:rPr>
            </w:pPr>
          </w:p>
        </w:tc>
        <w:tc>
          <w:tcPr>
            <w:tcW w:w="1134" w:type="dxa"/>
            <w:noWrap w:val="0"/>
            <w:vAlign w:val="center"/>
          </w:tcPr>
          <w:p w14:paraId="1AD344E9">
            <w:pPr>
              <w:spacing w:line="440" w:lineRule="exact"/>
              <w:jc w:val="center"/>
              <w:rPr>
                <w:color w:val="auto"/>
                <w:highlight w:val="none"/>
              </w:rPr>
            </w:pPr>
          </w:p>
        </w:tc>
        <w:tc>
          <w:tcPr>
            <w:tcW w:w="709" w:type="dxa"/>
            <w:noWrap w:val="0"/>
            <w:vAlign w:val="center"/>
          </w:tcPr>
          <w:p w14:paraId="02DD2F41">
            <w:pPr>
              <w:spacing w:line="440" w:lineRule="exact"/>
              <w:jc w:val="center"/>
              <w:rPr>
                <w:color w:val="auto"/>
                <w:highlight w:val="none"/>
              </w:rPr>
            </w:pPr>
          </w:p>
        </w:tc>
        <w:tc>
          <w:tcPr>
            <w:tcW w:w="871" w:type="dxa"/>
            <w:noWrap w:val="0"/>
            <w:vAlign w:val="center"/>
          </w:tcPr>
          <w:p w14:paraId="6734A8C0">
            <w:pPr>
              <w:spacing w:line="440" w:lineRule="exact"/>
              <w:jc w:val="center"/>
              <w:rPr>
                <w:color w:val="auto"/>
                <w:highlight w:val="none"/>
              </w:rPr>
            </w:pPr>
          </w:p>
        </w:tc>
        <w:tc>
          <w:tcPr>
            <w:tcW w:w="1134" w:type="dxa"/>
            <w:noWrap w:val="0"/>
            <w:vAlign w:val="center"/>
          </w:tcPr>
          <w:p w14:paraId="3EF794ED">
            <w:pPr>
              <w:spacing w:line="440" w:lineRule="exact"/>
              <w:jc w:val="center"/>
              <w:rPr>
                <w:color w:val="auto"/>
                <w:highlight w:val="none"/>
              </w:rPr>
            </w:pPr>
          </w:p>
        </w:tc>
      </w:tr>
      <w:tr w14:paraId="400F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00161064">
            <w:pPr>
              <w:spacing w:line="440" w:lineRule="exact"/>
              <w:jc w:val="center"/>
              <w:rPr>
                <w:color w:val="auto"/>
                <w:highlight w:val="none"/>
              </w:rPr>
            </w:pPr>
          </w:p>
        </w:tc>
        <w:tc>
          <w:tcPr>
            <w:tcW w:w="1275" w:type="dxa"/>
            <w:noWrap w:val="0"/>
            <w:vAlign w:val="top"/>
          </w:tcPr>
          <w:p w14:paraId="2D363ADF">
            <w:pPr>
              <w:spacing w:line="440" w:lineRule="exact"/>
              <w:jc w:val="center"/>
              <w:rPr>
                <w:color w:val="auto"/>
                <w:highlight w:val="none"/>
              </w:rPr>
            </w:pPr>
          </w:p>
        </w:tc>
        <w:tc>
          <w:tcPr>
            <w:tcW w:w="992" w:type="dxa"/>
            <w:noWrap w:val="0"/>
            <w:vAlign w:val="top"/>
          </w:tcPr>
          <w:p w14:paraId="0E4B04A9">
            <w:pPr>
              <w:spacing w:line="440" w:lineRule="exact"/>
              <w:jc w:val="center"/>
              <w:rPr>
                <w:color w:val="auto"/>
                <w:highlight w:val="none"/>
              </w:rPr>
            </w:pPr>
          </w:p>
        </w:tc>
        <w:tc>
          <w:tcPr>
            <w:tcW w:w="603" w:type="dxa"/>
            <w:noWrap w:val="0"/>
            <w:vAlign w:val="top"/>
          </w:tcPr>
          <w:p w14:paraId="4D25DF96">
            <w:pPr>
              <w:spacing w:line="440" w:lineRule="exact"/>
              <w:jc w:val="center"/>
              <w:rPr>
                <w:color w:val="auto"/>
                <w:highlight w:val="none"/>
              </w:rPr>
            </w:pPr>
          </w:p>
        </w:tc>
        <w:tc>
          <w:tcPr>
            <w:tcW w:w="488" w:type="dxa"/>
            <w:noWrap w:val="0"/>
            <w:vAlign w:val="top"/>
          </w:tcPr>
          <w:p w14:paraId="71B5AF37">
            <w:pPr>
              <w:spacing w:line="440" w:lineRule="exact"/>
              <w:jc w:val="center"/>
              <w:rPr>
                <w:color w:val="auto"/>
                <w:highlight w:val="none"/>
              </w:rPr>
            </w:pPr>
          </w:p>
        </w:tc>
        <w:tc>
          <w:tcPr>
            <w:tcW w:w="1134" w:type="dxa"/>
            <w:noWrap w:val="0"/>
            <w:vAlign w:val="top"/>
          </w:tcPr>
          <w:p w14:paraId="32BF178F">
            <w:pPr>
              <w:spacing w:line="440" w:lineRule="exact"/>
              <w:jc w:val="center"/>
              <w:rPr>
                <w:color w:val="auto"/>
                <w:highlight w:val="none"/>
              </w:rPr>
            </w:pPr>
          </w:p>
        </w:tc>
        <w:tc>
          <w:tcPr>
            <w:tcW w:w="709" w:type="dxa"/>
            <w:noWrap w:val="0"/>
            <w:vAlign w:val="top"/>
          </w:tcPr>
          <w:p w14:paraId="0AE1C0E3">
            <w:pPr>
              <w:spacing w:line="440" w:lineRule="exact"/>
              <w:jc w:val="center"/>
              <w:rPr>
                <w:color w:val="auto"/>
                <w:highlight w:val="none"/>
              </w:rPr>
            </w:pPr>
          </w:p>
        </w:tc>
        <w:tc>
          <w:tcPr>
            <w:tcW w:w="871" w:type="dxa"/>
            <w:noWrap w:val="0"/>
            <w:vAlign w:val="top"/>
          </w:tcPr>
          <w:p w14:paraId="4E7D1B49">
            <w:pPr>
              <w:spacing w:line="440" w:lineRule="exact"/>
              <w:jc w:val="center"/>
              <w:rPr>
                <w:color w:val="auto"/>
                <w:highlight w:val="none"/>
              </w:rPr>
            </w:pPr>
          </w:p>
        </w:tc>
        <w:tc>
          <w:tcPr>
            <w:tcW w:w="1134" w:type="dxa"/>
            <w:noWrap w:val="0"/>
            <w:vAlign w:val="top"/>
          </w:tcPr>
          <w:p w14:paraId="7465878D">
            <w:pPr>
              <w:spacing w:line="440" w:lineRule="exact"/>
              <w:jc w:val="center"/>
              <w:rPr>
                <w:color w:val="auto"/>
                <w:highlight w:val="none"/>
              </w:rPr>
            </w:pPr>
          </w:p>
        </w:tc>
      </w:tr>
      <w:tr w14:paraId="7F1F0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0D6439E7">
            <w:pPr>
              <w:spacing w:line="440" w:lineRule="exact"/>
              <w:jc w:val="center"/>
              <w:rPr>
                <w:color w:val="auto"/>
                <w:highlight w:val="none"/>
              </w:rPr>
            </w:pPr>
          </w:p>
        </w:tc>
        <w:tc>
          <w:tcPr>
            <w:tcW w:w="1275" w:type="dxa"/>
            <w:noWrap w:val="0"/>
            <w:vAlign w:val="top"/>
          </w:tcPr>
          <w:p w14:paraId="50FA376E">
            <w:pPr>
              <w:spacing w:line="440" w:lineRule="exact"/>
              <w:jc w:val="center"/>
              <w:rPr>
                <w:color w:val="auto"/>
                <w:highlight w:val="none"/>
              </w:rPr>
            </w:pPr>
          </w:p>
        </w:tc>
        <w:tc>
          <w:tcPr>
            <w:tcW w:w="992" w:type="dxa"/>
            <w:noWrap w:val="0"/>
            <w:vAlign w:val="top"/>
          </w:tcPr>
          <w:p w14:paraId="2C4439E3">
            <w:pPr>
              <w:spacing w:line="440" w:lineRule="exact"/>
              <w:jc w:val="center"/>
              <w:rPr>
                <w:color w:val="auto"/>
                <w:highlight w:val="none"/>
              </w:rPr>
            </w:pPr>
          </w:p>
        </w:tc>
        <w:tc>
          <w:tcPr>
            <w:tcW w:w="603" w:type="dxa"/>
            <w:noWrap w:val="0"/>
            <w:vAlign w:val="top"/>
          </w:tcPr>
          <w:p w14:paraId="52B19D4A">
            <w:pPr>
              <w:spacing w:line="440" w:lineRule="exact"/>
              <w:jc w:val="center"/>
              <w:rPr>
                <w:color w:val="auto"/>
                <w:highlight w:val="none"/>
              </w:rPr>
            </w:pPr>
          </w:p>
        </w:tc>
        <w:tc>
          <w:tcPr>
            <w:tcW w:w="488" w:type="dxa"/>
            <w:noWrap w:val="0"/>
            <w:vAlign w:val="top"/>
          </w:tcPr>
          <w:p w14:paraId="48EF1356">
            <w:pPr>
              <w:spacing w:line="440" w:lineRule="exact"/>
              <w:jc w:val="center"/>
              <w:rPr>
                <w:color w:val="auto"/>
                <w:highlight w:val="none"/>
              </w:rPr>
            </w:pPr>
          </w:p>
        </w:tc>
        <w:tc>
          <w:tcPr>
            <w:tcW w:w="1134" w:type="dxa"/>
            <w:noWrap w:val="0"/>
            <w:vAlign w:val="top"/>
          </w:tcPr>
          <w:p w14:paraId="0EE76419">
            <w:pPr>
              <w:spacing w:line="440" w:lineRule="exact"/>
              <w:jc w:val="center"/>
              <w:rPr>
                <w:color w:val="auto"/>
                <w:highlight w:val="none"/>
              </w:rPr>
            </w:pPr>
          </w:p>
        </w:tc>
        <w:tc>
          <w:tcPr>
            <w:tcW w:w="709" w:type="dxa"/>
            <w:noWrap w:val="0"/>
            <w:vAlign w:val="top"/>
          </w:tcPr>
          <w:p w14:paraId="019484E4">
            <w:pPr>
              <w:spacing w:line="440" w:lineRule="exact"/>
              <w:jc w:val="center"/>
              <w:rPr>
                <w:color w:val="auto"/>
                <w:highlight w:val="none"/>
              </w:rPr>
            </w:pPr>
          </w:p>
        </w:tc>
        <w:tc>
          <w:tcPr>
            <w:tcW w:w="871" w:type="dxa"/>
            <w:noWrap w:val="0"/>
            <w:vAlign w:val="top"/>
          </w:tcPr>
          <w:p w14:paraId="798B036D">
            <w:pPr>
              <w:spacing w:line="440" w:lineRule="exact"/>
              <w:jc w:val="center"/>
              <w:rPr>
                <w:color w:val="auto"/>
                <w:highlight w:val="none"/>
              </w:rPr>
            </w:pPr>
          </w:p>
        </w:tc>
        <w:tc>
          <w:tcPr>
            <w:tcW w:w="1134" w:type="dxa"/>
            <w:noWrap w:val="0"/>
            <w:vAlign w:val="top"/>
          </w:tcPr>
          <w:p w14:paraId="24CD43D6">
            <w:pPr>
              <w:spacing w:line="440" w:lineRule="exact"/>
              <w:jc w:val="center"/>
              <w:rPr>
                <w:color w:val="auto"/>
                <w:highlight w:val="none"/>
              </w:rPr>
            </w:pPr>
          </w:p>
        </w:tc>
      </w:tr>
      <w:tr w14:paraId="4F818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3CFC3A21">
            <w:pPr>
              <w:spacing w:line="440" w:lineRule="exact"/>
              <w:jc w:val="center"/>
              <w:rPr>
                <w:color w:val="auto"/>
                <w:highlight w:val="none"/>
              </w:rPr>
            </w:pPr>
          </w:p>
        </w:tc>
        <w:tc>
          <w:tcPr>
            <w:tcW w:w="1275" w:type="dxa"/>
            <w:noWrap w:val="0"/>
            <w:vAlign w:val="top"/>
          </w:tcPr>
          <w:p w14:paraId="0B3CBC21">
            <w:pPr>
              <w:spacing w:line="440" w:lineRule="exact"/>
              <w:jc w:val="center"/>
              <w:rPr>
                <w:color w:val="auto"/>
                <w:highlight w:val="none"/>
              </w:rPr>
            </w:pPr>
          </w:p>
        </w:tc>
        <w:tc>
          <w:tcPr>
            <w:tcW w:w="992" w:type="dxa"/>
            <w:noWrap w:val="0"/>
            <w:vAlign w:val="top"/>
          </w:tcPr>
          <w:p w14:paraId="4BDAF35D">
            <w:pPr>
              <w:spacing w:line="440" w:lineRule="exact"/>
              <w:jc w:val="center"/>
              <w:rPr>
                <w:color w:val="auto"/>
                <w:highlight w:val="none"/>
              </w:rPr>
            </w:pPr>
          </w:p>
        </w:tc>
        <w:tc>
          <w:tcPr>
            <w:tcW w:w="603" w:type="dxa"/>
            <w:noWrap w:val="0"/>
            <w:vAlign w:val="top"/>
          </w:tcPr>
          <w:p w14:paraId="6710049E">
            <w:pPr>
              <w:spacing w:line="440" w:lineRule="exact"/>
              <w:jc w:val="center"/>
              <w:rPr>
                <w:color w:val="auto"/>
                <w:highlight w:val="none"/>
              </w:rPr>
            </w:pPr>
          </w:p>
        </w:tc>
        <w:tc>
          <w:tcPr>
            <w:tcW w:w="488" w:type="dxa"/>
            <w:noWrap w:val="0"/>
            <w:vAlign w:val="top"/>
          </w:tcPr>
          <w:p w14:paraId="76DC6022">
            <w:pPr>
              <w:spacing w:line="440" w:lineRule="exact"/>
              <w:jc w:val="center"/>
              <w:rPr>
                <w:color w:val="auto"/>
                <w:highlight w:val="none"/>
              </w:rPr>
            </w:pPr>
          </w:p>
        </w:tc>
        <w:tc>
          <w:tcPr>
            <w:tcW w:w="1134" w:type="dxa"/>
            <w:noWrap w:val="0"/>
            <w:vAlign w:val="top"/>
          </w:tcPr>
          <w:p w14:paraId="16E7A24E">
            <w:pPr>
              <w:spacing w:line="440" w:lineRule="exact"/>
              <w:jc w:val="center"/>
              <w:rPr>
                <w:color w:val="auto"/>
                <w:highlight w:val="none"/>
              </w:rPr>
            </w:pPr>
          </w:p>
        </w:tc>
        <w:tc>
          <w:tcPr>
            <w:tcW w:w="709" w:type="dxa"/>
            <w:noWrap w:val="0"/>
            <w:vAlign w:val="top"/>
          </w:tcPr>
          <w:p w14:paraId="6F3C53A7">
            <w:pPr>
              <w:spacing w:line="440" w:lineRule="exact"/>
              <w:jc w:val="center"/>
              <w:rPr>
                <w:color w:val="auto"/>
                <w:highlight w:val="none"/>
              </w:rPr>
            </w:pPr>
          </w:p>
        </w:tc>
        <w:tc>
          <w:tcPr>
            <w:tcW w:w="871" w:type="dxa"/>
            <w:noWrap w:val="0"/>
            <w:vAlign w:val="top"/>
          </w:tcPr>
          <w:p w14:paraId="2C0A6573">
            <w:pPr>
              <w:spacing w:line="440" w:lineRule="exact"/>
              <w:jc w:val="center"/>
              <w:rPr>
                <w:color w:val="auto"/>
                <w:highlight w:val="none"/>
              </w:rPr>
            </w:pPr>
          </w:p>
        </w:tc>
        <w:tc>
          <w:tcPr>
            <w:tcW w:w="1134" w:type="dxa"/>
            <w:noWrap w:val="0"/>
            <w:vAlign w:val="top"/>
          </w:tcPr>
          <w:p w14:paraId="41CBB205">
            <w:pPr>
              <w:spacing w:line="440" w:lineRule="exact"/>
              <w:jc w:val="center"/>
              <w:rPr>
                <w:color w:val="auto"/>
                <w:highlight w:val="none"/>
              </w:rPr>
            </w:pPr>
          </w:p>
        </w:tc>
      </w:tr>
      <w:tr w14:paraId="0874B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103496D7">
            <w:pPr>
              <w:spacing w:line="440" w:lineRule="exact"/>
              <w:jc w:val="center"/>
              <w:rPr>
                <w:color w:val="auto"/>
                <w:highlight w:val="none"/>
              </w:rPr>
            </w:pPr>
          </w:p>
        </w:tc>
        <w:tc>
          <w:tcPr>
            <w:tcW w:w="1275" w:type="dxa"/>
            <w:noWrap w:val="0"/>
            <w:vAlign w:val="top"/>
          </w:tcPr>
          <w:p w14:paraId="42BEF602">
            <w:pPr>
              <w:spacing w:line="440" w:lineRule="exact"/>
              <w:jc w:val="center"/>
              <w:rPr>
                <w:color w:val="auto"/>
                <w:highlight w:val="none"/>
              </w:rPr>
            </w:pPr>
          </w:p>
        </w:tc>
        <w:tc>
          <w:tcPr>
            <w:tcW w:w="992" w:type="dxa"/>
            <w:noWrap w:val="0"/>
            <w:vAlign w:val="top"/>
          </w:tcPr>
          <w:p w14:paraId="2B349C3C">
            <w:pPr>
              <w:spacing w:line="440" w:lineRule="exact"/>
              <w:jc w:val="center"/>
              <w:rPr>
                <w:color w:val="auto"/>
                <w:highlight w:val="none"/>
              </w:rPr>
            </w:pPr>
          </w:p>
        </w:tc>
        <w:tc>
          <w:tcPr>
            <w:tcW w:w="603" w:type="dxa"/>
            <w:noWrap w:val="0"/>
            <w:vAlign w:val="top"/>
          </w:tcPr>
          <w:p w14:paraId="758A77C3">
            <w:pPr>
              <w:spacing w:line="440" w:lineRule="exact"/>
              <w:jc w:val="center"/>
              <w:rPr>
                <w:color w:val="auto"/>
                <w:highlight w:val="none"/>
              </w:rPr>
            </w:pPr>
          </w:p>
        </w:tc>
        <w:tc>
          <w:tcPr>
            <w:tcW w:w="488" w:type="dxa"/>
            <w:noWrap w:val="0"/>
            <w:vAlign w:val="top"/>
          </w:tcPr>
          <w:p w14:paraId="007DB317">
            <w:pPr>
              <w:spacing w:line="440" w:lineRule="exact"/>
              <w:jc w:val="center"/>
              <w:rPr>
                <w:color w:val="auto"/>
                <w:highlight w:val="none"/>
              </w:rPr>
            </w:pPr>
          </w:p>
        </w:tc>
        <w:tc>
          <w:tcPr>
            <w:tcW w:w="1134" w:type="dxa"/>
            <w:noWrap w:val="0"/>
            <w:vAlign w:val="top"/>
          </w:tcPr>
          <w:p w14:paraId="68ACAB31">
            <w:pPr>
              <w:spacing w:line="440" w:lineRule="exact"/>
              <w:jc w:val="center"/>
              <w:rPr>
                <w:color w:val="auto"/>
                <w:highlight w:val="none"/>
              </w:rPr>
            </w:pPr>
          </w:p>
        </w:tc>
        <w:tc>
          <w:tcPr>
            <w:tcW w:w="709" w:type="dxa"/>
            <w:noWrap w:val="0"/>
            <w:vAlign w:val="top"/>
          </w:tcPr>
          <w:p w14:paraId="11D54FFD">
            <w:pPr>
              <w:spacing w:line="440" w:lineRule="exact"/>
              <w:jc w:val="center"/>
              <w:rPr>
                <w:color w:val="auto"/>
                <w:highlight w:val="none"/>
              </w:rPr>
            </w:pPr>
          </w:p>
        </w:tc>
        <w:tc>
          <w:tcPr>
            <w:tcW w:w="871" w:type="dxa"/>
            <w:noWrap w:val="0"/>
            <w:vAlign w:val="top"/>
          </w:tcPr>
          <w:p w14:paraId="53BCE9AF">
            <w:pPr>
              <w:spacing w:line="440" w:lineRule="exact"/>
              <w:jc w:val="center"/>
              <w:rPr>
                <w:color w:val="auto"/>
                <w:highlight w:val="none"/>
              </w:rPr>
            </w:pPr>
          </w:p>
        </w:tc>
        <w:tc>
          <w:tcPr>
            <w:tcW w:w="1134" w:type="dxa"/>
            <w:noWrap w:val="0"/>
            <w:vAlign w:val="top"/>
          </w:tcPr>
          <w:p w14:paraId="7715C2EC">
            <w:pPr>
              <w:spacing w:line="440" w:lineRule="exact"/>
              <w:jc w:val="center"/>
              <w:rPr>
                <w:color w:val="auto"/>
                <w:highlight w:val="none"/>
              </w:rPr>
            </w:pPr>
          </w:p>
        </w:tc>
      </w:tr>
      <w:tr w14:paraId="4E889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70BC733A">
            <w:pPr>
              <w:spacing w:line="440" w:lineRule="exact"/>
              <w:jc w:val="center"/>
              <w:rPr>
                <w:color w:val="auto"/>
                <w:highlight w:val="none"/>
              </w:rPr>
            </w:pPr>
          </w:p>
        </w:tc>
        <w:tc>
          <w:tcPr>
            <w:tcW w:w="1275" w:type="dxa"/>
            <w:noWrap w:val="0"/>
            <w:vAlign w:val="top"/>
          </w:tcPr>
          <w:p w14:paraId="12AF6177">
            <w:pPr>
              <w:spacing w:line="440" w:lineRule="exact"/>
              <w:jc w:val="center"/>
              <w:rPr>
                <w:color w:val="auto"/>
                <w:highlight w:val="none"/>
              </w:rPr>
            </w:pPr>
          </w:p>
        </w:tc>
        <w:tc>
          <w:tcPr>
            <w:tcW w:w="992" w:type="dxa"/>
            <w:noWrap w:val="0"/>
            <w:vAlign w:val="top"/>
          </w:tcPr>
          <w:p w14:paraId="7AFEAA32">
            <w:pPr>
              <w:spacing w:line="440" w:lineRule="exact"/>
              <w:jc w:val="center"/>
              <w:rPr>
                <w:color w:val="auto"/>
                <w:highlight w:val="none"/>
              </w:rPr>
            </w:pPr>
          </w:p>
        </w:tc>
        <w:tc>
          <w:tcPr>
            <w:tcW w:w="603" w:type="dxa"/>
            <w:noWrap w:val="0"/>
            <w:vAlign w:val="top"/>
          </w:tcPr>
          <w:p w14:paraId="58278983">
            <w:pPr>
              <w:spacing w:line="440" w:lineRule="exact"/>
              <w:jc w:val="center"/>
              <w:rPr>
                <w:color w:val="auto"/>
                <w:highlight w:val="none"/>
              </w:rPr>
            </w:pPr>
          </w:p>
        </w:tc>
        <w:tc>
          <w:tcPr>
            <w:tcW w:w="488" w:type="dxa"/>
            <w:noWrap w:val="0"/>
            <w:vAlign w:val="top"/>
          </w:tcPr>
          <w:p w14:paraId="0BFD8412">
            <w:pPr>
              <w:spacing w:line="440" w:lineRule="exact"/>
              <w:jc w:val="center"/>
              <w:rPr>
                <w:color w:val="auto"/>
                <w:highlight w:val="none"/>
              </w:rPr>
            </w:pPr>
          </w:p>
        </w:tc>
        <w:tc>
          <w:tcPr>
            <w:tcW w:w="1134" w:type="dxa"/>
            <w:noWrap w:val="0"/>
            <w:vAlign w:val="top"/>
          </w:tcPr>
          <w:p w14:paraId="177EE1F1">
            <w:pPr>
              <w:spacing w:line="440" w:lineRule="exact"/>
              <w:jc w:val="center"/>
              <w:rPr>
                <w:color w:val="auto"/>
                <w:highlight w:val="none"/>
              </w:rPr>
            </w:pPr>
          </w:p>
        </w:tc>
        <w:tc>
          <w:tcPr>
            <w:tcW w:w="709" w:type="dxa"/>
            <w:noWrap w:val="0"/>
            <w:vAlign w:val="top"/>
          </w:tcPr>
          <w:p w14:paraId="60C761D4">
            <w:pPr>
              <w:spacing w:line="440" w:lineRule="exact"/>
              <w:jc w:val="center"/>
              <w:rPr>
                <w:color w:val="auto"/>
                <w:highlight w:val="none"/>
              </w:rPr>
            </w:pPr>
          </w:p>
        </w:tc>
        <w:tc>
          <w:tcPr>
            <w:tcW w:w="871" w:type="dxa"/>
            <w:noWrap w:val="0"/>
            <w:vAlign w:val="top"/>
          </w:tcPr>
          <w:p w14:paraId="04666909">
            <w:pPr>
              <w:spacing w:line="440" w:lineRule="exact"/>
              <w:jc w:val="center"/>
              <w:rPr>
                <w:color w:val="auto"/>
                <w:highlight w:val="none"/>
              </w:rPr>
            </w:pPr>
          </w:p>
        </w:tc>
        <w:tc>
          <w:tcPr>
            <w:tcW w:w="1134" w:type="dxa"/>
            <w:noWrap w:val="0"/>
            <w:vAlign w:val="top"/>
          </w:tcPr>
          <w:p w14:paraId="6A92F13D">
            <w:pPr>
              <w:spacing w:line="440" w:lineRule="exact"/>
              <w:jc w:val="center"/>
              <w:rPr>
                <w:color w:val="auto"/>
                <w:highlight w:val="none"/>
              </w:rPr>
            </w:pPr>
          </w:p>
        </w:tc>
      </w:tr>
      <w:tr w14:paraId="150F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5681C3DB">
            <w:pPr>
              <w:spacing w:line="440" w:lineRule="exact"/>
              <w:jc w:val="center"/>
              <w:rPr>
                <w:color w:val="auto"/>
                <w:highlight w:val="none"/>
              </w:rPr>
            </w:pPr>
          </w:p>
        </w:tc>
        <w:tc>
          <w:tcPr>
            <w:tcW w:w="1275" w:type="dxa"/>
            <w:noWrap w:val="0"/>
            <w:vAlign w:val="top"/>
          </w:tcPr>
          <w:p w14:paraId="60FDC953">
            <w:pPr>
              <w:spacing w:line="440" w:lineRule="exact"/>
              <w:jc w:val="center"/>
              <w:rPr>
                <w:color w:val="auto"/>
                <w:highlight w:val="none"/>
              </w:rPr>
            </w:pPr>
          </w:p>
        </w:tc>
        <w:tc>
          <w:tcPr>
            <w:tcW w:w="992" w:type="dxa"/>
            <w:noWrap w:val="0"/>
            <w:vAlign w:val="top"/>
          </w:tcPr>
          <w:p w14:paraId="29BBCA4E">
            <w:pPr>
              <w:spacing w:line="440" w:lineRule="exact"/>
              <w:jc w:val="center"/>
              <w:rPr>
                <w:color w:val="auto"/>
                <w:highlight w:val="none"/>
              </w:rPr>
            </w:pPr>
          </w:p>
        </w:tc>
        <w:tc>
          <w:tcPr>
            <w:tcW w:w="603" w:type="dxa"/>
            <w:noWrap w:val="0"/>
            <w:vAlign w:val="top"/>
          </w:tcPr>
          <w:p w14:paraId="7246D926">
            <w:pPr>
              <w:spacing w:line="440" w:lineRule="exact"/>
              <w:jc w:val="center"/>
              <w:rPr>
                <w:color w:val="auto"/>
                <w:highlight w:val="none"/>
              </w:rPr>
            </w:pPr>
          </w:p>
        </w:tc>
        <w:tc>
          <w:tcPr>
            <w:tcW w:w="488" w:type="dxa"/>
            <w:noWrap w:val="0"/>
            <w:vAlign w:val="top"/>
          </w:tcPr>
          <w:p w14:paraId="2CD1AD08">
            <w:pPr>
              <w:spacing w:line="440" w:lineRule="exact"/>
              <w:jc w:val="center"/>
              <w:rPr>
                <w:color w:val="auto"/>
                <w:highlight w:val="none"/>
              </w:rPr>
            </w:pPr>
          </w:p>
        </w:tc>
        <w:tc>
          <w:tcPr>
            <w:tcW w:w="1134" w:type="dxa"/>
            <w:noWrap w:val="0"/>
            <w:vAlign w:val="top"/>
          </w:tcPr>
          <w:p w14:paraId="20A7AE26">
            <w:pPr>
              <w:spacing w:line="440" w:lineRule="exact"/>
              <w:jc w:val="center"/>
              <w:rPr>
                <w:color w:val="auto"/>
                <w:highlight w:val="none"/>
              </w:rPr>
            </w:pPr>
          </w:p>
        </w:tc>
        <w:tc>
          <w:tcPr>
            <w:tcW w:w="709" w:type="dxa"/>
            <w:noWrap w:val="0"/>
            <w:vAlign w:val="top"/>
          </w:tcPr>
          <w:p w14:paraId="13F4A79B">
            <w:pPr>
              <w:spacing w:line="440" w:lineRule="exact"/>
              <w:jc w:val="center"/>
              <w:rPr>
                <w:color w:val="auto"/>
                <w:highlight w:val="none"/>
              </w:rPr>
            </w:pPr>
          </w:p>
        </w:tc>
        <w:tc>
          <w:tcPr>
            <w:tcW w:w="871" w:type="dxa"/>
            <w:noWrap w:val="0"/>
            <w:vAlign w:val="top"/>
          </w:tcPr>
          <w:p w14:paraId="4F794295">
            <w:pPr>
              <w:spacing w:line="440" w:lineRule="exact"/>
              <w:jc w:val="center"/>
              <w:rPr>
                <w:color w:val="auto"/>
                <w:highlight w:val="none"/>
              </w:rPr>
            </w:pPr>
          </w:p>
        </w:tc>
        <w:tc>
          <w:tcPr>
            <w:tcW w:w="1134" w:type="dxa"/>
            <w:noWrap w:val="0"/>
            <w:vAlign w:val="top"/>
          </w:tcPr>
          <w:p w14:paraId="38E84728">
            <w:pPr>
              <w:spacing w:line="440" w:lineRule="exact"/>
              <w:jc w:val="center"/>
              <w:rPr>
                <w:color w:val="auto"/>
                <w:highlight w:val="none"/>
              </w:rPr>
            </w:pPr>
          </w:p>
        </w:tc>
      </w:tr>
      <w:tr w14:paraId="1EB34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7C518CFD">
            <w:pPr>
              <w:spacing w:line="440" w:lineRule="exact"/>
              <w:jc w:val="center"/>
              <w:rPr>
                <w:color w:val="auto"/>
                <w:highlight w:val="none"/>
              </w:rPr>
            </w:pPr>
          </w:p>
        </w:tc>
        <w:tc>
          <w:tcPr>
            <w:tcW w:w="1275" w:type="dxa"/>
            <w:noWrap w:val="0"/>
            <w:vAlign w:val="top"/>
          </w:tcPr>
          <w:p w14:paraId="518F7488">
            <w:pPr>
              <w:spacing w:line="440" w:lineRule="exact"/>
              <w:jc w:val="center"/>
              <w:rPr>
                <w:color w:val="auto"/>
                <w:highlight w:val="none"/>
              </w:rPr>
            </w:pPr>
          </w:p>
        </w:tc>
        <w:tc>
          <w:tcPr>
            <w:tcW w:w="992" w:type="dxa"/>
            <w:noWrap w:val="0"/>
            <w:vAlign w:val="top"/>
          </w:tcPr>
          <w:p w14:paraId="62843484">
            <w:pPr>
              <w:spacing w:line="440" w:lineRule="exact"/>
              <w:jc w:val="center"/>
              <w:rPr>
                <w:color w:val="auto"/>
                <w:highlight w:val="none"/>
              </w:rPr>
            </w:pPr>
          </w:p>
        </w:tc>
        <w:tc>
          <w:tcPr>
            <w:tcW w:w="603" w:type="dxa"/>
            <w:noWrap w:val="0"/>
            <w:vAlign w:val="top"/>
          </w:tcPr>
          <w:p w14:paraId="134FCF8B">
            <w:pPr>
              <w:spacing w:line="440" w:lineRule="exact"/>
              <w:jc w:val="center"/>
              <w:rPr>
                <w:color w:val="auto"/>
                <w:highlight w:val="none"/>
              </w:rPr>
            </w:pPr>
          </w:p>
        </w:tc>
        <w:tc>
          <w:tcPr>
            <w:tcW w:w="488" w:type="dxa"/>
            <w:noWrap w:val="0"/>
            <w:vAlign w:val="top"/>
          </w:tcPr>
          <w:p w14:paraId="230B9A64">
            <w:pPr>
              <w:spacing w:line="440" w:lineRule="exact"/>
              <w:jc w:val="center"/>
              <w:rPr>
                <w:color w:val="auto"/>
                <w:highlight w:val="none"/>
              </w:rPr>
            </w:pPr>
          </w:p>
        </w:tc>
        <w:tc>
          <w:tcPr>
            <w:tcW w:w="1134" w:type="dxa"/>
            <w:noWrap w:val="0"/>
            <w:vAlign w:val="top"/>
          </w:tcPr>
          <w:p w14:paraId="08F75C7A">
            <w:pPr>
              <w:spacing w:line="440" w:lineRule="exact"/>
              <w:jc w:val="center"/>
              <w:rPr>
                <w:color w:val="auto"/>
                <w:highlight w:val="none"/>
              </w:rPr>
            </w:pPr>
          </w:p>
        </w:tc>
        <w:tc>
          <w:tcPr>
            <w:tcW w:w="709" w:type="dxa"/>
            <w:noWrap w:val="0"/>
            <w:vAlign w:val="top"/>
          </w:tcPr>
          <w:p w14:paraId="782B28C2">
            <w:pPr>
              <w:spacing w:line="440" w:lineRule="exact"/>
              <w:jc w:val="center"/>
              <w:rPr>
                <w:color w:val="auto"/>
                <w:highlight w:val="none"/>
              </w:rPr>
            </w:pPr>
          </w:p>
        </w:tc>
        <w:tc>
          <w:tcPr>
            <w:tcW w:w="871" w:type="dxa"/>
            <w:noWrap w:val="0"/>
            <w:vAlign w:val="top"/>
          </w:tcPr>
          <w:p w14:paraId="237532CB">
            <w:pPr>
              <w:spacing w:line="440" w:lineRule="exact"/>
              <w:jc w:val="center"/>
              <w:rPr>
                <w:color w:val="auto"/>
                <w:highlight w:val="none"/>
              </w:rPr>
            </w:pPr>
          </w:p>
        </w:tc>
        <w:tc>
          <w:tcPr>
            <w:tcW w:w="1134" w:type="dxa"/>
            <w:noWrap w:val="0"/>
            <w:vAlign w:val="top"/>
          </w:tcPr>
          <w:p w14:paraId="55A24348">
            <w:pPr>
              <w:spacing w:line="440" w:lineRule="exact"/>
              <w:jc w:val="center"/>
              <w:rPr>
                <w:color w:val="auto"/>
                <w:highlight w:val="none"/>
              </w:rPr>
            </w:pPr>
          </w:p>
        </w:tc>
      </w:tr>
      <w:tr w14:paraId="05683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16D6300A">
            <w:pPr>
              <w:spacing w:line="440" w:lineRule="exact"/>
              <w:jc w:val="center"/>
              <w:rPr>
                <w:color w:val="auto"/>
                <w:highlight w:val="none"/>
              </w:rPr>
            </w:pPr>
          </w:p>
        </w:tc>
        <w:tc>
          <w:tcPr>
            <w:tcW w:w="1275" w:type="dxa"/>
            <w:noWrap w:val="0"/>
            <w:vAlign w:val="top"/>
          </w:tcPr>
          <w:p w14:paraId="6A321A7D">
            <w:pPr>
              <w:spacing w:line="440" w:lineRule="exact"/>
              <w:jc w:val="center"/>
              <w:rPr>
                <w:color w:val="auto"/>
                <w:highlight w:val="none"/>
              </w:rPr>
            </w:pPr>
          </w:p>
        </w:tc>
        <w:tc>
          <w:tcPr>
            <w:tcW w:w="992" w:type="dxa"/>
            <w:noWrap w:val="0"/>
            <w:vAlign w:val="top"/>
          </w:tcPr>
          <w:p w14:paraId="0B362762">
            <w:pPr>
              <w:spacing w:line="440" w:lineRule="exact"/>
              <w:jc w:val="center"/>
              <w:rPr>
                <w:color w:val="auto"/>
                <w:highlight w:val="none"/>
              </w:rPr>
            </w:pPr>
          </w:p>
        </w:tc>
        <w:tc>
          <w:tcPr>
            <w:tcW w:w="603" w:type="dxa"/>
            <w:noWrap w:val="0"/>
            <w:vAlign w:val="top"/>
          </w:tcPr>
          <w:p w14:paraId="7385F91E">
            <w:pPr>
              <w:spacing w:line="440" w:lineRule="exact"/>
              <w:jc w:val="center"/>
              <w:rPr>
                <w:color w:val="auto"/>
                <w:highlight w:val="none"/>
              </w:rPr>
            </w:pPr>
          </w:p>
        </w:tc>
        <w:tc>
          <w:tcPr>
            <w:tcW w:w="488" w:type="dxa"/>
            <w:noWrap w:val="0"/>
            <w:vAlign w:val="top"/>
          </w:tcPr>
          <w:p w14:paraId="39ED75D1">
            <w:pPr>
              <w:spacing w:line="440" w:lineRule="exact"/>
              <w:jc w:val="center"/>
              <w:rPr>
                <w:color w:val="auto"/>
                <w:highlight w:val="none"/>
              </w:rPr>
            </w:pPr>
          </w:p>
        </w:tc>
        <w:tc>
          <w:tcPr>
            <w:tcW w:w="1134" w:type="dxa"/>
            <w:noWrap w:val="0"/>
            <w:vAlign w:val="top"/>
          </w:tcPr>
          <w:p w14:paraId="68F5EAA7">
            <w:pPr>
              <w:spacing w:line="440" w:lineRule="exact"/>
              <w:jc w:val="center"/>
              <w:rPr>
                <w:color w:val="auto"/>
                <w:highlight w:val="none"/>
              </w:rPr>
            </w:pPr>
          </w:p>
        </w:tc>
        <w:tc>
          <w:tcPr>
            <w:tcW w:w="709" w:type="dxa"/>
            <w:noWrap w:val="0"/>
            <w:vAlign w:val="top"/>
          </w:tcPr>
          <w:p w14:paraId="2B554CE7">
            <w:pPr>
              <w:spacing w:line="440" w:lineRule="exact"/>
              <w:jc w:val="center"/>
              <w:rPr>
                <w:color w:val="auto"/>
                <w:highlight w:val="none"/>
              </w:rPr>
            </w:pPr>
          </w:p>
        </w:tc>
        <w:tc>
          <w:tcPr>
            <w:tcW w:w="871" w:type="dxa"/>
            <w:noWrap w:val="0"/>
            <w:vAlign w:val="top"/>
          </w:tcPr>
          <w:p w14:paraId="3853F329">
            <w:pPr>
              <w:spacing w:line="440" w:lineRule="exact"/>
              <w:jc w:val="center"/>
              <w:rPr>
                <w:color w:val="auto"/>
                <w:highlight w:val="none"/>
              </w:rPr>
            </w:pPr>
          </w:p>
        </w:tc>
        <w:tc>
          <w:tcPr>
            <w:tcW w:w="1134" w:type="dxa"/>
            <w:noWrap w:val="0"/>
            <w:vAlign w:val="top"/>
          </w:tcPr>
          <w:p w14:paraId="58384BB8">
            <w:pPr>
              <w:spacing w:line="440" w:lineRule="exact"/>
              <w:jc w:val="center"/>
              <w:rPr>
                <w:color w:val="auto"/>
                <w:highlight w:val="none"/>
              </w:rPr>
            </w:pPr>
          </w:p>
        </w:tc>
      </w:tr>
      <w:tr w14:paraId="7B0AD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7F0DAB7A">
            <w:pPr>
              <w:spacing w:line="440" w:lineRule="exact"/>
              <w:jc w:val="center"/>
              <w:rPr>
                <w:color w:val="auto"/>
                <w:highlight w:val="none"/>
              </w:rPr>
            </w:pPr>
          </w:p>
        </w:tc>
        <w:tc>
          <w:tcPr>
            <w:tcW w:w="1275" w:type="dxa"/>
            <w:noWrap w:val="0"/>
            <w:vAlign w:val="top"/>
          </w:tcPr>
          <w:p w14:paraId="17758289">
            <w:pPr>
              <w:spacing w:line="440" w:lineRule="exact"/>
              <w:jc w:val="center"/>
              <w:rPr>
                <w:color w:val="auto"/>
                <w:highlight w:val="none"/>
              </w:rPr>
            </w:pPr>
          </w:p>
        </w:tc>
        <w:tc>
          <w:tcPr>
            <w:tcW w:w="992" w:type="dxa"/>
            <w:noWrap w:val="0"/>
            <w:vAlign w:val="top"/>
          </w:tcPr>
          <w:p w14:paraId="1E70B352">
            <w:pPr>
              <w:spacing w:line="440" w:lineRule="exact"/>
              <w:jc w:val="center"/>
              <w:rPr>
                <w:color w:val="auto"/>
                <w:highlight w:val="none"/>
              </w:rPr>
            </w:pPr>
          </w:p>
        </w:tc>
        <w:tc>
          <w:tcPr>
            <w:tcW w:w="603" w:type="dxa"/>
            <w:noWrap w:val="0"/>
            <w:vAlign w:val="top"/>
          </w:tcPr>
          <w:p w14:paraId="1D9AC6E9">
            <w:pPr>
              <w:spacing w:line="440" w:lineRule="exact"/>
              <w:jc w:val="center"/>
              <w:rPr>
                <w:color w:val="auto"/>
                <w:highlight w:val="none"/>
              </w:rPr>
            </w:pPr>
          </w:p>
        </w:tc>
        <w:tc>
          <w:tcPr>
            <w:tcW w:w="488" w:type="dxa"/>
            <w:noWrap w:val="0"/>
            <w:vAlign w:val="top"/>
          </w:tcPr>
          <w:p w14:paraId="2C13B789">
            <w:pPr>
              <w:spacing w:line="440" w:lineRule="exact"/>
              <w:jc w:val="center"/>
              <w:rPr>
                <w:color w:val="auto"/>
                <w:highlight w:val="none"/>
              </w:rPr>
            </w:pPr>
          </w:p>
        </w:tc>
        <w:tc>
          <w:tcPr>
            <w:tcW w:w="1134" w:type="dxa"/>
            <w:noWrap w:val="0"/>
            <w:vAlign w:val="top"/>
          </w:tcPr>
          <w:p w14:paraId="2B6BC897">
            <w:pPr>
              <w:spacing w:line="440" w:lineRule="exact"/>
              <w:jc w:val="center"/>
              <w:rPr>
                <w:color w:val="auto"/>
                <w:highlight w:val="none"/>
              </w:rPr>
            </w:pPr>
          </w:p>
        </w:tc>
        <w:tc>
          <w:tcPr>
            <w:tcW w:w="709" w:type="dxa"/>
            <w:noWrap w:val="0"/>
            <w:vAlign w:val="top"/>
          </w:tcPr>
          <w:p w14:paraId="6701579F">
            <w:pPr>
              <w:spacing w:line="440" w:lineRule="exact"/>
              <w:jc w:val="center"/>
              <w:rPr>
                <w:color w:val="auto"/>
                <w:highlight w:val="none"/>
              </w:rPr>
            </w:pPr>
          </w:p>
        </w:tc>
        <w:tc>
          <w:tcPr>
            <w:tcW w:w="871" w:type="dxa"/>
            <w:noWrap w:val="0"/>
            <w:vAlign w:val="top"/>
          </w:tcPr>
          <w:p w14:paraId="51EB3190">
            <w:pPr>
              <w:spacing w:line="440" w:lineRule="exact"/>
              <w:jc w:val="center"/>
              <w:rPr>
                <w:color w:val="auto"/>
                <w:highlight w:val="none"/>
              </w:rPr>
            </w:pPr>
          </w:p>
        </w:tc>
        <w:tc>
          <w:tcPr>
            <w:tcW w:w="1134" w:type="dxa"/>
            <w:noWrap w:val="0"/>
            <w:vAlign w:val="top"/>
          </w:tcPr>
          <w:p w14:paraId="05DB7B7A">
            <w:pPr>
              <w:spacing w:line="440" w:lineRule="exact"/>
              <w:jc w:val="center"/>
              <w:rPr>
                <w:color w:val="auto"/>
                <w:highlight w:val="none"/>
              </w:rPr>
            </w:pPr>
          </w:p>
        </w:tc>
      </w:tr>
      <w:tr w14:paraId="1AF41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367CF83C">
            <w:pPr>
              <w:spacing w:line="440" w:lineRule="exact"/>
              <w:jc w:val="center"/>
              <w:rPr>
                <w:color w:val="auto"/>
                <w:highlight w:val="none"/>
              </w:rPr>
            </w:pPr>
          </w:p>
        </w:tc>
        <w:tc>
          <w:tcPr>
            <w:tcW w:w="1275" w:type="dxa"/>
            <w:noWrap w:val="0"/>
            <w:vAlign w:val="top"/>
          </w:tcPr>
          <w:p w14:paraId="6D352649">
            <w:pPr>
              <w:spacing w:line="440" w:lineRule="exact"/>
              <w:jc w:val="center"/>
              <w:rPr>
                <w:color w:val="auto"/>
                <w:highlight w:val="none"/>
              </w:rPr>
            </w:pPr>
          </w:p>
        </w:tc>
        <w:tc>
          <w:tcPr>
            <w:tcW w:w="992" w:type="dxa"/>
            <w:noWrap w:val="0"/>
            <w:vAlign w:val="top"/>
          </w:tcPr>
          <w:p w14:paraId="66ABD2B8">
            <w:pPr>
              <w:spacing w:line="440" w:lineRule="exact"/>
              <w:jc w:val="center"/>
              <w:rPr>
                <w:color w:val="auto"/>
                <w:highlight w:val="none"/>
              </w:rPr>
            </w:pPr>
          </w:p>
        </w:tc>
        <w:tc>
          <w:tcPr>
            <w:tcW w:w="603" w:type="dxa"/>
            <w:noWrap w:val="0"/>
            <w:vAlign w:val="top"/>
          </w:tcPr>
          <w:p w14:paraId="32F3080F">
            <w:pPr>
              <w:spacing w:line="440" w:lineRule="exact"/>
              <w:jc w:val="center"/>
              <w:rPr>
                <w:color w:val="auto"/>
                <w:highlight w:val="none"/>
              </w:rPr>
            </w:pPr>
          </w:p>
        </w:tc>
        <w:tc>
          <w:tcPr>
            <w:tcW w:w="488" w:type="dxa"/>
            <w:noWrap w:val="0"/>
            <w:vAlign w:val="top"/>
          </w:tcPr>
          <w:p w14:paraId="37C890FA">
            <w:pPr>
              <w:spacing w:line="440" w:lineRule="exact"/>
              <w:jc w:val="center"/>
              <w:rPr>
                <w:color w:val="auto"/>
                <w:highlight w:val="none"/>
              </w:rPr>
            </w:pPr>
          </w:p>
        </w:tc>
        <w:tc>
          <w:tcPr>
            <w:tcW w:w="1134" w:type="dxa"/>
            <w:noWrap w:val="0"/>
            <w:vAlign w:val="top"/>
          </w:tcPr>
          <w:p w14:paraId="1F409F93">
            <w:pPr>
              <w:spacing w:line="440" w:lineRule="exact"/>
              <w:jc w:val="center"/>
              <w:rPr>
                <w:color w:val="auto"/>
                <w:highlight w:val="none"/>
              </w:rPr>
            </w:pPr>
          </w:p>
        </w:tc>
        <w:tc>
          <w:tcPr>
            <w:tcW w:w="709" w:type="dxa"/>
            <w:noWrap w:val="0"/>
            <w:vAlign w:val="top"/>
          </w:tcPr>
          <w:p w14:paraId="71B945FD">
            <w:pPr>
              <w:spacing w:line="440" w:lineRule="exact"/>
              <w:jc w:val="center"/>
              <w:rPr>
                <w:color w:val="auto"/>
                <w:highlight w:val="none"/>
              </w:rPr>
            </w:pPr>
          </w:p>
        </w:tc>
        <w:tc>
          <w:tcPr>
            <w:tcW w:w="871" w:type="dxa"/>
            <w:noWrap w:val="0"/>
            <w:vAlign w:val="top"/>
          </w:tcPr>
          <w:p w14:paraId="68563BAC">
            <w:pPr>
              <w:spacing w:line="440" w:lineRule="exact"/>
              <w:jc w:val="center"/>
              <w:rPr>
                <w:color w:val="auto"/>
                <w:highlight w:val="none"/>
              </w:rPr>
            </w:pPr>
          </w:p>
        </w:tc>
        <w:tc>
          <w:tcPr>
            <w:tcW w:w="1134" w:type="dxa"/>
            <w:noWrap w:val="0"/>
            <w:vAlign w:val="top"/>
          </w:tcPr>
          <w:p w14:paraId="3B219C66">
            <w:pPr>
              <w:spacing w:line="440" w:lineRule="exact"/>
              <w:jc w:val="center"/>
              <w:rPr>
                <w:color w:val="auto"/>
                <w:highlight w:val="none"/>
              </w:rPr>
            </w:pPr>
          </w:p>
        </w:tc>
      </w:tr>
      <w:tr w14:paraId="5CD1C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30CA985D">
            <w:pPr>
              <w:spacing w:line="440" w:lineRule="exact"/>
              <w:jc w:val="center"/>
              <w:rPr>
                <w:color w:val="auto"/>
                <w:highlight w:val="none"/>
              </w:rPr>
            </w:pPr>
          </w:p>
        </w:tc>
        <w:tc>
          <w:tcPr>
            <w:tcW w:w="1275" w:type="dxa"/>
            <w:noWrap w:val="0"/>
            <w:vAlign w:val="top"/>
          </w:tcPr>
          <w:p w14:paraId="5DF02230">
            <w:pPr>
              <w:spacing w:line="440" w:lineRule="exact"/>
              <w:jc w:val="center"/>
              <w:rPr>
                <w:color w:val="auto"/>
                <w:highlight w:val="none"/>
              </w:rPr>
            </w:pPr>
          </w:p>
        </w:tc>
        <w:tc>
          <w:tcPr>
            <w:tcW w:w="992" w:type="dxa"/>
            <w:noWrap w:val="0"/>
            <w:vAlign w:val="top"/>
          </w:tcPr>
          <w:p w14:paraId="2298AB58">
            <w:pPr>
              <w:spacing w:line="440" w:lineRule="exact"/>
              <w:jc w:val="center"/>
              <w:rPr>
                <w:color w:val="auto"/>
                <w:highlight w:val="none"/>
              </w:rPr>
            </w:pPr>
          </w:p>
        </w:tc>
        <w:tc>
          <w:tcPr>
            <w:tcW w:w="603" w:type="dxa"/>
            <w:noWrap w:val="0"/>
            <w:vAlign w:val="top"/>
          </w:tcPr>
          <w:p w14:paraId="335318F0">
            <w:pPr>
              <w:spacing w:line="440" w:lineRule="exact"/>
              <w:jc w:val="center"/>
              <w:rPr>
                <w:color w:val="auto"/>
                <w:highlight w:val="none"/>
              </w:rPr>
            </w:pPr>
          </w:p>
        </w:tc>
        <w:tc>
          <w:tcPr>
            <w:tcW w:w="488" w:type="dxa"/>
            <w:noWrap w:val="0"/>
            <w:vAlign w:val="top"/>
          </w:tcPr>
          <w:p w14:paraId="062DF1E3">
            <w:pPr>
              <w:spacing w:line="440" w:lineRule="exact"/>
              <w:jc w:val="center"/>
              <w:rPr>
                <w:color w:val="auto"/>
                <w:highlight w:val="none"/>
              </w:rPr>
            </w:pPr>
          </w:p>
        </w:tc>
        <w:tc>
          <w:tcPr>
            <w:tcW w:w="1134" w:type="dxa"/>
            <w:noWrap w:val="0"/>
            <w:vAlign w:val="top"/>
          </w:tcPr>
          <w:p w14:paraId="6B29E4B4">
            <w:pPr>
              <w:spacing w:line="440" w:lineRule="exact"/>
              <w:jc w:val="center"/>
              <w:rPr>
                <w:color w:val="auto"/>
                <w:highlight w:val="none"/>
              </w:rPr>
            </w:pPr>
          </w:p>
        </w:tc>
        <w:tc>
          <w:tcPr>
            <w:tcW w:w="709" w:type="dxa"/>
            <w:noWrap w:val="0"/>
            <w:vAlign w:val="top"/>
          </w:tcPr>
          <w:p w14:paraId="6D43D831">
            <w:pPr>
              <w:spacing w:line="440" w:lineRule="exact"/>
              <w:jc w:val="center"/>
              <w:rPr>
                <w:color w:val="auto"/>
                <w:highlight w:val="none"/>
              </w:rPr>
            </w:pPr>
          </w:p>
        </w:tc>
        <w:tc>
          <w:tcPr>
            <w:tcW w:w="871" w:type="dxa"/>
            <w:noWrap w:val="0"/>
            <w:vAlign w:val="top"/>
          </w:tcPr>
          <w:p w14:paraId="40B9BCE3">
            <w:pPr>
              <w:spacing w:line="440" w:lineRule="exact"/>
              <w:jc w:val="center"/>
              <w:rPr>
                <w:color w:val="auto"/>
                <w:highlight w:val="none"/>
              </w:rPr>
            </w:pPr>
          </w:p>
        </w:tc>
        <w:tc>
          <w:tcPr>
            <w:tcW w:w="1134" w:type="dxa"/>
            <w:noWrap w:val="0"/>
            <w:vAlign w:val="top"/>
          </w:tcPr>
          <w:p w14:paraId="7C05CBCD">
            <w:pPr>
              <w:spacing w:line="440" w:lineRule="exact"/>
              <w:jc w:val="center"/>
              <w:rPr>
                <w:color w:val="auto"/>
                <w:highlight w:val="none"/>
              </w:rPr>
            </w:pPr>
          </w:p>
        </w:tc>
      </w:tr>
      <w:tr w14:paraId="4FE96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10060E29">
            <w:pPr>
              <w:spacing w:line="440" w:lineRule="exact"/>
              <w:jc w:val="center"/>
              <w:rPr>
                <w:color w:val="auto"/>
                <w:highlight w:val="none"/>
              </w:rPr>
            </w:pPr>
          </w:p>
        </w:tc>
        <w:tc>
          <w:tcPr>
            <w:tcW w:w="1275" w:type="dxa"/>
            <w:noWrap w:val="0"/>
            <w:vAlign w:val="top"/>
          </w:tcPr>
          <w:p w14:paraId="6D3E65DF">
            <w:pPr>
              <w:spacing w:line="440" w:lineRule="exact"/>
              <w:jc w:val="center"/>
              <w:rPr>
                <w:color w:val="auto"/>
                <w:highlight w:val="none"/>
              </w:rPr>
            </w:pPr>
          </w:p>
        </w:tc>
        <w:tc>
          <w:tcPr>
            <w:tcW w:w="992" w:type="dxa"/>
            <w:noWrap w:val="0"/>
            <w:vAlign w:val="top"/>
          </w:tcPr>
          <w:p w14:paraId="566F5C33">
            <w:pPr>
              <w:spacing w:line="440" w:lineRule="exact"/>
              <w:jc w:val="center"/>
              <w:rPr>
                <w:color w:val="auto"/>
                <w:highlight w:val="none"/>
              </w:rPr>
            </w:pPr>
          </w:p>
        </w:tc>
        <w:tc>
          <w:tcPr>
            <w:tcW w:w="603" w:type="dxa"/>
            <w:noWrap w:val="0"/>
            <w:vAlign w:val="top"/>
          </w:tcPr>
          <w:p w14:paraId="54978C87">
            <w:pPr>
              <w:spacing w:line="440" w:lineRule="exact"/>
              <w:jc w:val="center"/>
              <w:rPr>
                <w:color w:val="auto"/>
                <w:highlight w:val="none"/>
              </w:rPr>
            </w:pPr>
          </w:p>
        </w:tc>
        <w:tc>
          <w:tcPr>
            <w:tcW w:w="488" w:type="dxa"/>
            <w:noWrap w:val="0"/>
            <w:vAlign w:val="top"/>
          </w:tcPr>
          <w:p w14:paraId="7A5B1351">
            <w:pPr>
              <w:spacing w:line="440" w:lineRule="exact"/>
              <w:jc w:val="center"/>
              <w:rPr>
                <w:color w:val="auto"/>
                <w:highlight w:val="none"/>
              </w:rPr>
            </w:pPr>
          </w:p>
        </w:tc>
        <w:tc>
          <w:tcPr>
            <w:tcW w:w="1134" w:type="dxa"/>
            <w:noWrap w:val="0"/>
            <w:vAlign w:val="top"/>
          </w:tcPr>
          <w:p w14:paraId="197F0B4F">
            <w:pPr>
              <w:spacing w:line="440" w:lineRule="exact"/>
              <w:jc w:val="center"/>
              <w:rPr>
                <w:color w:val="auto"/>
                <w:highlight w:val="none"/>
              </w:rPr>
            </w:pPr>
          </w:p>
        </w:tc>
        <w:tc>
          <w:tcPr>
            <w:tcW w:w="709" w:type="dxa"/>
            <w:noWrap w:val="0"/>
            <w:vAlign w:val="top"/>
          </w:tcPr>
          <w:p w14:paraId="3B5C76B9">
            <w:pPr>
              <w:spacing w:line="440" w:lineRule="exact"/>
              <w:jc w:val="center"/>
              <w:rPr>
                <w:color w:val="auto"/>
                <w:highlight w:val="none"/>
              </w:rPr>
            </w:pPr>
          </w:p>
        </w:tc>
        <w:tc>
          <w:tcPr>
            <w:tcW w:w="871" w:type="dxa"/>
            <w:noWrap w:val="0"/>
            <w:vAlign w:val="top"/>
          </w:tcPr>
          <w:p w14:paraId="132FCA44">
            <w:pPr>
              <w:spacing w:line="440" w:lineRule="exact"/>
              <w:jc w:val="center"/>
              <w:rPr>
                <w:color w:val="auto"/>
                <w:highlight w:val="none"/>
              </w:rPr>
            </w:pPr>
          </w:p>
        </w:tc>
        <w:tc>
          <w:tcPr>
            <w:tcW w:w="1134" w:type="dxa"/>
            <w:noWrap w:val="0"/>
            <w:vAlign w:val="top"/>
          </w:tcPr>
          <w:p w14:paraId="6385A2AE">
            <w:pPr>
              <w:spacing w:line="440" w:lineRule="exact"/>
              <w:jc w:val="center"/>
              <w:rPr>
                <w:color w:val="auto"/>
                <w:highlight w:val="none"/>
              </w:rPr>
            </w:pPr>
          </w:p>
        </w:tc>
      </w:tr>
      <w:tr w14:paraId="384BA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4431BA72">
            <w:pPr>
              <w:spacing w:line="440" w:lineRule="exact"/>
              <w:jc w:val="center"/>
              <w:rPr>
                <w:color w:val="auto"/>
                <w:highlight w:val="none"/>
              </w:rPr>
            </w:pPr>
          </w:p>
        </w:tc>
        <w:tc>
          <w:tcPr>
            <w:tcW w:w="1275" w:type="dxa"/>
            <w:noWrap w:val="0"/>
            <w:vAlign w:val="top"/>
          </w:tcPr>
          <w:p w14:paraId="66068779">
            <w:pPr>
              <w:spacing w:line="440" w:lineRule="exact"/>
              <w:jc w:val="center"/>
              <w:rPr>
                <w:color w:val="auto"/>
                <w:highlight w:val="none"/>
              </w:rPr>
            </w:pPr>
          </w:p>
        </w:tc>
        <w:tc>
          <w:tcPr>
            <w:tcW w:w="992" w:type="dxa"/>
            <w:noWrap w:val="0"/>
            <w:vAlign w:val="top"/>
          </w:tcPr>
          <w:p w14:paraId="566E58BB">
            <w:pPr>
              <w:spacing w:line="440" w:lineRule="exact"/>
              <w:jc w:val="center"/>
              <w:rPr>
                <w:color w:val="auto"/>
                <w:highlight w:val="none"/>
              </w:rPr>
            </w:pPr>
          </w:p>
        </w:tc>
        <w:tc>
          <w:tcPr>
            <w:tcW w:w="603" w:type="dxa"/>
            <w:noWrap w:val="0"/>
            <w:vAlign w:val="top"/>
          </w:tcPr>
          <w:p w14:paraId="2392B934">
            <w:pPr>
              <w:spacing w:line="440" w:lineRule="exact"/>
              <w:jc w:val="center"/>
              <w:rPr>
                <w:color w:val="auto"/>
                <w:highlight w:val="none"/>
              </w:rPr>
            </w:pPr>
          </w:p>
        </w:tc>
        <w:tc>
          <w:tcPr>
            <w:tcW w:w="488" w:type="dxa"/>
            <w:noWrap w:val="0"/>
            <w:vAlign w:val="top"/>
          </w:tcPr>
          <w:p w14:paraId="7EDAF9E5">
            <w:pPr>
              <w:spacing w:line="440" w:lineRule="exact"/>
              <w:jc w:val="center"/>
              <w:rPr>
                <w:color w:val="auto"/>
                <w:highlight w:val="none"/>
              </w:rPr>
            </w:pPr>
          </w:p>
        </w:tc>
        <w:tc>
          <w:tcPr>
            <w:tcW w:w="1134" w:type="dxa"/>
            <w:noWrap w:val="0"/>
            <w:vAlign w:val="top"/>
          </w:tcPr>
          <w:p w14:paraId="7800E88B">
            <w:pPr>
              <w:spacing w:line="440" w:lineRule="exact"/>
              <w:jc w:val="center"/>
              <w:rPr>
                <w:color w:val="auto"/>
                <w:highlight w:val="none"/>
              </w:rPr>
            </w:pPr>
          </w:p>
        </w:tc>
        <w:tc>
          <w:tcPr>
            <w:tcW w:w="709" w:type="dxa"/>
            <w:noWrap w:val="0"/>
            <w:vAlign w:val="top"/>
          </w:tcPr>
          <w:p w14:paraId="1C277093">
            <w:pPr>
              <w:spacing w:line="440" w:lineRule="exact"/>
              <w:jc w:val="center"/>
              <w:rPr>
                <w:color w:val="auto"/>
                <w:highlight w:val="none"/>
              </w:rPr>
            </w:pPr>
          </w:p>
        </w:tc>
        <w:tc>
          <w:tcPr>
            <w:tcW w:w="871" w:type="dxa"/>
            <w:noWrap w:val="0"/>
            <w:vAlign w:val="top"/>
          </w:tcPr>
          <w:p w14:paraId="1B5F6490">
            <w:pPr>
              <w:spacing w:line="440" w:lineRule="exact"/>
              <w:jc w:val="center"/>
              <w:rPr>
                <w:color w:val="auto"/>
                <w:highlight w:val="none"/>
              </w:rPr>
            </w:pPr>
          </w:p>
        </w:tc>
        <w:tc>
          <w:tcPr>
            <w:tcW w:w="1134" w:type="dxa"/>
            <w:noWrap w:val="0"/>
            <w:vAlign w:val="top"/>
          </w:tcPr>
          <w:p w14:paraId="195E631A">
            <w:pPr>
              <w:spacing w:line="440" w:lineRule="exact"/>
              <w:jc w:val="center"/>
              <w:rPr>
                <w:color w:val="auto"/>
                <w:highlight w:val="none"/>
              </w:rPr>
            </w:pPr>
          </w:p>
        </w:tc>
      </w:tr>
      <w:tr w14:paraId="7C5CE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03CF99E5">
            <w:pPr>
              <w:spacing w:line="440" w:lineRule="exact"/>
              <w:jc w:val="center"/>
              <w:rPr>
                <w:color w:val="auto"/>
                <w:highlight w:val="none"/>
              </w:rPr>
            </w:pPr>
          </w:p>
        </w:tc>
        <w:tc>
          <w:tcPr>
            <w:tcW w:w="1275" w:type="dxa"/>
            <w:noWrap w:val="0"/>
            <w:vAlign w:val="top"/>
          </w:tcPr>
          <w:p w14:paraId="175BFDEF">
            <w:pPr>
              <w:spacing w:line="440" w:lineRule="exact"/>
              <w:jc w:val="center"/>
              <w:rPr>
                <w:color w:val="auto"/>
                <w:highlight w:val="none"/>
              </w:rPr>
            </w:pPr>
          </w:p>
        </w:tc>
        <w:tc>
          <w:tcPr>
            <w:tcW w:w="992" w:type="dxa"/>
            <w:noWrap w:val="0"/>
            <w:vAlign w:val="top"/>
          </w:tcPr>
          <w:p w14:paraId="05AA498A">
            <w:pPr>
              <w:spacing w:line="440" w:lineRule="exact"/>
              <w:jc w:val="center"/>
              <w:rPr>
                <w:color w:val="auto"/>
                <w:highlight w:val="none"/>
              </w:rPr>
            </w:pPr>
          </w:p>
        </w:tc>
        <w:tc>
          <w:tcPr>
            <w:tcW w:w="603" w:type="dxa"/>
            <w:noWrap w:val="0"/>
            <w:vAlign w:val="top"/>
          </w:tcPr>
          <w:p w14:paraId="5B5E3A9C">
            <w:pPr>
              <w:spacing w:line="440" w:lineRule="exact"/>
              <w:jc w:val="center"/>
              <w:rPr>
                <w:color w:val="auto"/>
                <w:highlight w:val="none"/>
              </w:rPr>
            </w:pPr>
          </w:p>
        </w:tc>
        <w:tc>
          <w:tcPr>
            <w:tcW w:w="488" w:type="dxa"/>
            <w:noWrap w:val="0"/>
            <w:vAlign w:val="top"/>
          </w:tcPr>
          <w:p w14:paraId="2E86A1E1">
            <w:pPr>
              <w:spacing w:line="440" w:lineRule="exact"/>
              <w:jc w:val="center"/>
              <w:rPr>
                <w:color w:val="auto"/>
                <w:highlight w:val="none"/>
              </w:rPr>
            </w:pPr>
          </w:p>
        </w:tc>
        <w:tc>
          <w:tcPr>
            <w:tcW w:w="1134" w:type="dxa"/>
            <w:noWrap w:val="0"/>
            <w:vAlign w:val="top"/>
          </w:tcPr>
          <w:p w14:paraId="67F960D4">
            <w:pPr>
              <w:spacing w:line="440" w:lineRule="exact"/>
              <w:jc w:val="center"/>
              <w:rPr>
                <w:color w:val="auto"/>
                <w:highlight w:val="none"/>
              </w:rPr>
            </w:pPr>
          </w:p>
        </w:tc>
        <w:tc>
          <w:tcPr>
            <w:tcW w:w="709" w:type="dxa"/>
            <w:noWrap w:val="0"/>
            <w:vAlign w:val="top"/>
          </w:tcPr>
          <w:p w14:paraId="1D0471C5">
            <w:pPr>
              <w:spacing w:line="440" w:lineRule="exact"/>
              <w:jc w:val="center"/>
              <w:rPr>
                <w:color w:val="auto"/>
                <w:highlight w:val="none"/>
              </w:rPr>
            </w:pPr>
          </w:p>
        </w:tc>
        <w:tc>
          <w:tcPr>
            <w:tcW w:w="871" w:type="dxa"/>
            <w:noWrap w:val="0"/>
            <w:vAlign w:val="top"/>
          </w:tcPr>
          <w:p w14:paraId="08FA26CF">
            <w:pPr>
              <w:spacing w:line="440" w:lineRule="exact"/>
              <w:jc w:val="center"/>
              <w:rPr>
                <w:color w:val="auto"/>
                <w:highlight w:val="none"/>
              </w:rPr>
            </w:pPr>
          </w:p>
        </w:tc>
        <w:tc>
          <w:tcPr>
            <w:tcW w:w="1134" w:type="dxa"/>
            <w:noWrap w:val="0"/>
            <w:vAlign w:val="top"/>
          </w:tcPr>
          <w:p w14:paraId="262D2F67">
            <w:pPr>
              <w:spacing w:line="440" w:lineRule="exact"/>
              <w:jc w:val="center"/>
              <w:rPr>
                <w:color w:val="auto"/>
                <w:highlight w:val="none"/>
              </w:rPr>
            </w:pPr>
          </w:p>
        </w:tc>
      </w:tr>
      <w:tr w14:paraId="21F2A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5C266CE7">
            <w:pPr>
              <w:spacing w:line="440" w:lineRule="exact"/>
              <w:jc w:val="center"/>
              <w:rPr>
                <w:color w:val="auto"/>
                <w:highlight w:val="none"/>
              </w:rPr>
            </w:pPr>
          </w:p>
        </w:tc>
        <w:tc>
          <w:tcPr>
            <w:tcW w:w="1275" w:type="dxa"/>
            <w:noWrap w:val="0"/>
            <w:vAlign w:val="top"/>
          </w:tcPr>
          <w:p w14:paraId="5A7B45A7">
            <w:pPr>
              <w:spacing w:line="440" w:lineRule="exact"/>
              <w:jc w:val="center"/>
              <w:rPr>
                <w:color w:val="auto"/>
                <w:highlight w:val="none"/>
              </w:rPr>
            </w:pPr>
          </w:p>
        </w:tc>
        <w:tc>
          <w:tcPr>
            <w:tcW w:w="992" w:type="dxa"/>
            <w:noWrap w:val="0"/>
            <w:vAlign w:val="top"/>
          </w:tcPr>
          <w:p w14:paraId="50E5891D">
            <w:pPr>
              <w:spacing w:line="440" w:lineRule="exact"/>
              <w:jc w:val="center"/>
              <w:rPr>
                <w:color w:val="auto"/>
                <w:highlight w:val="none"/>
              </w:rPr>
            </w:pPr>
          </w:p>
        </w:tc>
        <w:tc>
          <w:tcPr>
            <w:tcW w:w="603" w:type="dxa"/>
            <w:noWrap w:val="0"/>
            <w:vAlign w:val="top"/>
          </w:tcPr>
          <w:p w14:paraId="0D58EED8">
            <w:pPr>
              <w:spacing w:line="440" w:lineRule="exact"/>
              <w:jc w:val="center"/>
              <w:rPr>
                <w:color w:val="auto"/>
                <w:highlight w:val="none"/>
              </w:rPr>
            </w:pPr>
          </w:p>
        </w:tc>
        <w:tc>
          <w:tcPr>
            <w:tcW w:w="488" w:type="dxa"/>
            <w:noWrap w:val="0"/>
            <w:vAlign w:val="top"/>
          </w:tcPr>
          <w:p w14:paraId="527D80E7">
            <w:pPr>
              <w:spacing w:line="440" w:lineRule="exact"/>
              <w:jc w:val="center"/>
              <w:rPr>
                <w:color w:val="auto"/>
                <w:highlight w:val="none"/>
              </w:rPr>
            </w:pPr>
          </w:p>
        </w:tc>
        <w:tc>
          <w:tcPr>
            <w:tcW w:w="1134" w:type="dxa"/>
            <w:noWrap w:val="0"/>
            <w:vAlign w:val="top"/>
          </w:tcPr>
          <w:p w14:paraId="19701620">
            <w:pPr>
              <w:spacing w:line="440" w:lineRule="exact"/>
              <w:jc w:val="center"/>
              <w:rPr>
                <w:color w:val="auto"/>
                <w:highlight w:val="none"/>
              </w:rPr>
            </w:pPr>
          </w:p>
        </w:tc>
        <w:tc>
          <w:tcPr>
            <w:tcW w:w="709" w:type="dxa"/>
            <w:noWrap w:val="0"/>
            <w:vAlign w:val="top"/>
          </w:tcPr>
          <w:p w14:paraId="4AF58E93">
            <w:pPr>
              <w:spacing w:line="440" w:lineRule="exact"/>
              <w:jc w:val="center"/>
              <w:rPr>
                <w:color w:val="auto"/>
                <w:highlight w:val="none"/>
              </w:rPr>
            </w:pPr>
          </w:p>
        </w:tc>
        <w:tc>
          <w:tcPr>
            <w:tcW w:w="871" w:type="dxa"/>
            <w:noWrap w:val="0"/>
            <w:vAlign w:val="top"/>
          </w:tcPr>
          <w:p w14:paraId="0E03FBA4">
            <w:pPr>
              <w:spacing w:line="440" w:lineRule="exact"/>
              <w:jc w:val="center"/>
              <w:rPr>
                <w:color w:val="auto"/>
                <w:highlight w:val="none"/>
              </w:rPr>
            </w:pPr>
          </w:p>
        </w:tc>
        <w:tc>
          <w:tcPr>
            <w:tcW w:w="1134" w:type="dxa"/>
            <w:noWrap w:val="0"/>
            <w:vAlign w:val="top"/>
          </w:tcPr>
          <w:p w14:paraId="401EE4D4">
            <w:pPr>
              <w:spacing w:line="440" w:lineRule="exact"/>
              <w:jc w:val="center"/>
              <w:rPr>
                <w:color w:val="auto"/>
                <w:highlight w:val="none"/>
              </w:rPr>
            </w:pPr>
          </w:p>
        </w:tc>
      </w:tr>
      <w:tr w14:paraId="4B323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3671A185">
            <w:pPr>
              <w:spacing w:line="440" w:lineRule="exact"/>
              <w:jc w:val="center"/>
              <w:rPr>
                <w:color w:val="auto"/>
                <w:highlight w:val="none"/>
              </w:rPr>
            </w:pPr>
          </w:p>
        </w:tc>
        <w:tc>
          <w:tcPr>
            <w:tcW w:w="1275" w:type="dxa"/>
            <w:noWrap w:val="0"/>
            <w:vAlign w:val="top"/>
          </w:tcPr>
          <w:p w14:paraId="4173CA3D">
            <w:pPr>
              <w:spacing w:line="440" w:lineRule="exact"/>
              <w:jc w:val="center"/>
              <w:rPr>
                <w:color w:val="auto"/>
                <w:highlight w:val="none"/>
              </w:rPr>
            </w:pPr>
          </w:p>
        </w:tc>
        <w:tc>
          <w:tcPr>
            <w:tcW w:w="992" w:type="dxa"/>
            <w:noWrap w:val="0"/>
            <w:vAlign w:val="top"/>
          </w:tcPr>
          <w:p w14:paraId="29E98898">
            <w:pPr>
              <w:spacing w:line="440" w:lineRule="exact"/>
              <w:jc w:val="center"/>
              <w:rPr>
                <w:color w:val="auto"/>
                <w:highlight w:val="none"/>
              </w:rPr>
            </w:pPr>
          </w:p>
        </w:tc>
        <w:tc>
          <w:tcPr>
            <w:tcW w:w="603" w:type="dxa"/>
            <w:noWrap w:val="0"/>
            <w:vAlign w:val="top"/>
          </w:tcPr>
          <w:p w14:paraId="463EAFCE">
            <w:pPr>
              <w:spacing w:line="440" w:lineRule="exact"/>
              <w:jc w:val="center"/>
              <w:rPr>
                <w:color w:val="auto"/>
                <w:highlight w:val="none"/>
              </w:rPr>
            </w:pPr>
          </w:p>
        </w:tc>
        <w:tc>
          <w:tcPr>
            <w:tcW w:w="488" w:type="dxa"/>
            <w:noWrap w:val="0"/>
            <w:vAlign w:val="top"/>
          </w:tcPr>
          <w:p w14:paraId="6B6D1C52">
            <w:pPr>
              <w:spacing w:line="440" w:lineRule="exact"/>
              <w:jc w:val="center"/>
              <w:rPr>
                <w:color w:val="auto"/>
                <w:highlight w:val="none"/>
              </w:rPr>
            </w:pPr>
          </w:p>
        </w:tc>
        <w:tc>
          <w:tcPr>
            <w:tcW w:w="1134" w:type="dxa"/>
            <w:noWrap w:val="0"/>
            <w:vAlign w:val="top"/>
          </w:tcPr>
          <w:p w14:paraId="69BF4BFD">
            <w:pPr>
              <w:spacing w:line="440" w:lineRule="exact"/>
              <w:jc w:val="center"/>
              <w:rPr>
                <w:color w:val="auto"/>
                <w:highlight w:val="none"/>
              </w:rPr>
            </w:pPr>
          </w:p>
        </w:tc>
        <w:tc>
          <w:tcPr>
            <w:tcW w:w="709" w:type="dxa"/>
            <w:noWrap w:val="0"/>
            <w:vAlign w:val="top"/>
          </w:tcPr>
          <w:p w14:paraId="1CE7357F">
            <w:pPr>
              <w:spacing w:line="440" w:lineRule="exact"/>
              <w:jc w:val="center"/>
              <w:rPr>
                <w:color w:val="auto"/>
                <w:highlight w:val="none"/>
              </w:rPr>
            </w:pPr>
          </w:p>
        </w:tc>
        <w:tc>
          <w:tcPr>
            <w:tcW w:w="871" w:type="dxa"/>
            <w:noWrap w:val="0"/>
            <w:vAlign w:val="top"/>
          </w:tcPr>
          <w:p w14:paraId="1413E2C8">
            <w:pPr>
              <w:spacing w:line="440" w:lineRule="exact"/>
              <w:jc w:val="center"/>
              <w:rPr>
                <w:color w:val="auto"/>
                <w:highlight w:val="none"/>
              </w:rPr>
            </w:pPr>
          </w:p>
        </w:tc>
        <w:tc>
          <w:tcPr>
            <w:tcW w:w="1134" w:type="dxa"/>
            <w:noWrap w:val="0"/>
            <w:vAlign w:val="top"/>
          </w:tcPr>
          <w:p w14:paraId="75CB0F43">
            <w:pPr>
              <w:spacing w:line="440" w:lineRule="exact"/>
              <w:jc w:val="center"/>
              <w:rPr>
                <w:color w:val="auto"/>
                <w:highlight w:val="none"/>
              </w:rPr>
            </w:pPr>
          </w:p>
        </w:tc>
      </w:tr>
      <w:tr w14:paraId="24CFF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041EA154">
            <w:pPr>
              <w:spacing w:line="440" w:lineRule="exact"/>
              <w:jc w:val="center"/>
              <w:rPr>
                <w:color w:val="auto"/>
                <w:highlight w:val="none"/>
              </w:rPr>
            </w:pPr>
          </w:p>
        </w:tc>
        <w:tc>
          <w:tcPr>
            <w:tcW w:w="1275" w:type="dxa"/>
            <w:noWrap w:val="0"/>
            <w:vAlign w:val="top"/>
          </w:tcPr>
          <w:p w14:paraId="3CAAA647">
            <w:pPr>
              <w:spacing w:line="440" w:lineRule="exact"/>
              <w:jc w:val="center"/>
              <w:rPr>
                <w:color w:val="auto"/>
                <w:highlight w:val="none"/>
              </w:rPr>
            </w:pPr>
          </w:p>
        </w:tc>
        <w:tc>
          <w:tcPr>
            <w:tcW w:w="992" w:type="dxa"/>
            <w:noWrap w:val="0"/>
            <w:vAlign w:val="top"/>
          </w:tcPr>
          <w:p w14:paraId="7AE6F50B">
            <w:pPr>
              <w:spacing w:line="440" w:lineRule="exact"/>
              <w:jc w:val="center"/>
              <w:rPr>
                <w:color w:val="auto"/>
                <w:highlight w:val="none"/>
              </w:rPr>
            </w:pPr>
          </w:p>
        </w:tc>
        <w:tc>
          <w:tcPr>
            <w:tcW w:w="603" w:type="dxa"/>
            <w:noWrap w:val="0"/>
            <w:vAlign w:val="top"/>
          </w:tcPr>
          <w:p w14:paraId="0B9CF931">
            <w:pPr>
              <w:spacing w:line="440" w:lineRule="exact"/>
              <w:jc w:val="center"/>
              <w:rPr>
                <w:color w:val="auto"/>
                <w:highlight w:val="none"/>
              </w:rPr>
            </w:pPr>
          </w:p>
        </w:tc>
        <w:tc>
          <w:tcPr>
            <w:tcW w:w="488" w:type="dxa"/>
            <w:noWrap w:val="0"/>
            <w:vAlign w:val="top"/>
          </w:tcPr>
          <w:p w14:paraId="2DFEE662">
            <w:pPr>
              <w:spacing w:line="440" w:lineRule="exact"/>
              <w:jc w:val="center"/>
              <w:rPr>
                <w:color w:val="auto"/>
                <w:highlight w:val="none"/>
              </w:rPr>
            </w:pPr>
          </w:p>
        </w:tc>
        <w:tc>
          <w:tcPr>
            <w:tcW w:w="1134" w:type="dxa"/>
            <w:noWrap w:val="0"/>
            <w:vAlign w:val="top"/>
          </w:tcPr>
          <w:p w14:paraId="1370F563">
            <w:pPr>
              <w:spacing w:line="440" w:lineRule="exact"/>
              <w:jc w:val="center"/>
              <w:rPr>
                <w:color w:val="auto"/>
                <w:highlight w:val="none"/>
              </w:rPr>
            </w:pPr>
          </w:p>
        </w:tc>
        <w:tc>
          <w:tcPr>
            <w:tcW w:w="709" w:type="dxa"/>
            <w:noWrap w:val="0"/>
            <w:vAlign w:val="top"/>
          </w:tcPr>
          <w:p w14:paraId="2B964389">
            <w:pPr>
              <w:spacing w:line="440" w:lineRule="exact"/>
              <w:jc w:val="center"/>
              <w:rPr>
                <w:color w:val="auto"/>
                <w:highlight w:val="none"/>
              </w:rPr>
            </w:pPr>
          </w:p>
        </w:tc>
        <w:tc>
          <w:tcPr>
            <w:tcW w:w="871" w:type="dxa"/>
            <w:noWrap w:val="0"/>
            <w:vAlign w:val="top"/>
          </w:tcPr>
          <w:p w14:paraId="00A00079">
            <w:pPr>
              <w:spacing w:line="440" w:lineRule="exact"/>
              <w:jc w:val="center"/>
              <w:rPr>
                <w:color w:val="auto"/>
                <w:highlight w:val="none"/>
              </w:rPr>
            </w:pPr>
          </w:p>
        </w:tc>
        <w:tc>
          <w:tcPr>
            <w:tcW w:w="1134" w:type="dxa"/>
            <w:noWrap w:val="0"/>
            <w:vAlign w:val="top"/>
          </w:tcPr>
          <w:p w14:paraId="1AE475F1">
            <w:pPr>
              <w:spacing w:line="440" w:lineRule="exact"/>
              <w:jc w:val="center"/>
              <w:rPr>
                <w:color w:val="auto"/>
                <w:highlight w:val="none"/>
              </w:rPr>
            </w:pPr>
          </w:p>
        </w:tc>
      </w:tr>
      <w:tr w14:paraId="51EB9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5B6D4622">
            <w:pPr>
              <w:spacing w:line="440" w:lineRule="exact"/>
              <w:jc w:val="center"/>
              <w:rPr>
                <w:color w:val="auto"/>
                <w:highlight w:val="none"/>
              </w:rPr>
            </w:pPr>
          </w:p>
        </w:tc>
        <w:tc>
          <w:tcPr>
            <w:tcW w:w="1275" w:type="dxa"/>
            <w:noWrap w:val="0"/>
            <w:vAlign w:val="top"/>
          </w:tcPr>
          <w:p w14:paraId="6FA9C875">
            <w:pPr>
              <w:spacing w:line="440" w:lineRule="exact"/>
              <w:jc w:val="center"/>
              <w:rPr>
                <w:color w:val="auto"/>
                <w:highlight w:val="none"/>
              </w:rPr>
            </w:pPr>
          </w:p>
        </w:tc>
        <w:tc>
          <w:tcPr>
            <w:tcW w:w="992" w:type="dxa"/>
            <w:noWrap w:val="0"/>
            <w:vAlign w:val="top"/>
          </w:tcPr>
          <w:p w14:paraId="06B43D78">
            <w:pPr>
              <w:spacing w:line="440" w:lineRule="exact"/>
              <w:jc w:val="center"/>
              <w:rPr>
                <w:color w:val="auto"/>
                <w:highlight w:val="none"/>
              </w:rPr>
            </w:pPr>
          </w:p>
        </w:tc>
        <w:tc>
          <w:tcPr>
            <w:tcW w:w="603" w:type="dxa"/>
            <w:noWrap w:val="0"/>
            <w:vAlign w:val="top"/>
          </w:tcPr>
          <w:p w14:paraId="1A296397">
            <w:pPr>
              <w:spacing w:line="440" w:lineRule="exact"/>
              <w:jc w:val="center"/>
              <w:rPr>
                <w:color w:val="auto"/>
                <w:highlight w:val="none"/>
              </w:rPr>
            </w:pPr>
          </w:p>
        </w:tc>
        <w:tc>
          <w:tcPr>
            <w:tcW w:w="488" w:type="dxa"/>
            <w:noWrap w:val="0"/>
            <w:vAlign w:val="top"/>
          </w:tcPr>
          <w:p w14:paraId="6F51CD74">
            <w:pPr>
              <w:spacing w:line="440" w:lineRule="exact"/>
              <w:jc w:val="center"/>
              <w:rPr>
                <w:color w:val="auto"/>
                <w:highlight w:val="none"/>
              </w:rPr>
            </w:pPr>
          </w:p>
        </w:tc>
        <w:tc>
          <w:tcPr>
            <w:tcW w:w="1134" w:type="dxa"/>
            <w:noWrap w:val="0"/>
            <w:vAlign w:val="top"/>
          </w:tcPr>
          <w:p w14:paraId="1624A21B">
            <w:pPr>
              <w:spacing w:line="440" w:lineRule="exact"/>
              <w:jc w:val="center"/>
              <w:rPr>
                <w:color w:val="auto"/>
                <w:highlight w:val="none"/>
              </w:rPr>
            </w:pPr>
          </w:p>
        </w:tc>
        <w:tc>
          <w:tcPr>
            <w:tcW w:w="709" w:type="dxa"/>
            <w:noWrap w:val="0"/>
            <w:vAlign w:val="top"/>
          </w:tcPr>
          <w:p w14:paraId="32741E10">
            <w:pPr>
              <w:spacing w:line="440" w:lineRule="exact"/>
              <w:jc w:val="center"/>
              <w:rPr>
                <w:color w:val="auto"/>
                <w:highlight w:val="none"/>
              </w:rPr>
            </w:pPr>
          </w:p>
        </w:tc>
        <w:tc>
          <w:tcPr>
            <w:tcW w:w="871" w:type="dxa"/>
            <w:noWrap w:val="0"/>
            <w:vAlign w:val="top"/>
          </w:tcPr>
          <w:p w14:paraId="3C583A59">
            <w:pPr>
              <w:spacing w:line="440" w:lineRule="exact"/>
              <w:jc w:val="center"/>
              <w:rPr>
                <w:color w:val="auto"/>
                <w:highlight w:val="none"/>
              </w:rPr>
            </w:pPr>
          </w:p>
        </w:tc>
        <w:tc>
          <w:tcPr>
            <w:tcW w:w="1134" w:type="dxa"/>
            <w:noWrap w:val="0"/>
            <w:vAlign w:val="top"/>
          </w:tcPr>
          <w:p w14:paraId="52582569">
            <w:pPr>
              <w:spacing w:line="440" w:lineRule="exact"/>
              <w:jc w:val="center"/>
              <w:rPr>
                <w:color w:val="auto"/>
                <w:highlight w:val="none"/>
              </w:rPr>
            </w:pPr>
          </w:p>
        </w:tc>
      </w:tr>
    </w:tbl>
    <w:p w14:paraId="02B338D1">
      <w:pPr>
        <w:spacing w:line="440" w:lineRule="exact"/>
        <w:rPr>
          <w:color w:val="auto"/>
          <w:highlight w:val="none"/>
        </w:rPr>
      </w:pPr>
    </w:p>
    <w:p w14:paraId="1274DD05">
      <w:pPr>
        <w:spacing w:line="440" w:lineRule="exact"/>
        <w:rPr>
          <w:color w:val="auto"/>
          <w:highlight w:val="none"/>
        </w:rPr>
      </w:pPr>
    </w:p>
    <w:p w14:paraId="34FE04C9">
      <w:pPr>
        <w:spacing w:line="440" w:lineRule="exact"/>
        <w:rPr>
          <w:rFonts w:hint="eastAsia"/>
          <w:color w:val="auto"/>
          <w:highlight w:val="none"/>
        </w:rPr>
      </w:pPr>
    </w:p>
    <w:p w14:paraId="09EB8CA6">
      <w:pPr>
        <w:spacing w:line="440" w:lineRule="exact"/>
        <w:rPr>
          <w:rFonts w:hint="eastAsia"/>
          <w:color w:val="auto"/>
          <w:highlight w:val="none"/>
        </w:rPr>
      </w:pPr>
    </w:p>
    <w:p w14:paraId="028FEB00">
      <w:pPr>
        <w:spacing w:line="440" w:lineRule="exact"/>
        <w:rPr>
          <w:rFonts w:hint="eastAsia"/>
          <w:color w:val="auto"/>
          <w:highlight w:val="none"/>
        </w:rPr>
      </w:pPr>
    </w:p>
    <w:p w14:paraId="2BE991E9">
      <w:pPr>
        <w:spacing w:line="440" w:lineRule="exact"/>
        <w:rPr>
          <w:rFonts w:hint="eastAsia"/>
          <w:color w:val="auto"/>
          <w:highlight w:val="none"/>
        </w:rPr>
      </w:pPr>
    </w:p>
    <w:p w14:paraId="4C5DC294">
      <w:pPr>
        <w:spacing w:line="440" w:lineRule="exact"/>
        <w:rPr>
          <w:color w:val="auto"/>
          <w:highlight w:val="none"/>
        </w:rPr>
      </w:pPr>
    </w:p>
    <w:p w14:paraId="192297A0">
      <w:pPr>
        <w:pStyle w:val="84"/>
        <w:rPr>
          <w:color w:val="auto"/>
          <w:highlight w:val="none"/>
        </w:rPr>
      </w:pPr>
    </w:p>
    <w:p w14:paraId="11DFC1CE">
      <w:pPr>
        <w:rPr>
          <w:color w:val="auto"/>
          <w:highlight w:val="none"/>
        </w:rPr>
      </w:pPr>
    </w:p>
    <w:p w14:paraId="781C65AB">
      <w:pPr>
        <w:pStyle w:val="5"/>
        <w:bidi w:val="0"/>
        <w:rPr>
          <w:color w:val="auto"/>
          <w:highlight w:val="none"/>
        </w:rPr>
      </w:pPr>
      <w:bookmarkStart w:id="450" w:name="_Toc7774"/>
      <w:bookmarkStart w:id="451" w:name="_Toc24179"/>
      <w:bookmarkStart w:id="452" w:name="_Toc9774"/>
      <w:bookmarkStart w:id="453" w:name="_Toc15281"/>
      <w:bookmarkStart w:id="454" w:name="_Toc12129"/>
      <w:bookmarkStart w:id="455" w:name="_Toc32664"/>
      <w:bookmarkStart w:id="456" w:name="_Toc15945"/>
      <w:bookmarkStart w:id="457" w:name="_Toc22924"/>
      <w:bookmarkStart w:id="458" w:name="_Toc2079"/>
      <w:bookmarkStart w:id="459" w:name="_Toc10981"/>
      <w:r>
        <w:rPr>
          <w:rFonts w:hint="eastAsia"/>
          <w:color w:val="auto"/>
          <w:highlight w:val="none"/>
        </w:rPr>
        <w:t>（</w:t>
      </w:r>
      <w:r>
        <w:rPr>
          <w:rFonts w:hint="eastAsia"/>
          <w:color w:val="auto"/>
          <w:highlight w:val="none"/>
          <w:lang w:eastAsia="zh-CN"/>
        </w:rPr>
        <w:t>五</w:t>
      </w:r>
      <w:r>
        <w:rPr>
          <w:rFonts w:hint="eastAsia"/>
          <w:color w:val="auto"/>
          <w:highlight w:val="none"/>
        </w:rPr>
        <w:t>）主要人员简历表</w:t>
      </w:r>
      <w:bookmarkEnd w:id="450"/>
      <w:bookmarkEnd w:id="451"/>
      <w:bookmarkEnd w:id="452"/>
      <w:bookmarkEnd w:id="453"/>
      <w:bookmarkEnd w:id="454"/>
      <w:bookmarkEnd w:id="455"/>
      <w:bookmarkEnd w:id="456"/>
      <w:bookmarkEnd w:id="457"/>
      <w:bookmarkEnd w:id="458"/>
      <w:bookmarkEnd w:id="459"/>
    </w:p>
    <w:p w14:paraId="2680779D">
      <w:pPr>
        <w:topLinePunct/>
        <w:spacing w:line="440" w:lineRule="exact"/>
        <w:jc w:val="center"/>
        <w:rPr>
          <w:color w:val="auto"/>
          <w:sz w:val="23"/>
          <w:highlight w:val="none"/>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14:paraId="73CD9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noWrap w:val="0"/>
            <w:vAlign w:val="center"/>
          </w:tcPr>
          <w:p w14:paraId="2AD38D86">
            <w:pPr>
              <w:spacing w:line="440" w:lineRule="exact"/>
              <w:jc w:val="center"/>
              <w:rPr>
                <w:color w:val="auto"/>
                <w:highlight w:val="none"/>
              </w:rPr>
            </w:pPr>
            <w:r>
              <w:rPr>
                <w:rFonts w:hint="eastAsia"/>
                <w:color w:val="auto"/>
                <w:highlight w:val="none"/>
              </w:rPr>
              <w:t>姓</w:t>
            </w:r>
            <w:r>
              <w:rPr>
                <w:color w:val="auto"/>
                <w:highlight w:val="none"/>
              </w:rPr>
              <w:t xml:space="preserve">  </w:t>
            </w:r>
            <w:r>
              <w:rPr>
                <w:rFonts w:hint="eastAsia"/>
                <w:color w:val="auto"/>
                <w:highlight w:val="none"/>
              </w:rPr>
              <w:t>名</w:t>
            </w:r>
          </w:p>
        </w:tc>
        <w:tc>
          <w:tcPr>
            <w:tcW w:w="1048" w:type="dxa"/>
            <w:gridSpan w:val="2"/>
            <w:noWrap w:val="0"/>
            <w:vAlign w:val="center"/>
          </w:tcPr>
          <w:p w14:paraId="009F562E">
            <w:pPr>
              <w:spacing w:line="440" w:lineRule="exact"/>
              <w:jc w:val="center"/>
              <w:rPr>
                <w:color w:val="auto"/>
                <w:highlight w:val="none"/>
              </w:rPr>
            </w:pPr>
          </w:p>
        </w:tc>
        <w:tc>
          <w:tcPr>
            <w:tcW w:w="958" w:type="dxa"/>
            <w:noWrap w:val="0"/>
            <w:vAlign w:val="center"/>
          </w:tcPr>
          <w:p w14:paraId="6756F373">
            <w:pPr>
              <w:spacing w:line="440" w:lineRule="exact"/>
              <w:jc w:val="center"/>
              <w:rPr>
                <w:color w:val="auto"/>
                <w:highlight w:val="none"/>
              </w:rPr>
            </w:pPr>
            <w:r>
              <w:rPr>
                <w:rFonts w:hint="eastAsia"/>
                <w:color w:val="auto"/>
                <w:highlight w:val="none"/>
              </w:rPr>
              <w:t>年龄</w:t>
            </w:r>
          </w:p>
        </w:tc>
        <w:tc>
          <w:tcPr>
            <w:tcW w:w="1065" w:type="dxa"/>
            <w:noWrap w:val="0"/>
            <w:vAlign w:val="center"/>
          </w:tcPr>
          <w:p w14:paraId="6A8095D3">
            <w:pPr>
              <w:spacing w:line="440" w:lineRule="exact"/>
              <w:jc w:val="center"/>
              <w:rPr>
                <w:color w:val="auto"/>
                <w:highlight w:val="none"/>
              </w:rPr>
            </w:pPr>
          </w:p>
        </w:tc>
        <w:tc>
          <w:tcPr>
            <w:tcW w:w="2368" w:type="dxa"/>
            <w:gridSpan w:val="3"/>
            <w:noWrap w:val="0"/>
            <w:vAlign w:val="center"/>
          </w:tcPr>
          <w:p w14:paraId="05D5BD43">
            <w:pPr>
              <w:spacing w:line="440" w:lineRule="exact"/>
              <w:jc w:val="center"/>
              <w:rPr>
                <w:color w:val="auto"/>
                <w:highlight w:val="none"/>
              </w:rPr>
            </w:pPr>
            <w:r>
              <w:rPr>
                <w:rFonts w:hint="eastAsia"/>
                <w:color w:val="auto"/>
                <w:highlight w:val="none"/>
              </w:rPr>
              <w:t>执业资格证书（或上岗证书）名称</w:t>
            </w:r>
          </w:p>
        </w:tc>
        <w:tc>
          <w:tcPr>
            <w:tcW w:w="1896" w:type="dxa"/>
            <w:noWrap w:val="0"/>
            <w:vAlign w:val="center"/>
          </w:tcPr>
          <w:p w14:paraId="153EFABE">
            <w:pPr>
              <w:spacing w:line="440" w:lineRule="exact"/>
              <w:jc w:val="center"/>
              <w:rPr>
                <w:color w:val="auto"/>
                <w:highlight w:val="none"/>
              </w:rPr>
            </w:pPr>
          </w:p>
        </w:tc>
      </w:tr>
      <w:tr w14:paraId="400BF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noWrap w:val="0"/>
            <w:vAlign w:val="center"/>
          </w:tcPr>
          <w:p w14:paraId="5BBCB87F">
            <w:pPr>
              <w:spacing w:line="440" w:lineRule="exact"/>
              <w:jc w:val="center"/>
              <w:rPr>
                <w:color w:val="auto"/>
                <w:highlight w:val="none"/>
              </w:rPr>
            </w:pPr>
            <w:r>
              <w:rPr>
                <w:rFonts w:hint="eastAsia"/>
                <w:color w:val="auto"/>
                <w:highlight w:val="none"/>
              </w:rPr>
              <w:t>职</w:t>
            </w:r>
            <w:r>
              <w:rPr>
                <w:color w:val="auto"/>
                <w:highlight w:val="none"/>
              </w:rPr>
              <w:t xml:space="preserve">  </w:t>
            </w:r>
            <w:r>
              <w:rPr>
                <w:rFonts w:hint="eastAsia"/>
                <w:color w:val="auto"/>
                <w:highlight w:val="none"/>
              </w:rPr>
              <w:t>称</w:t>
            </w:r>
          </w:p>
        </w:tc>
        <w:tc>
          <w:tcPr>
            <w:tcW w:w="1048" w:type="dxa"/>
            <w:gridSpan w:val="2"/>
            <w:noWrap w:val="0"/>
            <w:vAlign w:val="center"/>
          </w:tcPr>
          <w:p w14:paraId="1219265B">
            <w:pPr>
              <w:spacing w:line="440" w:lineRule="exact"/>
              <w:jc w:val="center"/>
              <w:rPr>
                <w:color w:val="auto"/>
                <w:highlight w:val="none"/>
              </w:rPr>
            </w:pPr>
          </w:p>
        </w:tc>
        <w:tc>
          <w:tcPr>
            <w:tcW w:w="958" w:type="dxa"/>
            <w:noWrap w:val="0"/>
            <w:vAlign w:val="center"/>
          </w:tcPr>
          <w:p w14:paraId="04DAF9C6">
            <w:pPr>
              <w:spacing w:before="100" w:beforeAutospacing="1" w:after="100" w:afterAutospacing="1" w:line="440" w:lineRule="exact"/>
              <w:jc w:val="center"/>
              <w:rPr>
                <w:color w:val="auto"/>
                <w:highlight w:val="none"/>
              </w:rPr>
            </w:pPr>
            <w:r>
              <w:rPr>
                <w:rFonts w:hint="eastAsia"/>
                <w:color w:val="auto"/>
                <w:highlight w:val="none"/>
              </w:rPr>
              <w:t>学历</w:t>
            </w:r>
          </w:p>
        </w:tc>
        <w:tc>
          <w:tcPr>
            <w:tcW w:w="1065" w:type="dxa"/>
            <w:noWrap w:val="0"/>
            <w:vAlign w:val="center"/>
          </w:tcPr>
          <w:p w14:paraId="571433B2">
            <w:pPr>
              <w:spacing w:line="440" w:lineRule="exact"/>
              <w:jc w:val="center"/>
              <w:rPr>
                <w:color w:val="auto"/>
                <w:highlight w:val="none"/>
              </w:rPr>
            </w:pPr>
          </w:p>
        </w:tc>
        <w:tc>
          <w:tcPr>
            <w:tcW w:w="2368" w:type="dxa"/>
            <w:gridSpan w:val="3"/>
            <w:noWrap w:val="0"/>
            <w:vAlign w:val="center"/>
          </w:tcPr>
          <w:p w14:paraId="2AC40254">
            <w:pPr>
              <w:spacing w:before="100" w:beforeAutospacing="1" w:after="100" w:afterAutospacing="1" w:line="440" w:lineRule="exact"/>
              <w:jc w:val="center"/>
              <w:rPr>
                <w:color w:val="auto"/>
                <w:highlight w:val="none"/>
              </w:rPr>
            </w:pPr>
            <w:r>
              <w:rPr>
                <w:rFonts w:hint="eastAsia"/>
                <w:color w:val="auto"/>
                <w:highlight w:val="none"/>
              </w:rPr>
              <w:t>拟在本项目任职</w:t>
            </w:r>
          </w:p>
        </w:tc>
        <w:tc>
          <w:tcPr>
            <w:tcW w:w="1896" w:type="dxa"/>
            <w:noWrap w:val="0"/>
            <w:vAlign w:val="center"/>
          </w:tcPr>
          <w:p w14:paraId="3F50C129">
            <w:pPr>
              <w:spacing w:line="440" w:lineRule="exact"/>
              <w:jc w:val="center"/>
              <w:rPr>
                <w:color w:val="auto"/>
                <w:highlight w:val="none"/>
              </w:rPr>
            </w:pPr>
          </w:p>
        </w:tc>
      </w:tr>
      <w:tr w14:paraId="6A9C6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noWrap w:val="0"/>
            <w:vAlign w:val="center"/>
          </w:tcPr>
          <w:p w14:paraId="6FC83386">
            <w:pPr>
              <w:spacing w:before="100" w:beforeAutospacing="1" w:after="100" w:afterAutospacing="1" w:line="440" w:lineRule="exact"/>
              <w:jc w:val="center"/>
              <w:rPr>
                <w:color w:val="auto"/>
                <w:highlight w:val="none"/>
              </w:rPr>
            </w:pPr>
            <w:r>
              <w:rPr>
                <w:rFonts w:hint="eastAsia"/>
                <w:color w:val="auto"/>
                <w:highlight w:val="none"/>
              </w:rPr>
              <w:t>工作年限</w:t>
            </w:r>
          </w:p>
        </w:tc>
        <w:tc>
          <w:tcPr>
            <w:tcW w:w="3071" w:type="dxa"/>
            <w:gridSpan w:val="4"/>
            <w:noWrap w:val="0"/>
            <w:vAlign w:val="center"/>
          </w:tcPr>
          <w:p w14:paraId="4FA49AE2">
            <w:pPr>
              <w:spacing w:line="440" w:lineRule="exact"/>
              <w:jc w:val="center"/>
              <w:rPr>
                <w:color w:val="auto"/>
                <w:highlight w:val="none"/>
              </w:rPr>
            </w:pPr>
          </w:p>
        </w:tc>
        <w:tc>
          <w:tcPr>
            <w:tcW w:w="2368" w:type="dxa"/>
            <w:gridSpan w:val="3"/>
            <w:noWrap w:val="0"/>
            <w:vAlign w:val="center"/>
          </w:tcPr>
          <w:p w14:paraId="49C0B73D">
            <w:pPr>
              <w:spacing w:before="100" w:beforeAutospacing="1" w:after="100" w:afterAutospacing="1" w:line="440" w:lineRule="exact"/>
              <w:jc w:val="center"/>
              <w:rPr>
                <w:color w:val="auto"/>
                <w:highlight w:val="none"/>
              </w:rPr>
            </w:pPr>
            <w:r>
              <w:rPr>
                <w:rFonts w:hint="eastAsia"/>
                <w:color w:val="auto"/>
                <w:highlight w:val="none"/>
              </w:rPr>
              <w:t>从事监理工作年限</w:t>
            </w:r>
          </w:p>
        </w:tc>
        <w:tc>
          <w:tcPr>
            <w:tcW w:w="1896" w:type="dxa"/>
            <w:noWrap w:val="0"/>
            <w:vAlign w:val="center"/>
          </w:tcPr>
          <w:p w14:paraId="12FAE32D">
            <w:pPr>
              <w:spacing w:line="440" w:lineRule="exact"/>
              <w:jc w:val="center"/>
              <w:rPr>
                <w:color w:val="auto"/>
                <w:highlight w:val="none"/>
              </w:rPr>
            </w:pPr>
          </w:p>
        </w:tc>
      </w:tr>
      <w:tr w14:paraId="44C97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noWrap w:val="0"/>
            <w:vAlign w:val="center"/>
          </w:tcPr>
          <w:p w14:paraId="61639131">
            <w:pPr>
              <w:spacing w:before="100" w:beforeAutospacing="1" w:after="100" w:afterAutospacing="1" w:line="440" w:lineRule="exact"/>
              <w:jc w:val="center"/>
              <w:rPr>
                <w:color w:val="auto"/>
                <w:highlight w:val="none"/>
              </w:rPr>
            </w:pPr>
            <w:r>
              <w:rPr>
                <w:rFonts w:hint="eastAsia"/>
                <w:color w:val="auto"/>
                <w:highlight w:val="none"/>
              </w:rPr>
              <w:t>毕业学校</w:t>
            </w:r>
          </w:p>
        </w:tc>
        <w:tc>
          <w:tcPr>
            <w:tcW w:w="7335" w:type="dxa"/>
            <w:gridSpan w:val="8"/>
            <w:noWrap w:val="0"/>
            <w:vAlign w:val="center"/>
          </w:tcPr>
          <w:p w14:paraId="29F9359A">
            <w:pPr>
              <w:spacing w:before="100" w:beforeAutospacing="1" w:after="100" w:afterAutospacing="1" w:line="440" w:lineRule="exact"/>
              <w:ind w:firstLine="1155" w:firstLineChars="550"/>
              <w:rPr>
                <w:color w:val="auto"/>
                <w:highlight w:val="none"/>
              </w:rPr>
            </w:pPr>
            <w:r>
              <w:rPr>
                <w:rFonts w:hint="eastAsia"/>
                <w:color w:val="auto"/>
                <w:highlight w:val="none"/>
              </w:rPr>
              <w:t>年毕业于</w:t>
            </w:r>
            <w:r>
              <w:rPr>
                <w:color w:val="auto"/>
                <w:highlight w:val="none"/>
              </w:rPr>
              <w:t xml:space="preserve">            </w:t>
            </w:r>
            <w:r>
              <w:rPr>
                <w:rFonts w:hint="eastAsia"/>
                <w:color w:val="auto"/>
                <w:highlight w:val="none"/>
              </w:rPr>
              <w:t>学校</w:t>
            </w:r>
            <w:r>
              <w:rPr>
                <w:color w:val="auto"/>
                <w:highlight w:val="none"/>
              </w:rPr>
              <w:t xml:space="preserve">        </w:t>
            </w:r>
            <w:r>
              <w:rPr>
                <w:rFonts w:hint="eastAsia"/>
                <w:color w:val="auto"/>
                <w:highlight w:val="none"/>
              </w:rPr>
              <w:t>专业</w:t>
            </w:r>
          </w:p>
        </w:tc>
      </w:tr>
      <w:tr w14:paraId="15794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noWrap w:val="0"/>
            <w:vAlign w:val="center"/>
          </w:tcPr>
          <w:p w14:paraId="7D46ACE6">
            <w:pPr>
              <w:spacing w:before="100" w:beforeAutospacing="1" w:after="100" w:afterAutospacing="1" w:line="440" w:lineRule="exact"/>
              <w:jc w:val="left"/>
              <w:rPr>
                <w:color w:val="auto"/>
                <w:highlight w:val="none"/>
              </w:rPr>
            </w:pPr>
            <w:r>
              <w:rPr>
                <w:rFonts w:hint="eastAsia"/>
                <w:color w:val="auto"/>
                <w:highlight w:val="none"/>
              </w:rPr>
              <w:t>主要工作经历</w:t>
            </w:r>
          </w:p>
        </w:tc>
      </w:tr>
      <w:tr w14:paraId="15C69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noWrap w:val="0"/>
            <w:vAlign w:val="center"/>
          </w:tcPr>
          <w:p w14:paraId="25A13948">
            <w:pPr>
              <w:spacing w:before="100" w:beforeAutospacing="1" w:after="100" w:afterAutospacing="1" w:line="440" w:lineRule="exact"/>
              <w:jc w:val="center"/>
              <w:rPr>
                <w:color w:val="auto"/>
                <w:highlight w:val="none"/>
              </w:rPr>
            </w:pPr>
            <w:r>
              <w:rPr>
                <w:rFonts w:hint="eastAsia"/>
                <w:color w:val="auto"/>
                <w:highlight w:val="none"/>
              </w:rPr>
              <w:t>时</w:t>
            </w:r>
            <w:r>
              <w:rPr>
                <w:color w:val="auto"/>
                <w:highlight w:val="none"/>
              </w:rPr>
              <w:t xml:space="preserve">  </w:t>
            </w:r>
            <w:r>
              <w:rPr>
                <w:rFonts w:hint="eastAsia"/>
                <w:color w:val="auto"/>
                <w:highlight w:val="none"/>
              </w:rPr>
              <w:t>间</w:t>
            </w:r>
          </w:p>
        </w:tc>
        <w:tc>
          <w:tcPr>
            <w:tcW w:w="3420" w:type="dxa"/>
            <w:gridSpan w:val="4"/>
            <w:noWrap w:val="0"/>
            <w:vAlign w:val="center"/>
          </w:tcPr>
          <w:p w14:paraId="53909446">
            <w:pPr>
              <w:spacing w:before="100" w:beforeAutospacing="1" w:after="100" w:afterAutospacing="1" w:line="440" w:lineRule="exact"/>
              <w:jc w:val="center"/>
              <w:rPr>
                <w:color w:val="auto"/>
                <w:highlight w:val="none"/>
              </w:rPr>
            </w:pPr>
            <w:r>
              <w:rPr>
                <w:rFonts w:hint="eastAsia"/>
                <w:color w:val="auto"/>
                <w:highlight w:val="none"/>
              </w:rPr>
              <w:t>参加过的类似项目</w:t>
            </w:r>
          </w:p>
        </w:tc>
        <w:tc>
          <w:tcPr>
            <w:tcW w:w="1261" w:type="dxa"/>
            <w:noWrap w:val="0"/>
            <w:vAlign w:val="center"/>
          </w:tcPr>
          <w:p w14:paraId="2093EF59">
            <w:pPr>
              <w:spacing w:before="100" w:beforeAutospacing="1" w:after="100" w:afterAutospacing="1" w:line="440" w:lineRule="exact"/>
              <w:jc w:val="center"/>
              <w:rPr>
                <w:color w:val="auto"/>
                <w:highlight w:val="none"/>
              </w:rPr>
            </w:pPr>
            <w:r>
              <w:rPr>
                <w:rFonts w:hint="eastAsia"/>
                <w:color w:val="auto"/>
                <w:highlight w:val="none"/>
              </w:rPr>
              <w:t>担任职务</w:t>
            </w:r>
          </w:p>
        </w:tc>
        <w:tc>
          <w:tcPr>
            <w:tcW w:w="2297" w:type="dxa"/>
            <w:gridSpan w:val="2"/>
            <w:noWrap w:val="0"/>
            <w:vAlign w:val="center"/>
          </w:tcPr>
          <w:p w14:paraId="4E16ACBD">
            <w:pPr>
              <w:spacing w:before="100" w:beforeAutospacing="1" w:after="100" w:afterAutospacing="1" w:line="440" w:lineRule="exact"/>
              <w:jc w:val="center"/>
              <w:rPr>
                <w:color w:val="auto"/>
                <w:highlight w:val="none"/>
              </w:rPr>
            </w:pPr>
            <w:r>
              <w:rPr>
                <w:rFonts w:hint="eastAsia"/>
                <w:color w:val="auto"/>
                <w:highlight w:val="none"/>
                <w:lang w:val="en-US" w:eastAsia="zh-CN"/>
              </w:rPr>
              <w:t>委托人（</w:t>
            </w:r>
            <w:r>
              <w:rPr>
                <w:rFonts w:hint="eastAsia"/>
                <w:color w:val="auto"/>
                <w:highlight w:val="none"/>
                <w:lang w:eastAsia="zh-CN"/>
              </w:rPr>
              <w:t>发包人）</w:t>
            </w:r>
            <w:r>
              <w:rPr>
                <w:rFonts w:hint="eastAsia"/>
                <w:color w:val="auto"/>
                <w:highlight w:val="none"/>
              </w:rPr>
              <w:t>及联系电话</w:t>
            </w:r>
          </w:p>
        </w:tc>
      </w:tr>
      <w:tr w14:paraId="61DA4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14:paraId="6E16DE6E">
            <w:pPr>
              <w:spacing w:line="440" w:lineRule="exact"/>
              <w:rPr>
                <w:color w:val="auto"/>
                <w:highlight w:val="none"/>
              </w:rPr>
            </w:pPr>
          </w:p>
        </w:tc>
        <w:tc>
          <w:tcPr>
            <w:tcW w:w="3420" w:type="dxa"/>
            <w:gridSpan w:val="4"/>
            <w:noWrap w:val="0"/>
            <w:vAlign w:val="top"/>
          </w:tcPr>
          <w:p w14:paraId="0A04BDDA">
            <w:pPr>
              <w:spacing w:line="440" w:lineRule="exact"/>
              <w:rPr>
                <w:color w:val="auto"/>
                <w:highlight w:val="none"/>
              </w:rPr>
            </w:pPr>
          </w:p>
        </w:tc>
        <w:tc>
          <w:tcPr>
            <w:tcW w:w="1261" w:type="dxa"/>
            <w:noWrap w:val="0"/>
            <w:vAlign w:val="top"/>
          </w:tcPr>
          <w:p w14:paraId="0CE73A58">
            <w:pPr>
              <w:spacing w:line="440" w:lineRule="exact"/>
              <w:rPr>
                <w:color w:val="auto"/>
                <w:highlight w:val="none"/>
              </w:rPr>
            </w:pPr>
          </w:p>
        </w:tc>
        <w:tc>
          <w:tcPr>
            <w:tcW w:w="2297" w:type="dxa"/>
            <w:gridSpan w:val="2"/>
            <w:noWrap w:val="0"/>
            <w:vAlign w:val="top"/>
          </w:tcPr>
          <w:p w14:paraId="6F8294BD">
            <w:pPr>
              <w:spacing w:line="440" w:lineRule="exact"/>
              <w:rPr>
                <w:color w:val="auto"/>
                <w:highlight w:val="none"/>
              </w:rPr>
            </w:pPr>
          </w:p>
        </w:tc>
      </w:tr>
      <w:tr w14:paraId="4BA57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14:paraId="6988EE7E">
            <w:pPr>
              <w:spacing w:line="440" w:lineRule="exact"/>
              <w:rPr>
                <w:color w:val="auto"/>
                <w:highlight w:val="none"/>
              </w:rPr>
            </w:pPr>
          </w:p>
        </w:tc>
        <w:tc>
          <w:tcPr>
            <w:tcW w:w="3420" w:type="dxa"/>
            <w:gridSpan w:val="4"/>
            <w:noWrap w:val="0"/>
            <w:vAlign w:val="top"/>
          </w:tcPr>
          <w:p w14:paraId="086867D0">
            <w:pPr>
              <w:spacing w:line="440" w:lineRule="exact"/>
              <w:rPr>
                <w:color w:val="auto"/>
                <w:highlight w:val="none"/>
              </w:rPr>
            </w:pPr>
          </w:p>
        </w:tc>
        <w:tc>
          <w:tcPr>
            <w:tcW w:w="1261" w:type="dxa"/>
            <w:noWrap w:val="0"/>
            <w:vAlign w:val="top"/>
          </w:tcPr>
          <w:p w14:paraId="7CEA68A3">
            <w:pPr>
              <w:spacing w:line="440" w:lineRule="exact"/>
              <w:rPr>
                <w:color w:val="auto"/>
                <w:highlight w:val="none"/>
              </w:rPr>
            </w:pPr>
          </w:p>
        </w:tc>
        <w:tc>
          <w:tcPr>
            <w:tcW w:w="2297" w:type="dxa"/>
            <w:gridSpan w:val="2"/>
            <w:noWrap w:val="0"/>
            <w:vAlign w:val="top"/>
          </w:tcPr>
          <w:p w14:paraId="57EA22E6">
            <w:pPr>
              <w:spacing w:line="440" w:lineRule="exact"/>
              <w:rPr>
                <w:color w:val="auto"/>
                <w:highlight w:val="none"/>
              </w:rPr>
            </w:pPr>
          </w:p>
        </w:tc>
      </w:tr>
      <w:tr w14:paraId="290B7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14:paraId="18046E8F">
            <w:pPr>
              <w:spacing w:line="440" w:lineRule="exact"/>
              <w:rPr>
                <w:color w:val="auto"/>
                <w:highlight w:val="none"/>
              </w:rPr>
            </w:pPr>
          </w:p>
        </w:tc>
        <w:tc>
          <w:tcPr>
            <w:tcW w:w="3420" w:type="dxa"/>
            <w:gridSpan w:val="4"/>
            <w:noWrap w:val="0"/>
            <w:vAlign w:val="top"/>
          </w:tcPr>
          <w:p w14:paraId="15AF13F9">
            <w:pPr>
              <w:spacing w:line="440" w:lineRule="exact"/>
              <w:rPr>
                <w:color w:val="auto"/>
                <w:highlight w:val="none"/>
              </w:rPr>
            </w:pPr>
          </w:p>
        </w:tc>
        <w:tc>
          <w:tcPr>
            <w:tcW w:w="1261" w:type="dxa"/>
            <w:noWrap w:val="0"/>
            <w:vAlign w:val="top"/>
          </w:tcPr>
          <w:p w14:paraId="5EF85F8A">
            <w:pPr>
              <w:spacing w:line="440" w:lineRule="exact"/>
              <w:rPr>
                <w:color w:val="auto"/>
                <w:highlight w:val="none"/>
              </w:rPr>
            </w:pPr>
          </w:p>
        </w:tc>
        <w:tc>
          <w:tcPr>
            <w:tcW w:w="2297" w:type="dxa"/>
            <w:gridSpan w:val="2"/>
            <w:noWrap w:val="0"/>
            <w:vAlign w:val="top"/>
          </w:tcPr>
          <w:p w14:paraId="66CBF150">
            <w:pPr>
              <w:spacing w:line="440" w:lineRule="exact"/>
              <w:rPr>
                <w:color w:val="auto"/>
                <w:highlight w:val="none"/>
              </w:rPr>
            </w:pPr>
          </w:p>
        </w:tc>
      </w:tr>
      <w:tr w14:paraId="4D7FC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5ED25BC8">
            <w:pPr>
              <w:spacing w:line="440" w:lineRule="exact"/>
              <w:rPr>
                <w:color w:val="auto"/>
                <w:highlight w:val="none"/>
              </w:rPr>
            </w:pPr>
          </w:p>
        </w:tc>
        <w:tc>
          <w:tcPr>
            <w:tcW w:w="3420" w:type="dxa"/>
            <w:gridSpan w:val="4"/>
            <w:noWrap w:val="0"/>
            <w:vAlign w:val="center"/>
          </w:tcPr>
          <w:p w14:paraId="5202F7FF">
            <w:pPr>
              <w:spacing w:line="440" w:lineRule="exact"/>
              <w:rPr>
                <w:color w:val="auto"/>
                <w:highlight w:val="none"/>
              </w:rPr>
            </w:pPr>
          </w:p>
        </w:tc>
        <w:tc>
          <w:tcPr>
            <w:tcW w:w="1261" w:type="dxa"/>
            <w:noWrap w:val="0"/>
            <w:vAlign w:val="center"/>
          </w:tcPr>
          <w:p w14:paraId="0061ED8D">
            <w:pPr>
              <w:spacing w:line="440" w:lineRule="exact"/>
              <w:rPr>
                <w:color w:val="auto"/>
                <w:highlight w:val="none"/>
              </w:rPr>
            </w:pPr>
          </w:p>
        </w:tc>
        <w:tc>
          <w:tcPr>
            <w:tcW w:w="2297" w:type="dxa"/>
            <w:gridSpan w:val="2"/>
            <w:noWrap w:val="0"/>
            <w:vAlign w:val="center"/>
          </w:tcPr>
          <w:p w14:paraId="5EC09094">
            <w:pPr>
              <w:spacing w:line="440" w:lineRule="exact"/>
              <w:rPr>
                <w:color w:val="auto"/>
                <w:highlight w:val="none"/>
              </w:rPr>
            </w:pPr>
          </w:p>
        </w:tc>
      </w:tr>
      <w:tr w14:paraId="03500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44604B23">
            <w:pPr>
              <w:spacing w:line="440" w:lineRule="exact"/>
              <w:rPr>
                <w:color w:val="auto"/>
                <w:highlight w:val="none"/>
              </w:rPr>
            </w:pPr>
          </w:p>
        </w:tc>
        <w:tc>
          <w:tcPr>
            <w:tcW w:w="3420" w:type="dxa"/>
            <w:gridSpan w:val="4"/>
            <w:noWrap w:val="0"/>
            <w:vAlign w:val="center"/>
          </w:tcPr>
          <w:p w14:paraId="734A1EA6">
            <w:pPr>
              <w:spacing w:line="440" w:lineRule="exact"/>
              <w:rPr>
                <w:color w:val="auto"/>
                <w:highlight w:val="none"/>
              </w:rPr>
            </w:pPr>
          </w:p>
        </w:tc>
        <w:tc>
          <w:tcPr>
            <w:tcW w:w="1261" w:type="dxa"/>
            <w:noWrap w:val="0"/>
            <w:vAlign w:val="center"/>
          </w:tcPr>
          <w:p w14:paraId="6C302D8B">
            <w:pPr>
              <w:spacing w:line="440" w:lineRule="exact"/>
              <w:rPr>
                <w:color w:val="auto"/>
                <w:highlight w:val="none"/>
              </w:rPr>
            </w:pPr>
          </w:p>
        </w:tc>
        <w:tc>
          <w:tcPr>
            <w:tcW w:w="2297" w:type="dxa"/>
            <w:gridSpan w:val="2"/>
            <w:noWrap w:val="0"/>
            <w:vAlign w:val="center"/>
          </w:tcPr>
          <w:p w14:paraId="10B5489C">
            <w:pPr>
              <w:spacing w:line="440" w:lineRule="exact"/>
              <w:rPr>
                <w:color w:val="auto"/>
                <w:highlight w:val="none"/>
              </w:rPr>
            </w:pPr>
          </w:p>
        </w:tc>
      </w:tr>
      <w:tr w14:paraId="251F4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2C18A635">
            <w:pPr>
              <w:spacing w:line="440" w:lineRule="exact"/>
              <w:rPr>
                <w:color w:val="auto"/>
                <w:highlight w:val="none"/>
              </w:rPr>
            </w:pPr>
          </w:p>
        </w:tc>
        <w:tc>
          <w:tcPr>
            <w:tcW w:w="3420" w:type="dxa"/>
            <w:gridSpan w:val="4"/>
            <w:noWrap w:val="0"/>
            <w:vAlign w:val="center"/>
          </w:tcPr>
          <w:p w14:paraId="334FB979">
            <w:pPr>
              <w:spacing w:line="440" w:lineRule="exact"/>
              <w:rPr>
                <w:color w:val="auto"/>
                <w:highlight w:val="none"/>
              </w:rPr>
            </w:pPr>
          </w:p>
        </w:tc>
        <w:tc>
          <w:tcPr>
            <w:tcW w:w="1261" w:type="dxa"/>
            <w:noWrap w:val="0"/>
            <w:vAlign w:val="center"/>
          </w:tcPr>
          <w:p w14:paraId="1F1C7CED">
            <w:pPr>
              <w:spacing w:line="440" w:lineRule="exact"/>
              <w:rPr>
                <w:color w:val="auto"/>
                <w:highlight w:val="none"/>
              </w:rPr>
            </w:pPr>
          </w:p>
        </w:tc>
        <w:tc>
          <w:tcPr>
            <w:tcW w:w="2297" w:type="dxa"/>
            <w:gridSpan w:val="2"/>
            <w:noWrap w:val="0"/>
            <w:vAlign w:val="center"/>
          </w:tcPr>
          <w:p w14:paraId="640F7FB1">
            <w:pPr>
              <w:spacing w:line="440" w:lineRule="exact"/>
              <w:rPr>
                <w:color w:val="auto"/>
                <w:highlight w:val="none"/>
              </w:rPr>
            </w:pPr>
          </w:p>
        </w:tc>
      </w:tr>
      <w:tr w14:paraId="0C52D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45E10E0E">
            <w:pPr>
              <w:spacing w:line="440" w:lineRule="exact"/>
              <w:rPr>
                <w:color w:val="auto"/>
                <w:highlight w:val="none"/>
              </w:rPr>
            </w:pPr>
          </w:p>
        </w:tc>
        <w:tc>
          <w:tcPr>
            <w:tcW w:w="3420" w:type="dxa"/>
            <w:gridSpan w:val="4"/>
            <w:noWrap w:val="0"/>
            <w:vAlign w:val="center"/>
          </w:tcPr>
          <w:p w14:paraId="1754375C">
            <w:pPr>
              <w:spacing w:line="440" w:lineRule="exact"/>
              <w:rPr>
                <w:color w:val="auto"/>
                <w:highlight w:val="none"/>
              </w:rPr>
            </w:pPr>
          </w:p>
        </w:tc>
        <w:tc>
          <w:tcPr>
            <w:tcW w:w="1261" w:type="dxa"/>
            <w:noWrap w:val="0"/>
            <w:vAlign w:val="center"/>
          </w:tcPr>
          <w:p w14:paraId="13F9E824">
            <w:pPr>
              <w:spacing w:line="440" w:lineRule="exact"/>
              <w:rPr>
                <w:color w:val="auto"/>
                <w:highlight w:val="none"/>
              </w:rPr>
            </w:pPr>
          </w:p>
        </w:tc>
        <w:tc>
          <w:tcPr>
            <w:tcW w:w="2297" w:type="dxa"/>
            <w:gridSpan w:val="2"/>
            <w:noWrap w:val="0"/>
            <w:vAlign w:val="center"/>
          </w:tcPr>
          <w:p w14:paraId="74C4FE5D">
            <w:pPr>
              <w:spacing w:line="440" w:lineRule="exact"/>
              <w:rPr>
                <w:color w:val="auto"/>
                <w:highlight w:val="none"/>
              </w:rPr>
            </w:pPr>
          </w:p>
        </w:tc>
      </w:tr>
    </w:tbl>
    <w:p w14:paraId="3A0872FA">
      <w:pPr>
        <w:spacing w:line="360" w:lineRule="auto"/>
        <w:jc w:val="left"/>
        <w:rPr>
          <w:rFonts w:hint="eastAsia" w:ascii="宋体" w:hAnsi="宋体" w:cs="宋体"/>
          <w:color w:val="auto"/>
          <w:highlight w:val="none"/>
        </w:rPr>
      </w:pPr>
    </w:p>
    <w:p w14:paraId="6C2E4FFD">
      <w:pPr>
        <w:spacing w:line="440" w:lineRule="exact"/>
        <w:rPr>
          <w:rFonts w:hint="eastAsia" w:ascii="楷体_GB2312" w:hAnsi="楷体_GB2312" w:eastAsia="楷体_GB2312" w:cs="楷体_GB2312"/>
          <w:color w:val="auto"/>
          <w:kern w:val="2"/>
          <w:sz w:val="21"/>
          <w:szCs w:val="24"/>
          <w:highlight w:val="none"/>
          <w:lang w:val="en-US" w:eastAsia="zh-CN" w:bidi="ar-SA"/>
        </w:rPr>
      </w:pPr>
      <w:r>
        <w:rPr>
          <w:rFonts w:hint="eastAsia" w:ascii="楷体_GB2312" w:hAnsi="楷体_GB2312" w:eastAsia="楷体_GB2312" w:cs="楷体_GB2312"/>
          <w:color w:val="auto"/>
          <w:kern w:val="2"/>
          <w:sz w:val="21"/>
          <w:szCs w:val="24"/>
          <w:highlight w:val="none"/>
          <w:lang w:val="en-US" w:eastAsia="zh-CN" w:bidi="ar-SA"/>
        </w:rPr>
        <w:t>注：投标人应根据投标人须知第3.5.6项的要求在本表后附相关证明材料。</w:t>
      </w:r>
    </w:p>
    <w:p w14:paraId="3C2B46D3">
      <w:pPr>
        <w:spacing w:line="360" w:lineRule="auto"/>
        <w:jc w:val="left"/>
        <w:rPr>
          <w:rFonts w:ascii="宋体"/>
          <w:color w:val="auto"/>
          <w:highlight w:val="none"/>
        </w:rPr>
      </w:pPr>
      <w:r>
        <w:rPr>
          <w:rFonts w:hint="eastAsia" w:ascii="宋体" w:hAnsi="宋体" w:cs="宋体"/>
          <w:color w:val="auto"/>
          <w:highlight w:val="none"/>
        </w:rPr>
        <w:br w:type="page"/>
      </w:r>
    </w:p>
    <w:p w14:paraId="0B70CC32">
      <w:pPr>
        <w:pStyle w:val="5"/>
        <w:bidi w:val="0"/>
        <w:rPr>
          <w:color w:val="auto"/>
          <w:highlight w:val="none"/>
        </w:rPr>
      </w:pPr>
      <w:bookmarkStart w:id="460" w:name="_Toc482188666"/>
      <w:bookmarkStart w:id="461" w:name="_Toc5860"/>
      <w:bookmarkStart w:id="462" w:name="_Toc4530"/>
      <w:bookmarkStart w:id="463" w:name="_Toc25162"/>
      <w:bookmarkStart w:id="464" w:name="_Toc25705"/>
      <w:bookmarkStart w:id="465" w:name="_Toc526786522"/>
      <w:bookmarkStart w:id="466" w:name="_Toc5796"/>
      <w:bookmarkStart w:id="467" w:name="_Toc15796"/>
      <w:bookmarkStart w:id="468" w:name="_Toc27775"/>
      <w:bookmarkStart w:id="469" w:name="_Toc59200725"/>
      <w:bookmarkStart w:id="470" w:name="_Toc17881"/>
      <w:bookmarkStart w:id="471" w:name="_Toc3887"/>
      <w:bookmarkStart w:id="472" w:name="_Toc29016"/>
      <w:bookmarkStart w:id="473" w:name="_Toc28381"/>
      <w:bookmarkStart w:id="474" w:name="_Toc7004"/>
      <w:r>
        <w:rPr>
          <w:rFonts w:hint="eastAsia"/>
          <w:color w:val="auto"/>
          <w:highlight w:val="none"/>
        </w:rPr>
        <w:t>（</w:t>
      </w:r>
      <w:r>
        <w:rPr>
          <w:rFonts w:hint="eastAsia"/>
          <w:color w:val="auto"/>
          <w:highlight w:val="none"/>
          <w:lang w:eastAsia="zh-CN"/>
        </w:rPr>
        <w:t>六</w:t>
      </w:r>
      <w:r>
        <w:rPr>
          <w:rFonts w:hint="eastAsia"/>
          <w:color w:val="auto"/>
          <w:highlight w:val="none"/>
        </w:rPr>
        <w:t>）拟投入本项目的主要</w:t>
      </w:r>
      <w:bookmarkEnd w:id="460"/>
      <w:r>
        <w:rPr>
          <w:rFonts w:hint="eastAsia"/>
          <w:color w:val="auto"/>
          <w:highlight w:val="none"/>
        </w:rPr>
        <w:t>试验检测仪器设备表</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275"/>
        <w:gridCol w:w="936"/>
        <w:gridCol w:w="747"/>
        <w:gridCol w:w="850"/>
        <w:gridCol w:w="992"/>
        <w:gridCol w:w="1419"/>
        <w:gridCol w:w="1162"/>
      </w:tblGrid>
      <w:tr w14:paraId="7C217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28" w:type="dxa"/>
            <w:noWrap w:val="0"/>
            <w:vAlign w:val="center"/>
          </w:tcPr>
          <w:p w14:paraId="7D458D01">
            <w:pPr>
              <w:spacing w:line="440" w:lineRule="exact"/>
              <w:rPr>
                <w:color w:val="auto"/>
                <w:szCs w:val="21"/>
                <w:highlight w:val="none"/>
              </w:rPr>
            </w:pPr>
            <w:r>
              <w:rPr>
                <w:rFonts w:hint="eastAsia"/>
                <w:color w:val="auto"/>
                <w:szCs w:val="21"/>
                <w:highlight w:val="none"/>
              </w:rPr>
              <w:t>序号</w:t>
            </w:r>
          </w:p>
        </w:tc>
        <w:tc>
          <w:tcPr>
            <w:tcW w:w="1275" w:type="dxa"/>
            <w:noWrap w:val="0"/>
            <w:vAlign w:val="center"/>
          </w:tcPr>
          <w:p w14:paraId="09B2F06E">
            <w:pPr>
              <w:spacing w:line="440" w:lineRule="exact"/>
              <w:jc w:val="center"/>
              <w:rPr>
                <w:color w:val="auto"/>
                <w:szCs w:val="21"/>
                <w:highlight w:val="none"/>
              </w:rPr>
            </w:pPr>
            <w:r>
              <w:rPr>
                <w:rFonts w:hint="eastAsia"/>
                <w:color w:val="auto"/>
                <w:szCs w:val="21"/>
                <w:highlight w:val="none"/>
              </w:rPr>
              <w:t>仪器设备</w:t>
            </w:r>
          </w:p>
          <w:p w14:paraId="735A4C81">
            <w:pPr>
              <w:spacing w:line="440" w:lineRule="exact"/>
              <w:jc w:val="center"/>
              <w:rPr>
                <w:color w:val="auto"/>
                <w:szCs w:val="21"/>
                <w:highlight w:val="none"/>
              </w:rPr>
            </w:pPr>
            <w:r>
              <w:rPr>
                <w:rFonts w:hint="eastAsia"/>
                <w:color w:val="auto"/>
                <w:szCs w:val="21"/>
                <w:highlight w:val="none"/>
              </w:rPr>
              <w:t>名称</w:t>
            </w:r>
          </w:p>
        </w:tc>
        <w:tc>
          <w:tcPr>
            <w:tcW w:w="936" w:type="dxa"/>
            <w:noWrap w:val="0"/>
            <w:vAlign w:val="center"/>
          </w:tcPr>
          <w:p w14:paraId="3C52CDD6">
            <w:pPr>
              <w:spacing w:line="440" w:lineRule="exact"/>
              <w:jc w:val="center"/>
              <w:rPr>
                <w:color w:val="auto"/>
                <w:szCs w:val="21"/>
                <w:highlight w:val="none"/>
              </w:rPr>
            </w:pPr>
            <w:r>
              <w:rPr>
                <w:rFonts w:hint="eastAsia"/>
                <w:color w:val="auto"/>
                <w:szCs w:val="21"/>
                <w:highlight w:val="none"/>
              </w:rPr>
              <w:t>型号</w:t>
            </w:r>
          </w:p>
          <w:p w14:paraId="7F4660A3">
            <w:pPr>
              <w:spacing w:line="440" w:lineRule="exact"/>
              <w:jc w:val="center"/>
              <w:rPr>
                <w:color w:val="auto"/>
                <w:szCs w:val="21"/>
                <w:highlight w:val="none"/>
              </w:rPr>
            </w:pPr>
            <w:r>
              <w:rPr>
                <w:rFonts w:hint="eastAsia"/>
                <w:color w:val="auto"/>
                <w:szCs w:val="21"/>
                <w:highlight w:val="none"/>
              </w:rPr>
              <w:t>规格</w:t>
            </w:r>
          </w:p>
        </w:tc>
        <w:tc>
          <w:tcPr>
            <w:tcW w:w="747" w:type="dxa"/>
            <w:noWrap w:val="0"/>
            <w:vAlign w:val="center"/>
          </w:tcPr>
          <w:p w14:paraId="3E6802C8">
            <w:pPr>
              <w:spacing w:line="440" w:lineRule="exact"/>
              <w:jc w:val="center"/>
              <w:rPr>
                <w:color w:val="auto"/>
                <w:szCs w:val="21"/>
                <w:highlight w:val="none"/>
              </w:rPr>
            </w:pPr>
            <w:r>
              <w:rPr>
                <w:rFonts w:hint="eastAsia"/>
                <w:color w:val="auto"/>
                <w:szCs w:val="21"/>
                <w:highlight w:val="none"/>
              </w:rPr>
              <w:t>数量</w:t>
            </w:r>
          </w:p>
        </w:tc>
        <w:tc>
          <w:tcPr>
            <w:tcW w:w="850" w:type="dxa"/>
            <w:noWrap w:val="0"/>
            <w:vAlign w:val="center"/>
          </w:tcPr>
          <w:p w14:paraId="102EB660">
            <w:pPr>
              <w:spacing w:line="440" w:lineRule="exact"/>
              <w:jc w:val="center"/>
              <w:rPr>
                <w:color w:val="auto"/>
                <w:szCs w:val="21"/>
                <w:highlight w:val="none"/>
              </w:rPr>
            </w:pPr>
            <w:r>
              <w:rPr>
                <w:rFonts w:hint="eastAsia"/>
                <w:color w:val="auto"/>
                <w:szCs w:val="21"/>
                <w:highlight w:val="none"/>
              </w:rPr>
              <w:t>国别</w:t>
            </w:r>
          </w:p>
          <w:p w14:paraId="6CD86224">
            <w:pPr>
              <w:spacing w:line="440" w:lineRule="exact"/>
              <w:jc w:val="center"/>
              <w:rPr>
                <w:color w:val="auto"/>
                <w:szCs w:val="21"/>
                <w:highlight w:val="none"/>
              </w:rPr>
            </w:pPr>
            <w:r>
              <w:rPr>
                <w:rFonts w:hint="eastAsia"/>
                <w:color w:val="auto"/>
                <w:szCs w:val="21"/>
                <w:highlight w:val="none"/>
              </w:rPr>
              <w:t>产地</w:t>
            </w:r>
          </w:p>
        </w:tc>
        <w:tc>
          <w:tcPr>
            <w:tcW w:w="992" w:type="dxa"/>
            <w:noWrap w:val="0"/>
            <w:vAlign w:val="center"/>
          </w:tcPr>
          <w:p w14:paraId="3E07381F">
            <w:pPr>
              <w:spacing w:line="440" w:lineRule="exact"/>
              <w:jc w:val="center"/>
              <w:rPr>
                <w:color w:val="auto"/>
                <w:szCs w:val="21"/>
                <w:highlight w:val="none"/>
              </w:rPr>
            </w:pPr>
            <w:r>
              <w:rPr>
                <w:rFonts w:hint="eastAsia"/>
                <w:color w:val="auto"/>
                <w:szCs w:val="21"/>
                <w:highlight w:val="none"/>
              </w:rPr>
              <w:t>制造</w:t>
            </w:r>
          </w:p>
          <w:p w14:paraId="5C1DAD7A">
            <w:pPr>
              <w:spacing w:line="440" w:lineRule="exact"/>
              <w:jc w:val="center"/>
              <w:rPr>
                <w:color w:val="auto"/>
                <w:szCs w:val="21"/>
                <w:highlight w:val="none"/>
              </w:rPr>
            </w:pPr>
            <w:r>
              <w:rPr>
                <w:rFonts w:hint="eastAsia"/>
                <w:color w:val="auto"/>
                <w:szCs w:val="21"/>
                <w:highlight w:val="none"/>
              </w:rPr>
              <w:t>年份</w:t>
            </w:r>
          </w:p>
        </w:tc>
        <w:tc>
          <w:tcPr>
            <w:tcW w:w="1419" w:type="dxa"/>
            <w:noWrap w:val="0"/>
            <w:vAlign w:val="center"/>
          </w:tcPr>
          <w:p w14:paraId="4E520446">
            <w:pPr>
              <w:spacing w:line="440" w:lineRule="exact"/>
              <w:jc w:val="center"/>
              <w:rPr>
                <w:color w:val="auto"/>
                <w:szCs w:val="21"/>
                <w:highlight w:val="none"/>
              </w:rPr>
            </w:pPr>
            <w:r>
              <w:rPr>
                <w:rFonts w:hint="eastAsia"/>
                <w:color w:val="auto"/>
                <w:szCs w:val="21"/>
                <w:highlight w:val="none"/>
              </w:rPr>
              <w:t>用途</w:t>
            </w:r>
          </w:p>
        </w:tc>
        <w:tc>
          <w:tcPr>
            <w:tcW w:w="1162" w:type="dxa"/>
            <w:noWrap w:val="0"/>
            <w:vAlign w:val="center"/>
          </w:tcPr>
          <w:p w14:paraId="50959F0B">
            <w:pPr>
              <w:spacing w:line="440" w:lineRule="exact"/>
              <w:jc w:val="center"/>
              <w:rPr>
                <w:color w:val="auto"/>
                <w:szCs w:val="21"/>
                <w:highlight w:val="none"/>
              </w:rPr>
            </w:pPr>
            <w:r>
              <w:rPr>
                <w:rFonts w:hint="eastAsia"/>
                <w:color w:val="auto"/>
                <w:szCs w:val="21"/>
                <w:highlight w:val="none"/>
              </w:rPr>
              <w:t>备注</w:t>
            </w:r>
          </w:p>
        </w:tc>
      </w:tr>
      <w:tr w14:paraId="42A95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center"/>
          </w:tcPr>
          <w:p w14:paraId="4C7CB767">
            <w:pPr>
              <w:spacing w:line="440" w:lineRule="exact"/>
              <w:jc w:val="center"/>
              <w:rPr>
                <w:color w:val="auto"/>
                <w:szCs w:val="21"/>
                <w:highlight w:val="none"/>
              </w:rPr>
            </w:pPr>
          </w:p>
        </w:tc>
        <w:tc>
          <w:tcPr>
            <w:tcW w:w="1275" w:type="dxa"/>
            <w:noWrap w:val="0"/>
            <w:vAlign w:val="center"/>
          </w:tcPr>
          <w:p w14:paraId="0E3BA4B7">
            <w:pPr>
              <w:spacing w:line="440" w:lineRule="exact"/>
              <w:jc w:val="center"/>
              <w:rPr>
                <w:color w:val="auto"/>
                <w:szCs w:val="21"/>
                <w:highlight w:val="none"/>
              </w:rPr>
            </w:pPr>
          </w:p>
        </w:tc>
        <w:tc>
          <w:tcPr>
            <w:tcW w:w="936" w:type="dxa"/>
            <w:noWrap w:val="0"/>
            <w:vAlign w:val="center"/>
          </w:tcPr>
          <w:p w14:paraId="6D52D7BD">
            <w:pPr>
              <w:spacing w:line="440" w:lineRule="exact"/>
              <w:jc w:val="center"/>
              <w:rPr>
                <w:color w:val="auto"/>
                <w:szCs w:val="21"/>
                <w:highlight w:val="none"/>
              </w:rPr>
            </w:pPr>
          </w:p>
        </w:tc>
        <w:tc>
          <w:tcPr>
            <w:tcW w:w="747" w:type="dxa"/>
            <w:noWrap w:val="0"/>
            <w:vAlign w:val="center"/>
          </w:tcPr>
          <w:p w14:paraId="64B52B7F">
            <w:pPr>
              <w:spacing w:line="440" w:lineRule="exact"/>
              <w:jc w:val="center"/>
              <w:rPr>
                <w:color w:val="auto"/>
                <w:szCs w:val="21"/>
                <w:highlight w:val="none"/>
              </w:rPr>
            </w:pPr>
          </w:p>
        </w:tc>
        <w:tc>
          <w:tcPr>
            <w:tcW w:w="850" w:type="dxa"/>
            <w:noWrap w:val="0"/>
            <w:vAlign w:val="center"/>
          </w:tcPr>
          <w:p w14:paraId="10FF9F97">
            <w:pPr>
              <w:spacing w:line="440" w:lineRule="exact"/>
              <w:jc w:val="center"/>
              <w:rPr>
                <w:color w:val="auto"/>
                <w:szCs w:val="21"/>
                <w:highlight w:val="none"/>
              </w:rPr>
            </w:pPr>
          </w:p>
        </w:tc>
        <w:tc>
          <w:tcPr>
            <w:tcW w:w="992" w:type="dxa"/>
            <w:noWrap w:val="0"/>
            <w:vAlign w:val="center"/>
          </w:tcPr>
          <w:p w14:paraId="18B1758F">
            <w:pPr>
              <w:spacing w:line="440" w:lineRule="exact"/>
              <w:jc w:val="center"/>
              <w:rPr>
                <w:color w:val="auto"/>
                <w:szCs w:val="21"/>
                <w:highlight w:val="none"/>
              </w:rPr>
            </w:pPr>
          </w:p>
        </w:tc>
        <w:tc>
          <w:tcPr>
            <w:tcW w:w="1419" w:type="dxa"/>
            <w:noWrap w:val="0"/>
            <w:vAlign w:val="center"/>
          </w:tcPr>
          <w:p w14:paraId="18F43E27">
            <w:pPr>
              <w:spacing w:line="440" w:lineRule="exact"/>
              <w:jc w:val="center"/>
              <w:rPr>
                <w:color w:val="auto"/>
                <w:szCs w:val="21"/>
                <w:highlight w:val="none"/>
              </w:rPr>
            </w:pPr>
          </w:p>
        </w:tc>
        <w:tc>
          <w:tcPr>
            <w:tcW w:w="1162" w:type="dxa"/>
            <w:noWrap w:val="0"/>
            <w:vAlign w:val="center"/>
          </w:tcPr>
          <w:p w14:paraId="5EE1CE35">
            <w:pPr>
              <w:spacing w:line="440" w:lineRule="exact"/>
              <w:jc w:val="center"/>
              <w:rPr>
                <w:color w:val="auto"/>
                <w:szCs w:val="21"/>
                <w:highlight w:val="none"/>
              </w:rPr>
            </w:pPr>
          </w:p>
        </w:tc>
      </w:tr>
      <w:tr w14:paraId="4B883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center"/>
          </w:tcPr>
          <w:p w14:paraId="2620156E">
            <w:pPr>
              <w:spacing w:line="440" w:lineRule="exact"/>
              <w:jc w:val="center"/>
              <w:rPr>
                <w:color w:val="auto"/>
                <w:szCs w:val="21"/>
                <w:highlight w:val="none"/>
              </w:rPr>
            </w:pPr>
          </w:p>
        </w:tc>
        <w:tc>
          <w:tcPr>
            <w:tcW w:w="1275" w:type="dxa"/>
            <w:noWrap w:val="0"/>
            <w:vAlign w:val="center"/>
          </w:tcPr>
          <w:p w14:paraId="275E17C0">
            <w:pPr>
              <w:spacing w:line="440" w:lineRule="exact"/>
              <w:jc w:val="center"/>
              <w:rPr>
                <w:color w:val="auto"/>
                <w:szCs w:val="21"/>
                <w:highlight w:val="none"/>
              </w:rPr>
            </w:pPr>
          </w:p>
        </w:tc>
        <w:tc>
          <w:tcPr>
            <w:tcW w:w="936" w:type="dxa"/>
            <w:noWrap w:val="0"/>
            <w:vAlign w:val="center"/>
          </w:tcPr>
          <w:p w14:paraId="27AD35A4">
            <w:pPr>
              <w:spacing w:line="440" w:lineRule="exact"/>
              <w:jc w:val="center"/>
              <w:rPr>
                <w:color w:val="auto"/>
                <w:szCs w:val="21"/>
                <w:highlight w:val="none"/>
              </w:rPr>
            </w:pPr>
          </w:p>
        </w:tc>
        <w:tc>
          <w:tcPr>
            <w:tcW w:w="747" w:type="dxa"/>
            <w:noWrap w:val="0"/>
            <w:vAlign w:val="center"/>
          </w:tcPr>
          <w:p w14:paraId="671DD889">
            <w:pPr>
              <w:spacing w:line="440" w:lineRule="exact"/>
              <w:jc w:val="center"/>
              <w:rPr>
                <w:color w:val="auto"/>
                <w:szCs w:val="21"/>
                <w:highlight w:val="none"/>
              </w:rPr>
            </w:pPr>
          </w:p>
        </w:tc>
        <w:tc>
          <w:tcPr>
            <w:tcW w:w="850" w:type="dxa"/>
            <w:noWrap w:val="0"/>
            <w:vAlign w:val="center"/>
          </w:tcPr>
          <w:p w14:paraId="0BF95F82">
            <w:pPr>
              <w:spacing w:line="440" w:lineRule="exact"/>
              <w:jc w:val="center"/>
              <w:rPr>
                <w:color w:val="auto"/>
                <w:szCs w:val="21"/>
                <w:highlight w:val="none"/>
              </w:rPr>
            </w:pPr>
          </w:p>
        </w:tc>
        <w:tc>
          <w:tcPr>
            <w:tcW w:w="992" w:type="dxa"/>
            <w:noWrap w:val="0"/>
            <w:vAlign w:val="center"/>
          </w:tcPr>
          <w:p w14:paraId="317F7C82">
            <w:pPr>
              <w:spacing w:line="440" w:lineRule="exact"/>
              <w:jc w:val="center"/>
              <w:rPr>
                <w:color w:val="auto"/>
                <w:szCs w:val="21"/>
                <w:highlight w:val="none"/>
              </w:rPr>
            </w:pPr>
          </w:p>
        </w:tc>
        <w:tc>
          <w:tcPr>
            <w:tcW w:w="1419" w:type="dxa"/>
            <w:noWrap w:val="0"/>
            <w:vAlign w:val="center"/>
          </w:tcPr>
          <w:p w14:paraId="62BDAE86">
            <w:pPr>
              <w:spacing w:line="440" w:lineRule="exact"/>
              <w:jc w:val="center"/>
              <w:rPr>
                <w:color w:val="auto"/>
                <w:szCs w:val="21"/>
                <w:highlight w:val="none"/>
              </w:rPr>
            </w:pPr>
          </w:p>
        </w:tc>
        <w:tc>
          <w:tcPr>
            <w:tcW w:w="1162" w:type="dxa"/>
            <w:noWrap w:val="0"/>
            <w:vAlign w:val="center"/>
          </w:tcPr>
          <w:p w14:paraId="65FB2B8B">
            <w:pPr>
              <w:spacing w:line="440" w:lineRule="exact"/>
              <w:jc w:val="center"/>
              <w:rPr>
                <w:color w:val="auto"/>
                <w:szCs w:val="21"/>
                <w:highlight w:val="none"/>
              </w:rPr>
            </w:pPr>
          </w:p>
        </w:tc>
      </w:tr>
      <w:tr w14:paraId="220D0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38E43379">
            <w:pPr>
              <w:spacing w:line="440" w:lineRule="exact"/>
              <w:jc w:val="center"/>
              <w:rPr>
                <w:color w:val="auto"/>
                <w:szCs w:val="21"/>
                <w:highlight w:val="none"/>
              </w:rPr>
            </w:pPr>
          </w:p>
        </w:tc>
        <w:tc>
          <w:tcPr>
            <w:tcW w:w="1275" w:type="dxa"/>
            <w:noWrap w:val="0"/>
            <w:vAlign w:val="top"/>
          </w:tcPr>
          <w:p w14:paraId="26A097AC">
            <w:pPr>
              <w:spacing w:line="440" w:lineRule="exact"/>
              <w:jc w:val="center"/>
              <w:rPr>
                <w:color w:val="auto"/>
                <w:szCs w:val="21"/>
                <w:highlight w:val="none"/>
              </w:rPr>
            </w:pPr>
          </w:p>
        </w:tc>
        <w:tc>
          <w:tcPr>
            <w:tcW w:w="936" w:type="dxa"/>
            <w:noWrap w:val="0"/>
            <w:vAlign w:val="top"/>
          </w:tcPr>
          <w:p w14:paraId="33E9567D">
            <w:pPr>
              <w:spacing w:line="440" w:lineRule="exact"/>
              <w:jc w:val="center"/>
              <w:rPr>
                <w:color w:val="auto"/>
                <w:szCs w:val="21"/>
                <w:highlight w:val="none"/>
              </w:rPr>
            </w:pPr>
          </w:p>
        </w:tc>
        <w:tc>
          <w:tcPr>
            <w:tcW w:w="747" w:type="dxa"/>
            <w:noWrap w:val="0"/>
            <w:vAlign w:val="top"/>
          </w:tcPr>
          <w:p w14:paraId="19BE2549">
            <w:pPr>
              <w:spacing w:line="440" w:lineRule="exact"/>
              <w:jc w:val="center"/>
              <w:rPr>
                <w:color w:val="auto"/>
                <w:szCs w:val="21"/>
                <w:highlight w:val="none"/>
              </w:rPr>
            </w:pPr>
          </w:p>
        </w:tc>
        <w:tc>
          <w:tcPr>
            <w:tcW w:w="850" w:type="dxa"/>
            <w:noWrap w:val="0"/>
            <w:vAlign w:val="top"/>
          </w:tcPr>
          <w:p w14:paraId="533C374A">
            <w:pPr>
              <w:spacing w:line="440" w:lineRule="exact"/>
              <w:jc w:val="center"/>
              <w:rPr>
                <w:color w:val="auto"/>
                <w:szCs w:val="21"/>
                <w:highlight w:val="none"/>
              </w:rPr>
            </w:pPr>
          </w:p>
        </w:tc>
        <w:tc>
          <w:tcPr>
            <w:tcW w:w="992" w:type="dxa"/>
            <w:noWrap w:val="0"/>
            <w:vAlign w:val="top"/>
          </w:tcPr>
          <w:p w14:paraId="37CEAAC5">
            <w:pPr>
              <w:spacing w:line="440" w:lineRule="exact"/>
              <w:jc w:val="center"/>
              <w:rPr>
                <w:color w:val="auto"/>
                <w:szCs w:val="21"/>
                <w:highlight w:val="none"/>
              </w:rPr>
            </w:pPr>
          </w:p>
        </w:tc>
        <w:tc>
          <w:tcPr>
            <w:tcW w:w="1419" w:type="dxa"/>
            <w:noWrap w:val="0"/>
            <w:vAlign w:val="top"/>
          </w:tcPr>
          <w:p w14:paraId="120AB0C5">
            <w:pPr>
              <w:spacing w:line="440" w:lineRule="exact"/>
              <w:jc w:val="center"/>
              <w:rPr>
                <w:color w:val="auto"/>
                <w:szCs w:val="21"/>
                <w:highlight w:val="none"/>
              </w:rPr>
            </w:pPr>
          </w:p>
        </w:tc>
        <w:tc>
          <w:tcPr>
            <w:tcW w:w="1162" w:type="dxa"/>
            <w:noWrap w:val="0"/>
            <w:vAlign w:val="top"/>
          </w:tcPr>
          <w:p w14:paraId="08C9CE3B">
            <w:pPr>
              <w:spacing w:line="440" w:lineRule="exact"/>
              <w:jc w:val="center"/>
              <w:rPr>
                <w:color w:val="auto"/>
                <w:szCs w:val="21"/>
                <w:highlight w:val="none"/>
              </w:rPr>
            </w:pPr>
          </w:p>
        </w:tc>
      </w:tr>
      <w:tr w14:paraId="54E09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3B6916F3">
            <w:pPr>
              <w:spacing w:line="440" w:lineRule="exact"/>
              <w:jc w:val="center"/>
              <w:rPr>
                <w:color w:val="auto"/>
                <w:szCs w:val="21"/>
                <w:highlight w:val="none"/>
              </w:rPr>
            </w:pPr>
          </w:p>
        </w:tc>
        <w:tc>
          <w:tcPr>
            <w:tcW w:w="1275" w:type="dxa"/>
            <w:noWrap w:val="0"/>
            <w:vAlign w:val="top"/>
          </w:tcPr>
          <w:p w14:paraId="60625A94">
            <w:pPr>
              <w:spacing w:line="440" w:lineRule="exact"/>
              <w:jc w:val="center"/>
              <w:rPr>
                <w:color w:val="auto"/>
                <w:szCs w:val="21"/>
                <w:highlight w:val="none"/>
              </w:rPr>
            </w:pPr>
          </w:p>
        </w:tc>
        <w:tc>
          <w:tcPr>
            <w:tcW w:w="936" w:type="dxa"/>
            <w:noWrap w:val="0"/>
            <w:vAlign w:val="top"/>
          </w:tcPr>
          <w:p w14:paraId="40A4CD80">
            <w:pPr>
              <w:spacing w:line="440" w:lineRule="exact"/>
              <w:jc w:val="center"/>
              <w:rPr>
                <w:color w:val="auto"/>
                <w:szCs w:val="21"/>
                <w:highlight w:val="none"/>
              </w:rPr>
            </w:pPr>
          </w:p>
        </w:tc>
        <w:tc>
          <w:tcPr>
            <w:tcW w:w="747" w:type="dxa"/>
            <w:noWrap w:val="0"/>
            <w:vAlign w:val="top"/>
          </w:tcPr>
          <w:p w14:paraId="2FB50946">
            <w:pPr>
              <w:spacing w:line="440" w:lineRule="exact"/>
              <w:jc w:val="center"/>
              <w:rPr>
                <w:color w:val="auto"/>
                <w:szCs w:val="21"/>
                <w:highlight w:val="none"/>
              </w:rPr>
            </w:pPr>
          </w:p>
        </w:tc>
        <w:tc>
          <w:tcPr>
            <w:tcW w:w="850" w:type="dxa"/>
            <w:noWrap w:val="0"/>
            <w:vAlign w:val="top"/>
          </w:tcPr>
          <w:p w14:paraId="6D34BAB6">
            <w:pPr>
              <w:spacing w:line="440" w:lineRule="exact"/>
              <w:jc w:val="center"/>
              <w:rPr>
                <w:color w:val="auto"/>
                <w:szCs w:val="21"/>
                <w:highlight w:val="none"/>
              </w:rPr>
            </w:pPr>
          </w:p>
        </w:tc>
        <w:tc>
          <w:tcPr>
            <w:tcW w:w="992" w:type="dxa"/>
            <w:noWrap w:val="0"/>
            <w:vAlign w:val="top"/>
          </w:tcPr>
          <w:p w14:paraId="59670F27">
            <w:pPr>
              <w:spacing w:line="440" w:lineRule="exact"/>
              <w:jc w:val="center"/>
              <w:rPr>
                <w:color w:val="auto"/>
                <w:szCs w:val="21"/>
                <w:highlight w:val="none"/>
              </w:rPr>
            </w:pPr>
          </w:p>
        </w:tc>
        <w:tc>
          <w:tcPr>
            <w:tcW w:w="1419" w:type="dxa"/>
            <w:noWrap w:val="0"/>
            <w:vAlign w:val="top"/>
          </w:tcPr>
          <w:p w14:paraId="586FD5D0">
            <w:pPr>
              <w:spacing w:line="440" w:lineRule="exact"/>
              <w:jc w:val="center"/>
              <w:rPr>
                <w:color w:val="auto"/>
                <w:szCs w:val="21"/>
                <w:highlight w:val="none"/>
              </w:rPr>
            </w:pPr>
          </w:p>
        </w:tc>
        <w:tc>
          <w:tcPr>
            <w:tcW w:w="1162" w:type="dxa"/>
            <w:noWrap w:val="0"/>
            <w:vAlign w:val="top"/>
          </w:tcPr>
          <w:p w14:paraId="4CA77216">
            <w:pPr>
              <w:spacing w:line="440" w:lineRule="exact"/>
              <w:jc w:val="center"/>
              <w:rPr>
                <w:color w:val="auto"/>
                <w:szCs w:val="21"/>
                <w:highlight w:val="none"/>
              </w:rPr>
            </w:pPr>
          </w:p>
        </w:tc>
      </w:tr>
      <w:tr w14:paraId="4FAC5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28" w:type="dxa"/>
            <w:noWrap w:val="0"/>
            <w:vAlign w:val="top"/>
          </w:tcPr>
          <w:p w14:paraId="48C3BC7C">
            <w:pPr>
              <w:spacing w:line="440" w:lineRule="exact"/>
              <w:jc w:val="center"/>
              <w:rPr>
                <w:color w:val="auto"/>
                <w:szCs w:val="21"/>
                <w:highlight w:val="none"/>
              </w:rPr>
            </w:pPr>
          </w:p>
        </w:tc>
        <w:tc>
          <w:tcPr>
            <w:tcW w:w="1275" w:type="dxa"/>
            <w:noWrap w:val="0"/>
            <w:vAlign w:val="top"/>
          </w:tcPr>
          <w:p w14:paraId="56446716">
            <w:pPr>
              <w:spacing w:line="440" w:lineRule="exact"/>
              <w:jc w:val="center"/>
              <w:rPr>
                <w:color w:val="auto"/>
                <w:szCs w:val="21"/>
                <w:highlight w:val="none"/>
              </w:rPr>
            </w:pPr>
          </w:p>
        </w:tc>
        <w:tc>
          <w:tcPr>
            <w:tcW w:w="936" w:type="dxa"/>
            <w:noWrap w:val="0"/>
            <w:vAlign w:val="top"/>
          </w:tcPr>
          <w:p w14:paraId="5A1E2BC6">
            <w:pPr>
              <w:spacing w:line="440" w:lineRule="exact"/>
              <w:jc w:val="center"/>
              <w:rPr>
                <w:color w:val="auto"/>
                <w:szCs w:val="21"/>
                <w:highlight w:val="none"/>
              </w:rPr>
            </w:pPr>
          </w:p>
        </w:tc>
        <w:tc>
          <w:tcPr>
            <w:tcW w:w="747" w:type="dxa"/>
            <w:noWrap w:val="0"/>
            <w:vAlign w:val="top"/>
          </w:tcPr>
          <w:p w14:paraId="784EF74B">
            <w:pPr>
              <w:spacing w:line="440" w:lineRule="exact"/>
              <w:jc w:val="center"/>
              <w:rPr>
                <w:color w:val="auto"/>
                <w:szCs w:val="21"/>
                <w:highlight w:val="none"/>
              </w:rPr>
            </w:pPr>
          </w:p>
        </w:tc>
        <w:tc>
          <w:tcPr>
            <w:tcW w:w="850" w:type="dxa"/>
            <w:noWrap w:val="0"/>
            <w:vAlign w:val="top"/>
          </w:tcPr>
          <w:p w14:paraId="6253E51A">
            <w:pPr>
              <w:spacing w:line="440" w:lineRule="exact"/>
              <w:jc w:val="center"/>
              <w:rPr>
                <w:color w:val="auto"/>
                <w:szCs w:val="21"/>
                <w:highlight w:val="none"/>
              </w:rPr>
            </w:pPr>
          </w:p>
        </w:tc>
        <w:tc>
          <w:tcPr>
            <w:tcW w:w="992" w:type="dxa"/>
            <w:noWrap w:val="0"/>
            <w:vAlign w:val="top"/>
          </w:tcPr>
          <w:p w14:paraId="64873496">
            <w:pPr>
              <w:spacing w:line="440" w:lineRule="exact"/>
              <w:jc w:val="center"/>
              <w:rPr>
                <w:color w:val="auto"/>
                <w:szCs w:val="21"/>
                <w:highlight w:val="none"/>
              </w:rPr>
            </w:pPr>
          </w:p>
        </w:tc>
        <w:tc>
          <w:tcPr>
            <w:tcW w:w="1419" w:type="dxa"/>
            <w:noWrap w:val="0"/>
            <w:vAlign w:val="top"/>
          </w:tcPr>
          <w:p w14:paraId="5DC35EAD">
            <w:pPr>
              <w:spacing w:line="440" w:lineRule="exact"/>
              <w:jc w:val="center"/>
              <w:rPr>
                <w:color w:val="auto"/>
                <w:szCs w:val="21"/>
                <w:highlight w:val="none"/>
              </w:rPr>
            </w:pPr>
          </w:p>
        </w:tc>
        <w:tc>
          <w:tcPr>
            <w:tcW w:w="1162" w:type="dxa"/>
            <w:noWrap w:val="0"/>
            <w:vAlign w:val="top"/>
          </w:tcPr>
          <w:p w14:paraId="32B8F6BD">
            <w:pPr>
              <w:spacing w:line="440" w:lineRule="exact"/>
              <w:jc w:val="center"/>
              <w:rPr>
                <w:color w:val="auto"/>
                <w:szCs w:val="21"/>
                <w:highlight w:val="none"/>
              </w:rPr>
            </w:pPr>
          </w:p>
        </w:tc>
      </w:tr>
      <w:tr w14:paraId="412F5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2564FFCA">
            <w:pPr>
              <w:spacing w:line="440" w:lineRule="exact"/>
              <w:jc w:val="center"/>
              <w:rPr>
                <w:color w:val="auto"/>
                <w:szCs w:val="21"/>
                <w:highlight w:val="none"/>
              </w:rPr>
            </w:pPr>
          </w:p>
        </w:tc>
        <w:tc>
          <w:tcPr>
            <w:tcW w:w="1275" w:type="dxa"/>
            <w:noWrap w:val="0"/>
            <w:vAlign w:val="top"/>
          </w:tcPr>
          <w:p w14:paraId="51DEC170">
            <w:pPr>
              <w:spacing w:line="440" w:lineRule="exact"/>
              <w:jc w:val="center"/>
              <w:rPr>
                <w:color w:val="auto"/>
                <w:szCs w:val="21"/>
                <w:highlight w:val="none"/>
              </w:rPr>
            </w:pPr>
          </w:p>
        </w:tc>
        <w:tc>
          <w:tcPr>
            <w:tcW w:w="936" w:type="dxa"/>
            <w:noWrap w:val="0"/>
            <w:vAlign w:val="top"/>
          </w:tcPr>
          <w:p w14:paraId="0ABDAB1B">
            <w:pPr>
              <w:spacing w:line="440" w:lineRule="exact"/>
              <w:jc w:val="center"/>
              <w:rPr>
                <w:color w:val="auto"/>
                <w:szCs w:val="21"/>
                <w:highlight w:val="none"/>
              </w:rPr>
            </w:pPr>
          </w:p>
        </w:tc>
        <w:tc>
          <w:tcPr>
            <w:tcW w:w="747" w:type="dxa"/>
            <w:noWrap w:val="0"/>
            <w:vAlign w:val="top"/>
          </w:tcPr>
          <w:p w14:paraId="67767A0B">
            <w:pPr>
              <w:spacing w:line="440" w:lineRule="exact"/>
              <w:jc w:val="center"/>
              <w:rPr>
                <w:color w:val="auto"/>
                <w:szCs w:val="21"/>
                <w:highlight w:val="none"/>
              </w:rPr>
            </w:pPr>
          </w:p>
        </w:tc>
        <w:tc>
          <w:tcPr>
            <w:tcW w:w="850" w:type="dxa"/>
            <w:noWrap w:val="0"/>
            <w:vAlign w:val="top"/>
          </w:tcPr>
          <w:p w14:paraId="0BE75366">
            <w:pPr>
              <w:spacing w:line="440" w:lineRule="exact"/>
              <w:jc w:val="center"/>
              <w:rPr>
                <w:color w:val="auto"/>
                <w:szCs w:val="21"/>
                <w:highlight w:val="none"/>
              </w:rPr>
            </w:pPr>
          </w:p>
        </w:tc>
        <w:tc>
          <w:tcPr>
            <w:tcW w:w="992" w:type="dxa"/>
            <w:noWrap w:val="0"/>
            <w:vAlign w:val="top"/>
          </w:tcPr>
          <w:p w14:paraId="3A0C58DB">
            <w:pPr>
              <w:spacing w:line="440" w:lineRule="exact"/>
              <w:jc w:val="center"/>
              <w:rPr>
                <w:color w:val="auto"/>
                <w:szCs w:val="21"/>
                <w:highlight w:val="none"/>
              </w:rPr>
            </w:pPr>
          </w:p>
        </w:tc>
        <w:tc>
          <w:tcPr>
            <w:tcW w:w="1419" w:type="dxa"/>
            <w:noWrap w:val="0"/>
            <w:vAlign w:val="top"/>
          </w:tcPr>
          <w:p w14:paraId="280376B3">
            <w:pPr>
              <w:spacing w:line="440" w:lineRule="exact"/>
              <w:jc w:val="center"/>
              <w:rPr>
                <w:color w:val="auto"/>
                <w:szCs w:val="21"/>
                <w:highlight w:val="none"/>
              </w:rPr>
            </w:pPr>
          </w:p>
        </w:tc>
        <w:tc>
          <w:tcPr>
            <w:tcW w:w="1162" w:type="dxa"/>
            <w:noWrap w:val="0"/>
            <w:vAlign w:val="top"/>
          </w:tcPr>
          <w:p w14:paraId="64E7BD97">
            <w:pPr>
              <w:spacing w:line="440" w:lineRule="exact"/>
              <w:jc w:val="center"/>
              <w:rPr>
                <w:color w:val="auto"/>
                <w:szCs w:val="21"/>
                <w:highlight w:val="none"/>
              </w:rPr>
            </w:pPr>
          </w:p>
        </w:tc>
      </w:tr>
      <w:tr w14:paraId="1BA89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7C314794">
            <w:pPr>
              <w:spacing w:line="440" w:lineRule="exact"/>
              <w:jc w:val="center"/>
              <w:rPr>
                <w:color w:val="auto"/>
                <w:szCs w:val="21"/>
                <w:highlight w:val="none"/>
              </w:rPr>
            </w:pPr>
          </w:p>
        </w:tc>
        <w:tc>
          <w:tcPr>
            <w:tcW w:w="1275" w:type="dxa"/>
            <w:noWrap w:val="0"/>
            <w:vAlign w:val="top"/>
          </w:tcPr>
          <w:p w14:paraId="43875DB0">
            <w:pPr>
              <w:spacing w:line="440" w:lineRule="exact"/>
              <w:jc w:val="center"/>
              <w:rPr>
                <w:color w:val="auto"/>
                <w:szCs w:val="21"/>
                <w:highlight w:val="none"/>
              </w:rPr>
            </w:pPr>
          </w:p>
        </w:tc>
        <w:tc>
          <w:tcPr>
            <w:tcW w:w="936" w:type="dxa"/>
            <w:noWrap w:val="0"/>
            <w:vAlign w:val="top"/>
          </w:tcPr>
          <w:p w14:paraId="430A2DEF">
            <w:pPr>
              <w:spacing w:line="440" w:lineRule="exact"/>
              <w:jc w:val="center"/>
              <w:rPr>
                <w:color w:val="auto"/>
                <w:szCs w:val="21"/>
                <w:highlight w:val="none"/>
              </w:rPr>
            </w:pPr>
          </w:p>
        </w:tc>
        <w:tc>
          <w:tcPr>
            <w:tcW w:w="747" w:type="dxa"/>
            <w:noWrap w:val="0"/>
            <w:vAlign w:val="top"/>
          </w:tcPr>
          <w:p w14:paraId="418142DC">
            <w:pPr>
              <w:spacing w:line="440" w:lineRule="exact"/>
              <w:jc w:val="center"/>
              <w:rPr>
                <w:color w:val="auto"/>
                <w:szCs w:val="21"/>
                <w:highlight w:val="none"/>
              </w:rPr>
            </w:pPr>
          </w:p>
        </w:tc>
        <w:tc>
          <w:tcPr>
            <w:tcW w:w="850" w:type="dxa"/>
            <w:noWrap w:val="0"/>
            <w:vAlign w:val="top"/>
          </w:tcPr>
          <w:p w14:paraId="64E1B571">
            <w:pPr>
              <w:spacing w:line="440" w:lineRule="exact"/>
              <w:jc w:val="center"/>
              <w:rPr>
                <w:color w:val="auto"/>
                <w:szCs w:val="21"/>
                <w:highlight w:val="none"/>
              </w:rPr>
            </w:pPr>
          </w:p>
        </w:tc>
        <w:tc>
          <w:tcPr>
            <w:tcW w:w="992" w:type="dxa"/>
            <w:noWrap w:val="0"/>
            <w:vAlign w:val="top"/>
          </w:tcPr>
          <w:p w14:paraId="0DB43D2F">
            <w:pPr>
              <w:spacing w:line="440" w:lineRule="exact"/>
              <w:jc w:val="center"/>
              <w:rPr>
                <w:color w:val="auto"/>
                <w:szCs w:val="21"/>
                <w:highlight w:val="none"/>
              </w:rPr>
            </w:pPr>
          </w:p>
        </w:tc>
        <w:tc>
          <w:tcPr>
            <w:tcW w:w="1419" w:type="dxa"/>
            <w:noWrap w:val="0"/>
            <w:vAlign w:val="top"/>
          </w:tcPr>
          <w:p w14:paraId="600A778F">
            <w:pPr>
              <w:spacing w:line="440" w:lineRule="exact"/>
              <w:jc w:val="center"/>
              <w:rPr>
                <w:color w:val="auto"/>
                <w:szCs w:val="21"/>
                <w:highlight w:val="none"/>
              </w:rPr>
            </w:pPr>
          </w:p>
        </w:tc>
        <w:tc>
          <w:tcPr>
            <w:tcW w:w="1162" w:type="dxa"/>
            <w:noWrap w:val="0"/>
            <w:vAlign w:val="top"/>
          </w:tcPr>
          <w:p w14:paraId="204714CE">
            <w:pPr>
              <w:spacing w:line="440" w:lineRule="exact"/>
              <w:jc w:val="center"/>
              <w:rPr>
                <w:color w:val="auto"/>
                <w:szCs w:val="21"/>
                <w:highlight w:val="none"/>
              </w:rPr>
            </w:pPr>
          </w:p>
        </w:tc>
      </w:tr>
      <w:tr w14:paraId="611D9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7ED1BEEF">
            <w:pPr>
              <w:spacing w:line="440" w:lineRule="exact"/>
              <w:jc w:val="center"/>
              <w:rPr>
                <w:color w:val="auto"/>
                <w:szCs w:val="21"/>
                <w:highlight w:val="none"/>
              </w:rPr>
            </w:pPr>
          </w:p>
        </w:tc>
        <w:tc>
          <w:tcPr>
            <w:tcW w:w="1275" w:type="dxa"/>
            <w:noWrap w:val="0"/>
            <w:vAlign w:val="top"/>
          </w:tcPr>
          <w:p w14:paraId="5B9632B1">
            <w:pPr>
              <w:spacing w:line="440" w:lineRule="exact"/>
              <w:jc w:val="center"/>
              <w:rPr>
                <w:color w:val="auto"/>
                <w:szCs w:val="21"/>
                <w:highlight w:val="none"/>
              </w:rPr>
            </w:pPr>
          </w:p>
        </w:tc>
        <w:tc>
          <w:tcPr>
            <w:tcW w:w="936" w:type="dxa"/>
            <w:noWrap w:val="0"/>
            <w:vAlign w:val="top"/>
          </w:tcPr>
          <w:p w14:paraId="09676F95">
            <w:pPr>
              <w:spacing w:line="440" w:lineRule="exact"/>
              <w:jc w:val="center"/>
              <w:rPr>
                <w:color w:val="auto"/>
                <w:szCs w:val="21"/>
                <w:highlight w:val="none"/>
              </w:rPr>
            </w:pPr>
          </w:p>
        </w:tc>
        <w:tc>
          <w:tcPr>
            <w:tcW w:w="747" w:type="dxa"/>
            <w:noWrap w:val="0"/>
            <w:vAlign w:val="top"/>
          </w:tcPr>
          <w:p w14:paraId="0E89024F">
            <w:pPr>
              <w:spacing w:line="440" w:lineRule="exact"/>
              <w:jc w:val="center"/>
              <w:rPr>
                <w:color w:val="auto"/>
                <w:szCs w:val="21"/>
                <w:highlight w:val="none"/>
              </w:rPr>
            </w:pPr>
          </w:p>
        </w:tc>
        <w:tc>
          <w:tcPr>
            <w:tcW w:w="850" w:type="dxa"/>
            <w:noWrap w:val="0"/>
            <w:vAlign w:val="top"/>
          </w:tcPr>
          <w:p w14:paraId="7DDBF507">
            <w:pPr>
              <w:spacing w:line="440" w:lineRule="exact"/>
              <w:jc w:val="center"/>
              <w:rPr>
                <w:color w:val="auto"/>
                <w:szCs w:val="21"/>
                <w:highlight w:val="none"/>
              </w:rPr>
            </w:pPr>
          </w:p>
        </w:tc>
        <w:tc>
          <w:tcPr>
            <w:tcW w:w="992" w:type="dxa"/>
            <w:noWrap w:val="0"/>
            <w:vAlign w:val="top"/>
          </w:tcPr>
          <w:p w14:paraId="2CC0727D">
            <w:pPr>
              <w:spacing w:line="440" w:lineRule="exact"/>
              <w:jc w:val="center"/>
              <w:rPr>
                <w:color w:val="auto"/>
                <w:szCs w:val="21"/>
                <w:highlight w:val="none"/>
              </w:rPr>
            </w:pPr>
          </w:p>
        </w:tc>
        <w:tc>
          <w:tcPr>
            <w:tcW w:w="1419" w:type="dxa"/>
            <w:noWrap w:val="0"/>
            <w:vAlign w:val="top"/>
          </w:tcPr>
          <w:p w14:paraId="4AC7D035">
            <w:pPr>
              <w:spacing w:line="440" w:lineRule="exact"/>
              <w:jc w:val="center"/>
              <w:rPr>
                <w:color w:val="auto"/>
                <w:szCs w:val="21"/>
                <w:highlight w:val="none"/>
              </w:rPr>
            </w:pPr>
          </w:p>
        </w:tc>
        <w:tc>
          <w:tcPr>
            <w:tcW w:w="1162" w:type="dxa"/>
            <w:noWrap w:val="0"/>
            <w:vAlign w:val="top"/>
          </w:tcPr>
          <w:p w14:paraId="1F93E529">
            <w:pPr>
              <w:spacing w:line="440" w:lineRule="exact"/>
              <w:jc w:val="center"/>
              <w:rPr>
                <w:color w:val="auto"/>
                <w:szCs w:val="21"/>
                <w:highlight w:val="none"/>
              </w:rPr>
            </w:pPr>
          </w:p>
        </w:tc>
      </w:tr>
      <w:tr w14:paraId="17F64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014C88BA">
            <w:pPr>
              <w:spacing w:line="440" w:lineRule="exact"/>
              <w:jc w:val="center"/>
              <w:rPr>
                <w:color w:val="auto"/>
                <w:szCs w:val="21"/>
                <w:highlight w:val="none"/>
              </w:rPr>
            </w:pPr>
          </w:p>
        </w:tc>
        <w:tc>
          <w:tcPr>
            <w:tcW w:w="1275" w:type="dxa"/>
            <w:noWrap w:val="0"/>
            <w:vAlign w:val="top"/>
          </w:tcPr>
          <w:p w14:paraId="793DA616">
            <w:pPr>
              <w:spacing w:line="440" w:lineRule="exact"/>
              <w:jc w:val="center"/>
              <w:rPr>
                <w:color w:val="auto"/>
                <w:szCs w:val="21"/>
                <w:highlight w:val="none"/>
              </w:rPr>
            </w:pPr>
          </w:p>
        </w:tc>
        <w:tc>
          <w:tcPr>
            <w:tcW w:w="936" w:type="dxa"/>
            <w:noWrap w:val="0"/>
            <w:vAlign w:val="top"/>
          </w:tcPr>
          <w:p w14:paraId="669BAC84">
            <w:pPr>
              <w:spacing w:line="440" w:lineRule="exact"/>
              <w:jc w:val="center"/>
              <w:rPr>
                <w:color w:val="auto"/>
                <w:szCs w:val="21"/>
                <w:highlight w:val="none"/>
              </w:rPr>
            </w:pPr>
          </w:p>
        </w:tc>
        <w:tc>
          <w:tcPr>
            <w:tcW w:w="747" w:type="dxa"/>
            <w:noWrap w:val="0"/>
            <w:vAlign w:val="top"/>
          </w:tcPr>
          <w:p w14:paraId="1D7C82E1">
            <w:pPr>
              <w:spacing w:line="440" w:lineRule="exact"/>
              <w:jc w:val="center"/>
              <w:rPr>
                <w:color w:val="auto"/>
                <w:szCs w:val="21"/>
                <w:highlight w:val="none"/>
              </w:rPr>
            </w:pPr>
          </w:p>
        </w:tc>
        <w:tc>
          <w:tcPr>
            <w:tcW w:w="850" w:type="dxa"/>
            <w:noWrap w:val="0"/>
            <w:vAlign w:val="top"/>
          </w:tcPr>
          <w:p w14:paraId="6E89CF25">
            <w:pPr>
              <w:spacing w:line="440" w:lineRule="exact"/>
              <w:jc w:val="center"/>
              <w:rPr>
                <w:color w:val="auto"/>
                <w:szCs w:val="21"/>
                <w:highlight w:val="none"/>
              </w:rPr>
            </w:pPr>
          </w:p>
        </w:tc>
        <w:tc>
          <w:tcPr>
            <w:tcW w:w="992" w:type="dxa"/>
            <w:noWrap w:val="0"/>
            <w:vAlign w:val="top"/>
          </w:tcPr>
          <w:p w14:paraId="7619248F">
            <w:pPr>
              <w:spacing w:line="440" w:lineRule="exact"/>
              <w:jc w:val="center"/>
              <w:rPr>
                <w:color w:val="auto"/>
                <w:szCs w:val="21"/>
                <w:highlight w:val="none"/>
              </w:rPr>
            </w:pPr>
          </w:p>
        </w:tc>
        <w:tc>
          <w:tcPr>
            <w:tcW w:w="1419" w:type="dxa"/>
            <w:noWrap w:val="0"/>
            <w:vAlign w:val="top"/>
          </w:tcPr>
          <w:p w14:paraId="303B7755">
            <w:pPr>
              <w:spacing w:line="440" w:lineRule="exact"/>
              <w:jc w:val="center"/>
              <w:rPr>
                <w:color w:val="auto"/>
                <w:szCs w:val="21"/>
                <w:highlight w:val="none"/>
              </w:rPr>
            </w:pPr>
          </w:p>
        </w:tc>
        <w:tc>
          <w:tcPr>
            <w:tcW w:w="1162" w:type="dxa"/>
            <w:noWrap w:val="0"/>
            <w:vAlign w:val="top"/>
          </w:tcPr>
          <w:p w14:paraId="08C391B2">
            <w:pPr>
              <w:spacing w:line="440" w:lineRule="exact"/>
              <w:jc w:val="center"/>
              <w:rPr>
                <w:color w:val="auto"/>
                <w:szCs w:val="21"/>
                <w:highlight w:val="none"/>
              </w:rPr>
            </w:pPr>
          </w:p>
        </w:tc>
      </w:tr>
      <w:tr w14:paraId="6ADD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7EED9F9B">
            <w:pPr>
              <w:spacing w:line="440" w:lineRule="exact"/>
              <w:jc w:val="center"/>
              <w:rPr>
                <w:color w:val="auto"/>
                <w:szCs w:val="21"/>
                <w:highlight w:val="none"/>
              </w:rPr>
            </w:pPr>
          </w:p>
        </w:tc>
        <w:tc>
          <w:tcPr>
            <w:tcW w:w="1275" w:type="dxa"/>
            <w:noWrap w:val="0"/>
            <w:vAlign w:val="top"/>
          </w:tcPr>
          <w:p w14:paraId="68E22DD0">
            <w:pPr>
              <w:spacing w:line="440" w:lineRule="exact"/>
              <w:jc w:val="center"/>
              <w:rPr>
                <w:color w:val="auto"/>
                <w:szCs w:val="21"/>
                <w:highlight w:val="none"/>
              </w:rPr>
            </w:pPr>
          </w:p>
        </w:tc>
        <w:tc>
          <w:tcPr>
            <w:tcW w:w="936" w:type="dxa"/>
            <w:noWrap w:val="0"/>
            <w:vAlign w:val="top"/>
          </w:tcPr>
          <w:p w14:paraId="3F9FA609">
            <w:pPr>
              <w:spacing w:line="440" w:lineRule="exact"/>
              <w:jc w:val="center"/>
              <w:rPr>
                <w:color w:val="auto"/>
                <w:szCs w:val="21"/>
                <w:highlight w:val="none"/>
              </w:rPr>
            </w:pPr>
          </w:p>
        </w:tc>
        <w:tc>
          <w:tcPr>
            <w:tcW w:w="747" w:type="dxa"/>
            <w:noWrap w:val="0"/>
            <w:vAlign w:val="top"/>
          </w:tcPr>
          <w:p w14:paraId="48A3C067">
            <w:pPr>
              <w:spacing w:line="440" w:lineRule="exact"/>
              <w:jc w:val="center"/>
              <w:rPr>
                <w:color w:val="auto"/>
                <w:szCs w:val="21"/>
                <w:highlight w:val="none"/>
              </w:rPr>
            </w:pPr>
          </w:p>
        </w:tc>
        <w:tc>
          <w:tcPr>
            <w:tcW w:w="850" w:type="dxa"/>
            <w:noWrap w:val="0"/>
            <w:vAlign w:val="top"/>
          </w:tcPr>
          <w:p w14:paraId="7F33B63A">
            <w:pPr>
              <w:spacing w:line="440" w:lineRule="exact"/>
              <w:jc w:val="center"/>
              <w:rPr>
                <w:color w:val="auto"/>
                <w:szCs w:val="21"/>
                <w:highlight w:val="none"/>
              </w:rPr>
            </w:pPr>
          </w:p>
        </w:tc>
        <w:tc>
          <w:tcPr>
            <w:tcW w:w="992" w:type="dxa"/>
            <w:noWrap w:val="0"/>
            <w:vAlign w:val="top"/>
          </w:tcPr>
          <w:p w14:paraId="7545FB26">
            <w:pPr>
              <w:spacing w:line="440" w:lineRule="exact"/>
              <w:jc w:val="center"/>
              <w:rPr>
                <w:color w:val="auto"/>
                <w:szCs w:val="21"/>
                <w:highlight w:val="none"/>
              </w:rPr>
            </w:pPr>
          </w:p>
        </w:tc>
        <w:tc>
          <w:tcPr>
            <w:tcW w:w="1419" w:type="dxa"/>
            <w:noWrap w:val="0"/>
            <w:vAlign w:val="top"/>
          </w:tcPr>
          <w:p w14:paraId="74463759">
            <w:pPr>
              <w:spacing w:line="440" w:lineRule="exact"/>
              <w:jc w:val="center"/>
              <w:rPr>
                <w:color w:val="auto"/>
                <w:szCs w:val="21"/>
                <w:highlight w:val="none"/>
              </w:rPr>
            </w:pPr>
          </w:p>
        </w:tc>
        <w:tc>
          <w:tcPr>
            <w:tcW w:w="1162" w:type="dxa"/>
            <w:noWrap w:val="0"/>
            <w:vAlign w:val="top"/>
          </w:tcPr>
          <w:p w14:paraId="5EF3AF29">
            <w:pPr>
              <w:spacing w:line="440" w:lineRule="exact"/>
              <w:jc w:val="center"/>
              <w:rPr>
                <w:color w:val="auto"/>
                <w:szCs w:val="21"/>
                <w:highlight w:val="none"/>
              </w:rPr>
            </w:pPr>
          </w:p>
        </w:tc>
      </w:tr>
      <w:tr w14:paraId="04280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2FDCC8FB">
            <w:pPr>
              <w:spacing w:line="440" w:lineRule="exact"/>
              <w:jc w:val="center"/>
              <w:rPr>
                <w:color w:val="auto"/>
                <w:szCs w:val="21"/>
                <w:highlight w:val="none"/>
              </w:rPr>
            </w:pPr>
          </w:p>
        </w:tc>
        <w:tc>
          <w:tcPr>
            <w:tcW w:w="1275" w:type="dxa"/>
            <w:noWrap w:val="0"/>
            <w:vAlign w:val="top"/>
          </w:tcPr>
          <w:p w14:paraId="7A92F4FE">
            <w:pPr>
              <w:spacing w:line="440" w:lineRule="exact"/>
              <w:jc w:val="center"/>
              <w:rPr>
                <w:color w:val="auto"/>
                <w:szCs w:val="21"/>
                <w:highlight w:val="none"/>
              </w:rPr>
            </w:pPr>
          </w:p>
        </w:tc>
        <w:tc>
          <w:tcPr>
            <w:tcW w:w="936" w:type="dxa"/>
            <w:noWrap w:val="0"/>
            <w:vAlign w:val="top"/>
          </w:tcPr>
          <w:p w14:paraId="58EB6061">
            <w:pPr>
              <w:spacing w:line="440" w:lineRule="exact"/>
              <w:jc w:val="center"/>
              <w:rPr>
                <w:color w:val="auto"/>
                <w:szCs w:val="21"/>
                <w:highlight w:val="none"/>
              </w:rPr>
            </w:pPr>
          </w:p>
        </w:tc>
        <w:tc>
          <w:tcPr>
            <w:tcW w:w="747" w:type="dxa"/>
            <w:noWrap w:val="0"/>
            <w:vAlign w:val="top"/>
          </w:tcPr>
          <w:p w14:paraId="2F6E968B">
            <w:pPr>
              <w:spacing w:line="440" w:lineRule="exact"/>
              <w:jc w:val="center"/>
              <w:rPr>
                <w:color w:val="auto"/>
                <w:szCs w:val="21"/>
                <w:highlight w:val="none"/>
              </w:rPr>
            </w:pPr>
          </w:p>
        </w:tc>
        <w:tc>
          <w:tcPr>
            <w:tcW w:w="850" w:type="dxa"/>
            <w:noWrap w:val="0"/>
            <w:vAlign w:val="top"/>
          </w:tcPr>
          <w:p w14:paraId="17EF0952">
            <w:pPr>
              <w:spacing w:line="440" w:lineRule="exact"/>
              <w:jc w:val="center"/>
              <w:rPr>
                <w:color w:val="auto"/>
                <w:szCs w:val="21"/>
                <w:highlight w:val="none"/>
              </w:rPr>
            </w:pPr>
          </w:p>
        </w:tc>
        <w:tc>
          <w:tcPr>
            <w:tcW w:w="992" w:type="dxa"/>
            <w:noWrap w:val="0"/>
            <w:vAlign w:val="top"/>
          </w:tcPr>
          <w:p w14:paraId="642F9176">
            <w:pPr>
              <w:spacing w:line="440" w:lineRule="exact"/>
              <w:jc w:val="center"/>
              <w:rPr>
                <w:color w:val="auto"/>
                <w:szCs w:val="21"/>
                <w:highlight w:val="none"/>
              </w:rPr>
            </w:pPr>
          </w:p>
        </w:tc>
        <w:tc>
          <w:tcPr>
            <w:tcW w:w="1419" w:type="dxa"/>
            <w:noWrap w:val="0"/>
            <w:vAlign w:val="top"/>
          </w:tcPr>
          <w:p w14:paraId="1946F958">
            <w:pPr>
              <w:spacing w:line="440" w:lineRule="exact"/>
              <w:jc w:val="center"/>
              <w:rPr>
                <w:color w:val="auto"/>
                <w:szCs w:val="21"/>
                <w:highlight w:val="none"/>
              </w:rPr>
            </w:pPr>
          </w:p>
        </w:tc>
        <w:tc>
          <w:tcPr>
            <w:tcW w:w="1162" w:type="dxa"/>
            <w:noWrap w:val="0"/>
            <w:vAlign w:val="top"/>
          </w:tcPr>
          <w:p w14:paraId="7E162FE0">
            <w:pPr>
              <w:spacing w:line="440" w:lineRule="exact"/>
              <w:jc w:val="center"/>
              <w:rPr>
                <w:color w:val="auto"/>
                <w:szCs w:val="21"/>
                <w:highlight w:val="none"/>
              </w:rPr>
            </w:pPr>
          </w:p>
        </w:tc>
      </w:tr>
      <w:tr w14:paraId="5BDBF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4729CCF9">
            <w:pPr>
              <w:spacing w:line="440" w:lineRule="exact"/>
              <w:jc w:val="center"/>
              <w:rPr>
                <w:color w:val="auto"/>
                <w:szCs w:val="21"/>
                <w:highlight w:val="none"/>
              </w:rPr>
            </w:pPr>
          </w:p>
        </w:tc>
        <w:tc>
          <w:tcPr>
            <w:tcW w:w="1275" w:type="dxa"/>
            <w:noWrap w:val="0"/>
            <w:vAlign w:val="top"/>
          </w:tcPr>
          <w:p w14:paraId="5861D856">
            <w:pPr>
              <w:spacing w:line="440" w:lineRule="exact"/>
              <w:jc w:val="center"/>
              <w:rPr>
                <w:color w:val="auto"/>
                <w:szCs w:val="21"/>
                <w:highlight w:val="none"/>
              </w:rPr>
            </w:pPr>
          </w:p>
        </w:tc>
        <w:tc>
          <w:tcPr>
            <w:tcW w:w="936" w:type="dxa"/>
            <w:noWrap w:val="0"/>
            <w:vAlign w:val="top"/>
          </w:tcPr>
          <w:p w14:paraId="15ABAC40">
            <w:pPr>
              <w:spacing w:line="440" w:lineRule="exact"/>
              <w:jc w:val="center"/>
              <w:rPr>
                <w:color w:val="auto"/>
                <w:szCs w:val="21"/>
                <w:highlight w:val="none"/>
              </w:rPr>
            </w:pPr>
          </w:p>
        </w:tc>
        <w:tc>
          <w:tcPr>
            <w:tcW w:w="747" w:type="dxa"/>
            <w:noWrap w:val="0"/>
            <w:vAlign w:val="top"/>
          </w:tcPr>
          <w:p w14:paraId="4F8567E3">
            <w:pPr>
              <w:spacing w:line="440" w:lineRule="exact"/>
              <w:jc w:val="center"/>
              <w:rPr>
                <w:color w:val="auto"/>
                <w:szCs w:val="21"/>
                <w:highlight w:val="none"/>
              </w:rPr>
            </w:pPr>
          </w:p>
        </w:tc>
        <w:tc>
          <w:tcPr>
            <w:tcW w:w="850" w:type="dxa"/>
            <w:noWrap w:val="0"/>
            <w:vAlign w:val="top"/>
          </w:tcPr>
          <w:p w14:paraId="352E4CCB">
            <w:pPr>
              <w:spacing w:line="440" w:lineRule="exact"/>
              <w:jc w:val="center"/>
              <w:rPr>
                <w:color w:val="auto"/>
                <w:szCs w:val="21"/>
                <w:highlight w:val="none"/>
              </w:rPr>
            </w:pPr>
          </w:p>
        </w:tc>
        <w:tc>
          <w:tcPr>
            <w:tcW w:w="992" w:type="dxa"/>
            <w:noWrap w:val="0"/>
            <w:vAlign w:val="top"/>
          </w:tcPr>
          <w:p w14:paraId="6B8B71ED">
            <w:pPr>
              <w:spacing w:line="440" w:lineRule="exact"/>
              <w:jc w:val="center"/>
              <w:rPr>
                <w:color w:val="auto"/>
                <w:szCs w:val="21"/>
                <w:highlight w:val="none"/>
              </w:rPr>
            </w:pPr>
          </w:p>
        </w:tc>
        <w:tc>
          <w:tcPr>
            <w:tcW w:w="1419" w:type="dxa"/>
            <w:noWrap w:val="0"/>
            <w:vAlign w:val="top"/>
          </w:tcPr>
          <w:p w14:paraId="3C092DD5">
            <w:pPr>
              <w:spacing w:line="440" w:lineRule="exact"/>
              <w:jc w:val="center"/>
              <w:rPr>
                <w:color w:val="auto"/>
                <w:szCs w:val="21"/>
                <w:highlight w:val="none"/>
              </w:rPr>
            </w:pPr>
          </w:p>
        </w:tc>
        <w:tc>
          <w:tcPr>
            <w:tcW w:w="1162" w:type="dxa"/>
            <w:noWrap w:val="0"/>
            <w:vAlign w:val="top"/>
          </w:tcPr>
          <w:p w14:paraId="1EA0BE9E">
            <w:pPr>
              <w:spacing w:line="440" w:lineRule="exact"/>
              <w:jc w:val="center"/>
              <w:rPr>
                <w:color w:val="auto"/>
                <w:szCs w:val="21"/>
                <w:highlight w:val="none"/>
              </w:rPr>
            </w:pPr>
          </w:p>
        </w:tc>
      </w:tr>
      <w:tr w14:paraId="5D452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28" w:type="dxa"/>
            <w:noWrap w:val="0"/>
            <w:vAlign w:val="top"/>
          </w:tcPr>
          <w:p w14:paraId="01B1C3A8">
            <w:pPr>
              <w:spacing w:line="440" w:lineRule="exact"/>
              <w:jc w:val="center"/>
              <w:rPr>
                <w:color w:val="auto"/>
                <w:szCs w:val="21"/>
                <w:highlight w:val="none"/>
              </w:rPr>
            </w:pPr>
          </w:p>
        </w:tc>
        <w:tc>
          <w:tcPr>
            <w:tcW w:w="1275" w:type="dxa"/>
            <w:noWrap w:val="0"/>
            <w:vAlign w:val="top"/>
          </w:tcPr>
          <w:p w14:paraId="31D658F5">
            <w:pPr>
              <w:spacing w:line="440" w:lineRule="exact"/>
              <w:jc w:val="center"/>
              <w:rPr>
                <w:color w:val="auto"/>
                <w:szCs w:val="21"/>
                <w:highlight w:val="none"/>
              </w:rPr>
            </w:pPr>
          </w:p>
        </w:tc>
        <w:tc>
          <w:tcPr>
            <w:tcW w:w="936" w:type="dxa"/>
            <w:noWrap w:val="0"/>
            <w:vAlign w:val="top"/>
          </w:tcPr>
          <w:p w14:paraId="1C35268B">
            <w:pPr>
              <w:spacing w:line="440" w:lineRule="exact"/>
              <w:jc w:val="center"/>
              <w:rPr>
                <w:color w:val="auto"/>
                <w:szCs w:val="21"/>
                <w:highlight w:val="none"/>
              </w:rPr>
            </w:pPr>
          </w:p>
        </w:tc>
        <w:tc>
          <w:tcPr>
            <w:tcW w:w="747" w:type="dxa"/>
            <w:noWrap w:val="0"/>
            <w:vAlign w:val="top"/>
          </w:tcPr>
          <w:p w14:paraId="09166CCE">
            <w:pPr>
              <w:spacing w:line="440" w:lineRule="exact"/>
              <w:jc w:val="center"/>
              <w:rPr>
                <w:color w:val="auto"/>
                <w:szCs w:val="21"/>
                <w:highlight w:val="none"/>
              </w:rPr>
            </w:pPr>
          </w:p>
        </w:tc>
        <w:tc>
          <w:tcPr>
            <w:tcW w:w="850" w:type="dxa"/>
            <w:noWrap w:val="0"/>
            <w:vAlign w:val="top"/>
          </w:tcPr>
          <w:p w14:paraId="5E95DE47">
            <w:pPr>
              <w:spacing w:line="440" w:lineRule="exact"/>
              <w:jc w:val="center"/>
              <w:rPr>
                <w:color w:val="auto"/>
                <w:szCs w:val="21"/>
                <w:highlight w:val="none"/>
              </w:rPr>
            </w:pPr>
          </w:p>
        </w:tc>
        <w:tc>
          <w:tcPr>
            <w:tcW w:w="992" w:type="dxa"/>
            <w:noWrap w:val="0"/>
            <w:vAlign w:val="top"/>
          </w:tcPr>
          <w:p w14:paraId="39DBE54A">
            <w:pPr>
              <w:spacing w:line="440" w:lineRule="exact"/>
              <w:jc w:val="center"/>
              <w:rPr>
                <w:color w:val="auto"/>
                <w:szCs w:val="21"/>
                <w:highlight w:val="none"/>
              </w:rPr>
            </w:pPr>
          </w:p>
        </w:tc>
        <w:tc>
          <w:tcPr>
            <w:tcW w:w="1419" w:type="dxa"/>
            <w:noWrap w:val="0"/>
            <w:vAlign w:val="top"/>
          </w:tcPr>
          <w:p w14:paraId="109B1512">
            <w:pPr>
              <w:spacing w:line="440" w:lineRule="exact"/>
              <w:jc w:val="center"/>
              <w:rPr>
                <w:color w:val="auto"/>
                <w:szCs w:val="21"/>
                <w:highlight w:val="none"/>
              </w:rPr>
            </w:pPr>
          </w:p>
        </w:tc>
        <w:tc>
          <w:tcPr>
            <w:tcW w:w="1162" w:type="dxa"/>
            <w:noWrap w:val="0"/>
            <w:vAlign w:val="top"/>
          </w:tcPr>
          <w:p w14:paraId="497738C2">
            <w:pPr>
              <w:spacing w:line="440" w:lineRule="exact"/>
              <w:jc w:val="center"/>
              <w:rPr>
                <w:color w:val="auto"/>
                <w:szCs w:val="21"/>
                <w:highlight w:val="none"/>
              </w:rPr>
            </w:pPr>
          </w:p>
        </w:tc>
      </w:tr>
      <w:tr w14:paraId="17B4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21654DC9">
            <w:pPr>
              <w:spacing w:line="440" w:lineRule="exact"/>
              <w:jc w:val="center"/>
              <w:rPr>
                <w:color w:val="auto"/>
                <w:szCs w:val="21"/>
                <w:highlight w:val="none"/>
              </w:rPr>
            </w:pPr>
          </w:p>
        </w:tc>
        <w:tc>
          <w:tcPr>
            <w:tcW w:w="1275" w:type="dxa"/>
            <w:noWrap w:val="0"/>
            <w:vAlign w:val="top"/>
          </w:tcPr>
          <w:p w14:paraId="20C61244">
            <w:pPr>
              <w:spacing w:line="440" w:lineRule="exact"/>
              <w:jc w:val="center"/>
              <w:rPr>
                <w:color w:val="auto"/>
                <w:szCs w:val="21"/>
                <w:highlight w:val="none"/>
              </w:rPr>
            </w:pPr>
          </w:p>
        </w:tc>
        <w:tc>
          <w:tcPr>
            <w:tcW w:w="936" w:type="dxa"/>
            <w:noWrap w:val="0"/>
            <w:vAlign w:val="top"/>
          </w:tcPr>
          <w:p w14:paraId="6B9D5719">
            <w:pPr>
              <w:spacing w:line="440" w:lineRule="exact"/>
              <w:jc w:val="center"/>
              <w:rPr>
                <w:color w:val="auto"/>
                <w:szCs w:val="21"/>
                <w:highlight w:val="none"/>
              </w:rPr>
            </w:pPr>
          </w:p>
        </w:tc>
        <w:tc>
          <w:tcPr>
            <w:tcW w:w="747" w:type="dxa"/>
            <w:noWrap w:val="0"/>
            <w:vAlign w:val="top"/>
          </w:tcPr>
          <w:p w14:paraId="2A609A43">
            <w:pPr>
              <w:spacing w:line="440" w:lineRule="exact"/>
              <w:jc w:val="center"/>
              <w:rPr>
                <w:color w:val="auto"/>
                <w:szCs w:val="21"/>
                <w:highlight w:val="none"/>
              </w:rPr>
            </w:pPr>
          </w:p>
        </w:tc>
        <w:tc>
          <w:tcPr>
            <w:tcW w:w="850" w:type="dxa"/>
            <w:noWrap w:val="0"/>
            <w:vAlign w:val="top"/>
          </w:tcPr>
          <w:p w14:paraId="7820789D">
            <w:pPr>
              <w:spacing w:line="440" w:lineRule="exact"/>
              <w:jc w:val="center"/>
              <w:rPr>
                <w:color w:val="auto"/>
                <w:szCs w:val="21"/>
                <w:highlight w:val="none"/>
              </w:rPr>
            </w:pPr>
          </w:p>
        </w:tc>
        <w:tc>
          <w:tcPr>
            <w:tcW w:w="992" w:type="dxa"/>
            <w:noWrap w:val="0"/>
            <w:vAlign w:val="top"/>
          </w:tcPr>
          <w:p w14:paraId="4D8EF3E0">
            <w:pPr>
              <w:spacing w:line="440" w:lineRule="exact"/>
              <w:jc w:val="center"/>
              <w:rPr>
                <w:color w:val="auto"/>
                <w:szCs w:val="21"/>
                <w:highlight w:val="none"/>
              </w:rPr>
            </w:pPr>
          </w:p>
        </w:tc>
        <w:tc>
          <w:tcPr>
            <w:tcW w:w="1419" w:type="dxa"/>
            <w:noWrap w:val="0"/>
            <w:vAlign w:val="top"/>
          </w:tcPr>
          <w:p w14:paraId="54545058">
            <w:pPr>
              <w:spacing w:line="440" w:lineRule="exact"/>
              <w:jc w:val="center"/>
              <w:rPr>
                <w:color w:val="auto"/>
                <w:szCs w:val="21"/>
                <w:highlight w:val="none"/>
              </w:rPr>
            </w:pPr>
          </w:p>
        </w:tc>
        <w:tc>
          <w:tcPr>
            <w:tcW w:w="1162" w:type="dxa"/>
            <w:noWrap w:val="0"/>
            <w:vAlign w:val="top"/>
          </w:tcPr>
          <w:p w14:paraId="34FDC487">
            <w:pPr>
              <w:spacing w:line="440" w:lineRule="exact"/>
              <w:jc w:val="center"/>
              <w:rPr>
                <w:color w:val="auto"/>
                <w:szCs w:val="21"/>
                <w:highlight w:val="none"/>
              </w:rPr>
            </w:pPr>
          </w:p>
        </w:tc>
      </w:tr>
      <w:tr w14:paraId="0E4B6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5E2E46F2">
            <w:pPr>
              <w:spacing w:line="440" w:lineRule="exact"/>
              <w:jc w:val="center"/>
              <w:rPr>
                <w:color w:val="auto"/>
                <w:szCs w:val="21"/>
                <w:highlight w:val="none"/>
              </w:rPr>
            </w:pPr>
          </w:p>
        </w:tc>
        <w:tc>
          <w:tcPr>
            <w:tcW w:w="1275" w:type="dxa"/>
            <w:noWrap w:val="0"/>
            <w:vAlign w:val="top"/>
          </w:tcPr>
          <w:p w14:paraId="2866A386">
            <w:pPr>
              <w:spacing w:line="440" w:lineRule="exact"/>
              <w:jc w:val="center"/>
              <w:rPr>
                <w:color w:val="auto"/>
                <w:szCs w:val="21"/>
                <w:highlight w:val="none"/>
              </w:rPr>
            </w:pPr>
          </w:p>
        </w:tc>
        <w:tc>
          <w:tcPr>
            <w:tcW w:w="936" w:type="dxa"/>
            <w:noWrap w:val="0"/>
            <w:vAlign w:val="top"/>
          </w:tcPr>
          <w:p w14:paraId="39FC051C">
            <w:pPr>
              <w:spacing w:line="440" w:lineRule="exact"/>
              <w:jc w:val="center"/>
              <w:rPr>
                <w:color w:val="auto"/>
                <w:szCs w:val="21"/>
                <w:highlight w:val="none"/>
              </w:rPr>
            </w:pPr>
          </w:p>
        </w:tc>
        <w:tc>
          <w:tcPr>
            <w:tcW w:w="747" w:type="dxa"/>
            <w:noWrap w:val="0"/>
            <w:vAlign w:val="top"/>
          </w:tcPr>
          <w:p w14:paraId="0FC0C02A">
            <w:pPr>
              <w:spacing w:line="440" w:lineRule="exact"/>
              <w:jc w:val="center"/>
              <w:rPr>
                <w:color w:val="auto"/>
                <w:szCs w:val="21"/>
                <w:highlight w:val="none"/>
              </w:rPr>
            </w:pPr>
          </w:p>
        </w:tc>
        <w:tc>
          <w:tcPr>
            <w:tcW w:w="850" w:type="dxa"/>
            <w:noWrap w:val="0"/>
            <w:vAlign w:val="top"/>
          </w:tcPr>
          <w:p w14:paraId="1E952753">
            <w:pPr>
              <w:spacing w:line="440" w:lineRule="exact"/>
              <w:jc w:val="center"/>
              <w:rPr>
                <w:color w:val="auto"/>
                <w:szCs w:val="21"/>
                <w:highlight w:val="none"/>
              </w:rPr>
            </w:pPr>
          </w:p>
        </w:tc>
        <w:tc>
          <w:tcPr>
            <w:tcW w:w="992" w:type="dxa"/>
            <w:noWrap w:val="0"/>
            <w:vAlign w:val="top"/>
          </w:tcPr>
          <w:p w14:paraId="69C9B4D2">
            <w:pPr>
              <w:spacing w:line="440" w:lineRule="exact"/>
              <w:jc w:val="center"/>
              <w:rPr>
                <w:color w:val="auto"/>
                <w:szCs w:val="21"/>
                <w:highlight w:val="none"/>
              </w:rPr>
            </w:pPr>
          </w:p>
        </w:tc>
        <w:tc>
          <w:tcPr>
            <w:tcW w:w="1419" w:type="dxa"/>
            <w:noWrap w:val="0"/>
            <w:vAlign w:val="top"/>
          </w:tcPr>
          <w:p w14:paraId="0DC9886A">
            <w:pPr>
              <w:spacing w:line="440" w:lineRule="exact"/>
              <w:jc w:val="center"/>
              <w:rPr>
                <w:color w:val="auto"/>
                <w:szCs w:val="21"/>
                <w:highlight w:val="none"/>
              </w:rPr>
            </w:pPr>
          </w:p>
        </w:tc>
        <w:tc>
          <w:tcPr>
            <w:tcW w:w="1162" w:type="dxa"/>
            <w:noWrap w:val="0"/>
            <w:vAlign w:val="top"/>
          </w:tcPr>
          <w:p w14:paraId="5A6914A9">
            <w:pPr>
              <w:spacing w:line="440" w:lineRule="exact"/>
              <w:jc w:val="center"/>
              <w:rPr>
                <w:color w:val="auto"/>
                <w:szCs w:val="21"/>
                <w:highlight w:val="none"/>
              </w:rPr>
            </w:pPr>
          </w:p>
        </w:tc>
      </w:tr>
      <w:tr w14:paraId="3756B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2E1B6729">
            <w:pPr>
              <w:spacing w:line="440" w:lineRule="exact"/>
              <w:jc w:val="center"/>
              <w:rPr>
                <w:color w:val="auto"/>
                <w:szCs w:val="21"/>
                <w:highlight w:val="none"/>
              </w:rPr>
            </w:pPr>
          </w:p>
        </w:tc>
        <w:tc>
          <w:tcPr>
            <w:tcW w:w="1275" w:type="dxa"/>
            <w:noWrap w:val="0"/>
            <w:vAlign w:val="top"/>
          </w:tcPr>
          <w:p w14:paraId="2E11EC35">
            <w:pPr>
              <w:spacing w:line="440" w:lineRule="exact"/>
              <w:jc w:val="center"/>
              <w:rPr>
                <w:color w:val="auto"/>
                <w:szCs w:val="21"/>
                <w:highlight w:val="none"/>
              </w:rPr>
            </w:pPr>
          </w:p>
        </w:tc>
        <w:tc>
          <w:tcPr>
            <w:tcW w:w="936" w:type="dxa"/>
            <w:noWrap w:val="0"/>
            <w:vAlign w:val="top"/>
          </w:tcPr>
          <w:p w14:paraId="7A29F406">
            <w:pPr>
              <w:spacing w:line="440" w:lineRule="exact"/>
              <w:jc w:val="center"/>
              <w:rPr>
                <w:color w:val="auto"/>
                <w:szCs w:val="21"/>
                <w:highlight w:val="none"/>
              </w:rPr>
            </w:pPr>
          </w:p>
        </w:tc>
        <w:tc>
          <w:tcPr>
            <w:tcW w:w="747" w:type="dxa"/>
            <w:noWrap w:val="0"/>
            <w:vAlign w:val="top"/>
          </w:tcPr>
          <w:p w14:paraId="1C1B6893">
            <w:pPr>
              <w:spacing w:line="440" w:lineRule="exact"/>
              <w:jc w:val="center"/>
              <w:rPr>
                <w:color w:val="auto"/>
                <w:szCs w:val="21"/>
                <w:highlight w:val="none"/>
              </w:rPr>
            </w:pPr>
          </w:p>
        </w:tc>
        <w:tc>
          <w:tcPr>
            <w:tcW w:w="850" w:type="dxa"/>
            <w:noWrap w:val="0"/>
            <w:vAlign w:val="top"/>
          </w:tcPr>
          <w:p w14:paraId="495B9797">
            <w:pPr>
              <w:spacing w:line="440" w:lineRule="exact"/>
              <w:jc w:val="center"/>
              <w:rPr>
                <w:color w:val="auto"/>
                <w:szCs w:val="21"/>
                <w:highlight w:val="none"/>
              </w:rPr>
            </w:pPr>
          </w:p>
        </w:tc>
        <w:tc>
          <w:tcPr>
            <w:tcW w:w="992" w:type="dxa"/>
            <w:noWrap w:val="0"/>
            <w:vAlign w:val="top"/>
          </w:tcPr>
          <w:p w14:paraId="5786E0F9">
            <w:pPr>
              <w:spacing w:line="440" w:lineRule="exact"/>
              <w:jc w:val="center"/>
              <w:rPr>
                <w:color w:val="auto"/>
                <w:szCs w:val="21"/>
                <w:highlight w:val="none"/>
              </w:rPr>
            </w:pPr>
          </w:p>
        </w:tc>
        <w:tc>
          <w:tcPr>
            <w:tcW w:w="1419" w:type="dxa"/>
            <w:noWrap w:val="0"/>
            <w:vAlign w:val="top"/>
          </w:tcPr>
          <w:p w14:paraId="5693CE93">
            <w:pPr>
              <w:spacing w:line="440" w:lineRule="exact"/>
              <w:jc w:val="center"/>
              <w:rPr>
                <w:color w:val="auto"/>
                <w:szCs w:val="21"/>
                <w:highlight w:val="none"/>
              </w:rPr>
            </w:pPr>
          </w:p>
        </w:tc>
        <w:tc>
          <w:tcPr>
            <w:tcW w:w="1162" w:type="dxa"/>
            <w:noWrap w:val="0"/>
            <w:vAlign w:val="top"/>
          </w:tcPr>
          <w:p w14:paraId="1BFF6FE2">
            <w:pPr>
              <w:spacing w:line="440" w:lineRule="exact"/>
              <w:jc w:val="center"/>
              <w:rPr>
                <w:color w:val="auto"/>
                <w:szCs w:val="21"/>
                <w:highlight w:val="none"/>
              </w:rPr>
            </w:pPr>
          </w:p>
        </w:tc>
      </w:tr>
      <w:tr w14:paraId="0DA8A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779878CA">
            <w:pPr>
              <w:spacing w:line="440" w:lineRule="exact"/>
              <w:jc w:val="center"/>
              <w:rPr>
                <w:color w:val="auto"/>
                <w:szCs w:val="21"/>
                <w:highlight w:val="none"/>
              </w:rPr>
            </w:pPr>
          </w:p>
        </w:tc>
        <w:tc>
          <w:tcPr>
            <w:tcW w:w="1275" w:type="dxa"/>
            <w:noWrap w:val="0"/>
            <w:vAlign w:val="top"/>
          </w:tcPr>
          <w:p w14:paraId="0082A25B">
            <w:pPr>
              <w:spacing w:line="440" w:lineRule="exact"/>
              <w:jc w:val="center"/>
              <w:rPr>
                <w:color w:val="auto"/>
                <w:szCs w:val="21"/>
                <w:highlight w:val="none"/>
              </w:rPr>
            </w:pPr>
          </w:p>
        </w:tc>
        <w:tc>
          <w:tcPr>
            <w:tcW w:w="936" w:type="dxa"/>
            <w:noWrap w:val="0"/>
            <w:vAlign w:val="top"/>
          </w:tcPr>
          <w:p w14:paraId="15BCC2CC">
            <w:pPr>
              <w:spacing w:line="440" w:lineRule="exact"/>
              <w:jc w:val="center"/>
              <w:rPr>
                <w:color w:val="auto"/>
                <w:szCs w:val="21"/>
                <w:highlight w:val="none"/>
              </w:rPr>
            </w:pPr>
          </w:p>
        </w:tc>
        <w:tc>
          <w:tcPr>
            <w:tcW w:w="747" w:type="dxa"/>
            <w:noWrap w:val="0"/>
            <w:vAlign w:val="top"/>
          </w:tcPr>
          <w:p w14:paraId="5348EEDA">
            <w:pPr>
              <w:spacing w:line="440" w:lineRule="exact"/>
              <w:jc w:val="center"/>
              <w:rPr>
                <w:color w:val="auto"/>
                <w:szCs w:val="21"/>
                <w:highlight w:val="none"/>
              </w:rPr>
            </w:pPr>
          </w:p>
        </w:tc>
        <w:tc>
          <w:tcPr>
            <w:tcW w:w="850" w:type="dxa"/>
            <w:noWrap w:val="0"/>
            <w:vAlign w:val="top"/>
          </w:tcPr>
          <w:p w14:paraId="0CE5A35A">
            <w:pPr>
              <w:spacing w:line="440" w:lineRule="exact"/>
              <w:jc w:val="center"/>
              <w:rPr>
                <w:color w:val="auto"/>
                <w:szCs w:val="21"/>
                <w:highlight w:val="none"/>
              </w:rPr>
            </w:pPr>
          </w:p>
        </w:tc>
        <w:tc>
          <w:tcPr>
            <w:tcW w:w="992" w:type="dxa"/>
            <w:noWrap w:val="0"/>
            <w:vAlign w:val="top"/>
          </w:tcPr>
          <w:p w14:paraId="1E405702">
            <w:pPr>
              <w:spacing w:line="440" w:lineRule="exact"/>
              <w:jc w:val="center"/>
              <w:rPr>
                <w:color w:val="auto"/>
                <w:szCs w:val="21"/>
                <w:highlight w:val="none"/>
              </w:rPr>
            </w:pPr>
          </w:p>
        </w:tc>
        <w:tc>
          <w:tcPr>
            <w:tcW w:w="1419" w:type="dxa"/>
            <w:noWrap w:val="0"/>
            <w:vAlign w:val="top"/>
          </w:tcPr>
          <w:p w14:paraId="2EDC6FA1">
            <w:pPr>
              <w:spacing w:line="440" w:lineRule="exact"/>
              <w:jc w:val="center"/>
              <w:rPr>
                <w:color w:val="auto"/>
                <w:szCs w:val="21"/>
                <w:highlight w:val="none"/>
              </w:rPr>
            </w:pPr>
          </w:p>
        </w:tc>
        <w:tc>
          <w:tcPr>
            <w:tcW w:w="1162" w:type="dxa"/>
            <w:noWrap w:val="0"/>
            <w:vAlign w:val="top"/>
          </w:tcPr>
          <w:p w14:paraId="11241A68">
            <w:pPr>
              <w:spacing w:line="440" w:lineRule="exact"/>
              <w:jc w:val="center"/>
              <w:rPr>
                <w:color w:val="auto"/>
                <w:szCs w:val="21"/>
                <w:highlight w:val="none"/>
              </w:rPr>
            </w:pPr>
          </w:p>
        </w:tc>
      </w:tr>
    </w:tbl>
    <w:p w14:paraId="22360518">
      <w:pPr>
        <w:rPr>
          <w:color w:val="auto"/>
          <w:highlight w:val="none"/>
        </w:rPr>
      </w:pPr>
    </w:p>
    <w:p w14:paraId="5C0AD498">
      <w:pPr>
        <w:rPr>
          <w:color w:val="auto"/>
          <w:szCs w:val="21"/>
          <w:highlight w:val="none"/>
        </w:rPr>
      </w:pPr>
    </w:p>
    <w:p w14:paraId="086E4EA2">
      <w:pPr>
        <w:rPr>
          <w:color w:val="auto"/>
          <w:szCs w:val="21"/>
          <w:highlight w:val="none"/>
        </w:rPr>
      </w:pPr>
    </w:p>
    <w:p w14:paraId="453222DE">
      <w:pPr>
        <w:rPr>
          <w:color w:val="auto"/>
          <w:szCs w:val="21"/>
          <w:highlight w:val="none"/>
        </w:rPr>
      </w:pPr>
    </w:p>
    <w:p w14:paraId="002DA6F5">
      <w:pPr>
        <w:rPr>
          <w:color w:val="auto"/>
          <w:szCs w:val="21"/>
          <w:highlight w:val="none"/>
        </w:rPr>
      </w:pPr>
    </w:p>
    <w:p w14:paraId="5ED07042">
      <w:pPr>
        <w:rPr>
          <w:color w:val="auto"/>
          <w:szCs w:val="21"/>
          <w:highlight w:val="none"/>
        </w:rPr>
      </w:pPr>
    </w:p>
    <w:p w14:paraId="31F14DE6">
      <w:pPr>
        <w:rPr>
          <w:color w:val="auto"/>
          <w:highlight w:val="none"/>
        </w:rPr>
      </w:pPr>
    </w:p>
    <w:p w14:paraId="68B6C138">
      <w:pPr>
        <w:rPr>
          <w:color w:val="auto"/>
          <w:highlight w:val="none"/>
        </w:rPr>
      </w:pPr>
    </w:p>
    <w:p w14:paraId="79587D75">
      <w:pPr>
        <w:rPr>
          <w:color w:val="auto"/>
          <w:highlight w:val="none"/>
        </w:rPr>
      </w:pPr>
    </w:p>
    <w:p w14:paraId="2DB612A7">
      <w:pPr>
        <w:keepNext w:val="0"/>
        <w:keepLines w:val="0"/>
        <w:spacing w:after="0"/>
        <w:outlineLvl w:val="9"/>
        <w:rPr>
          <w:rFonts w:hint="eastAsia" w:ascii="Times New Roman" w:hAnsi="Times New Roman"/>
          <w:color w:val="auto"/>
          <w:highlight w:val="none"/>
        </w:rPr>
      </w:pPr>
    </w:p>
    <w:p w14:paraId="4BDAACB3">
      <w:pPr>
        <w:keepNext w:val="0"/>
        <w:keepLines w:val="0"/>
        <w:spacing w:after="0"/>
        <w:jc w:val="center"/>
        <w:outlineLvl w:val="9"/>
        <w:rPr>
          <w:rFonts w:hint="eastAsia" w:ascii="Times New Roman" w:hAnsi="Times New Roman"/>
          <w:color w:val="auto"/>
          <w:highlight w:val="none"/>
        </w:rPr>
      </w:pPr>
    </w:p>
    <w:p w14:paraId="0CDC71CD">
      <w:pPr>
        <w:pStyle w:val="5"/>
        <w:bidi w:val="0"/>
        <w:jc w:val="both"/>
        <w:rPr>
          <w:rFonts w:hint="eastAsia" w:eastAsia="宋体"/>
          <w:b w:val="0"/>
          <w:bCs w:val="0"/>
          <w:color w:val="auto"/>
          <w:sz w:val="28"/>
          <w:szCs w:val="28"/>
          <w:highlight w:val="none"/>
          <w:lang w:eastAsia="zh-CN"/>
        </w:rPr>
      </w:pPr>
      <w:bookmarkStart w:id="475" w:name="_Toc23585"/>
      <w:bookmarkStart w:id="476" w:name="_Toc8482"/>
      <w:bookmarkStart w:id="477" w:name="_Toc20681"/>
      <w:bookmarkStart w:id="478" w:name="_Toc836"/>
      <w:bookmarkStart w:id="479" w:name="_Toc24642"/>
      <w:bookmarkStart w:id="480" w:name="_Toc8266"/>
      <w:bookmarkStart w:id="481" w:name="_Toc24693"/>
      <w:bookmarkStart w:id="482" w:name="_Toc26479"/>
      <w:bookmarkStart w:id="483" w:name="_Toc27432"/>
      <w:bookmarkStart w:id="484" w:name="_Toc7992"/>
      <w:r>
        <w:rPr>
          <w:rFonts w:hint="eastAsia"/>
          <w:b w:val="0"/>
          <w:bCs w:val="0"/>
          <w:color w:val="auto"/>
          <w:sz w:val="28"/>
          <w:szCs w:val="28"/>
          <w:highlight w:val="none"/>
        </w:rPr>
        <w:t>（</w:t>
      </w:r>
      <w:r>
        <w:rPr>
          <w:rFonts w:hint="eastAsia"/>
          <w:b w:val="0"/>
          <w:bCs w:val="0"/>
          <w:color w:val="auto"/>
          <w:sz w:val="28"/>
          <w:szCs w:val="28"/>
          <w:highlight w:val="none"/>
          <w:lang w:eastAsia="zh-CN"/>
        </w:rPr>
        <w:t>七</w:t>
      </w:r>
      <w:r>
        <w:rPr>
          <w:rFonts w:hint="eastAsia"/>
          <w:b w:val="0"/>
          <w:bCs w:val="0"/>
          <w:color w:val="auto"/>
          <w:sz w:val="28"/>
          <w:szCs w:val="28"/>
          <w:highlight w:val="none"/>
        </w:rPr>
        <w:t>）</w:t>
      </w:r>
      <w:r>
        <w:rPr>
          <w:rFonts w:hint="eastAsia"/>
          <w:b w:val="0"/>
          <w:bCs w:val="0"/>
          <w:color w:val="auto"/>
          <w:sz w:val="28"/>
          <w:szCs w:val="28"/>
          <w:highlight w:val="none"/>
          <w:lang w:eastAsia="zh-CN"/>
        </w:rPr>
        <w:t>投标人廉洁承诺书</w:t>
      </w:r>
      <w:bookmarkEnd w:id="475"/>
    </w:p>
    <w:p w14:paraId="45B3B1CD">
      <w:pPr>
        <w:pStyle w:val="24"/>
        <w:spacing w:before="157" w:beforeLines="50" w:beforeAutospacing="0" w:after="157" w:afterLines="50" w:afterAutospacing="0" w:line="360" w:lineRule="auto"/>
        <w:ind w:firstLine="482"/>
        <w:jc w:val="center"/>
        <w:rPr>
          <w:rFonts w:hint="eastAsia" w:ascii="宋体" w:hAnsi="宋体" w:cs="宋体"/>
          <w:b/>
          <w:bCs/>
          <w:color w:val="auto"/>
          <w:sz w:val="32"/>
          <w:szCs w:val="32"/>
          <w:highlight w:val="none"/>
        </w:rPr>
      </w:pPr>
      <w:r>
        <w:rPr>
          <w:rFonts w:hint="eastAsia" w:ascii="宋体" w:hAnsi="宋体" w:eastAsia="宋体" w:cs="宋体"/>
          <w:b/>
          <w:bCs/>
          <w:color w:val="auto"/>
          <w:sz w:val="32"/>
          <w:szCs w:val="32"/>
          <w:highlight w:val="none"/>
        </w:rPr>
        <w:t>投标人廉洁承诺书</w:t>
      </w:r>
    </w:p>
    <w:p w14:paraId="6CB52902">
      <w:pPr>
        <w:pStyle w:val="18"/>
        <w:spacing w:line="360" w:lineRule="auto"/>
        <w:ind w:right="42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本招标项目招标人及招标监管机构：</w:t>
      </w:r>
    </w:p>
    <w:p w14:paraId="7F287667">
      <w:pPr>
        <w:pStyle w:val="18"/>
        <w:spacing w:line="360" w:lineRule="auto"/>
        <w:ind w:right="420" w:firstLine="420" w:firstLineChars="200"/>
        <w:jc w:val="both"/>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本公司参加了</w:t>
      </w:r>
      <w:r>
        <w:rPr>
          <w:rFonts w:hint="eastAsia" w:ascii="宋体" w:hAnsi="宋体" w:eastAsia="宋体" w:cs="宋体"/>
          <w:color w:val="auto"/>
          <w:sz w:val="21"/>
          <w:szCs w:val="21"/>
          <w:highlight w:val="none"/>
          <w:u w:val="single"/>
        </w:rPr>
        <w:t xml:space="preserve">   （项目名称/标段名称）    </w:t>
      </w:r>
      <w:r>
        <w:rPr>
          <w:rFonts w:hint="eastAsia" w:ascii="宋体" w:hAnsi="宋体" w:eastAsia="宋体" w:cs="宋体"/>
          <w:color w:val="auto"/>
          <w:sz w:val="21"/>
          <w:szCs w:val="21"/>
          <w:highlight w:val="none"/>
        </w:rPr>
        <w:t>投标， 为确保招标工作的公平、公正、公开、有序进行，我们保证遵守《中华人民共和国招标投标法》、《中华人民共和国招标投标法实施条例》、《广东省实施&lt;中华人民共和国招标投标法&gt;办法》等法律法规，特承诺如下事项：</w:t>
      </w:r>
    </w:p>
    <w:p w14:paraId="6E57D506">
      <w:pPr>
        <w:pStyle w:val="18"/>
        <w:spacing w:line="360" w:lineRule="auto"/>
        <w:ind w:right="420" w:firstLine="420" w:firstLineChars="200"/>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一、自觉遵守国家有关法律法规及廉洁规定。</w:t>
      </w:r>
    </w:p>
    <w:p w14:paraId="403E1226">
      <w:pPr>
        <w:pStyle w:val="18"/>
        <w:spacing w:line="360" w:lineRule="auto"/>
        <w:ind w:right="420" w:firstLine="420" w:firstLineChars="200"/>
        <w:jc w:val="both"/>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二、不与招标单位工作人员串通投标，损害国家利益、企业利益以及他人的合法利益；</w:t>
      </w:r>
    </w:p>
    <w:p w14:paraId="67C496BF">
      <w:pPr>
        <w:pStyle w:val="18"/>
        <w:spacing w:line="360" w:lineRule="auto"/>
        <w:ind w:right="420" w:firstLine="420" w:firstLineChars="200"/>
        <w:jc w:val="both"/>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三、不与其他单位围标、串标，不出让投标资格，不向招标人或评标委员会成员行贿。</w:t>
      </w:r>
    </w:p>
    <w:p w14:paraId="66744DB9">
      <w:pPr>
        <w:pStyle w:val="18"/>
        <w:spacing w:line="360" w:lineRule="auto"/>
        <w:ind w:right="420" w:firstLine="420" w:firstLineChars="200"/>
        <w:jc w:val="both"/>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 xml:space="preserve">四、不以任何名义向参与招标、评标工作的有关人员提供高消费宴请及娱乐活动和赠送回扣、红包、礼金、购物卡、有价证券、贵重物品和好处费、感谢费等； </w:t>
      </w:r>
    </w:p>
    <w:p w14:paraId="35B3B70B">
      <w:pPr>
        <w:pStyle w:val="18"/>
        <w:spacing w:line="360" w:lineRule="auto"/>
        <w:ind w:right="420" w:firstLine="420" w:firstLineChars="200"/>
        <w:jc w:val="both"/>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五、不以任何名义为参与招标、评标工作的有关人员装修住房、婚丧嫁</w:t>
      </w:r>
      <w:r>
        <w:rPr>
          <w:rFonts w:hint="eastAsia" w:hAnsi="宋体" w:cs="宋体"/>
          <w:color w:val="auto"/>
          <w:sz w:val="21"/>
          <w:szCs w:val="21"/>
          <w:highlight w:val="none"/>
          <w:lang w:eastAsia="zh-CN"/>
        </w:rPr>
        <w:t>娶</w:t>
      </w:r>
      <w:r>
        <w:rPr>
          <w:rFonts w:hint="eastAsia" w:ascii="宋体" w:hAnsi="宋体" w:eastAsia="宋体" w:cs="宋体"/>
          <w:color w:val="auto"/>
          <w:sz w:val="21"/>
          <w:szCs w:val="21"/>
          <w:highlight w:val="none"/>
        </w:rPr>
        <w:t>、配偶子女的工作安排以及境内外旅游等提供方便；</w:t>
      </w:r>
    </w:p>
    <w:p w14:paraId="05A5EBD4">
      <w:pPr>
        <w:pStyle w:val="18"/>
        <w:spacing w:line="360" w:lineRule="auto"/>
        <w:ind w:right="420" w:firstLine="420" w:firstLineChars="200"/>
        <w:rPr>
          <w:rFonts w:hint="eastAsia"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六、不以谋取非正当利益为目的，擅自与参与招标、评标工作的有关人员就业务问题进行私下商谈或者达成利益默契</w:t>
      </w:r>
      <w:r>
        <w:rPr>
          <w:rFonts w:hint="eastAsia" w:hAnsi="宋体" w:eastAsia="宋体" w:cs="宋体"/>
          <w:color w:val="auto"/>
          <w:sz w:val="21"/>
          <w:szCs w:val="21"/>
          <w:highlight w:val="none"/>
          <w:lang w:eastAsia="zh-CN"/>
        </w:rPr>
        <w:t>。</w:t>
      </w:r>
    </w:p>
    <w:p w14:paraId="4D10979F">
      <w:pPr>
        <w:pStyle w:val="18"/>
        <w:spacing w:line="360" w:lineRule="auto"/>
        <w:ind w:right="420" w:firstLine="420" w:firstLineChars="200"/>
        <w:rPr>
          <w:rFonts w:hint="eastAsia" w:hAnsi="宋体" w:eastAsia="宋体" w:cs="宋体"/>
          <w:color w:val="auto"/>
          <w:sz w:val="21"/>
          <w:szCs w:val="21"/>
          <w:highlight w:val="none"/>
          <w:lang w:eastAsia="zh-CN"/>
        </w:rPr>
      </w:pPr>
      <w:r>
        <w:rPr>
          <w:rFonts w:hint="eastAsia" w:hAnsi="宋体" w:eastAsia="宋体" w:cs="宋体"/>
          <w:color w:val="auto"/>
          <w:sz w:val="21"/>
          <w:szCs w:val="21"/>
          <w:highlight w:val="none"/>
          <w:lang w:eastAsia="zh-CN"/>
        </w:rPr>
        <w:t>本公司违反上述承诺，或本承诺陈述与事实不符，经查实，本公司愿意接受公开通报，被招标监管部门信用评价记录不良行为并扣分，并承担由此带来的法律后果。</w:t>
      </w:r>
    </w:p>
    <w:p w14:paraId="65BF098E">
      <w:pPr>
        <w:rPr>
          <w:rFonts w:hint="eastAsia" w:hAnsi="宋体" w:eastAsia="宋体" w:cs="宋体"/>
          <w:color w:val="auto"/>
          <w:sz w:val="21"/>
          <w:szCs w:val="21"/>
          <w:highlight w:val="none"/>
          <w:lang w:eastAsia="zh-CN"/>
        </w:rPr>
      </w:pPr>
    </w:p>
    <w:p w14:paraId="149595FE">
      <w:pPr>
        <w:pStyle w:val="12"/>
        <w:rPr>
          <w:rFonts w:hint="eastAsia" w:hAnsi="宋体" w:eastAsia="宋体" w:cs="宋体"/>
          <w:color w:val="auto"/>
          <w:sz w:val="21"/>
          <w:szCs w:val="21"/>
          <w:highlight w:val="none"/>
          <w:lang w:eastAsia="zh-CN"/>
        </w:rPr>
      </w:pPr>
    </w:p>
    <w:p w14:paraId="2255EFD0">
      <w:pPr>
        <w:jc w:val="right"/>
        <w:rPr>
          <w:rFonts w:hint="eastAsia" w:hAnsi="宋体" w:eastAsia="宋体" w:cs="宋体"/>
          <w:color w:val="auto"/>
          <w:sz w:val="21"/>
          <w:szCs w:val="21"/>
          <w:highlight w:val="none"/>
          <w:lang w:eastAsia="zh-CN"/>
        </w:rPr>
      </w:pPr>
      <w:r>
        <w:rPr>
          <w:rFonts w:hint="eastAsia" w:hAnsi="宋体" w:eastAsia="宋体" w:cs="宋体"/>
          <w:color w:val="auto"/>
          <w:sz w:val="21"/>
          <w:szCs w:val="21"/>
          <w:highlight w:val="none"/>
          <w:lang w:eastAsia="zh-CN"/>
        </w:rPr>
        <w:t>承诺企业：</w:t>
      </w:r>
      <w:r>
        <w:rPr>
          <w:rFonts w:hint="eastAsia" w:hAnsi="宋体" w:eastAsia="宋体" w:cs="宋体"/>
          <w:color w:val="auto"/>
          <w:sz w:val="21"/>
          <w:szCs w:val="21"/>
          <w:highlight w:val="none"/>
          <w:u w:val="single"/>
          <w:lang w:val="en-US" w:eastAsia="zh-CN"/>
        </w:rPr>
        <w:t xml:space="preserve">                           </w:t>
      </w:r>
      <w:r>
        <w:rPr>
          <w:rFonts w:hint="eastAsia" w:hAnsi="宋体" w:eastAsia="宋体" w:cs="宋体"/>
          <w:color w:val="auto"/>
          <w:sz w:val="21"/>
          <w:szCs w:val="21"/>
          <w:highlight w:val="none"/>
          <w:lang w:eastAsia="zh-CN"/>
        </w:rPr>
        <w:t>（盖单位章）</w:t>
      </w:r>
    </w:p>
    <w:p w14:paraId="6151E15B">
      <w:pPr>
        <w:pStyle w:val="12"/>
        <w:rPr>
          <w:rFonts w:hint="eastAsia"/>
          <w:color w:val="auto"/>
          <w:highlight w:val="none"/>
          <w:lang w:eastAsia="zh-CN"/>
        </w:rPr>
      </w:pPr>
    </w:p>
    <w:p w14:paraId="26FD8CA2">
      <w:pPr>
        <w:pStyle w:val="12"/>
        <w:wordWrap w:val="0"/>
        <w:jc w:val="right"/>
        <w:rPr>
          <w:rFonts w:hint="default"/>
          <w:color w:val="auto"/>
          <w:highlight w:val="none"/>
          <w:u w:val="single"/>
          <w:lang w:val="en-US" w:eastAsia="zh-CN"/>
        </w:rPr>
      </w:pPr>
      <w:r>
        <w:rPr>
          <w:rFonts w:hint="eastAsia" w:hAnsi="宋体" w:eastAsia="宋体" w:cs="宋体"/>
          <w:color w:val="auto"/>
          <w:sz w:val="21"/>
          <w:szCs w:val="21"/>
          <w:highlight w:val="none"/>
          <w:lang w:eastAsia="zh-CN"/>
        </w:rPr>
        <w:t>法定代表人：</w:t>
      </w:r>
      <w:r>
        <w:rPr>
          <w:rFonts w:hint="eastAsia" w:hAnsi="宋体" w:eastAsia="宋体" w:cs="宋体"/>
          <w:color w:val="auto"/>
          <w:sz w:val="21"/>
          <w:szCs w:val="21"/>
          <w:highlight w:val="none"/>
          <w:u w:val="single"/>
          <w:lang w:val="en-US" w:eastAsia="zh-CN"/>
        </w:rPr>
        <w:t xml:space="preserve">                                                  </w:t>
      </w:r>
      <w:r>
        <w:rPr>
          <w:rFonts w:hint="eastAsia" w:hAnsi="宋体" w:eastAsia="宋体" w:cs="宋体"/>
          <w:color w:val="auto"/>
          <w:sz w:val="21"/>
          <w:szCs w:val="21"/>
          <w:highlight w:val="none"/>
          <w:u w:val="none"/>
          <w:lang w:val="en-US" w:eastAsia="zh-CN"/>
        </w:rPr>
        <w:t>（签字或盖章）</w:t>
      </w:r>
    </w:p>
    <w:p w14:paraId="61B00E26">
      <w:pPr>
        <w:pStyle w:val="5"/>
        <w:bidi w:val="0"/>
        <w:jc w:val="center"/>
        <w:rPr>
          <w:rFonts w:hint="eastAsia"/>
          <w:color w:val="auto"/>
          <w:sz w:val="32"/>
          <w:szCs w:val="32"/>
          <w:highlight w:val="none"/>
          <w:lang w:eastAsia="zh-CN"/>
        </w:rPr>
      </w:pPr>
    </w:p>
    <w:p w14:paraId="39114418">
      <w:pPr>
        <w:rPr>
          <w:rFonts w:hint="eastAsia"/>
          <w:color w:val="auto"/>
          <w:highlight w:val="none"/>
          <w:lang w:eastAsia="zh-CN"/>
        </w:rPr>
      </w:pPr>
    </w:p>
    <w:p w14:paraId="1BED79E9">
      <w:pPr>
        <w:pStyle w:val="5"/>
        <w:bidi w:val="0"/>
        <w:jc w:val="center"/>
        <w:rPr>
          <w:rFonts w:hint="eastAsia"/>
          <w:color w:val="auto"/>
          <w:sz w:val="32"/>
          <w:szCs w:val="32"/>
          <w:highlight w:val="none"/>
          <w:lang w:eastAsia="zh-CN"/>
        </w:rPr>
      </w:pPr>
    </w:p>
    <w:p w14:paraId="72B1D4A2">
      <w:pPr>
        <w:pStyle w:val="5"/>
        <w:bidi w:val="0"/>
        <w:jc w:val="center"/>
        <w:rPr>
          <w:rFonts w:hint="eastAsia" w:ascii="宋体" w:hAnsi="宋体" w:eastAsia="宋体" w:cs="宋体"/>
          <w:b/>
          <w:bCs w:val="0"/>
          <w:color w:val="auto"/>
          <w:sz w:val="28"/>
          <w:szCs w:val="28"/>
          <w:highlight w:val="none"/>
        </w:rPr>
      </w:pPr>
      <w:bookmarkStart w:id="485" w:name="_Toc14053"/>
      <w:r>
        <w:rPr>
          <w:rFonts w:hint="eastAsia" w:ascii="宋体" w:hAnsi="宋体" w:eastAsia="宋体" w:cs="宋体"/>
          <w:b/>
          <w:bCs w:val="0"/>
          <w:color w:val="auto"/>
          <w:sz w:val="28"/>
          <w:szCs w:val="28"/>
          <w:highlight w:val="none"/>
          <w:lang w:eastAsia="zh-CN"/>
        </w:rPr>
        <w:t>八</w:t>
      </w:r>
      <w:r>
        <w:rPr>
          <w:rFonts w:hint="eastAsia" w:ascii="宋体" w:hAnsi="宋体" w:eastAsia="宋体" w:cs="宋体"/>
          <w:b/>
          <w:bCs w:val="0"/>
          <w:color w:val="auto"/>
          <w:sz w:val="28"/>
          <w:szCs w:val="28"/>
          <w:highlight w:val="none"/>
        </w:rPr>
        <w:t>、监理大纲</w:t>
      </w:r>
      <w:bookmarkEnd w:id="485"/>
    </w:p>
    <w:p w14:paraId="7BDA1564">
      <w:pPr>
        <w:spacing w:line="360" w:lineRule="auto"/>
        <w:ind w:firstLine="542" w:firstLineChars="226"/>
        <w:rPr>
          <w:color w:val="auto"/>
          <w:sz w:val="24"/>
          <w:szCs w:val="24"/>
          <w:highlight w:val="none"/>
        </w:rPr>
      </w:pPr>
      <w:r>
        <w:rPr>
          <w:rFonts w:hint="eastAsia"/>
          <w:color w:val="auto"/>
          <w:sz w:val="24"/>
          <w:szCs w:val="24"/>
          <w:highlight w:val="none"/>
        </w:rPr>
        <w:t>监理大纲应包括（但不限于）下列内容（投标单位可根据评分表自行增加或调整内容）：</w:t>
      </w:r>
    </w:p>
    <w:p w14:paraId="45D5811F">
      <w:pPr>
        <w:spacing w:line="360" w:lineRule="auto"/>
        <w:ind w:firstLine="542" w:firstLineChars="226"/>
        <w:rPr>
          <w:color w:val="auto"/>
          <w:sz w:val="24"/>
          <w:szCs w:val="24"/>
          <w:highlight w:val="none"/>
        </w:rPr>
      </w:pPr>
      <w:r>
        <w:rPr>
          <w:rFonts w:hint="eastAsia"/>
          <w:color w:val="auto"/>
          <w:sz w:val="24"/>
          <w:szCs w:val="24"/>
          <w:highlight w:val="none"/>
        </w:rPr>
        <w:t>一、监理工程概况；</w:t>
      </w:r>
    </w:p>
    <w:p w14:paraId="07A130A4">
      <w:pPr>
        <w:spacing w:line="360" w:lineRule="auto"/>
        <w:ind w:firstLine="542" w:firstLineChars="226"/>
        <w:rPr>
          <w:color w:val="auto"/>
          <w:sz w:val="24"/>
          <w:szCs w:val="24"/>
          <w:highlight w:val="none"/>
        </w:rPr>
      </w:pPr>
      <w:r>
        <w:rPr>
          <w:rFonts w:hint="eastAsia"/>
          <w:color w:val="auto"/>
          <w:sz w:val="24"/>
          <w:szCs w:val="24"/>
          <w:highlight w:val="none"/>
        </w:rPr>
        <w:t>二、监理范围、监理内容；</w:t>
      </w:r>
    </w:p>
    <w:p w14:paraId="1169EEB3">
      <w:pPr>
        <w:spacing w:line="360" w:lineRule="auto"/>
        <w:ind w:firstLine="542" w:firstLineChars="226"/>
        <w:rPr>
          <w:color w:val="auto"/>
          <w:sz w:val="24"/>
          <w:szCs w:val="24"/>
          <w:highlight w:val="none"/>
        </w:rPr>
      </w:pPr>
      <w:r>
        <w:rPr>
          <w:rFonts w:hint="eastAsia"/>
          <w:color w:val="auto"/>
          <w:sz w:val="24"/>
          <w:szCs w:val="24"/>
          <w:highlight w:val="none"/>
        </w:rPr>
        <w:t>三、监理依据、</w:t>
      </w:r>
      <w:r>
        <w:rPr>
          <w:rFonts w:hint="eastAsia"/>
          <w:color w:val="auto"/>
          <w:sz w:val="24"/>
          <w:szCs w:val="28"/>
          <w:highlight w:val="none"/>
        </w:rPr>
        <w:t>监理工作目标</w:t>
      </w:r>
      <w:r>
        <w:rPr>
          <w:rFonts w:hint="eastAsia"/>
          <w:color w:val="auto"/>
          <w:sz w:val="24"/>
          <w:szCs w:val="24"/>
          <w:highlight w:val="none"/>
        </w:rPr>
        <w:t>；</w:t>
      </w:r>
    </w:p>
    <w:p w14:paraId="5BF13347">
      <w:pPr>
        <w:spacing w:line="360" w:lineRule="auto"/>
        <w:ind w:firstLine="542" w:firstLineChars="226"/>
        <w:rPr>
          <w:color w:val="auto"/>
          <w:sz w:val="24"/>
          <w:szCs w:val="24"/>
          <w:highlight w:val="none"/>
        </w:rPr>
      </w:pPr>
      <w:r>
        <w:rPr>
          <w:rFonts w:hint="eastAsia"/>
          <w:color w:val="auto"/>
          <w:sz w:val="24"/>
          <w:szCs w:val="24"/>
          <w:highlight w:val="none"/>
        </w:rPr>
        <w:t>四、监理机构设置（框图）、岗位职责；</w:t>
      </w:r>
    </w:p>
    <w:p w14:paraId="23A90EF0">
      <w:pPr>
        <w:spacing w:line="360" w:lineRule="auto"/>
        <w:ind w:firstLine="542" w:firstLineChars="226"/>
        <w:rPr>
          <w:color w:val="auto"/>
          <w:sz w:val="24"/>
          <w:szCs w:val="24"/>
          <w:highlight w:val="none"/>
        </w:rPr>
      </w:pPr>
      <w:r>
        <w:rPr>
          <w:rFonts w:hint="eastAsia"/>
          <w:color w:val="auto"/>
          <w:sz w:val="24"/>
          <w:szCs w:val="24"/>
          <w:highlight w:val="none"/>
        </w:rPr>
        <w:t>五、监理工作程序、方法和制度；</w:t>
      </w:r>
    </w:p>
    <w:p w14:paraId="6EF6B231">
      <w:pPr>
        <w:spacing w:line="360" w:lineRule="auto"/>
        <w:ind w:firstLine="542" w:firstLineChars="226"/>
        <w:rPr>
          <w:color w:val="auto"/>
          <w:sz w:val="24"/>
          <w:szCs w:val="24"/>
          <w:highlight w:val="none"/>
        </w:rPr>
      </w:pPr>
      <w:r>
        <w:rPr>
          <w:rFonts w:hint="eastAsia"/>
          <w:color w:val="auto"/>
          <w:sz w:val="24"/>
          <w:szCs w:val="24"/>
          <w:highlight w:val="none"/>
        </w:rPr>
        <w:t>六、拟投入的监理人员、试验检测仪器设备；</w:t>
      </w:r>
    </w:p>
    <w:p w14:paraId="0EABEA72">
      <w:pPr>
        <w:spacing w:line="360" w:lineRule="auto"/>
        <w:ind w:firstLine="542" w:firstLineChars="226"/>
        <w:rPr>
          <w:color w:val="auto"/>
          <w:sz w:val="24"/>
          <w:szCs w:val="24"/>
          <w:highlight w:val="none"/>
        </w:rPr>
      </w:pPr>
      <w:r>
        <w:rPr>
          <w:rFonts w:hint="eastAsia"/>
          <w:color w:val="auto"/>
          <w:sz w:val="24"/>
          <w:szCs w:val="24"/>
          <w:highlight w:val="none"/>
        </w:rPr>
        <w:t>七、质量、进度、造价、安全、环保</w:t>
      </w:r>
      <w:r>
        <w:rPr>
          <w:rFonts w:hint="eastAsia"/>
          <w:color w:val="auto"/>
          <w:sz w:val="24"/>
          <w:szCs w:val="24"/>
          <w:highlight w:val="none"/>
          <w:lang w:eastAsia="zh-CN"/>
        </w:rPr>
        <w:t>、海绵元素、绿色节能、智能建造等各项</w:t>
      </w:r>
      <w:r>
        <w:rPr>
          <w:rFonts w:hint="eastAsia"/>
          <w:color w:val="auto"/>
          <w:sz w:val="24"/>
          <w:szCs w:val="24"/>
          <w:highlight w:val="none"/>
        </w:rPr>
        <w:t>监理措施；</w:t>
      </w:r>
      <w:r>
        <w:rPr>
          <w:color w:val="auto"/>
          <w:sz w:val="24"/>
          <w:szCs w:val="24"/>
          <w:highlight w:val="none"/>
        </w:rPr>
        <w:t xml:space="preserve"> </w:t>
      </w:r>
    </w:p>
    <w:p w14:paraId="51C65419">
      <w:pPr>
        <w:spacing w:line="360" w:lineRule="auto"/>
        <w:ind w:firstLine="542" w:firstLineChars="226"/>
        <w:rPr>
          <w:color w:val="auto"/>
          <w:sz w:val="24"/>
          <w:szCs w:val="24"/>
          <w:highlight w:val="none"/>
        </w:rPr>
      </w:pPr>
      <w:r>
        <w:rPr>
          <w:rFonts w:hint="eastAsia"/>
          <w:color w:val="auto"/>
          <w:sz w:val="24"/>
          <w:szCs w:val="24"/>
          <w:highlight w:val="none"/>
        </w:rPr>
        <w:t>八、合同、信息管理方案；</w:t>
      </w:r>
    </w:p>
    <w:p w14:paraId="2BBEE7BD">
      <w:pPr>
        <w:spacing w:line="360" w:lineRule="auto"/>
        <w:ind w:firstLine="542" w:firstLineChars="226"/>
        <w:rPr>
          <w:color w:val="auto"/>
          <w:sz w:val="24"/>
          <w:szCs w:val="24"/>
          <w:highlight w:val="none"/>
        </w:rPr>
      </w:pPr>
      <w:r>
        <w:rPr>
          <w:rFonts w:hint="eastAsia"/>
          <w:color w:val="auto"/>
          <w:sz w:val="24"/>
          <w:szCs w:val="24"/>
          <w:highlight w:val="none"/>
        </w:rPr>
        <w:t>九、组织协调内容及措施；</w:t>
      </w:r>
    </w:p>
    <w:p w14:paraId="017C0FD7">
      <w:pPr>
        <w:spacing w:line="360" w:lineRule="auto"/>
        <w:ind w:firstLine="542" w:firstLineChars="226"/>
        <w:rPr>
          <w:color w:val="auto"/>
          <w:sz w:val="24"/>
          <w:szCs w:val="24"/>
          <w:highlight w:val="none"/>
        </w:rPr>
      </w:pPr>
      <w:r>
        <w:rPr>
          <w:rFonts w:hint="eastAsia"/>
          <w:color w:val="auto"/>
          <w:sz w:val="24"/>
          <w:szCs w:val="24"/>
          <w:highlight w:val="none"/>
        </w:rPr>
        <w:t>十、监理工作重点、难点分析；</w:t>
      </w:r>
    </w:p>
    <w:p w14:paraId="2E0CF209">
      <w:pPr>
        <w:spacing w:line="360" w:lineRule="auto"/>
        <w:ind w:firstLine="542" w:firstLineChars="226"/>
        <w:rPr>
          <w:rFonts w:hint="eastAsia"/>
          <w:color w:val="auto"/>
          <w:sz w:val="24"/>
          <w:szCs w:val="24"/>
          <w:highlight w:val="none"/>
          <w:lang w:eastAsia="zh-CN"/>
        </w:rPr>
      </w:pPr>
      <w:r>
        <w:rPr>
          <w:rFonts w:hint="eastAsia"/>
          <w:color w:val="auto"/>
          <w:sz w:val="24"/>
          <w:szCs w:val="24"/>
          <w:highlight w:val="none"/>
        </w:rPr>
        <w:t>十一、对本工程</w:t>
      </w:r>
      <w:r>
        <w:rPr>
          <w:rFonts w:hint="eastAsia"/>
          <w:color w:val="auto"/>
          <w:sz w:val="24"/>
          <w:szCs w:val="24"/>
          <w:highlight w:val="none"/>
          <w:lang w:eastAsia="zh-CN"/>
        </w:rPr>
        <w:t>投资控制措施；</w:t>
      </w:r>
    </w:p>
    <w:p w14:paraId="4EF5DE06">
      <w:pPr>
        <w:spacing w:line="360" w:lineRule="auto"/>
        <w:ind w:firstLine="542" w:firstLineChars="226"/>
        <w:rPr>
          <w:color w:val="auto"/>
          <w:sz w:val="24"/>
          <w:szCs w:val="24"/>
          <w:highlight w:val="none"/>
        </w:rPr>
      </w:pPr>
      <w:r>
        <w:rPr>
          <w:rFonts w:hint="eastAsia"/>
          <w:color w:val="auto"/>
          <w:sz w:val="24"/>
          <w:szCs w:val="24"/>
          <w:highlight w:val="none"/>
          <w:lang w:eastAsia="zh-CN"/>
        </w:rPr>
        <w:t>十二、对本工程</w:t>
      </w:r>
      <w:r>
        <w:rPr>
          <w:rFonts w:hint="eastAsia"/>
          <w:color w:val="auto"/>
          <w:sz w:val="24"/>
          <w:szCs w:val="24"/>
          <w:highlight w:val="none"/>
        </w:rPr>
        <w:t>监理的合理化建议。</w:t>
      </w:r>
    </w:p>
    <w:p w14:paraId="4E09D070">
      <w:pPr>
        <w:pStyle w:val="5"/>
        <w:bidi w:val="0"/>
        <w:jc w:val="center"/>
        <w:rPr>
          <w:rFonts w:hint="eastAsia"/>
          <w:b/>
          <w:bCs w:val="0"/>
          <w:color w:val="auto"/>
          <w:sz w:val="32"/>
          <w:szCs w:val="32"/>
          <w:highlight w:val="none"/>
          <w:lang w:eastAsia="zh-CN"/>
        </w:rPr>
      </w:pPr>
    </w:p>
    <w:p w14:paraId="4AF06099">
      <w:pPr>
        <w:rPr>
          <w:rFonts w:hint="eastAsia"/>
          <w:b/>
          <w:bCs w:val="0"/>
          <w:color w:val="auto"/>
          <w:sz w:val="32"/>
          <w:szCs w:val="32"/>
          <w:highlight w:val="none"/>
          <w:lang w:eastAsia="zh-CN"/>
        </w:rPr>
      </w:pPr>
    </w:p>
    <w:p w14:paraId="72B01B4E">
      <w:pPr>
        <w:pStyle w:val="12"/>
        <w:rPr>
          <w:rFonts w:hint="eastAsia"/>
          <w:color w:val="auto"/>
          <w:highlight w:val="none"/>
          <w:lang w:eastAsia="zh-CN"/>
        </w:rPr>
      </w:pPr>
    </w:p>
    <w:p w14:paraId="3D6D378A">
      <w:pPr>
        <w:pStyle w:val="5"/>
        <w:bidi w:val="0"/>
        <w:jc w:val="center"/>
        <w:rPr>
          <w:color w:val="auto"/>
          <w:sz w:val="32"/>
          <w:szCs w:val="32"/>
          <w:highlight w:val="none"/>
        </w:rPr>
      </w:pPr>
      <w:bookmarkStart w:id="486" w:name="_Toc27071"/>
      <w:r>
        <w:rPr>
          <w:rFonts w:hint="eastAsia"/>
          <w:b/>
          <w:bCs w:val="0"/>
          <w:color w:val="auto"/>
          <w:sz w:val="32"/>
          <w:szCs w:val="32"/>
          <w:highlight w:val="none"/>
          <w:lang w:eastAsia="zh-CN"/>
        </w:rPr>
        <w:t>九、</w:t>
      </w:r>
      <w:r>
        <w:rPr>
          <w:rFonts w:hint="eastAsia"/>
          <w:b/>
          <w:bCs w:val="0"/>
          <w:color w:val="auto"/>
          <w:sz w:val="32"/>
          <w:szCs w:val="32"/>
          <w:highlight w:val="none"/>
        </w:rPr>
        <w:t>中小企业声明函</w:t>
      </w:r>
      <w:bookmarkEnd w:id="486"/>
    </w:p>
    <w:p w14:paraId="4772CA6A">
      <w:pPr>
        <w:pStyle w:val="18"/>
        <w:spacing w:line="560" w:lineRule="exac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本企业郑重声明，根据《关于印发中小企业划型标准规定的通知》（工信部联企业〔2011〕300号）的规定，本企业具体情况如下：</w:t>
      </w:r>
    </w:p>
    <w:p w14:paraId="75EE9D14">
      <w:pPr>
        <w:pStyle w:val="18"/>
        <w:spacing w:line="560" w:lineRule="exac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本企业属于</w:t>
      </w:r>
      <w:r>
        <w:rPr>
          <w:rFonts w:hint="eastAsia" w:hAnsi="宋体" w:eastAsia="宋体" w:cs="宋体"/>
          <w:color w:val="auto"/>
          <w:kern w:val="2"/>
          <w:sz w:val="24"/>
          <w:szCs w:val="24"/>
          <w:highlight w:val="none"/>
          <w:u w:val="single"/>
          <w:lang w:val="en-US" w:eastAsia="zh-CN" w:bidi="ar-SA"/>
        </w:rPr>
        <w:t xml:space="preserve">     行业</w:t>
      </w:r>
      <w:r>
        <w:rPr>
          <w:rFonts w:hint="eastAsia" w:ascii="宋体" w:hAnsi="宋体" w:eastAsia="宋体" w:cs="宋体"/>
          <w:color w:val="auto"/>
          <w:kern w:val="2"/>
          <w:sz w:val="24"/>
          <w:szCs w:val="24"/>
          <w:highlight w:val="none"/>
          <w:lang w:val="en-US" w:eastAsia="zh-CN" w:bidi="ar-SA"/>
        </w:rPr>
        <w:t>；营业收入为</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万元，资产总额为</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万元，属于</w:t>
      </w:r>
      <w:r>
        <w:rPr>
          <w:rFonts w:hint="eastAsia" w:ascii="宋体" w:hAnsi="宋体" w:eastAsia="宋体" w:cs="宋体"/>
          <w:color w:val="auto"/>
          <w:kern w:val="2"/>
          <w:sz w:val="24"/>
          <w:szCs w:val="24"/>
          <w:highlight w:val="none"/>
          <w:u w:val="single"/>
          <w:lang w:val="en-US" w:eastAsia="zh-CN" w:bidi="ar-SA"/>
        </w:rPr>
        <w:t xml:space="preserve">      （中型企业、小型企业、微型企业）</w:t>
      </w:r>
      <w:r>
        <w:rPr>
          <w:rFonts w:hint="eastAsia" w:ascii="宋体" w:hAnsi="宋体" w:eastAsia="宋体" w:cs="宋体"/>
          <w:color w:val="auto"/>
          <w:kern w:val="2"/>
          <w:sz w:val="24"/>
          <w:szCs w:val="24"/>
          <w:highlight w:val="none"/>
          <w:lang w:val="en-US" w:eastAsia="zh-CN" w:bidi="ar-SA"/>
        </w:rPr>
        <w:t>；</w:t>
      </w:r>
    </w:p>
    <w:p w14:paraId="268AC5C8">
      <w:pPr>
        <w:pStyle w:val="18"/>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依据《政府采购促进中小企业发展管理办法》的规定，本企业不属于大企业的分支机构，不存在控股股东为大企业的情形，也不存在与大企业的负责人为同一人的情形。 </w:t>
      </w:r>
    </w:p>
    <w:p w14:paraId="05DC728F">
      <w:pPr>
        <w:pStyle w:val="18"/>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本企业对上述声明内容的真实性负责。如有虚假，将依法承担相应责任。 </w:t>
      </w:r>
    </w:p>
    <w:p w14:paraId="6E471727">
      <w:pPr>
        <w:pStyle w:val="18"/>
        <w:spacing w:line="560" w:lineRule="exact"/>
        <w:ind w:firstLine="480" w:firstLineChars="200"/>
        <w:jc w:val="both"/>
        <w:rPr>
          <w:rFonts w:hint="eastAsia" w:ascii="宋体" w:hAnsi="宋体" w:eastAsia="宋体" w:cs="宋体"/>
          <w:color w:val="auto"/>
          <w:sz w:val="24"/>
          <w:szCs w:val="24"/>
          <w:highlight w:val="none"/>
        </w:rPr>
      </w:pPr>
    </w:p>
    <w:p w14:paraId="08C4D6F0">
      <w:pPr>
        <w:pStyle w:val="18"/>
        <w:spacing w:line="560" w:lineRule="exact"/>
        <w:ind w:firstLine="3600" w:firstLineChars="15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w:t>
      </w:r>
      <w:r>
        <w:rPr>
          <w:rFonts w:hint="eastAsia" w:hAnsi="宋体" w:eastAsia="宋体" w:cs="宋体"/>
          <w:color w:val="auto"/>
          <w:sz w:val="24"/>
          <w:szCs w:val="24"/>
          <w:highlight w:val="none"/>
          <w:lang w:eastAsia="zh-CN"/>
        </w:rPr>
        <w:t>单位</w:t>
      </w:r>
      <w:r>
        <w:rPr>
          <w:rFonts w:hint="eastAsia" w:ascii="宋体" w:hAnsi="宋体" w:eastAsia="宋体" w:cs="宋体"/>
          <w:color w:val="auto"/>
          <w:sz w:val="24"/>
          <w:szCs w:val="24"/>
          <w:highlight w:val="none"/>
        </w:rPr>
        <w:t>章）：</w:t>
      </w:r>
    </w:p>
    <w:p w14:paraId="5E6B4021">
      <w:pPr>
        <w:pStyle w:val="18"/>
        <w:spacing w:line="560" w:lineRule="exact"/>
        <w:ind w:firstLine="4560" w:firstLineChars="19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w:t>
      </w:r>
      <w:r>
        <w:rPr>
          <w:rFonts w:hint="eastAsia" w:ascii="宋体" w:hAnsi="宋体" w:eastAsia="宋体" w:cs="宋体"/>
          <w:color w:val="auto"/>
          <w:sz w:val="24"/>
          <w:szCs w:val="24"/>
          <w:highlight w:val="none"/>
          <w:lang w:val="en"/>
        </w:rPr>
        <w:t xml:space="preserve">  </w:t>
      </w:r>
      <w:r>
        <w:rPr>
          <w:rFonts w:hint="eastAsia" w:ascii="宋体" w:hAnsi="宋体" w:eastAsia="宋体" w:cs="宋体"/>
          <w:color w:val="auto"/>
          <w:sz w:val="24"/>
          <w:szCs w:val="24"/>
          <w:highlight w:val="none"/>
        </w:rPr>
        <w:t>期：</w:t>
      </w:r>
    </w:p>
    <w:p w14:paraId="5A8E2950">
      <w:pPr>
        <w:spacing w:line="440" w:lineRule="exact"/>
        <w:jc w:val="both"/>
        <w:rPr>
          <w:rFonts w:hint="eastAsia" w:ascii="楷体_GB2312" w:hAnsi="楷体_GB2312" w:eastAsia="楷体_GB2312" w:cs="楷体_GB2312"/>
          <w:color w:val="auto"/>
          <w:kern w:val="2"/>
          <w:sz w:val="21"/>
          <w:szCs w:val="24"/>
          <w:highlight w:val="none"/>
          <w:lang w:val="en-US" w:eastAsia="zh-CN" w:bidi="ar-SA"/>
        </w:rPr>
      </w:pPr>
      <w:r>
        <w:rPr>
          <w:rFonts w:hint="eastAsia" w:ascii="楷体_GB2312" w:hAnsi="楷体_GB2312" w:eastAsia="楷体_GB2312" w:cs="楷体_GB2312"/>
          <w:color w:val="auto"/>
          <w:kern w:val="2"/>
          <w:sz w:val="21"/>
          <w:szCs w:val="24"/>
          <w:highlight w:val="none"/>
          <w:lang w:val="en-US" w:eastAsia="zh-CN" w:bidi="ar-SA"/>
        </w:rPr>
        <w:t>注：</w:t>
      </w:r>
    </w:p>
    <w:p w14:paraId="70953F3E">
      <w:pPr>
        <w:spacing w:line="440" w:lineRule="exact"/>
        <w:jc w:val="both"/>
        <w:rPr>
          <w:rFonts w:hint="eastAsia" w:ascii="楷体_GB2312" w:hAnsi="楷体_GB2312" w:eastAsia="楷体_GB2312" w:cs="楷体_GB2312"/>
          <w:color w:val="auto"/>
          <w:kern w:val="2"/>
          <w:sz w:val="21"/>
          <w:szCs w:val="24"/>
          <w:highlight w:val="none"/>
          <w:lang w:val="en-US" w:eastAsia="zh-CN" w:bidi="ar-SA"/>
        </w:rPr>
      </w:pPr>
      <w:r>
        <w:rPr>
          <w:rFonts w:hint="eastAsia" w:ascii="楷体_GB2312" w:hAnsi="楷体_GB2312" w:eastAsia="楷体_GB2312" w:cs="楷体_GB2312"/>
          <w:color w:val="auto"/>
          <w:kern w:val="2"/>
          <w:sz w:val="21"/>
          <w:szCs w:val="24"/>
          <w:highlight w:val="none"/>
          <w:lang w:val="en-US" w:eastAsia="zh-CN" w:bidi="ar-SA"/>
        </w:rPr>
        <w:t>1</w:t>
      </w:r>
      <w:r>
        <w:rPr>
          <w:rFonts w:hint="eastAsia" w:ascii="楷体_GB2312" w:hAnsi="楷体_GB2312" w:eastAsia="楷体_GB2312" w:cs="楷体_GB2312"/>
          <w:color w:val="auto"/>
          <w:kern w:val="2"/>
          <w:sz w:val="21"/>
          <w:szCs w:val="24"/>
          <w:highlight w:val="none"/>
          <w:lang w:val="en" w:eastAsia="zh-CN" w:bidi="ar-SA"/>
        </w:rPr>
        <w:t>.</w:t>
      </w:r>
      <w:r>
        <w:rPr>
          <w:rFonts w:hint="eastAsia" w:ascii="楷体_GB2312" w:hAnsi="楷体_GB2312" w:eastAsia="楷体_GB2312" w:cs="楷体_GB2312"/>
          <w:color w:val="auto"/>
          <w:kern w:val="2"/>
          <w:sz w:val="21"/>
          <w:szCs w:val="24"/>
          <w:highlight w:val="none"/>
          <w:lang w:val="en-US" w:eastAsia="zh-CN" w:bidi="ar-SA"/>
        </w:rPr>
        <w:t>营业收入、资产总额填报上一年度数据，无上一年度数据的新成立企业可不填报。</w:t>
      </w:r>
    </w:p>
    <w:p w14:paraId="07E13D7D">
      <w:pPr>
        <w:spacing w:line="440" w:lineRule="exact"/>
        <w:jc w:val="both"/>
        <w:rPr>
          <w:rFonts w:hint="eastAsia" w:ascii="楷体_GB2312" w:hAnsi="楷体_GB2312" w:eastAsia="楷体_GB2312" w:cs="楷体_GB2312"/>
          <w:color w:val="auto"/>
          <w:kern w:val="2"/>
          <w:sz w:val="21"/>
          <w:szCs w:val="24"/>
          <w:highlight w:val="none"/>
          <w:lang w:val="en-US" w:eastAsia="zh-CN" w:bidi="ar-SA"/>
        </w:rPr>
      </w:pPr>
      <w:r>
        <w:rPr>
          <w:rFonts w:hint="eastAsia" w:ascii="楷体_GB2312" w:hAnsi="楷体_GB2312" w:eastAsia="楷体_GB2312" w:cs="楷体_GB2312"/>
          <w:color w:val="auto"/>
          <w:kern w:val="2"/>
          <w:sz w:val="21"/>
          <w:szCs w:val="24"/>
          <w:highlight w:val="none"/>
          <w:lang w:val="en-US" w:eastAsia="zh-CN" w:bidi="ar-SA"/>
        </w:rPr>
        <w:t>2</w:t>
      </w:r>
      <w:r>
        <w:rPr>
          <w:rFonts w:hint="eastAsia" w:ascii="楷体_GB2312" w:hAnsi="楷体_GB2312" w:eastAsia="楷体_GB2312" w:cs="楷体_GB2312"/>
          <w:color w:val="auto"/>
          <w:kern w:val="2"/>
          <w:sz w:val="21"/>
          <w:szCs w:val="24"/>
          <w:highlight w:val="none"/>
          <w:lang w:val="en" w:eastAsia="zh-CN" w:bidi="ar-SA"/>
        </w:rPr>
        <w:t>.</w:t>
      </w:r>
      <w:r>
        <w:rPr>
          <w:rFonts w:hint="eastAsia" w:ascii="楷体_GB2312" w:hAnsi="楷体_GB2312" w:eastAsia="楷体_GB2312" w:cs="楷体_GB2312"/>
          <w:color w:val="auto"/>
          <w:kern w:val="2"/>
          <w:sz w:val="21"/>
          <w:szCs w:val="24"/>
          <w:highlight w:val="none"/>
          <w:lang w:val="en-US" w:eastAsia="zh-CN" w:bidi="ar-SA"/>
        </w:rPr>
        <w:t>《中小企业声明函》须按照本函格式填写，否则评标委员会有权视其为非中小企业，不享受免于提交投标保证金的优惠政策。</w:t>
      </w:r>
    </w:p>
    <w:p w14:paraId="5A421B03">
      <w:pPr>
        <w:spacing w:line="440" w:lineRule="exact"/>
        <w:jc w:val="both"/>
        <w:rPr>
          <w:rFonts w:hint="eastAsia" w:ascii="楷体_GB2312" w:hAnsi="楷体_GB2312" w:eastAsia="楷体_GB2312" w:cs="楷体_GB2312"/>
          <w:color w:val="auto"/>
          <w:kern w:val="2"/>
          <w:sz w:val="21"/>
          <w:szCs w:val="24"/>
          <w:highlight w:val="none"/>
          <w:lang w:val="en-US" w:eastAsia="zh-CN" w:bidi="ar-SA"/>
        </w:rPr>
      </w:pPr>
      <w:r>
        <w:rPr>
          <w:rFonts w:hint="eastAsia" w:ascii="楷体_GB2312" w:hAnsi="楷体_GB2312" w:eastAsia="楷体_GB2312" w:cs="楷体_GB2312"/>
          <w:color w:val="auto"/>
          <w:kern w:val="2"/>
          <w:sz w:val="21"/>
          <w:szCs w:val="24"/>
          <w:highlight w:val="none"/>
          <w:lang w:val="en-US" w:eastAsia="zh-CN" w:bidi="ar-SA"/>
        </w:rPr>
        <w:t>3</w:t>
      </w:r>
      <w:r>
        <w:rPr>
          <w:rFonts w:hint="eastAsia" w:ascii="楷体_GB2312" w:hAnsi="楷体_GB2312" w:eastAsia="楷体_GB2312" w:cs="楷体_GB2312"/>
          <w:color w:val="auto"/>
          <w:kern w:val="2"/>
          <w:sz w:val="21"/>
          <w:szCs w:val="24"/>
          <w:highlight w:val="none"/>
          <w:lang w:val="en" w:eastAsia="zh-CN" w:bidi="ar-SA"/>
        </w:rPr>
        <w:t>.</w:t>
      </w:r>
      <w:r>
        <w:rPr>
          <w:rFonts w:hint="eastAsia" w:ascii="楷体_GB2312" w:hAnsi="楷体_GB2312" w:eastAsia="楷体_GB2312" w:cs="楷体_GB2312"/>
          <w:color w:val="auto"/>
          <w:kern w:val="2"/>
          <w:sz w:val="21"/>
          <w:szCs w:val="24"/>
          <w:highlight w:val="none"/>
          <w:lang w:val="en-US" w:eastAsia="zh-CN" w:bidi="ar-SA"/>
        </w:rPr>
        <w:t>招标人、招标代理机构将按有关规定公开《中小企业声明函》。</w:t>
      </w:r>
    </w:p>
    <w:p w14:paraId="783711C4">
      <w:pPr>
        <w:pStyle w:val="5"/>
        <w:bidi w:val="0"/>
        <w:jc w:val="center"/>
        <w:rPr>
          <w:rFonts w:hint="eastAsia"/>
          <w:strike/>
          <w:color w:val="auto"/>
          <w:sz w:val="32"/>
          <w:szCs w:val="32"/>
          <w:highlight w:val="none"/>
        </w:rPr>
      </w:pPr>
      <w:r>
        <w:rPr>
          <w:rStyle w:val="148"/>
          <w:rFonts w:hint="eastAsia" w:ascii="宋体" w:hAnsi="宋体" w:eastAsia="宋体" w:cs="宋体"/>
          <w:b/>
          <w:bCs w:val="0"/>
          <w:color w:val="auto"/>
          <w:sz w:val="28"/>
          <w:szCs w:val="28"/>
          <w:highlight w:val="none"/>
          <w:lang w:eastAsia="zh-CN"/>
        </w:rPr>
        <w:br w:type="page"/>
      </w:r>
      <w:bookmarkStart w:id="487" w:name="_Toc11500"/>
      <w:r>
        <w:rPr>
          <w:rFonts w:hint="eastAsia"/>
          <w:b/>
          <w:bCs w:val="0"/>
          <w:strike/>
          <w:color w:val="auto"/>
          <w:sz w:val="32"/>
          <w:szCs w:val="32"/>
          <w:highlight w:val="none"/>
          <w:lang w:val="zh-CN"/>
        </w:rPr>
        <w:t>十、关于投标保证金的承诺</w:t>
      </w:r>
      <w:bookmarkEnd w:id="487"/>
    </w:p>
    <w:p w14:paraId="28855A39">
      <w:pPr>
        <w:pStyle w:val="18"/>
        <w:spacing w:line="560" w:lineRule="exact"/>
        <w:ind w:firstLine="640" w:firstLineChars="200"/>
        <w:jc w:val="both"/>
        <w:rPr>
          <w:rFonts w:hint="eastAsia" w:ascii="仿宋_GB2312" w:hAnsi="Times New Roman" w:eastAsia="仿宋_GB2312"/>
          <w:strike/>
          <w:color w:val="auto"/>
          <w:sz w:val="32"/>
          <w:szCs w:val="32"/>
          <w:highlight w:val="none"/>
        </w:rPr>
      </w:pPr>
    </w:p>
    <w:p w14:paraId="49C98BE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trike/>
          <w:color w:val="auto"/>
          <w:sz w:val="24"/>
          <w:szCs w:val="24"/>
          <w:highlight w:val="none"/>
          <w:u w:val="none"/>
          <w:lang w:eastAsia="zh-CN"/>
        </w:rPr>
      </w:pPr>
      <w:r>
        <w:rPr>
          <w:rFonts w:hint="eastAsia" w:ascii="宋体" w:hAnsi="宋体" w:eastAsia="宋体" w:cs="宋体"/>
          <w:strike/>
          <w:color w:val="auto"/>
          <w:sz w:val="24"/>
          <w:szCs w:val="24"/>
          <w:highlight w:val="none"/>
          <w:u w:val="none"/>
          <w:lang w:eastAsia="zh-CN"/>
        </w:rPr>
        <w:t>本招标项目招标人及招标监管机构：</w:t>
      </w:r>
    </w:p>
    <w:p w14:paraId="711B44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trike/>
          <w:color w:val="auto"/>
          <w:sz w:val="24"/>
          <w:szCs w:val="24"/>
          <w:highlight w:val="none"/>
          <w:u w:val="none"/>
          <w:lang w:eastAsia="zh-CN"/>
        </w:rPr>
      </w:pPr>
      <w:r>
        <w:rPr>
          <w:rFonts w:hint="eastAsia" w:ascii="宋体" w:hAnsi="宋体" w:eastAsia="宋体" w:cs="宋体"/>
          <w:strike/>
          <w:color w:val="auto"/>
          <w:sz w:val="24"/>
          <w:szCs w:val="24"/>
          <w:highlight w:val="none"/>
          <w:u w:val="none"/>
          <w:lang w:eastAsia="zh-CN"/>
        </w:rPr>
        <w:t>本公司就参加</w:t>
      </w:r>
      <w:r>
        <w:rPr>
          <w:rFonts w:hint="eastAsia" w:ascii="宋体" w:hAnsi="宋体" w:eastAsia="宋体" w:cs="宋体"/>
          <w:strike/>
          <w:color w:val="auto"/>
          <w:sz w:val="24"/>
          <w:szCs w:val="24"/>
          <w:highlight w:val="none"/>
          <w:u w:val="single"/>
          <w:lang w:eastAsia="zh-CN"/>
        </w:rPr>
        <w:t xml:space="preserve">      （招标项目名称）     </w:t>
      </w:r>
      <w:r>
        <w:rPr>
          <w:rFonts w:hint="eastAsia" w:ascii="宋体" w:hAnsi="宋体" w:eastAsia="宋体" w:cs="宋体"/>
          <w:strike/>
          <w:color w:val="auto"/>
          <w:sz w:val="24"/>
          <w:szCs w:val="24"/>
          <w:highlight w:val="none"/>
          <w:u w:val="none"/>
          <w:lang w:eastAsia="zh-CN"/>
        </w:rPr>
        <w:t>项目的投标工作，作出郑重声明：</w:t>
      </w:r>
    </w:p>
    <w:p w14:paraId="01F542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trike/>
          <w:color w:val="auto"/>
          <w:sz w:val="24"/>
          <w:szCs w:val="24"/>
          <w:highlight w:val="none"/>
          <w:u w:val="none"/>
          <w:lang w:val="en-US" w:eastAsia="zh-CN"/>
        </w:rPr>
      </w:pPr>
      <w:r>
        <w:rPr>
          <w:rFonts w:hint="eastAsia" w:ascii="宋体" w:hAnsi="宋体" w:eastAsia="宋体" w:cs="宋体"/>
          <w:strike/>
          <w:color w:val="auto"/>
          <w:sz w:val="24"/>
          <w:szCs w:val="24"/>
          <w:highlight w:val="none"/>
          <w:u w:val="none"/>
          <w:lang w:val="en-US" w:eastAsia="zh-CN"/>
        </w:rPr>
        <w:t>本公司满足招标文件中免交投标保证金的相关要求，在投标时未提交投标保证金。我司理解在投标时免交投标保证金是为企业减负的举措，并未免除我司的投标义务，本公司</w:t>
      </w:r>
      <w:r>
        <w:rPr>
          <w:rFonts w:hint="eastAsia" w:ascii="宋体" w:hAnsi="宋体" w:eastAsia="宋体" w:cs="宋体"/>
          <w:strike/>
          <w:color w:val="auto"/>
          <w:kern w:val="0"/>
          <w:sz w:val="24"/>
          <w:szCs w:val="24"/>
          <w:highlight w:val="none"/>
          <w:lang w:val="zh-CN"/>
        </w:rPr>
        <w:t>一旦发生符合招标文件规定的不予退还投标保证金情形的，将</w:t>
      </w:r>
      <w:r>
        <w:rPr>
          <w:rFonts w:hint="eastAsia" w:ascii="宋体" w:hAnsi="宋体" w:eastAsia="宋体" w:cs="宋体"/>
          <w:strike/>
          <w:color w:val="auto"/>
          <w:sz w:val="24"/>
          <w:szCs w:val="24"/>
          <w:highlight w:val="none"/>
          <w:u w:val="none"/>
          <w:lang w:val="en-US" w:eastAsia="zh-CN"/>
        </w:rPr>
        <w:t>按照招标人的要求，在规定的时间内向招标人足额补交投标保证金。</w:t>
      </w:r>
    </w:p>
    <w:p w14:paraId="14BE3B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trike/>
          <w:color w:val="auto"/>
          <w:sz w:val="24"/>
          <w:szCs w:val="24"/>
          <w:highlight w:val="none"/>
          <w:u w:val="none"/>
          <w:lang w:val="en-US" w:eastAsia="zh-CN"/>
        </w:rPr>
      </w:pPr>
      <w:r>
        <w:rPr>
          <w:rFonts w:hint="eastAsia" w:ascii="宋体" w:hAnsi="宋体" w:eastAsia="宋体" w:cs="宋体"/>
          <w:strike/>
          <w:color w:val="auto"/>
          <w:sz w:val="24"/>
          <w:szCs w:val="24"/>
          <w:highlight w:val="none"/>
          <w:u w:val="none"/>
          <w:lang w:val="en-US" w:eastAsia="zh-CN"/>
        </w:rPr>
        <w:t>本公司违反上述保证的，将被视为虚假承诺，按相关规定进行信用记录。本公司对失信行为产生的一切后果已知悉，并承担由此产生的相应责任。</w:t>
      </w:r>
    </w:p>
    <w:p w14:paraId="5F95B2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trike/>
          <w:color w:val="auto"/>
          <w:sz w:val="24"/>
          <w:szCs w:val="24"/>
          <w:highlight w:val="none"/>
          <w:u w:val="none"/>
          <w:lang w:val="en-US" w:eastAsia="zh-CN"/>
        </w:rPr>
      </w:pPr>
      <w:r>
        <w:rPr>
          <w:rFonts w:hint="eastAsia" w:ascii="宋体" w:hAnsi="宋体" w:eastAsia="宋体" w:cs="宋体"/>
          <w:strike/>
          <w:color w:val="auto"/>
          <w:sz w:val="24"/>
          <w:szCs w:val="24"/>
          <w:highlight w:val="none"/>
          <w:u w:val="none"/>
          <w:lang w:val="en-US" w:eastAsia="zh-CN"/>
        </w:rPr>
        <w:t>特此承诺。</w:t>
      </w:r>
    </w:p>
    <w:p w14:paraId="27133D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trike/>
          <w:color w:val="auto"/>
          <w:sz w:val="24"/>
          <w:szCs w:val="24"/>
          <w:highlight w:val="none"/>
          <w:u w:val="none"/>
          <w:lang w:val="en-US" w:eastAsia="zh-CN"/>
        </w:rPr>
      </w:pPr>
    </w:p>
    <w:p w14:paraId="2ABB759E">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jc w:val="both"/>
        <w:textAlignment w:val="auto"/>
        <w:rPr>
          <w:rFonts w:hint="eastAsia" w:ascii="宋体" w:hAnsi="宋体" w:eastAsia="宋体" w:cs="宋体"/>
          <w:strike/>
          <w:color w:val="auto"/>
          <w:sz w:val="24"/>
          <w:szCs w:val="24"/>
          <w:highlight w:val="none"/>
          <w:u w:val="none"/>
          <w:lang w:val="en-US" w:eastAsia="zh-CN"/>
        </w:rPr>
      </w:pPr>
    </w:p>
    <w:p w14:paraId="1D11D47E">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jc w:val="both"/>
        <w:textAlignment w:val="auto"/>
        <w:rPr>
          <w:rFonts w:hint="eastAsia" w:ascii="宋体" w:hAnsi="宋体" w:eastAsia="宋体" w:cs="宋体"/>
          <w:strike/>
          <w:color w:val="auto"/>
          <w:sz w:val="24"/>
          <w:szCs w:val="24"/>
          <w:highlight w:val="none"/>
          <w:u w:val="none"/>
          <w:lang w:val="en-US" w:eastAsia="zh-CN"/>
        </w:rPr>
      </w:pPr>
    </w:p>
    <w:p w14:paraId="4498E8F7">
      <w:pPr>
        <w:keepNext w:val="0"/>
        <w:keepLines w:val="0"/>
        <w:pageBreakBefore w:val="0"/>
        <w:widowControl w:val="0"/>
        <w:numPr>
          <w:ilvl w:val="0"/>
          <w:numId w:val="0"/>
        </w:numPr>
        <w:kinsoku/>
        <w:wordWrap/>
        <w:overflowPunct/>
        <w:topLinePunct w:val="0"/>
        <w:autoSpaceDE/>
        <w:autoSpaceDN/>
        <w:bidi w:val="0"/>
        <w:adjustRightInd/>
        <w:snapToGrid/>
        <w:ind w:leftChars="0" w:firstLine="3120" w:firstLineChars="1300"/>
        <w:jc w:val="both"/>
        <w:textAlignment w:val="auto"/>
        <w:rPr>
          <w:rFonts w:hint="eastAsia" w:ascii="宋体" w:hAnsi="宋体" w:eastAsia="宋体" w:cs="宋体"/>
          <w:strike/>
          <w:color w:val="auto"/>
          <w:sz w:val="24"/>
          <w:szCs w:val="24"/>
          <w:highlight w:val="none"/>
          <w:u w:val="none"/>
          <w:lang w:val="en-US" w:eastAsia="zh-CN"/>
        </w:rPr>
      </w:pPr>
      <w:r>
        <w:rPr>
          <w:rFonts w:hint="eastAsia" w:ascii="宋体" w:hAnsi="宋体" w:eastAsia="宋体" w:cs="宋体"/>
          <w:strike/>
          <w:color w:val="auto"/>
          <w:sz w:val="24"/>
          <w:szCs w:val="24"/>
          <w:highlight w:val="none"/>
          <w:u w:val="none"/>
          <w:lang w:val="en-US" w:eastAsia="zh-CN"/>
        </w:rPr>
        <w:t>投标人：</w:t>
      </w:r>
      <w:r>
        <w:rPr>
          <w:rFonts w:hint="eastAsia" w:ascii="宋体" w:hAnsi="宋体" w:eastAsia="宋体" w:cs="宋体"/>
          <w:strike/>
          <w:color w:val="auto"/>
          <w:sz w:val="24"/>
          <w:szCs w:val="24"/>
          <w:highlight w:val="none"/>
          <w:u w:val="single"/>
          <w:lang w:val="en-US" w:eastAsia="zh-CN"/>
        </w:rPr>
        <w:t xml:space="preserve">                      </w:t>
      </w:r>
      <w:r>
        <w:rPr>
          <w:rFonts w:hint="eastAsia" w:ascii="宋体" w:hAnsi="宋体" w:eastAsia="宋体" w:cs="宋体"/>
          <w:strike/>
          <w:color w:val="auto"/>
          <w:sz w:val="24"/>
          <w:szCs w:val="24"/>
          <w:highlight w:val="none"/>
          <w:u w:val="none"/>
          <w:lang w:val="en-US" w:eastAsia="zh-CN"/>
        </w:rPr>
        <w:t>（盖单位章）</w:t>
      </w:r>
    </w:p>
    <w:p w14:paraId="78C940B0">
      <w:pPr>
        <w:keepNext w:val="0"/>
        <w:keepLines w:val="0"/>
        <w:pageBreakBefore w:val="0"/>
        <w:widowControl w:val="0"/>
        <w:numPr>
          <w:ilvl w:val="0"/>
          <w:numId w:val="0"/>
        </w:numPr>
        <w:kinsoku/>
        <w:wordWrap/>
        <w:overflowPunct/>
        <w:topLinePunct w:val="0"/>
        <w:autoSpaceDE/>
        <w:autoSpaceDN/>
        <w:bidi w:val="0"/>
        <w:adjustRightInd/>
        <w:snapToGrid/>
        <w:ind w:leftChars="0" w:firstLine="3120" w:firstLineChars="1300"/>
        <w:jc w:val="both"/>
        <w:textAlignment w:val="auto"/>
        <w:rPr>
          <w:rFonts w:hint="eastAsia" w:ascii="宋体" w:hAnsi="宋体" w:eastAsia="宋体" w:cs="宋体"/>
          <w:strike/>
          <w:color w:val="auto"/>
          <w:sz w:val="24"/>
          <w:szCs w:val="24"/>
          <w:highlight w:val="none"/>
          <w:u w:val="none"/>
          <w:lang w:val="en-US" w:eastAsia="zh-CN"/>
        </w:rPr>
      </w:pPr>
    </w:p>
    <w:p w14:paraId="53F47FA8">
      <w:pPr>
        <w:keepNext w:val="0"/>
        <w:keepLines w:val="0"/>
        <w:pageBreakBefore w:val="0"/>
        <w:widowControl w:val="0"/>
        <w:numPr>
          <w:ilvl w:val="0"/>
          <w:numId w:val="0"/>
        </w:numPr>
        <w:kinsoku/>
        <w:wordWrap/>
        <w:overflowPunct/>
        <w:topLinePunct w:val="0"/>
        <w:autoSpaceDE/>
        <w:autoSpaceDN/>
        <w:bidi w:val="0"/>
        <w:adjustRightInd/>
        <w:snapToGrid/>
        <w:ind w:leftChars="0" w:firstLine="3120" w:firstLineChars="1300"/>
        <w:jc w:val="both"/>
        <w:textAlignment w:val="auto"/>
        <w:rPr>
          <w:rFonts w:hint="eastAsia" w:ascii="宋体" w:hAnsi="宋体" w:eastAsia="宋体" w:cs="宋体"/>
          <w:strike/>
          <w:color w:val="auto"/>
          <w:sz w:val="24"/>
          <w:szCs w:val="24"/>
          <w:highlight w:val="none"/>
          <w:u w:val="none"/>
          <w:lang w:val="en-US" w:eastAsia="zh-CN"/>
        </w:rPr>
      </w:pPr>
      <w:r>
        <w:rPr>
          <w:rFonts w:hint="eastAsia" w:ascii="宋体" w:hAnsi="宋体" w:eastAsia="宋体" w:cs="宋体"/>
          <w:strike/>
          <w:color w:val="auto"/>
          <w:sz w:val="24"/>
          <w:szCs w:val="24"/>
          <w:highlight w:val="none"/>
          <w:u w:val="none"/>
          <w:lang w:val="en-US" w:eastAsia="zh-CN"/>
        </w:rPr>
        <w:t>日  期：</w:t>
      </w:r>
      <w:r>
        <w:rPr>
          <w:rFonts w:hint="eastAsia" w:ascii="宋体" w:hAnsi="宋体" w:eastAsia="宋体" w:cs="宋体"/>
          <w:strike/>
          <w:color w:val="auto"/>
          <w:sz w:val="24"/>
          <w:szCs w:val="24"/>
          <w:highlight w:val="none"/>
          <w:u w:val="single"/>
          <w:lang w:val="en-US" w:eastAsia="zh-CN"/>
        </w:rPr>
        <w:t xml:space="preserve">         </w:t>
      </w:r>
      <w:r>
        <w:rPr>
          <w:rFonts w:hint="eastAsia" w:ascii="宋体" w:hAnsi="宋体" w:eastAsia="宋体" w:cs="宋体"/>
          <w:strike/>
          <w:color w:val="auto"/>
          <w:sz w:val="24"/>
          <w:szCs w:val="24"/>
          <w:highlight w:val="none"/>
          <w:u w:val="none"/>
          <w:lang w:val="en-US" w:eastAsia="zh-CN"/>
        </w:rPr>
        <w:t>年</w:t>
      </w:r>
      <w:r>
        <w:rPr>
          <w:rFonts w:hint="eastAsia" w:ascii="宋体" w:hAnsi="宋体" w:eastAsia="宋体" w:cs="宋体"/>
          <w:strike/>
          <w:color w:val="auto"/>
          <w:sz w:val="24"/>
          <w:szCs w:val="24"/>
          <w:highlight w:val="none"/>
          <w:u w:val="single"/>
          <w:lang w:val="en-US" w:eastAsia="zh-CN"/>
        </w:rPr>
        <w:t xml:space="preserve">      </w:t>
      </w:r>
      <w:r>
        <w:rPr>
          <w:rFonts w:hint="eastAsia" w:ascii="宋体" w:hAnsi="宋体" w:eastAsia="宋体" w:cs="宋体"/>
          <w:strike/>
          <w:color w:val="auto"/>
          <w:sz w:val="24"/>
          <w:szCs w:val="24"/>
          <w:highlight w:val="none"/>
          <w:u w:val="none"/>
          <w:lang w:val="en-US" w:eastAsia="zh-CN"/>
        </w:rPr>
        <w:t xml:space="preserve"> 月</w:t>
      </w:r>
      <w:r>
        <w:rPr>
          <w:rFonts w:hint="eastAsia" w:ascii="宋体" w:hAnsi="宋体" w:eastAsia="宋体" w:cs="宋体"/>
          <w:strike/>
          <w:color w:val="auto"/>
          <w:sz w:val="24"/>
          <w:szCs w:val="24"/>
          <w:highlight w:val="none"/>
          <w:u w:val="single"/>
          <w:lang w:val="en-US" w:eastAsia="zh-CN"/>
        </w:rPr>
        <w:t xml:space="preserve">       </w:t>
      </w:r>
      <w:r>
        <w:rPr>
          <w:rFonts w:hint="eastAsia" w:ascii="宋体" w:hAnsi="宋体" w:eastAsia="宋体" w:cs="宋体"/>
          <w:strike/>
          <w:color w:val="auto"/>
          <w:sz w:val="24"/>
          <w:szCs w:val="24"/>
          <w:highlight w:val="none"/>
          <w:u w:val="none"/>
          <w:lang w:val="en-US" w:eastAsia="zh-CN"/>
        </w:rPr>
        <w:t xml:space="preserve">日    </w:t>
      </w:r>
    </w:p>
    <w:p w14:paraId="3A0C23A3">
      <w:pPr>
        <w:pStyle w:val="18"/>
        <w:spacing w:line="560" w:lineRule="exact"/>
        <w:ind w:firstLine="480" w:firstLineChars="200"/>
        <w:jc w:val="both"/>
        <w:rPr>
          <w:rFonts w:hint="eastAsia" w:ascii="宋体" w:hAnsi="宋体" w:eastAsia="宋体" w:cs="宋体"/>
          <w:color w:val="auto"/>
          <w:sz w:val="24"/>
          <w:szCs w:val="24"/>
          <w:highlight w:val="none"/>
        </w:rPr>
        <w:sectPr>
          <w:pgSz w:w="11906" w:h="16838"/>
          <w:pgMar w:top="1440" w:right="1800" w:bottom="1440" w:left="1800" w:header="851" w:footer="992" w:gutter="0"/>
          <w:pgNumType w:fmt="decimal"/>
          <w:cols w:space="720" w:num="1"/>
          <w:docGrid w:type="lines" w:linePitch="312" w:charSpace="0"/>
        </w:sectPr>
      </w:pPr>
    </w:p>
    <w:bookmarkEnd w:id="476"/>
    <w:bookmarkEnd w:id="477"/>
    <w:bookmarkEnd w:id="478"/>
    <w:bookmarkEnd w:id="479"/>
    <w:bookmarkEnd w:id="480"/>
    <w:bookmarkEnd w:id="481"/>
    <w:bookmarkEnd w:id="482"/>
    <w:bookmarkEnd w:id="483"/>
    <w:bookmarkEnd w:id="484"/>
    <w:p w14:paraId="41B3970A">
      <w:pPr>
        <w:pStyle w:val="5"/>
        <w:bidi w:val="0"/>
        <w:jc w:val="center"/>
        <w:rPr>
          <w:rFonts w:hint="eastAsia" w:ascii="宋体" w:hAnsi="宋体" w:eastAsia="宋体" w:cs="宋体"/>
          <w:b/>
          <w:bCs w:val="0"/>
          <w:color w:val="auto"/>
          <w:sz w:val="28"/>
          <w:szCs w:val="28"/>
          <w:highlight w:val="none"/>
          <w:lang w:eastAsia="zh-CN"/>
        </w:rPr>
      </w:pPr>
      <w:bookmarkStart w:id="488" w:name="_Toc4288"/>
      <w:bookmarkStart w:id="489" w:name="_Toc14422"/>
      <w:bookmarkStart w:id="490" w:name="_Toc29937"/>
      <w:bookmarkStart w:id="491" w:name="_Toc8280"/>
      <w:bookmarkStart w:id="492" w:name="_Toc18602"/>
      <w:bookmarkStart w:id="493" w:name="_Toc27550"/>
      <w:bookmarkStart w:id="494" w:name="_Toc23528"/>
      <w:bookmarkStart w:id="495" w:name="_Toc28757"/>
      <w:bookmarkStart w:id="496" w:name="_Toc13378"/>
    </w:p>
    <w:p w14:paraId="715ADBA0">
      <w:pPr>
        <w:pStyle w:val="5"/>
        <w:bidi w:val="0"/>
        <w:jc w:val="center"/>
        <w:rPr>
          <w:rFonts w:hint="eastAsia" w:ascii="宋体" w:hAnsi="宋体" w:eastAsia="宋体" w:cs="宋体"/>
          <w:b/>
          <w:bCs w:val="0"/>
          <w:color w:val="auto"/>
          <w:highlight w:val="none"/>
        </w:rPr>
      </w:pPr>
      <w:bookmarkStart w:id="497" w:name="_Toc8361"/>
      <w:r>
        <w:rPr>
          <w:rFonts w:hint="eastAsia" w:ascii="宋体" w:hAnsi="宋体" w:eastAsia="宋体" w:cs="宋体"/>
          <w:b/>
          <w:bCs w:val="0"/>
          <w:color w:val="auto"/>
          <w:sz w:val="28"/>
          <w:szCs w:val="28"/>
          <w:highlight w:val="none"/>
          <w:lang w:eastAsia="zh-CN"/>
        </w:rPr>
        <w:t>十一</w:t>
      </w:r>
      <w:r>
        <w:rPr>
          <w:rFonts w:hint="eastAsia" w:ascii="宋体" w:hAnsi="宋体" w:eastAsia="宋体" w:cs="宋体"/>
          <w:b/>
          <w:bCs w:val="0"/>
          <w:color w:val="auto"/>
          <w:sz w:val="28"/>
          <w:szCs w:val="28"/>
          <w:highlight w:val="none"/>
        </w:rPr>
        <w:t>、其他资料</w:t>
      </w:r>
      <w:bookmarkEnd w:id="488"/>
      <w:bookmarkEnd w:id="489"/>
      <w:bookmarkEnd w:id="490"/>
      <w:bookmarkEnd w:id="491"/>
      <w:bookmarkEnd w:id="492"/>
      <w:bookmarkEnd w:id="493"/>
      <w:bookmarkEnd w:id="494"/>
      <w:bookmarkEnd w:id="495"/>
      <w:bookmarkEnd w:id="496"/>
      <w:bookmarkEnd w:id="497"/>
    </w:p>
    <w:p w14:paraId="0131BD36">
      <w:pPr>
        <w:jc w:val="center"/>
        <w:rPr>
          <w:rFonts w:ascii="宋体" w:hAnsi="宋体" w:cs="宋体"/>
          <w:color w:val="auto"/>
          <w:highlight w:val="none"/>
        </w:rPr>
      </w:pPr>
      <w:r>
        <w:rPr>
          <w:rFonts w:hint="eastAsia" w:ascii="宋体" w:hAnsi="宋体"/>
          <w:color w:val="auto"/>
          <w:sz w:val="24"/>
          <w:szCs w:val="24"/>
          <w:highlight w:val="none"/>
        </w:rPr>
        <w:t>投标人须知前附表规定的其他资料、</w:t>
      </w:r>
      <w:r>
        <w:rPr>
          <w:rFonts w:hint="eastAsia"/>
          <w:color w:val="auto"/>
          <w:sz w:val="24"/>
          <w:szCs w:val="28"/>
          <w:highlight w:val="none"/>
        </w:rPr>
        <w:t>投标人认为有必要提交的其他资料，格式自定。</w:t>
      </w:r>
    </w:p>
    <w:p w14:paraId="439560F8">
      <w:pPr>
        <w:spacing w:line="360" w:lineRule="auto"/>
        <w:ind w:firstLine="480" w:firstLineChars="200"/>
        <w:rPr>
          <w:rFonts w:hint="eastAsia" w:ascii="宋体" w:hAnsi="宋体" w:cs="宋体"/>
          <w:color w:val="auto"/>
          <w:kern w:val="0"/>
          <w:sz w:val="24"/>
          <w:highlight w:val="none"/>
        </w:rPr>
      </w:pPr>
    </w:p>
    <w:p w14:paraId="23B07198">
      <w:pPr>
        <w:spacing w:line="360" w:lineRule="auto"/>
        <w:ind w:firstLine="480" w:firstLineChars="200"/>
        <w:rPr>
          <w:rFonts w:hint="eastAsia" w:ascii="宋体" w:hAnsi="宋体" w:cs="宋体"/>
          <w:color w:val="auto"/>
          <w:kern w:val="0"/>
          <w:sz w:val="24"/>
          <w:highlight w:val="none"/>
        </w:rPr>
      </w:pPr>
    </w:p>
    <w:p w14:paraId="166875AA">
      <w:pPr>
        <w:spacing w:line="360" w:lineRule="auto"/>
        <w:ind w:firstLine="420"/>
        <w:jc w:val="left"/>
        <w:rPr>
          <w:rFonts w:hint="eastAsia"/>
          <w:color w:val="auto"/>
          <w:highlight w:val="none"/>
        </w:rPr>
      </w:pPr>
    </w:p>
    <w:p w14:paraId="3A9570D2">
      <w:pPr>
        <w:spacing w:line="360" w:lineRule="auto"/>
        <w:ind w:firstLine="420"/>
        <w:jc w:val="left"/>
        <w:rPr>
          <w:rFonts w:hint="eastAsia"/>
          <w:color w:val="auto"/>
          <w:highlight w:val="none"/>
        </w:rPr>
      </w:pPr>
    </w:p>
    <w:p w14:paraId="75FF429F">
      <w:pPr>
        <w:spacing w:line="360" w:lineRule="auto"/>
        <w:ind w:firstLine="420"/>
        <w:jc w:val="left"/>
        <w:rPr>
          <w:rFonts w:hint="eastAsia"/>
          <w:color w:val="auto"/>
          <w:highlight w:val="none"/>
        </w:rPr>
      </w:pPr>
    </w:p>
    <w:p w14:paraId="380FC652">
      <w:pPr>
        <w:spacing w:line="360" w:lineRule="auto"/>
        <w:ind w:firstLine="420"/>
        <w:jc w:val="left"/>
        <w:rPr>
          <w:rFonts w:hint="eastAsia"/>
          <w:color w:val="auto"/>
          <w:highlight w:val="none"/>
        </w:rPr>
      </w:pPr>
    </w:p>
    <w:p w14:paraId="54EAF2F2">
      <w:pPr>
        <w:spacing w:line="360" w:lineRule="auto"/>
        <w:ind w:firstLine="420"/>
        <w:jc w:val="left"/>
        <w:rPr>
          <w:rFonts w:hint="eastAsia"/>
          <w:color w:val="auto"/>
          <w:highlight w:val="none"/>
        </w:rPr>
      </w:pPr>
    </w:p>
    <w:p w14:paraId="4B96A6AD">
      <w:pPr>
        <w:spacing w:line="360" w:lineRule="auto"/>
        <w:ind w:firstLine="420"/>
        <w:jc w:val="left"/>
        <w:rPr>
          <w:rFonts w:hint="eastAsia"/>
          <w:color w:val="auto"/>
          <w:highlight w:val="none"/>
        </w:rPr>
      </w:pPr>
    </w:p>
    <w:p w14:paraId="1D6EF4F5">
      <w:pPr>
        <w:spacing w:line="360" w:lineRule="auto"/>
        <w:ind w:firstLine="420"/>
        <w:jc w:val="left"/>
        <w:rPr>
          <w:rFonts w:hint="eastAsia"/>
          <w:color w:val="auto"/>
          <w:highlight w:val="none"/>
        </w:rPr>
      </w:pPr>
    </w:p>
    <w:p w14:paraId="0EA2E2B2">
      <w:pPr>
        <w:spacing w:line="360" w:lineRule="auto"/>
        <w:ind w:firstLine="420"/>
        <w:jc w:val="left"/>
        <w:rPr>
          <w:rFonts w:hint="eastAsia"/>
          <w:color w:val="auto"/>
          <w:highlight w:val="none"/>
        </w:rPr>
      </w:pPr>
    </w:p>
    <w:p w14:paraId="5859C1AA">
      <w:pPr>
        <w:rPr>
          <w:rFonts w:hint="eastAsia"/>
          <w:color w:val="auto"/>
          <w:sz w:val="36"/>
          <w:szCs w:val="36"/>
          <w:highlight w:val="none"/>
        </w:rPr>
      </w:pPr>
    </w:p>
    <w:p w14:paraId="51C35DF3">
      <w:pPr>
        <w:jc w:val="center"/>
        <w:rPr>
          <w:rFonts w:hint="eastAsia"/>
          <w:color w:val="auto"/>
          <w:szCs w:val="21"/>
          <w:highlight w:val="none"/>
        </w:rPr>
      </w:pPr>
    </w:p>
    <w:bookmarkEnd w:id="271"/>
    <w:bookmarkEnd w:id="272"/>
    <w:bookmarkEnd w:id="273"/>
    <w:bookmarkEnd w:id="274"/>
    <w:bookmarkEnd w:id="275"/>
    <w:bookmarkEnd w:id="276"/>
    <w:bookmarkEnd w:id="277"/>
    <w:bookmarkEnd w:id="278"/>
    <w:bookmarkEnd w:id="279"/>
    <w:p w14:paraId="38085902">
      <w:pPr>
        <w:widowControl/>
        <w:wordWrap/>
        <w:spacing w:line="240" w:lineRule="auto"/>
        <w:ind w:firstLine="0" w:firstLineChars="0"/>
        <w:jc w:val="left"/>
        <w:rPr>
          <w:color w:val="auto"/>
          <w:highlight w:val="none"/>
        </w:rPr>
      </w:pPr>
    </w:p>
    <w:sectPr>
      <w:footerReference r:id="rId4" w:type="default"/>
      <w:pgSz w:w="11907" w:h="16839"/>
      <w:pgMar w:top="1440" w:right="1080" w:bottom="1440" w:left="1080" w:header="720" w:footer="720"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方正小标宋简体">
    <w:altName w:val="方正舒体"/>
    <w:panose1 w:val="02000000000000000000"/>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方正楷体_GB2312">
    <w:altName w:val="宋体"/>
    <w:panose1 w:val="02000000000000000000"/>
    <w:charset w:val="00"/>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9D04C">
    <w:pPr>
      <w:spacing w:line="178" w:lineRule="auto"/>
      <w:ind w:left="4199"/>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F90C54C">
                          <w:pPr>
                            <w:pStyle w:val="21"/>
                          </w:pPr>
                          <w:r>
                            <w:fldChar w:fldCharType="begin"/>
                          </w:r>
                          <w:r>
                            <w:instrText xml:space="preserve"> PAGE  \* MERGEFORMAT </w:instrText>
                          </w:r>
                          <w:r>
                            <w:fldChar w:fldCharType="separate"/>
                          </w:r>
                          <w:r>
                            <w:t>55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fill on="f" focussize="0,0"/>
              <v:stroke on="f" weight="0.5pt"/>
              <v:imagedata o:title=""/>
              <o:lock v:ext="edit" aspectratio="f"/>
              <v:textbox inset="0mm,0mm,0mm,0mm" style="mso-fit-shape-to-text:t;">
                <w:txbxContent>
                  <w:p w14:paraId="0F90C54C">
                    <w:pPr>
                      <w:pStyle w:val="21"/>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2C4FA">
    <w:pPr>
      <w:pStyle w:val="21"/>
      <w:jc w:val="center"/>
    </w:pPr>
    <w:r>
      <w:fldChar w:fldCharType="begin"/>
    </w:r>
    <w:r>
      <w:instrText xml:space="preserve"> PAGE   \* MERGEFORMAT </w:instrText>
    </w:r>
    <w:r>
      <w:fldChar w:fldCharType="separate"/>
    </w:r>
    <w:r>
      <w:rPr>
        <w:lang w:val="zh-CN"/>
      </w:rPr>
      <w:t>21</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4C9D5"/>
    <w:multiLevelType w:val="singleLevel"/>
    <w:tmpl w:val="80B4C9D5"/>
    <w:lvl w:ilvl="0" w:tentative="0">
      <w:start w:val="1"/>
      <w:numFmt w:val="decimal"/>
      <w:suff w:val="space"/>
      <w:lvlText w:val="%1."/>
      <w:lvlJc w:val="left"/>
    </w:lvl>
  </w:abstractNum>
  <w:abstractNum w:abstractNumId="1">
    <w:nsid w:val="9A6D91F0"/>
    <w:multiLevelType w:val="singleLevel"/>
    <w:tmpl w:val="9A6D91F0"/>
    <w:lvl w:ilvl="0" w:tentative="0">
      <w:start w:val="1"/>
      <w:numFmt w:val="chineseCounting"/>
      <w:suff w:val="nothing"/>
      <w:lvlText w:val="（%1）"/>
      <w:lvlJc w:val="left"/>
      <w:rPr>
        <w:rFonts w:hint="eastAsia"/>
      </w:rPr>
    </w:lvl>
  </w:abstractNum>
  <w:abstractNum w:abstractNumId="2">
    <w:nsid w:val="D37759CD"/>
    <w:multiLevelType w:val="singleLevel"/>
    <w:tmpl w:val="D37759CD"/>
    <w:lvl w:ilvl="0" w:tentative="0">
      <w:start w:val="8"/>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331B"/>
    <w:rsid w:val="00007339"/>
    <w:rsid w:val="000171AF"/>
    <w:rsid w:val="0002059F"/>
    <w:rsid w:val="00021C5B"/>
    <w:rsid w:val="0009151C"/>
    <w:rsid w:val="00095FF6"/>
    <w:rsid w:val="000A4DDC"/>
    <w:rsid w:val="000B00E2"/>
    <w:rsid w:val="000D46FF"/>
    <w:rsid w:val="000F2841"/>
    <w:rsid w:val="000F7836"/>
    <w:rsid w:val="00111C5F"/>
    <w:rsid w:val="00114294"/>
    <w:rsid w:val="00120D0B"/>
    <w:rsid w:val="001228CE"/>
    <w:rsid w:val="00125230"/>
    <w:rsid w:val="00127E8C"/>
    <w:rsid w:val="00134435"/>
    <w:rsid w:val="00134E70"/>
    <w:rsid w:val="00136A0B"/>
    <w:rsid w:val="00145008"/>
    <w:rsid w:val="001548BC"/>
    <w:rsid w:val="00165388"/>
    <w:rsid w:val="00173683"/>
    <w:rsid w:val="0017575A"/>
    <w:rsid w:val="00180AB9"/>
    <w:rsid w:val="00181E2A"/>
    <w:rsid w:val="00184D9A"/>
    <w:rsid w:val="001960C3"/>
    <w:rsid w:val="001B74B0"/>
    <w:rsid w:val="001B7CF3"/>
    <w:rsid w:val="001D2E08"/>
    <w:rsid w:val="001D4DA9"/>
    <w:rsid w:val="001D7A0D"/>
    <w:rsid w:val="0021139D"/>
    <w:rsid w:val="002269E5"/>
    <w:rsid w:val="00247D20"/>
    <w:rsid w:val="00247D80"/>
    <w:rsid w:val="00265058"/>
    <w:rsid w:val="002810FE"/>
    <w:rsid w:val="00286C7E"/>
    <w:rsid w:val="002A1A24"/>
    <w:rsid w:val="002B391D"/>
    <w:rsid w:val="00307BE4"/>
    <w:rsid w:val="003314DF"/>
    <w:rsid w:val="00335B25"/>
    <w:rsid w:val="00343956"/>
    <w:rsid w:val="00364534"/>
    <w:rsid w:val="00386106"/>
    <w:rsid w:val="003A0AE6"/>
    <w:rsid w:val="003B0524"/>
    <w:rsid w:val="003D2A05"/>
    <w:rsid w:val="003D6A9A"/>
    <w:rsid w:val="004017F7"/>
    <w:rsid w:val="004138C0"/>
    <w:rsid w:val="00420FED"/>
    <w:rsid w:val="00423750"/>
    <w:rsid w:val="004378A9"/>
    <w:rsid w:val="00472664"/>
    <w:rsid w:val="004747D1"/>
    <w:rsid w:val="00475B97"/>
    <w:rsid w:val="004B5446"/>
    <w:rsid w:val="004B69E6"/>
    <w:rsid w:val="004E4989"/>
    <w:rsid w:val="004F13DF"/>
    <w:rsid w:val="004F1530"/>
    <w:rsid w:val="004F33B5"/>
    <w:rsid w:val="004F7E69"/>
    <w:rsid w:val="00500CDF"/>
    <w:rsid w:val="00500F14"/>
    <w:rsid w:val="0050741A"/>
    <w:rsid w:val="00525074"/>
    <w:rsid w:val="0053632A"/>
    <w:rsid w:val="00566531"/>
    <w:rsid w:val="005671B9"/>
    <w:rsid w:val="005850D9"/>
    <w:rsid w:val="0059044B"/>
    <w:rsid w:val="005B017E"/>
    <w:rsid w:val="005C1A53"/>
    <w:rsid w:val="005C3B60"/>
    <w:rsid w:val="005D19D9"/>
    <w:rsid w:val="005E1BEC"/>
    <w:rsid w:val="005F1B76"/>
    <w:rsid w:val="005F6A61"/>
    <w:rsid w:val="0060535C"/>
    <w:rsid w:val="00606F7F"/>
    <w:rsid w:val="00611086"/>
    <w:rsid w:val="00641267"/>
    <w:rsid w:val="006535B2"/>
    <w:rsid w:val="006545AE"/>
    <w:rsid w:val="00656A8A"/>
    <w:rsid w:val="00661F1B"/>
    <w:rsid w:val="00661FC7"/>
    <w:rsid w:val="006621D4"/>
    <w:rsid w:val="00694E4C"/>
    <w:rsid w:val="006C74FE"/>
    <w:rsid w:val="006D6F25"/>
    <w:rsid w:val="00711AD4"/>
    <w:rsid w:val="007363BA"/>
    <w:rsid w:val="0075170B"/>
    <w:rsid w:val="007570C0"/>
    <w:rsid w:val="00771B22"/>
    <w:rsid w:val="00774623"/>
    <w:rsid w:val="00775E54"/>
    <w:rsid w:val="0079156F"/>
    <w:rsid w:val="007969E7"/>
    <w:rsid w:val="007A0B2B"/>
    <w:rsid w:val="007A7F7C"/>
    <w:rsid w:val="007D6A99"/>
    <w:rsid w:val="007E1A6F"/>
    <w:rsid w:val="007E1FC9"/>
    <w:rsid w:val="007E332A"/>
    <w:rsid w:val="007F0790"/>
    <w:rsid w:val="007F4BA1"/>
    <w:rsid w:val="00802A46"/>
    <w:rsid w:val="00803A09"/>
    <w:rsid w:val="00806919"/>
    <w:rsid w:val="00827689"/>
    <w:rsid w:val="00834A5A"/>
    <w:rsid w:val="0083727D"/>
    <w:rsid w:val="00847518"/>
    <w:rsid w:val="00847EE4"/>
    <w:rsid w:val="00853F24"/>
    <w:rsid w:val="0085423B"/>
    <w:rsid w:val="00857EB2"/>
    <w:rsid w:val="00864020"/>
    <w:rsid w:val="00872618"/>
    <w:rsid w:val="008A25C0"/>
    <w:rsid w:val="008A2717"/>
    <w:rsid w:val="008A6948"/>
    <w:rsid w:val="008E0608"/>
    <w:rsid w:val="008E5867"/>
    <w:rsid w:val="00907B84"/>
    <w:rsid w:val="00913C9F"/>
    <w:rsid w:val="009168F6"/>
    <w:rsid w:val="00941277"/>
    <w:rsid w:val="009419A6"/>
    <w:rsid w:val="00943C25"/>
    <w:rsid w:val="00952191"/>
    <w:rsid w:val="00963909"/>
    <w:rsid w:val="00967489"/>
    <w:rsid w:val="00983F95"/>
    <w:rsid w:val="00992593"/>
    <w:rsid w:val="00993484"/>
    <w:rsid w:val="00996A59"/>
    <w:rsid w:val="009A13F0"/>
    <w:rsid w:val="009A4A07"/>
    <w:rsid w:val="009B112F"/>
    <w:rsid w:val="009B197A"/>
    <w:rsid w:val="009F4AAE"/>
    <w:rsid w:val="00A1180D"/>
    <w:rsid w:val="00A36262"/>
    <w:rsid w:val="00A37FE9"/>
    <w:rsid w:val="00A4661F"/>
    <w:rsid w:val="00A701AC"/>
    <w:rsid w:val="00A91B88"/>
    <w:rsid w:val="00AD4D5E"/>
    <w:rsid w:val="00AE00C1"/>
    <w:rsid w:val="00AF1F0E"/>
    <w:rsid w:val="00AF3843"/>
    <w:rsid w:val="00B0350B"/>
    <w:rsid w:val="00B24487"/>
    <w:rsid w:val="00B31382"/>
    <w:rsid w:val="00B43F37"/>
    <w:rsid w:val="00B46E85"/>
    <w:rsid w:val="00B61984"/>
    <w:rsid w:val="00B662A6"/>
    <w:rsid w:val="00B71EBD"/>
    <w:rsid w:val="00B76364"/>
    <w:rsid w:val="00BB278D"/>
    <w:rsid w:val="00BB298C"/>
    <w:rsid w:val="00BC285B"/>
    <w:rsid w:val="00BF6902"/>
    <w:rsid w:val="00C02C09"/>
    <w:rsid w:val="00C16647"/>
    <w:rsid w:val="00C30463"/>
    <w:rsid w:val="00C40A63"/>
    <w:rsid w:val="00C717EC"/>
    <w:rsid w:val="00C97FBE"/>
    <w:rsid w:val="00CA0098"/>
    <w:rsid w:val="00CA5BF6"/>
    <w:rsid w:val="00CA5DDE"/>
    <w:rsid w:val="00CB6BFA"/>
    <w:rsid w:val="00CC176A"/>
    <w:rsid w:val="00CC6398"/>
    <w:rsid w:val="00CD57F3"/>
    <w:rsid w:val="00CD7024"/>
    <w:rsid w:val="00CE0D38"/>
    <w:rsid w:val="00D033CB"/>
    <w:rsid w:val="00D125E1"/>
    <w:rsid w:val="00D358DC"/>
    <w:rsid w:val="00D54080"/>
    <w:rsid w:val="00D705EF"/>
    <w:rsid w:val="00D81516"/>
    <w:rsid w:val="00D91915"/>
    <w:rsid w:val="00DA4E8D"/>
    <w:rsid w:val="00DB3BA9"/>
    <w:rsid w:val="00DC21C8"/>
    <w:rsid w:val="00DC3CCE"/>
    <w:rsid w:val="00DC7CAC"/>
    <w:rsid w:val="00DD17AE"/>
    <w:rsid w:val="00DF051E"/>
    <w:rsid w:val="00E015DC"/>
    <w:rsid w:val="00E03670"/>
    <w:rsid w:val="00E03911"/>
    <w:rsid w:val="00E1044D"/>
    <w:rsid w:val="00E17A77"/>
    <w:rsid w:val="00E24ADA"/>
    <w:rsid w:val="00E5034A"/>
    <w:rsid w:val="00E60D49"/>
    <w:rsid w:val="00E72741"/>
    <w:rsid w:val="00E75D78"/>
    <w:rsid w:val="00E835F0"/>
    <w:rsid w:val="00E93E5A"/>
    <w:rsid w:val="00E945FE"/>
    <w:rsid w:val="00E97FEF"/>
    <w:rsid w:val="00ED3A32"/>
    <w:rsid w:val="00ED50E4"/>
    <w:rsid w:val="00EE3321"/>
    <w:rsid w:val="00F01FED"/>
    <w:rsid w:val="00F32265"/>
    <w:rsid w:val="00F324EF"/>
    <w:rsid w:val="00F538C8"/>
    <w:rsid w:val="00F55524"/>
    <w:rsid w:val="00F613B8"/>
    <w:rsid w:val="00F751BE"/>
    <w:rsid w:val="00F84304"/>
    <w:rsid w:val="00F93D3B"/>
    <w:rsid w:val="00FB1764"/>
    <w:rsid w:val="00FB2FC0"/>
    <w:rsid w:val="00FB40A1"/>
    <w:rsid w:val="00FE1EEA"/>
    <w:rsid w:val="00FE5A4C"/>
    <w:rsid w:val="01787946"/>
    <w:rsid w:val="020C0D2B"/>
    <w:rsid w:val="02BF23FC"/>
    <w:rsid w:val="04926F71"/>
    <w:rsid w:val="04E25753"/>
    <w:rsid w:val="05532A1A"/>
    <w:rsid w:val="06D56CDF"/>
    <w:rsid w:val="07852DBD"/>
    <w:rsid w:val="080759F6"/>
    <w:rsid w:val="092A3C3E"/>
    <w:rsid w:val="09CA7929"/>
    <w:rsid w:val="0A03356F"/>
    <w:rsid w:val="0A88107E"/>
    <w:rsid w:val="0C7A30DA"/>
    <w:rsid w:val="0D705975"/>
    <w:rsid w:val="0D90725B"/>
    <w:rsid w:val="0EA46756"/>
    <w:rsid w:val="117F262B"/>
    <w:rsid w:val="11BE3980"/>
    <w:rsid w:val="12A055C5"/>
    <w:rsid w:val="138C7281"/>
    <w:rsid w:val="13D6541C"/>
    <w:rsid w:val="14B31EB2"/>
    <w:rsid w:val="150D45FB"/>
    <w:rsid w:val="17BDCADF"/>
    <w:rsid w:val="185365BF"/>
    <w:rsid w:val="1B444488"/>
    <w:rsid w:val="1BE3468B"/>
    <w:rsid w:val="1CE47B2D"/>
    <w:rsid w:val="1D796AC8"/>
    <w:rsid w:val="1D9372A6"/>
    <w:rsid w:val="1FF22B62"/>
    <w:rsid w:val="220F14B0"/>
    <w:rsid w:val="222D7E81"/>
    <w:rsid w:val="22C813AD"/>
    <w:rsid w:val="233B037C"/>
    <w:rsid w:val="2655510F"/>
    <w:rsid w:val="26EE4083"/>
    <w:rsid w:val="271E423C"/>
    <w:rsid w:val="289D1342"/>
    <w:rsid w:val="29CC7F7F"/>
    <w:rsid w:val="2ADB196D"/>
    <w:rsid w:val="2B6830E7"/>
    <w:rsid w:val="2C2334CF"/>
    <w:rsid w:val="2D19172E"/>
    <w:rsid w:val="2ED27DE6"/>
    <w:rsid w:val="30000983"/>
    <w:rsid w:val="302351B9"/>
    <w:rsid w:val="306F1C32"/>
    <w:rsid w:val="315216B2"/>
    <w:rsid w:val="32E33692"/>
    <w:rsid w:val="34030A42"/>
    <w:rsid w:val="390E2362"/>
    <w:rsid w:val="3B5F7376"/>
    <w:rsid w:val="3C5D7A5C"/>
    <w:rsid w:val="3C8446EA"/>
    <w:rsid w:val="3D2A703F"/>
    <w:rsid w:val="3D3879AE"/>
    <w:rsid w:val="3D5B2515"/>
    <w:rsid w:val="3D74761C"/>
    <w:rsid w:val="3F8A11C7"/>
    <w:rsid w:val="40C34442"/>
    <w:rsid w:val="417F135B"/>
    <w:rsid w:val="42107BFE"/>
    <w:rsid w:val="46B972FF"/>
    <w:rsid w:val="489A1243"/>
    <w:rsid w:val="48D93BC9"/>
    <w:rsid w:val="48D94F0D"/>
    <w:rsid w:val="499441BE"/>
    <w:rsid w:val="4A6E2C61"/>
    <w:rsid w:val="4B307F16"/>
    <w:rsid w:val="4C5F1F3C"/>
    <w:rsid w:val="4FD3445D"/>
    <w:rsid w:val="51497F84"/>
    <w:rsid w:val="51A73D8F"/>
    <w:rsid w:val="53424C8B"/>
    <w:rsid w:val="53634C01"/>
    <w:rsid w:val="55A235D5"/>
    <w:rsid w:val="56D57BC4"/>
    <w:rsid w:val="57805DDE"/>
    <w:rsid w:val="5A8934AE"/>
    <w:rsid w:val="5B6229EE"/>
    <w:rsid w:val="5C084598"/>
    <w:rsid w:val="5D102E8E"/>
    <w:rsid w:val="5D435FF4"/>
    <w:rsid w:val="5F033C91"/>
    <w:rsid w:val="5F8605DF"/>
    <w:rsid w:val="61312595"/>
    <w:rsid w:val="621041A6"/>
    <w:rsid w:val="640C1FA8"/>
    <w:rsid w:val="64C25C2B"/>
    <w:rsid w:val="67784CC7"/>
    <w:rsid w:val="6BAC4F3F"/>
    <w:rsid w:val="6C8253AF"/>
    <w:rsid w:val="6E12638C"/>
    <w:rsid w:val="6F321C00"/>
    <w:rsid w:val="6F9C25F0"/>
    <w:rsid w:val="71A9566B"/>
    <w:rsid w:val="728038A7"/>
    <w:rsid w:val="747F7E62"/>
    <w:rsid w:val="752B6E97"/>
    <w:rsid w:val="75ED38A9"/>
    <w:rsid w:val="76A27473"/>
    <w:rsid w:val="785E2CA7"/>
    <w:rsid w:val="7AFB3C15"/>
    <w:rsid w:val="7BEE3352"/>
    <w:rsid w:val="7BEE5100"/>
    <w:rsid w:val="7C6574CF"/>
    <w:rsid w:val="7E81400A"/>
    <w:rsid w:val="7E9F0934"/>
    <w:rsid w:val="7F6F6051"/>
    <w:rsid w:val="7F8662A6"/>
    <w:rsid w:val="7FDE1DD1"/>
    <w:rsid w:val="BD9B6C5F"/>
    <w:rsid w:val="BEE7D0F5"/>
    <w:rsid w:val="D9EE5E2F"/>
    <w:rsid w:val="DBBBB9A2"/>
    <w:rsid w:val="DDFFB8A2"/>
    <w:rsid w:val="EDF39CEF"/>
    <w:rsid w:val="EFF763D4"/>
    <w:rsid w:val="FBFF5EFA"/>
    <w:rsid w:val="FEFFAC56"/>
    <w:rsid w:val="FF7582D5"/>
    <w:rsid w:val="FFD57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4">
    <w:name w:val="heading 2"/>
    <w:basedOn w:val="1"/>
    <w:next w:val="1"/>
    <w:link w:val="38"/>
    <w:unhideWhenUsed/>
    <w:qFormat/>
    <w:uiPriority w:val="0"/>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5">
    <w:name w:val="heading 3"/>
    <w:basedOn w:val="1"/>
    <w:next w:val="1"/>
    <w:link w:val="148"/>
    <w:unhideWhenUsed/>
    <w:qFormat/>
    <w:uiPriority w:val="0"/>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6">
    <w:name w:val="heading 4"/>
    <w:basedOn w:val="1"/>
    <w:next w:val="1"/>
    <w:link w:val="40"/>
    <w:unhideWhenUsed/>
    <w:qFormat/>
    <w:uiPriority w:val="0"/>
    <w:pPr>
      <w:keepNext/>
      <w:keepLines/>
      <w:spacing w:before="80" w:after="40"/>
      <w:outlineLvl w:val="3"/>
    </w:pPr>
    <w:rPr>
      <w:rFonts w:cstheme="majorBidi"/>
      <w:color w:val="104862" w:themeColor="accent1" w:themeShade="BF"/>
      <w:sz w:val="28"/>
      <w:szCs w:val="28"/>
    </w:rPr>
  </w:style>
  <w:style w:type="paragraph" w:styleId="7">
    <w:name w:val="heading 5"/>
    <w:basedOn w:val="1"/>
    <w:next w:val="1"/>
    <w:link w:val="41"/>
    <w:unhideWhenUsed/>
    <w:qFormat/>
    <w:uiPriority w:val="0"/>
    <w:pPr>
      <w:keepNext/>
      <w:keepLines/>
      <w:spacing w:before="80" w:after="40"/>
      <w:outlineLvl w:val="4"/>
    </w:pPr>
    <w:rPr>
      <w:rFonts w:cstheme="majorBidi"/>
      <w:color w:val="104862" w:themeColor="accent1" w:themeShade="BF"/>
      <w:sz w:val="24"/>
      <w:szCs w:val="24"/>
    </w:rPr>
  </w:style>
  <w:style w:type="paragraph" w:styleId="8">
    <w:name w:val="heading 6"/>
    <w:basedOn w:val="1"/>
    <w:next w:val="1"/>
    <w:link w:val="42"/>
    <w:unhideWhenUsed/>
    <w:qFormat/>
    <w:uiPriority w:val="0"/>
    <w:pPr>
      <w:keepNext/>
      <w:keepLines/>
      <w:spacing w:before="40"/>
      <w:outlineLvl w:val="5"/>
    </w:pPr>
    <w:rPr>
      <w:rFonts w:cstheme="majorBidi"/>
      <w:b/>
      <w:bCs/>
      <w:color w:val="104862" w:themeColor="accent1" w:themeShade="BF"/>
    </w:rPr>
  </w:style>
  <w:style w:type="paragraph" w:styleId="9">
    <w:name w:val="heading 7"/>
    <w:basedOn w:val="1"/>
    <w:next w:val="1"/>
    <w:link w:val="43"/>
    <w:unhideWhenUsed/>
    <w:qFormat/>
    <w:uiPriority w:val="0"/>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44"/>
    <w:unhideWhenUsed/>
    <w:qFormat/>
    <w:uiPriority w:val="0"/>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45"/>
    <w:unhideWhenUsed/>
    <w:qFormat/>
    <w:uiPriority w:val="0"/>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8"/>
    <w:qFormat/>
    <w:uiPriority w:val="0"/>
    <w:pPr>
      <w:spacing w:after="120"/>
    </w:pPr>
    <w:rPr>
      <w:rFonts w:ascii="Times New Roman" w:hAnsi="Times New Roman" w:eastAsia="宋体" w:cs="Times New Roman"/>
      <w:szCs w:val="20"/>
    </w:rPr>
  </w:style>
  <w:style w:type="paragraph" w:styleId="12">
    <w:name w:val="Normal Indent"/>
    <w:basedOn w:val="1"/>
    <w:next w:val="13"/>
    <w:unhideWhenUsed/>
    <w:qFormat/>
    <w:uiPriority w:val="0"/>
    <w:pPr>
      <w:ind w:firstLine="420" w:firstLineChars="200"/>
    </w:pPr>
    <w:rPr>
      <w:rFonts w:ascii="Times New Roman" w:hAnsi="Times New Roman" w:eastAsia="宋体" w:cs="Times New Roman"/>
    </w:rPr>
  </w:style>
  <w:style w:type="paragraph" w:styleId="13">
    <w:name w:val="toc 4"/>
    <w:basedOn w:val="1"/>
    <w:next w:val="1"/>
    <w:unhideWhenUsed/>
    <w:qFormat/>
    <w:uiPriority w:val="39"/>
    <w:pPr>
      <w:wordWrap w:val="0"/>
      <w:ind w:left="850"/>
    </w:pPr>
    <w:rPr>
      <w:rFonts w:cs="黑体"/>
      <w:szCs w:val="22"/>
    </w:rPr>
  </w:style>
  <w:style w:type="paragraph" w:styleId="14">
    <w:name w:val="annotation text"/>
    <w:basedOn w:val="1"/>
    <w:link w:val="66"/>
    <w:qFormat/>
    <w:uiPriority w:val="0"/>
    <w:pPr>
      <w:jc w:val="left"/>
    </w:pPr>
    <w:rPr>
      <w:rFonts w:ascii="Times New Roman" w:hAnsi="Times New Roman" w:eastAsia="宋体" w:cs="Times New Roman"/>
      <w:szCs w:val="20"/>
    </w:rPr>
  </w:style>
  <w:style w:type="paragraph" w:styleId="15">
    <w:name w:val="Body Text Indent"/>
    <w:basedOn w:val="1"/>
    <w:next w:val="16"/>
    <w:link w:val="70"/>
    <w:qFormat/>
    <w:uiPriority w:val="0"/>
    <w:pPr>
      <w:spacing w:after="120"/>
      <w:ind w:left="420" w:leftChars="200"/>
    </w:pPr>
    <w:rPr>
      <w:rFonts w:ascii="Times New Roman" w:hAnsi="Times New Roman" w:eastAsia="宋体" w:cs="Times New Roman"/>
    </w:rPr>
  </w:style>
  <w:style w:type="paragraph" w:styleId="16">
    <w:name w:val="envelope return"/>
    <w:basedOn w:val="1"/>
    <w:qFormat/>
    <w:uiPriority w:val="0"/>
    <w:pPr>
      <w:snapToGrid w:val="0"/>
    </w:pPr>
    <w:rPr>
      <w:rFonts w:ascii="Arial" w:hAnsi="Arial"/>
    </w:rPr>
  </w:style>
  <w:style w:type="paragraph" w:styleId="17">
    <w:name w:val="index 4"/>
    <w:basedOn w:val="1"/>
    <w:next w:val="1"/>
    <w:unhideWhenUsed/>
    <w:qFormat/>
    <w:uiPriority w:val="99"/>
    <w:pPr>
      <w:ind w:left="600" w:leftChars="600"/>
    </w:pPr>
  </w:style>
  <w:style w:type="paragraph" w:styleId="18">
    <w:name w:val="Plain Text"/>
    <w:basedOn w:val="1"/>
    <w:link w:val="72"/>
    <w:qFormat/>
    <w:uiPriority w:val="0"/>
    <w:rPr>
      <w:rFonts w:ascii="等线" w:hAnsi="Courier New" w:eastAsia="等线" w:cs="Times New Roman"/>
      <w:color w:val="000000"/>
      <w:kern w:val="0"/>
    </w:rPr>
  </w:style>
  <w:style w:type="paragraph" w:styleId="19">
    <w:name w:val="Date"/>
    <w:basedOn w:val="1"/>
    <w:next w:val="1"/>
    <w:qFormat/>
    <w:uiPriority w:val="0"/>
    <w:rPr>
      <w:rFonts w:ascii="Times New Roman" w:hAnsi="Times New Roman"/>
      <w:szCs w:val="20"/>
    </w:rPr>
  </w:style>
  <w:style w:type="paragraph" w:styleId="20">
    <w:name w:val="Balloon Text"/>
    <w:basedOn w:val="1"/>
    <w:link w:val="74"/>
    <w:qFormat/>
    <w:uiPriority w:val="0"/>
    <w:rPr>
      <w:rFonts w:ascii="Times New Roman" w:hAnsi="Times New Roman" w:eastAsia="宋体" w:cs="Times New Roman"/>
      <w:sz w:val="18"/>
      <w:szCs w:val="20"/>
    </w:rPr>
  </w:style>
  <w:style w:type="paragraph" w:styleId="21">
    <w:name w:val="footer"/>
    <w:basedOn w:val="1"/>
    <w:link w:val="76"/>
    <w:qFormat/>
    <w:uiPriority w:val="0"/>
    <w:pPr>
      <w:tabs>
        <w:tab w:val="center" w:pos="4153"/>
        <w:tab w:val="right" w:pos="8306"/>
      </w:tabs>
      <w:snapToGrid w:val="0"/>
      <w:jc w:val="left"/>
    </w:pPr>
    <w:rPr>
      <w:rFonts w:ascii="Calibri" w:hAnsi="Calibri" w:eastAsia="宋体" w:cs="Times New Roman"/>
      <w:sz w:val="22"/>
      <w:szCs w:val="20"/>
    </w:rPr>
  </w:style>
  <w:style w:type="paragraph" w:styleId="22">
    <w:name w:val="header"/>
    <w:basedOn w:val="1"/>
    <w:link w:val="78"/>
    <w:qFormat/>
    <w:uiPriority w:val="0"/>
    <w:pPr>
      <w:tabs>
        <w:tab w:val="center" w:pos="4153"/>
        <w:tab w:val="right" w:pos="8306"/>
      </w:tabs>
      <w:snapToGrid w:val="0"/>
    </w:pPr>
    <w:rPr>
      <w:rFonts w:ascii="Times New Roman" w:hAnsi="Times New Roman" w:eastAsia="宋体" w:cs="Times New Roman"/>
      <w:sz w:val="18"/>
      <w:szCs w:val="20"/>
    </w:rPr>
  </w:style>
  <w:style w:type="paragraph" w:styleId="23">
    <w:name w:val="Subtitle"/>
    <w:basedOn w:val="1"/>
    <w:next w:val="1"/>
    <w:link w:val="4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6"/>
    <w:qFormat/>
    <w:uiPriority w:val="0"/>
    <w:pPr>
      <w:spacing w:after="80"/>
      <w:contextualSpacing/>
      <w:jc w:val="center"/>
    </w:pPr>
    <w:rPr>
      <w:rFonts w:asciiTheme="majorHAnsi" w:hAnsiTheme="majorHAnsi" w:eastAsiaTheme="majorEastAsia" w:cstheme="majorBidi"/>
      <w:spacing w:val="-10"/>
      <w:kern w:val="28"/>
      <w:sz w:val="56"/>
      <w:szCs w:val="56"/>
    </w:rPr>
  </w:style>
  <w:style w:type="paragraph" w:styleId="26">
    <w:name w:val="annotation subject"/>
    <w:basedOn w:val="14"/>
    <w:next w:val="14"/>
    <w:link w:val="81"/>
    <w:qFormat/>
    <w:uiPriority w:val="0"/>
    <w:rPr>
      <w:b/>
      <w:bCs/>
      <w:szCs w:val="22"/>
    </w:rPr>
  </w:style>
  <w:style w:type="paragraph" w:styleId="27">
    <w:name w:val="Body Text First Indent"/>
    <w:basedOn w:val="2"/>
    <w:link w:val="146"/>
    <w:qFormat/>
    <w:uiPriority w:val="0"/>
    <w:pPr>
      <w:ind w:firstLine="420" w:firstLineChars="100"/>
    </w:pPr>
    <w:rPr>
      <w:rFonts w:ascii="Calibri" w:hAnsi="Calibri"/>
      <w:szCs w:val="22"/>
    </w:rPr>
  </w:style>
  <w:style w:type="paragraph" w:styleId="28">
    <w:name w:val="Body Text First Indent 2"/>
    <w:basedOn w:val="15"/>
    <w:link w:val="145"/>
    <w:semiHidden/>
    <w:unhideWhenUsed/>
    <w:qFormat/>
    <w:uiPriority w:val="99"/>
    <w:pPr>
      <w:ind w:firstLine="420" w:firstLineChars="200"/>
    </w:pPr>
    <w:rPr>
      <w:rFonts w:ascii="等线" w:hAnsi="等线" w:eastAsia="等线"/>
    </w:rPr>
  </w:style>
  <w:style w:type="table" w:styleId="30">
    <w:name w:val="Table Grid"/>
    <w:basedOn w:val="2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0"/>
    <w:rPr>
      <w:rFonts w:cs="Times New Roman"/>
      <w:b/>
    </w:rPr>
  </w:style>
  <w:style w:type="character" w:styleId="33">
    <w:name w:val="page number"/>
    <w:basedOn w:val="31"/>
    <w:qFormat/>
    <w:uiPriority w:val="0"/>
  </w:style>
  <w:style w:type="character" w:styleId="34">
    <w:name w:val="Hyperlink"/>
    <w:qFormat/>
    <w:uiPriority w:val="99"/>
    <w:rPr>
      <w:rFonts w:cs="Times New Roman"/>
      <w:color w:val="0000FF"/>
      <w:u w:val="single"/>
    </w:rPr>
  </w:style>
  <w:style w:type="character" w:styleId="35">
    <w:name w:val="annotation reference"/>
    <w:qFormat/>
    <w:uiPriority w:val="0"/>
    <w:rPr>
      <w:sz w:val="21"/>
      <w:szCs w:val="21"/>
    </w:rPr>
  </w:style>
  <w:style w:type="character" w:styleId="36">
    <w:name w:val="footnote reference"/>
    <w:qFormat/>
    <w:uiPriority w:val="0"/>
    <w:rPr>
      <w:rFonts w:cs="Times New Roman"/>
      <w:vertAlign w:val="superscript"/>
    </w:rPr>
  </w:style>
  <w:style w:type="character" w:customStyle="1" w:styleId="37">
    <w:name w:val="标题 1 字符"/>
    <w:basedOn w:val="31"/>
    <w:link w:val="3"/>
    <w:qFormat/>
    <w:uiPriority w:val="9"/>
    <w:rPr>
      <w:rFonts w:asciiTheme="majorHAnsi" w:hAnsiTheme="majorHAnsi" w:eastAsiaTheme="majorEastAsia" w:cstheme="majorBidi"/>
      <w:color w:val="104862" w:themeColor="accent1" w:themeShade="BF"/>
      <w:sz w:val="48"/>
      <w:szCs w:val="48"/>
    </w:rPr>
  </w:style>
  <w:style w:type="character" w:customStyle="1" w:styleId="38">
    <w:name w:val="标题 2 字符"/>
    <w:basedOn w:val="31"/>
    <w:link w:val="4"/>
    <w:semiHidden/>
    <w:qFormat/>
    <w:uiPriority w:val="9"/>
    <w:rPr>
      <w:rFonts w:asciiTheme="majorHAnsi" w:hAnsiTheme="majorHAnsi" w:eastAsiaTheme="majorEastAsia" w:cstheme="majorBidi"/>
      <w:color w:val="104862" w:themeColor="accent1" w:themeShade="BF"/>
      <w:sz w:val="40"/>
      <w:szCs w:val="40"/>
    </w:rPr>
  </w:style>
  <w:style w:type="character" w:customStyle="1" w:styleId="39">
    <w:name w:val="标题 3 字符"/>
    <w:basedOn w:val="31"/>
    <w:link w:val="5"/>
    <w:semiHidden/>
    <w:qFormat/>
    <w:uiPriority w:val="9"/>
    <w:rPr>
      <w:rFonts w:asciiTheme="majorHAnsi" w:hAnsiTheme="majorHAnsi" w:eastAsiaTheme="majorEastAsia" w:cstheme="majorBidi"/>
      <w:color w:val="104862" w:themeColor="accent1" w:themeShade="BF"/>
      <w:sz w:val="32"/>
      <w:szCs w:val="32"/>
    </w:rPr>
  </w:style>
  <w:style w:type="character" w:customStyle="1" w:styleId="40">
    <w:name w:val="标题 4 字符"/>
    <w:basedOn w:val="31"/>
    <w:link w:val="6"/>
    <w:semiHidden/>
    <w:qFormat/>
    <w:uiPriority w:val="9"/>
    <w:rPr>
      <w:rFonts w:cstheme="majorBidi"/>
      <w:color w:val="104862" w:themeColor="accent1" w:themeShade="BF"/>
      <w:sz w:val="28"/>
      <w:szCs w:val="28"/>
    </w:rPr>
  </w:style>
  <w:style w:type="character" w:customStyle="1" w:styleId="41">
    <w:name w:val="标题 5 字符"/>
    <w:basedOn w:val="31"/>
    <w:link w:val="7"/>
    <w:semiHidden/>
    <w:qFormat/>
    <w:uiPriority w:val="9"/>
    <w:rPr>
      <w:rFonts w:cstheme="majorBidi"/>
      <w:color w:val="104862" w:themeColor="accent1" w:themeShade="BF"/>
      <w:sz w:val="24"/>
      <w:szCs w:val="24"/>
    </w:rPr>
  </w:style>
  <w:style w:type="character" w:customStyle="1" w:styleId="42">
    <w:name w:val="标题 6 字符"/>
    <w:basedOn w:val="31"/>
    <w:link w:val="8"/>
    <w:semiHidden/>
    <w:qFormat/>
    <w:uiPriority w:val="9"/>
    <w:rPr>
      <w:rFonts w:cstheme="majorBidi"/>
      <w:b/>
      <w:bCs/>
      <w:color w:val="104862" w:themeColor="accent1" w:themeShade="BF"/>
    </w:rPr>
  </w:style>
  <w:style w:type="character" w:customStyle="1" w:styleId="43">
    <w:name w:val="标题 7 字符"/>
    <w:basedOn w:val="31"/>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44">
    <w:name w:val="标题 8 字符"/>
    <w:basedOn w:val="31"/>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45">
    <w:name w:val="标题 9 字符"/>
    <w:basedOn w:val="31"/>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6">
    <w:name w:val="标题 字符"/>
    <w:basedOn w:val="31"/>
    <w:link w:val="25"/>
    <w:qFormat/>
    <w:uiPriority w:val="10"/>
    <w:rPr>
      <w:rFonts w:asciiTheme="majorHAnsi" w:hAnsiTheme="majorHAnsi" w:eastAsiaTheme="majorEastAsia" w:cstheme="majorBidi"/>
      <w:spacing w:val="-10"/>
      <w:kern w:val="28"/>
      <w:sz w:val="56"/>
      <w:szCs w:val="56"/>
    </w:rPr>
  </w:style>
  <w:style w:type="character" w:customStyle="1" w:styleId="47">
    <w:name w:val="副标题 字符"/>
    <w:basedOn w:val="31"/>
    <w:link w:val="2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8">
    <w:name w:val="Quote"/>
    <w:basedOn w:val="1"/>
    <w:next w:val="1"/>
    <w:link w:val="4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49">
    <w:name w:val="引用 字符"/>
    <w:basedOn w:val="31"/>
    <w:link w:val="48"/>
    <w:qFormat/>
    <w:uiPriority w:val="29"/>
    <w:rPr>
      <w:i/>
      <w:iCs/>
      <w:color w:val="404040" w:themeColor="text1" w:themeTint="BF"/>
      <w14:textFill>
        <w14:solidFill>
          <w14:schemeClr w14:val="tx1">
            <w14:lumMod w14:val="75000"/>
            <w14:lumOff w14:val="25000"/>
          </w14:schemeClr>
        </w14:solidFill>
      </w14:textFill>
    </w:rPr>
  </w:style>
  <w:style w:type="paragraph" w:styleId="50">
    <w:name w:val="List Paragraph"/>
    <w:basedOn w:val="1"/>
    <w:qFormat/>
    <w:uiPriority w:val="34"/>
    <w:pPr>
      <w:ind w:left="720"/>
      <w:contextualSpacing/>
    </w:pPr>
  </w:style>
  <w:style w:type="character" w:customStyle="1" w:styleId="51">
    <w:name w:val="明显强调1"/>
    <w:basedOn w:val="31"/>
    <w:qFormat/>
    <w:uiPriority w:val="21"/>
    <w:rPr>
      <w:i/>
      <w:iCs/>
      <w:color w:val="104862" w:themeColor="accent1" w:themeShade="BF"/>
    </w:rPr>
  </w:style>
  <w:style w:type="paragraph" w:styleId="52">
    <w:name w:val="Intense Quote"/>
    <w:basedOn w:val="1"/>
    <w:next w:val="1"/>
    <w:link w:val="5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53">
    <w:name w:val="明显引用 字符"/>
    <w:basedOn w:val="31"/>
    <w:link w:val="52"/>
    <w:qFormat/>
    <w:uiPriority w:val="30"/>
    <w:rPr>
      <w:i/>
      <w:iCs/>
      <w:color w:val="104862" w:themeColor="accent1" w:themeShade="BF"/>
    </w:rPr>
  </w:style>
  <w:style w:type="character" w:customStyle="1" w:styleId="54">
    <w:name w:val="明显参考1"/>
    <w:basedOn w:val="31"/>
    <w:qFormat/>
    <w:uiPriority w:val="32"/>
    <w:rPr>
      <w:b/>
      <w:bCs/>
      <w:smallCaps/>
      <w:color w:val="104862" w:themeColor="accent1" w:themeShade="BF"/>
      <w:spacing w:val="5"/>
    </w:rPr>
  </w:style>
  <w:style w:type="character" w:customStyle="1" w:styleId="55">
    <w:name w:val="标题 1 字符1"/>
    <w:qFormat/>
    <w:uiPriority w:val="0"/>
    <w:rPr>
      <w:rFonts w:ascii="Times New Roman" w:hAnsi="Times New Roman" w:eastAsia="宋体"/>
      <w:b/>
      <w:kern w:val="44"/>
      <w:sz w:val="44"/>
    </w:rPr>
  </w:style>
  <w:style w:type="character" w:customStyle="1" w:styleId="56">
    <w:name w:val="标题 2 字符1"/>
    <w:qFormat/>
    <w:uiPriority w:val="0"/>
    <w:rPr>
      <w:rFonts w:ascii="宋体" w:hAnsi="宋体" w:eastAsia="宋体"/>
      <w:b/>
      <w:kern w:val="2"/>
      <w:sz w:val="32"/>
    </w:rPr>
  </w:style>
  <w:style w:type="character" w:customStyle="1" w:styleId="57">
    <w:name w:val="标题 3 字符1"/>
    <w:qFormat/>
    <w:uiPriority w:val="0"/>
    <w:rPr>
      <w:rFonts w:ascii="宋体" w:hAnsi="宋体" w:eastAsia="宋体"/>
      <w:b/>
      <w:kern w:val="2"/>
      <w:sz w:val="28"/>
    </w:rPr>
  </w:style>
  <w:style w:type="character" w:customStyle="1" w:styleId="58">
    <w:name w:val="标题 4 字符1"/>
    <w:qFormat/>
    <w:uiPriority w:val="0"/>
    <w:rPr>
      <w:rFonts w:ascii="宋体" w:hAnsi="宋体" w:eastAsia="宋体"/>
      <w:b/>
      <w:kern w:val="2"/>
      <w:sz w:val="28"/>
      <w:szCs w:val="28"/>
    </w:rPr>
  </w:style>
  <w:style w:type="character" w:customStyle="1" w:styleId="59">
    <w:name w:val="标题 5 字符1"/>
    <w:qFormat/>
    <w:uiPriority w:val="0"/>
    <w:rPr>
      <w:rFonts w:ascii="Times New Roman" w:hAnsi="Times New Roman" w:eastAsia="宋体"/>
      <w:b/>
      <w:kern w:val="2"/>
      <w:sz w:val="28"/>
    </w:rPr>
  </w:style>
  <w:style w:type="character" w:customStyle="1" w:styleId="60">
    <w:name w:val="标题 6 字符1"/>
    <w:qFormat/>
    <w:uiPriority w:val="0"/>
    <w:rPr>
      <w:rFonts w:ascii="Arial" w:hAnsi="Arial" w:eastAsia="黑体"/>
      <w:b/>
      <w:sz w:val="24"/>
    </w:rPr>
  </w:style>
  <w:style w:type="character" w:customStyle="1" w:styleId="61">
    <w:name w:val="标题 7 字符1"/>
    <w:qFormat/>
    <w:uiPriority w:val="0"/>
    <w:rPr>
      <w:rFonts w:ascii="Times New Roman" w:hAnsi="Times New Roman" w:eastAsia="宋体"/>
      <w:b/>
      <w:sz w:val="24"/>
    </w:rPr>
  </w:style>
  <w:style w:type="character" w:customStyle="1" w:styleId="62">
    <w:name w:val="标题 8 字符1"/>
    <w:qFormat/>
    <w:uiPriority w:val="0"/>
    <w:rPr>
      <w:rFonts w:ascii="Arial" w:hAnsi="Arial" w:eastAsia="黑体"/>
      <w:sz w:val="24"/>
    </w:rPr>
  </w:style>
  <w:style w:type="character" w:customStyle="1" w:styleId="63">
    <w:name w:val="标题 9 字符1"/>
    <w:qFormat/>
    <w:uiPriority w:val="0"/>
    <w:rPr>
      <w:rFonts w:ascii="Arial" w:hAnsi="Arial" w:eastAsia="黑体"/>
      <w:sz w:val="21"/>
    </w:rPr>
  </w:style>
  <w:style w:type="paragraph" w:customStyle="1" w:styleId="64">
    <w:name w:val="_Style 41"/>
    <w:basedOn w:val="15"/>
    <w:next w:val="28"/>
    <w:link w:val="82"/>
    <w:qFormat/>
    <w:uiPriority w:val="0"/>
    <w:pPr>
      <w:ind w:firstLine="420" w:firstLineChars="200"/>
    </w:pPr>
    <w:rPr>
      <w:kern w:val="0"/>
      <w:sz w:val="20"/>
      <w:szCs w:val="20"/>
    </w:rPr>
  </w:style>
  <w:style w:type="character" w:customStyle="1" w:styleId="65">
    <w:name w:val="批注文字 字符"/>
    <w:basedOn w:val="31"/>
    <w:semiHidden/>
    <w:qFormat/>
    <w:uiPriority w:val="99"/>
  </w:style>
  <w:style w:type="character" w:customStyle="1" w:styleId="66">
    <w:name w:val="批注文字 字符1"/>
    <w:link w:val="14"/>
    <w:qFormat/>
    <w:uiPriority w:val="0"/>
    <w:rPr>
      <w:rFonts w:ascii="Times New Roman" w:hAnsi="Times New Roman" w:eastAsia="宋体" w:cs="Times New Roman"/>
      <w:szCs w:val="20"/>
    </w:rPr>
  </w:style>
  <w:style w:type="character" w:customStyle="1" w:styleId="67">
    <w:name w:val="正文文本 字符"/>
    <w:basedOn w:val="31"/>
    <w:semiHidden/>
    <w:qFormat/>
    <w:uiPriority w:val="99"/>
  </w:style>
  <w:style w:type="character" w:customStyle="1" w:styleId="68">
    <w:name w:val="正文文本 字符1"/>
    <w:link w:val="2"/>
    <w:qFormat/>
    <w:uiPriority w:val="0"/>
    <w:rPr>
      <w:rFonts w:ascii="Times New Roman" w:hAnsi="Times New Roman" w:eastAsia="宋体" w:cs="Times New Roman"/>
      <w:szCs w:val="20"/>
    </w:rPr>
  </w:style>
  <w:style w:type="character" w:customStyle="1" w:styleId="69">
    <w:name w:val="正文文本缩进 字符"/>
    <w:basedOn w:val="31"/>
    <w:semiHidden/>
    <w:qFormat/>
    <w:uiPriority w:val="99"/>
  </w:style>
  <w:style w:type="character" w:customStyle="1" w:styleId="70">
    <w:name w:val="正文文本缩进 字符1"/>
    <w:link w:val="15"/>
    <w:qFormat/>
    <w:uiPriority w:val="0"/>
    <w:rPr>
      <w:rFonts w:ascii="Times New Roman" w:hAnsi="Times New Roman" w:eastAsia="宋体" w:cs="Times New Roman"/>
    </w:rPr>
  </w:style>
  <w:style w:type="character" w:customStyle="1" w:styleId="71">
    <w:name w:val="纯文本 字符"/>
    <w:basedOn w:val="31"/>
    <w:semiHidden/>
    <w:qFormat/>
    <w:uiPriority w:val="99"/>
    <w:rPr>
      <w:rFonts w:hAnsi="Courier New" w:cs="Courier New" w:asciiTheme="minorEastAsia"/>
    </w:rPr>
  </w:style>
  <w:style w:type="character" w:customStyle="1" w:styleId="72">
    <w:name w:val="纯文本 字符1"/>
    <w:link w:val="18"/>
    <w:qFormat/>
    <w:uiPriority w:val="0"/>
    <w:rPr>
      <w:rFonts w:ascii="等线" w:hAnsi="Courier New" w:eastAsia="等线" w:cs="Times New Roman"/>
      <w:color w:val="000000"/>
      <w:kern w:val="0"/>
    </w:rPr>
  </w:style>
  <w:style w:type="character" w:customStyle="1" w:styleId="73">
    <w:name w:val="批注框文本 字符"/>
    <w:basedOn w:val="31"/>
    <w:semiHidden/>
    <w:qFormat/>
    <w:uiPriority w:val="99"/>
    <w:rPr>
      <w:sz w:val="18"/>
      <w:szCs w:val="18"/>
    </w:rPr>
  </w:style>
  <w:style w:type="character" w:customStyle="1" w:styleId="74">
    <w:name w:val="批注框文本 字符1"/>
    <w:link w:val="20"/>
    <w:qFormat/>
    <w:uiPriority w:val="0"/>
    <w:rPr>
      <w:rFonts w:ascii="Times New Roman" w:hAnsi="Times New Roman" w:eastAsia="宋体" w:cs="Times New Roman"/>
      <w:sz w:val="18"/>
      <w:szCs w:val="20"/>
    </w:rPr>
  </w:style>
  <w:style w:type="character" w:customStyle="1" w:styleId="75">
    <w:name w:val="页脚 字符"/>
    <w:basedOn w:val="31"/>
    <w:semiHidden/>
    <w:qFormat/>
    <w:uiPriority w:val="99"/>
    <w:rPr>
      <w:sz w:val="18"/>
      <w:szCs w:val="18"/>
    </w:rPr>
  </w:style>
  <w:style w:type="character" w:customStyle="1" w:styleId="76">
    <w:name w:val="页脚 字符1"/>
    <w:link w:val="21"/>
    <w:qFormat/>
    <w:uiPriority w:val="0"/>
    <w:rPr>
      <w:rFonts w:ascii="Calibri" w:hAnsi="Calibri" w:eastAsia="宋体" w:cs="Times New Roman"/>
      <w:sz w:val="22"/>
      <w:szCs w:val="20"/>
    </w:rPr>
  </w:style>
  <w:style w:type="character" w:customStyle="1" w:styleId="77">
    <w:name w:val="页眉 字符"/>
    <w:basedOn w:val="31"/>
    <w:semiHidden/>
    <w:qFormat/>
    <w:uiPriority w:val="99"/>
    <w:rPr>
      <w:sz w:val="18"/>
      <w:szCs w:val="18"/>
    </w:rPr>
  </w:style>
  <w:style w:type="character" w:customStyle="1" w:styleId="78">
    <w:name w:val="页眉 字符1"/>
    <w:link w:val="22"/>
    <w:qFormat/>
    <w:uiPriority w:val="0"/>
    <w:rPr>
      <w:rFonts w:ascii="Times New Roman" w:hAnsi="Times New Roman" w:eastAsia="宋体" w:cs="Times New Roman"/>
      <w:sz w:val="18"/>
      <w:szCs w:val="20"/>
    </w:rPr>
  </w:style>
  <w:style w:type="character" w:customStyle="1" w:styleId="79">
    <w:name w:val="标题 字符1"/>
    <w:qFormat/>
    <w:uiPriority w:val="0"/>
    <w:rPr>
      <w:rFonts w:ascii="Arial" w:hAnsi="Arial" w:eastAsia="宋体"/>
      <w:b/>
      <w:sz w:val="32"/>
    </w:rPr>
  </w:style>
  <w:style w:type="character" w:customStyle="1" w:styleId="80">
    <w:name w:val="批注主题 字符"/>
    <w:basedOn w:val="65"/>
    <w:semiHidden/>
    <w:qFormat/>
    <w:uiPriority w:val="99"/>
    <w:rPr>
      <w:b/>
      <w:bCs/>
    </w:rPr>
  </w:style>
  <w:style w:type="character" w:customStyle="1" w:styleId="81">
    <w:name w:val="批注主题 字符1"/>
    <w:link w:val="26"/>
    <w:qFormat/>
    <w:uiPriority w:val="0"/>
    <w:rPr>
      <w:rFonts w:ascii="Times New Roman" w:hAnsi="Times New Roman" w:eastAsia="宋体" w:cs="Times New Roman"/>
      <w:b/>
      <w:bCs/>
    </w:rPr>
  </w:style>
  <w:style w:type="character" w:customStyle="1" w:styleId="82">
    <w:name w:val="正文首行缩进 2 字符1"/>
    <w:link w:val="64"/>
    <w:qFormat/>
    <w:uiPriority w:val="0"/>
    <w:rPr>
      <w:rFonts w:ascii="Times New Roman" w:hAnsi="Times New Roman" w:eastAsia="宋体"/>
    </w:rPr>
  </w:style>
  <w:style w:type="character" w:customStyle="1" w:styleId="83">
    <w:name w:val="正文首行缩进 2 字符"/>
    <w:semiHidden/>
    <w:qFormat/>
    <w:uiPriority w:val="99"/>
  </w:style>
  <w:style w:type="paragraph" w:customStyle="1" w:styleId="84">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85">
    <w:name w:val="标题 5 Char Char"/>
    <w:qFormat/>
    <w:uiPriority w:val="0"/>
    <w:rPr>
      <w:rFonts w:eastAsia="宋体"/>
      <w:b/>
      <w:kern w:val="2"/>
      <w:sz w:val="28"/>
    </w:rPr>
  </w:style>
  <w:style w:type="character" w:customStyle="1" w:styleId="86">
    <w:name w:val="Body Text First Indent Char Char"/>
    <w:link w:val="87"/>
    <w:qFormat/>
    <w:uiPriority w:val="0"/>
    <w:rPr>
      <w:sz w:val="24"/>
    </w:rPr>
  </w:style>
  <w:style w:type="paragraph" w:customStyle="1" w:styleId="87">
    <w:name w:val="正文文本首行缩进1"/>
    <w:basedOn w:val="2"/>
    <w:link w:val="86"/>
    <w:qFormat/>
    <w:uiPriority w:val="0"/>
    <w:pPr>
      <w:spacing w:line="312" w:lineRule="auto"/>
      <w:ind w:firstLine="420"/>
    </w:pPr>
    <w:rPr>
      <w:rFonts w:asciiTheme="minorHAnsi" w:hAnsiTheme="minorHAnsi" w:eastAsiaTheme="minorEastAsia" w:cstheme="minorBidi"/>
      <w:sz w:val="24"/>
      <w:szCs w:val="22"/>
    </w:rPr>
  </w:style>
  <w:style w:type="character" w:customStyle="1" w:styleId="88">
    <w:name w:val="style_kwd"/>
    <w:qFormat/>
    <w:uiPriority w:val="0"/>
  </w:style>
  <w:style w:type="character" w:customStyle="1" w:styleId="89">
    <w:name w:val="Document Map Char Char"/>
    <w:link w:val="90"/>
    <w:qFormat/>
    <w:uiPriority w:val="0"/>
    <w:rPr>
      <w:rFonts w:ascii="宋体" w:hAnsi="Calibri"/>
      <w:sz w:val="18"/>
    </w:rPr>
  </w:style>
  <w:style w:type="paragraph" w:customStyle="1" w:styleId="90">
    <w:name w:val="文档结构图1"/>
    <w:basedOn w:val="1"/>
    <w:link w:val="89"/>
    <w:qFormat/>
    <w:uiPriority w:val="0"/>
    <w:rPr>
      <w:rFonts w:ascii="宋体" w:hAnsi="Calibri"/>
      <w:sz w:val="18"/>
    </w:rPr>
  </w:style>
  <w:style w:type="character" w:customStyle="1" w:styleId="91">
    <w:name w:val="正文文本 Char Char"/>
    <w:qFormat/>
    <w:uiPriority w:val="0"/>
    <w:rPr>
      <w:rFonts w:eastAsia="宋体"/>
      <w:kern w:val="2"/>
      <w:sz w:val="24"/>
      <w:lang w:val="en-US" w:eastAsia="zh-CN"/>
    </w:rPr>
  </w:style>
  <w:style w:type="character" w:customStyle="1" w:styleId="92">
    <w:name w:val="页码1"/>
    <w:qFormat/>
    <w:uiPriority w:val="0"/>
    <w:rPr>
      <w:rFonts w:cs="Times New Roman"/>
    </w:rPr>
  </w:style>
  <w:style w:type="character" w:customStyle="1" w:styleId="93">
    <w:name w:val="Date Char Char"/>
    <w:link w:val="94"/>
    <w:qFormat/>
    <w:uiPriority w:val="0"/>
  </w:style>
  <w:style w:type="paragraph" w:customStyle="1" w:styleId="94">
    <w:name w:val="日期1"/>
    <w:basedOn w:val="1"/>
    <w:next w:val="1"/>
    <w:link w:val="93"/>
    <w:qFormat/>
    <w:uiPriority w:val="0"/>
    <w:pPr>
      <w:ind w:left="2500" w:leftChars="2500"/>
    </w:pPr>
  </w:style>
  <w:style w:type="character" w:customStyle="1" w:styleId="95">
    <w:name w:val="Comment Subject Char"/>
    <w:link w:val="96"/>
    <w:qFormat/>
    <w:uiPriority w:val="0"/>
  </w:style>
  <w:style w:type="paragraph" w:customStyle="1" w:styleId="96">
    <w:name w:val="批注主题1"/>
    <w:basedOn w:val="14"/>
    <w:next w:val="14"/>
    <w:link w:val="95"/>
    <w:qFormat/>
    <w:uiPriority w:val="0"/>
    <w:rPr>
      <w:rFonts w:asciiTheme="minorHAnsi" w:hAnsiTheme="minorHAnsi" w:eastAsiaTheme="minorEastAsia" w:cstheme="minorBidi"/>
      <w:szCs w:val="22"/>
    </w:rPr>
  </w:style>
  <w:style w:type="character" w:customStyle="1" w:styleId="97">
    <w:name w:val="Body Text 3 Char Char"/>
    <w:link w:val="98"/>
    <w:qFormat/>
    <w:uiPriority w:val="0"/>
    <w:rPr>
      <w:rFonts w:ascii="宋体" w:hAnsi="Calibri"/>
      <w:sz w:val="24"/>
    </w:rPr>
  </w:style>
  <w:style w:type="paragraph" w:customStyle="1" w:styleId="98">
    <w:name w:val="正文文本 31"/>
    <w:basedOn w:val="1"/>
    <w:link w:val="97"/>
    <w:qFormat/>
    <w:uiPriority w:val="0"/>
    <w:rPr>
      <w:rFonts w:ascii="宋体" w:hAnsi="Calibri"/>
      <w:sz w:val="24"/>
    </w:rPr>
  </w:style>
  <w:style w:type="character" w:customStyle="1" w:styleId="99">
    <w:name w:val="正文首行缩进 Char1"/>
    <w:qFormat/>
    <w:uiPriority w:val="0"/>
    <w:rPr>
      <w:rFonts w:eastAsia="宋体"/>
      <w:kern w:val="2"/>
      <w:sz w:val="21"/>
    </w:rPr>
  </w:style>
  <w:style w:type="character" w:customStyle="1" w:styleId="100">
    <w:name w:val="文一 Char Char"/>
    <w:link w:val="101"/>
    <w:qFormat/>
    <w:uiPriority w:val="0"/>
    <w:rPr>
      <w:spacing w:val="4"/>
      <w:sz w:val="24"/>
    </w:rPr>
  </w:style>
  <w:style w:type="paragraph" w:customStyle="1" w:styleId="101">
    <w:name w:val="文一"/>
    <w:basedOn w:val="1"/>
    <w:link w:val="100"/>
    <w:qFormat/>
    <w:uiPriority w:val="0"/>
    <w:pPr>
      <w:topLinePunct/>
      <w:adjustRightInd w:val="0"/>
      <w:snapToGrid w:val="0"/>
      <w:spacing w:line="360" w:lineRule="auto"/>
      <w:ind w:firstLine="200" w:firstLineChars="200"/>
    </w:pPr>
    <w:rPr>
      <w:spacing w:val="4"/>
      <w:sz w:val="24"/>
    </w:rPr>
  </w:style>
  <w:style w:type="character" w:customStyle="1" w:styleId="102">
    <w:name w:val="Body Text Indent 3 Char Char"/>
    <w:link w:val="103"/>
    <w:qFormat/>
    <w:uiPriority w:val="0"/>
    <w:rPr>
      <w:rFonts w:ascii="Calibri" w:hAnsi="Calibri"/>
      <w:sz w:val="16"/>
    </w:rPr>
  </w:style>
  <w:style w:type="paragraph" w:customStyle="1" w:styleId="103">
    <w:name w:val="正文文本缩进 31"/>
    <w:basedOn w:val="1"/>
    <w:link w:val="102"/>
    <w:qFormat/>
    <w:uiPriority w:val="0"/>
    <w:pPr>
      <w:spacing w:after="120"/>
      <w:ind w:left="200" w:leftChars="200"/>
    </w:pPr>
    <w:rPr>
      <w:rFonts w:ascii="Calibri" w:hAnsi="Calibri"/>
      <w:sz w:val="16"/>
    </w:rPr>
  </w:style>
  <w:style w:type="character" w:customStyle="1" w:styleId="104">
    <w:name w:val="Comment Text Char"/>
    <w:qFormat/>
    <w:uiPriority w:val="0"/>
    <w:rPr>
      <w:rFonts w:cs="Times New Roman"/>
    </w:rPr>
  </w:style>
  <w:style w:type="character" w:customStyle="1" w:styleId="105">
    <w:name w:val="Body Text Indent Char Char"/>
    <w:link w:val="106"/>
    <w:qFormat/>
    <w:uiPriority w:val="0"/>
  </w:style>
  <w:style w:type="paragraph" w:customStyle="1" w:styleId="106">
    <w:name w:val="正文文本缩进1"/>
    <w:basedOn w:val="1"/>
    <w:link w:val="105"/>
    <w:qFormat/>
    <w:uiPriority w:val="0"/>
    <w:pPr>
      <w:spacing w:after="120"/>
      <w:ind w:left="420" w:leftChars="200"/>
    </w:pPr>
  </w:style>
  <w:style w:type="character" w:customStyle="1" w:styleId="107">
    <w:name w:val="font161"/>
    <w:qFormat/>
    <w:uiPriority w:val="0"/>
    <w:rPr>
      <w:b/>
      <w:sz w:val="32"/>
    </w:rPr>
  </w:style>
  <w:style w:type="character" w:customStyle="1" w:styleId="108">
    <w:name w:val="Plain Text Char Char"/>
    <w:link w:val="109"/>
    <w:qFormat/>
    <w:uiPriority w:val="0"/>
    <w:rPr>
      <w:rFonts w:ascii="宋体" w:hAnsi="Calibri"/>
      <w:sz w:val="22"/>
    </w:rPr>
  </w:style>
  <w:style w:type="paragraph" w:customStyle="1" w:styleId="109">
    <w:name w:val="纯文本1"/>
    <w:basedOn w:val="1"/>
    <w:link w:val="108"/>
    <w:qFormat/>
    <w:uiPriority w:val="0"/>
    <w:rPr>
      <w:rFonts w:ascii="宋体" w:hAnsi="Calibri"/>
      <w:sz w:val="22"/>
    </w:rPr>
  </w:style>
  <w:style w:type="character" w:customStyle="1" w:styleId="110">
    <w:name w:val="页脚 Char Char"/>
    <w:qFormat/>
    <w:uiPriority w:val="0"/>
    <w:rPr>
      <w:rFonts w:ascii="Calibri" w:hAnsi="Calibri" w:eastAsia="宋体"/>
      <w:kern w:val="2"/>
      <w:sz w:val="22"/>
    </w:rPr>
  </w:style>
  <w:style w:type="character" w:customStyle="1" w:styleId="111">
    <w:name w:val="批注文字 Char1"/>
    <w:qFormat/>
    <w:uiPriority w:val="0"/>
    <w:rPr>
      <w:rFonts w:ascii="Times New Roman" w:hAnsi="Times New Roman" w:eastAsia="宋体"/>
      <w:sz w:val="20"/>
    </w:rPr>
  </w:style>
  <w:style w:type="character" w:customStyle="1" w:styleId="112">
    <w:name w:val="批注文字 Char2"/>
    <w:qFormat/>
    <w:uiPriority w:val="0"/>
    <w:rPr>
      <w:rFonts w:ascii="Times New Roman" w:hAnsi="Times New Roman"/>
      <w:kern w:val="2"/>
      <w:sz w:val="24"/>
    </w:rPr>
  </w:style>
  <w:style w:type="character" w:customStyle="1" w:styleId="113">
    <w:name w:val="批注引用1"/>
    <w:qFormat/>
    <w:uiPriority w:val="0"/>
    <w:rPr>
      <w:rFonts w:cs="Times New Roman"/>
      <w:sz w:val="21"/>
    </w:rPr>
  </w:style>
  <w:style w:type="character" w:customStyle="1" w:styleId="114">
    <w:name w:val="样式3 字符"/>
    <w:link w:val="115"/>
    <w:qFormat/>
    <w:uiPriority w:val="0"/>
    <w:rPr>
      <w:rFonts w:ascii="宋体" w:hAnsi="宋体"/>
      <w:szCs w:val="21"/>
    </w:rPr>
  </w:style>
  <w:style w:type="paragraph" w:customStyle="1" w:styleId="115">
    <w:name w:val="样式3"/>
    <w:basedOn w:val="2"/>
    <w:link w:val="114"/>
    <w:qFormat/>
    <w:uiPriority w:val="0"/>
    <w:pPr>
      <w:kinsoku w:val="0"/>
      <w:overflowPunct w:val="0"/>
      <w:spacing w:before="21" w:line="328" w:lineRule="auto"/>
      <w:ind w:left="100" w:firstLine="419"/>
    </w:pPr>
    <w:rPr>
      <w:rFonts w:ascii="宋体" w:hAnsi="宋体" w:eastAsiaTheme="minorEastAsia" w:cstheme="minorBidi"/>
      <w:szCs w:val="21"/>
    </w:rPr>
  </w:style>
  <w:style w:type="paragraph" w:customStyle="1" w:styleId="116">
    <w:name w:val="Char1"/>
    <w:basedOn w:val="1"/>
    <w:qFormat/>
    <w:uiPriority w:val="0"/>
    <w:pPr>
      <w:tabs>
        <w:tab w:val="left" w:pos="360"/>
      </w:tabs>
    </w:pPr>
    <w:rPr>
      <w:rFonts w:ascii="Times New Roman" w:hAnsi="Times New Roman" w:eastAsia="宋体" w:cs="Times New Roman"/>
      <w:sz w:val="24"/>
      <w:szCs w:val="20"/>
    </w:rPr>
  </w:style>
  <w:style w:type="paragraph" w:customStyle="1" w:styleId="117">
    <w:name w:val="表格"/>
    <w:basedOn w:val="1"/>
    <w:qFormat/>
    <w:uiPriority w:val="0"/>
    <w:pPr>
      <w:jc w:val="center"/>
      <w:textAlignment w:val="center"/>
    </w:pPr>
    <w:rPr>
      <w:rFonts w:ascii="华文细黑" w:hAnsi="华文细黑" w:eastAsia="宋体" w:cs="Times New Roman"/>
      <w:kern w:val="0"/>
      <w:szCs w:val="20"/>
    </w:rPr>
  </w:style>
  <w:style w:type="paragraph" w:customStyle="1" w:styleId="118">
    <w:name w:val="修订1"/>
    <w:unhideWhenUsed/>
    <w:qFormat/>
    <w:uiPriority w:val="99"/>
    <w:rPr>
      <w:rFonts w:ascii="Times New Roman" w:hAnsi="Times New Roman" w:eastAsia="宋体" w:cs="Times New Roman"/>
      <w:kern w:val="2"/>
      <w:sz w:val="21"/>
      <w:szCs w:val="22"/>
      <w:lang w:val="en-US" w:eastAsia="zh-CN" w:bidi="ar-SA"/>
    </w:rPr>
  </w:style>
  <w:style w:type="paragraph" w:customStyle="1" w:styleId="119">
    <w:name w:val="样式 标题 2 + Times New Roman 四号 非加粗 段前: 5 磅 段后: 0 磅 行距: 固定值 20..."/>
    <w:basedOn w:val="4"/>
    <w:qFormat/>
    <w:uiPriority w:val="0"/>
    <w:pPr>
      <w:keepNext w:val="0"/>
      <w:keepLines w:val="0"/>
      <w:spacing w:before="100" w:after="0" w:line="400" w:lineRule="exact"/>
      <w:jc w:val="center"/>
    </w:pPr>
    <w:rPr>
      <w:rFonts w:ascii="Times New Roman" w:hAnsi="Times New Roman" w:eastAsia="宋体" w:cs="宋体"/>
      <w:color w:val="auto"/>
      <w:sz w:val="28"/>
      <w:szCs w:val="20"/>
    </w:rPr>
  </w:style>
  <w:style w:type="paragraph" w:customStyle="1" w:styleId="120">
    <w:name w:val="样式2"/>
    <w:basedOn w:val="5"/>
    <w:qFormat/>
    <w:uiPriority w:val="0"/>
    <w:pPr>
      <w:spacing w:before="0" w:after="0" w:line="415" w:lineRule="auto"/>
      <w:ind w:firstLine="137"/>
    </w:pPr>
    <w:rPr>
      <w:rFonts w:ascii="宋体" w:hAnsi="宋体" w:eastAsia="宋体" w:cs="Times New Roman"/>
      <w:b/>
      <w:bCs/>
      <w:i/>
      <w:color w:val="auto"/>
      <w:sz w:val="28"/>
      <w:szCs w:val="28"/>
    </w:rPr>
  </w:style>
  <w:style w:type="paragraph" w:customStyle="1" w:styleId="12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22">
    <w:name w:val="普通(网站)1"/>
    <w:basedOn w:val="1"/>
    <w:qFormat/>
    <w:uiPriority w:val="0"/>
    <w:pPr>
      <w:widowControl/>
      <w:spacing w:before="100" w:beforeAutospacing="1" w:after="100" w:afterAutospacing="1"/>
      <w:jc w:val="left"/>
    </w:pPr>
    <w:rPr>
      <w:rFonts w:ascii="宋体" w:hAnsi="宋体" w:eastAsia="宋体" w:cs="宋体"/>
      <w:color w:val="000000"/>
      <w:kern w:val="0"/>
      <w:sz w:val="24"/>
      <w:szCs w:val="20"/>
    </w:rPr>
  </w:style>
  <w:style w:type="paragraph" w:customStyle="1" w:styleId="123">
    <w:name w:val="表格文字"/>
    <w:basedOn w:val="1"/>
    <w:qFormat/>
    <w:uiPriority w:val="0"/>
    <w:pPr>
      <w:adjustRightInd w:val="0"/>
      <w:spacing w:line="420" w:lineRule="atLeast"/>
      <w:jc w:val="left"/>
      <w:textAlignment w:val="baseline"/>
    </w:pPr>
    <w:rPr>
      <w:rFonts w:ascii="Times New Roman" w:hAnsi="Times New Roman" w:eastAsia="宋体" w:cs="Times New Roman"/>
      <w:kern w:val="0"/>
      <w:szCs w:val="20"/>
    </w:rPr>
  </w:style>
  <w:style w:type="paragraph" w:customStyle="1" w:styleId="124">
    <w:name w:val="p0"/>
    <w:basedOn w:val="1"/>
    <w:qFormat/>
    <w:uiPriority w:val="0"/>
    <w:pPr>
      <w:widowControl/>
    </w:pPr>
    <w:rPr>
      <w:rFonts w:ascii="Times New Roman" w:hAnsi="Times New Roman" w:eastAsia="宋体" w:cs="宋体"/>
      <w:kern w:val="0"/>
      <w:szCs w:val="21"/>
    </w:rPr>
  </w:style>
  <w:style w:type="paragraph" w:customStyle="1" w:styleId="125">
    <w:name w:val="正文缩进1"/>
    <w:basedOn w:val="1"/>
    <w:qFormat/>
    <w:uiPriority w:val="0"/>
    <w:pPr>
      <w:ind w:firstLine="420"/>
    </w:pPr>
    <w:rPr>
      <w:rFonts w:ascii="Times New Roman" w:hAnsi="Times New Roman" w:eastAsia="宋体" w:cs="Times New Roman"/>
    </w:rPr>
  </w:style>
  <w:style w:type="paragraph" w:customStyle="1" w:styleId="126">
    <w:name w:val="列表段落1"/>
    <w:basedOn w:val="1"/>
    <w:qFormat/>
    <w:uiPriority w:val="0"/>
    <w:pPr>
      <w:ind w:firstLine="420" w:firstLineChars="200"/>
    </w:pPr>
    <w:rPr>
      <w:rFonts w:ascii="Times New Roman" w:hAnsi="Times New Roman" w:eastAsia="宋体" w:cs="Times New Roman"/>
    </w:rPr>
  </w:style>
  <w:style w:type="paragraph" w:customStyle="1" w:styleId="127">
    <w:name w:val="修订111"/>
    <w:qFormat/>
    <w:uiPriority w:val="0"/>
    <w:rPr>
      <w:rFonts w:ascii="Times New Roman" w:hAnsi="Times New Roman" w:eastAsia="宋体" w:cs="Times New Roman"/>
      <w:kern w:val="2"/>
      <w:sz w:val="21"/>
      <w:lang w:val="en-US" w:eastAsia="zh-CN" w:bidi="ar-SA"/>
    </w:rPr>
  </w:style>
  <w:style w:type="paragraph" w:customStyle="1" w:styleId="128">
    <w:name w:val="6'"/>
    <w:basedOn w:val="1"/>
    <w:qFormat/>
    <w:uiPriority w:val="0"/>
    <w:pPr>
      <w:autoSpaceDE w:val="0"/>
      <w:autoSpaceDN w:val="0"/>
      <w:adjustRightInd w:val="0"/>
      <w:snapToGrid w:val="0"/>
      <w:spacing w:line="320" w:lineRule="exact"/>
      <w:jc w:val="center"/>
      <w:textAlignment w:val="baseline"/>
    </w:pPr>
    <w:rPr>
      <w:rFonts w:ascii="Times New Roman" w:hAnsi="Times New Roman" w:eastAsia="宋体" w:cs="Times New Roman"/>
      <w:spacing w:val="20"/>
      <w:kern w:val="28"/>
      <w:szCs w:val="20"/>
    </w:rPr>
  </w:style>
  <w:style w:type="paragraph" w:customStyle="1" w:styleId="129">
    <w:name w:val="_Style 23"/>
    <w:basedOn w:val="1"/>
    <w:qFormat/>
    <w:uiPriority w:val="0"/>
    <w:pPr>
      <w:widowControl/>
      <w:spacing w:after="160" w:line="240" w:lineRule="exact"/>
      <w:jc w:val="left"/>
    </w:pPr>
    <w:rPr>
      <w:rFonts w:ascii="Times New Roman" w:hAnsi="Times New Roman" w:eastAsia="宋体" w:cs="Times New Roman"/>
    </w:rPr>
  </w:style>
  <w:style w:type="paragraph" w:customStyle="1" w:styleId="130">
    <w:name w:val="文二"/>
    <w:basedOn w:val="1"/>
    <w:qFormat/>
    <w:uiPriority w:val="0"/>
    <w:rPr>
      <w:rFonts w:ascii="宋体" w:hAnsi="宋体" w:eastAsia="宋体" w:cs="Times New Roman"/>
      <w:szCs w:val="21"/>
    </w:rPr>
  </w:style>
  <w:style w:type="paragraph" w:customStyle="1" w:styleId="131">
    <w:name w:val="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2">
    <w:name w:val="Table Paragraph"/>
    <w:basedOn w:val="1"/>
    <w:qFormat/>
    <w:uiPriority w:val="0"/>
    <w:pPr>
      <w:autoSpaceDE w:val="0"/>
      <w:autoSpaceDN w:val="0"/>
      <w:jc w:val="left"/>
    </w:pPr>
    <w:rPr>
      <w:rFonts w:ascii="宋体" w:hAnsi="宋体" w:eastAsia="宋体" w:cs="宋体"/>
      <w:kern w:val="0"/>
      <w:sz w:val="22"/>
      <w:lang w:val="zh-CN"/>
    </w:rPr>
  </w:style>
  <w:style w:type="paragraph" w:customStyle="1" w:styleId="133">
    <w:name w:val="索引 11"/>
    <w:basedOn w:val="1"/>
    <w:next w:val="1"/>
    <w:qFormat/>
    <w:uiPriority w:val="0"/>
    <w:pPr>
      <w:spacing w:line="220" w:lineRule="exact"/>
      <w:jc w:val="center"/>
    </w:pPr>
    <w:rPr>
      <w:rFonts w:ascii="仿宋_GB2312" w:hAnsi="Times New Roman" w:eastAsia="仿宋_GB2312" w:cs="Times New Roman"/>
      <w:szCs w:val="21"/>
    </w:rPr>
  </w:style>
  <w:style w:type="paragraph" w:customStyle="1" w:styleId="134">
    <w:name w:val="TOC 标题1"/>
    <w:basedOn w:val="3"/>
    <w:next w:val="1"/>
    <w:qFormat/>
    <w:uiPriority w:val="0"/>
    <w:pPr>
      <w:keepNext w:val="0"/>
      <w:keepLines w:val="0"/>
      <w:widowControl/>
      <w:spacing w:after="0" w:line="276" w:lineRule="auto"/>
      <w:jc w:val="left"/>
      <w:outlineLvl w:val="9"/>
    </w:pPr>
    <w:rPr>
      <w:rFonts w:ascii="Cambria" w:hAnsi="Cambria" w:eastAsia="宋体" w:cs="Times New Roman"/>
      <w:b/>
      <w:color w:val="365F91"/>
      <w:kern w:val="0"/>
      <w:sz w:val="28"/>
      <w:szCs w:val="20"/>
    </w:rPr>
  </w:style>
  <w:style w:type="paragraph" w:customStyle="1" w:styleId="135">
    <w:name w:val="样式 标题 1 + 黑体 三号 非加粗 居中 段前: 6 磅 段后: 6 磅 行距: 固定值 20 磅"/>
    <w:basedOn w:val="3"/>
    <w:qFormat/>
    <w:uiPriority w:val="0"/>
    <w:pPr>
      <w:keepNext w:val="0"/>
      <w:keepLines w:val="0"/>
      <w:spacing w:before="120" w:after="120" w:line="400" w:lineRule="exact"/>
      <w:jc w:val="center"/>
    </w:pPr>
    <w:rPr>
      <w:rFonts w:ascii="黑体" w:hAnsi="黑体" w:eastAsia="黑体" w:cs="宋体"/>
      <w:color w:val="auto"/>
      <w:kern w:val="44"/>
      <w:sz w:val="32"/>
      <w:szCs w:val="20"/>
    </w:rPr>
  </w:style>
  <w:style w:type="paragraph" w:customStyle="1" w:styleId="136">
    <w:name w:val="修订2"/>
    <w:qFormat/>
    <w:uiPriority w:val="0"/>
    <w:rPr>
      <w:rFonts w:ascii="Times New Roman" w:hAnsi="Times New Roman" w:eastAsia="宋体" w:cs="Times New Roman"/>
      <w:kern w:val="2"/>
      <w:sz w:val="21"/>
      <w:szCs w:val="22"/>
      <w:lang w:val="en-US" w:eastAsia="zh-CN" w:bidi="ar-SA"/>
    </w:rPr>
  </w:style>
  <w:style w:type="paragraph" w:customStyle="1" w:styleId="137">
    <w:name w:val="样式 标题 3 + (中文) 黑体 小四 非加粗 段前: 7.8 磅 段后: 0 磅 行距: 固定值 20 磅"/>
    <w:basedOn w:val="5"/>
    <w:qFormat/>
    <w:uiPriority w:val="0"/>
    <w:pPr>
      <w:spacing w:before="0" w:after="0" w:line="400" w:lineRule="exact"/>
      <w:ind w:firstLine="137"/>
    </w:pPr>
    <w:rPr>
      <w:rFonts w:ascii="宋体" w:hAnsi="宋体" w:eastAsia="宋体" w:cs="宋体"/>
      <w:b/>
      <w:color w:val="auto"/>
      <w:sz w:val="24"/>
      <w:szCs w:val="20"/>
    </w:rPr>
  </w:style>
  <w:style w:type="paragraph" w:customStyle="1" w:styleId="138">
    <w:name w:val="我的正文"/>
    <w:basedOn w:val="1"/>
    <w:qFormat/>
    <w:uiPriority w:val="0"/>
    <w:rPr>
      <w:rFonts w:ascii="宋体" w:hAnsi="宋体" w:eastAsia="宋体" w:cs="Times New Roman"/>
      <w:sz w:val="24"/>
      <w:szCs w:val="24"/>
    </w:rPr>
  </w:style>
  <w:style w:type="paragraph" w:customStyle="1" w:styleId="139">
    <w:name w:val="修订11"/>
    <w:qFormat/>
    <w:uiPriority w:val="0"/>
    <w:rPr>
      <w:rFonts w:ascii="Times New Roman" w:hAnsi="Times New Roman" w:eastAsia="宋体" w:cs="Times New Roman"/>
      <w:kern w:val="2"/>
      <w:sz w:val="21"/>
      <w:szCs w:val="24"/>
      <w:lang w:val="en-US" w:eastAsia="zh-CN" w:bidi="ar-SA"/>
    </w:rPr>
  </w:style>
  <w:style w:type="paragraph" w:customStyle="1" w:styleId="140">
    <w:name w:val="_Style 57"/>
    <w:qFormat/>
    <w:uiPriority w:val="0"/>
    <w:rPr>
      <w:rFonts w:ascii="Times New Roman" w:hAnsi="Times New Roman" w:eastAsia="宋体" w:cs="Times New Roman"/>
      <w:kern w:val="2"/>
      <w:sz w:val="21"/>
      <w:szCs w:val="22"/>
      <w:lang w:val="en-US" w:eastAsia="zh-CN" w:bidi="ar-SA"/>
    </w:rPr>
  </w:style>
  <w:style w:type="paragraph" w:customStyle="1" w:styleId="141">
    <w:name w:val="1"/>
    <w:basedOn w:val="1"/>
    <w:qFormat/>
    <w:uiPriority w:val="0"/>
    <w:rPr>
      <w:rFonts w:ascii="Times New Roman" w:hAnsi="Times New Roman" w:eastAsia="宋体" w:cs="Times New Roman"/>
      <w:szCs w:val="20"/>
    </w:rPr>
  </w:style>
  <w:style w:type="paragraph" w:customStyle="1" w:styleId="142">
    <w:name w:val="修订21"/>
    <w:qFormat/>
    <w:uiPriority w:val="0"/>
    <w:rPr>
      <w:rFonts w:ascii="Times New Roman" w:hAnsi="Times New Roman" w:eastAsia="宋体" w:cs="Times New Roman"/>
      <w:kern w:val="2"/>
      <w:sz w:val="21"/>
      <w:szCs w:val="24"/>
      <w:lang w:val="en-US" w:eastAsia="zh-CN" w:bidi="ar-SA"/>
    </w:rPr>
  </w:style>
  <w:style w:type="paragraph" w:customStyle="1" w:styleId="143">
    <w:name w:val="_Style 58"/>
    <w:basedOn w:val="1"/>
    <w:qFormat/>
    <w:uiPriority w:val="0"/>
    <w:pPr>
      <w:ind w:firstLine="420" w:firstLineChars="200"/>
    </w:pPr>
    <w:rPr>
      <w:rFonts w:ascii="Times New Roman" w:hAnsi="Times New Roman" w:eastAsia="宋体" w:cs="Times New Roman"/>
    </w:rPr>
  </w:style>
  <w:style w:type="paragraph" w:customStyle="1" w:styleId="144">
    <w:name w:val="样式1"/>
    <w:basedOn w:val="1"/>
    <w:next w:val="6"/>
    <w:qFormat/>
    <w:uiPriority w:val="0"/>
    <w:pPr>
      <w:spacing w:line="360" w:lineRule="auto"/>
      <w:ind w:firstLine="420" w:firstLineChars="200"/>
    </w:pPr>
    <w:rPr>
      <w:rFonts w:ascii="宋体" w:hAnsi="宋体" w:eastAsia="宋体" w:cs="Times New Roman"/>
      <w:szCs w:val="21"/>
    </w:rPr>
  </w:style>
  <w:style w:type="character" w:customStyle="1" w:styleId="145">
    <w:name w:val="正文文本首行缩进 2 字符"/>
    <w:basedOn w:val="69"/>
    <w:link w:val="28"/>
    <w:semiHidden/>
    <w:qFormat/>
    <w:uiPriority w:val="99"/>
    <w:rPr>
      <w:rFonts w:ascii="等线" w:hAnsi="等线" w:eastAsia="等线" w:cs="Times New Roman"/>
    </w:rPr>
  </w:style>
  <w:style w:type="character" w:customStyle="1" w:styleId="146">
    <w:name w:val="正文文本首行缩进 字符"/>
    <w:basedOn w:val="68"/>
    <w:link w:val="27"/>
    <w:qFormat/>
    <w:uiPriority w:val="0"/>
    <w:rPr>
      <w:rFonts w:ascii="Calibri" w:hAnsi="Calibri" w:eastAsia="宋体" w:cs="Times New Roman"/>
      <w:szCs w:val="20"/>
    </w:rPr>
  </w:style>
  <w:style w:type="paragraph" w:customStyle="1" w:styleId="147">
    <w:name w:val="Heading 2"/>
    <w:basedOn w:val="1"/>
    <w:unhideWhenUsed/>
    <w:qFormat/>
    <w:uiPriority w:val="1"/>
    <w:pPr>
      <w:spacing w:beforeLines="0" w:afterLines="0"/>
      <w:outlineLvl w:val="1"/>
    </w:pPr>
    <w:rPr>
      <w:rFonts w:hint="eastAsia" w:ascii="宋体" w:hAnsi="宋体" w:eastAsia="宋体"/>
      <w:sz w:val="32"/>
    </w:rPr>
  </w:style>
  <w:style w:type="character" w:customStyle="1" w:styleId="148">
    <w:name w:val="标题 3 Char"/>
    <w:link w:val="5"/>
    <w:qFormat/>
    <w:uiPriority w:val="0"/>
    <w:rPr>
      <w:rFonts w:ascii="Times New Roman" w:hAnsi="Times New Roman" w:eastAsia="宋体"/>
      <w:b/>
      <w:bCs/>
      <w:sz w:val="28"/>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78</Pages>
  <Words>20853</Words>
  <Characters>22480</Characters>
  <Lines>1</Lines>
  <Paragraphs>1</Paragraphs>
  <TotalTime>23</TotalTime>
  <ScaleCrop>false</ScaleCrop>
  <LinksUpToDate>false</LinksUpToDate>
  <CharactersWithSpaces>22751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2025-04-14T02:30:00Z</dcterms:created>
  <dc:creator>13578</dc:creator>
  <cp:lastModifiedBy>SHERRY</cp:lastModifiedBy>
  <cp:lastPrinted>2025-04-23T09:53:00Z</cp:lastPrinted>
  <dcterms:modified xsi:type="dcterms:W3CDTF">2025-06-06T10:25:21Z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eyJoZGlkIjoiODViY2JkMjU3NGYzZTEwMzZmMGFkZWViYmNkYWU3NDIiLCJ1c2VySWQiOiIzNDQzMjI4MjgifQ==</vt:lpwstr>
  </property>
  <property fmtid="{D5CDD505-2E9C-101B-9397-08002B2CF9AE}" pid="3" name="KSOProductBuildVer">
    <vt:lpwstr>2052-12.1.0.21171</vt:lpwstr>
  </property>
  <property fmtid="{D5CDD505-2E9C-101B-9397-08002B2CF9AE}" pid="4" name="ICV">
    <vt:lpwstr>4287038AEBC46F93263941680D6A7921</vt:lpwstr>
  </property>
</Properties>
</file>