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6C71F">
      <w:pPr>
        <w:wordWrap w:val="0"/>
        <w:jc w:val="center"/>
        <w:rPr>
          <w:rFonts w:hint="eastAsia" w:ascii="宋体" w:hAnsi="宋体" w:eastAsia="宋体" w:cs="Times New Roman"/>
          <w:color w:val="auto"/>
          <w:sz w:val="72"/>
          <w:szCs w:val="72"/>
          <w:highlight w:val="none"/>
        </w:rPr>
      </w:pPr>
      <w:r>
        <w:rPr>
          <w:rFonts w:hint="eastAsia" w:ascii="宋体" w:hAnsi="宋体" w:eastAsia="宋体" w:cs="宋体"/>
          <w:b/>
          <w:color w:val="auto"/>
          <w:sz w:val="52"/>
          <w:szCs w:val="52"/>
          <w:highlight w:val="none"/>
        </w:rPr>
        <w:t>城维计划-桥梁中修专项经费-官洲隧道中修工程监理</w:t>
      </w:r>
    </w:p>
    <w:p w14:paraId="78B3C9C6">
      <w:pPr>
        <w:widowControl/>
        <w:wordWrap w:val="0"/>
        <w:rPr>
          <w:rFonts w:hint="eastAsia" w:ascii="宋体" w:hAnsi="宋体" w:eastAsia="宋体" w:cs="Times New Roman"/>
          <w:color w:val="auto"/>
          <w:kern w:val="0"/>
          <w:highlight w:val="none"/>
        </w:rPr>
      </w:pPr>
    </w:p>
    <w:p w14:paraId="61C14102">
      <w:pPr>
        <w:widowControl/>
        <w:wordWrap w:val="0"/>
        <w:rPr>
          <w:rFonts w:hint="eastAsia" w:ascii="宋体" w:hAnsi="宋体" w:eastAsia="宋体" w:cs="Times New Roman"/>
          <w:color w:val="auto"/>
          <w:szCs w:val="24"/>
          <w:highlight w:val="none"/>
        </w:rPr>
      </w:pPr>
    </w:p>
    <w:p w14:paraId="270D8AC0">
      <w:pPr>
        <w:widowControl/>
        <w:wordWrap w:val="0"/>
        <w:rPr>
          <w:rFonts w:hint="eastAsia" w:ascii="宋体" w:hAnsi="宋体" w:eastAsia="宋体" w:cs="Times New Roman"/>
          <w:color w:val="auto"/>
          <w:kern w:val="0"/>
          <w:highlight w:val="none"/>
        </w:rPr>
      </w:pPr>
    </w:p>
    <w:p w14:paraId="662C31D6">
      <w:pPr>
        <w:widowControl/>
        <w:wordWrap w:val="0"/>
        <w:rPr>
          <w:rFonts w:hint="eastAsia" w:ascii="宋体" w:hAnsi="宋体" w:eastAsia="宋体" w:cs="Times New Roman"/>
          <w:color w:val="auto"/>
          <w:kern w:val="0"/>
          <w:highlight w:val="none"/>
        </w:rPr>
      </w:pPr>
    </w:p>
    <w:p w14:paraId="61E314C2">
      <w:pPr>
        <w:widowControl/>
        <w:wordWrap w:val="0"/>
        <w:rPr>
          <w:rFonts w:hint="eastAsia" w:ascii="宋体" w:hAnsi="宋体" w:eastAsia="宋体" w:cs="Times New Roman"/>
          <w:color w:val="auto"/>
          <w:kern w:val="0"/>
          <w:highlight w:val="none"/>
        </w:rPr>
      </w:pPr>
    </w:p>
    <w:p w14:paraId="02B5FA62">
      <w:pPr>
        <w:widowControl/>
        <w:wordWrap w:val="0"/>
        <w:rPr>
          <w:rFonts w:hint="eastAsia" w:ascii="宋体" w:hAnsi="宋体" w:eastAsia="宋体" w:cs="Times New Roman"/>
          <w:color w:val="auto"/>
          <w:kern w:val="0"/>
          <w:highlight w:val="none"/>
        </w:rPr>
      </w:pPr>
    </w:p>
    <w:p w14:paraId="606DC5D7">
      <w:pPr>
        <w:widowControl/>
        <w:wordWrap w:val="0"/>
        <w:rPr>
          <w:rFonts w:hint="eastAsia" w:ascii="宋体" w:hAnsi="宋体" w:eastAsia="宋体" w:cs="Times New Roman"/>
          <w:color w:val="auto"/>
          <w:kern w:val="0"/>
          <w:highlight w:val="none"/>
        </w:rPr>
      </w:pPr>
    </w:p>
    <w:p w14:paraId="25A9252D">
      <w:pPr>
        <w:widowControl/>
        <w:wordWrap w:val="0"/>
        <w:rPr>
          <w:rFonts w:hint="eastAsia" w:ascii="宋体" w:hAnsi="宋体" w:eastAsia="宋体" w:cs="Times New Roman"/>
          <w:color w:val="auto"/>
          <w:kern w:val="0"/>
          <w:highlight w:val="none"/>
        </w:rPr>
      </w:pPr>
    </w:p>
    <w:p w14:paraId="4FF5A8D6">
      <w:pPr>
        <w:wordWrap w:val="0"/>
        <w:jc w:val="center"/>
        <w:rPr>
          <w:rFonts w:hint="eastAsia" w:ascii="宋体" w:hAnsi="宋体" w:eastAsia="宋体" w:cs="Times New Roman"/>
          <w:color w:val="auto"/>
          <w:sz w:val="72"/>
          <w:szCs w:val="72"/>
          <w:highlight w:val="none"/>
        </w:rPr>
      </w:pPr>
    </w:p>
    <w:p w14:paraId="6160D6C6">
      <w:pPr>
        <w:wordWrap w:val="0"/>
        <w:jc w:val="center"/>
        <w:rPr>
          <w:rFonts w:hint="eastAsia" w:ascii="宋体" w:hAnsi="宋体" w:eastAsia="宋体" w:cs="宋体"/>
          <w:color w:val="auto"/>
          <w:sz w:val="84"/>
          <w:szCs w:val="84"/>
          <w:highlight w:val="none"/>
          <w:lang w:eastAsia="zh-CN"/>
        </w:rPr>
      </w:pPr>
      <w:r>
        <w:rPr>
          <w:rFonts w:hint="eastAsia" w:ascii="宋体" w:hAnsi="宋体" w:eastAsia="宋体" w:cs="宋体"/>
          <w:b/>
          <w:bCs/>
          <w:color w:val="auto"/>
          <w:sz w:val="84"/>
          <w:szCs w:val="84"/>
          <w:highlight w:val="none"/>
          <w:lang w:bidi="ar"/>
        </w:rPr>
        <w:t xml:space="preserve">招 标 </w:t>
      </w:r>
      <w:r>
        <w:rPr>
          <w:rFonts w:hint="eastAsia" w:ascii="宋体" w:hAnsi="宋体" w:eastAsia="宋体" w:cs="宋体"/>
          <w:b/>
          <w:bCs/>
          <w:color w:val="auto"/>
          <w:sz w:val="84"/>
          <w:szCs w:val="84"/>
          <w:highlight w:val="none"/>
          <w:lang w:val="en-US" w:eastAsia="zh-CN" w:bidi="ar"/>
        </w:rPr>
        <w:t>公 告</w:t>
      </w:r>
    </w:p>
    <w:p w14:paraId="5DA706F4">
      <w:pPr>
        <w:wordWrap w:val="0"/>
        <w:jc w:val="center"/>
        <w:rPr>
          <w:rFonts w:hint="eastAsia" w:ascii="宋体" w:hAnsi="宋体" w:eastAsia="宋体" w:cs="宋体"/>
          <w:color w:val="auto"/>
          <w:sz w:val="48"/>
          <w:szCs w:val="21"/>
          <w:highlight w:val="none"/>
        </w:rPr>
      </w:pPr>
    </w:p>
    <w:p w14:paraId="751816EA">
      <w:pPr>
        <w:wordWrap w:val="0"/>
        <w:jc w:val="center"/>
        <w:rPr>
          <w:rFonts w:hint="eastAsia" w:ascii="宋体" w:hAnsi="宋体" w:eastAsia="宋体" w:cs="宋体"/>
          <w:color w:val="auto"/>
          <w:sz w:val="32"/>
          <w:szCs w:val="32"/>
          <w:highlight w:val="none"/>
        </w:rPr>
      </w:pPr>
    </w:p>
    <w:p w14:paraId="154EB63D">
      <w:pPr>
        <w:widowControl/>
        <w:wordWrap w:val="0"/>
        <w:rPr>
          <w:rFonts w:hint="eastAsia" w:ascii="宋体" w:hAnsi="宋体" w:eastAsia="宋体" w:cs="Times New Roman"/>
          <w:color w:val="auto"/>
          <w:kern w:val="0"/>
          <w:highlight w:val="none"/>
        </w:rPr>
      </w:pPr>
    </w:p>
    <w:p w14:paraId="196CE530">
      <w:pPr>
        <w:wordWrap w:val="0"/>
        <w:spacing w:line="400" w:lineRule="exact"/>
        <w:jc w:val="center"/>
        <w:rPr>
          <w:rFonts w:hint="eastAsia" w:ascii="宋体" w:hAnsi="宋体" w:eastAsia="宋体" w:cs="宋体"/>
          <w:b/>
          <w:color w:val="auto"/>
          <w:spacing w:val="-22"/>
          <w:sz w:val="72"/>
          <w:szCs w:val="72"/>
          <w:highlight w:val="none"/>
        </w:rPr>
      </w:pPr>
    </w:p>
    <w:p w14:paraId="27CF314D">
      <w:pPr>
        <w:wordWrap w:val="0"/>
        <w:spacing w:line="400" w:lineRule="exact"/>
        <w:jc w:val="center"/>
        <w:rPr>
          <w:rFonts w:hint="eastAsia" w:ascii="宋体" w:hAnsi="宋体" w:eastAsia="宋体" w:cs="宋体"/>
          <w:color w:val="auto"/>
          <w:highlight w:val="none"/>
        </w:rPr>
      </w:pPr>
    </w:p>
    <w:p w14:paraId="589581E3">
      <w:pPr>
        <w:widowControl/>
        <w:wordWrap w:val="0"/>
        <w:rPr>
          <w:rFonts w:hint="eastAsia" w:ascii="宋体" w:hAnsi="宋体" w:eastAsia="宋体" w:cs="Times New Roman"/>
          <w:color w:val="auto"/>
          <w:kern w:val="0"/>
          <w:szCs w:val="24"/>
          <w:highlight w:val="none"/>
        </w:rPr>
      </w:pPr>
    </w:p>
    <w:p w14:paraId="2948E5F6">
      <w:pPr>
        <w:wordWrap w:val="0"/>
        <w:spacing w:line="400" w:lineRule="exact"/>
        <w:jc w:val="center"/>
        <w:rPr>
          <w:rFonts w:hint="eastAsia" w:ascii="宋体" w:hAnsi="宋体" w:eastAsia="宋体" w:cs="宋体"/>
          <w:color w:val="auto"/>
          <w:highlight w:val="none"/>
        </w:rPr>
      </w:pPr>
    </w:p>
    <w:p w14:paraId="33660C8E">
      <w:pPr>
        <w:wordWrap w:val="0"/>
        <w:spacing w:line="400" w:lineRule="exact"/>
        <w:jc w:val="center"/>
        <w:rPr>
          <w:rFonts w:hint="eastAsia" w:ascii="宋体" w:hAnsi="宋体" w:eastAsia="宋体" w:cs="宋体"/>
          <w:color w:val="auto"/>
          <w:highlight w:val="none"/>
        </w:rPr>
      </w:pPr>
    </w:p>
    <w:p w14:paraId="3344F6CA">
      <w:pPr>
        <w:wordWrap w:val="0"/>
        <w:spacing w:line="360" w:lineRule="auto"/>
        <w:ind w:left="420" w:leftChars="200" w:firstLine="855" w:firstLineChars="266"/>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bidi="ar"/>
        </w:rPr>
        <w:t>招   标   人：</w:t>
      </w:r>
      <w:r>
        <w:rPr>
          <w:rFonts w:hint="eastAsia" w:ascii="宋体" w:hAnsi="宋体" w:eastAsia="宋体" w:cs="宋体"/>
          <w:b/>
          <w:color w:val="auto"/>
          <w:sz w:val="32"/>
          <w:szCs w:val="32"/>
          <w:highlight w:val="none"/>
          <w:lang w:eastAsia="zh-CN" w:bidi="ar"/>
        </w:rPr>
        <w:t>广州市道路事务中心</w:t>
      </w:r>
    </w:p>
    <w:p w14:paraId="0D72A533">
      <w:pPr>
        <w:wordWrap w:val="0"/>
        <w:spacing w:line="360" w:lineRule="auto"/>
        <w:ind w:left="420" w:leftChars="200" w:firstLine="855" w:firstLineChars="266"/>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bidi="ar"/>
        </w:rPr>
        <w:t>招标代理机构：</w:t>
      </w:r>
      <w:r>
        <w:rPr>
          <w:rFonts w:hint="eastAsia" w:ascii="宋体" w:hAnsi="宋体" w:eastAsia="宋体" w:cs="Times New Roman"/>
          <w:b/>
          <w:color w:val="auto"/>
          <w:sz w:val="32"/>
          <w:szCs w:val="32"/>
          <w:highlight w:val="none"/>
          <w:lang w:eastAsia="zh-CN"/>
        </w:rPr>
        <w:t>广东重工建设监理有限公司</w:t>
      </w:r>
    </w:p>
    <w:p w14:paraId="0D9A4105">
      <w:pPr>
        <w:wordWrap w:val="0"/>
        <w:spacing w:line="360" w:lineRule="auto"/>
        <w:ind w:left="420" w:leftChars="200" w:firstLine="855" w:firstLineChars="266"/>
        <w:jc w:val="left"/>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日        期：</w:t>
      </w:r>
      <w:r>
        <w:rPr>
          <w:rFonts w:hint="eastAsia" w:ascii="宋体" w:hAnsi="宋体" w:eastAsia="宋体" w:cs="宋体"/>
          <w:b/>
          <w:color w:val="auto"/>
          <w:kern w:val="0"/>
          <w:sz w:val="32"/>
          <w:szCs w:val="32"/>
          <w:highlight w:val="none"/>
          <w:u w:val="single"/>
          <w:lang w:bidi="ar"/>
        </w:rPr>
        <w:t>2025</w:t>
      </w:r>
      <w:r>
        <w:rPr>
          <w:rFonts w:hint="eastAsia" w:ascii="宋体" w:hAnsi="宋体" w:eastAsia="宋体" w:cs="宋体"/>
          <w:b/>
          <w:color w:val="auto"/>
          <w:kern w:val="0"/>
          <w:sz w:val="32"/>
          <w:szCs w:val="32"/>
          <w:highlight w:val="none"/>
          <w:lang w:bidi="ar"/>
        </w:rPr>
        <w:t>年</w:t>
      </w:r>
      <w:r>
        <w:rPr>
          <w:rFonts w:hint="eastAsia" w:ascii="宋体" w:hAnsi="宋体" w:eastAsia="宋体" w:cs="宋体"/>
          <w:b/>
          <w:color w:val="auto"/>
          <w:kern w:val="0"/>
          <w:sz w:val="32"/>
          <w:szCs w:val="32"/>
          <w:highlight w:val="none"/>
          <w:u w:val="single"/>
          <w:lang w:val="en-US" w:eastAsia="zh-CN" w:bidi="ar"/>
        </w:rPr>
        <w:t>5</w:t>
      </w:r>
      <w:r>
        <w:rPr>
          <w:rFonts w:hint="eastAsia" w:ascii="宋体" w:hAnsi="宋体" w:eastAsia="宋体" w:cs="宋体"/>
          <w:b/>
          <w:color w:val="auto"/>
          <w:kern w:val="0"/>
          <w:sz w:val="32"/>
          <w:szCs w:val="32"/>
          <w:highlight w:val="none"/>
          <w:lang w:bidi="ar"/>
        </w:rPr>
        <w:t>月</w:t>
      </w:r>
    </w:p>
    <w:p w14:paraId="6DBF81C8">
      <w:pPr>
        <w:rPr>
          <w:rFonts w:hint="eastAsia" w:ascii="宋体" w:hAnsi="宋体" w:eastAsia="宋体" w:cs="Times New Roman"/>
          <w:b/>
          <w:color w:val="auto"/>
          <w:kern w:val="44"/>
          <w:sz w:val="44"/>
          <w:szCs w:val="20"/>
          <w:highlight w:val="none"/>
        </w:rPr>
      </w:pPr>
      <w:r>
        <w:rPr>
          <w:rFonts w:hint="eastAsia" w:ascii="宋体" w:hAnsi="宋体" w:eastAsia="宋体" w:cs="Times New Roman"/>
          <w:b/>
          <w:color w:val="auto"/>
          <w:kern w:val="44"/>
          <w:sz w:val="44"/>
          <w:szCs w:val="20"/>
          <w:highlight w:val="none"/>
        </w:rPr>
        <w:br w:type="page"/>
      </w:r>
    </w:p>
    <w:p w14:paraId="5E4284E1">
      <w:pPr>
        <w:wordWrap w:val="0"/>
        <w:spacing w:before="340" w:after="330"/>
        <w:jc w:val="center"/>
        <w:outlineLvl w:val="0"/>
        <w:rPr>
          <w:rFonts w:hint="eastAsia" w:ascii="宋体" w:hAnsi="宋体" w:eastAsia="宋体" w:cs="Times New Roman"/>
          <w:b/>
          <w:color w:val="auto"/>
          <w:kern w:val="44"/>
          <w:sz w:val="44"/>
          <w:szCs w:val="20"/>
          <w:highlight w:val="none"/>
        </w:rPr>
      </w:pPr>
      <w:bookmarkStart w:id="134" w:name="_GoBack"/>
      <w:bookmarkEnd w:id="134"/>
    </w:p>
    <w:p w14:paraId="0A596C4D">
      <w:pPr>
        <w:wordWrap w:val="0"/>
        <w:spacing w:before="340" w:after="330"/>
        <w:jc w:val="center"/>
        <w:outlineLvl w:val="0"/>
        <w:rPr>
          <w:rFonts w:hint="eastAsia" w:ascii="宋体" w:hAnsi="宋体" w:eastAsia="宋体" w:cs="Times New Roman"/>
          <w:b/>
          <w:color w:val="auto"/>
          <w:kern w:val="44"/>
          <w:sz w:val="40"/>
          <w:szCs w:val="18"/>
          <w:highlight w:val="none"/>
        </w:rPr>
      </w:pPr>
      <w:r>
        <w:rPr>
          <w:rFonts w:hint="eastAsia" w:ascii="宋体" w:hAnsi="宋体" w:eastAsia="宋体" w:cs="Times New Roman"/>
          <w:b/>
          <w:color w:val="auto"/>
          <w:kern w:val="44"/>
          <w:sz w:val="40"/>
          <w:szCs w:val="18"/>
          <w:highlight w:val="none"/>
        </w:rPr>
        <w:t>城维计划-桥梁中修专项经费-官洲隧道中修工程监理招标公告</w:t>
      </w:r>
    </w:p>
    <w:p w14:paraId="15E9D35D">
      <w:pPr>
        <w:pStyle w:val="3"/>
        <w:widowControl/>
        <w:rPr>
          <w:rFonts w:hint="eastAsia" w:ascii="宋体" w:hAnsi="宋体" w:eastAsia="宋体" w:cs="Times New Roman"/>
          <w:b/>
          <w:bCs/>
          <w:color w:val="auto"/>
          <w:kern w:val="2"/>
          <w:sz w:val="32"/>
          <w:szCs w:val="32"/>
          <w:highlight w:val="none"/>
        </w:rPr>
      </w:pPr>
      <w:bookmarkStart w:id="0" w:name="_Toc361508560"/>
      <w:bookmarkEnd w:id="0"/>
      <w:bookmarkStart w:id="1" w:name="_Toc10785"/>
      <w:bookmarkEnd w:id="1"/>
      <w:bookmarkStart w:id="2" w:name="_Toc152042289"/>
      <w:bookmarkEnd w:id="2"/>
      <w:bookmarkStart w:id="3" w:name="_Toc384308203"/>
      <w:bookmarkEnd w:id="3"/>
      <w:bookmarkStart w:id="4" w:name="_Toc369531511"/>
      <w:bookmarkEnd w:id="4"/>
      <w:bookmarkStart w:id="5" w:name="_Toc14321"/>
      <w:bookmarkEnd w:id="5"/>
      <w:bookmarkStart w:id="6" w:name="_Toc144974493"/>
      <w:bookmarkEnd w:id="6"/>
      <w:bookmarkStart w:id="7" w:name="_Toc352691455"/>
      <w:bookmarkEnd w:id="7"/>
      <w:bookmarkStart w:id="8" w:name="_Toc152045512"/>
      <w:bookmarkEnd w:id="8"/>
      <w:bookmarkStart w:id="9" w:name="_Toc152042288"/>
      <w:bookmarkEnd w:id="9"/>
      <w:bookmarkStart w:id="10" w:name="_Toc152045523"/>
      <w:bookmarkEnd w:id="10"/>
      <w:bookmarkStart w:id="11" w:name="_Toc144974481"/>
      <w:bookmarkEnd w:id="11"/>
      <w:bookmarkStart w:id="12" w:name="_Toc492300546"/>
      <w:bookmarkEnd w:id="12"/>
      <w:bookmarkStart w:id="13" w:name="_Toc144974491"/>
      <w:bookmarkEnd w:id="13"/>
      <w:bookmarkStart w:id="14" w:name="_Toc152042299"/>
      <w:bookmarkEnd w:id="14"/>
      <w:bookmarkStart w:id="15" w:name="_Toc4607"/>
      <w:bookmarkEnd w:id="15"/>
      <w:bookmarkStart w:id="16" w:name="_Toc361508580"/>
      <w:bookmarkEnd w:id="16"/>
      <w:bookmarkStart w:id="17" w:name="_Toc384308205"/>
      <w:bookmarkEnd w:id="17"/>
      <w:bookmarkStart w:id="18" w:name="_Toc300834927"/>
      <w:bookmarkEnd w:id="18"/>
      <w:bookmarkStart w:id="19" w:name="_Toc300834943"/>
      <w:bookmarkEnd w:id="19"/>
      <w:bookmarkStart w:id="20" w:name="_Toc14865"/>
      <w:bookmarkEnd w:id="20"/>
      <w:bookmarkStart w:id="21" w:name="_Toc352691453"/>
      <w:bookmarkEnd w:id="21"/>
      <w:bookmarkStart w:id="22" w:name="_Toc247513946"/>
      <w:bookmarkEnd w:id="22"/>
      <w:bookmarkStart w:id="23" w:name="_Toc300834930"/>
      <w:bookmarkEnd w:id="23"/>
      <w:bookmarkStart w:id="24" w:name="_Toc369531509"/>
      <w:bookmarkEnd w:id="24"/>
      <w:bookmarkStart w:id="25" w:name="_Toc352691469"/>
      <w:bookmarkEnd w:id="25"/>
      <w:bookmarkStart w:id="26" w:name="_Toc352691467"/>
      <w:bookmarkEnd w:id="26"/>
      <w:bookmarkStart w:id="27" w:name="_Toc144974480"/>
      <w:bookmarkEnd w:id="27"/>
      <w:bookmarkStart w:id="28" w:name="_Toc300834941"/>
      <w:bookmarkEnd w:id="28"/>
      <w:bookmarkStart w:id="29" w:name="_Toc12249"/>
      <w:bookmarkEnd w:id="29"/>
      <w:bookmarkStart w:id="30" w:name="_Toc300834929"/>
      <w:bookmarkEnd w:id="30"/>
      <w:bookmarkStart w:id="31" w:name="_Toc19438"/>
      <w:bookmarkEnd w:id="31"/>
      <w:bookmarkStart w:id="32" w:name="_Toc361508563"/>
      <w:bookmarkEnd w:id="32"/>
      <w:bookmarkStart w:id="33" w:name="_Toc152045513"/>
      <w:bookmarkEnd w:id="33"/>
      <w:bookmarkStart w:id="34" w:name="_Toc247513935"/>
      <w:bookmarkEnd w:id="34"/>
      <w:bookmarkStart w:id="35" w:name="_Toc152042301"/>
      <w:bookmarkEnd w:id="35"/>
      <w:bookmarkStart w:id="36" w:name="_Toc369531498"/>
      <w:bookmarkEnd w:id="36"/>
      <w:bookmarkStart w:id="37" w:name="_Toc247513934"/>
      <w:bookmarkEnd w:id="37"/>
      <w:bookmarkStart w:id="38" w:name="_Toc30817"/>
      <w:bookmarkEnd w:id="38"/>
      <w:bookmarkStart w:id="39" w:name="_Toc7616"/>
      <w:bookmarkEnd w:id="39"/>
      <w:bookmarkStart w:id="40" w:name="_Toc361508562"/>
      <w:bookmarkEnd w:id="40"/>
      <w:bookmarkStart w:id="41" w:name="_Toc13816"/>
      <w:bookmarkEnd w:id="41"/>
      <w:bookmarkStart w:id="42" w:name="_Toc384308188"/>
      <w:bookmarkEnd w:id="42"/>
      <w:bookmarkStart w:id="43" w:name="_Toc19309"/>
      <w:bookmarkEnd w:id="43"/>
      <w:bookmarkStart w:id="44" w:name="_Toc152045525"/>
      <w:bookmarkEnd w:id="44"/>
      <w:bookmarkStart w:id="45" w:name="_Toc247527536"/>
      <w:bookmarkEnd w:id="45"/>
      <w:bookmarkStart w:id="46" w:name="_Toc17972"/>
      <w:bookmarkEnd w:id="46"/>
      <w:bookmarkStart w:id="47" w:name="_Toc384308187"/>
      <w:bookmarkEnd w:id="47"/>
      <w:bookmarkStart w:id="48" w:name="_Toc352691456"/>
      <w:bookmarkEnd w:id="48"/>
      <w:bookmarkStart w:id="49" w:name="_Toc247527547"/>
      <w:bookmarkEnd w:id="49"/>
      <w:bookmarkStart w:id="50" w:name="_Toc247527535"/>
      <w:bookmarkEnd w:id="50"/>
      <w:bookmarkStart w:id="51" w:name="_Toc369531495"/>
      <w:bookmarkEnd w:id="51"/>
      <w:bookmarkStart w:id="52" w:name="_Toc29260"/>
      <w:bookmarkEnd w:id="52"/>
      <w:bookmarkStart w:id="53" w:name="_Toc6984"/>
      <w:bookmarkEnd w:id="53"/>
      <w:bookmarkStart w:id="54" w:name="_Toc361508578"/>
      <w:bookmarkEnd w:id="54"/>
      <w:bookmarkStart w:id="55" w:name="_Toc369531497"/>
      <w:bookmarkEnd w:id="55"/>
      <w:bookmarkStart w:id="56" w:name="_Toc247527549"/>
      <w:bookmarkEnd w:id="56"/>
      <w:bookmarkStart w:id="57" w:name="_Toc384308185"/>
      <w:bookmarkEnd w:id="57"/>
      <w:bookmarkStart w:id="58" w:name="_Toc247513948"/>
      <w:bookmarkEnd w:id="58"/>
      <w:bookmarkStart w:id="59" w:name="_Toc19794"/>
      <w:bookmarkEnd w:id="59"/>
      <w:bookmarkStart w:id="60" w:name="_Toc8669"/>
      <w:r>
        <w:rPr>
          <w:rFonts w:hint="eastAsia" w:ascii="宋体" w:hAnsi="宋体" w:eastAsia="宋体" w:cs="宋体"/>
          <w:b/>
          <w:bCs/>
          <w:color w:val="auto"/>
          <w:kern w:val="2"/>
          <w:sz w:val="32"/>
          <w:szCs w:val="32"/>
          <w:highlight w:val="none"/>
        </w:rPr>
        <w:t>1.招标条件</w:t>
      </w:r>
      <w:bookmarkEnd w:id="60"/>
    </w:p>
    <w:p w14:paraId="6244231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本招标项目</w:t>
      </w:r>
      <w:r>
        <w:rPr>
          <w:rFonts w:hint="eastAsia" w:ascii="宋体" w:hAnsi="宋体" w:eastAsia="宋体" w:cs="宋体"/>
          <w:color w:val="auto"/>
          <w:kern w:val="2"/>
          <w:sz w:val="24"/>
          <w:szCs w:val="24"/>
          <w:highlight w:val="none"/>
          <w:u w:val="single"/>
          <w:lang w:val="en-US" w:eastAsia="zh-CN" w:bidi="ar"/>
        </w:rPr>
        <w:t>城维计划-桥梁中修专项经费-官洲隧道中修工程</w:t>
      </w:r>
      <w:r>
        <w:rPr>
          <w:rFonts w:hint="eastAsia" w:ascii="宋体" w:hAnsi="宋体" w:eastAsia="宋体" w:cs="宋体"/>
          <w:color w:val="auto"/>
          <w:kern w:val="2"/>
          <w:sz w:val="24"/>
          <w:szCs w:val="24"/>
          <w:highlight w:val="none"/>
          <w:lang w:val="en-US" w:eastAsia="zh-CN" w:bidi="ar"/>
        </w:rPr>
        <w:t>已</w:t>
      </w:r>
      <w:r>
        <w:rPr>
          <w:rFonts w:hint="eastAsia" w:ascii="宋体" w:hAnsi="宋体" w:eastAsia="宋体" w:cs="宋体"/>
          <w:color w:val="auto"/>
          <w:spacing w:val="0"/>
          <w:kern w:val="2"/>
          <w:sz w:val="24"/>
          <w:szCs w:val="24"/>
          <w:highlight w:val="none"/>
          <w:lang w:val="en-US" w:eastAsia="zh-CN" w:bidi="ar"/>
        </w:rPr>
        <w:t>由</w:t>
      </w:r>
      <w:r>
        <w:rPr>
          <w:rFonts w:hint="eastAsia" w:ascii="宋体" w:hAnsi="宋体" w:eastAsia="宋体" w:cs="宋体"/>
          <w:color w:val="auto"/>
          <w:kern w:val="2"/>
          <w:sz w:val="24"/>
          <w:szCs w:val="24"/>
          <w:highlight w:val="none"/>
          <w:u w:val="single"/>
          <w:lang w:val="en-US" w:eastAsia="zh-CN" w:bidi="ar"/>
        </w:rPr>
        <w:t>广州市交通运输局</w:t>
      </w:r>
      <w:r>
        <w:rPr>
          <w:rFonts w:hint="eastAsia" w:ascii="宋体" w:hAnsi="宋体" w:eastAsia="宋体" w:cs="宋体"/>
          <w:color w:val="auto"/>
          <w:spacing w:val="0"/>
          <w:kern w:val="2"/>
          <w:sz w:val="24"/>
          <w:szCs w:val="24"/>
          <w:highlight w:val="none"/>
          <w:lang w:val="en-US" w:eastAsia="zh-CN" w:bidi="ar"/>
        </w:rPr>
        <w:t>以</w:t>
      </w:r>
      <w:r>
        <w:rPr>
          <w:rFonts w:hint="eastAsia" w:ascii="宋体" w:hAnsi="宋体" w:eastAsia="宋体" w:cs="宋体"/>
          <w:color w:val="auto"/>
          <w:kern w:val="2"/>
          <w:sz w:val="24"/>
          <w:szCs w:val="24"/>
          <w:highlight w:val="none"/>
          <w:u w:val="single"/>
          <w:lang w:val="en-US" w:eastAsia="zh-CN" w:bidi="ar"/>
        </w:rPr>
        <w:t>穗交运函[2024]65号</w:t>
      </w:r>
      <w:r>
        <w:rPr>
          <w:rFonts w:hint="eastAsia" w:ascii="宋体" w:hAnsi="宋体" w:eastAsia="宋体" w:cs="宋体"/>
          <w:color w:val="auto"/>
          <w:spacing w:val="0"/>
          <w:kern w:val="2"/>
          <w:sz w:val="24"/>
          <w:szCs w:val="24"/>
          <w:highlight w:val="none"/>
          <w:lang w:val="en-US" w:eastAsia="zh-CN" w:bidi="ar"/>
        </w:rPr>
        <w:t>批</w:t>
      </w:r>
      <w:r>
        <w:rPr>
          <w:rFonts w:hint="eastAsia" w:ascii="宋体" w:hAnsi="宋体" w:eastAsia="宋体" w:cs="宋体"/>
          <w:color w:val="auto"/>
          <w:kern w:val="2"/>
          <w:sz w:val="24"/>
          <w:szCs w:val="24"/>
          <w:highlight w:val="none"/>
          <w:lang w:val="en-US" w:eastAsia="zh-CN" w:bidi="ar"/>
        </w:rPr>
        <w:t>准建</w:t>
      </w:r>
      <w:r>
        <w:rPr>
          <w:rFonts w:hint="eastAsia" w:ascii="宋体" w:hAnsi="宋体" w:eastAsia="宋体" w:cs="宋体"/>
          <w:color w:val="auto"/>
          <w:spacing w:val="0"/>
          <w:kern w:val="2"/>
          <w:sz w:val="24"/>
          <w:szCs w:val="24"/>
          <w:highlight w:val="none"/>
          <w:lang w:val="en-US" w:eastAsia="zh-CN" w:bidi="ar"/>
        </w:rPr>
        <w:t>设，</w:t>
      </w:r>
      <w:r>
        <w:rPr>
          <w:rFonts w:hint="eastAsia" w:ascii="宋体" w:hAnsi="宋体" w:eastAsia="宋体" w:cs="宋体"/>
          <w:color w:val="auto"/>
          <w:kern w:val="2"/>
          <w:sz w:val="24"/>
          <w:szCs w:val="24"/>
          <w:highlight w:val="none"/>
          <w:lang w:val="en-US" w:eastAsia="zh-CN" w:bidi="ar"/>
        </w:rPr>
        <w:t>项</w:t>
      </w:r>
      <w:r>
        <w:rPr>
          <w:rFonts w:hint="eastAsia" w:ascii="宋体" w:hAnsi="宋体" w:eastAsia="宋体" w:cs="宋体"/>
          <w:color w:val="auto"/>
          <w:spacing w:val="0"/>
          <w:kern w:val="2"/>
          <w:sz w:val="24"/>
          <w:szCs w:val="24"/>
          <w:highlight w:val="none"/>
          <w:lang w:val="en-US" w:eastAsia="zh-CN" w:bidi="ar"/>
        </w:rPr>
        <w:t>目</w:t>
      </w:r>
      <w:r>
        <w:rPr>
          <w:rFonts w:hint="eastAsia" w:ascii="宋体" w:hAnsi="宋体" w:eastAsia="宋体" w:cs="宋体"/>
          <w:color w:val="auto"/>
          <w:kern w:val="2"/>
          <w:sz w:val="24"/>
          <w:szCs w:val="24"/>
          <w:highlight w:val="none"/>
          <w:lang w:val="en-US" w:eastAsia="zh-CN" w:bidi="ar"/>
        </w:rPr>
        <w:t>业</w:t>
      </w:r>
      <w:r>
        <w:rPr>
          <w:rFonts w:hint="eastAsia" w:ascii="宋体" w:hAnsi="宋体" w:eastAsia="宋体" w:cs="宋体"/>
          <w:color w:val="auto"/>
          <w:spacing w:val="0"/>
          <w:kern w:val="2"/>
          <w:sz w:val="24"/>
          <w:szCs w:val="24"/>
          <w:highlight w:val="none"/>
          <w:lang w:val="en-US" w:eastAsia="zh-CN" w:bidi="ar"/>
        </w:rPr>
        <w:t>主为</w:t>
      </w:r>
      <w:r>
        <w:rPr>
          <w:rFonts w:hint="eastAsia" w:ascii="宋体" w:hAnsi="宋体" w:eastAsia="宋体" w:cs="宋体"/>
          <w:color w:val="auto"/>
          <w:kern w:val="2"/>
          <w:sz w:val="24"/>
          <w:szCs w:val="24"/>
          <w:highlight w:val="none"/>
          <w:u w:val="single"/>
          <w:lang w:val="en-US" w:eastAsia="zh-CN" w:bidi="ar"/>
        </w:rPr>
        <w:t>广州市道路事务中心</w:t>
      </w:r>
      <w:r>
        <w:rPr>
          <w:rFonts w:hint="eastAsia" w:ascii="宋体" w:hAnsi="宋体" w:eastAsia="宋体" w:cs="宋体"/>
          <w:color w:val="auto"/>
          <w:spacing w:val="0"/>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建</w:t>
      </w:r>
      <w:r>
        <w:rPr>
          <w:rFonts w:hint="eastAsia" w:ascii="宋体" w:hAnsi="宋体" w:eastAsia="宋体" w:cs="宋体"/>
          <w:color w:val="auto"/>
          <w:spacing w:val="0"/>
          <w:kern w:val="2"/>
          <w:sz w:val="24"/>
          <w:szCs w:val="24"/>
          <w:highlight w:val="none"/>
          <w:lang w:val="en-US" w:eastAsia="zh-CN" w:bidi="ar"/>
        </w:rPr>
        <w:t>设</w:t>
      </w:r>
      <w:r>
        <w:rPr>
          <w:rFonts w:hint="eastAsia" w:ascii="宋体" w:hAnsi="宋体" w:eastAsia="宋体" w:cs="宋体"/>
          <w:color w:val="auto"/>
          <w:kern w:val="2"/>
          <w:sz w:val="24"/>
          <w:szCs w:val="24"/>
          <w:highlight w:val="none"/>
          <w:lang w:val="en-US" w:eastAsia="zh-CN" w:bidi="ar"/>
        </w:rPr>
        <w:t>资</w:t>
      </w:r>
      <w:r>
        <w:rPr>
          <w:rFonts w:hint="eastAsia" w:ascii="宋体" w:hAnsi="宋体" w:eastAsia="宋体" w:cs="宋体"/>
          <w:color w:val="auto"/>
          <w:spacing w:val="0"/>
          <w:kern w:val="2"/>
          <w:sz w:val="24"/>
          <w:szCs w:val="24"/>
          <w:highlight w:val="none"/>
          <w:lang w:val="en-US" w:eastAsia="zh-CN" w:bidi="ar"/>
        </w:rPr>
        <w:t>金</w:t>
      </w:r>
      <w:r>
        <w:rPr>
          <w:rFonts w:hint="eastAsia" w:ascii="宋体" w:hAnsi="宋体" w:eastAsia="宋体" w:cs="宋体"/>
          <w:color w:val="auto"/>
          <w:kern w:val="2"/>
          <w:sz w:val="24"/>
          <w:szCs w:val="24"/>
          <w:highlight w:val="none"/>
          <w:lang w:val="en-US" w:eastAsia="zh-CN" w:bidi="ar"/>
        </w:rPr>
        <w:t>来</w:t>
      </w:r>
      <w:r>
        <w:rPr>
          <w:rFonts w:hint="eastAsia" w:ascii="宋体" w:hAnsi="宋体" w:eastAsia="宋体" w:cs="宋体"/>
          <w:color w:val="auto"/>
          <w:spacing w:val="0"/>
          <w:kern w:val="2"/>
          <w:sz w:val="24"/>
          <w:szCs w:val="24"/>
          <w:highlight w:val="none"/>
          <w:lang w:val="en-US" w:eastAsia="zh-CN" w:bidi="ar"/>
        </w:rPr>
        <w:t>自</w:t>
      </w:r>
      <w:r>
        <w:rPr>
          <w:rFonts w:hint="eastAsia" w:ascii="宋体" w:hAnsi="宋体" w:eastAsia="宋体" w:cs="宋体"/>
          <w:color w:val="auto"/>
          <w:kern w:val="2"/>
          <w:sz w:val="24"/>
          <w:szCs w:val="24"/>
          <w:highlight w:val="none"/>
          <w:u w:val="single"/>
          <w:lang w:val="en-US" w:eastAsia="zh-CN" w:bidi="ar"/>
        </w:rPr>
        <w:t>财政资金</w:t>
      </w:r>
      <w:r>
        <w:rPr>
          <w:rFonts w:hint="eastAsia" w:ascii="宋体" w:hAnsi="宋体" w:eastAsia="宋体" w:cs="宋体"/>
          <w:color w:val="auto"/>
          <w:kern w:val="2"/>
          <w:sz w:val="24"/>
          <w:szCs w:val="24"/>
          <w:highlight w:val="none"/>
          <w:lang w:val="en-US" w:eastAsia="zh-CN" w:bidi="ar"/>
        </w:rPr>
        <w:t>，出</w:t>
      </w:r>
      <w:r>
        <w:rPr>
          <w:rFonts w:hint="eastAsia" w:ascii="宋体" w:hAnsi="宋体" w:eastAsia="宋体" w:cs="宋体"/>
          <w:color w:val="auto"/>
          <w:spacing w:val="0"/>
          <w:kern w:val="2"/>
          <w:sz w:val="24"/>
          <w:szCs w:val="24"/>
          <w:highlight w:val="none"/>
          <w:lang w:val="en-US" w:eastAsia="zh-CN" w:bidi="ar"/>
        </w:rPr>
        <w:t>资</w:t>
      </w:r>
      <w:r>
        <w:rPr>
          <w:rFonts w:hint="eastAsia" w:ascii="宋体" w:hAnsi="宋体" w:eastAsia="宋体" w:cs="宋体"/>
          <w:color w:val="auto"/>
          <w:kern w:val="2"/>
          <w:sz w:val="24"/>
          <w:szCs w:val="24"/>
          <w:highlight w:val="none"/>
          <w:lang w:val="en-US" w:eastAsia="zh-CN" w:bidi="ar"/>
        </w:rPr>
        <w:t>比</w:t>
      </w:r>
      <w:r>
        <w:rPr>
          <w:rFonts w:hint="eastAsia" w:ascii="宋体" w:hAnsi="宋体" w:eastAsia="宋体" w:cs="宋体"/>
          <w:color w:val="auto"/>
          <w:spacing w:val="0"/>
          <w:kern w:val="2"/>
          <w:sz w:val="24"/>
          <w:szCs w:val="24"/>
          <w:highlight w:val="none"/>
          <w:lang w:val="en-US" w:eastAsia="zh-CN" w:bidi="ar"/>
        </w:rPr>
        <w:t>例</w:t>
      </w:r>
      <w:r>
        <w:rPr>
          <w:rFonts w:hint="eastAsia" w:ascii="宋体" w:hAnsi="宋体" w:eastAsia="宋体" w:cs="宋体"/>
          <w:color w:val="auto"/>
          <w:kern w:val="2"/>
          <w:sz w:val="24"/>
          <w:szCs w:val="24"/>
          <w:highlight w:val="none"/>
          <w:lang w:val="en-US" w:eastAsia="zh-CN" w:bidi="ar"/>
        </w:rPr>
        <w:t>为</w:t>
      </w:r>
      <w:r>
        <w:rPr>
          <w:rFonts w:hint="eastAsia" w:ascii="宋体" w:hAnsi="宋体" w:eastAsia="宋体" w:cs="宋体"/>
          <w:color w:val="auto"/>
          <w:kern w:val="2"/>
          <w:sz w:val="24"/>
          <w:szCs w:val="24"/>
          <w:highlight w:val="none"/>
          <w:u w:val="single"/>
          <w:lang w:val="en-US" w:eastAsia="zh-CN" w:bidi="ar"/>
        </w:rPr>
        <w:t>100%</w:t>
      </w:r>
      <w:r>
        <w:rPr>
          <w:rFonts w:hint="eastAsia" w:ascii="宋体" w:hAnsi="宋体" w:eastAsia="宋体" w:cs="宋体"/>
          <w:color w:val="auto"/>
          <w:spacing w:val="0"/>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招</w:t>
      </w:r>
      <w:r>
        <w:rPr>
          <w:rFonts w:hint="eastAsia" w:ascii="宋体" w:hAnsi="宋体" w:eastAsia="宋体" w:cs="宋体"/>
          <w:color w:val="auto"/>
          <w:spacing w:val="0"/>
          <w:kern w:val="2"/>
          <w:sz w:val="24"/>
          <w:szCs w:val="24"/>
          <w:highlight w:val="none"/>
          <w:lang w:val="en-US" w:eastAsia="zh-CN" w:bidi="ar"/>
        </w:rPr>
        <w:t>标</w:t>
      </w:r>
      <w:r>
        <w:rPr>
          <w:rFonts w:hint="eastAsia" w:ascii="宋体" w:hAnsi="宋体" w:eastAsia="宋体" w:cs="宋体"/>
          <w:color w:val="auto"/>
          <w:kern w:val="2"/>
          <w:sz w:val="24"/>
          <w:szCs w:val="24"/>
          <w:highlight w:val="none"/>
          <w:lang w:val="en-US" w:eastAsia="zh-CN" w:bidi="ar"/>
        </w:rPr>
        <w:t>人</w:t>
      </w:r>
      <w:r>
        <w:rPr>
          <w:rFonts w:hint="eastAsia" w:ascii="宋体" w:hAnsi="宋体" w:eastAsia="宋体" w:cs="宋体"/>
          <w:color w:val="auto"/>
          <w:spacing w:val="0"/>
          <w:kern w:val="2"/>
          <w:sz w:val="24"/>
          <w:szCs w:val="24"/>
          <w:highlight w:val="none"/>
          <w:lang w:val="en-US" w:eastAsia="zh-CN" w:bidi="ar"/>
        </w:rPr>
        <w:t>为</w:t>
      </w:r>
      <w:r>
        <w:rPr>
          <w:rFonts w:hint="eastAsia" w:ascii="宋体" w:hAnsi="宋体" w:eastAsia="宋体" w:cs="宋体"/>
          <w:color w:val="auto"/>
          <w:kern w:val="2"/>
          <w:sz w:val="24"/>
          <w:szCs w:val="24"/>
          <w:highlight w:val="none"/>
          <w:u w:val="single"/>
          <w:lang w:val="en-US" w:eastAsia="zh-CN" w:bidi="ar"/>
        </w:rPr>
        <w:t>广州市道路事务中心</w:t>
      </w:r>
      <w:r>
        <w:rPr>
          <w:rFonts w:hint="eastAsia" w:ascii="宋体" w:hAnsi="宋体" w:eastAsia="宋体" w:cs="宋体"/>
          <w:color w:val="auto"/>
          <w:spacing w:val="0"/>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项目</w:t>
      </w:r>
      <w:r>
        <w:rPr>
          <w:rFonts w:hint="eastAsia" w:ascii="宋体" w:hAnsi="宋体" w:eastAsia="宋体" w:cs="宋体"/>
          <w:color w:val="auto"/>
          <w:spacing w:val="0"/>
          <w:kern w:val="2"/>
          <w:sz w:val="24"/>
          <w:szCs w:val="24"/>
          <w:highlight w:val="none"/>
          <w:lang w:val="en-US" w:eastAsia="zh-CN" w:bidi="ar"/>
        </w:rPr>
        <w:t>已</w:t>
      </w:r>
      <w:r>
        <w:rPr>
          <w:rFonts w:hint="eastAsia" w:ascii="宋体" w:hAnsi="宋体" w:eastAsia="宋体" w:cs="宋体"/>
          <w:color w:val="auto"/>
          <w:kern w:val="2"/>
          <w:sz w:val="24"/>
          <w:szCs w:val="24"/>
          <w:highlight w:val="none"/>
          <w:lang w:val="en-US" w:eastAsia="zh-CN" w:bidi="ar"/>
        </w:rPr>
        <w:t>具</w:t>
      </w:r>
      <w:r>
        <w:rPr>
          <w:rFonts w:hint="eastAsia" w:ascii="宋体" w:hAnsi="宋体" w:eastAsia="宋体" w:cs="宋体"/>
          <w:color w:val="auto"/>
          <w:spacing w:val="0"/>
          <w:kern w:val="2"/>
          <w:sz w:val="24"/>
          <w:szCs w:val="24"/>
          <w:highlight w:val="none"/>
          <w:lang w:val="en-US" w:eastAsia="zh-CN" w:bidi="ar"/>
        </w:rPr>
        <w:t>备招</w:t>
      </w:r>
      <w:r>
        <w:rPr>
          <w:rFonts w:hint="eastAsia" w:ascii="宋体" w:hAnsi="宋体" w:eastAsia="宋体" w:cs="宋体"/>
          <w:color w:val="auto"/>
          <w:kern w:val="2"/>
          <w:sz w:val="24"/>
          <w:szCs w:val="24"/>
          <w:highlight w:val="none"/>
          <w:lang w:val="en-US" w:eastAsia="zh-CN" w:bidi="ar"/>
        </w:rPr>
        <w:t>标条件，现对</w:t>
      </w:r>
      <w:r>
        <w:rPr>
          <w:rFonts w:hint="eastAsia" w:ascii="宋体" w:hAnsi="宋体" w:eastAsia="宋体" w:cs="宋体"/>
          <w:color w:val="auto"/>
          <w:kern w:val="2"/>
          <w:sz w:val="24"/>
          <w:szCs w:val="24"/>
          <w:highlight w:val="none"/>
          <w:u w:val="single"/>
          <w:lang w:val="en-US" w:eastAsia="zh-CN" w:bidi="ar"/>
        </w:rPr>
        <w:t>城维计划-桥梁中修专项经费-官洲隧道中修工程监理</w:t>
      </w:r>
      <w:r>
        <w:rPr>
          <w:rFonts w:hint="eastAsia" w:ascii="宋体" w:hAnsi="宋体" w:eastAsia="宋体" w:cs="宋体"/>
          <w:color w:val="auto"/>
          <w:kern w:val="2"/>
          <w:sz w:val="24"/>
          <w:szCs w:val="24"/>
          <w:highlight w:val="none"/>
          <w:lang w:val="en-US" w:eastAsia="zh-CN" w:bidi="ar"/>
        </w:rPr>
        <w:t>进行公开招标。</w:t>
      </w:r>
    </w:p>
    <w:p w14:paraId="5E4EE422">
      <w:pPr>
        <w:pStyle w:val="3"/>
        <w:widowControl/>
        <w:rPr>
          <w:rFonts w:hint="eastAsia" w:ascii="宋体" w:hAnsi="宋体" w:eastAsia="宋体" w:cs="Times New Roman"/>
          <w:b/>
          <w:bCs/>
          <w:color w:val="auto"/>
          <w:kern w:val="2"/>
          <w:sz w:val="32"/>
          <w:szCs w:val="32"/>
          <w:highlight w:val="none"/>
        </w:rPr>
      </w:pPr>
      <w:bookmarkStart w:id="61" w:name="_Toc9097"/>
      <w:bookmarkEnd w:id="61"/>
      <w:bookmarkStart w:id="62" w:name="_Toc8135"/>
      <w:bookmarkEnd w:id="62"/>
      <w:bookmarkStart w:id="63" w:name="_Toc12610"/>
      <w:bookmarkEnd w:id="63"/>
      <w:bookmarkStart w:id="64" w:name="_Toc16756"/>
      <w:bookmarkEnd w:id="64"/>
      <w:bookmarkStart w:id="65" w:name="_Toc26461"/>
      <w:bookmarkEnd w:id="65"/>
      <w:bookmarkStart w:id="66" w:name="_Toc20915"/>
      <w:bookmarkEnd w:id="66"/>
      <w:bookmarkStart w:id="67" w:name="_Toc492300547"/>
      <w:bookmarkEnd w:id="67"/>
      <w:bookmarkStart w:id="68" w:name="_Toc15996"/>
      <w:bookmarkEnd w:id="68"/>
      <w:bookmarkStart w:id="69" w:name="_Toc5569"/>
      <w:bookmarkEnd w:id="69"/>
      <w:bookmarkStart w:id="70" w:name="_Toc17994"/>
      <w:bookmarkEnd w:id="70"/>
      <w:bookmarkStart w:id="71" w:name="_Toc23202"/>
      <w:r>
        <w:rPr>
          <w:rFonts w:hint="eastAsia" w:ascii="宋体" w:hAnsi="宋体" w:eastAsia="宋体" w:cs="宋体"/>
          <w:b/>
          <w:bCs/>
          <w:color w:val="auto"/>
          <w:kern w:val="2"/>
          <w:sz w:val="32"/>
          <w:szCs w:val="32"/>
          <w:highlight w:val="none"/>
        </w:rPr>
        <w:t>2.项目概况与招标范围</w:t>
      </w:r>
      <w:bookmarkEnd w:id="71"/>
    </w:p>
    <w:p w14:paraId="19532673">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rPr>
      </w:pPr>
      <w:bookmarkStart w:id="72" w:name="_Toc17345"/>
      <w:bookmarkEnd w:id="72"/>
      <w:r>
        <w:rPr>
          <w:rFonts w:hint="eastAsia" w:ascii="宋体" w:hAnsi="宋体" w:eastAsia="宋体" w:cs="Times New Roman"/>
          <w:color w:val="auto"/>
          <w:kern w:val="2"/>
          <w:sz w:val="24"/>
          <w:szCs w:val="24"/>
          <w:highlight w:val="none"/>
          <w:lang w:val="en-US" w:eastAsia="zh-CN" w:bidi="ar"/>
        </w:rPr>
        <w:t xml:space="preserve">2.1 </w:t>
      </w:r>
      <w:r>
        <w:rPr>
          <w:rFonts w:hint="eastAsia" w:ascii="宋体" w:hAnsi="宋体" w:eastAsia="宋体" w:cs="宋体"/>
          <w:color w:val="auto"/>
          <w:kern w:val="2"/>
          <w:sz w:val="24"/>
          <w:szCs w:val="24"/>
          <w:highlight w:val="none"/>
          <w:lang w:val="en-US" w:eastAsia="zh-CN" w:bidi="ar"/>
        </w:rPr>
        <w:t>招标项目概况</w:t>
      </w:r>
    </w:p>
    <w:p w14:paraId="04C5FD22">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u w:val="single"/>
        </w:rPr>
      </w:pPr>
      <w:bookmarkStart w:id="73" w:name="_Toc13481"/>
      <w:bookmarkEnd w:id="73"/>
      <w:r>
        <w:rPr>
          <w:rFonts w:hint="eastAsia" w:ascii="宋体" w:hAnsi="宋体" w:eastAsia="宋体" w:cs="Times New Roman"/>
          <w:color w:val="auto"/>
          <w:kern w:val="2"/>
          <w:sz w:val="24"/>
          <w:szCs w:val="24"/>
          <w:highlight w:val="none"/>
          <w:lang w:val="en-US" w:eastAsia="zh-CN" w:bidi="ar"/>
        </w:rPr>
        <w:t>2.1.</w:t>
      </w:r>
      <w:r>
        <w:rPr>
          <w:rFonts w:hint="eastAsia" w:ascii="宋体" w:hAnsi="宋体" w:eastAsia="宋体" w:cs="宋体"/>
          <w:color w:val="auto"/>
          <w:kern w:val="2"/>
          <w:sz w:val="24"/>
          <w:szCs w:val="24"/>
          <w:highlight w:val="none"/>
          <w:lang w:val="en-US" w:eastAsia="zh-CN" w:bidi="ar"/>
        </w:rPr>
        <w:t>1 招标项目固定资产投资项目代码：</w:t>
      </w:r>
      <w:r>
        <w:rPr>
          <w:rFonts w:hint="eastAsia" w:ascii="宋体" w:hAnsi="宋体" w:eastAsia="宋体" w:cs="宋体"/>
          <w:color w:val="auto"/>
          <w:kern w:val="2"/>
          <w:sz w:val="24"/>
          <w:szCs w:val="24"/>
          <w:highlight w:val="none"/>
          <w:u w:val="single"/>
          <w:lang w:val="en-US" w:eastAsia="zh-CN" w:bidi="ar"/>
        </w:rPr>
        <w:t>2401-440100-04-05-431849</w:t>
      </w:r>
    </w:p>
    <w:p w14:paraId="202E5CE2">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2.1.2 招标项目名称：</w:t>
      </w:r>
      <w:r>
        <w:rPr>
          <w:rFonts w:hint="eastAsia" w:ascii="宋体" w:hAnsi="宋体" w:eastAsia="宋体" w:cs="宋体"/>
          <w:color w:val="auto"/>
          <w:kern w:val="2"/>
          <w:sz w:val="24"/>
          <w:szCs w:val="24"/>
          <w:highlight w:val="none"/>
          <w:u w:val="single"/>
          <w:lang w:val="en-US" w:eastAsia="zh-CN" w:bidi="ar"/>
        </w:rPr>
        <w:t>城维计划-桥梁中修专项经费-官洲隧道中修工程监理</w:t>
      </w:r>
    </w:p>
    <w:p w14:paraId="7ADE0F73">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2.1.3 工程建设地点：</w:t>
      </w:r>
      <w:r>
        <w:rPr>
          <w:rFonts w:hint="eastAsia" w:ascii="宋体" w:hAnsi="宋体" w:eastAsia="宋体" w:cs="宋体"/>
          <w:color w:val="auto"/>
          <w:kern w:val="2"/>
          <w:sz w:val="24"/>
          <w:szCs w:val="24"/>
          <w:highlight w:val="none"/>
          <w:u w:val="single"/>
          <w:lang w:val="en-US" w:eastAsia="zh-CN" w:bidi="ar"/>
        </w:rPr>
        <w:t>本项目位于广州市</w:t>
      </w:r>
      <w:r>
        <w:rPr>
          <w:rFonts w:hint="eastAsia" w:ascii="宋体" w:hAnsi="宋体" w:eastAsia="宋体" w:cs="宋体"/>
          <w:bCs/>
          <w:color w:val="auto"/>
          <w:kern w:val="2"/>
          <w:sz w:val="24"/>
          <w:szCs w:val="24"/>
          <w:highlight w:val="none"/>
          <w:u w:val="single"/>
          <w:lang w:val="en-US" w:eastAsia="zh-CN" w:bidi="ar"/>
        </w:rPr>
        <w:t>。</w:t>
      </w:r>
    </w:p>
    <w:p w14:paraId="57A50F18">
      <w:pPr>
        <w:keepNext w:val="0"/>
        <w:keepLines w:val="0"/>
        <w:widowControl w:val="0"/>
        <w:suppressLineNumbers w:val="0"/>
        <w:wordWrap w:val="0"/>
        <w:spacing w:before="0" w:beforeAutospacing="0" w:after="0" w:afterAutospacing="0" w:line="360" w:lineRule="auto"/>
        <w:ind w:left="0" w:right="0" w:firstLine="417" w:firstLineChars="174"/>
        <w:jc w:val="both"/>
        <w:rPr>
          <w:rFonts w:hint="eastAsia"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lang w:val="en-US" w:eastAsia="zh-CN" w:bidi="ar"/>
        </w:rPr>
        <w:t>2.1.</w:t>
      </w:r>
      <w:r>
        <w:rPr>
          <w:rFonts w:hint="eastAsia" w:ascii="宋体" w:hAnsi="宋体" w:eastAsia="宋体" w:cs="宋体"/>
          <w:color w:val="auto"/>
          <w:kern w:val="2"/>
          <w:sz w:val="24"/>
          <w:szCs w:val="24"/>
          <w:highlight w:val="none"/>
          <w:lang w:val="en-US" w:eastAsia="zh-CN" w:bidi="ar"/>
        </w:rPr>
        <w:t>4 工程建设规模：</w:t>
      </w:r>
      <w:r>
        <w:rPr>
          <w:rFonts w:hint="eastAsia" w:ascii="宋体" w:hAnsi="宋体" w:eastAsia="宋体" w:cs="宋体"/>
          <w:color w:val="auto"/>
          <w:kern w:val="2"/>
          <w:sz w:val="24"/>
          <w:szCs w:val="24"/>
          <w:highlight w:val="none"/>
          <w:u w:val="single"/>
          <w:lang w:val="en-US" w:eastAsia="zh-CN" w:bidi="ar"/>
        </w:rPr>
        <w:t>广州生物岛-大学城隧道（又称“官洲隧道”）位于广州市海珠区东南部，是连接仑头-生物岛-大学城主干道的二期工程，线路呈近南北走向。起点位于仑头-生物岛隧道与生物岛东西向主干道中线交汇处，下穿官洲河，终点止于大学城26号路与中环交叉口。隧道养护类别为Ⅰ类。</w:t>
      </w:r>
    </w:p>
    <w:p w14:paraId="15BEF33C">
      <w:pPr>
        <w:keepNext w:val="0"/>
        <w:keepLines w:val="0"/>
        <w:widowControl w:val="0"/>
        <w:suppressLineNumbers w:val="0"/>
        <w:wordWrap w:val="0"/>
        <w:spacing w:before="0" w:beforeAutospacing="0" w:after="0" w:afterAutospacing="0" w:line="360" w:lineRule="auto"/>
        <w:ind w:left="0" w:right="0" w:firstLine="417" w:firstLineChars="174"/>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全隧道由北端岸上敞开段、北端岸上暗埋段、沉管段、南端岸上暗埋段和南端岸上敞开段组成。其中，南、北岸上段采用明挖法施工，中间为沉管段。隧道断面采用合洞隔墙的形式进行设计，双向四车道，隧道路面采用沥青混凝土铺装。</w:t>
      </w:r>
    </w:p>
    <w:p w14:paraId="2A853108">
      <w:pPr>
        <w:keepNext w:val="0"/>
        <w:keepLines w:val="0"/>
        <w:widowControl w:val="0"/>
        <w:suppressLineNumbers w:val="0"/>
        <w:wordWrap w:val="0"/>
        <w:spacing w:before="0" w:beforeAutospacing="0" w:after="0" w:afterAutospacing="0" w:line="360" w:lineRule="auto"/>
        <w:ind w:left="0" w:right="0" w:firstLine="417" w:firstLineChars="174"/>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前期检测结果显示，江中管节相较于暗埋段存在差异沉降，剪切键出现不同程度的病害。本次拟对隧道基础垫层和受损剪切键进行加固修复，并建立隧道健康监测系统。</w:t>
      </w:r>
    </w:p>
    <w:p w14:paraId="28F9EFD1">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lang w:val="en-US" w:eastAsia="zh-CN" w:bidi="ar"/>
        </w:rPr>
        <w:t>2.1.</w:t>
      </w:r>
      <w:r>
        <w:rPr>
          <w:rFonts w:hint="eastAsia" w:ascii="宋体" w:hAnsi="宋体" w:eastAsia="宋体" w:cs="宋体"/>
          <w:color w:val="auto"/>
          <w:kern w:val="2"/>
          <w:sz w:val="24"/>
          <w:szCs w:val="24"/>
          <w:highlight w:val="none"/>
          <w:lang w:val="en-US" w:eastAsia="zh-CN" w:bidi="ar"/>
        </w:rPr>
        <w:t>5 工程概算建筑安装工程费：</w:t>
      </w:r>
      <w:r>
        <w:rPr>
          <w:rFonts w:hint="eastAsia" w:ascii="宋体" w:hAnsi="宋体" w:eastAsia="宋体" w:cs="宋体"/>
          <w:color w:val="auto"/>
          <w:kern w:val="2"/>
          <w:sz w:val="24"/>
          <w:szCs w:val="24"/>
          <w:highlight w:val="none"/>
          <w:u w:val="single"/>
          <w:lang w:val="en-US" w:eastAsia="zh-CN" w:bidi="ar"/>
        </w:rPr>
        <w:t>35385199.26元。</w:t>
      </w:r>
    </w:p>
    <w:p w14:paraId="02D67485">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2.2 </w:t>
      </w:r>
      <w:r>
        <w:rPr>
          <w:rFonts w:hint="eastAsia" w:ascii="宋体" w:hAnsi="宋体" w:eastAsia="宋体" w:cs="宋体"/>
          <w:color w:val="auto"/>
          <w:kern w:val="2"/>
          <w:sz w:val="24"/>
          <w:szCs w:val="24"/>
          <w:highlight w:val="none"/>
          <w:lang w:val="en-US" w:eastAsia="zh-CN" w:bidi="ar"/>
        </w:rPr>
        <w:t>招标范围</w:t>
      </w:r>
    </w:p>
    <w:p w14:paraId="7CA0E11E">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2.2.1</w:t>
      </w:r>
      <w:r>
        <w:rPr>
          <w:rFonts w:hint="eastAsia" w:ascii="宋体" w:hAnsi="宋体" w:eastAsia="宋体" w:cs="宋体"/>
          <w:color w:val="auto"/>
          <w:kern w:val="2"/>
          <w:sz w:val="24"/>
          <w:szCs w:val="24"/>
          <w:highlight w:val="none"/>
          <w:lang w:val="en-US" w:eastAsia="zh-CN" w:bidi="ar"/>
        </w:rPr>
        <w:t>监理标段划分：</w:t>
      </w:r>
      <w:r>
        <w:rPr>
          <w:rFonts w:hint="eastAsia" w:ascii="宋体" w:hAnsi="宋体" w:eastAsia="宋体" w:cs="宋体"/>
          <w:color w:val="auto"/>
          <w:kern w:val="0"/>
          <w:sz w:val="24"/>
          <w:szCs w:val="24"/>
          <w:highlight w:val="none"/>
          <w:u w:val="single"/>
          <w:lang w:val="en-US" w:eastAsia="zh-CN" w:bidi="ar"/>
        </w:rPr>
        <w:t>1</w:t>
      </w:r>
      <w:r>
        <w:rPr>
          <w:rFonts w:hint="eastAsia" w:ascii="宋体" w:hAnsi="宋体" w:eastAsia="宋体" w:cs="宋体"/>
          <w:color w:val="auto"/>
          <w:kern w:val="0"/>
          <w:sz w:val="24"/>
          <w:szCs w:val="24"/>
          <w:highlight w:val="none"/>
          <w:lang w:val="en-US" w:eastAsia="zh-CN" w:bidi="ar"/>
        </w:rPr>
        <w:t>个标段。</w:t>
      </w:r>
    </w:p>
    <w:p w14:paraId="75805C29">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Times New Roman"/>
          <w:b w:val="0"/>
          <w:bCs w:val="0"/>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2.2.2</w:t>
      </w:r>
      <w:r>
        <w:rPr>
          <w:rFonts w:hint="eastAsia" w:ascii="宋体" w:hAnsi="宋体" w:eastAsia="宋体" w:cs="宋体"/>
          <w:color w:val="auto"/>
          <w:kern w:val="2"/>
          <w:sz w:val="24"/>
          <w:szCs w:val="24"/>
          <w:highlight w:val="none"/>
          <w:lang w:val="en-US" w:eastAsia="zh-CN" w:bidi="ar"/>
        </w:rPr>
        <w:t>招标范围：</w:t>
      </w:r>
      <w:r>
        <w:rPr>
          <w:rFonts w:hint="eastAsia" w:ascii="宋体" w:hAnsi="宋体" w:eastAsia="宋体" w:cs="宋体"/>
          <w:b w:val="0"/>
          <w:bCs w:val="0"/>
          <w:color w:val="auto"/>
          <w:kern w:val="2"/>
          <w:sz w:val="24"/>
          <w:szCs w:val="24"/>
          <w:highlight w:val="none"/>
          <w:u w:val="single"/>
          <w:lang w:val="en-US" w:eastAsia="zh-CN" w:bidi="ar"/>
        </w:rPr>
        <w:t>负责</w:t>
      </w:r>
      <w:r>
        <w:rPr>
          <w:rFonts w:hint="eastAsia" w:ascii="宋体" w:hAnsi="宋体" w:eastAsia="宋体" w:cs="宋体"/>
          <w:color w:val="auto"/>
          <w:kern w:val="2"/>
          <w:sz w:val="24"/>
          <w:szCs w:val="24"/>
          <w:highlight w:val="none"/>
          <w:u w:val="single"/>
          <w:lang w:val="en-US" w:eastAsia="zh-CN" w:bidi="ar"/>
        </w:rPr>
        <w:t>本项目的勘察阶段（如需）、设计阶段（如需）、预算编制阶段（如需）、施工准备阶段、施工阶段、工程收尾阶段（包括但不限于竣工验收、整改、工程移交及实物移交、工程结算等）及工程质量保修阶段的质量控制、安全生产、健康监测系统、检（监）测、投资控制、进度控制、合同管理、信息管理、环境保护、组织协调等监理工作。参与开工前期的准备和筹划工作，协助发包人制定各参建方职责及有关事务性工作等。</w:t>
      </w:r>
    </w:p>
    <w:p w14:paraId="16F8CE0B">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lang w:val="en-US" w:eastAsia="zh-CN" w:bidi="ar"/>
        </w:rPr>
        <w:t>2.2.3监理服务期：</w:t>
      </w:r>
      <w:r>
        <w:rPr>
          <w:rFonts w:hint="eastAsia" w:ascii="宋体" w:hAnsi="宋体" w:eastAsia="宋体" w:cs="宋体"/>
          <w:color w:val="auto"/>
          <w:kern w:val="2"/>
          <w:sz w:val="24"/>
          <w:szCs w:val="24"/>
          <w:highlight w:val="none"/>
          <w:u w:val="single"/>
          <w:lang w:val="en-US" w:eastAsia="zh-CN" w:bidi="ar"/>
        </w:rPr>
        <w:t>自合同签订之日起至质量保修期满之日止。</w:t>
      </w:r>
    </w:p>
    <w:p w14:paraId="6C897AB4">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2.2.</w:t>
      </w:r>
      <w:r>
        <w:rPr>
          <w:rFonts w:hint="eastAsia" w:ascii="宋体" w:hAnsi="宋体" w:eastAsia="宋体" w:cs="宋体"/>
          <w:color w:val="auto"/>
          <w:kern w:val="2"/>
          <w:sz w:val="24"/>
          <w:szCs w:val="24"/>
          <w:highlight w:val="none"/>
          <w:lang w:val="en-US" w:eastAsia="zh-CN" w:bidi="ar"/>
        </w:rPr>
        <w:t>4监理服务阶段：</w:t>
      </w:r>
      <w:r>
        <w:rPr>
          <w:rFonts w:hint="eastAsia" w:ascii="宋体" w:hAnsi="宋体" w:eastAsia="宋体" w:cs="宋体"/>
          <w:color w:val="auto"/>
          <w:kern w:val="2"/>
          <w:sz w:val="24"/>
          <w:szCs w:val="24"/>
          <w:highlight w:val="none"/>
          <w:u w:val="single"/>
          <w:lang w:val="en-US" w:eastAsia="zh-CN" w:bidi="ar"/>
        </w:rPr>
        <w:t>监理人还须按委托人或发包人的要求提前进场参与本工程开工前期的准备和筹划工作，协助委托人或发包人制定本监理工程的工程管理办法、各参建方职责及有关事务性工作等</w:t>
      </w:r>
      <w:r>
        <w:rPr>
          <w:rFonts w:hint="eastAsia" w:ascii="宋体" w:hAnsi="宋体" w:eastAsia="宋体" w:cs="宋体"/>
          <w:color w:val="auto"/>
          <w:kern w:val="2"/>
          <w:sz w:val="24"/>
          <w:szCs w:val="24"/>
          <w:highlight w:val="none"/>
          <w:lang w:val="en-US" w:eastAsia="zh-CN" w:bidi="ar"/>
        </w:rPr>
        <w:t>。</w:t>
      </w:r>
    </w:p>
    <w:p w14:paraId="1C024AFD">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2.2.5监理服务最高投标限价：</w:t>
      </w:r>
      <w:r>
        <w:rPr>
          <w:rFonts w:hint="eastAsia" w:ascii="宋体" w:hAnsi="宋体" w:eastAsia="宋体" w:cs="宋体"/>
          <w:b/>
          <w:bCs/>
          <w:color w:val="auto"/>
          <w:kern w:val="2"/>
          <w:sz w:val="24"/>
          <w:szCs w:val="24"/>
          <w:highlight w:val="none"/>
          <w:u w:val="single"/>
          <w:lang w:val="en-US" w:eastAsia="zh-CN" w:bidi="ar"/>
        </w:rPr>
        <w:t>1133407.12</w:t>
      </w:r>
      <w:r>
        <w:rPr>
          <w:rFonts w:hint="eastAsia" w:ascii="宋体" w:hAnsi="宋体" w:eastAsia="宋体" w:cs="宋体"/>
          <w:b/>
          <w:bCs w:val="0"/>
          <w:color w:val="auto"/>
          <w:kern w:val="2"/>
          <w:sz w:val="24"/>
          <w:szCs w:val="24"/>
          <w:highlight w:val="none"/>
          <w:lang w:val="en-US" w:eastAsia="zh-CN" w:bidi="ar"/>
        </w:rPr>
        <w:t>元</w:t>
      </w:r>
    </w:p>
    <w:p w14:paraId="400C5E0D">
      <w:pPr>
        <w:pStyle w:val="3"/>
        <w:widowControl/>
        <w:rPr>
          <w:rFonts w:hint="eastAsia" w:ascii="宋体" w:hAnsi="宋体" w:eastAsia="宋体" w:cs="Times New Roman"/>
          <w:b/>
          <w:bCs/>
          <w:color w:val="auto"/>
          <w:kern w:val="2"/>
          <w:sz w:val="32"/>
          <w:szCs w:val="32"/>
          <w:highlight w:val="none"/>
        </w:rPr>
      </w:pPr>
      <w:bookmarkStart w:id="74" w:name="_Toc29683"/>
      <w:bookmarkEnd w:id="74"/>
      <w:bookmarkStart w:id="75" w:name="_Toc26825"/>
      <w:bookmarkEnd w:id="75"/>
      <w:bookmarkStart w:id="76" w:name="_Toc14304"/>
      <w:bookmarkEnd w:id="76"/>
      <w:bookmarkStart w:id="77" w:name="_Toc13318"/>
      <w:bookmarkEnd w:id="77"/>
      <w:bookmarkStart w:id="78" w:name="_Toc11352"/>
      <w:bookmarkEnd w:id="78"/>
      <w:bookmarkStart w:id="79" w:name="_Toc20643"/>
      <w:r>
        <w:rPr>
          <w:rFonts w:hint="eastAsia" w:ascii="宋体" w:hAnsi="宋体" w:eastAsia="宋体" w:cs="宋体"/>
          <w:b/>
          <w:bCs/>
          <w:color w:val="auto"/>
          <w:kern w:val="2"/>
          <w:sz w:val="32"/>
          <w:szCs w:val="32"/>
          <w:highlight w:val="none"/>
        </w:rPr>
        <w:t>3.投标人资格要求</w:t>
      </w:r>
      <w:bookmarkEnd w:id="79"/>
    </w:p>
    <w:p w14:paraId="0956BEBE">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3.1 投标人参加投标的意思表达清楚，投标人代表被授权有效。</w:t>
      </w:r>
    </w:p>
    <w:p w14:paraId="1FDED8BD">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3.2投标人是法人或其他组织，按国家法律经营；</w:t>
      </w:r>
    </w:p>
    <w:p w14:paraId="49727A0A">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3.3投标人须具备建设行政主管部门颁发的</w:t>
      </w:r>
      <w:r>
        <w:rPr>
          <w:rFonts w:hint="eastAsia" w:ascii="宋体" w:hAnsi="宋体" w:eastAsia="宋体" w:cs="宋体"/>
          <w:color w:val="auto"/>
          <w:kern w:val="2"/>
          <w:sz w:val="24"/>
          <w:szCs w:val="24"/>
          <w:highlight w:val="none"/>
          <w:u w:val="single"/>
          <w:lang w:val="en-US" w:eastAsia="zh-CN" w:bidi="ar"/>
        </w:rPr>
        <w:t>工程监理综合资质或市政公用工程监理</w:t>
      </w:r>
      <w:r>
        <w:rPr>
          <w:rFonts w:hint="eastAsia" w:ascii="宋体" w:hAnsi="宋体" w:eastAsia="宋体" w:cs="宋体"/>
          <w:b/>
          <w:bCs/>
          <w:color w:val="auto"/>
          <w:kern w:val="2"/>
          <w:sz w:val="24"/>
          <w:szCs w:val="24"/>
          <w:highlight w:val="none"/>
          <w:u w:val="single"/>
          <w:lang w:val="en-US" w:eastAsia="zh-CN" w:bidi="ar"/>
        </w:rPr>
        <w:t>甲级</w:t>
      </w:r>
      <w:r>
        <w:rPr>
          <w:rFonts w:hint="eastAsia" w:ascii="宋体" w:hAnsi="宋体" w:eastAsia="宋体" w:cs="宋体"/>
          <w:color w:val="auto"/>
          <w:kern w:val="2"/>
          <w:sz w:val="24"/>
          <w:szCs w:val="24"/>
          <w:highlight w:val="none"/>
          <w:u w:val="none"/>
          <w:lang w:val="en-US" w:eastAsia="zh-CN" w:bidi="ar"/>
        </w:rPr>
        <w:t>资质。</w:t>
      </w:r>
    </w:p>
    <w:p w14:paraId="14E3B8B0">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对应所设置资质要求的规模指标：</w:t>
      </w:r>
      <w:r>
        <w:rPr>
          <w:rFonts w:hint="eastAsia" w:ascii="宋体" w:hAnsi="宋体" w:eastAsia="宋体" w:cs="宋体"/>
          <w:color w:val="auto"/>
          <w:kern w:val="2"/>
          <w:sz w:val="24"/>
          <w:szCs w:val="24"/>
          <w:highlight w:val="none"/>
          <w:u w:val="single"/>
          <w:lang w:val="en-US" w:eastAsia="zh-CN" w:bidi="ar"/>
        </w:rPr>
        <w:t>■长度1000米以上的隧道。</w:t>
      </w:r>
    </w:p>
    <w:p w14:paraId="0650A551">
      <w:pPr>
        <w:pStyle w:val="6"/>
        <w:keepNext w:val="0"/>
        <w:keepLines w:val="0"/>
        <w:widowControl w:val="0"/>
        <w:suppressLineNumbers w:val="0"/>
        <w:kinsoku w:val="0"/>
        <w:wordWrap w:val="0"/>
        <w:overflowPunct w:val="0"/>
        <w:spacing w:before="0" w:beforeAutospacing="1" w:after="0" w:afterAutospacing="0" w:line="360" w:lineRule="auto"/>
        <w:ind w:left="0" w:right="213" w:firstLine="484" w:firstLineChars="202"/>
        <w:jc w:val="both"/>
        <w:rPr>
          <w:rFonts w:hint="eastAsia" w:ascii="宋体" w:hAnsi="宋体" w:eastAsia="宋体" w:cs="楷体_GB2312"/>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详见链接：</w:t>
      </w:r>
      <w:r>
        <w:rPr>
          <w:rFonts w:hint="default" w:ascii="Times New Roman" w:hAnsi="Times New Roman" w:eastAsia="宋体" w:cs="Times New Roman"/>
          <w:color w:val="auto"/>
          <w:kern w:val="2"/>
          <w:sz w:val="21"/>
          <w:szCs w:val="21"/>
          <w:highlight w:val="none"/>
          <w:lang w:val="en-US" w:eastAsia="zh-CN" w:bidi="ar"/>
        </w:rPr>
        <w:fldChar w:fldCharType="begin"/>
      </w:r>
      <w:r>
        <w:rPr>
          <w:rFonts w:hint="default" w:ascii="Times New Roman" w:hAnsi="Times New Roman" w:eastAsia="宋体" w:cs="Times New Roman"/>
          <w:color w:val="auto"/>
          <w:kern w:val="2"/>
          <w:sz w:val="21"/>
          <w:szCs w:val="21"/>
          <w:highlight w:val="none"/>
          <w:lang w:val="en-US" w:eastAsia="zh-CN" w:bidi="ar"/>
        </w:rPr>
        <w:instrText xml:space="preserve"> HYPERLINK "http://zfcxjst.gd.gov.cn/xxgk/wjtz/content/post_3137220.html）确定。香港企业须提供满足招标文件要求的相应资质证书及备案证明资料扫描件。" </w:instrText>
      </w:r>
      <w:r>
        <w:rPr>
          <w:rFonts w:hint="default" w:ascii="Times New Roman" w:hAnsi="Times New Roman" w:eastAsia="宋体" w:cs="Times New Roman"/>
          <w:color w:val="auto"/>
          <w:kern w:val="2"/>
          <w:sz w:val="21"/>
          <w:szCs w:val="21"/>
          <w:highlight w:val="none"/>
          <w:lang w:val="en-US" w:eastAsia="zh-CN" w:bidi="ar"/>
        </w:rPr>
        <w:fldChar w:fldCharType="separate"/>
      </w:r>
      <w:r>
        <w:rPr>
          <w:rStyle w:val="9"/>
          <w:rFonts w:hint="eastAsia" w:ascii="宋体" w:hAnsi="宋体" w:eastAsia="宋体" w:cs="宋体"/>
          <w:color w:val="auto"/>
          <w:kern w:val="2"/>
          <w:sz w:val="24"/>
          <w:szCs w:val="24"/>
          <w:highlight w:val="none"/>
          <w:u w:val="single"/>
        </w:rPr>
        <w:t>http://zfcxjst.gd.gov.cn/xxgk/wjtz/content/post_3137220.html）确定。香港企业须提供满足招标文件要求的相应资质证书及备案证明资料扫描件。</w:t>
      </w:r>
      <w:r>
        <w:rPr>
          <w:rFonts w:hint="default" w:ascii="Times New Roman" w:hAnsi="Times New Roman" w:eastAsia="宋体" w:cs="Times New Roman"/>
          <w:color w:val="auto"/>
          <w:kern w:val="2"/>
          <w:sz w:val="21"/>
          <w:szCs w:val="21"/>
          <w:highlight w:val="none"/>
          <w:lang w:val="en-US" w:eastAsia="zh-CN" w:bidi="ar"/>
        </w:rPr>
        <w:fldChar w:fldCharType="end"/>
      </w:r>
      <w:r>
        <w:rPr>
          <w:rFonts w:hint="eastAsia" w:ascii="宋体" w:hAnsi="宋体" w:eastAsia="宋体" w:cs="宋体"/>
          <w:color w:val="auto"/>
          <w:kern w:val="2"/>
          <w:sz w:val="24"/>
          <w:szCs w:val="24"/>
          <w:highlight w:val="none"/>
          <w:u w:val="single"/>
          <w:lang w:val="en-US" w:eastAsia="zh-CN" w:bidi="ar"/>
        </w:rPr>
        <w:t>（2）工程监理企业资质的要求和证书有效期按《工程监理企业资质管理规定》（中华人民共和国建设部令第158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广东省住房和城乡建设厅关于建设工程企业资质有关事宜的通知》（粤建许函〔2022〕846号）、《住房和城乡建设部关于进一步加强建设工程企业资质审批管理工作的通知》（建市规〔2023〕3号）、《住房城乡建设部办公厅关于做好有关建设工程企业资质证书换领和延续工作的通知》（建办市〔2023〕47号）、《广东省住房和城乡建设厅关于建设工程企业资质延续有关事项的通知》（粤建许函〔2023〕820号）、《住房城乡建设部建筑市场监管司关于建设工程企业资质延续有关事项的通知》（建司局函市〔2023〕116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4600F6E2">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3.4拟委派项目负责人（总监理工程师）须具备</w:t>
      </w:r>
      <w:r>
        <w:rPr>
          <w:rFonts w:hint="eastAsia" w:ascii="宋体" w:hAnsi="宋体" w:eastAsia="宋体" w:cs="宋体"/>
          <w:color w:val="auto"/>
          <w:kern w:val="2"/>
          <w:sz w:val="24"/>
          <w:szCs w:val="24"/>
          <w:highlight w:val="none"/>
          <w:u w:val="single"/>
          <w:lang w:val="en-US" w:eastAsia="zh-CN" w:bidi="ar"/>
        </w:rPr>
        <w:t>建设部2006年4月1日后颁发的中华人民共和国注册监理工程师注册执业证书且其注册证书专业为</w:t>
      </w:r>
      <w:r>
        <w:rPr>
          <w:rFonts w:hint="eastAsia" w:ascii="宋体" w:hAnsi="宋体" w:eastAsia="宋体" w:cs="宋体"/>
          <w:b/>
          <w:bCs/>
          <w:color w:val="auto"/>
          <w:kern w:val="2"/>
          <w:sz w:val="24"/>
          <w:szCs w:val="24"/>
          <w:highlight w:val="none"/>
          <w:u w:val="single"/>
          <w:lang w:val="en-US" w:eastAsia="zh-CN" w:bidi="ar"/>
        </w:rPr>
        <w:t>市政公用工程</w:t>
      </w:r>
      <w:r>
        <w:rPr>
          <w:rFonts w:hint="eastAsia" w:ascii="宋体" w:hAnsi="宋体" w:eastAsia="宋体" w:cs="宋体"/>
          <w:color w:val="auto"/>
          <w:kern w:val="2"/>
          <w:sz w:val="24"/>
          <w:szCs w:val="24"/>
          <w:highlight w:val="none"/>
          <w:u w:val="single"/>
          <w:lang w:val="en-US" w:eastAsia="zh-CN" w:bidi="ar"/>
        </w:rPr>
        <w:t>。需提供离投标截止时间最近的至少1个月（即</w:t>
      </w:r>
      <w:r>
        <w:rPr>
          <w:rFonts w:hint="eastAsia" w:ascii="宋体" w:hAnsi="宋体" w:eastAsia="宋体" w:cs="宋体"/>
          <w:b/>
          <w:bCs/>
          <w:color w:val="auto"/>
          <w:kern w:val="2"/>
          <w:sz w:val="24"/>
          <w:szCs w:val="24"/>
          <w:highlight w:val="none"/>
          <w:u w:val="single"/>
          <w:lang w:val="en-US" w:eastAsia="zh-CN" w:bidi="ar"/>
        </w:rPr>
        <w:t>2025年5月</w:t>
      </w:r>
      <w:r>
        <w:rPr>
          <w:rFonts w:hint="eastAsia" w:ascii="宋体" w:hAnsi="宋体" w:eastAsia="宋体" w:cs="宋体"/>
          <w:color w:val="auto"/>
          <w:kern w:val="2"/>
          <w:sz w:val="24"/>
          <w:szCs w:val="24"/>
          <w:highlight w:val="none"/>
          <w:u w:val="single"/>
          <w:lang w:val="en-US" w:eastAsia="zh-CN" w:bidi="ar"/>
        </w:rPr>
        <w:t>）在本单位缴纳的社保证明文件。</w:t>
      </w:r>
    </w:p>
    <w:p w14:paraId="6959D162">
      <w:pPr>
        <w:pStyle w:val="6"/>
        <w:keepNext w:val="0"/>
        <w:keepLines w:val="0"/>
        <w:widowControl w:val="0"/>
        <w:suppressLineNumbers w:val="0"/>
        <w:kinsoku w:val="0"/>
        <w:wordWrap w:val="0"/>
        <w:overflowPunct w:val="0"/>
        <w:spacing w:before="0" w:beforeAutospacing="1" w:after="0" w:afterAutospacing="0" w:line="360" w:lineRule="auto"/>
        <w:ind w:left="0" w:right="213" w:firstLine="484" w:firstLineChars="202"/>
        <w:jc w:val="both"/>
        <w:rPr>
          <w:rFonts w:hint="eastAsia" w:ascii="宋体" w:hAnsi="宋体" w:eastAsia="宋体" w:cs="楷体_GB2312"/>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注：若拟委派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1F195CA0">
      <w:pPr>
        <w:pStyle w:val="6"/>
        <w:keepNext w:val="0"/>
        <w:keepLines w:val="0"/>
        <w:widowControl w:val="0"/>
        <w:suppressLineNumbers w:val="0"/>
        <w:kinsoku w:val="0"/>
        <w:wordWrap w:val="0"/>
        <w:overflowPunct w:val="0"/>
        <w:spacing w:before="0" w:beforeAutospacing="1" w:after="0" w:afterAutospacing="0" w:line="360" w:lineRule="auto"/>
        <w:ind w:left="0" w:right="213"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3.5 投标申请人业绩要求（</w:t>
      </w:r>
      <w:r>
        <w:rPr>
          <w:rFonts w:hint="eastAsia" w:ascii="宋体" w:hAnsi="宋体" w:eastAsia="宋体" w:cs="宋体"/>
          <w:color w:val="auto"/>
          <w:kern w:val="2"/>
          <w:sz w:val="24"/>
          <w:szCs w:val="24"/>
          <w:highlight w:val="none"/>
          <w:lang w:val="en-US" w:eastAsia="zh-CN" w:bidi="ar"/>
        </w:rPr>
        <w:sym w:font="Wingdings 2" w:char="00A3"/>
      </w:r>
      <w:r>
        <w:rPr>
          <w:rFonts w:hint="eastAsia" w:ascii="宋体" w:hAnsi="宋体" w:eastAsia="宋体" w:cs="宋体"/>
          <w:color w:val="auto"/>
          <w:kern w:val="2"/>
          <w:sz w:val="24"/>
          <w:szCs w:val="24"/>
          <w:highlight w:val="none"/>
          <w:lang w:val="en-US" w:eastAsia="zh-CN" w:bidi="ar"/>
        </w:rPr>
        <w:t>需要 /■不需要）。</w:t>
      </w:r>
    </w:p>
    <w:p w14:paraId="14C32805">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3.6关于联合体投标：</w:t>
      </w:r>
    </w:p>
    <w:p w14:paraId="28F87E37">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3.6.1本次招标（</w:t>
      </w:r>
      <w:r>
        <w:rPr>
          <w:rFonts w:hint="eastAsia" w:ascii="宋体" w:hAnsi="宋体" w:eastAsia="宋体" w:cs="宋体"/>
          <w:color w:val="auto"/>
          <w:kern w:val="2"/>
          <w:sz w:val="24"/>
          <w:szCs w:val="24"/>
          <w:highlight w:val="none"/>
          <w:lang w:val="en-US" w:eastAsia="zh-CN" w:bidi="ar"/>
        </w:rPr>
        <w:sym w:font="Wingdings 2" w:char="00A3"/>
      </w:r>
      <w:r>
        <w:rPr>
          <w:rFonts w:hint="eastAsia" w:ascii="宋体" w:hAnsi="宋体" w:eastAsia="宋体" w:cs="宋体"/>
          <w:color w:val="auto"/>
          <w:kern w:val="2"/>
          <w:sz w:val="24"/>
          <w:szCs w:val="24"/>
          <w:highlight w:val="none"/>
          <w:lang w:val="en-US" w:eastAsia="zh-CN" w:bidi="ar"/>
        </w:rPr>
        <w:t>接受 /■不接受）联合体投标。</w:t>
      </w:r>
    </w:p>
    <w:p w14:paraId="09DF86B5">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3.7</w:t>
      </w:r>
      <w:r>
        <w:rPr>
          <w:rFonts w:hint="eastAsia" w:ascii="宋体" w:hAnsi="宋体" w:eastAsia="宋体" w:cs="宋体"/>
          <w:color w:val="auto"/>
          <w:kern w:val="2"/>
          <w:sz w:val="24"/>
          <w:szCs w:val="24"/>
          <w:highlight w:val="none"/>
          <w:u w:val="single"/>
          <w:lang w:val="en-US" w:eastAsia="zh-CN" w:bidi="ar"/>
        </w:rPr>
        <w:t>投标人（如为联合体，则联合体各方）已在“广州市交通建设项目企业信息库”（网址http://112.94.68.79:8088/entHome/index）建立企业信用档案。拟委派的项目负责人须是本企业信用档案中的在册人员（提供网页截图）</w:t>
      </w:r>
    </w:p>
    <w:p w14:paraId="53114C08">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3.8投标人未出现招标文件第二章投标人须知第1.4.3项所规定的任何一种情形，并已按规定格式签名盖章《投标人声明》（按投标人提供的《投标人声明》内容进行评审）。</w:t>
      </w:r>
    </w:p>
    <w:p w14:paraId="292A9BEE">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3.9在投标截止时间前，投标人未被列入拖欠农民工工资失信联合惩戒对象名单。</w:t>
      </w:r>
    </w:p>
    <w:p w14:paraId="7EEB0F63">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3.10政府投资项目，在投标截止时间前，投标人未被列入“失信被执行人”名单。</w:t>
      </w:r>
    </w:p>
    <w:p w14:paraId="2962E825">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1BA660E5">
      <w:pPr>
        <w:pStyle w:val="3"/>
        <w:widowControl/>
        <w:rPr>
          <w:rFonts w:hint="eastAsia" w:ascii="宋体" w:hAnsi="宋体" w:eastAsia="宋体" w:cs="Times New Roman"/>
          <w:b/>
          <w:bCs/>
          <w:color w:val="auto"/>
          <w:kern w:val="2"/>
          <w:sz w:val="32"/>
          <w:szCs w:val="32"/>
          <w:highlight w:val="none"/>
        </w:rPr>
      </w:pPr>
      <w:bookmarkStart w:id="80" w:name="_Toc21595"/>
      <w:bookmarkEnd w:id="80"/>
      <w:bookmarkStart w:id="81" w:name="_Toc2300"/>
      <w:bookmarkEnd w:id="81"/>
      <w:bookmarkStart w:id="82" w:name="_Toc1349"/>
      <w:bookmarkEnd w:id="82"/>
      <w:bookmarkStart w:id="83" w:name="_Toc17136"/>
      <w:bookmarkEnd w:id="83"/>
      <w:bookmarkStart w:id="84" w:name="_Toc5034"/>
      <w:bookmarkEnd w:id="84"/>
      <w:bookmarkStart w:id="85" w:name="_Toc10789"/>
      <w:bookmarkEnd w:id="85"/>
      <w:bookmarkStart w:id="86" w:name="_Toc25355"/>
      <w:bookmarkEnd w:id="86"/>
      <w:bookmarkStart w:id="87" w:name="_Toc31269"/>
      <w:bookmarkEnd w:id="87"/>
      <w:bookmarkStart w:id="88" w:name="_Toc492300549"/>
      <w:bookmarkEnd w:id="88"/>
      <w:bookmarkStart w:id="89" w:name="_Toc32692"/>
      <w:bookmarkEnd w:id="89"/>
      <w:bookmarkStart w:id="90" w:name="_Toc7384"/>
      <w:r>
        <w:rPr>
          <w:rFonts w:hint="eastAsia" w:ascii="宋体" w:hAnsi="宋体" w:eastAsia="宋体" w:cs="宋体"/>
          <w:b/>
          <w:bCs/>
          <w:color w:val="auto"/>
          <w:kern w:val="2"/>
          <w:sz w:val="32"/>
          <w:szCs w:val="32"/>
          <w:highlight w:val="none"/>
        </w:rPr>
        <w:t>4.招标文件的获取</w:t>
      </w:r>
      <w:bookmarkEnd w:id="90"/>
    </w:p>
    <w:p w14:paraId="138D967C">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4.1</w:t>
      </w:r>
      <w:r>
        <w:rPr>
          <w:rFonts w:hint="eastAsia" w:ascii="宋体" w:hAnsi="宋体" w:eastAsia="宋体" w:cs="宋体"/>
          <w:color w:val="auto"/>
          <w:kern w:val="2"/>
          <w:sz w:val="24"/>
          <w:szCs w:val="24"/>
          <w:highlight w:val="none"/>
          <w:lang w:val="en-US" w:eastAsia="zh-CN" w:bidi="ar"/>
        </w:rPr>
        <w:t>凡有意参加投标者，请于</w:t>
      </w:r>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分至</w:t>
      </w:r>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r>
        <w:rPr>
          <w:rFonts w:hint="eastAsia" w:ascii="宋体" w:hAnsi="宋体"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北京时间，下同</w:t>
      </w:r>
      <w:r>
        <w:rPr>
          <w:rFonts w:hint="eastAsia" w:ascii="宋体" w:hAnsi="宋体"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，登录</w:t>
      </w:r>
      <w:r>
        <w:rPr>
          <w:rFonts w:hint="eastAsia" w:ascii="宋体" w:hAnsi="宋体" w:eastAsia="宋体" w:cs="宋体"/>
          <w:color w:val="auto"/>
          <w:kern w:val="2"/>
          <w:sz w:val="24"/>
          <w:szCs w:val="24"/>
          <w:highlight w:val="none"/>
          <w:u w:val="single"/>
          <w:lang w:val="en-US" w:eastAsia="zh-CN" w:bidi="ar"/>
        </w:rPr>
        <w:t>广州交易集团有限公司（广州公共资源交易中心）网站（http://www.gzggzy.cn/）</w:t>
      </w:r>
      <w:r>
        <w:rPr>
          <w:rFonts w:hint="eastAsia" w:ascii="宋体" w:hAnsi="宋体" w:eastAsia="宋体" w:cs="宋体"/>
          <w:color w:val="auto"/>
          <w:kern w:val="2"/>
          <w:sz w:val="24"/>
          <w:szCs w:val="24"/>
          <w:highlight w:val="none"/>
          <w:lang w:val="en-US" w:eastAsia="zh-CN" w:bidi="ar"/>
        </w:rPr>
        <w:t>下载电子招标文件。</w:t>
      </w:r>
    </w:p>
    <w:p w14:paraId="6CEAB70A">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4.2发布招标公告时间（含本日）：</w:t>
      </w:r>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分至</w:t>
      </w:r>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p>
    <w:p w14:paraId="6F22F789">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楷体_GB2312"/>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注：本公告发布之日起开始发布招标文件，发布招标公告的时间为招标公告发出之日起至递交投标文件截止时间止,并从招标公告发布之日起开始计算备标时间。</w:t>
      </w:r>
    </w:p>
    <w:p w14:paraId="7E0E5A87">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4.3本项目招标文件随招标公告一并在</w:t>
      </w:r>
      <w:r>
        <w:rPr>
          <w:rFonts w:hint="eastAsia" w:ascii="宋体" w:hAnsi="宋体" w:eastAsia="宋体" w:cs="宋体"/>
          <w:color w:val="auto"/>
          <w:kern w:val="2"/>
          <w:sz w:val="24"/>
          <w:szCs w:val="24"/>
          <w:highlight w:val="none"/>
          <w:u w:val="single"/>
          <w:lang w:val="en-US" w:eastAsia="zh-CN" w:bidi="ar"/>
        </w:rPr>
        <w:t>广州交易集团有限公司（广州公共资源交易中心）电子交易平台</w:t>
      </w:r>
      <w:r>
        <w:rPr>
          <w:rFonts w:hint="eastAsia" w:ascii="宋体" w:hAnsi="宋体" w:eastAsia="宋体" w:cs="宋体"/>
          <w:color w:val="auto"/>
          <w:kern w:val="2"/>
          <w:sz w:val="24"/>
          <w:szCs w:val="24"/>
          <w:highlight w:val="none"/>
          <w:lang w:val="en-US" w:eastAsia="zh-CN" w:bidi="ar"/>
        </w:rPr>
        <w:t>发布。招标文件一经在交易平台发布，视为发出给投标人，招标文件由投标人自行在交易平台下载。</w:t>
      </w:r>
    </w:p>
    <w:p w14:paraId="4524E0E4">
      <w:pPr>
        <w:pStyle w:val="3"/>
        <w:widowControl/>
        <w:rPr>
          <w:rFonts w:hint="eastAsia" w:ascii="宋体" w:hAnsi="宋体" w:eastAsia="宋体" w:cs="Times New Roman"/>
          <w:b/>
          <w:bCs/>
          <w:color w:val="auto"/>
          <w:kern w:val="2"/>
          <w:sz w:val="32"/>
          <w:szCs w:val="32"/>
          <w:highlight w:val="none"/>
        </w:rPr>
      </w:pPr>
      <w:bookmarkStart w:id="91" w:name="_Toc22166"/>
      <w:bookmarkEnd w:id="91"/>
      <w:bookmarkStart w:id="92" w:name="_Toc3582"/>
      <w:bookmarkEnd w:id="92"/>
      <w:bookmarkStart w:id="93" w:name="_Toc3884"/>
      <w:bookmarkEnd w:id="93"/>
      <w:bookmarkStart w:id="94" w:name="_Toc18670"/>
      <w:bookmarkEnd w:id="94"/>
      <w:bookmarkStart w:id="95" w:name="_Toc14445"/>
      <w:bookmarkEnd w:id="95"/>
      <w:bookmarkStart w:id="96" w:name="_Toc492300550"/>
      <w:bookmarkEnd w:id="96"/>
      <w:bookmarkStart w:id="97" w:name="_Toc6915"/>
      <w:bookmarkEnd w:id="97"/>
      <w:bookmarkStart w:id="98" w:name="_Toc16837"/>
      <w:bookmarkEnd w:id="98"/>
      <w:bookmarkStart w:id="99" w:name="_Toc30981"/>
      <w:bookmarkEnd w:id="99"/>
      <w:bookmarkStart w:id="100" w:name="_Toc13305"/>
      <w:bookmarkEnd w:id="100"/>
      <w:bookmarkStart w:id="101" w:name="_Toc30270"/>
      <w:r>
        <w:rPr>
          <w:rFonts w:hint="eastAsia" w:ascii="宋体" w:hAnsi="宋体" w:eastAsia="宋体" w:cs="宋体"/>
          <w:b/>
          <w:bCs/>
          <w:color w:val="auto"/>
          <w:kern w:val="2"/>
          <w:sz w:val="32"/>
          <w:szCs w:val="32"/>
          <w:highlight w:val="none"/>
        </w:rPr>
        <w:t>5.投标文件的递交</w:t>
      </w:r>
      <w:bookmarkEnd w:id="101"/>
    </w:p>
    <w:p w14:paraId="388916B0">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bookmarkStart w:id="102" w:name="_Toc14276"/>
      <w:bookmarkEnd w:id="102"/>
      <w:bookmarkStart w:id="103" w:name="_Toc25776"/>
      <w:bookmarkEnd w:id="103"/>
      <w:bookmarkStart w:id="104" w:name="_Toc5954"/>
      <w:bookmarkEnd w:id="104"/>
      <w:bookmarkStart w:id="105" w:name="_Toc996"/>
      <w:bookmarkEnd w:id="105"/>
      <w:bookmarkStart w:id="106" w:name="_Toc28330"/>
      <w:bookmarkEnd w:id="106"/>
      <w:bookmarkStart w:id="107" w:name="_Toc8942"/>
      <w:bookmarkEnd w:id="107"/>
      <w:bookmarkStart w:id="108" w:name="_Toc492300551"/>
      <w:bookmarkEnd w:id="108"/>
      <w:bookmarkStart w:id="109" w:name="_Toc9454"/>
      <w:bookmarkEnd w:id="109"/>
      <w:bookmarkStart w:id="110" w:name="_Toc5148"/>
      <w:bookmarkEnd w:id="110"/>
      <w:bookmarkStart w:id="111" w:name="_Toc3643"/>
      <w:r>
        <w:rPr>
          <w:rFonts w:hint="eastAsia" w:ascii="宋体" w:hAnsi="宋体" w:eastAsia="宋体" w:cs="宋体"/>
          <w:color w:val="auto"/>
          <w:kern w:val="2"/>
          <w:sz w:val="24"/>
          <w:szCs w:val="24"/>
          <w:highlight w:val="none"/>
          <w:lang w:val="en-US" w:eastAsia="zh-CN" w:bidi="ar"/>
        </w:rPr>
        <w:t>5.1投标文件递交的截止时间（投标截止时间，下同）为</w:t>
      </w:r>
      <w:bookmarkEnd w:id="111"/>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分，投标人应在截止时间前通过</w:t>
      </w:r>
      <w:r>
        <w:rPr>
          <w:rFonts w:hint="eastAsia" w:ascii="宋体" w:hAnsi="宋体" w:eastAsia="宋体" w:cs="宋体"/>
          <w:color w:val="auto"/>
          <w:kern w:val="2"/>
          <w:sz w:val="24"/>
          <w:szCs w:val="24"/>
          <w:highlight w:val="none"/>
          <w:u w:val="single"/>
          <w:lang w:val="en-US" w:eastAsia="zh-CN" w:bidi="ar"/>
        </w:rPr>
        <w:t>广州交易集团有限公司（广州公共资源交易中心）电子交易平台</w:t>
      </w:r>
      <w:r>
        <w:rPr>
          <w:rFonts w:hint="eastAsia" w:ascii="宋体" w:hAnsi="宋体" w:eastAsia="宋体" w:cs="宋体"/>
          <w:color w:val="auto"/>
          <w:kern w:val="2"/>
          <w:sz w:val="24"/>
          <w:szCs w:val="24"/>
          <w:highlight w:val="none"/>
          <w:lang w:val="en-US" w:eastAsia="zh-CN" w:bidi="ar"/>
        </w:rPr>
        <w:t>递交电子投标文件。投标人完成电子投标文件上传后，交易平台即时向投标人发出递交回执通知。递交时间以递交回执通知载明的传输完成时间为准。</w:t>
      </w:r>
    </w:p>
    <w:p w14:paraId="59000D3E">
      <w:pPr>
        <w:keepNext w:val="0"/>
        <w:keepLines w:val="0"/>
        <w:widowControl/>
        <w:suppressLineNumbers w:val="0"/>
        <w:wordWrap w:val="0"/>
        <w:topLinePunct/>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在投标截止时间后</w:t>
      </w:r>
      <w:r>
        <w:rPr>
          <w:rFonts w:hint="eastAsia" w:ascii="宋体" w:hAnsi="宋体" w:eastAsia="宋体" w:cs="宋体"/>
          <w:b/>
          <w:bCs/>
          <w:color w:val="auto"/>
          <w:kern w:val="2"/>
          <w:sz w:val="24"/>
          <w:szCs w:val="24"/>
          <w:highlight w:val="none"/>
          <w:u w:val="single"/>
          <w:lang w:val="en-US" w:eastAsia="zh-CN" w:bidi="ar"/>
        </w:rPr>
        <w:t>1</w:t>
      </w:r>
      <w:r>
        <w:rPr>
          <w:rFonts w:hint="eastAsia" w:ascii="宋体" w:hAnsi="宋体" w:eastAsia="宋体" w:cs="宋体"/>
          <w:color w:val="auto"/>
          <w:kern w:val="2"/>
          <w:sz w:val="24"/>
          <w:szCs w:val="24"/>
          <w:highlight w:val="none"/>
          <w:lang w:val="en-US" w:eastAsia="zh-CN" w:bidi="ar"/>
        </w:rPr>
        <w:t>小时内，投标人通过</w:t>
      </w:r>
      <w:r>
        <w:rPr>
          <w:rFonts w:hint="eastAsia" w:ascii="宋体" w:hAnsi="宋体" w:eastAsia="宋体" w:cs="宋体"/>
          <w:color w:val="auto"/>
          <w:kern w:val="2"/>
          <w:sz w:val="24"/>
          <w:szCs w:val="24"/>
          <w:highlight w:val="none"/>
          <w:u w:val="single"/>
          <w:lang w:val="en-US" w:eastAsia="zh-CN" w:bidi="ar"/>
        </w:rPr>
        <w:t>广州交易集团有限公司（广州公共资源交易中心）电子交易平台</w:t>
      </w:r>
      <w:r>
        <w:rPr>
          <w:rFonts w:hint="eastAsia" w:ascii="宋体" w:hAnsi="宋体" w:eastAsia="宋体" w:cs="宋体"/>
          <w:color w:val="auto"/>
          <w:kern w:val="2"/>
          <w:sz w:val="24"/>
          <w:szCs w:val="24"/>
          <w:highlight w:val="none"/>
          <w:lang w:val="en-US" w:eastAsia="zh-CN" w:bidi="ar"/>
        </w:rPr>
        <w:t>对已递交的电子投标文件进行解密。</w:t>
      </w:r>
    </w:p>
    <w:p w14:paraId="534170FF">
      <w:pPr>
        <w:pStyle w:val="6"/>
        <w:keepNext w:val="0"/>
        <w:keepLines w:val="0"/>
        <w:widowControl w:val="0"/>
        <w:suppressLineNumbers w:val="0"/>
        <w:kinsoku w:val="0"/>
        <w:wordWrap w:val="0"/>
        <w:overflowPunct w:val="0"/>
        <w:autoSpaceDE w:val="0"/>
        <w:autoSpaceDN w:val="0"/>
        <w:spacing w:before="0" w:beforeAutospacing="1" w:after="0" w:afterAutospacing="0" w:line="360" w:lineRule="auto"/>
        <w:ind w:left="0" w:right="113" w:firstLine="484" w:firstLineChars="202"/>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5.2投标人应在递交投标文件截止时间前，登录</w:t>
      </w:r>
      <w:r>
        <w:rPr>
          <w:rFonts w:hint="eastAsia" w:ascii="宋体" w:hAnsi="宋体" w:eastAsia="宋体" w:cs="宋体"/>
          <w:color w:val="auto"/>
          <w:kern w:val="2"/>
          <w:sz w:val="24"/>
          <w:szCs w:val="24"/>
          <w:highlight w:val="none"/>
          <w:u w:val="single"/>
          <w:lang w:val="en-US" w:eastAsia="zh-CN" w:bidi="ar"/>
        </w:rPr>
        <w:t>广州交易集团有限公司（广州公共资源交易中心）电子交易平台</w:t>
      </w:r>
      <w:r>
        <w:rPr>
          <w:rFonts w:hint="eastAsia" w:ascii="宋体" w:hAnsi="宋体" w:eastAsia="宋体" w:cs="宋体"/>
          <w:color w:val="auto"/>
          <w:kern w:val="2"/>
          <w:sz w:val="24"/>
          <w:szCs w:val="24"/>
          <w:highlight w:val="none"/>
          <w:lang w:val="en-US" w:eastAsia="zh-CN" w:bidi="ar"/>
        </w:rPr>
        <w:t>办理网上投标登记手续；投标登记时间（含本日）：</w:t>
      </w:r>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分至</w:t>
      </w:r>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p>
    <w:p w14:paraId="62AA2541">
      <w:pPr>
        <w:pStyle w:val="6"/>
        <w:keepNext w:val="0"/>
        <w:keepLines w:val="0"/>
        <w:widowControl w:val="0"/>
        <w:suppressLineNumbers w:val="0"/>
        <w:kinsoku w:val="0"/>
        <w:wordWrap w:val="0"/>
        <w:overflowPunct w:val="0"/>
        <w:autoSpaceDE w:val="0"/>
        <w:autoSpaceDN w:val="0"/>
        <w:spacing w:before="0" w:beforeAutospacing="1" w:after="0" w:afterAutospacing="0" w:line="360" w:lineRule="auto"/>
        <w:ind w:left="0" w:right="113" w:firstLine="484" w:firstLineChars="202"/>
        <w:jc w:val="both"/>
        <w:rPr>
          <w:rFonts w:hint="eastAsia" w:ascii="宋体" w:hAnsi="宋体" w:eastAsia="宋体" w:cs="楷体_GB2312"/>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注：详见电子招标投标交易平台网站发布的最新版操作指引。</w:t>
      </w:r>
    </w:p>
    <w:p w14:paraId="2BA059CF">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5.3开标开始时间：</w:t>
      </w:r>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分；地点：</w:t>
      </w:r>
      <w:r>
        <w:rPr>
          <w:rFonts w:hint="eastAsia" w:ascii="宋体" w:hAnsi="宋体" w:eastAsia="宋体" w:cs="宋体"/>
          <w:color w:val="auto"/>
          <w:kern w:val="2"/>
          <w:sz w:val="24"/>
          <w:szCs w:val="24"/>
          <w:highlight w:val="none"/>
          <w:u w:val="single"/>
          <w:lang w:val="en-US" w:eastAsia="zh-CN" w:bidi="ar"/>
        </w:rPr>
        <w:t>广州交易集团有限公司（广州公共资源交易中心）第</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开标室</w:t>
      </w:r>
      <w:r>
        <w:rPr>
          <w:rFonts w:hint="eastAsia" w:ascii="宋体" w:hAnsi="宋体" w:eastAsia="宋体" w:cs="宋体"/>
          <w:color w:val="auto"/>
          <w:kern w:val="2"/>
          <w:sz w:val="24"/>
          <w:szCs w:val="24"/>
          <w:highlight w:val="none"/>
          <w:lang w:val="en-US" w:eastAsia="zh-CN" w:bidi="ar"/>
        </w:rPr>
        <w:t>。</w:t>
      </w:r>
    </w:p>
    <w:p w14:paraId="0BAA3EBF">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5.4投标文件光盘（备用）递交时间：</w:t>
      </w:r>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分至</w:t>
      </w:r>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分；地点：</w:t>
      </w:r>
      <w:r>
        <w:rPr>
          <w:rFonts w:hint="eastAsia" w:ascii="宋体" w:hAnsi="宋体" w:eastAsia="宋体" w:cs="宋体"/>
          <w:color w:val="auto"/>
          <w:kern w:val="2"/>
          <w:sz w:val="24"/>
          <w:szCs w:val="24"/>
          <w:highlight w:val="none"/>
          <w:u w:val="single"/>
          <w:lang w:val="en-US" w:eastAsia="zh-CN" w:bidi="ar"/>
        </w:rPr>
        <w:t>广州交易集团有限公司（广州公共资源交易中心）第</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开标室</w:t>
      </w:r>
      <w:r>
        <w:rPr>
          <w:rFonts w:hint="eastAsia" w:ascii="宋体" w:hAnsi="宋体" w:eastAsia="宋体" w:cs="宋体"/>
          <w:color w:val="auto"/>
          <w:kern w:val="2"/>
          <w:sz w:val="24"/>
          <w:szCs w:val="24"/>
          <w:highlight w:val="none"/>
          <w:lang w:val="en-US" w:eastAsia="zh-CN" w:bidi="ar"/>
        </w:rPr>
        <w:t>。（投标人自行决定是否递交备用电子光盘，若提交电子光盘需则按规定封装。投标人将数据刻录到光盘之后，投标前自行检查文件是否可以读取）。逾期送达的投标文件光盘（备用），招标人将予以拒收。</w:t>
      </w:r>
    </w:p>
    <w:p w14:paraId="0041A423">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5.5投标文件解密时间为：</w:t>
      </w:r>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分至</w:t>
      </w:r>
      <w:r>
        <w:rPr>
          <w:rFonts w:hint="eastAsia" w:ascii="宋体" w:hAnsi="宋体" w:eastAsia="宋体" w:cs="Times New Roman"/>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分，投标人应在截止时间前通过</w:t>
      </w:r>
      <w:r>
        <w:rPr>
          <w:rFonts w:hint="eastAsia" w:ascii="宋体" w:hAnsi="宋体" w:eastAsia="宋体" w:cs="宋体"/>
          <w:color w:val="auto"/>
          <w:kern w:val="2"/>
          <w:sz w:val="24"/>
          <w:szCs w:val="24"/>
          <w:highlight w:val="none"/>
          <w:u w:val="single"/>
          <w:lang w:val="en-US" w:eastAsia="zh-CN" w:bidi="ar"/>
        </w:rPr>
        <w:t>广州交易集团有限公司（广州公共资源交易中心）电子交易平台</w:t>
      </w:r>
      <w:r>
        <w:rPr>
          <w:rFonts w:hint="eastAsia" w:ascii="宋体" w:hAnsi="宋体" w:eastAsia="宋体" w:cs="宋体"/>
          <w:color w:val="auto"/>
          <w:kern w:val="2"/>
          <w:sz w:val="24"/>
          <w:szCs w:val="24"/>
          <w:highlight w:val="none"/>
          <w:lang w:val="en-US" w:eastAsia="zh-CN" w:bidi="ar"/>
        </w:rPr>
        <w:t>对电子投标文件进行投标文件解密。</w:t>
      </w:r>
    </w:p>
    <w:p w14:paraId="3626FC2D">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5.6逾期送达的投标文件，电子招标投标交易平台将予以拒收。</w:t>
      </w:r>
    </w:p>
    <w:p w14:paraId="40AFE26D">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5.7递交投标文件截止时间及开标时间是否有变化，请密切留意</w:t>
      </w:r>
      <w:r>
        <w:rPr>
          <w:rFonts w:hint="eastAsia" w:ascii="宋体" w:hAnsi="宋体" w:eastAsia="宋体" w:cs="宋体"/>
          <w:color w:val="auto"/>
          <w:kern w:val="2"/>
          <w:sz w:val="24"/>
          <w:szCs w:val="24"/>
          <w:highlight w:val="none"/>
          <w:u w:val="single"/>
          <w:lang w:val="en-US" w:eastAsia="zh-CN" w:bidi="ar"/>
        </w:rPr>
        <w:t>广州交易集团有限公司（广州公共资源交易中心）网站</w:t>
      </w:r>
      <w:r>
        <w:rPr>
          <w:rFonts w:hint="eastAsia" w:ascii="宋体" w:hAnsi="宋体" w:eastAsia="宋体" w:cs="宋体"/>
          <w:color w:val="auto"/>
          <w:kern w:val="2"/>
          <w:sz w:val="24"/>
          <w:szCs w:val="24"/>
          <w:highlight w:val="none"/>
          <w:lang w:val="en-US" w:eastAsia="zh-CN" w:bidi="ar"/>
        </w:rPr>
        <w:t>中的相关信息。递交投标文件截止时间后，投标文件评审时间因故推迟的，相关资审信息仍以原递交投标文件截止时间的信息为准。</w:t>
      </w:r>
    </w:p>
    <w:p w14:paraId="761C7EF5">
      <w:pPr>
        <w:pStyle w:val="3"/>
        <w:widowControl/>
        <w:rPr>
          <w:rFonts w:hint="eastAsia" w:ascii="宋体" w:hAnsi="宋体" w:eastAsia="宋体" w:cs="Times New Roman"/>
          <w:b/>
          <w:bCs/>
          <w:color w:val="auto"/>
          <w:kern w:val="2"/>
          <w:sz w:val="32"/>
          <w:szCs w:val="32"/>
          <w:highlight w:val="none"/>
        </w:rPr>
      </w:pPr>
      <w:bookmarkStart w:id="112" w:name="_Toc4976"/>
      <w:bookmarkEnd w:id="112"/>
      <w:r>
        <w:rPr>
          <w:rFonts w:hint="eastAsia" w:ascii="宋体" w:hAnsi="宋体" w:eastAsia="宋体" w:cs="宋体"/>
          <w:b/>
          <w:bCs/>
          <w:color w:val="auto"/>
          <w:kern w:val="2"/>
          <w:sz w:val="32"/>
          <w:szCs w:val="32"/>
          <w:highlight w:val="none"/>
        </w:rPr>
        <w:t>6.发布公告的媒介</w:t>
      </w:r>
    </w:p>
    <w:p w14:paraId="4C747DEC">
      <w:pPr>
        <w:keepNext w:val="0"/>
        <w:keepLines w:val="0"/>
        <w:widowControl w:val="0"/>
        <w:suppressLineNumbers w:val="0"/>
        <w:wordWrap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本次招标公告同时在</w:t>
      </w:r>
      <w:r>
        <w:rPr>
          <w:rFonts w:hint="eastAsia" w:ascii="宋体" w:hAnsi="宋体" w:eastAsia="宋体" w:cs="宋体"/>
          <w:color w:val="auto"/>
          <w:kern w:val="2"/>
          <w:sz w:val="24"/>
          <w:szCs w:val="24"/>
          <w:highlight w:val="none"/>
          <w:u w:val="single"/>
          <w:lang w:val="en-US" w:eastAsia="zh-CN" w:bidi="ar"/>
        </w:rPr>
        <w:t>广州交易集团有限公司（广州公共资源交易中心）网站（http://www.gzggzy.cn/）</w:t>
      </w:r>
      <w:r>
        <w:rPr>
          <w:rFonts w:hint="eastAsia" w:ascii="宋体" w:hAnsi="宋体" w:eastAsia="宋体" w:cs="宋体"/>
          <w:color w:val="auto"/>
          <w:kern w:val="2"/>
          <w:sz w:val="24"/>
          <w:szCs w:val="24"/>
          <w:highlight w:val="none"/>
          <w:lang w:val="en-US" w:eastAsia="zh-CN" w:bidi="ar"/>
        </w:rPr>
        <w:t>、广东省招标投标监管网（网址： http://zbtb.gd.gov.cn/login）、中国招标投标公共服务平台（网址：http://www.cebpubservice.com/）上发布。本公告的修改、补充，在</w:t>
      </w:r>
      <w:r>
        <w:rPr>
          <w:rFonts w:hint="eastAsia" w:ascii="宋体" w:hAnsi="宋体" w:eastAsia="宋体" w:cs="宋体"/>
          <w:color w:val="auto"/>
          <w:kern w:val="2"/>
          <w:sz w:val="24"/>
          <w:szCs w:val="24"/>
          <w:highlight w:val="none"/>
          <w:u w:val="single"/>
          <w:lang w:val="en-US" w:eastAsia="zh-CN" w:bidi="ar"/>
        </w:rPr>
        <w:t>广州交易集团有限公司（广州公共资源交易中心）网站</w:t>
      </w:r>
      <w:r>
        <w:rPr>
          <w:rFonts w:hint="eastAsia" w:ascii="宋体" w:hAnsi="宋体" w:eastAsia="宋体" w:cs="宋体"/>
          <w:color w:val="auto"/>
          <w:kern w:val="2"/>
          <w:sz w:val="24"/>
          <w:szCs w:val="24"/>
          <w:highlight w:val="none"/>
          <w:lang w:val="en-US" w:eastAsia="zh-CN" w:bidi="ar"/>
        </w:rPr>
        <w:t>、广东省招标投标监管网和中国招标投标公共服务平台发布。招标公告、公示信息的发布时间和内容，以在广东省招标投标监管网(网址: http://zbtb.gd.gov.cn/) 发布的为准。本项目相关附件具体详见</w:t>
      </w:r>
      <w:r>
        <w:rPr>
          <w:rFonts w:hint="eastAsia" w:ascii="宋体" w:hAnsi="宋体" w:eastAsia="宋体" w:cs="宋体"/>
          <w:color w:val="auto"/>
          <w:kern w:val="2"/>
          <w:sz w:val="24"/>
          <w:szCs w:val="24"/>
          <w:highlight w:val="none"/>
          <w:u w:val="single"/>
          <w:lang w:val="en-US" w:eastAsia="zh-CN" w:bidi="ar"/>
        </w:rPr>
        <w:t>广州交易集团有限公司（广州公共资源交易中心）网站</w:t>
      </w:r>
      <w:r>
        <w:rPr>
          <w:rFonts w:hint="eastAsia" w:ascii="宋体" w:hAnsi="宋体" w:eastAsia="宋体" w:cs="宋体"/>
          <w:color w:val="auto"/>
          <w:kern w:val="2"/>
          <w:sz w:val="24"/>
          <w:szCs w:val="24"/>
          <w:highlight w:val="none"/>
          <w:lang w:val="en-US" w:eastAsia="zh-CN" w:bidi="ar"/>
        </w:rPr>
        <w:t>。</w:t>
      </w:r>
    </w:p>
    <w:p w14:paraId="3EF36E5E">
      <w:pPr>
        <w:pStyle w:val="3"/>
        <w:widowControl/>
        <w:rPr>
          <w:rFonts w:hint="eastAsia" w:ascii="宋体" w:hAnsi="宋体" w:eastAsia="宋体" w:cs="Times New Roman"/>
          <w:b/>
          <w:bCs/>
          <w:color w:val="auto"/>
          <w:kern w:val="2"/>
          <w:sz w:val="32"/>
          <w:szCs w:val="32"/>
          <w:highlight w:val="none"/>
        </w:rPr>
      </w:pPr>
      <w:bookmarkStart w:id="113" w:name="_Toc2596"/>
      <w:bookmarkEnd w:id="113"/>
      <w:bookmarkStart w:id="114" w:name="_Toc14159"/>
      <w:bookmarkEnd w:id="114"/>
      <w:bookmarkStart w:id="115" w:name="_Toc29446"/>
      <w:bookmarkEnd w:id="115"/>
      <w:bookmarkStart w:id="116" w:name="_Toc22894"/>
      <w:bookmarkEnd w:id="116"/>
      <w:bookmarkStart w:id="117" w:name="_Toc19129"/>
      <w:bookmarkEnd w:id="117"/>
      <w:bookmarkStart w:id="118" w:name="_Toc26465"/>
      <w:bookmarkEnd w:id="118"/>
      <w:bookmarkStart w:id="119" w:name="_Toc4765"/>
      <w:bookmarkEnd w:id="119"/>
      <w:bookmarkStart w:id="120" w:name="_Toc31630"/>
      <w:bookmarkEnd w:id="120"/>
      <w:bookmarkStart w:id="121" w:name="_Toc492300552"/>
      <w:bookmarkEnd w:id="121"/>
      <w:bookmarkStart w:id="122" w:name="_Toc17274"/>
      <w:bookmarkEnd w:id="122"/>
      <w:bookmarkStart w:id="123" w:name="_Toc12872"/>
      <w:r>
        <w:rPr>
          <w:rFonts w:hint="eastAsia" w:ascii="宋体" w:hAnsi="宋体" w:eastAsia="宋体" w:cs="宋体"/>
          <w:b/>
          <w:bCs/>
          <w:color w:val="auto"/>
          <w:kern w:val="2"/>
          <w:sz w:val="32"/>
          <w:szCs w:val="32"/>
          <w:highlight w:val="none"/>
        </w:rPr>
        <w:t>7.</w:t>
      </w:r>
      <w:bookmarkEnd w:id="123"/>
      <w:r>
        <w:rPr>
          <w:rFonts w:hint="eastAsia" w:ascii="宋体" w:hAnsi="宋体" w:eastAsia="宋体" w:cs="宋体"/>
          <w:b/>
          <w:bCs/>
          <w:color w:val="auto"/>
          <w:kern w:val="2"/>
          <w:sz w:val="32"/>
          <w:szCs w:val="32"/>
          <w:highlight w:val="none"/>
        </w:rPr>
        <w:t>资格审查方式</w:t>
      </w:r>
    </w:p>
    <w:p w14:paraId="597FE38F">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7.1本工程采用资格后审方式，由评标委员会负责资格审查。</w:t>
      </w:r>
    </w:p>
    <w:p w14:paraId="45EDE3E0">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7.2资格审查结果将在</w:t>
      </w:r>
      <w:r>
        <w:rPr>
          <w:rFonts w:hint="eastAsia" w:ascii="宋体" w:hAnsi="宋体" w:eastAsia="宋体" w:cs="宋体"/>
          <w:color w:val="auto"/>
          <w:kern w:val="2"/>
          <w:sz w:val="24"/>
          <w:szCs w:val="24"/>
          <w:highlight w:val="none"/>
          <w:u w:val="single"/>
          <w:lang w:val="en-US" w:eastAsia="zh-CN" w:bidi="ar"/>
        </w:rPr>
        <w:t>广州交易集团有限公司（广州公共资源交易中心）网站</w:t>
      </w:r>
      <w:r>
        <w:rPr>
          <w:rFonts w:hint="eastAsia" w:ascii="宋体" w:hAnsi="宋体" w:eastAsia="宋体" w:cs="宋体"/>
          <w:color w:val="auto"/>
          <w:kern w:val="2"/>
          <w:sz w:val="24"/>
          <w:szCs w:val="24"/>
          <w:highlight w:val="none"/>
          <w:lang w:val="en-US" w:eastAsia="zh-CN" w:bidi="ar"/>
        </w:rPr>
        <w:t>和广东省招标投标监管网公示，公示时间不得少于3日，最后一天应为工作日。</w:t>
      </w:r>
    </w:p>
    <w:p w14:paraId="6AA06A94">
      <w:pPr>
        <w:pStyle w:val="3"/>
        <w:widowControl/>
        <w:rPr>
          <w:rFonts w:hint="eastAsia" w:ascii="宋体" w:hAnsi="宋体" w:eastAsia="宋体" w:cs="Times New Roman"/>
          <w:b/>
          <w:bCs/>
          <w:color w:val="auto"/>
          <w:kern w:val="2"/>
          <w:sz w:val="32"/>
          <w:szCs w:val="32"/>
          <w:highlight w:val="none"/>
        </w:rPr>
      </w:pPr>
      <w:bookmarkStart w:id="124" w:name="_Toc748"/>
      <w:bookmarkEnd w:id="124"/>
      <w:r>
        <w:rPr>
          <w:rFonts w:hint="eastAsia" w:ascii="宋体" w:hAnsi="宋体" w:eastAsia="宋体" w:cs="宋体"/>
          <w:b/>
          <w:bCs/>
          <w:color w:val="auto"/>
          <w:kern w:val="2"/>
          <w:sz w:val="32"/>
          <w:szCs w:val="32"/>
          <w:highlight w:val="none"/>
        </w:rPr>
        <w:t>8.疑问、异议、投诉处理</w:t>
      </w:r>
    </w:p>
    <w:p w14:paraId="63225E61">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8.1关于疑问、异议、投诉的基本概念和处理程序详见《中华人民共和国招标投标法》、《中华人民共和国招标投标法实施条例》、《工程建设项目招标投标活动投诉处理办法》。</w:t>
      </w:r>
    </w:p>
    <w:p w14:paraId="0E343897">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2C6054A7">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8.3潜在投标人或利害关系人对本招标公告、招标文件有异议的，应当在招标投标相关法律法规规定的时间内（投标截止时间</w:t>
      </w:r>
      <w:r>
        <w:rPr>
          <w:rFonts w:hint="eastAsia" w:ascii="宋体" w:hAnsi="宋体" w:eastAsia="宋体" w:cs="宋体"/>
          <w:color w:val="auto"/>
          <w:kern w:val="2"/>
          <w:sz w:val="24"/>
          <w:szCs w:val="24"/>
          <w:highlight w:val="none"/>
          <w:u w:val="single"/>
          <w:lang w:val="en-US" w:eastAsia="zh-CN" w:bidi="ar"/>
        </w:rPr>
        <w:t>10</w:t>
      </w:r>
      <w:r>
        <w:rPr>
          <w:rFonts w:hint="eastAsia" w:ascii="宋体" w:hAnsi="宋体" w:eastAsia="宋体" w:cs="宋体"/>
          <w:color w:val="auto"/>
          <w:kern w:val="2"/>
          <w:sz w:val="24"/>
          <w:szCs w:val="24"/>
          <w:highlight w:val="none"/>
          <w:lang w:val="en-US" w:eastAsia="zh-CN" w:bidi="ar"/>
        </w:rPr>
        <w:t>日前）通过电子交易系统向招标人提出，具体按照</w:t>
      </w:r>
      <w:r>
        <w:rPr>
          <w:rFonts w:hint="eastAsia" w:ascii="宋体" w:hAnsi="宋体" w:eastAsia="宋体" w:cs="宋体"/>
          <w:color w:val="auto"/>
          <w:kern w:val="2"/>
          <w:sz w:val="24"/>
          <w:szCs w:val="24"/>
          <w:highlight w:val="none"/>
          <w:u w:val="single"/>
          <w:lang w:val="en-US" w:eastAsia="zh-CN" w:bidi="ar"/>
        </w:rPr>
        <w:t>广州交易集团有限公司（广州公共资源交易中心）电子交易平台</w:t>
      </w:r>
      <w:r>
        <w:rPr>
          <w:rFonts w:hint="eastAsia" w:ascii="宋体" w:hAnsi="宋体" w:eastAsia="宋体" w:cs="宋体"/>
          <w:color w:val="auto"/>
          <w:kern w:val="2"/>
          <w:sz w:val="24"/>
          <w:szCs w:val="24"/>
          <w:highlight w:val="none"/>
          <w:lang w:val="en-US" w:eastAsia="zh-CN" w:bidi="ar"/>
        </w:rPr>
        <w:t>相关指南进行操作；尚未登记注册的，可</w:t>
      </w:r>
      <w:r>
        <w:rPr>
          <w:rFonts w:hint="eastAsia" w:ascii="宋体" w:hAnsi="宋体" w:eastAsia="宋体" w:cs="宋体"/>
          <w:color w:val="auto"/>
          <w:kern w:val="2"/>
          <w:sz w:val="24"/>
          <w:szCs w:val="24"/>
          <w:highlight w:val="none"/>
          <w:u w:val="single"/>
          <w:lang w:val="en-US" w:eastAsia="zh-CN" w:bidi="ar"/>
        </w:rPr>
        <w:t>书面</w:t>
      </w:r>
      <w:r>
        <w:rPr>
          <w:rFonts w:hint="eastAsia" w:ascii="宋体" w:hAnsi="宋体" w:eastAsia="宋体" w:cs="宋体"/>
          <w:color w:val="auto"/>
          <w:kern w:val="2"/>
          <w:sz w:val="24"/>
          <w:szCs w:val="24"/>
          <w:highlight w:val="none"/>
          <w:lang w:val="en-US" w:eastAsia="zh-CN" w:bidi="ar"/>
        </w:rPr>
        <w:t>向招标人提出。招标人应当在规定的异议答复期限内作出答复；作出答复前，应当暂停招标投标活动。招标人依法作出答复、发布招标文件澄清或者修改文件的，应当通过电子交易系统进行。</w:t>
      </w:r>
    </w:p>
    <w:p w14:paraId="1DBA7FD3">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异议受理部门：</w:t>
      </w:r>
      <w:r>
        <w:rPr>
          <w:rFonts w:hint="eastAsia" w:ascii="宋体" w:hAnsi="宋体" w:eastAsia="宋体" w:cs="宋体"/>
          <w:color w:val="auto"/>
          <w:kern w:val="2"/>
          <w:sz w:val="24"/>
          <w:szCs w:val="24"/>
          <w:highlight w:val="none"/>
          <w:u w:val="single"/>
          <w:lang w:val="en-US" w:eastAsia="zh-CN" w:bidi="ar"/>
        </w:rPr>
        <w:t>广州市道路事务中心</w:t>
      </w:r>
    </w:p>
    <w:p w14:paraId="67DD71AE">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异议受理电话：</w:t>
      </w:r>
      <w:r>
        <w:rPr>
          <w:rFonts w:hint="eastAsia" w:ascii="宋体" w:hAnsi="宋体" w:eastAsia="宋体" w:cs="Times New Roman"/>
          <w:color w:val="auto"/>
          <w:kern w:val="2"/>
          <w:sz w:val="24"/>
          <w:szCs w:val="24"/>
          <w:highlight w:val="none"/>
          <w:u w:val="single"/>
          <w:lang w:val="en-US" w:eastAsia="zh-CN" w:bidi="ar"/>
        </w:rPr>
        <w:t>020-</w:t>
      </w:r>
      <w:r>
        <w:rPr>
          <w:rFonts w:hint="eastAsia" w:ascii="宋体" w:hAnsi="宋体" w:eastAsia="宋体" w:cs="宋体"/>
          <w:color w:val="auto"/>
          <w:kern w:val="2"/>
          <w:sz w:val="24"/>
          <w:szCs w:val="24"/>
          <w:highlight w:val="none"/>
          <w:u w:val="single"/>
          <w:lang w:val="en-US" w:eastAsia="zh-CN" w:bidi="ar"/>
        </w:rPr>
        <w:t>85200284</w:t>
      </w:r>
    </w:p>
    <w:p w14:paraId="2C84D5F4">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地址：</w:t>
      </w:r>
      <w:bookmarkStart w:id="125" w:name="_Toc27994"/>
      <w:bookmarkEnd w:id="125"/>
      <w:r>
        <w:rPr>
          <w:rFonts w:hint="eastAsia" w:ascii="宋体" w:hAnsi="宋体" w:eastAsia="宋体" w:cs="宋体"/>
          <w:color w:val="auto"/>
          <w:kern w:val="2"/>
          <w:sz w:val="24"/>
          <w:szCs w:val="24"/>
          <w:highlight w:val="none"/>
          <w:u w:val="single"/>
          <w:lang w:val="en-US" w:eastAsia="zh-CN" w:bidi="ar"/>
        </w:rPr>
        <w:t>广州市天河区天润路87号广建大厦</w:t>
      </w:r>
    </w:p>
    <w:p w14:paraId="2F201AFB">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8.4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在招投标过程中，投诉人投诉事项经查实不属实的恶意投诉，招标人将提请行政主管部门，并按《中华人民共和国招标投标法实施条例》、《工程建设项目招标投标活动投诉处理办法》等进行处理，同时将记录到广州市交通建设项目企业信息库诚信评价管理系统。</w:t>
      </w:r>
    </w:p>
    <w:p w14:paraId="1D20B60B">
      <w:pPr>
        <w:pStyle w:val="3"/>
        <w:widowControl/>
        <w:rPr>
          <w:rFonts w:hint="eastAsia" w:ascii="宋体" w:hAnsi="宋体" w:eastAsia="宋体" w:cs="Times New Roman"/>
          <w:b/>
          <w:bCs/>
          <w:color w:val="auto"/>
          <w:kern w:val="2"/>
          <w:sz w:val="32"/>
          <w:szCs w:val="32"/>
          <w:highlight w:val="none"/>
        </w:rPr>
      </w:pPr>
      <w:bookmarkStart w:id="126" w:name="_Toc11636"/>
      <w:bookmarkEnd w:id="126"/>
      <w:r>
        <w:rPr>
          <w:rFonts w:hint="eastAsia" w:ascii="宋体" w:hAnsi="宋体" w:eastAsia="宋体" w:cs="宋体"/>
          <w:b/>
          <w:bCs/>
          <w:color w:val="auto"/>
          <w:kern w:val="2"/>
          <w:sz w:val="32"/>
          <w:szCs w:val="32"/>
          <w:highlight w:val="none"/>
        </w:rPr>
        <w:t>9.其它事项</w:t>
      </w:r>
    </w:p>
    <w:p w14:paraId="710823F0">
      <w:pPr>
        <w:keepNext w:val="0"/>
        <w:keepLines w:val="0"/>
        <w:widowControl w:val="0"/>
        <w:suppressLineNumbers w:val="0"/>
        <w:wordWrap w:val="0"/>
        <w:autoSpaceDE w:val="0"/>
        <w:autoSpaceDN w:val="0"/>
        <w:spacing w:before="0" w:beforeAutospacing="0" w:after="0" w:afterAutospacing="0" w:line="360" w:lineRule="auto"/>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9.1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0A03F65">
      <w:pPr>
        <w:pStyle w:val="3"/>
        <w:widowControl/>
        <w:rPr>
          <w:rFonts w:hint="eastAsia" w:ascii="宋体" w:hAnsi="宋体" w:eastAsia="宋体" w:cs="Times New Roman"/>
          <w:b/>
          <w:bCs/>
          <w:color w:val="auto"/>
          <w:kern w:val="2"/>
          <w:sz w:val="32"/>
          <w:szCs w:val="32"/>
          <w:highlight w:val="none"/>
        </w:rPr>
      </w:pPr>
      <w:bookmarkStart w:id="127" w:name="_Toc26307"/>
      <w:bookmarkEnd w:id="127"/>
      <w:bookmarkStart w:id="128" w:name="bookmark9"/>
      <w:bookmarkEnd w:id="128"/>
      <w:bookmarkStart w:id="129" w:name="_Toc9802"/>
      <w:bookmarkEnd w:id="129"/>
      <w:bookmarkStart w:id="130" w:name="_Toc13798"/>
      <w:bookmarkEnd w:id="130"/>
      <w:bookmarkStart w:id="131" w:name="_Toc15585"/>
      <w:bookmarkEnd w:id="131"/>
      <w:bookmarkStart w:id="132" w:name="_Toc20345"/>
      <w:bookmarkEnd w:id="132"/>
      <w:bookmarkStart w:id="133" w:name="_Toc25287"/>
      <w:r>
        <w:rPr>
          <w:rFonts w:hint="eastAsia" w:ascii="宋体" w:hAnsi="宋体" w:eastAsia="宋体" w:cs="宋体"/>
          <w:b/>
          <w:bCs/>
          <w:color w:val="auto"/>
          <w:kern w:val="2"/>
          <w:sz w:val="32"/>
          <w:szCs w:val="32"/>
          <w:highlight w:val="none"/>
        </w:rPr>
        <w:t>10.联系方式</w:t>
      </w:r>
      <w:bookmarkEnd w:id="133"/>
    </w:p>
    <w:p w14:paraId="5E943BE6">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招</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标</w:t>
      </w:r>
      <w:r>
        <w:rPr>
          <w:rFonts w:hint="default" w:ascii="Times New Roman" w:hAnsi="Times New Roman" w:eastAsia="宋体" w:cs="Times New Roman"/>
          <w:color w:val="auto"/>
          <w:spacing w:val="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人：</w:t>
      </w:r>
      <w:r>
        <w:rPr>
          <w:rFonts w:hint="eastAsia" w:ascii="宋体" w:hAnsi="宋体" w:eastAsia="宋体" w:cs="宋体"/>
          <w:color w:val="auto"/>
          <w:kern w:val="2"/>
          <w:sz w:val="24"/>
          <w:szCs w:val="24"/>
          <w:highlight w:val="none"/>
          <w:u w:val="single"/>
          <w:lang w:val="en-US" w:eastAsia="zh-CN" w:bidi="ar"/>
        </w:rPr>
        <w:t>广州市道路事务中心</w:t>
      </w:r>
    </w:p>
    <w:p w14:paraId="566769B1">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邮政编码：</w:t>
      </w:r>
      <w:r>
        <w:rPr>
          <w:rFonts w:hint="default" w:ascii="Times New Roman" w:hAnsi="Times New Roman" w:eastAsia="宋体" w:cs="Times New Roman"/>
          <w:color w:val="auto"/>
          <w:kern w:val="2"/>
          <w:sz w:val="24"/>
          <w:szCs w:val="24"/>
          <w:highlight w:val="none"/>
          <w:u w:val="single"/>
          <w:lang w:val="en-US" w:eastAsia="zh-CN" w:bidi="ar"/>
        </w:rPr>
        <w:t>510635</w:t>
      </w:r>
    </w:p>
    <w:p w14:paraId="1C69500D">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color w:val="auto"/>
          <w:kern w:val="2"/>
          <w:sz w:val="24"/>
          <w:szCs w:val="24"/>
          <w:highlight w:val="none"/>
          <w:u w:val="single"/>
          <w:lang w:val="en-US" w:eastAsia="zh-CN" w:bidi="ar"/>
        </w:rPr>
        <w:t>广州市天河区天润路</w:t>
      </w:r>
      <w:r>
        <w:rPr>
          <w:rFonts w:hint="eastAsia"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87 </w:t>
      </w:r>
      <w:r>
        <w:rPr>
          <w:rFonts w:hint="eastAsia" w:ascii="宋体" w:hAnsi="宋体" w:eastAsia="宋体" w:cs="宋体"/>
          <w:color w:val="auto"/>
          <w:kern w:val="2"/>
          <w:sz w:val="24"/>
          <w:szCs w:val="24"/>
          <w:highlight w:val="none"/>
          <w:u w:val="single"/>
          <w:lang w:val="en-US" w:eastAsia="zh-CN" w:bidi="ar"/>
        </w:rPr>
        <w:t>号广建大厦</w:t>
      </w:r>
    </w:p>
    <w:p w14:paraId="3AD232D5">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联系电话：</w:t>
      </w:r>
      <w:r>
        <w:rPr>
          <w:rFonts w:hint="default" w:ascii="Times New Roman" w:hAnsi="Times New Roman" w:eastAsia="宋体" w:cs="Times New Roman"/>
          <w:color w:val="auto"/>
          <w:kern w:val="2"/>
          <w:sz w:val="24"/>
          <w:szCs w:val="24"/>
          <w:highlight w:val="none"/>
          <w:u w:val="single"/>
          <w:lang w:val="en-US" w:eastAsia="zh-CN" w:bidi="ar"/>
        </w:rPr>
        <w:t>020-85200284</w:t>
      </w:r>
    </w:p>
    <w:p w14:paraId="71A9F4C9">
      <w:pPr>
        <w:pStyle w:val="6"/>
        <w:keepNext w:val="0"/>
        <w:keepLines w:val="0"/>
        <w:widowControl w:val="0"/>
        <w:suppressLineNumbers w:val="0"/>
        <w:kinsoku w:val="0"/>
        <w:overflowPunct w:val="0"/>
        <w:spacing w:before="0" w:beforeAutospacing="1" w:after="120" w:afterAutospacing="0" w:line="240" w:lineRule="auto"/>
        <w:ind w:left="0" w:right="915"/>
        <w:jc w:val="both"/>
        <w:rPr>
          <w:rFonts w:hint="eastAsia"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传真号码：</w:t>
      </w:r>
      <w:r>
        <w:rPr>
          <w:rFonts w:hint="default" w:ascii="Times New Roman" w:hAnsi="Times New Roman" w:eastAsia="宋体" w:cs="Times New Roman"/>
          <w:color w:val="auto"/>
          <w:kern w:val="2"/>
          <w:sz w:val="24"/>
          <w:szCs w:val="24"/>
          <w:highlight w:val="none"/>
          <w:u w:val="single"/>
          <w:lang w:val="en-US" w:eastAsia="zh-CN" w:bidi="ar"/>
        </w:rPr>
        <w:t>/</w:t>
      </w:r>
    </w:p>
    <w:p w14:paraId="251BBC28">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电子邮箱：</w:t>
      </w:r>
      <w:r>
        <w:rPr>
          <w:rFonts w:hint="default" w:ascii="Times New Roman" w:hAnsi="Times New Roman" w:eastAsia="宋体" w:cs="Times New Roman"/>
          <w:color w:val="auto"/>
          <w:kern w:val="2"/>
          <w:sz w:val="24"/>
          <w:szCs w:val="24"/>
          <w:highlight w:val="none"/>
          <w:u w:val="single"/>
          <w:lang w:val="en-US" w:eastAsia="zh-CN" w:bidi="ar"/>
        </w:rPr>
        <w:t>/</w:t>
      </w:r>
    </w:p>
    <w:p w14:paraId="5E2D295C">
      <w:pPr>
        <w:pStyle w:val="6"/>
        <w:keepNext w:val="0"/>
        <w:keepLines w:val="0"/>
        <w:widowControl w:val="0"/>
        <w:suppressLineNumbers w:val="0"/>
        <w:kinsoku w:val="0"/>
        <w:overflowPunct w:val="0"/>
        <w:spacing w:before="0" w:beforeAutospacing="1" w:after="120" w:afterAutospacing="0" w:line="240" w:lineRule="auto"/>
        <w:ind w:left="0" w:right="915"/>
        <w:jc w:val="both"/>
        <w:rPr>
          <w:rFonts w:hint="eastAsia" w:ascii="宋体" w:hAnsi="宋体" w:eastAsia="宋体" w:cs="宋体"/>
          <w:color w:val="auto"/>
          <w:kern w:val="2"/>
          <w:sz w:val="24"/>
          <w:szCs w:val="24"/>
          <w:highlight w:val="none"/>
          <w:lang w:val="en-US" w:eastAsia="zh-CN" w:bidi="ar"/>
        </w:rPr>
      </w:pPr>
    </w:p>
    <w:p w14:paraId="286C9273">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招标代理机构：</w:t>
      </w:r>
      <w:r>
        <w:rPr>
          <w:rFonts w:hint="eastAsia" w:ascii="宋体" w:hAnsi="宋体" w:eastAsia="宋体" w:cs="宋体"/>
          <w:color w:val="auto"/>
          <w:kern w:val="2"/>
          <w:sz w:val="24"/>
          <w:szCs w:val="24"/>
          <w:highlight w:val="none"/>
          <w:u w:val="single"/>
          <w:lang w:val="en-US" w:eastAsia="zh-CN" w:bidi="ar"/>
        </w:rPr>
        <w:t>广东重工建设监理有限公司</w:t>
      </w:r>
    </w:p>
    <w:p w14:paraId="039E79AC">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邮政编码：</w:t>
      </w:r>
      <w:r>
        <w:rPr>
          <w:rFonts w:hint="default" w:ascii="Times New Roman" w:hAnsi="Times New Roman" w:eastAsia="宋体" w:cs="Times New Roman"/>
          <w:color w:val="auto"/>
          <w:kern w:val="2"/>
          <w:sz w:val="24"/>
          <w:szCs w:val="24"/>
          <w:highlight w:val="none"/>
          <w:u w:val="single"/>
          <w:lang w:val="en-US" w:eastAsia="zh-CN" w:bidi="ar"/>
        </w:rPr>
        <w:t>510000</w:t>
      </w:r>
    </w:p>
    <w:p w14:paraId="5C7EC7CC">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color w:val="auto"/>
          <w:kern w:val="2"/>
          <w:sz w:val="24"/>
          <w:szCs w:val="24"/>
          <w:highlight w:val="none"/>
          <w:u w:val="single"/>
          <w:lang w:val="en-US" w:eastAsia="zh-CN" w:bidi="ar"/>
        </w:rPr>
        <w:t>广州市黄埔区揽月路</w:t>
      </w:r>
      <w:r>
        <w:rPr>
          <w:rFonts w:hint="default" w:ascii="Times New Roman" w:hAnsi="Times New Roman" w:eastAsia="宋体" w:cs="Times New Roman"/>
          <w:color w:val="auto"/>
          <w:kern w:val="2"/>
          <w:sz w:val="24"/>
          <w:szCs w:val="24"/>
          <w:highlight w:val="none"/>
          <w:u w:val="single"/>
          <w:lang w:val="en-US" w:eastAsia="zh-CN" w:bidi="ar"/>
        </w:rPr>
        <w:t>101</w:t>
      </w:r>
      <w:r>
        <w:rPr>
          <w:rFonts w:hint="eastAsia" w:ascii="宋体" w:hAnsi="宋体" w:eastAsia="宋体" w:cs="宋体"/>
          <w:color w:val="auto"/>
          <w:kern w:val="2"/>
          <w:sz w:val="24"/>
          <w:szCs w:val="24"/>
          <w:highlight w:val="none"/>
          <w:u w:val="single"/>
          <w:lang w:val="en-US" w:eastAsia="zh-CN" w:bidi="ar"/>
        </w:rPr>
        <w:t>号保利中科广场</w:t>
      </w:r>
      <w:r>
        <w:rPr>
          <w:rFonts w:hint="default" w:ascii="Times New Roman" w:hAnsi="Times New Roman" w:eastAsia="宋体" w:cs="Times New Roman"/>
          <w:color w:val="auto"/>
          <w:kern w:val="2"/>
          <w:sz w:val="24"/>
          <w:szCs w:val="24"/>
          <w:highlight w:val="none"/>
          <w:u w:val="single"/>
          <w:lang w:val="en-US" w:eastAsia="zh-CN" w:bidi="ar"/>
        </w:rPr>
        <w:t>A</w:t>
      </w:r>
      <w:r>
        <w:rPr>
          <w:rFonts w:hint="eastAsia" w:ascii="宋体" w:hAnsi="宋体" w:eastAsia="宋体" w:cs="宋体"/>
          <w:color w:val="auto"/>
          <w:kern w:val="2"/>
          <w:sz w:val="24"/>
          <w:szCs w:val="24"/>
          <w:highlight w:val="none"/>
          <w:u w:val="single"/>
          <w:lang w:val="en-US" w:eastAsia="zh-CN" w:bidi="ar"/>
        </w:rPr>
        <w:t>座</w:t>
      </w:r>
      <w:r>
        <w:rPr>
          <w:rFonts w:hint="default" w:ascii="Times New Roman" w:hAnsi="Times New Roman" w:eastAsia="宋体" w:cs="Times New Roman"/>
          <w:color w:val="auto"/>
          <w:kern w:val="2"/>
          <w:sz w:val="24"/>
          <w:szCs w:val="24"/>
          <w:highlight w:val="none"/>
          <w:u w:val="single"/>
          <w:lang w:val="en-US" w:eastAsia="zh-CN" w:bidi="ar"/>
        </w:rPr>
        <w:t>7</w:t>
      </w:r>
      <w:r>
        <w:rPr>
          <w:rFonts w:hint="eastAsia" w:ascii="宋体" w:hAnsi="宋体" w:eastAsia="宋体" w:cs="宋体"/>
          <w:color w:val="auto"/>
          <w:kern w:val="2"/>
          <w:sz w:val="24"/>
          <w:szCs w:val="24"/>
          <w:highlight w:val="none"/>
          <w:u w:val="single"/>
          <w:lang w:val="en-US" w:eastAsia="zh-CN" w:bidi="ar"/>
        </w:rPr>
        <w:t>楼</w:t>
      </w:r>
    </w:p>
    <w:p w14:paraId="0AD427D4">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联系电话：</w:t>
      </w:r>
      <w:r>
        <w:rPr>
          <w:rFonts w:hint="default" w:ascii="Times New Roman" w:hAnsi="Times New Roman" w:eastAsia="宋体" w:cs="Times New Roman"/>
          <w:color w:val="auto"/>
          <w:kern w:val="2"/>
          <w:sz w:val="24"/>
          <w:szCs w:val="24"/>
          <w:highlight w:val="none"/>
          <w:u w:val="single"/>
          <w:lang w:val="en-US" w:eastAsia="zh-CN" w:bidi="ar"/>
        </w:rPr>
        <w:t>13535014481</w:t>
      </w:r>
      <w:r>
        <w:rPr>
          <w:rFonts w:hint="eastAsia" w:ascii="宋体" w:hAnsi="宋体" w:eastAsia="宋体" w:cs="宋体"/>
          <w:color w:val="auto"/>
          <w:kern w:val="2"/>
          <w:sz w:val="24"/>
          <w:szCs w:val="24"/>
          <w:highlight w:val="none"/>
          <w:u w:val="single"/>
          <w:lang w:val="en-US" w:eastAsia="zh-CN" w:bidi="ar"/>
        </w:rPr>
        <w:t>、</w:t>
      </w:r>
      <w:r>
        <w:rPr>
          <w:rFonts w:hint="default" w:ascii="Times New Roman" w:hAnsi="Times New Roman" w:eastAsia="宋体" w:cs="Times New Roman"/>
          <w:color w:val="auto"/>
          <w:kern w:val="2"/>
          <w:sz w:val="24"/>
          <w:szCs w:val="24"/>
          <w:highlight w:val="none"/>
          <w:u w:val="single"/>
          <w:lang w:val="en-US" w:eastAsia="zh-CN" w:bidi="ar"/>
        </w:rPr>
        <w:t>15710716013</w:t>
      </w:r>
    </w:p>
    <w:p w14:paraId="2E034796">
      <w:pPr>
        <w:pStyle w:val="6"/>
        <w:keepNext w:val="0"/>
        <w:keepLines w:val="0"/>
        <w:widowControl w:val="0"/>
        <w:suppressLineNumbers w:val="0"/>
        <w:kinsoku w:val="0"/>
        <w:overflowPunct w:val="0"/>
        <w:spacing w:before="0" w:beforeAutospacing="1" w:after="120" w:afterAutospacing="0" w:line="240" w:lineRule="auto"/>
        <w:ind w:left="0" w:right="915"/>
        <w:jc w:val="both"/>
        <w:rPr>
          <w:rFonts w:hint="eastAsia"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传真号码：</w:t>
      </w:r>
      <w:r>
        <w:rPr>
          <w:rFonts w:hint="default" w:ascii="Times New Roman" w:hAnsi="Times New Roman" w:eastAsia="宋体" w:cs="Times New Roman"/>
          <w:color w:val="auto"/>
          <w:kern w:val="2"/>
          <w:sz w:val="24"/>
          <w:szCs w:val="24"/>
          <w:highlight w:val="none"/>
          <w:u w:val="single"/>
          <w:lang w:val="en-US" w:eastAsia="zh-CN" w:bidi="ar"/>
        </w:rPr>
        <w:t>/</w:t>
      </w:r>
    </w:p>
    <w:p w14:paraId="711566E0">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电子邮箱：</w:t>
      </w:r>
      <w:r>
        <w:rPr>
          <w:rFonts w:hint="default" w:ascii="Times New Roman" w:hAnsi="Times New Roman" w:eastAsia="宋体" w:cs="Times New Roman"/>
          <w:color w:val="auto"/>
          <w:kern w:val="2"/>
          <w:sz w:val="24"/>
          <w:szCs w:val="24"/>
          <w:highlight w:val="none"/>
          <w:u w:val="single"/>
          <w:lang w:val="en-US" w:eastAsia="zh-CN" w:bidi="ar"/>
        </w:rPr>
        <w:t>58659267@qq.com</w:t>
      </w:r>
    </w:p>
    <w:p w14:paraId="04C38F99">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328FAAD9">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招标管理机构：</w:t>
      </w:r>
      <w:r>
        <w:rPr>
          <w:rFonts w:hint="eastAsia" w:ascii="宋体" w:hAnsi="宋体" w:eastAsia="宋体" w:cs="宋体"/>
          <w:color w:val="auto"/>
          <w:kern w:val="2"/>
          <w:sz w:val="24"/>
          <w:szCs w:val="24"/>
          <w:highlight w:val="none"/>
          <w:u w:val="single"/>
          <w:lang w:val="en-US" w:eastAsia="zh-CN" w:bidi="ar"/>
        </w:rPr>
        <w:t>广州市交通运输局建设管理处</w:t>
      </w:r>
    </w:p>
    <w:p w14:paraId="12E9FAE1">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邮政编码：</w:t>
      </w:r>
      <w:r>
        <w:rPr>
          <w:rFonts w:hint="default" w:ascii="Times New Roman" w:hAnsi="Times New Roman" w:eastAsia="宋体" w:cs="Times New Roman"/>
          <w:color w:val="auto"/>
          <w:kern w:val="2"/>
          <w:sz w:val="24"/>
          <w:szCs w:val="24"/>
          <w:highlight w:val="none"/>
          <w:u w:val="single"/>
          <w:lang w:val="en-US" w:eastAsia="zh-CN" w:bidi="ar"/>
        </w:rPr>
        <w:t>510620</w:t>
      </w:r>
    </w:p>
    <w:p w14:paraId="2774FDE8">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color w:val="auto"/>
          <w:kern w:val="2"/>
          <w:sz w:val="24"/>
          <w:szCs w:val="24"/>
          <w:highlight w:val="none"/>
          <w:u w:val="single"/>
          <w:lang w:val="en-US" w:eastAsia="zh-CN" w:bidi="ar"/>
        </w:rPr>
        <w:t>广州市天河区天河南二路</w:t>
      </w:r>
      <w:r>
        <w:rPr>
          <w:rFonts w:hint="default" w:ascii="Times New Roman" w:hAnsi="Times New Roman" w:eastAsia="宋体" w:cs="Times New Roman"/>
          <w:color w:val="auto"/>
          <w:kern w:val="2"/>
          <w:sz w:val="24"/>
          <w:szCs w:val="24"/>
          <w:highlight w:val="none"/>
          <w:u w:val="single"/>
          <w:lang w:val="en-US" w:eastAsia="zh-CN" w:bidi="ar"/>
        </w:rPr>
        <w:t>1</w:t>
      </w:r>
      <w:r>
        <w:rPr>
          <w:rFonts w:hint="eastAsia" w:ascii="宋体" w:hAnsi="宋体" w:eastAsia="宋体" w:cs="宋体"/>
          <w:color w:val="auto"/>
          <w:kern w:val="2"/>
          <w:sz w:val="24"/>
          <w:szCs w:val="24"/>
          <w:highlight w:val="none"/>
          <w:u w:val="single"/>
          <w:lang w:val="en-US" w:eastAsia="zh-CN" w:bidi="ar"/>
        </w:rPr>
        <w:t>号</w:t>
      </w:r>
    </w:p>
    <w:p w14:paraId="72F6EB9E">
      <w:pPr>
        <w:pStyle w:val="6"/>
        <w:keepNext w:val="0"/>
        <w:keepLines w:val="0"/>
        <w:widowControl w:val="0"/>
        <w:suppressLineNumbers w:val="0"/>
        <w:kinsoku w:val="0"/>
        <w:overflowPunct w:val="0"/>
        <w:spacing w:before="0" w:beforeAutospacing="1" w:after="120" w:afterAutospacing="0" w:line="240" w:lineRule="auto"/>
        <w:ind w:left="0" w:right="915"/>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话：</w:t>
      </w:r>
      <w:r>
        <w:rPr>
          <w:rFonts w:hint="default" w:ascii="Times New Roman" w:hAnsi="Times New Roman" w:eastAsia="宋体" w:cs="Times New Roman"/>
          <w:color w:val="auto"/>
          <w:kern w:val="2"/>
          <w:sz w:val="24"/>
          <w:szCs w:val="24"/>
          <w:highlight w:val="none"/>
          <w:u w:val="single"/>
          <w:lang w:val="en-US" w:eastAsia="zh-CN" w:bidi="ar"/>
        </w:rPr>
        <w:t>020-38180260</w:t>
      </w:r>
    </w:p>
    <w:p w14:paraId="4E5FB709">
      <w:pPr>
        <w:keepNext w:val="0"/>
        <w:keepLines w:val="0"/>
        <w:widowControl w:val="0"/>
        <w:suppressLineNumbers w:val="0"/>
        <w:spacing w:before="0" w:beforeAutospacing="0" w:after="0" w:afterAutospacing="0" w:line="240" w:lineRule="auto"/>
        <w:ind w:left="0" w:right="0"/>
        <w:jc w:val="both"/>
        <w:rPr>
          <w:rFonts w:hint="eastAsia"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lang w:val="en-US" w:eastAsia="zh-CN" w:bidi="ar"/>
        </w:rPr>
        <w:t xml:space="preserve"> </w:t>
      </w:r>
    </w:p>
    <w:p w14:paraId="05373047">
      <w:pPr>
        <w:spacing w:line="240" w:lineRule="auto"/>
        <w:rPr>
          <w:sz w:val="24"/>
          <w:szCs w:val="24"/>
        </w:rPr>
      </w:pPr>
      <w:r>
        <w:rPr>
          <w:rFonts w:hint="eastAsia" w:ascii="宋体" w:hAnsi="宋体" w:eastAsia="宋体" w:cs="宋体"/>
          <w:color w:val="auto"/>
          <w:kern w:val="2"/>
          <w:sz w:val="24"/>
          <w:szCs w:val="24"/>
          <w:highlight w:val="none"/>
          <w:lang w:val="en-US" w:eastAsia="zh-CN" w:bidi="ar"/>
        </w:rPr>
        <w:t>2025年</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59C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A4922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9A4922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70CCA"/>
    <w:rsid w:val="040C25C7"/>
    <w:rsid w:val="0505716E"/>
    <w:rsid w:val="0D9B52D2"/>
    <w:rsid w:val="12584CB9"/>
    <w:rsid w:val="15064E11"/>
    <w:rsid w:val="15562AF0"/>
    <w:rsid w:val="20B41BC5"/>
    <w:rsid w:val="2FBF6F58"/>
    <w:rsid w:val="3511718E"/>
    <w:rsid w:val="3E410AE4"/>
    <w:rsid w:val="42F60145"/>
    <w:rsid w:val="50757EB0"/>
    <w:rsid w:val="577D2735"/>
    <w:rsid w:val="5EA26F25"/>
    <w:rsid w:val="61F730E4"/>
    <w:rsid w:val="6261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4923</Words>
  <Characters>5513</Characters>
  <Lines>0</Lines>
  <Paragraphs>0</Paragraphs>
  <TotalTime>3</TotalTime>
  <ScaleCrop>false</ScaleCrop>
  <LinksUpToDate>false</LinksUpToDate>
  <CharactersWithSpaces>5680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2025-06-05T06:58:00Z</dcterms:created>
  <dc:creator>SHERRY</dc:creator>
  <cp:lastModifiedBy>SHERRY</cp:lastModifiedBy>
  <dcterms:modified xsi:type="dcterms:W3CDTF">2025-06-06T08:35:22Z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eyJoZGlkIjoiODViY2JkMjU3NGYzZTEwMzZmMGFkZWViYmNkYWU3NDIiLCJ1c2VySWQiOiIzNDQzMjI4MjgifQ==</vt:lpwstr>
  </property>
  <property fmtid="{D5CDD505-2E9C-101B-9397-08002B2CF9AE}" pid="4" name="ICV">
    <vt:lpwstr>3277D7A4214E4F89983BF198103ED456_12</vt:lpwstr>
  </property>
</Properties>
</file>