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520" w:lineRule="exact"/>
        <w:jc w:val="left"/>
        <w:rPr>
          <w:rFonts w:ascii="仿宋_GB2312" w:hAnsi="宋体" w:eastAsia="仿宋_GB2312" w:cs="宋体"/>
          <w:color w:val="auto"/>
          <w:sz w:val="28"/>
          <w:szCs w:val="28"/>
          <w:highlight w:val="none"/>
        </w:rPr>
      </w:pPr>
    </w:p>
    <w:p>
      <w:pPr>
        <w:widowControl/>
        <w:spacing w:line="520" w:lineRule="exact"/>
        <w:rPr>
          <w:rFonts w:ascii="仿宋_GB2312" w:hAnsi="宋体" w:eastAsia="仿宋_GB2312" w:cs="宋体"/>
          <w:color w:val="auto"/>
          <w:sz w:val="28"/>
          <w:szCs w:val="28"/>
          <w:highlight w:val="none"/>
        </w:rPr>
      </w:pPr>
      <w:r>
        <w:rPr>
          <w:rFonts w:ascii="仿宋_GB2312" w:hAnsi="宋体" w:eastAsia="仿宋_GB2312"/>
          <w:b/>
          <w:color w:val="auto"/>
          <w:sz w:val="28"/>
          <w:szCs w:val="28"/>
          <w:highlight w:val="none"/>
        </w:rPr>
        <w:t>合同编号</w:t>
      </w:r>
      <w:r>
        <w:rPr>
          <w:rFonts w:hint="eastAsia" w:ascii="仿宋_GB2312" w:hAnsi="宋体" w:eastAsia="仿宋_GB2312"/>
          <w:b/>
          <w:color w:val="auto"/>
          <w:sz w:val="28"/>
          <w:szCs w:val="28"/>
          <w:highlight w:val="none"/>
        </w:rPr>
        <w:t>：</w:t>
      </w:r>
    </w:p>
    <w:p>
      <w:pPr>
        <w:widowControl/>
        <w:spacing w:line="520" w:lineRule="exact"/>
        <w:rPr>
          <w:rFonts w:ascii="仿宋_GB2312" w:hAnsi="宋体" w:eastAsia="仿宋_GB2312" w:cs="宋体"/>
          <w:color w:val="auto"/>
          <w:sz w:val="28"/>
          <w:szCs w:val="28"/>
          <w:highlight w:val="none"/>
        </w:rPr>
      </w:pPr>
    </w:p>
    <w:p>
      <w:pPr>
        <w:widowControl/>
        <w:spacing w:line="520" w:lineRule="exact"/>
        <w:rPr>
          <w:rFonts w:ascii="仿宋_GB2312" w:hAnsi="宋体" w:eastAsia="仿宋_GB2312" w:cs="宋体"/>
          <w:color w:val="auto"/>
          <w:sz w:val="28"/>
          <w:szCs w:val="28"/>
          <w:highlight w:val="none"/>
        </w:rPr>
      </w:pPr>
    </w:p>
    <w:p>
      <w:pPr>
        <w:widowControl/>
        <w:spacing w:line="520" w:lineRule="exact"/>
        <w:rPr>
          <w:rFonts w:ascii="仿宋_GB2312" w:hAnsi="宋体" w:eastAsia="仿宋_GB2312" w:cs="宋体"/>
          <w:color w:val="auto"/>
          <w:sz w:val="28"/>
          <w:szCs w:val="28"/>
          <w:highlight w:val="none"/>
        </w:rPr>
      </w:pPr>
    </w:p>
    <w:p>
      <w:pPr>
        <w:widowControl/>
        <w:spacing w:line="520" w:lineRule="exact"/>
        <w:jc w:val="center"/>
        <w:rPr>
          <w:rFonts w:ascii="宋体" w:hAnsi="宋体" w:eastAsia="宋体" w:cs="方正小标宋简体"/>
          <w:b/>
          <w:bCs/>
          <w:color w:val="auto"/>
          <w:sz w:val="44"/>
          <w:szCs w:val="44"/>
          <w:highlight w:val="none"/>
        </w:rPr>
      </w:pPr>
      <w:r>
        <w:rPr>
          <w:rFonts w:hint="eastAsia" w:ascii="宋体" w:hAnsi="宋体" w:eastAsia="宋体" w:cs="方正小标宋简体"/>
          <w:b/>
          <w:bCs/>
          <w:color w:val="auto"/>
          <w:sz w:val="44"/>
          <w:szCs w:val="44"/>
          <w:highlight w:val="none"/>
        </w:rPr>
        <w:t>增城开发区宁西家园项目联合测绘服务合同</w:t>
      </w:r>
    </w:p>
    <w:p>
      <w:pPr>
        <w:widowControl/>
        <w:spacing w:line="520" w:lineRule="exact"/>
        <w:jc w:val="center"/>
        <w:rPr>
          <w:rFonts w:ascii="仿宋_GB2312" w:hAnsi="宋体" w:eastAsia="仿宋_GB2312" w:cs="宋体"/>
          <w:color w:val="auto"/>
          <w:sz w:val="28"/>
          <w:szCs w:val="28"/>
          <w:highlight w:val="none"/>
        </w:rPr>
      </w:pPr>
    </w:p>
    <w:p>
      <w:pPr>
        <w:widowControl/>
        <w:spacing w:line="520" w:lineRule="exact"/>
        <w:jc w:val="center"/>
        <w:rPr>
          <w:rFonts w:ascii="仿宋_GB2312" w:hAnsi="宋体" w:eastAsia="仿宋_GB2312" w:cs="宋体"/>
          <w:color w:val="auto"/>
          <w:sz w:val="28"/>
          <w:szCs w:val="28"/>
          <w:highlight w:val="none"/>
        </w:rPr>
      </w:pPr>
    </w:p>
    <w:p>
      <w:pPr>
        <w:widowControl/>
        <w:spacing w:line="520" w:lineRule="exact"/>
        <w:jc w:val="center"/>
        <w:rPr>
          <w:rFonts w:ascii="仿宋_GB2312" w:hAnsi="宋体" w:eastAsia="仿宋_GB2312" w:cs="宋体"/>
          <w:color w:val="auto"/>
          <w:sz w:val="28"/>
          <w:szCs w:val="28"/>
          <w:highlight w:val="none"/>
        </w:rPr>
      </w:pPr>
    </w:p>
    <w:p>
      <w:pPr>
        <w:widowControl/>
        <w:spacing w:line="520" w:lineRule="exact"/>
        <w:jc w:val="center"/>
        <w:rPr>
          <w:rFonts w:ascii="仿宋_GB2312" w:hAnsi="宋体" w:eastAsia="仿宋_GB2312" w:cs="宋体"/>
          <w:color w:val="auto"/>
          <w:sz w:val="28"/>
          <w:szCs w:val="28"/>
          <w:highlight w:val="none"/>
        </w:rPr>
      </w:pPr>
    </w:p>
    <w:p>
      <w:pPr>
        <w:widowControl/>
        <w:spacing w:line="520" w:lineRule="exact"/>
        <w:jc w:val="center"/>
        <w:rPr>
          <w:rFonts w:ascii="仿宋_GB2312" w:hAnsi="宋体" w:eastAsia="仿宋_GB2312" w:cs="宋体"/>
          <w:color w:val="auto"/>
          <w:sz w:val="28"/>
          <w:szCs w:val="28"/>
          <w:highlight w:val="none"/>
        </w:rPr>
      </w:pPr>
    </w:p>
    <w:p>
      <w:pPr>
        <w:widowControl/>
        <w:spacing w:line="520" w:lineRule="exact"/>
        <w:rPr>
          <w:rFonts w:ascii="仿宋_GB2312" w:hAnsi="宋体" w:eastAsia="仿宋_GB2312" w:cs="宋体"/>
          <w:color w:val="auto"/>
          <w:sz w:val="28"/>
          <w:szCs w:val="28"/>
          <w:highlight w:val="none"/>
        </w:rPr>
      </w:pPr>
    </w:p>
    <w:p>
      <w:pPr>
        <w:snapToGrid w:val="0"/>
        <w:spacing w:before="62" w:beforeLines="20" w:line="520" w:lineRule="exact"/>
        <w:ind w:left="1958" w:leftChars="270" w:hanging="1391" w:hangingChars="495"/>
        <w:rPr>
          <w:rFonts w:ascii="仿宋_GB2312" w:eastAsia="仿宋_GB2312"/>
          <w:b/>
          <w:bCs/>
          <w:color w:val="auto"/>
          <w:sz w:val="28"/>
          <w:szCs w:val="28"/>
          <w:highlight w:val="none"/>
          <w:u w:val="single"/>
        </w:rPr>
      </w:pPr>
    </w:p>
    <w:p>
      <w:pPr>
        <w:snapToGrid w:val="0"/>
        <w:spacing w:before="62" w:beforeLines="20" w:line="520" w:lineRule="exact"/>
        <w:ind w:left="1958" w:leftChars="270" w:hanging="1391" w:hangingChars="495"/>
        <w:rPr>
          <w:rFonts w:ascii="仿宋_GB2312" w:eastAsia="仿宋_GB2312"/>
          <w:b/>
          <w:bCs/>
          <w:color w:val="auto"/>
          <w:sz w:val="28"/>
          <w:szCs w:val="28"/>
          <w:highlight w:val="none"/>
          <w:u w:val="single"/>
        </w:rPr>
      </w:pPr>
    </w:p>
    <w:p>
      <w:pPr>
        <w:snapToGrid w:val="0"/>
        <w:spacing w:before="62" w:beforeLines="20" w:line="520" w:lineRule="exact"/>
        <w:rPr>
          <w:rFonts w:ascii="仿宋_GB2312" w:eastAsia="仿宋_GB2312"/>
          <w:b/>
          <w:bCs/>
          <w:color w:val="auto"/>
          <w:sz w:val="28"/>
          <w:szCs w:val="28"/>
          <w:highlight w:val="none"/>
          <w:u w:val="single"/>
        </w:rPr>
      </w:pPr>
    </w:p>
    <w:p>
      <w:pPr>
        <w:snapToGrid w:val="0"/>
        <w:spacing w:before="62" w:beforeLines="20" w:line="520" w:lineRule="exact"/>
        <w:ind w:firstLine="157" w:firstLineChars="49"/>
        <w:rPr>
          <w:rFonts w:ascii="宋体" w:hAnsi="宋体" w:eastAsia="宋体"/>
          <w:b/>
          <w:bCs/>
          <w:color w:val="auto"/>
          <w:sz w:val="32"/>
          <w:szCs w:val="32"/>
          <w:highlight w:val="none"/>
          <w:u w:val="single"/>
        </w:rPr>
      </w:pPr>
      <w:r>
        <w:rPr>
          <w:rFonts w:hint="eastAsia" w:ascii="宋体" w:hAnsi="宋体" w:eastAsia="宋体"/>
          <w:b/>
          <w:bCs/>
          <w:color w:val="auto"/>
          <w:sz w:val="32"/>
          <w:szCs w:val="32"/>
          <w:highlight w:val="none"/>
        </w:rPr>
        <w:t>甲方：</w:t>
      </w:r>
      <w:r>
        <w:rPr>
          <w:rFonts w:hint="eastAsia" w:ascii="宋体" w:hAnsi="宋体" w:eastAsia="宋体"/>
          <w:b/>
          <w:bCs/>
          <w:color w:val="auto"/>
          <w:sz w:val="32"/>
          <w:szCs w:val="32"/>
          <w:highlight w:val="none"/>
          <w:u w:val="single"/>
        </w:rPr>
        <w:t xml:space="preserve">广州城祥投资发展有限公司      </w:t>
      </w:r>
    </w:p>
    <w:p>
      <w:pPr>
        <w:snapToGrid w:val="0"/>
        <w:spacing w:before="20" w:line="520" w:lineRule="exact"/>
        <w:ind w:firstLine="154" w:firstLineChars="48"/>
        <w:rPr>
          <w:rFonts w:ascii="宋体" w:hAnsi="宋体" w:eastAsia="宋体"/>
          <w:b/>
          <w:bCs/>
          <w:color w:val="auto"/>
          <w:sz w:val="32"/>
          <w:szCs w:val="32"/>
          <w:highlight w:val="none"/>
          <w:u w:val="single"/>
        </w:rPr>
      </w:pPr>
      <w:r>
        <w:rPr>
          <w:rFonts w:hint="eastAsia" w:ascii="宋体" w:hAnsi="宋体" w:eastAsia="宋体"/>
          <w:b/>
          <w:bCs/>
          <w:color w:val="auto"/>
          <w:sz w:val="32"/>
          <w:szCs w:val="32"/>
          <w:highlight w:val="none"/>
        </w:rPr>
        <w:t>乙方：</w:t>
      </w:r>
      <w:r>
        <w:rPr>
          <w:rFonts w:hint="eastAsia" w:ascii="宋体" w:hAnsi="宋体" w:eastAsia="宋体"/>
          <w:b/>
          <w:bCs/>
          <w:color w:val="auto"/>
          <w:sz w:val="32"/>
          <w:szCs w:val="32"/>
          <w:highlight w:val="none"/>
          <w:u w:val="single"/>
        </w:rPr>
        <w:t xml:space="preserve">                              </w:t>
      </w:r>
    </w:p>
    <w:p>
      <w:pPr>
        <w:snapToGrid w:val="0"/>
        <w:spacing w:before="20" w:line="520" w:lineRule="exact"/>
        <w:ind w:firstLine="157" w:firstLineChars="49"/>
        <w:rPr>
          <w:rFonts w:ascii="宋体" w:hAnsi="宋体" w:eastAsia="宋体"/>
          <w:b/>
          <w:bCs/>
          <w:color w:val="auto"/>
          <w:sz w:val="32"/>
          <w:szCs w:val="32"/>
          <w:highlight w:val="none"/>
          <w:u w:val="single"/>
        </w:rPr>
      </w:pPr>
      <w:r>
        <w:rPr>
          <w:rFonts w:hint="eastAsia" w:ascii="宋体" w:hAnsi="宋体" w:eastAsia="宋体"/>
          <w:b/>
          <w:bCs/>
          <w:color w:val="auto"/>
          <w:sz w:val="32"/>
          <w:szCs w:val="32"/>
          <w:highlight w:val="none"/>
        </w:rPr>
        <w:t>签订时间：</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rPr>
        <w:t xml:space="preserve">    </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rPr>
        <w:t>年</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rPr>
        <w:t>月</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u w:val="single"/>
        </w:rPr>
        <w:t xml:space="preserve">    </w:t>
      </w:r>
      <w:r>
        <w:rPr>
          <w:rFonts w:ascii="宋体" w:hAnsi="宋体" w:eastAsia="宋体"/>
          <w:b/>
          <w:bCs/>
          <w:color w:val="auto"/>
          <w:sz w:val="32"/>
          <w:szCs w:val="32"/>
          <w:highlight w:val="none"/>
          <w:u w:val="single"/>
        </w:rPr>
        <w:t xml:space="preserve"> </w:t>
      </w:r>
      <w:r>
        <w:rPr>
          <w:rFonts w:hint="eastAsia" w:ascii="宋体" w:hAnsi="宋体" w:eastAsia="宋体"/>
          <w:b/>
          <w:bCs/>
          <w:color w:val="auto"/>
          <w:sz w:val="32"/>
          <w:szCs w:val="32"/>
          <w:highlight w:val="none"/>
        </w:rPr>
        <w:t>日</w:t>
      </w:r>
    </w:p>
    <w:p>
      <w:pPr>
        <w:widowControl/>
        <w:spacing w:line="520" w:lineRule="exact"/>
        <w:ind w:firstLine="157" w:firstLineChars="49"/>
        <w:rPr>
          <w:rFonts w:ascii="仿宋_GB2312" w:eastAsia="仿宋_GB2312"/>
          <w:b/>
          <w:bCs/>
          <w:color w:val="auto"/>
          <w:sz w:val="32"/>
          <w:szCs w:val="32"/>
          <w:highlight w:val="none"/>
          <w:u w:val="single"/>
        </w:rPr>
      </w:pPr>
      <w:r>
        <w:rPr>
          <w:rFonts w:hint="eastAsia" w:ascii="宋体" w:hAnsi="宋体" w:eastAsia="宋体"/>
          <w:b/>
          <w:bCs/>
          <w:color w:val="auto"/>
          <w:sz w:val="32"/>
          <w:szCs w:val="32"/>
          <w:highlight w:val="none"/>
        </w:rPr>
        <w:t xml:space="preserve">签订地点： </w:t>
      </w:r>
      <w:r>
        <w:rPr>
          <w:rFonts w:hint="eastAsia" w:ascii="宋体" w:hAnsi="宋体" w:eastAsia="宋体"/>
          <w:b/>
          <w:bCs/>
          <w:color w:val="auto"/>
          <w:sz w:val="32"/>
          <w:szCs w:val="32"/>
          <w:highlight w:val="none"/>
          <w:u w:val="single"/>
        </w:rPr>
        <w:t xml:space="preserve">广州市增城区             </w:t>
      </w:r>
      <w:r>
        <w:rPr>
          <w:rFonts w:hint="eastAsia" w:ascii="宋体" w:hAnsi="宋体" w:eastAsia="宋体"/>
          <w:b/>
          <w:bCs/>
          <w:color w:val="auto"/>
          <w:sz w:val="32"/>
          <w:szCs w:val="32"/>
          <w:highlight w:val="none"/>
        </w:rPr>
        <w:t xml:space="preserve">   </w:t>
      </w:r>
      <w:r>
        <w:rPr>
          <w:rFonts w:hint="eastAsia" w:ascii="仿宋_GB2312" w:eastAsia="仿宋_GB2312"/>
          <w:b/>
          <w:bCs/>
          <w:color w:val="auto"/>
          <w:sz w:val="32"/>
          <w:szCs w:val="32"/>
          <w:highlight w:val="none"/>
        </w:rPr>
        <w:t xml:space="preserve">         </w:t>
      </w:r>
    </w:p>
    <w:p>
      <w:pPr>
        <w:tabs>
          <w:tab w:val="left" w:pos="720"/>
        </w:tabs>
        <w:spacing w:line="360" w:lineRule="auto"/>
        <w:rPr>
          <w:rFonts w:asciiTheme="minorEastAsia" w:hAnsiTheme="minorEastAsia"/>
          <w:color w:val="auto"/>
          <w:sz w:val="24"/>
          <w:highlight w:val="none"/>
        </w:rPr>
      </w:pPr>
      <w:r>
        <w:rPr>
          <w:rFonts w:ascii="宋体" w:hAnsi="宋体"/>
          <w:b/>
          <w:color w:val="auto"/>
          <w:sz w:val="28"/>
          <w:szCs w:val="28"/>
          <w:highlight w:val="none"/>
        </w:rPr>
        <w:br w:type="page"/>
      </w:r>
      <w:r>
        <w:rPr>
          <w:rFonts w:hint="eastAsia" w:asciiTheme="minorEastAsia" w:hAnsiTheme="minorEastAsia"/>
          <w:b/>
          <w:color w:val="auto"/>
          <w:sz w:val="24"/>
          <w:highlight w:val="none"/>
        </w:rPr>
        <w:t>甲  方：</w:t>
      </w:r>
      <w:r>
        <w:rPr>
          <w:rFonts w:hint="eastAsia" w:asciiTheme="minorEastAsia" w:hAnsiTheme="minorEastAsia"/>
          <w:b/>
          <w:color w:val="auto"/>
          <w:sz w:val="24"/>
          <w:highlight w:val="none"/>
          <w:u w:val="single"/>
        </w:rPr>
        <w:t>广州城祥投资发展有限公司</w:t>
      </w:r>
    </w:p>
    <w:p>
      <w:pPr>
        <w:spacing w:line="360" w:lineRule="auto"/>
        <w:rPr>
          <w:rFonts w:asciiTheme="minorEastAsia" w:hAnsiTheme="minorEastAsia"/>
          <w:color w:val="auto"/>
          <w:sz w:val="24"/>
          <w:highlight w:val="none"/>
        </w:rPr>
      </w:pPr>
      <w:r>
        <w:rPr>
          <w:rFonts w:hint="eastAsia" w:asciiTheme="minorEastAsia" w:hAnsiTheme="minorEastAsia"/>
          <w:b/>
          <w:color w:val="auto"/>
          <w:sz w:val="24"/>
          <w:highlight w:val="none"/>
        </w:rPr>
        <w:t>乙  方：</w:t>
      </w:r>
      <w:r>
        <w:rPr>
          <w:rFonts w:hint="eastAsia" w:asciiTheme="minorEastAsia" w:hAnsiTheme="minorEastAsia"/>
          <w:b/>
          <w:color w:val="auto"/>
          <w:sz w:val="24"/>
          <w:highlight w:val="none"/>
          <w:u w:val="single"/>
        </w:rPr>
        <w:t xml:space="preserve">                        </w:t>
      </w:r>
    </w:p>
    <w:p>
      <w:pPr>
        <w:widowControl/>
        <w:spacing w:line="360" w:lineRule="auto"/>
        <w:ind w:firstLine="480" w:firstLineChars="200"/>
        <w:rPr>
          <w:rFonts w:asciiTheme="minorEastAsia" w:hAnsiTheme="minorEastAsia"/>
          <w:color w:val="auto"/>
          <w:sz w:val="24"/>
          <w:highlight w:val="none"/>
        </w:rPr>
      </w:pPr>
    </w:p>
    <w:p>
      <w:pPr>
        <w:widowControl/>
        <w:spacing w:line="360" w:lineRule="auto"/>
        <w:ind w:firstLine="480" w:firstLineChars="200"/>
        <w:rPr>
          <w:rFonts w:cs="宋体" w:asciiTheme="minorEastAsia" w:hAnsiTheme="minorEastAsia"/>
          <w:color w:val="auto"/>
          <w:sz w:val="24"/>
          <w:highlight w:val="none"/>
        </w:rPr>
      </w:pPr>
      <w:r>
        <w:rPr>
          <w:rFonts w:hint="eastAsia" w:asciiTheme="minorEastAsia" w:hAnsiTheme="minorEastAsia"/>
          <w:color w:val="auto"/>
          <w:sz w:val="24"/>
          <w:highlight w:val="none"/>
        </w:rPr>
        <w:t xml:space="preserve">根据《中华人民共和国民法典》《中华人民共和国测绘法》《广东省测绘条例》等有关法律法规，就甲方委托乙方提供增城开发区宁西家园项目联合测绘服务，经双方协商一致，遵循平等、自愿、公平、诚实信用的原则，签订本合同。    </w:t>
      </w:r>
    </w:p>
    <w:p>
      <w:pPr>
        <w:spacing w:line="360" w:lineRule="auto"/>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rPr>
        <w:t xml:space="preserve"> </w:t>
      </w:r>
      <w:r>
        <w:rPr>
          <w:rStyle w:val="23"/>
          <w:rFonts w:hint="eastAsia" w:asciiTheme="minorEastAsia" w:hAnsiTheme="minorEastAsia" w:eastAsiaTheme="minorEastAsia"/>
          <w:color w:val="auto"/>
          <w:sz w:val="24"/>
          <w:szCs w:val="24"/>
          <w:highlight w:val="none"/>
        </w:rPr>
        <w:t>第一条  测绘范围</w:t>
      </w:r>
    </w:p>
    <w:p>
      <w:pPr>
        <w:pStyle w:val="7"/>
        <w:spacing w:line="360" w:lineRule="auto"/>
        <w:ind w:firstLine="480" w:firstLineChars="200"/>
        <w:rPr>
          <w:rFonts w:cs="Times New Roman" w:asciiTheme="minorEastAsia" w:hAnsiTheme="minorEastAsia" w:eastAsiaTheme="minorEastAsia"/>
          <w:bCs/>
          <w:color w:val="auto"/>
          <w:kern w:val="0"/>
          <w:sz w:val="24"/>
          <w:szCs w:val="24"/>
          <w:highlight w:val="none"/>
        </w:rPr>
      </w:pPr>
      <w:r>
        <w:rPr>
          <w:rFonts w:hint="eastAsia" w:cs="Times New Roman" w:asciiTheme="minorEastAsia" w:hAnsiTheme="minorEastAsia" w:eastAsiaTheme="minorEastAsia"/>
          <w:bCs/>
          <w:color w:val="auto"/>
          <w:kern w:val="0"/>
          <w:sz w:val="24"/>
          <w:szCs w:val="24"/>
          <w:highlight w:val="none"/>
        </w:rPr>
        <w:t xml:space="preserve"> 工程名称：</w:t>
      </w:r>
      <w:r>
        <w:rPr>
          <w:rFonts w:hint="eastAsia" w:cs="Times New Roman" w:asciiTheme="minorEastAsia" w:hAnsiTheme="minorEastAsia" w:eastAsiaTheme="minorEastAsia"/>
          <w:bCs/>
          <w:color w:val="auto"/>
          <w:kern w:val="0"/>
          <w:sz w:val="24"/>
          <w:szCs w:val="24"/>
          <w:highlight w:val="none"/>
          <w:u w:val="single"/>
        </w:rPr>
        <w:t xml:space="preserve">增城开发区宁西家园项目联合测绘服务 </w:t>
      </w:r>
      <w:r>
        <w:rPr>
          <w:rFonts w:hint="eastAsia" w:cs="Times New Roman" w:asciiTheme="minorEastAsia" w:hAnsiTheme="minorEastAsia" w:eastAsiaTheme="minorEastAsia"/>
          <w:bCs/>
          <w:color w:val="auto"/>
          <w:kern w:val="0"/>
          <w:sz w:val="24"/>
          <w:szCs w:val="24"/>
          <w:highlight w:val="none"/>
        </w:rPr>
        <w:t xml:space="preserve">          </w:t>
      </w:r>
    </w:p>
    <w:p>
      <w:pPr>
        <w:spacing w:line="360" w:lineRule="auto"/>
        <w:ind w:left="630" w:leftChars="300"/>
        <w:rPr>
          <w:rFonts w:asciiTheme="minorEastAsia" w:hAnsiTheme="minorEastAsia"/>
          <w:bCs/>
          <w:color w:val="auto"/>
          <w:sz w:val="24"/>
          <w:highlight w:val="none"/>
          <w:u w:val="single"/>
        </w:rPr>
      </w:pPr>
      <w:r>
        <w:rPr>
          <w:rFonts w:hint="eastAsia" w:asciiTheme="minorEastAsia" w:hAnsiTheme="minorEastAsia"/>
          <w:bCs/>
          <w:color w:val="auto"/>
          <w:sz w:val="24"/>
          <w:highlight w:val="none"/>
        </w:rPr>
        <w:t>项目地点：</w:t>
      </w:r>
      <w:r>
        <w:rPr>
          <w:rFonts w:hint="eastAsia" w:asciiTheme="minorEastAsia" w:hAnsiTheme="minorEastAsia"/>
          <w:bCs/>
          <w:color w:val="auto"/>
          <w:sz w:val="24"/>
          <w:highlight w:val="none"/>
          <w:u w:val="single"/>
        </w:rPr>
        <w:t xml:space="preserve">广州市增城区宁西街沙宁路东侧  </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 xml:space="preserve"> 测绘范围</w:t>
      </w:r>
      <w:r>
        <w:rPr>
          <w:rFonts w:hint="eastAsia" w:cs="Times New Roman" w:asciiTheme="minorEastAsia" w:hAnsiTheme="minorEastAsia" w:eastAsiaTheme="minorEastAsia"/>
          <w:bCs/>
          <w:color w:val="auto"/>
          <w:kern w:val="0"/>
          <w:sz w:val="24"/>
          <w:szCs w:val="24"/>
          <w:highlight w:val="none"/>
          <w:u w:val="single"/>
          <w:lang w:val="en-US" w:eastAsia="zh-CN" w:bidi="ar-SA"/>
        </w:rPr>
        <w:t>：</w:t>
      </w:r>
      <w:r>
        <w:rPr>
          <w:rFonts w:hint="eastAsia" w:cs="Times New Roman" w:asciiTheme="minorEastAsia" w:hAnsiTheme="minorEastAsia" w:eastAsiaTheme="minorEastAsia"/>
          <w:bCs/>
          <w:color w:val="000000" w:themeColor="text1"/>
          <w:kern w:val="0"/>
          <w:sz w:val="24"/>
          <w:szCs w:val="24"/>
          <w:highlight w:val="none"/>
          <w:u w:val="single"/>
          <w:lang w:val="en-US" w:eastAsia="zh-CN" w:bidi="ar-SA"/>
          <w14:textFill>
            <w14:solidFill>
              <w14:schemeClr w14:val="tx1"/>
            </w14:solidFill>
          </w14:textFill>
        </w:rPr>
        <w:t>本项目位于广州市增城区宁西街沙宁路东侧，用地面积为170,792.55平方米(256.189亩)。项目规划总建筑面积59.43万平方米，地上计容建筑面积约44.11万平方米(含无偿配建政府性住宅3.54万平方米，无偿配建政府性商业物业2.76万平方米，公建配套面积3.31万平方米，可售住宅34.02万平方米，其它配套商业、预留物业0.48万平方米),不计容建筑面积15.33万平方米</w:t>
      </w:r>
      <w:r>
        <w:rPr>
          <w:rFonts w:hint="eastAsia" w:cs="Times New Roman" w:asciiTheme="minorEastAsia" w:hAnsiTheme="minorEastAsia" w:eastAsiaTheme="minorEastAsia"/>
          <w:bCs/>
          <w:color w:val="auto"/>
          <w:kern w:val="0"/>
          <w:sz w:val="24"/>
          <w:szCs w:val="24"/>
          <w:highlight w:val="none"/>
          <w:u w:val="single"/>
          <w:lang w:val="en-US" w:eastAsia="zh-CN" w:bidi="ar-SA"/>
        </w:rPr>
        <w:t>。</w:t>
      </w:r>
      <w:r>
        <w:rPr>
          <w:rFonts w:hint="eastAsia" w:asciiTheme="minorEastAsia" w:hAnsiTheme="minorEastAsia"/>
          <w:bCs/>
          <w:color w:val="auto"/>
          <w:sz w:val="24"/>
          <w:highlight w:val="none"/>
        </w:rPr>
        <w:t xml:space="preserve">    </w:t>
      </w:r>
    </w:p>
    <w:p>
      <w:pPr>
        <w:spacing w:line="360" w:lineRule="auto"/>
        <w:ind w:firstLine="482" w:firstLineChars="200"/>
        <w:rPr>
          <w:rFonts w:asciiTheme="minorEastAsia" w:hAnsiTheme="minorEastAsia"/>
          <w:color w:val="auto"/>
          <w:sz w:val="24"/>
          <w:highlight w:val="none"/>
        </w:rPr>
      </w:pPr>
      <w:r>
        <w:rPr>
          <w:rStyle w:val="23"/>
          <w:rFonts w:hint="eastAsia" w:asciiTheme="minorEastAsia" w:hAnsiTheme="minorEastAsia" w:eastAsiaTheme="minorEastAsia"/>
          <w:color w:val="auto"/>
          <w:sz w:val="24"/>
          <w:szCs w:val="24"/>
          <w:highlight w:val="none"/>
        </w:rPr>
        <w:t xml:space="preserve"> 第二条  测绘内容 </w:t>
      </w:r>
      <w:r>
        <w:rPr>
          <w:rFonts w:hint="eastAsia" w:asciiTheme="minorEastAsia" w:hAnsiTheme="minorEastAsia"/>
          <w:color w:val="auto"/>
          <w:sz w:val="24"/>
          <w:highlight w:val="none"/>
        </w:rPr>
        <w:t xml:space="preserve"> </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项目测绘包括但不限于以下内容：建筑工程规划放线测量、建筑工程规划条件核实测量、人防工程竣工测量、房产测绘（预测）、房产测绘（实测）等，具体内容详见附件1《工程量清单（暂定）》，但最终以甲方确认为准。甲方有权根据项目实际情况对工作内容进行调整。</w:t>
      </w:r>
    </w:p>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第三条  合同服务期</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服务期：自合同签订之日起至合同项下所有义务履行完毕止。</w:t>
      </w:r>
    </w:p>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第四条  技术要求</w:t>
      </w:r>
    </w:p>
    <w:tbl>
      <w:tblPr>
        <w:tblStyle w:val="13"/>
        <w:tblW w:w="8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5"/>
        <w:gridCol w:w="4827"/>
        <w:gridCol w:w="2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single" w:color="000000" w:sz="4" w:space="0"/>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序号</w:t>
            </w:r>
          </w:p>
        </w:tc>
        <w:tc>
          <w:tcPr>
            <w:tcW w:w="4827" w:type="dxa"/>
            <w:tcBorders>
              <w:top w:val="single" w:color="000000" w:sz="4" w:space="0"/>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标准名称</w:t>
            </w:r>
          </w:p>
        </w:tc>
        <w:tc>
          <w:tcPr>
            <w:tcW w:w="2643" w:type="dxa"/>
            <w:tcBorders>
              <w:top w:val="single" w:color="000000" w:sz="4" w:space="0"/>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标准代号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1</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《房产测量规范》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GB/T 17986-2000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2</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w:t>
            </w:r>
            <w:r>
              <w:rPr>
                <w:rFonts w:hint="eastAsia" w:asciiTheme="minorEastAsia" w:hAnsiTheme="minorEastAsia"/>
                <w:color w:val="auto"/>
                <w:sz w:val="24"/>
                <w:highlight w:val="none"/>
              </w:rPr>
              <w:t>工程测量标准</w:t>
            </w:r>
            <w:r>
              <w:rPr>
                <w:rFonts w:asciiTheme="minorEastAsia" w:hAnsiTheme="minorEastAsia"/>
                <w:color w:val="auto"/>
                <w:sz w:val="24"/>
                <w:highlight w:val="none"/>
              </w:rPr>
              <w:t>》</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GB 50026-2020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3</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《卫星定位城市测量技术规范》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CJJT73-2019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4</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《城市测量规范》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CJJ/T 8-2011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5</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《广州市</w:t>
            </w:r>
            <w:r>
              <w:rPr>
                <w:rFonts w:hint="eastAsia" w:cs="宋体" w:asciiTheme="minorEastAsia" w:hAnsiTheme="minorEastAsia"/>
                <w:color w:val="auto"/>
                <w:sz w:val="24"/>
                <w:highlight w:val="none"/>
              </w:rPr>
              <w:t>地方标准</w:t>
            </w:r>
            <w:r>
              <w:rPr>
                <w:rFonts w:hint="eastAsia" w:asciiTheme="minorEastAsia" w:hAnsiTheme="minorEastAsia"/>
                <w:color w:val="auto"/>
                <w:sz w:val="24"/>
                <w:highlight w:val="none"/>
              </w:rPr>
              <w:t>房屋面积测算规范》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DB4401T 5-2018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6</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《建筑工程建筑面积计算规范》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GB/T50353-2013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7</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《民用建筑通用规范》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GB 55031-2022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8</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广州市规划和自然资源局关于印发《广州市建筑工程容积率计算办法》的通知</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穗规划资源规字〔2023〕8号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4" w:hRule="atLeast"/>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9</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《1:500、1:1000、1:2000地形图图式》</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DBJ440100/T  230-2015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0</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《人民防空地下室设计规范》</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GB 50038-2005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9" w:hRule="atLeast"/>
          <w:jc w:val="center"/>
        </w:trPr>
        <w:tc>
          <w:tcPr>
            <w:tcW w:w="735" w:type="dxa"/>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11</w:t>
            </w:r>
          </w:p>
        </w:tc>
        <w:tc>
          <w:tcPr>
            <w:tcW w:w="4827"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《测绘成果质量检查与验收》</w:t>
            </w:r>
          </w:p>
        </w:tc>
        <w:tc>
          <w:tcPr>
            <w:tcW w:w="2643" w:type="dxa"/>
            <w:tcBorders>
              <w:top w:val="nil"/>
              <w:left w:val="nil"/>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hint="eastAsia" w:cs="宋体" w:asciiTheme="minorEastAsia" w:hAnsiTheme="minorEastAsia"/>
                <w:color w:val="auto"/>
                <w:sz w:val="24"/>
                <w:highlight w:val="none"/>
              </w:rPr>
              <w:t>GB/T 24356-2023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205" w:type="dxa"/>
            <w:gridSpan w:val="3"/>
            <w:tcBorders>
              <w:top w:val="nil"/>
              <w:left w:val="single" w:color="000000" w:sz="4" w:space="0"/>
              <w:bottom w:val="single" w:color="000000" w:sz="4" w:space="0"/>
              <w:right w:val="single" w:color="000000" w:sz="4" w:space="0"/>
            </w:tcBorders>
          </w:tcPr>
          <w:p>
            <w:pPr>
              <w:spacing w:line="360" w:lineRule="auto"/>
              <w:rPr>
                <w:rFonts w:asciiTheme="minorEastAsia" w:hAnsiTheme="minorEastAsia"/>
                <w:color w:val="auto"/>
                <w:sz w:val="24"/>
                <w:highlight w:val="none"/>
              </w:rPr>
            </w:pPr>
            <w:r>
              <w:rPr>
                <w:rFonts w:asciiTheme="minorEastAsia" w:hAnsiTheme="minorEastAsia"/>
                <w:color w:val="auto"/>
                <w:sz w:val="24"/>
                <w:highlight w:val="none"/>
              </w:rPr>
              <w:t>如在本合同履行期间内本条款项下执行的技术标准及技术要求有新的规定，则按新的规定和要求执行，所发生的费用已包含在本合同约定的费用内</w:t>
            </w:r>
            <w:r>
              <w:rPr>
                <w:rFonts w:hint="eastAsia" w:asciiTheme="minorEastAsia" w:hAnsiTheme="minorEastAsia"/>
                <w:color w:val="auto"/>
                <w:sz w:val="24"/>
                <w:highlight w:val="none"/>
              </w:rPr>
              <w:t>。</w:t>
            </w:r>
          </w:p>
        </w:tc>
      </w:tr>
    </w:tbl>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第五条 合同价款</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color w:val="auto"/>
          <w:sz w:val="24"/>
          <w:highlight w:val="none"/>
        </w:rPr>
        <w:t>合同暂定含税金额为</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元（大写：人民币</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），其中：不含税金额为：</w:t>
      </w:r>
      <w:r>
        <w:rPr>
          <w:rFonts w:hint="eastAsia" w:asciiTheme="minorEastAsia" w:hAnsiTheme="minorEastAsia"/>
          <w:color w:val="auto"/>
          <w:sz w:val="24"/>
          <w:highlight w:val="none"/>
          <w:u w:val="single"/>
        </w:rPr>
        <w:t>￥           元</w:t>
      </w:r>
      <w:r>
        <w:rPr>
          <w:rFonts w:hint="eastAsia" w:asciiTheme="minorEastAsia" w:hAnsiTheme="minorEastAsia"/>
          <w:color w:val="auto"/>
          <w:sz w:val="24"/>
          <w:highlight w:val="none"/>
        </w:rPr>
        <w:t>，税率为</w:t>
      </w:r>
      <w:r>
        <w:rPr>
          <w:rFonts w:hint="eastAsia" w:asciiTheme="minorEastAsia" w:hAnsiTheme="minorEastAsia"/>
          <w:color w:val="auto"/>
          <w:sz w:val="24"/>
          <w:highlight w:val="none"/>
          <w:u w:val="single"/>
        </w:rPr>
        <w:t xml:space="preserve">    %</w:t>
      </w:r>
      <w:r>
        <w:rPr>
          <w:rFonts w:asciiTheme="minorEastAsia" w:hAnsiTheme="minorEastAsia"/>
          <w:color w:val="auto"/>
          <w:sz w:val="24"/>
          <w:highlight w:val="none"/>
          <w:u w:val="single"/>
        </w:rPr>
        <w:t xml:space="preserve"> </w:t>
      </w:r>
      <w:r>
        <w:rPr>
          <w:rFonts w:hint="eastAsia" w:asciiTheme="minorEastAsia" w:hAnsiTheme="minorEastAsia"/>
          <w:color w:val="auto"/>
          <w:sz w:val="24"/>
          <w:highlight w:val="none"/>
        </w:rPr>
        <w:t>。在合同履行期间，如</w:t>
      </w:r>
      <w:r>
        <w:rPr>
          <w:rFonts w:hint="eastAsia" w:asciiTheme="minorEastAsia" w:hAnsiTheme="minorEastAsia"/>
          <w:bCs/>
          <w:color w:val="auto"/>
          <w:sz w:val="24"/>
          <w:highlight w:val="none"/>
        </w:rPr>
        <w:t>遇国家税率调整，本合同约定的不含税金额不因国家税率的调整而变化，相应调整“不含税金额”为准计算的增值税额与合同结算总价。</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本合同最终按实结算，具体按照甲乙双方确认的实际工作量乘以《工程量清单（暂定）》约定的中标综合单价进行结算。如《工程量清单（暂定）》存在漏项的，则该项合同单价标准参照《测绘工程产品价格》（国测财字[2002]3号）及《测绘生产成本费用定额》（财建[2009]17号）标准下浮20%并执行投标下浮率</w:t>
      </w:r>
      <w:r>
        <w:rPr>
          <w:rFonts w:hint="eastAsia" w:asciiTheme="minorEastAsia" w:hAnsiTheme="minorEastAsia"/>
          <w:bCs/>
          <w:color w:val="auto"/>
          <w:sz w:val="24"/>
          <w:highlight w:val="none"/>
          <w:u w:val="single"/>
        </w:rPr>
        <w:t xml:space="preserve">  </w:t>
      </w:r>
      <w:r>
        <w:rPr>
          <w:rFonts w:hint="eastAsia" w:asciiTheme="minorEastAsia" w:hAnsiTheme="minorEastAsia"/>
          <w:bCs/>
          <w:color w:val="auto"/>
          <w:sz w:val="24"/>
          <w:highlight w:val="none"/>
        </w:rPr>
        <w:t>计算。</w:t>
      </w:r>
    </w:p>
    <w:p>
      <w:pPr>
        <w:spacing w:line="360" w:lineRule="auto"/>
        <w:ind w:firstLine="482" w:firstLineChars="200"/>
        <w:rPr>
          <w:rFonts w:cs="宋体" w:asciiTheme="minorEastAsia" w:hAnsiTheme="minorEastAsia"/>
          <w:b/>
          <w:bCs/>
          <w:color w:val="auto"/>
          <w:sz w:val="24"/>
          <w:highlight w:val="none"/>
        </w:rPr>
      </w:pPr>
      <w:r>
        <w:rPr>
          <w:rStyle w:val="23"/>
          <w:rFonts w:hint="eastAsia" w:asciiTheme="minorEastAsia" w:hAnsiTheme="minorEastAsia" w:eastAsiaTheme="minorEastAsia"/>
          <w:color w:val="auto"/>
          <w:sz w:val="24"/>
          <w:szCs w:val="24"/>
          <w:highlight w:val="none"/>
        </w:rPr>
        <w:t>第六条  测绘成果提交</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乙方根据甲方委托的具体测绘项目类型提供以下测绘成果：</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1、《建设工程规划放线测量记录册》（一式两份，</w:t>
      </w:r>
      <w:r>
        <w:rPr>
          <w:rFonts w:asciiTheme="minorEastAsia" w:hAnsiTheme="minorEastAsia"/>
          <w:bCs/>
          <w:color w:val="auto"/>
          <w:sz w:val="24"/>
          <w:highlight w:val="none"/>
        </w:rPr>
        <w:t>纸质</w:t>
      </w:r>
      <w:r>
        <w:rPr>
          <w:rFonts w:hint="eastAsia" w:asciiTheme="minorEastAsia" w:hAnsiTheme="minorEastAsia"/>
          <w:bCs/>
          <w:color w:val="auto"/>
          <w:sz w:val="24"/>
          <w:highlight w:val="none"/>
        </w:rPr>
        <w:t>文件）；</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2、《规划条件核实测量记录册（建筑工程）》（一式两份，</w:t>
      </w:r>
      <w:r>
        <w:rPr>
          <w:rFonts w:asciiTheme="minorEastAsia" w:hAnsiTheme="minorEastAsia"/>
          <w:bCs/>
          <w:color w:val="auto"/>
          <w:sz w:val="24"/>
          <w:highlight w:val="none"/>
        </w:rPr>
        <w:t>纸质</w:t>
      </w:r>
      <w:r>
        <w:rPr>
          <w:rFonts w:hint="eastAsia" w:asciiTheme="minorEastAsia" w:hAnsiTheme="minorEastAsia"/>
          <w:bCs/>
          <w:color w:val="auto"/>
          <w:sz w:val="24"/>
          <w:highlight w:val="none"/>
        </w:rPr>
        <w:t>文件）；</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3、《房屋建筑面积测绘成果报告书》（一式两份，</w:t>
      </w:r>
      <w:r>
        <w:rPr>
          <w:rFonts w:asciiTheme="minorEastAsia" w:hAnsiTheme="minorEastAsia"/>
          <w:bCs/>
          <w:color w:val="auto"/>
          <w:sz w:val="24"/>
          <w:highlight w:val="none"/>
        </w:rPr>
        <w:t>纸质</w:t>
      </w:r>
      <w:r>
        <w:rPr>
          <w:rFonts w:hint="eastAsia" w:asciiTheme="minorEastAsia" w:hAnsiTheme="minorEastAsia"/>
          <w:bCs/>
          <w:color w:val="auto"/>
          <w:sz w:val="24"/>
          <w:highlight w:val="none"/>
        </w:rPr>
        <w:t>文件）；</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4、《控制点成果表》（一式四份，纸质文件）；</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5、《广州市防空地下室测量成果报告》（一式两份，纸质文件）</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sym w:font="Wingdings 2" w:char="0052"/>
      </w:r>
      <w:r>
        <w:rPr>
          <w:rFonts w:hint="eastAsia" w:asciiTheme="minorEastAsia" w:hAnsiTheme="minorEastAsia"/>
          <w:bCs/>
          <w:color w:val="auto"/>
          <w:sz w:val="24"/>
          <w:highlight w:val="none"/>
        </w:rPr>
        <w:t>6、其他相关测绘成果文件</w:t>
      </w:r>
      <w:r>
        <w:rPr>
          <w:rFonts w:hint="eastAsia" w:asciiTheme="minorEastAsia" w:hAnsiTheme="minorEastAsia"/>
          <w:bCs/>
          <w:color w:val="auto"/>
          <w:sz w:val="24"/>
          <w:highlight w:val="none"/>
          <w:u w:val="single"/>
        </w:rPr>
        <w:t>：《不动产单元对照表》</w:t>
      </w:r>
      <w:r>
        <w:rPr>
          <w:rFonts w:hint="eastAsia" w:asciiTheme="minorEastAsia" w:hAnsiTheme="minorEastAsia"/>
          <w:bCs/>
          <w:color w:val="auto"/>
          <w:sz w:val="24"/>
          <w:highlight w:val="none"/>
        </w:rPr>
        <w:t>（一式两份，纸质文件）。</w:t>
      </w:r>
    </w:p>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第七条 测绘项目完成工期</w:t>
      </w:r>
    </w:p>
    <w:p>
      <w:pPr>
        <w:spacing w:line="360" w:lineRule="auto"/>
        <w:ind w:right="105" w:rightChars="50" w:firstLine="453" w:firstLineChars="189"/>
        <w:rPr>
          <w:rFonts w:asciiTheme="minorEastAsia" w:hAnsiTheme="minorEastAsia"/>
          <w:bCs/>
          <w:color w:val="auto"/>
          <w:sz w:val="24"/>
          <w:highlight w:val="none"/>
        </w:rPr>
      </w:pPr>
      <w:r>
        <w:rPr>
          <w:rFonts w:hint="eastAsia" w:asciiTheme="minorEastAsia" w:hAnsiTheme="minorEastAsia"/>
          <w:bCs/>
          <w:color w:val="auto"/>
          <w:sz w:val="24"/>
          <w:highlight w:val="none"/>
        </w:rPr>
        <w:t>（1）建设工程规划放线测量</w:t>
      </w:r>
    </w:p>
    <w:tbl>
      <w:tblPr>
        <w:tblStyle w:val="1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0"/>
        <w:gridCol w:w="198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工作量</w:t>
            </w:r>
          </w:p>
        </w:tc>
        <w:tc>
          <w:tcPr>
            <w:tcW w:w="1984" w:type="dxa"/>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工期（工作日）</w:t>
            </w:r>
          </w:p>
        </w:tc>
        <w:tc>
          <w:tcPr>
            <w:tcW w:w="1879" w:type="dxa"/>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建(构)筑物在2栋以下</w:t>
            </w:r>
          </w:p>
        </w:tc>
        <w:tc>
          <w:tcPr>
            <w:tcW w:w="1984"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5</w:t>
            </w:r>
          </w:p>
        </w:tc>
        <w:tc>
          <w:tcPr>
            <w:tcW w:w="1879" w:type="dxa"/>
            <w:vAlign w:val="bottom"/>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建(构)筑物在3-5栋</w:t>
            </w:r>
          </w:p>
        </w:tc>
        <w:tc>
          <w:tcPr>
            <w:tcW w:w="1984"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7</w:t>
            </w:r>
          </w:p>
        </w:tc>
        <w:tc>
          <w:tcPr>
            <w:tcW w:w="1879" w:type="dxa"/>
            <w:vAlign w:val="bottom"/>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建(构)筑物在6-10栋</w:t>
            </w:r>
          </w:p>
        </w:tc>
        <w:tc>
          <w:tcPr>
            <w:tcW w:w="1984"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10</w:t>
            </w:r>
          </w:p>
        </w:tc>
        <w:tc>
          <w:tcPr>
            <w:tcW w:w="1879" w:type="dxa"/>
            <w:vAlign w:val="bottom"/>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建(构)筑物在11-20栋</w:t>
            </w:r>
          </w:p>
        </w:tc>
        <w:tc>
          <w:tcPr>
            <w:tcW w:w="1984"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15</w:t>
            </w:r>
          </w:p>
        </w:tc>
        <w:tc>
          <w:tcPr>
            <w:tcW w:w="1879" w:type="dxa"/>
            <w:vAlign w:val="bottom"/>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0"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建筑物在20栋以上大批量组团式放线</w:t>
            </w:r>
          </w:p>
        </w:tc>
        <w:tc>
          <w:tcPr>
            <w:tcW w:w="1984" w:type="dxa"/>
            <w:vAlign w:val="bottom"/>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双方协商而定</w:t>
            </w:r>
          </w:p>
        </w:tc>
        <w:tc>
          <w:tcPr>
            <w:tcW w:w="1879" w:type="dxa"/>
            <w:vAlign w:val="bottom"/>
          </w:tcPr>
          <w:p>
            <w:pPr>
              <w:spacing w:line="360" w:lineRule="auto"/>
              <w:jc w:val="center"/>
              <w:rPr>
                <w:rFonts w:asciiTheme="minorEastAsia" w:hAnsiTheme="minorEastAsia"/>
                <w:color w:val="auto"/>
                <w:sz w:val="24"/>
                <w:highlight w:val="none"/>
              </w:rPr>
            </w:pPr>
          </w:p>
        </w:tc>
      </w:tr>
    </w:tbl>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备注:工期计算从甲方书面通知乙方进场且</w:t>
      </w:r>
      <w:r>
        <w:rPr>
          <w:rFonts w:asciiTheme="minorEastAsia" w:hAnsiTheme="minorEastAsia"/>
          <w:color w:val="auto"/>
          <w:sz w:val="24"/>
          <w:highlight w:val="none"/>
        </w:rPr>
        <w:t>放线场地满足放线要求、间距满足规划审批要求</w:t>
      </w:r>
      <w:r>
        <w:rPr>
          <w:rFonts w:hint="eastAsia" w:asciiTheme="minorEastAsia" w:hAnsiTheme="minorEastAsia"/>
          <w:color w:val="auto"/>
          <w:sz w:val="24"/>
          <w:highlight w:val="none"/>
        </w:rPr>
        <w:t>之日开始计算；以上工作日不含建设工程设计方案技术审查。</w:t>
      </w:r>
    </w:p>
    <w:p>
      <w:pPr>
        <w:spacing w:line="360" w:lineRule="auto"/>
        <w:ind w:right="105" w:rightChars="50" w:firstLine="453" w:firstLineChars="189"/>
        <w:rPr>
          <w:rFonts w:asciiTheme="minorEastAsia" w:hAnsiTheme="minorEastAsia"/>
          <w:bCs/>
          <w:color w:val="auto"/>
          <w:sz w:val="24"/>
          <w:highlight w:val="none"/>
        </w:rPr>
      </w:pPr>
      <w:r>
        <w:rPr>
          <w:rFonts w:hint="eastAsia" w:asciiTheme="minorEastAsia" w:hAnsiTheme="minorEastAsia"/>
          <w:bCs/>
          <w:color w:val="auto"/>
          <w:sz w:val="24"/>
          <w:highlight w:val="none"/>
        </w:rPr>
        <w:t>（2）规划条件核实测量（建筑工程）</w:t>
      </w: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工作量</w:t>
            </w:r>
          </w:p>
        </w:tc>
        <w:tc>
          <w:tcPr>
            <w:tcW w:w="1842" w:type="dxa"/>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工期（工作日）</w:t>
            </w:r>
          </w:p>
        </w:tc>
        <w:tc>
          <w:tcPr>
            <w:tcW w:w="1985" w:type="dxa"/>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建(构)筑物（每单栋）</w:t>
            </w:r>
          </w:p>
        </w:tc>
        <w:tc>
          <w:tcPr>
            <w:tcW w:w="184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6</w:t>
            </w:r>
          </w:p>
        </w:tc>
        <w:tc>
          <w:tcPr>
            <w:tcW w:w="1985" w:type="dxa"/>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建(构)筑物在2-5栋</w:t>
            </w:r>
          </w:p>
        </w:tc>
        <w:tc>
          <w:tcPr>
            <w:tcW w:w="184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9</w:t>
            </w:r>
          </w:p>
        </w:tc>
        <w:tc>
          <w:tcPr>
            <w:tcW w:w="1985" w:type="dxa"/>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建(构)筑物在6-10栋</w:t>
            </w:r>
          </w:p>
        </w:tc>
        <w:tc>
          <w:tcPr>
            <w:tcW w:w="184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12</w:t>
            </w:r>
          </w:p>
        </w:tc>
        <w:tc>
          <w:tcPr>
            <w:tcW w:w="1985" w:type="dxa"/>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建(构)筑物在11-20栋</w:t>
            </w:r>
          </w:p>
        </w:tc>
        <w:tc>
          <w:tcPr>
            <w:tcW w:w="1842" w:type="dxa"/>
            <w:vMerge w:val="restart"/>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15</w:t>
            </w:r>
          </w:p>
        </w:tc>
        <w:tc>
          <w:tcPr>
            <w:tcW w:w="1985" w:type="dxa"/>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结构复杂综合楼、商住楼、场馆等(每单栋)</w:t>
            </w:r>
          </w:p>
        </w:tc>
        <w:tc>
          <w:tcPr>
            <w:tcW w:w="1842" w:type="dxa"/>
            <w:vMerge w:val="continue"/>
            <w:vAlign w:val="center"/>
          </w:tcPr>
          <w:p>
            <w:pPr>
              <w:spacing w:line="360" w:lineRule="auto"/>
              <w:jc w:val="center"/>
              <w:rPr>
                <w:rFonts w:asciiTheme="minorEastAsia" w:hAnsiTheme="minorEastAsia"/>
                <w:color w:val="auto"/>
                <w:sz w:val="24"/>
                <w:highlight w:val="none"/>
              </w:rPr>
            </w:pPr>
          </w:p>
        </w:tc>
        <w:tc>
          <w:tcPr>
            <w:tcW w:w="1985" w:type="dxa"/>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建筑物在20栋以上大批量组团式验收</w:t>
            </w:r>
          </w:p>
        </w:tc>
        <w:tc>
          <w:tcPr>
            <w:tcW w:w="1842" w:type="dxa"/>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双方协商而定</w:t>
            </w:r>
          </w:p>
        </w:tc>
        <w:tc>
          <w:tcPr>
            <w:tcW w:w="1985" w:type="dxa"/>
            <w:vAlign w:val="center"/>
          </w:tcPr>
          <w:p>
            <w:pPr>
              <w:spacing w:line="360" w:lineRule="auto"/>
              <w:jc w:val="center"/>
              <w:rPr>
                <w:rFonts w:asciiTheme="minorEastAsia" w:hAnsiTheme="minorEastAsia"/>
                <w:color w:val="auto"/>
                <w:sz w:val="24"/>
                <w:highlight w:val="none"/>
              </w:rPr>
            </w:pPr>
          </w:p>
        </w:tc>
      </w:tr>
    </w:tbl>
    <w:p>
      <w:pPr>
        <w:spacing w:line="360" w:lineRule="auto"/>
        <w:ind w:firstLine="360" w:firstLineChars="150"/>
        <w:rPr>
          <w:rFonts w:asciiTheme="minorEastAsia" w:hAnsiTheme="minorEastAsia"/>
          <w:color w:val="auto"/>
          <w:sz w:val="24"/>
          <w:highlight w:val="none"/>
        </w:rPr>
      </w:pPr>
      <w:r>
        <w:rPr>
          <w:rFonts w:hint="eastAsia" w:asciiTheme="minorEastAsia" w:hAnsiTheme="minorEastAsia"/>
          <w:color w:val="auto"/>
          <w:sz w:val="24"/>
          <w:highlight w:val="none"/>
        </w:rPr>
        <w:t>备注:工期计算从甲方书面通知乙方进场，场地及资料符合规划审批部门要求且竣工图与实地相符之日开始计算。</w:t>
      </w:r>
    </w:p>
    <w:p>
      <w:pPr>
        <w:spacing w:line="360" w:lineRule="auto"/>
        <w:ind w:firstLine="360" w:firstLineChars="150"/>
        <w:rPr>
          <w:rFonts w:asciiTheme="minorEastAsia" w:hAnsiTheme="minorEastAsia"/>
          <w:bCs/>
          <w:color w:val="auto"/>
          <w:sz w:val="24"/>
          <w:highlight w:val="none"/>
        </w:rPr>
      </w:pPr>
      <w:r>
        <w:rPr>
          <w:rFonts w:hint="eastAsia" w:asciiTheme="minorEastAsia" w:hAnsiTheme="minorEastAsia"/>
          <w:bCs/>
          <w:color w:val="auto"/>
          <w:sz w:val="24"/>
          <w:highlight w:val="none"/>
        </w:rPr>
        <w:t>（3）房产测绘</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381"/>
        <w:gridCol w:w="205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05" w:type="dxa"/>
            <w:vAlign w:val="center"/>
          </w:tcPr>
          <w:p>
            <w:pPr>
              <w:spacing w:line="360" w:lineRule="auto"/>
              <w:jc w:val="center"/>
              <w:rPr>
                <w:rFonts w:asciiTheme="minorEastAsia" w:hAnsiTheme="minorEastAsia"/>
                <w:b/>
                <w:color w:val="auto"/>
                <w:sz w:val="24"/>
                <w:highlight w:val="none"/>
              </w:rPr>
            </w:pPr>
            <w:r>
              <w:rPr>
                <w:rFonts w:asciiTheme="minorEastAsia" w:hAnsiTheme="minorEastAsia"/>
                <w:b/>
                <w:color w:val="auto"/>
                <w:sz w:val="24"/>
                <w:highlight w:val="none"/>
              </w:rPr>
              <w:t>类型</w:t>
            </w:r>
          </w:p>
        </w:tc>
        <w:tc>
          <w:tcPr>
            <w:tcW w:w="3381" w:type="dxa"/>
            <w:shd w:val="clear" w:color="auto" w:fill="auto"/>
            <w:vAlign w:val="center"/>
          </w:tcPr>
          <w:p>
            <w:pPr>
              <w:spacing w:line="360" w:lineRule="auto"/>
              <w:jc w:val="center"/>
              <w:rPr>
                <w:rFonts w:asciiTheme="minorEastAsia" w:hAnsiTheme="minorEastAsia"/>
                <w:b/>
                <w:color w:val="auto"/>
                <w:sz w:val="24"/>
                <w:highlight w:val="none"/>
              </w:rPr>
            </w:pPr>
            <w:r>
              <w:rPr>
                <w:rFonts w:asciiTheme="minorEastAsia" w:hAnsiTheme="minorEastAsia"/>
                <w:b/>
                <w:color w:val="auto"/>
                <w:sz w:val="24"/>
                <w:highlight w:val="none"/>
              </w:rPr>
              <w:t>报建审批面积</w:t>
            </w:r>
            <w:r>
              <w:rPr>
                <w:rFonts w:hint="eastAsia" w:asciiTheme="minorEastAsia" w:hAnsiTheme="minorEastAsia"/>
                <w:b/>
                <w:color w:val="auto"/>
                <w:sz w:val="24"/>
                <w:highlight w:val="none"/>
              </w:rPr>
              <w:t>S</w:t>
            </w:r>
            <w:r>
              <w:rPr>
                <w:rFonts w:asciiTheme="minorEastAsia" w:hAnsiTheme="minorEastAsia"/>
                <w:b/>
                <w:color w:val="auto"/>
                <w:sz w:val="24"/>
                <w:highlight w:val="none"/>
              </w:rPr>
              <w:t>（万平方米）</w:t>
            </w:r>
          </w:p>
        </w:tc>
        <w:tc>
          <w:tcPr>
            <w:tcW w:w="2058" w:type="dxa"/>
            <w:shd w:val="clear" w:color="auto" w:fill="auto"/>
            <w:vAlign w:val="center"/>
          </w:tcPr>
          <w:p>
            <w:pPr>
              <w:spacing w:line="360" w:lineRule="auto"/>
              <w:jc w:val="center"/>
              <w:rPr>
                <w:rFonts w:asciiTheme="minorEastAsia" w:hAnsiTheme="minorEastAsia"/>
                <w:b/>
                <w:color w:val="auto"/>
                <w:sz w:val="24"/>
                <w:highlight w:val="none"/>
              </w:rPr>
            </w:pPr>
            <w:r>
              <w:rPr>
                <w:rFonts w:asciiTheme="minorEastAsia" w:hAnsiTheme="minorEastAsia"/>
                <w:b/>
                <w:color w:val="auto"/>
                <w:sz w:val="24"/>
                <w:highlight w:val="none"/>
              </w:rPr>
              <w:t>工期（工作日）</w:t>
            </w:r>
          </w:p>
        </w:tc>
        <w:tc>
          <w:tcPr>
            <w:tcW w:w="1462" w:type="dxa"/>
            <w:shd w:val="clear" w:color="auto" w:fill="auto"/>
            <w:vAlign w:val="center"/>
          </w:tcPr>
          <w:p>
            <w:pPr>
              <w:spacing w:line="360" w:lineRule="auto"/>
              <w:jc w:val="center"/>
              <w:rPr>
                <w:rFonts w:asciiTheme="minorEastAsia" w:hAnsiTheme="minorEastAsia"/>
                <w:b/>
                <w:color w:val="auto"/>
                <w:sz w:val="24"/>
                <w:highlight w:val="none"/>
              </w:rPr>
            </w:pPr>
            <w:r>
              <w:rPr>
                <w:rFonts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05" w:type="dxa"/>
            <w:vMerge w:val="restart"/>
            <w:vAlign w:val="center"/>
          </w:tcPr>
          <w:p>
            <w:pPr>
              <w:spacing w:line="360" w:lineRule="auto"/>
              <w:jc w:val="center"/>
              <w:rPr>
                <w:rFonts w:asciiTheme="minorEastAsia" w:hAnsiTheme="minorEastAsia"/>
                <w:color w:val="auto"/>
                <w:sz w:val="24"/>
                <w:highlight w:val="none"/>
              </w:rPr>
            </w:pPr>
            <w:r>
              <w:rPr>
                <w:rFonts w:asciiTheme="minorEastAsia" w:hAnsiTheme="minorEastAsia"/>
                <w:color w:val="auto"/>
                <w:sz w:val="24"/>
                <w:highlight w:val="none"/>
              </w:rPr>
              <w:t>商品房房产测绘（</w:t>
            </w:r>
            <w:r>
              <w:rPr>
                <w:rFonts w:hint="eastAsia" w:asciiTheme="minorEastAsia" w:hAnsiTheme="minorEastAsia"/>
                <w:color w:val="auto"/>
                <w:sz w:val="24"/>
                <w:highlight w:val="none"/>
              </w:rPr>
              <w:t>预</w:t>
            </w:r>
            <w:r>
              <w:rPr>
                <w:rFonts w:asciiTheme="minorEastAsia" w:hAnsiTheme="minorEastAsia"/>
                <w:color w:val="auto"/>
                <w:sz w:val="24"/>
                <w:highlight w:val="none"/>
              </w:rPr>
              <w:t>测）</w:t>
            </w: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S≤5</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20</w:t>
            </w:r>
          </w:p>
        </w:tc>
        <w:tc>
          <w:tcPr>
            <w:tcW w:w="1462" w:type="dxa"/>
            <w:vMerge w:val="restart"/>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6＜S≤8</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24</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9＜S≤12</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28</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S＞12</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协商</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905" w:type="dxa"/>
            <w:vMerge w:val="restart"/>
            <w:vAlign w:val="center"/>
          </w:tcPr>
          <w:p>
            <w:pPr>
              <w:spacing w:line="360" w:lineRule="auto"/>
              <w:jc w:val="center"/>
              <w:rPr>
                <w:rFonts w:asciiTheme="minorEastAsia" w:hAnsiTheme="minorEastAsia"/>
                <w:color w:val="auto"/>
                <w:sz w:val="24"/>
                <w:highlight w:val="none"/>
              </w:rPr>
            </w:pPr>
            <w:r>
              <w:rPr>
                <w:rFonts w:asciiTheme="minorEastAsia" w:hAnsiTheme="minorEastAsia"/>
                <w:color w:val="auto"/>
                <w:sz w:val="24"/>
                <w:highlight w:val="none"/>
              </w:rPr>
              <w:t>商品房房产测绘（</w:t>
            </w:r>
            <w:r>
              <w:rPr>
                <w:rFonts w:hint="eastAsia" w:asciiTheme="minorEastAsia" w:hAnsiTheme="minorEastAsia"/>
                <w:color w:val="auto"/>
                <w:sz w:val="24"/>
                <w:highlight w:val="none"/>
              </w:rPr>
              <w:t>实</w:t>
            </w:r>
            <w:r>
              <w:rPr>
                <w:rFonts w:asciiTheme="minorEastAsia" w:hAnsiTheme="minorEastAsia"/>
                <w:color w:val="auto"/>
                <w:sz w:val="24"/>
                <w:highlight w:val="none"/>
              </w:rPr>
              <w:t>测）</w:t>
            </w: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S≤5</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20</w:t>
            </w:r>
          </w:p>
        </w:tc>
        <w:tc>
          <w:tcPr>
            <w:tcW w:w="1462" w:type="dxa"/>
            <w:vMerge w:val="restart"/>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6＜S≤8</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24</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9＜S≤12</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28</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05" w:type="dxa"/>
            <w:vMerge w:val="continue"/>
            <w:vAlign w:val="center"/>
          </w:tcPr>
          <w:p>
            <w:pPr>
              <w:spacing w:line="360" w:lineRule="auto"/>
              <w:jc w:val="center"/>
              <w:rPr>
                <w:rFonts w:asciiTheme="minorEastAsia" w:hAnsiTheme="minorEastAsia"/>
                <w:color w:val="auto"/>
                <w:sz w:val="24"/>
                <w:highlight w:val="none"/>
              </w:rPr>
            </w:pPr>
          </w:p>
        </w:tc>
        <w:tc>
          <w:tcPr>
            <w:tcW w:w="3381"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S＞12</w:t>
            </w:r>
          </w:p>
        </w:tc>
        <w:tc>
          <w:tcPr>
            <w:tcW w:w="2058" w:type="dxa"/>
            <w:shd w:val="clear" w:color="auto" w:fill="auto"/>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协商</w:t>
            </w:r>
          </w:p>
        </w:tc>
        <w:tc>
          <w:tcPr>
            <w:tcW w:w="1462" w:type="dxa"/>
            <w:vMerge w:val="continue"/>
            <w:shd w:val="clear" w:color="auto" w:fill="auto"/>
            <w:vAlign w:val="center"/>
          </w:tcPr>
          <w:p>
            <w:pPr>
              <w:spacing w:line="360" w:lineRule="auto"/>
              <w:jc w:val="center"/>
              <w:rPr>
                <w:rFonts w:asciiTheme="minorEastAsia" w:hAnsiTheme="minorEastAsia"/>
                <w:color w:val="auto"/>
                <w:sz w:val="24"/>
                <w:highlight w:val="none"/>
              </w:rPr>
            </w:pPr>
          </w:p>
        </w:tc>
      </w:tr>
    </w:tbl>
    <w:p>
      <w:pPr>
        <w:spacing w:line="360" w:lineRule="auto"/>
        <w:ind w:firstLine="360" w:firstLineChars="150"/>
        <w:rPr>
          <w:rFonts w:asciiTheme="minorEastAsia" w:hAnsiTheme="minorEastAsia"/>
          <w:color w:val="auto"/>
          <w:sz w:val="24"/>
          <w:highlight w:val="none"/>
        </w:rPr>
      </w:pPr>
      <w:r>
        <w:rPr>
          <w:rFonts w:hint="eastAsia" w:asciiTheme="minorEastAsia" w:hAnsiTheme="minorEastAsia"/>
          <w:color w:val="auto"/>
          <w:sz w:val="24"/>
          <w:highlight w:val="none"/>
        </w:rPr>
        <w:t xml:space="preserve">备注: </w:t>
      </w:r>
    </w:p>
    <w:p>
      <w:pPr>
        <w:spacing w:line="360" w:lineRule="auto"/>
        <w:ind w:firstLine="360" w:firstLineChars="150"/>
        <w:rPr>
          <w:rFonts w:asciiTheme="minorEastAsia" w:hAnsiTheme="minorEastAsia"/>
          <w:color w:val="auto"/>
          <w:sz w:val="24"/>
          <w:highlight w:val="none"/>
        </w:rPr>
      </w:pPr>
      <w:r>
        <w:rPr>
          <w:rFonts w:hint="eastAsia" w:asciiTheme="minorEastAsia" w:hAnsiTheme="minorEastAsia"/>
          <w:color w:val="auto"/>
          <w:sz w:val="24"/>
          <w:highlight w:val="none"/>
        </w:rPr>
        <w:t>1、不含广州市增城区不动产测绘服务中心测绘成果审核工作日；</w:t>
      </w:r>
    </w:p>
    <w:p>
      <w:pPr>
        <w:spacing w:line="360" w:lineRule="auto"/>
        <w:ind w:firstLine="360" w:firstLineChars="150"/>
        <w:rPr>
          <w:rFonts w:asciiTheme="minorEastAsia" w:hAnsiTheme="minorEastAsia"/>
          <w:color w:val="auto"/>
          <w:sz w:val="24"/>
          <w:highlight w:val="none"/>
        </w:rPr>
      </w:pPr>
      <w:r>
        <w:rPr>
          <w:rFonts w:hint="eastAsia" w:asciiTheme="minorEastAsia" w:hAnsiTheme="minorEastAsia"/>
          <w:color w:val="auto"/>
          <w:sz w:val="24"/>
          <w:highlight w:val="none"/>
        </w:rPr>
        <w:t>2、工期计算从甲方书面通知乙方进场，场地及资料符合行政主管部门要求且建设单位提供《建设工程规划许可证》及报建图（预测）；《建设工程规划验收合格证》或《建设工程规划条件核实意见书》及竣工图（实测）之日开始计算。</w:t>
      </w:r>
    </w:p>
    <w:p>
      <w:pPr>
        <w:spacing w:line="360" w:lineRule="auto"/>
        <w:ind w:firstLine="480" w:firstLineChars="200"/>
        <w:outlineLvl w:val="2"/>
        <w:rPr>
          <w:rFonts w:asciiTheme="minorEastAsia" w:hAnsiTheme="minorEastAsia"/>
          <w:color w:val="auto"/>
          <w:sz w:val="24"/>
          <w:highlight w:val="none"/>
        </w:rPr>
      </w:pPr>
      <w:r>
        <w:rPr>
          <w:rFonts w:hint="eastAsia" w:cs="宋体" w:asciiTheme="minorEastAsia" w:hAnsiTheme="minorEastAsia"/>
          <w:color w:val="auto"/>
          <w:sz w:val="24"/>
          <w:highlight w:val="none"/>
        </w:rPr>
        <w:t>（4）其他单项测绘工期：从甲方书面通知乙方开始</w:t>
      </w:r>
      <w:r>
        <w:rPr>
          <w:rFonts w:hint="eastAsia" w:cs="宋体" w:asciiTheme="minorEastAsia" w:hAnsiTheme="minorEastAsia"/>
          <w:color w:val="auto"/>
          <w:sz w:val="24"/>
          <w:highlight w:val="none"/>
          <w:u w:val="single"/>
        </w:rPr>
        <w:t>30</w:t>
      </w:r>
      <w:r>
        <w:rPr>
          <w:rFonts w:hint="eastAsia" w:cs="宋体" w:asciiTheme="minorEastAsia" w:hAnsiTheme="minorEastAsia"/>
          <w:color w:val="auto"/>
          <w:sz w:val="24"/>
          <w:highlight w:val="none"/>
        </w:rPr>
        <w:t>个日历天内完成。</w:t>
      </w:r>
    </w:p>
    <w:p>
      <w:pPr>
        <w:spacing w:line="360" w:lineRule="auto"/>
        <w:ind w:firstLine="480" w:firstLineChars="200"/>
        <w:outlineLvl w:val="2"/>
        <w:rPr>
          <w:rFonts w:cs="宋体" w:asciiTheme="minorEastAsia" w:hAnsiTheme="minorEastAsia"/>
          <w:color w:val="auto"/>
          <w:sz w:val="24"/>
          <w:highlight w:val="none"/>
        </w:rPr>
      </w:pPr>
      <w:r>
        <w:rPr>
          <w:rFonts w:hint="eastAsia" w:cs="宋体" w:asciiTheme="minorEastAsia" w:hAnsiTheme="minorEastAsia"/>
          <w:color w:val="auto"/>
          <w:sz w:val="24"/>
          <w:highlight w:val="none"/>
        </w:rPr>
        <w:t>（5）施工过程中，如因甲方原因或其他甲、乙双方不可抗拒的因素造成工期延误的，乙方应在三天内向甲方、监理（如有）提出书面工期顺延，经甲方书面授权的代表签字确认并加盖公章后，工期可作相应顺延；如乙方未按时提出顺延工期申请，则视为乙方放弃工期顺延的权利</w:t>
      </w:r>
      <w:r>
        <w:rPr>
          <w:rFonts w:cs="仿宋" w:asciiTheme="minorEastAsia" w:hAnsiTheme="minorEastAsia"/>
          <w:color w:val="auto"/>
          <w:sz w:val="24"/>
          <w:highlight w:val="none"/>
        </w:rPr>
        <w:t>。</w:t>
      </w:r>
    </w:p>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第八条  测绘费用及支付时间、方式</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（一）测绘费用</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合同服务期内，单项测绘工程的测绘费用按照甲乙双方确认的实际工程量乘以</w:t>
      </w:r>
      <w:r>
        <w:rPr>
          <w:rFonts w:hint="eastAsia" w:asciiTheme="minorEastAsia" w:hAnsiTheme="minorEastAsia"/>
          <w:bCs/>
          <w:color w:val="auto"/>
          <w:sz w:val="24"/>
          <w:highlight w:val="none"/>
          <w:lang w:val="en-US" w:eastAsia="zh-CN"/>
        </w:rPr>
        <w:t>乙方中标</w:t>
      </w:r>
      <w:r>
        <w:rPr>
          <w:rFonts w:hint="eastAsia" w:asciiTheme="minorEastAsia" w:hAnsiTheme="minorEastAsia"/>
          <w:bCs/>
          <w:color w:val="auto"/>
          <w:sz w:val="24"/>
          <w:highlight w:val="none"/>
        </w:rPr>
        <w:t>综合单价进行结算。综合单价已包含了乙方开展本合同项下的技术服务工作所需的测量费、劳务费、材料费、仪器工具使用费、进退场费、资料费、印刷出版费、图纸打印费、差旅交通费、参加相关验收的费用、技术费用、利润、规费、税金、承包风险、不可预见费等所有费用。</w:t>
      </w:r>
      <w:r>
        <w:rPr>
          <w:rFonts w:hint="eastAsia" w:asciiTheme="minorEastAsia" w:hAnsiTheme="minorEastAsia"/>
          <w:color w:val="auto"/>
          <w:sz w:val="24"/>
          <w:highlight w:val="none"/>
        </w:rPr>
        <w:t>在本合同执行过程中综合单价不发生任何调整。</w:t>
      </w:r>
      <w:r>
        <w:rPr>
          <w:rFonts w:hint="eastAsia" w:asciiTheme="minorEastAsia" w:hAnsiTheme="minorEastAsia"/>
          <w:bCs/>
          <w:color w:val="auto"/>
          <w:sz w:val="24"/>
          <w:highlight w:val="none"/>
        </w:rPr>
        <w:t>最终甲方审定的合同结算价，不得超过本合同暂定总价。</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（二）支付时间、方式</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进度款：按季度付款，服务期内每季度末甲、乙方核对上季度测绘的实际工程总量，根据双方确定的实际工程量计算上季度测绘费用，乙方应在双方核对完成工程量后的10日内提交符合甲方要求的请款资料及等额、合法、有效的增值税专用发票，甲方在收到乙方符合要求的请款资料后30日内支汇上一季度测绘服务费用到乙方指定收款账户。</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结算款：甲乙双方办理完结算且甲方收到等额、合法、有效的增值税专用发票后30日内支付。</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满足合同约定的进度款付款节点时，乙方应提交请款资料【包括但不限于：请款函、成果资料、工程量确认单、合同关键页（合同封面页、合同总价页、付款条件页）及满足合同要求的合法有效的增值税专用发票】。如乙方逾期提交前述资料或提交资料不符合要求的，则甲方有权顺延付款时间，且无需承担任何违约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（三）增值税专用发票开票要求</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在甲方每次付款之前，乙方应向甲方提交与实际支付金额相等金额的、合格有效的增值税专用发票。</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乙方未提交合格、有效的增值税专用发票的，甲方有权拒付款项并顺延付款时间，且不承担违约责任。因乙方发票问题（包括开错、假发票、未及时提交甲方），造成甲方增值税抵扣税额损失的，由乙方全额进行赔偿。</w:t>
      </w:r>
    </w:p>
    <w:p>
      <w:pPr>
        <w:numPr>
          <w:ilvl w:val="0"/>
          <w:numId w:val="1"/>
        </w:numPr>
        <w:autoSpaceDE w:val="0"/>
        <w:autoSpaceDN w:val="0"/>
        <w:adjustRightInd w:val="0"/>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甲方有权通过银行承兑汇票、商业承兑汇票或银行账户转账方式支付。甲方开票信息如下：</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9"/>
        <w:gridCol w:w="6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公司名称</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广州城祥投资发展有限公司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税号</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91440118MACF1XGR09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地址</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广州市增城区宁西街道九如村泥坑街三巷6-1号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电话</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020-66321320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开户银行</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中国建设银行股份有限公司增城荔乡支行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422" w:type="pct"/>
            <w:vAlign w:val="center"/>
          </w:tcPr>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银行账号</w:t>
            </w:r>
          </w:p>
        </w:tc>
        <w:tc>
          <w:tcPr>
            <w:tcW w:w="3578" w:type="pct"/>
            <w:vAlign w:val="center"/>
          </w:tcPr>
          <w:p>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44050154171100002044</w:t>
            </w:r>
          </w:p>
        </w:tc>
      </w:tr>
    </w:tbl>
    <w:p>
      <w:pPr>
        <w:numPr>
          <w:ilvl w:val="0"/>
          <w:numId w:val="1"/>
        </w:numPr>
        <w:autoSpaceDE w:val="0"/>
        <w:autoSpaceDN w:val="0"/>
        <w:adjustRightInd w:val="0"/>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 xml:space="preserve">乙方指定收款账户为：  </w:t>
      </w:r>
    </w:p>
    <w:p>
      <w:pPr>
        <w:spacing w:line="360" w:lineRule="auto"/>
        <w:ind w:firstLine="480" w:firstLineChars="200"/>
        <w:rPr>
          <w:rFonts w:asciiTheme="minorEastAsia" w:hAnsiTheme="minorEastAsia"/>
          <w:bCs/>
          <w:color w:val="auto"/>
          <w:sz w:val="24"/>
          <w:highlight w:val="none"/>
          <w:u w:val="single"/>
        </w:rPr>
      </w:pPr>
      <w:r>
        <w:rPr>
          <w:rFonts w:hint="eastAsia" w:asciiTheme="minorEastAsia" w:hAnsiTheme="minorEastAsia"/>
          <w:bCs/>
          <w:color w:val="auto"/>
          <w:sz w:val="24"/>
          <w:highlight w:val="none"/>
        </w:rPr>
        <w:t>账户名称：</w:t>
      </w:r>
      <w:r>
        <w:rPr>
          <w:rFonts w:hint="eastAsia" w:asciiTheme="minorEastAsia" w:hAnsiTheme="minorEastAsia"/>
          <w:bCs/>
          <w:color w:val="auto"/>
          <w:sz w:val="24"/>
          <w:highlight w:val="none"/>
          <w:u w:val="single"/>
        </w:rPr>
        <w:t xml:space="preserve">                             </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开户银行：</w:t>
      </w:r>
      <w:r>
        <w:rPr>
          <w:rFonts w:hint="eastAsia" w:asciiTheme="minorEastAsia" w:hAnsiTheme="minorEastAsia"/>
          <w:bCs/>
          <w:color w:val="auto"/>
          <w:sz w:val="24"/>
          <w:highlight w:val="none"/>
          <w:u w:val="single"/>
        </w:rPr>
        <w:t xml:space="preserve">                             </w:t>
      </w:r>
    </w:p>
    <w:p>
      <w:pPr>
        <w:spacing w:line="360" w:lineRule="auto"/>
        <w:ind w:firstLine="480" w:firstLineChars="200"/>
        <w:rPr>
          <w:rFonts w:asciiTheme="minorEastAsia" w:hAnsiTheme="minorEastAsia"/>
          <w:bCs/>
          <w:color w:val="auto"/>
          <w:sz w:val="24"/>
          <w:highlight w:val="none"/>
          <w:u w:val="single"/>
        </w:rPr>
      </w:pPr>
      <w:r>
        <w:rPr>
          <w:rFonts w:hint="eastAsia" w:asciiTheme="minorEastAsia" w:hAnsiTheme="minorEastAsia"/>
          <w:bCs/>
          <w:color w:val="auto"/>
          <w:sz w:val="24"/>
          <w:highlight w:val="none"/>
        </w:rPr>
        <w:t>银行账号：</w:t>
      </w:r>
      <w:r>
        <w:rPr>
          <w:rFonts w:hint="eastAsia" w:asciiTheme="minorEastAsia" w:hAnsiTheme="minorEastAsia"/>
          <w:bCs/>
          <w:color w:val="auto"/>
          <w:sz w:val="24"/>
          <w:highlight w:val="none"/>
          <w:u w:val="single"/>
        </w:rPr>
        <w:t xml:space="preserve">                             </w:t>
      </w:r>
    </w:p>
    <w:p>
      <w:pPr>
        <w:spacing w:line="360" w:lineRule="auto"/>
        <w:rPr>
          <w:rFonts w:asciiTheme="minorEastAsia" w:hAnsiTheme="minorEastAsia"/>
          <w:color w:val="auto"/>
          <w:sz w:val="24"/>
          <w:highlight w:val="none"/>
        </w:rPr>
      </w:pPr>
      <w:r>
        <w:rPr>
          <w:rFonts w:hint="eastAsia" w:asciiTheme="minorEastAsia" w:hAnsiTheme="minorEastAsia"/>
          <w:bCs/>
          <w:color w:val="auto"/>
          <w:sz w:val="24"/>
          <w:highlight w:val="none"/>
        </w:rPr>
        <w:t xml:space="preserve">    统一社会信用代码：</w:t>
      </w:r>
      <w:r>
        <w:rPr>
          <w:rFonts w:hint="eastAsia" w:asciiTheme="minorEastAsia" w:hAnsiTheme="minorEastAsia"/>
          <w:bCs/>
          <w:color w:val="auto"/>
          <w:sz w:val="24"/>
          <w:highlight w:val="none"/>
          <w:u w:val="single"/>
        </w:rPr>
        <w:t xml:space="preserve">                     </w:t>
      </w:r>
    </w:p>
    <w:p>
      <w:pPr>
        <w:pStyle w:val="11"/>
        <w:spacing w:beforeAutospacing="0" w:afterAutospacing="0" w:line="360" w:lineRule="auto"/>
        <w:ind w:firstLine="482" w:firstLineChars="200"/>
        <w:jc w:val="both"/>
        <w:rPr>
          <w:rStyle w:val="23"/>
          <w:rFonts w:hint="default" w:asciiTheme="minorEastAsia" w:hAnsiTheme="minorEastAsia" w:eastAsiaTheme="minorEastAsia"/>
          <w:color w:val="auto"/>
          <w:sz w:val="24"/>
          <w:szCs w:val="24"/>
          <w:highlight w:val="none"/>
        </w:rPr>
      </w:pPr>
      <w:r>
        <w:rPr>
          <w:rStyle w:val="23"/>
          <w:rFonts w:asciiTheme="minorEastAsia" w:hAnsiTheme="minorEastAsia" w:eastAsiaTheme="minorEastAsia"/>
          <w:color w:val="auto"/>
          <w:sz w:val="24"/>
          <w:szCs w:val="24"/>
          <w:highlight w:val="none"/>
        </w:rPr>
        <w:t>第九条  双方责任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1、甲方应协助乙方开展测绘项目的测绘工作，提供相关基础资料，并对所提供资料的真实性、合法性、准确性负责。</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2、甲方不得要求乙方违反国家、地方有关标准进行测绘工作。</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3、甲方应按本合同约定的时间向乙方支付测绘费。</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4、甲方负责对本项目实施过程中需要进行确认的文档或成果及时进行书面形式的确认。</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5、乙方应按本合同约定的测绘工程的办理时间向甲方交付测绘成果文件，并对成果资料的质量负责。因乙方原因造成测绘成果存在质量问题的，乙方应无条件负责修改，甲方不再向乙方追加支付任何费用，因此而造成甲方的损失由乙方承担相应的赔偿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6、乙方所提供的一切资料应通过合法途径获得，任何第三方不得对该资料主张权利，否则，乙方应承担相应的责任。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7、乙方应按国家规定和合同约定的技术规范、标准进行测绘，并对提交的测绘成果文件的质量负责，否则应负责无偿予以重新测绘，以达到质量要求。因此而造成甲方的损失由乙方承担相应的赔偿责任。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8、如本项目涉及其他未列在本合同内的测绘工作，乙方应在不影响项目进度的前提下，与甲方协商解决，增加的测绘项目单价参照《测绘工程产品价格》（国测财字[2002]3号）及《测绘生产成本费用定额》（财建[2009]17号）标准下浮20%并执行投标下浮率。</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9、乙方交付测绘成果文件后，负责对测绘成果进行解释。</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10、本合同签订10日内，乙方应制定安全文明施工的管理制度并交甲方，乙方的制度不得与甲方的制度相冲突；如甲方的制度（含在本合同履行期间甲方更新的制度，下同）对安全文明施工的管理要求更高，则乙方须按甲方的管理制度执行，反之则按乙方制度执行。无论按甲方、还是乙方的管理制度，在现场工作的乙方人员应亦应服从甲方的管理。</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11、本合同履行期间，因乙方原因导致乙方人员、甲方人员、任何第三方的人身安全事故或造成财产损失的，乙方应承担一切法律责任；如由此导致甲方损失的乙方应承担赔偿责任，甲方有权从应付未付乙方的款项中等额扣除。</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bCs/>
          <w:color w:val="auto"/>
          <w:sz w:val="24"/>
          <w:highlight w:val="none"/>
        </w:rPr>
        <w:t>12、乙方负责购买乙方人员（含临时工在内的所有参加项目建设的人员）的社会保险和人身意外伤害险、现场财产和设备的保险并自行承担费用，前述保险费用已包含在本合同价款内。否则，发生任何人身财物的损害赔偿，无论事故原因如何均由乙方承担全部责任。合同期间，乙方须自费加强现场的人员出入安全管理，保证非本项目的工作人员不得进入测量现场，否则无论是否属于乙方聘请人员，凡在乙方工作时间段中在场地范围内出现的伤、亡、失窃等安全事故均被视为是乙方疏于安全管理所致，乙方同意对此承担全部赔偿责任，由此导致甲方损失的，乙方应承担赔偿责任，相关赔偿费用甲方有权从乙方任意一期服务款中扣除。</w:t>
      </w:r>
    </w:p>
    <w:p>
      <w:pPr>
        <w:pStyle w:val="11"/>
        <w:spacing w:beforeAutospacing="0" w:afterAutospacing="0" w:line="360" w:lineRule="auto"/>
        <w:ind w:firstLine="482" w:firstLineChars="200"/>
        <w:jc w:val="both"/>
        <w:rPr>
          <w:rStyle w:val="23"/>
          <w:rFonts w:hint="default" w:asciiTheme="minorEastAsia" w:hAnsiTheme="minorEastAsia" w:eastAsiaTheme="minorEastAsia"/>
          <w:color w:val="auto"/>
          <w:sz w:val="24"/>
          <w:szCs w:val="24"/>
          <w:highlight w:val="none"/>
        </w:rPr>
      </w:pPr>
      <w:r>
        <w:rPr>
          <w:rStyle w:val="23"/>
          <w:rFonts w:asciiTheme="minorEastAsia" w:hAnsiTheme="minorEastAsia" w:eastAsiaTheme="minorEastAsia"/>
          <w:color w:val="auto"/>
          <w:sz w:val="24"/>
          <w:szCs w:val="24"/>
          <w:highlight w:val="none"/>
        </w:rPr>
        <w:t>第十条 违约责任</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1、乙方无正当理由逾期交付满足合同及甲方要求成果的，每逾期一天，应按合同总价的万分之二向甲方支付违约金。逾期超过15天的，甲方有权解除本合同，乙方应按照本合同暂定金额的20%向甲方支付违约金。</w:t>
      </w:r>
    </w:p>
    <w:p>
      <w:pPr>
        <w:spacing w:line="360" w:lineRule="auto"/>
        <w:ind w:right="105" w:rightChars="50" w:firstLine="453" w:firstLineChars="189"/>
        <w:rPr>
          <w:rFonts w:asciiTheme="minorEastAsia" w:hAnsiTheme="minorEastAsia"/>
          <w:bCs/>
          <w:color w:val="auto"/>
          <w:sz w:val="24"/>
          <w:highlight w:val="none"/>
        </w:rPr>
      </w:pPr>
      <w:r>
        <w:rPr>
          <w:rFonts w:hint="eastAsia" w:asciiTheme="minorEastAsia" w:hAnsiTheme="minorEastAsia"/>
          <w:bCs/>
          <w:color w:val="auto"/>
          <w:sz w:val="24"/>
          <w:highlight w:val="none"/>
        </w:rPr>
        <w:t>2、甲方无正当理由逾期支付的，以应付未付工程款为基数，按当期中国人民银行发布的同期活期存款利率计算违约金，违约金不超过合同总价的</w:t>
      </w:r>
      <w:r>
        <w:rPr>
          <w:rFonts w:asciiTheme="minorEastAsia" w:hAnsiTheme="minorEastAsia"/>
          <w:bCs/>
          <w:color w:val="auto"/>
          <w:sz w:val="24"/>
          <w:highlight w:val="none"/>
        </w:rPr>
        <w:t>3%</w:t>
      </w:r>
      <w:r>
        <w:rPr>
          <w:rFonts w:hint="eastAsia" w:asciiTheme="minorEastAsia" w:hAnsiTheme="minorEastAsia"/>
          <w:bCs/>
          <w:color w:val="auto"/>
          <w:sz w:val="24"/>
          <w:highlight w:val="none"/>
        </w:rPr>
        <w:t>。</w:t>
      </w:r>
    </w:p>
    <w:p>
      <w:pPr>
        <w:spacing w:line="360" w:lineRule="auto"/>
        <w:ind w:firstLine="480" w:firstLineChars="200"/>
        <w:rPr>
          <w:rFonts w:asciiTheme="minorEastAsia" w:hAnsiTheme="minorEastAsia"/>
          <w:bCs/>
          <w:color w:val="auto"/>
          <w:sz w:val="24"/>
          <w:highlight w:val="none"/>
        </w:rPr>
      </w:pPr>
      <w:r>
        <w:rPr>
          <w:rFonts w:asciiTheme="minorEastAsia" w:hAnsiTheme="minorEastAsia"/>
          <w:bCs/>
          <w:color w:val="auto"/>
          <w:sz w:val="24"/>
          <w:highlight w:val="none"/>
        </w:rPr>
        <w:t>3</w:t>
      </w:r>
      <w:r>
        <w:rPr>
          <w:rFonts w:hint="eastAsia" w:asciiTheme="minorEastAsia" w:hAnsiTheme="minorEastAsia"/>
          <w:bCs/>
          <w:color w:val="auto"/>
          <w:sz w:val="24"/>
          <w:highlight w:val="none"/>
        </w:rPr>
        <w:t>、乙方提交的测绘成果质量不符合要求和标准的，乙方应负责无偿予以重新测绘工期不予顺延，以达到质量要求，否则应赔偿因此给甲方造成的经济损失。</w:t>
      </w:r>
    </w:p>
    <w:p>
      <w:pPr>
        <w:spacing w:line="360" w:lineRule="auto"/>
        <w:ind w:firstLine="480" w:firstLineChars="200"/>
        <w:rPr>
          <w:rFonts w:asciiTheme="minorEastAsia" w:hAnsiTheme="minorEastAsia"/>
          <w:bCs/>
          <w:color w:val="auto"/>
          <w:sz w:val="24"/>
          <w:highlight w:val="none"/>
        </w:rPr>
      </w:pPr>
      <w:r>
        <w:rPr>
          <w:rFonts w:asciiTheme="minorEastAsia" w:hAnsiTheme="minorEastAsia"/>
          <w:bCs/>
          <w:color w:val="auto"/>
          <w:sz w:val="24"/>
          <w:highlight w:val="none"/>
        </w:rPr>
        <w:t>4</w:t>
      </w:r>
      <w:r>
        <w:rPr>
          <w:rFonts w:hint="eastAsia" w:asciiTheme="minorEastAsia" w:hAnsiTheme="minorEastAsia"/>
          <w:bCs/>
          <w:color w:val="auto"/>
          <w:sz w:val="24"/>
          <w:highlight w:val="none"/>
        </w:rPr>
        <w:t>、在合同履行过程中，乙方无正当理由要求终止或解除合同的，乙方应按照本合同暂定金额的20%向甲方支付违约金。</w:t>
      </w:r>
    </w:p>
    <w:p>
      <w:pPr>
        <w:spacing w:line="360" w:lineRule="auto"/>
        <w:ind w:firstLine="480" w:firstLineChars="200"/>
        <w:rPr>
          <w:rFonts w:asciiTheme="minorEastAsia" w:hAnsiTheme="minorEastAsia"/>
          <w:bCs/>
          <w:color w:val="auto"/>
          <w:sz w:val="24"/>
          <w:highlight w:val="none"/>
        </w:rPr>
      </w:pPr>
      <w:r>
        <w:rPr>
          <w:rFonts w:asciiTheme="minorEastAsia" w:hAnsiTheme="minorEastAsia"/>
          <w:bCs/>
          <w:color w:val="auto"/>
          <w:sz w:val="24"/>
          <w:highlight w:val="none"/>
        </w:rPr>
        <w:t>5</w:t>
      </w:r>
      <w:r>
        <w:rPr>
          <w:rFonts w:hint="eastAsia" w:asciiTheme="minorEastAsia" w:hAnsiTheme="minorEastAsia"/>
          <w:bCs/>
          <w:color w:val="auto"/>
          <w:sz w:val="24"/>
          <w:highlight w:val="none"/>
        </w:rPr>
        <w:t>、在合同履行过程中，甲方无正当理由要求终止或解除合同的，甲方应根据乙方已完成的实际工作量支付测绘费，并赔偿因此给乙方造成的经济损失。</w:t>
      </w:r>
    </w:p>
    <w:p>
      <w:pPr>
        <w:spacing w:line="360" w:lineRule="auto"/>
        <w:ind w:firstLine="480" w:firstLineChars="200"/>
        <w:rPr>
          <w:rFonts w:asciiTheme="minorEastAsia" w:hAnsiTheme="minorEastAsia"/>
          <w:bCs/>
          <w:color w:val="auto"/>
          <w:sz w:val="24"/>
          <w:highlight w:val="none"/>
        </w:rPr>
      </w:pPr>
      <w:r>
        <w:rPr>
          <w:rFonts w:asciiTheme="minorEastAsia" w:hAnsiTheme="minorEastAsia"/>
          <w:bCs/>
          <w:color w:val="auto"/>
          <w:sz w:val="24"/>
          <w:highlight w:val="none"/>
        </w:rPr>
        <w:t>6</w:t>
      </w:r>
      <w:r>
        <w:rPr>
          <w:rFonts w:hint="eastAsia" w:asciiTheme="minorEastAsia" w:hAnsiTheme="minorEastAsia"/>
          <w:bCs/>
          <w:color w:val="auto"/>
          <w:sz w:val="24"/>
          <w:highlight w:val="none"/>
        </w:rPr>
        <w:t>、任何一方违反本合同其他约定而承担的违约金或赔偿金不超过引发违约或赔偿事宜的测绘项目所对应的测绘费用。</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7、遇不可抗力致使合同全部或部分无法履行，任何一方不能视对方为违约，且应按实际情况协商结清测绘费用。</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7.1、不可抗力事件指合同当事人不能预见、不能避免、不能克服的客观情况，包括但不限于地震、水灾、雷击、雪灾等自然事件、战争、罢工、恐怖活动等社会事件。由于不可抗力因素致使合同无法履行时，双方应及时协商解决。</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7.2、如在项目实施期间，因政策变化、计划调整及其它不可抗力的自然及人为原因，造成本项目停建、缓建，则乙方必须接受甲方要求终止服务，并应积极配合甲方做好善后工作，按甲方确认的已发生有效工作量结算，并且不能要求额外费用及任何形式补偿。</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乙方因不可抗力不能履行合同的，应在不可抗力发生后24小时内书面通知甲方发包人，并应当在不可抗力发生后7日内提供证明。如由于不可抗力导致的工期延误，乙方需以书面形式向甲方提出延期申请，延期周期以甲方书面回复为准；如乙方未提出书面申请的，则视为乙方放弃顺延工期的请求。</w:t>
      </w:r>
    </w:p>
    <w:p>
      <w:pPr>
        <w:spacing w:line="360" w:lineRule="auto"/>
        <w:ind w:right="105" w:rightChars="50" w:firstLine="453" w:firstLineChars="189"/>
        <w:rPr>
          <w:rFonts w:asciiTheme="minorEastAsia" w:hAnsiTheme="minorEastAsia"/>
          <w:bCs/>
          <w:color w:val="auto"/>
          <w:sz w:val="24"/>
          <w:highlight w:val="none"/>
        </w:rPr>
      </w:pPr>
      <w:r>
        <w:rPr>
          <w:rFonts w:hint="eastAsia" w:asciiTheme="minorEastAsia" w:hAnsiTheme="minorEastAsia"/>
          <w:bCs/>
          <w:color w:val="auto"/>
          <w:sz w:val="24"/>
          <w:highlight w:val="none"/>
        </w:rPr>
        <w:t>8、乙方违反本合同约定的，甲方有权从应付测绘费用中直接扣除乙方须承担的赔偿金、违约金等。</w:t>
      </w:r>
    </w:p>
    <w:p>
      <w:pPr>
        <w:spacing w:line="360" w:lineRule="auto"/>
        <w:ind w:right="105" w:rightChars="50" w:firstLine="453" w:firstLineChars="189"/>
        <w:rPr>
          <w:rFonts w:asciiTheme="minorEastAsia" w:hAnsiTheme="minorEastAsia"/>
          <w:color w:val="auto"/>
          <w:sz w:val="24"/>
          <w:highlight w:val="none"/>
        </w:rPr>
      </w:pPr>
      <w:r>
        <w:rPr>
          <w:rFonts w:hint="eastAsia" w:asciiTheme="minorEastAsia" w:hAnsiTheme="minorEastAsia"/>
          <w:bCs/>
          <w:color w:val="auto"/>
          <w:sz w:val="24"/>
          <w:highlight w:val="none"/>
        </w:rPr>
        <w:t>9、因违约方违约，导致守约方为解决纠纷而产生的所有费用（包括但不限于律师费、诉讼费、诉讼担保费、保全费、执行费、公证费、鉴定费、差旅费等）均由违约方承担。</w:t>
      </w:r>
    </w:p>
    <w:p>
      <w:pPr>
        <w:pStyle w:val="11"/>
        <w:spacing w:beforeAutospacing="0" w:afterAutospacing="0" w:line="360" w:lineRule="auto"/>
        <w:ind w:firstLine="482" w:firstLineChars="200"/>
        <w:jc w:val="both"/>
        <w:rPr>
          <w:rStyle w:val="23"/>
          <w:rFonts w:hint="default" w:asciiTheme="minorEastAsia" w:hAnsiTheme="minorEastAsia" w:eastAsiaTheme="minorEastAsia"/>
          <w:color w:val="auto"/>
          <w:sz w:val="24"/>
          <w:szCs w:val="24"/>
          <w:highlight w:val="none"/>
        </w:rPr>
      </w:pPr>
      <w:r>
        <w:rPr>
          <w:rStyle w:val="23"/>
          <w:rFonts w:asciiTheme="minorEastAsia" w:hAnsiTheme="minorEastAsia" w:eastAsiaTheme="minorEastAsia"/>
          <w:color w:val="auto"/>
          <w:sz w:val="24"/>
          <w:szCs w:val="24"/>
          <w:highlight w:val="none"/>
        </w:rPr>
        <w:t>第十一条  保密条款</w:t>
      </w:r>
    </w:p>
    <w:p>
      <w:pPr>
        <w:spacing w:line="360" w:lineRule="auto"/>
        <w:ind w:right="105" w:rightChars="50" w:firstLine="453" w:firstLineChars="189"/>
        <w:rPr>
          <w:rFonts w:asciiTheme="minorEastAsia" w:hAnsiTheme="minorEastAsia"/>
          <w:bCs/>
          <w:color w:val="auto"/>
          <w:sz w:val="24"/>
          <w:highlight w:val="none"/>
        </w:rPr>
      </w:pPr>
      <w:r>
        <w:rPr>
          <w:rFonts w:hint="eastAsia" w:cs="宋体" w:asciiTheme="minorEastAsia" w:hAnsiTheme="minorEastAsia"/>
          <w:color w:val="auto"/>
          <w:sz w:val="24"/>
          <w:highlight w:val="none"/>
        </w:rPr>
        <w:t>1、</w:t>
      </w:r>
      <w:r>
        <w:rPr>
          <w:rFonts w:hint="eastAsia" w:asciiTheme="minorEastAsia" w:hAnsiTheme="minorEastAsia"/>
          <w:bCs/>
          <w:color w:val="auto"/>
          <w:sz w:val="24"/>
          <w:highlight w:val="none"/>
        </w:rPr>
        <w:t>双方均应保护对方的知识产权，未经对方同意，任何一方均不得对对方的资料及文件擅自修改、复制或向第三人转让或用于本合同项目外的项目。</w:t>
      </w:r>
    </w:p>
    <w:p>
      <w:pPr>
        <w:spacing w:line="360" w:lineRule="auto"/>
        <w:ind w:right="105" w:rightChars="50" w:firstLine="453" w:firstLineChars="189"/>
        <w:rPr>
          <w:rFonts w:cs="宋体" w:asciiTheme="minorEastAsia" w:hAnsiTheme="minorEastAsia"/>
          <w:color w:val="auto"/>
          <w:sz w:val="24"/>
          <w:highlight w:val="none"/>
        </w:rPr>
      </w:pPr>
      <w:r>
        <w:rPr>
          <w:rFonts w:hint="eastAsia" w:cs="宋体" w:asciiTheme="minorEastAsia" w:hAnsiTheme="minorEastAsia"/>
          <w:color w:val="auto"/>
          <w:sz w:val="24"/>
          <w:highlight w:val="none"/>
        </w:rPr>
        <w:t>2、乙方向甲方交付的测绘成果及相关成果文件、资料均归甲方所有，甲方有权根据经营管理需要使用，乙方应当对本合同项下的测绘成果及相关成果文件、资料采取有效保密措施，不得泄露给任何第三方，也不得用于除本合同内容以外的其他事宜。</w:t>
      </w:r>
    </w:p>
    <w:p>
      <w:pPr>
        <w:spacing w:line="360" w:lineRule="auto"/>
        <w:ind w:right="105" w:rightChars="50" w:firstLine="453" w:firstLineChars="189"/>
        <w:rPr>
          <w:rFonts w:cs="宋体" w:asciiTheme="minorEastAsia" w:hAnsiTheme="minorEastAsia"/>
          <w:color w:val="auto"/>
          <w:sz w:val="24"/>
          <w:highlight w:val="none"/>
        </w:rPr>
      </w:pPr>
      <w:r>
        <w:rPr>
          <w:rFonts w:hint="eastAsia" w:cs="宋体" w:asciiTheme="minorEastAsia" w:hAnsiTheme="minorEastAsia"/>
          <w:color w:val="auto"/>
          <w:sz w:val="24"/>
          <w:highlight w:val="none"/>
        </w:rPr>
        <w:t>3、对于属于乙方的测绘成果，甲方有义务保密，不得用于本合同以外的项目。</w:t>
      </w:r>
    </w:p>
    <w:p>
      <w:pPr>
        <w:spacing w:line="360" w:lineRule="auto"/>
        <w:ind w:right="105" w:rightChars="50" w:firstLine="453" w:firstLineChars="189"/>
        <w:rPr>
          <w:rFonts w:cs="宋体" w:asciiTheme="minorEastAsia" w:hAnsiTheme="minorEastAsia"/>
          <w:color w:val="auto"/>
          <w:sz w:val="24"/>
          <w:highlight w:val="none"/>
        </w:rPr>
      </w:pPr>
      <w:r>
        <w:rPr>
          <w:rFonts w:hint="eastAsia" w:cs="宋体" w:asciiTheme="minorEastAsia" w:hAnsiTheme="minorEastAsia"/>
          <w:color w:val="auto"/>
          <w:sz w:val="24"/>
          <w:highlight w:val="none"/>
        </w:rPr>
        <w:t>4、对于甲方提供的图纸等资料，乙方有义务保密，不得用于本合同以外的项目。</w:t>
      </w:r>
    </w:p>
    <w:p>
      <w:pPr>
        <w:spacing w:line="360" w:lineRule="auto"/>
        <w:ind w:right="105" w:rightChars="50" w:firstLine="453" w:firstLineChars="189"/>
        <w:rPr>
          <w:rFonts w:cs="宋体" w:asciiTheme="minorEastAsia" w:hAnsiTheme="minorEastAsia"/>
          <w:color w:val="auto"/>
          <w:sz w:val="24"/>
          <w:highlight w:val="none"/>
        </w:rPr>
      </w:pPr>
      <w:r>
        <w:rPr>
          <w:rFonts w:hint="eastAsia" w:cs="宋体" w:asciiTheme="minorEastAsia" w:hAnsiTheme="minorEastAsia"/>
          <w:color w:val="auto"/>
          <w:sz w:val="24"/>
          <w:highlight w:val="none"/>
        </w:rPr>
        <w:t>5、如发生以上情况，由泄密方承担一切由此引起的后果并承担赔偿责任。</w:t>
      </w:r>
    </w:p>
    <w:p>
      <w:pPr>
        <w:spacing w:line="360" w:lineRule="auto"/>
        <w:ind w:right="105" w:rightChars="50" w:firstLine="453" w:firstLineChars="189"/>
        <w:rPr>
          <w:rFonts w:cs="宋体" w:asciiTheme="minorEastAsia" w:hAnsiTheme="minorEastAsia"/>
          <w:color w:val="auto"/>
          <w:sz w:val="24"/>
          <w:highlight w:val="none"/>
        </w:rPr>
      </w:pPr>
      <w:r>
        <w:rPr>
          <w:rFonts w:hint="eastAsia" w:cs="宋体" w:asciiTheme="minorEastAsia" w:hAnsiTheme="minorEastAsia"/>
          <w:color w:val="auto"/>
          <w:sz w:val="24"/>
          <w:highlight w:val="none"/>
        </w:rPr>
        <w:t>6、本保密条款具有独立性，不受本合同的终止或解除的影响。</w:t>
      </w:r>
    </w:p>
    <w:p>
      <w:pPr>
        <w:pStyle w:val="11"/>
        <w:spacing w:beforeAutospacing="0" w:afterAutospacing="0" w:line="360" w:lineRule="auto"/>
        <w:ind w:firstLine="482" w:firstLineChars="200"/>
        <w:jc w:val="both"/>
        <w:rPr>
          <w:rStyle w:val="23"/>
          <w:rFonts w:hint="default" w:asciiTheme="minorEastAsia" w:hAnsiTheme="minorEastAsia" w:eastAsiaTheme="minorEastAsia"/>
          <w:color w:val="auto"/>
          <w:sz w:val="24"/>
          <w:szCs w:val="24"/>
          <w:highlight w:val="none"/>
        </w:rPr>
      </w:pPr>
      <w:r>
        <w:rPr>
          <w:rStyle w:val="23"/>
          <w:rFonts w:asciiTheme="minorEastAsia" w:hAnsiTheme="minorEastAsia" w:eastAsiaTheme="minorEastAsia"/>
          <w:color w:val="auto"/>
          <w:sz w:val="24"/>
          <w:szCs w:val="24"/>
          <w:highlight w:val="none"/>
        </w:rPr>
        <w:t>第十二条 争议解决方式</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本合同在履行过程中发生争议，甲乙双方应及时协商解决；协商不成时甲乙双方均可向甲方所在地有管辖权的人民法院提起诉讼。</w:t>
      </w:r>
    </w:p>
    <w:p>
      <w:pPr>
        <w:pStyle w:val="11"/>
        <w:numPr>
          <w:ilvl w:val="0"/>
          <w:numId w:val="2"/>
        </w:numPr>
        <w:autoSpaceDE/>
        <w:autoSpaceDN/>
        <w:adjustRightInd/>
        <w:spacing w:before="100" w:after="100" w:line="360" w:lineRule="auto"/>
        <w:ind w:right="105" w:rightChars="50" w:firstLine="482" w:firstLineChars="200"/>
        <w:rPr>
          <w:rStyle w:val="23"/>
          <w:rFonts w:hint="default" w:asciiTheme="minorEastAsia" w:hAnsiTheme="minorEastAsia" w:eastAsiaTheme="minorEastAsia"/>
          <w:color w:val="auto"/>
          <w:sz w:val="24"/>
          <w:szCs w:val="24"/>
          <w:highlight w:val="none"/>
        </w:rPr>
      </w:pPr>
      <w:r>
        <w:rPr>
          <w:rStyle w:val="23"/>
          <w:rFonts w:asciiTheme="minorEastAsia" w:hAnsiTheme="minorEastAsia" w:eastAsiaTheme="minorEastAsia"/>
          <w:color w:val="auto"/>
          <w:sz w:val="24"/>
          <w:szCs w:val="24"/>
          <w:highlight w:val="none"/>
        </w:rPr>
        <w:t>通知与送达</w:t>
      </w:r>
    </w:p>
    <w:p>
      <w:pPr>
        <w:pStyle w:val="11"/>
        <w:spacing w:beforeAutospacing="0" w:afterAutospacing="0" w:line="360" w:lineRule="auto"/>
        <w:ind w:firstLine="480" w:firstLineChars="200"/>
        <w:rPr>
          <w:rFonts w:hint="default"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1、本协议项下的任何通知或其它正式通讯件应以书面作出。该等通知应按照本协议首部所列通讯信息以专人递交或特快专递送达。以专人递交或特快专递等方式发出的通知应视为已于下列有效送达：</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1.1若为专人递交，于接收方联系人签署接收时；</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1.2若为特快专递递交，则以该特快专递官方途径查询的送达信息为准。</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2、任何一方变更通讯信息的，应以书面方式通知另一方，否则该等变更不生效。</w:t>
      </w:r>
    </w:p>
    <w:p>
      <w:pPr>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各方同意，将在本合同中填写的联系地址作为争议解决时人民法院和/或仲裁机构的法律文书送达地址。人民法院和/或仲裁机构的法律文书（包括不限于开庭传票、应诉通知书、举证通知书、起诉状副本、当事人地址送达确认书、送达回执、廉政监督卡、民事裁定书、民事决定书、民事判决书、民事调解书等诉讼/仲裁过程中的一切法律文书。）向任何一方的上述联系地址送达的，均视为有效送达，发生法律上规定的法律文书送达效果。</w:t>
      </w:r>
    </w:p>
    <w:p>
      <w:pPr>
        <w:spacing w:line="360" w:lineRule="auto"/>
        <w:ind w:firstLine="482" w:firstLineChars="200"/>
        <w:rPr>
          <w:rStyle w:val="23"/>
          <w:rFonts w:asciiTheme="minorEastAsia" w:hAnsiTheme="minorEastAsia" w:eastAsiaTheme="minorEastAsia"/>
          <w:color w:val="auto"/>
          <w:sz w:val="24"/>
          <w:szCs w:val="24"/>
          <w:highlight w:val="none"/>
        </w:rPr>
      </w:pPr>
      <w:r>
        <w:rPr>
          <w:rStyle w:val="23"/>
          <w:rFonts w:hint="eastAsia" w:asciiTheme="minorEastAsia" w:hAnsiTheme="minorEastAsia" w:eastAsiaTheme="minorEastAsia"/>
          <w:color w:val="auto"/>
          <w:sz w:val="24"/>
          <w:szCs w:val="24"/>
          <w:highlight w:val="none"/>
        </w:rPr>
        <w:t>第十四条 合同生效及其他</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1、本合同自双方法定代表人或委托代理人签字并盖章后即生效，一式</w:t>
      </w:r>
      <w:r>
        <w:rPr>
          <w:rFonts w:hint="eastAsia" w:asciiTheme="minorEastAsia" w:hAnsiTheme="minorEastAsia"/>
          <w:bCs/>
          <w:color w:val="auto"/>
          <w:sz w:val="24"/>
          <w:highlight w:val="none"/>
          <w:u w:val="single"/>
        </w:rPr>
        <w:t xml:space="preserve"> 陆 </w:t>
      </w:r>
      <w:r>
        <w:rPr>
          <w:rFonts w:hint="eastAsia" w:asciiTheme="minorEastAsia" w:hAnsiTheme="minorEastAsia"/>
          <w:bCs/>
          <w:color w:val="auto"/>
          <w:sz w:val="24"/>
          <w:highlight w:val="none"/>
        </w:rPr>
        <w:t>份，甲、乙双方各执</w:t>
      </w:r>
      <w:r>
        <w:rPr>
          <w:rFonts w:hint="eastAsia" w:asciiTheme="minorEastAsia" w:hAnsiTheme="minorEastAsia"/>
          <w:bCs/>
          <w:color w:val="auto"/>
          <w:sz w:val="24"/>
          <w:highlight w:val="none"/>
          <w:u w:val="single"/>
        </w:rPr>
        <w:t xml:space="preserve"> 叁 </w:t>
      </w:r>
      <w:r>
        <w:rPr>
          <w:rFonts w:hint="eastAsia" w:asciiTheme="minorEastAsia" w:hAnsiTheme="minorEastAsia"/>
          <w:bCs/>
          <w:color w:val="auto"/>
          <w:sz w:val="24"/>
          <w:highlight w:val="none"/>
        </w:rPr>
        <w:t>份，具有同等的法律效力。</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2、本合同执行过程中的未尽事宜，双方应本着实事求是、友好协商的态度加以解决。双方协商一致的，可签订补充协议，补充协议与本合同具有同等效力。</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3、乙方确认在本合同签署前乙方已对甲方工地实际状况进行了考察，了解并知悉施工现场的各种状况及存在问题，并确认甲方在签署本合同前就本合同含义向乙方作了详尽的解释和说明，乙方愿意接受本合同的约束。</w:t>
      </w:r>
    </w:p>
    <w:p>
      <w:pPr>
        <w:pStyle w:val="6"/>
        <w:spacing w:line="360" w:lineRule="auto"/>
        <w:ind w:left="0" w:leftChars="0"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4、双方确定，在本合同有效期内，甲方指定为</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（联系方式</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 甲方项目联系人，乙方指定</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（联系方式</w:t>
      </w:r>
      <w:r>
        <w:rPr>
          <w:rFonts w:hint="eastAsia" w:asciiTheme="minorEastAsia" w:hAnsiTheme="minorEastAsia" w:eastAsiaTheme="minorEastAsia"/>
          <w:bCs/>
          <w:color w:val="auto"/>
          <w:sz w:val="24"/>
          <w:szCs w:val="24"/>
          <w:highlight w:val="none"/>
          <w:u w:val="single"/>
        </w:rPr>
        <w:t xml:space="preserve">   </w:t>
      </w:r>
      <w:r>
        <w:rPr>
          <w:rFonts w:hint="eastAsia" w:asciiTheme="minorEastAsia" w:hAnsiTheme="minorEastAsia" w:eastAsiaTheme="minorEastAsia"/>
          <w:bCs/>
          <w:color w:val="auto"/>
          <w:sz w:val="24"/>
          <w:szCs w:val="24"/>
          <w:highlight w:val="none"/>
        </w:rPr>
        <w:t>）为乙方项目负责人。项目联系人/负责人承担以下责任:</w:t>
      </w:r>
    </w:p>
    <w:p>
      <w:pPr>
        <w:pStyle w:val="6"/>
        <w:spacing w:line="360" w:lineRule="auto"/>
        <w:ind w:left="0" w:leftChars="0"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(1)负责双方联系工作；</w:t>
      </w:r>
    </w:p>
    <w:p>
      <w:pPr>
        <w:pStyle w:val="6"/>
        <w:spacing w:line="360" w:lineRule="auto"/>
        <w:ind w:left="0" w:leftChars="0"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(2)负责双方协调工作；</w:t>
      </w:r>
    </w:p>
    <w:p>
      <w:pPr>
        <w:pStyle w:val="6"/>
        <w:spacing w:line="360" w:lineRule="auto"/>
        <w:ind w:left="0" w:leftChars="0"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(3)甲乙双方就对本项目各自工作人员具有调配能力；</w:t>
      </w:r>
    </w:p>
    <w:p>
      <w:pPr>
        <w:pStyle w:val="6"/>
        <w:spacing w:line="360" w:lineRule="auto"/>
        <w:ind w:left="0" w:leftChars="0" w:firstLine="480" w:firstLineChars="200"/>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(4)负责双方工作进度确认；</w:t>
      </w:r>
    </w:p>
    <w:p>
      <w:pPr>
        <w:pStyle w:val="6"/>
        <w:spacing w:line="360" w:lineRule="auto"/>
        <w:ind w:left="0" w:leftChars="0" w:firstLine="480" w:firstLineChars="200"/>
        <w:jc w:val="both"/>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(5)负责成果签收确认。</w:t>
      </w:r>
    </w:p>
    <w:p>
      <w:pPr>
        <w:spacing w:line="360" w:lineRule="auto"/>
        <w:ind w:firstLine="480" w:firstLineChars="200"/>
        <w:rPr>
          <w:rFonts w:asciiTheme="minorEastAsia" w:hAnsiTheme="minorEastAsia"/>
          <w:bCs/>
          <w:color w:val="auto"/>
          <w:sz w:val="24"/>
          <w:highlight w:val="none"/>
        </w:rPr>
      </w:pPr>
      <w:r>
        <w:rPr>
          <w:rFonts w:hint="eastAsia" w:asciiTheme="minorEastAsia" w:hAnsiTheme="minorEastAsia"/>
          <w:bCs/>
          <w:color w:val="auto"/>
          <w:sz w:val="24"/>
          <w:highlight w:val="none"/>
        </w:rPr>
        <w:t>5、双方约定本合同其他相关事项为：因政策原因、不可抗力等因素造成本项目无法继续进行的，甲方应按乙方已完成的实际工作量，向乙方支付费用，乙方将已完成的阶段性成果交给甲方，双方解除本合同。</w:t>
      </w:r>
    </w:p>
    <w:p>
      <w:pPr>
        <w:pStyle w:val="7"/>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附件1：</w:t>
      </w:r>
      <w:r>
        <w:rPr>
          <w:rFonts w:hint="eastAsia" w:asciiTheme="minorEastAsia" w:hAnsiTheme="minorEastAsia" w:eastAsiaTheme="minorEastAsia"/>
          <w:bCs/>
          <w:color w:val="auto"/>
          <w:sz w:val="24"/>
          <w:szCs w:val="24"/>
          <w:highlight w:val="none"/>
        </w:rPr>
        <w:t>工程量清单（暂定）</w:t>
      </w:r>
    </w:p>
    <w:p>
      <w:pPr>
        <w:widowControl/>
        <w:spacing w:line="360" w:lineRule="auto"/>
        <w:ind w:firstLine="480" w:firstLineChars="200"/>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附件2：廉洁协议</w:t>
      </w:r>
    </w:p>
    <w:p>
      <w:pPr>
        <w:pStyle w:val="7"/>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附件3：拟投入本项目机构人员一览表</w:t>
      </w:r>
    </w:p>
    <w:p>
      <w:pPr>
        <w:pStyle w:val="7"/>
        <w:spacing w:line="360" w:lineRule="auto"/>
        <w:rPr>
          <w:rFonts w:asciiTheme="minorEastAsia" w:hAnsiTheme="minorEastAsia" w:eastAsiaTheme="minorEastAsia"/>
          <w:color w:val="auto"/>
          <w:sz w:val="24"/>
          <w:szCs w:val="24"/>
          <w:highlight w:val="none"/>
        </w:rPr>
      </w:pPr>
    </w:p>
    <w:p>
      <w:pPr>
        <w:spacing w:line="360" w:lineRule="auto"/>
        <w:rPr>
          <w:rFonts w:asciiTheme="minorEastAsia" w:hAnsiTheme="minorEastAsia"/>
          <w:bCs/>
          <w:color w:val="auto"/>
          <w:sz w:val="24"/>
          <w:highlight w:val="none"/>
        </w:rPr>
      </w:pPr>
      <w:r>
        <w:rPr>
          <w:rFonts w:hint="eastAsia" w:asciiTheme="minorEastAsia" w:hAnsiTheme="minorEastAsia"/>
          <w:bCs/>
          <w:color w:val="auto"/>
          <w:sz w:val="24"/>
          <w:highlight w:val="none"/>
        </w:rPr>
        <w:br w:type="page"/>
      </w:r>
    </w:p>
    <w:p>
      <w:pPr>
        <w:spacing w:line="360" w:lineRule="auto"/>
        <w:ind w:firstLine="480" w:firstLineChars="200"/>
        <w:rPr>
          <w:rFonts w:cs="宋体" w:asciiTheme="minorEastAsia" w:hAnsiTheme="minorEastAsia"/>
          <w:color w:val="auto"/>
          <w:sz w:val="24"/>
          <w:highlight w:val="none"/>
        </w:rPr>
      </w:pPr>
      <w:r>
        <w:rPr>
          <w:rFonts w:hint="eastAsia" w:asciiTheme="minorEastAsia" w:hAnsiTheme="minorEastAsia"/>
          <w:bCs/>
          <w:color w:val="auto"/>
          <w:sz w:val="24"/>
          <w:highlight w:val="none"/>
        </w:rPr>
        <w:t>（签署页，无正文）</w:t>
      </w:r>
    </w:p>
    <w:p>
      <w:pPr>
        <w:pStyle w:val="5"/>
        <w:spacing w:line="360" w:lineRule="auto"/>
        <w:rPr>
          <w:rFonts w:asciiTheme="minorEastAsia" w:hAnsiTheme="minorEastAsia" w:eastAsiaTheme="minorEastAsia"/>
          <w:color w:val="auto"/>
          <w:sz w:val="24"/>
          <w:szCs w:val="24"/>
          <w:highlight w:val="none"/>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44" w:type="dxa"/>
            <w:tcBorders>
              <w:tl2br w:val="nil"/>
              <w:tr2bl w:val="nil"/>
            </w:tcBorders>
            <w:vAlign w:val="center"/>
          </w:tcPr>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甲方：</w:t>
            </w:r>
          </w:p>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（盖章）</w:t>
            </w:r>
          </w:p>
        </w:tc>
        <w:tc>
          <w:tcPr>
            <w:tcW w:w="4644" w:type="dxa"/>
            <w:tcBorders>
              <w:tl2br w:val="nil"/>
              <w:tr2bl w:val="nil"/>
            </w:tcBorders>
            <w:vAlign w:val="center"/>
          </w:tcPr>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乙方：</w:t>
            </w:r>
          </w:p>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法定代表人：</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委托代理人：</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电    话：</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传    真：</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传    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开户银行：</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账    号：</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账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邮政编码：</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地    址：</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地    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电子邮箱：</w:t>
            </w:r>
          </w:p>
        </w:tc>
        <w:tc>
          <w:tcPr>
            <w:tcW w:w="4644" w:type="dxa"/>
            <w:tcBorders>
              <w:tl2br w:val="nil"/>
              <w:tr2bl w:val="nil"/>
            </w:tcBorders>
            <w:vAlign w:val="center"/>
          </w:tcPr>
          <w:p>
            <w:pPr>
              <w:spacing w:line="360" w:lineRule="auto"/>
              <w:rPr>
                <w:rFonts w:asciiTheme="minorEastAsia" w:hAnsiTheme="minorEastAsia"/>
                <w:color w:val="auto"/>
                <w:sz w:val="24"/>
                <w:highlight w:val="none"/>
              </w:rPr>
            </w:pPr>
            <w:r>
              <w:rPr>
                <w:rFonts w:hint="eastAsia" w:cs="仿宋" w:asciiTheme="minorEastAsia" w:hAnsiTheme="minorEastAsia"/>
                <w:color w:val="auto"/>
                <w:sz w:val="24"/>
                <w:highlight w:val="none"/>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288" w:type="dxa"/>
            <w:gridSpan w:val="2"/>
            <w:tcBorders>
              <w:tl2br w:val="nil"/>
              <w:tr2bl w:val="nil"/>
            </w:tcBorders>
            <w:vAlign w:val="center"/>
          </w:tcPr>
          <w:p>
            <w:pPr>
              <w:spacing w:line="360" w:lineRule="auto"/>
              <w:jc w:val="center"/>
              <w:rPr>
                <w:rFonts w:asciiTheme="minorEastAsia" w:hAnsiTheme="minorEastAsia"/>
                <w:color w:val="auto"/>
                <w:sz w:val="24"/>
                <w:highlight w:val="none"/>
              </w:rPr>
            </w:pPr>
            <w:r>
              <w:rPr>
                <w:rFonts w:hint="eastAsia" w:cs="仿宋" w:asciiTheme="minorEastAsia" w:hAnsiTheme="minorEastAsia"/>
                <w:color w:val="auto"/>
                <w:sz w:val="24"/>
                <w:highlight w:val="none"/>
              </w:rPr>
              <w:t>签订日期：   年    月    日</w:t>
            </w:r>
          </w:p>
        </w:tc>
      </w:tr>
    </w:tbl>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pPr>
    </w:p>
    <w:p>
      <w:pPr>
        <w:pStyle w:val="7"/>
        <w:spacing w:line="360" w:lineRule="auto"/>
        <w:rPr>
          <w:rFonts w:cs="宋体" w:asciiTheme="minorEastAsia" w:hAnsiTheme="minorEastAsia" w:eastAsiaTheme="minorEastAsia"/>
          <w:color w:val="auto"/>
          <w:sz w:val="24"/>
          <w:szCs w:val="24"/>
          <w:highlight w:val="none"/>
        </w:rPr>
        <w:sectPr>
          <w:pgSz w:w="12240" w:h="15840"/>
          <w:pgMar w:top="1440" w:right="1800" w:bottom="1440" w:left="1800" w:header="720" w:footer="720" w:gutter="0"/>
          <w:cols w:space="425" w:num="1"/>
          <w:docGrid w:type="lines" w:linePitch="312" w:charSpace="0"/>
        </w:sectPr>
      </w:pPr>
    </w:p>
    <w:p>
      <w:pPr>
        <w:pStyle w:val="7"/>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附件1：</w:t>
      </w:r>
      <w:r>
        <w:rPr>
          <w:rFonts w:hint="eastAsia" w:asciiTheme="minorEastAsia" w:hAnsiTheme="minorEastAsia" w:eastAsiaTheme="minorEastAsia"/>
          <w:bCs/>
          <w:color w:val="auto"/>
          <w:sz w:val="24"/>
          <w:szCs w:val="24"/>
          <w:highlight w:val="none"/>
        </w:rPr>
        <w:t>工程量清单（暂定）</w:t>
      </w:r>
    </w:p>
    <w:tbl>
      <w:tblPr>
        <w:tblStyle w:val="13"/>
        <w:tblW w:w="13352" w:type="dxa"/>
        <w:tblInd w:w="93" w:type="dxa"/>
        <w:tblLayout w:type="fixed"/>
        <w:tblCellMar>
          <w:top w:w="0" w:type="dxa"/>
          <w:left w:w="108" w:type="dxa"/>
          <w:bottom w:w="0" w:type="dxa"/>
          <w:right w:w="108" w:type="dxa"/>
        </w:tblCellMar>
      </w:tblPr>
      <w:tblGrid>
        <w:gridCol w:w="696"/>
        <w:gridCol w:w="885"/>
        <w:gridCol w:w="1080"/>
        <w:gridCol w:w="992"/>
        <w:gridCol w:w="969"/>
        <w:gridCol w:w="1185"/>
        <w:gridCol w:w="705"/>
        <w:gridCol w:w="765"/>
        <w:gridCol w:w="960"/>
        <w:gridCol w:w="1365"/>
        <w:gridCol w:w="2850"/>
        <w:gridCol w:w="900"/>
      </w:tblGrid>
      <w:tr>
        <w:tblPrEx>
          <w:tblCellMar>
            <w:top w:w="0" w:type="dxa"/>
            <w:left w:w="108" w:type="dxa"/>
            <w:bottom w:w="0" w:type="dxa"/>
            <w:right w:w="108" w:type="dxa"/>
          </w:tblCellMar>
        </w:tblPrEx>
        <w:trPr>
          <w:trHeight w:val="405" w:hRule="atLeast"/>
        </w:trPr>
        <w:tc>
          <w:tcPr>
            <w:tcW w:w="13352" w:type="dxa"/>
            <w:gridSpan w:val="12"/>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增城开发区宁西家园项目联合测绘服务工程量清单（暂定）</w:t>
            </w:r>
          </w:p>
        </w:tc>
      </w:tr>
      <w:tr>
        <w:tblPrEx>
          <w:tblCellMar>
            <w:top w:w="0" w:type="dxa"/>
            <w:left w:w="108" w:type="dxa"/>
            <w:bottom w:w="0" w:type="dxa"/>
            <w:right w:w="108" w:type="dxa"/>
          </w:tblCellMar>
        </w:tblPrEx>
        <w:trPr>
          <w:trHeight w:val="14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序号</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困难</w:t>
            </w:r>
            <w:r>
              <w:rPr>
                <w:rFonts w:hint="eastAsia" w:ascii="宋体" w:hAnsi="宋体" w:eastAsia="宋体" w:cs="宋体"/>
                <w:b/>
                <w:bCs/>
                <w:color w:val="auto"/>
                <w:kern w:val="0"/>
                <w:sz w:val="24"/>
                <w:highlight w:val="none"/>
                <w:lang w:bidi="ar"/>
              </w:rPr>
              <w:br w:type="textWrapping"/>
            </w:r>
            <w:r>
              <w:rPr>
                <w:rFonts w:hint="eastAsia" w:ascii="宋体" w:hAnsi="宋体" w:eastAsia="宋体" w:cs="宋体"/>
                <w:b/>
                <w:bCs/>
                <w:color w:val="auto"/>
                <w:kern w:val="0"/>
                <w:sz w:val="24"/>
                <w:highlight w:val="none"/>
                <w:lang w:bidi="ar"/>
              </w:rPr>
              <w:t>类别</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预估工作量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中标综合单价</w:t>
            </w:r>
            <w:r>
              <w:rPr>
                <w:rFonts w:hint="eastAsia" w:ascii="宋体" w:hAnsi="宋体" w:eastAsia="宋体" w:cs="宋体"/>
                <w:b/>
                <w:bCs/>
                <w:color w:val="auto"/>
                <w:kern w:val="0"/>
                <w:sz w:val="24"/>
                <w:highlight w:val="none"/>
                <w:lang w:bidi="ar"/>
              </w:rPr>
              <w:br w:type="textWrapping"/>
            </w:r>
            <w:r>
              <w:rPr>
                <w:rFonts w:hint="eastAsia" w:ascii="宋体" w:hAnsi="宋体" w:eastAsia="宋体" w:cs="宋体"/>
                <w:b/>
                <w:bCs/>
                <w:color w:val="auto"/>
                <w:kern w:val="0"/>
                <w:sz w:val="24"/>
                <w:highlight w:val="none"/>
                <w:lang w:bidi="ar"/>
              </w:rPr>
              <w:t>（元）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小计</w:t>
            </w:r>
            <w:r>
              <w:rPr>
                <w:rFonts w:hint="eastAsia" w:ascii="宋体" w:hAnsi="宋体" w:eastAsia="宋体" w:cs="宋体"/>
                <w:b/>
                <w:bCs/>
                <w:color w:val="auto"/>
                <w:kern w:val="0"/>
                <w:sz w:val="24"/>
                <w:highlight w:val="none"/>
                <w:lang w:bidi="ar"/>
              </w:rPr>
              <w:br w:type="textWrapping"/>
            </w:r>
            <w:r>
              <w:rPr>
                <w:rFonts w:hint="eastAsia" w:ascii="宋体" w:hAnsi="宋体" w:eastAsia="宋体" w:cs="宋体"/>
                <w:b/>
                <w:bCs/>
                <w:color w:val="auto"/>
                <w:kern w:val="0"/>
                <w:sz w:val="24"/>
                <w:highlight w:val="none"/>
                <w:lang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单项合计</w:t>
            </w:r>
            <w:r>
              <w:rPr>
                <w:rFonts w:hint="eastAsia" w:ascii="宋体" w:hAnsi="宋体" w:eastAsia="宋体" w:cs="宋体"/>
                <w:b/>
                <w:bCs/>
                <w:color w:val="auto"/>
                <w:kern w:val="0"/>
                <w:sz w:val="24"/>
                <w:highlight w:val="none"/>
                <w:lang w:bidi="ar"/>
              </w:rPr>
              <w:br w:type="textWrapping"/>
            </w:r>
            <w:r>
              <w:rPr>
                <w:rFonts w:hint="eastAsia" w:ascii="宋体" w:hAnsi="宋体" w:eastAsia="宋体" w:cs="宋体"/>
                <w:b/>
                <w:bCs/>
                <w:color w:val="auto"/>
                <w:kern w:val="0"/>
                <w:sz w:val="24"/>
                <w:highlight w:val="none"/>
                <w:lang w:bidi="ar"/>
              </w:rPr>
              <w:t>（元）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收费项目对应的行政许可事项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收费依据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备注</w:t>
            </w:r>
          </w:p>
        </w:tc>
      </w:tr>
      <w:tr>
        <w:tblPrEx>
          <w:tblCellMar>
            <w:top w:w="0" w:type="dxa"/>
            <w:left w:w="108" w:type="dxa"/>
            <w:bottom w:w="0" w:type="dxa"/>
            <w:right w:w="108" w:type="dxa"/>
          </w:tblCellMar>
        </w:tblPrEx>
        <w:trPr>
          <w:trHeight w:val="6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建筑工程规划放线测量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控制测量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申请建设工程规划许可证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极坐标细部点测量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80 </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建筑物放线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435 </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Style w:val="26"/>
                <w:rFonts w:hint="default"/>
                <w:color w:val="auto"/>
                <w:highlight w:val="none"/>
                <w:lang w:bidi="ar"/>
              </w:rPr>
              <w:t>零星测量</w:t>
            </w:r>
            <w:r>
              <w:rPr>
                <w:rStyle w:val="27"/>
                <w:rFonts w:eastAsia="宋体"/>
                <w:color w:val="auto"/>
                <w:highlight w:val="none"/>
                <w:lang w:bidi="ar"/>
              </w:rPr>
              <w:t>-</w:t>
            </w:r>
            <w:r>
              <w:rPr>
                <w:rStyle w:val="26"/>
                <w:rFonts w:hint="default"/>
                <w:color w:val="auto"/>
                <w:highlight w:val="none"/>
                <w:lang w:bidi="ar"/>
              </w:rPr>
              <w:t>外业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30 </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人工日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Style w:val="26"/>
                <w:rFonts w:hint="default"/>
                <w:color w:val="auto"/>
                <w:highlight w:val="none"/>
                <w:lang w:bidi="ar"/>
              </w:rPr>
              <w:t>零星测量</w:t>
            </w:r>
            <w:r>
              <w:rPr>
                <w:rStyle w:val="27"/>
                <w:rFonts w:eastAsia="宋体"/>
                <w:color w:val="auto"/>
                <w:highlight w:val="none"/>
                <w:lang w:bidi="ar"/>
              </w:rPr>
              <w:t>-</w:t>
            </w:r>
            <w:r>
              <w:rPr>
                <w:rStyle w:val="26"/>
                <w:rFonts w:hint="default"/>
                <w:color w:val="auto"/>
                <w:highlight w:val="none"/>
                <w:lang w:bidi="ar"/>
              </w:rPr>
              <w:t>内业</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30 </w:t>
            </w:r>
          </w:p>
        </w:tc>
        <w:tc>
          <w:tcPr>
            <w:tcW w:w="118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人工日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57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建筑工程规划条件核实测量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控制测量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申请建设工程规划条件核实意见书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1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cs="宋体"/>
                <w:color w:val="auto"/>
                <w:kern w:val="0"/>
                <w:sz w:val="24"/>
                <w:szCs w:val="24"/>
                <w:highlight w:val="none"/>
                <w:lang w:bidi="ar"/>
              </w:rPr>
              <w:t>野外地形数据采集及成图：数字线划地图（DLG）-1：500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200000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国测财字[2002]3号P18（每幅图50000㎡，单价为13456.15元/幅，每㎡单价为13456.15/50000=0.27元）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1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规划面积测量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588023.14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财建[2009]17号P27（1000平方米2029.55元，每平方米单价为2029.55/1000=2.03元）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855"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内业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（核对图纸）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人工日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8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外业</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 xml:space="preserve">（核对图纸）            </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人工日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85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3</w:t>
            </w:r>
          </w:p>
        </w:tc>
        <w:tc>
          <w:tcPr>
            <w:tcW w:w="88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人防工程竣工测量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人防面积测量</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23000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申请防空地下室建设意见书</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财建[2009]17号P27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9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4</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房产测绘（预测）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汇总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住宅用房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119290.84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可办理预售证或在建工程抵押</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9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商业楼用房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31937.92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9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多功能综合楼用房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Ⅲ</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495596.70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7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5</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房产测绘（实测）</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汇总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住宅用房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119290.84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申请不动产权证</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9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商业楼用房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Ⅱ</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31937.92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9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多功能综合楼用房</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Ⅲ</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495596.70 </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国测财字[2002]3号P28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r>
        <w:tblPrEx>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6</w:t>
            </w:r>
          </w:p>
        </w:tc>
        <w:tc>
          <w:tcPr>
            <w:tcW w:w="658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auto"/>
                <w:sz w:val="24"/>
                <w:highlight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highlight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24"/>
                <w:highlight w:val="none"/>
              </w:rPr>
            </w:pPr>
          </w:p>
        </w:tc>
      </w:tr>
    </w:tbl>
    <w:p>
      <w:pPr>
        <w:widowControl/>
        <w:spacing w:line="360" w:lineRule="auto"/>
        <w:rPr>
          <w:rFonts w:cs="宋体" w:asciiTheme="minorEastAsia" w:hAnsiTheme="minorEastAsia"/>
          <w:color w:val="auto"/>
          <w:sz w:val="24"/>
          <w:highlight w:val="none"/>
        </w:rPr>
        <w:sectPr>
          <w:pgSz w:w="15840" w:h="12240" w:orient="landscape"/>
          <w:pgMar w:top="1800" w:right="1440" w:bottom="1800" w:left="1440" w:header="720" w:footer="720" w:gutter="0"/>
          <w:cols w:space="425" w:num="1"/>
          <w:docGrid w:type="lines" w:linePitch="312" w:charSpace="0"/>
        </w:sectPr>
      </w:pPr>
    </w:p>
    <w:tbl>
      <w:tblPr>
        <w:tblStyle w:val="13"/>
        <w:tblW w:w="84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8"/>
        <w:gridCol w:w="437"/>
        <w:gridCol w:w="1798"/>
        <w:gridCol w:w="2513"/>
        <w:gridCol w:w="714"/>
        <w:gridCol w:w="1263"/>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49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highlight w:val="none"/>
                <w:u w:val="none"/>
              </w:rPr>
            </w:pPr>
            <w:r>
              <w:rPr>
                <w:rFonts w:hint="eastAsia" w:ascii="微软雅黑" w:hAnsi="微软雅黑" w:eastAsia="微软雅黑" w:cs="微软雅黑"/>
                <w:b/>
                <w:bCs/>
                <w:i w:val="0"/>
                <w:iCs w:val="0"/>
                <w:color w:val="000000"/>
                <w:kern w:val="0"/>
                <w:sz w:val="32"/>
                <w:szCs w:val="32"/>
                <w:highlight w:val="none"/>
                <w:u w:val="none"/>
                <w:lang w:val="en-US" w:eastAsia="zh-CN" w:bidi="ar"/>
              </w:rPr>
              <w:t>工程量明细表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地块</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序号</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类别</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困难</w:t>
            </w:r>
            <w:r>
              <w:rPr>
                <w:rFonts w:hint="eastAsia" w:ascii="微软雅黑" w:hAnsi="微软雅黑" w:eastAsia="微软雅黑" w:cs="微软雅黑"/>
                <w:b/>
                <w:bCs/>
                <w:i w:val="0"/>
                <w:iCs w:val="0"/>
                <w:color w:val="000000"/>
                <w:kern w:val="0"/>
                <w:sz w:val="22"/>
                <w:szCs w:val="22"/>
                <w:highlight w:val="none"/>
                <w:u w:val="none"/>
                <w:lang w:val="en-US" w:eastAsia="zh-CN" w:bidi="ar"/>
              </w:rPr>
              <w:br w:type="textWrapping"/>
            </w:r>
            <w:r>
              <w:rPr>
                <w:rFonts w:hint="eastAsia" w:ascii="微软雅黑" w:hAnsi="微软雅黑" w:eastAsia="微软雅黑" w:cs="微软雅黑"/>
                <w:b/>
                <w:bCs/>
                <w:i w:val="0"/>
                <w:iCs w:val="0"/>
                <w:color w:val="000000"/>
                <w:kern w:val="0"/>
                <w:sz w:val="22"/>
                <w:szCs w:val="22"/>
                <w:highlight w:val="none"/>
                <w:u w:val="none"/>
                <w:lang w:val="en-US" w:eastAsia="zh-CN" w:bidi="ar"/>
              </w:rPr>
              <w:t>类别</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预估工作量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南地块</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建筑工程规划放线测量</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控制测量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极坐标细部点测量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80 </w:t>
            </w:r>
          </w:p>
        </w:tc>
        <w:tc>
          <w:tcPr>
            <w:tcW w:w="101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建筑物放线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435 </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零星测量-外业</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30 </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零星测量-内业</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30 </w:t>
            </w:r>
          </w:p>
        </w:tc>
        <w:tc>
          <w:tcPr>
            <w:tcW w:w="10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建筑工程规划条件核实测量</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控制测量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野外地形数据采集及成图：数字线划地图（DLG）-1：500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106000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规划面积测量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342957.14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内业</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 xml:space="preserve">（核对图纸）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外业</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 xml:space="preserve">（核对图纸）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7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人防工程竣工测量</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人防面积测量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23000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房产测绘（预测）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汇总</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住宅用房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119290.84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商业楼用房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165.00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多功能综合楼用房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Ⅲ</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257797.01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房产测绘（实测）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汇总</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住宅用房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119290.84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商业楼用房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165.00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多功能综合楼用房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Ⅲ</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257797.01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highlight w:val="none"/>
                <w:u w:val="none"/>
              </w:rPr>
            </w:pPr>
            <w:r>
              <w:rPr>
                <w:rFonts w:hint="eastAsia" w:ascii="微软雅黑" w:hAnsi="微软雅黑" w:eastAsia="微软雅黑" w:cs="微软雅黑"/>
                <w:b/>
                <w:bCs/>
                <w:i w:val="0"/>
                <w:iCs w:val="0"/>
                <w:color w:val="000000"/>
                <w:kern w:val="0"/>
                <w:sz w:val="20"/>
                <w:szCs w:val="20"/>
                <w:highlight w:val="none"/>
                <w:u w:val="none"/>
                <w:lang w:val="en-US" w:eastAsia="zh-CN" w:bidi="ar"/>
              </w:rPr>
              <w:t>北地块</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建筑工程规划条件核实测量</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控制测量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野外地形数据采集及成图：</w:t>
            </w:r>
            <w:bookmarkStart w:id="0" w:name="_GoBack"/>
            <w:bookmarkEnd w:id="0"/>
            <w:r>
              <w:rPr>
                <w:rFonts w:hint="eastAsia" w:ascii="微软雅黑" w:hAnsi="微软雅黑" w:eastAsia="微软雅黑" w:cs="微软雅黑"/>
                <w:i w:val="0"/>
                <w:iCs w:val="0"/>
                <w:color w:val="000000"/>
                <w:kern w:val="0"/>
                <w:sz w:val="20"/>
                <w:szCs w:val="20"/>
                <w:highlight w:val="none"/>
                <w:u w:val="none"/>
                <w:lang w:val="en-US" w:eastAsia="zh-CN" w:bidi="ar"/>
              </w:rPr>
              <w:t>数字线划地图（DLG）-1：500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94000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规划面积测量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245066.00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内业</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 xml:space="preserve">（核对图纸）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外业</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 xml:space="preserve">（核对图纸）            </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人工日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7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人防工程竣工测量</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人防面积测量</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房产测绘（预测）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汇总</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住宅用房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商业楼用房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31772.92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多功能综合楼用房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Ⅲ</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237799.69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房产测绘（实测）</w:t>
            </w:r>
            <w:r>
              <w:rPr>
                <w:rFonts w:hint="eastAsia" w:ascii="微软雅黑" w:hAnsi="微软雅黑" w:eastAsia="微软雅黑" w:cs="微软雅黑"/>
                <w:i w:val="0"/>
                <w:iCs w:val="0"/>
                <w:color w:val="000000"/>
                <w:kern w:val="0"/>
                <w:sz w:val="20"/>
                <w:szCs w:val="20"/>
                <w:highlight w:val="none"/>
                <w:u w:val="none"/>
                <w:lang w:val="en-US" w:eastAsia="zh-CN" w:bidi="ar"/>
              </w:rPr>
              <w:br w:type="textWrapping"/>
            </w:r>
            <w:r>
              <w:rPr>
                <w:rFonts w:hint="eastAsia" w:ascii="微软雅黑" w:hAnsi="微软雅黑" w:eastAsia="微软雅黑" w:cs="微软雅黑"/>
                <w:i w:val="0"/>
                <w:iCs w:val="0"/>
                <w:color w:val="000000"/>
                <w:kern w:val="0"/>
                <w:sz w:val="20"/>
                <w:szCs w:val="20"/>
                <w:highlight w:val="none"/>
                <w:u w:val="none"/>
                <w:lang w:val="en-US" w:eastAsia="zh-CN" w:bidi="ar"/>
              </w:rPr>
              <w:t>汇总</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住宅用房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0.00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商业楼用房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Ⅱ</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31772.92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0"/>
                <w:szCs w:val="20"/>
                <w:highlight w:val="none"/>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highlight w:val="none"/>
                <w:u w:val="none"/>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多功能综合楼用房</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Ⅲ</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 xml:space="preserve">237799.69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平方米</w:t>
            </w:r>
          </w:p>
        </w:tc>
      </w:tr>
    </w:tbl>
    <w:p>
      <w:pPr>
        <w:widowControl/>
        <w:spacing w:line="240" w:lineRule="auto"/>
        <w:rPr>
          <w:rFonts w:hint="eastAsia" w:cs="宋体" w:asciiTheme="minorEastAsia" w:hAnsiTheme="minorEastAsia"/>
          <w:color w:val="auto"/>
          <w:sz w:val="24"/>
          <w:highlight w:val="none"/>
        </w:rPr>
      </w:pPr>
      <w:r>
        <w:rPr>
          <w:rFonts w:hint="eastAsia" w:cs="宋体" w:asciiTheme="minorEastAsia" w:hAnsiTheme="minorEastAsia"/>
          <w:color w:val="auto"/>
          <w:sz w:val="24"/>
          <w:highlight w:val="none"/>
        </w:rPr>
        <w:br w:type="page"/>
      </w:r>
    </w:p>
    <w:p>
      <w:pPr>
        <w:widowControl/>
        <w:spacing w:line="360" w:lineRule="auto"/>
        <w:rPr>
          <w:rFonts w:cs="宋体" w:asciiTheme="minorEastAsia" w:hAnsiTheme="minorEastAsia"/>
          <w:color w:val="auto"/>
          <w:sz w:val="24"/>
          <w:highlight w:val="none"/>
        </w:rPr>
      </w:pPr>
      <w:r>
        <w:rPr>
          <w:rFonts w:hint="eastAsia" w:cs="宋体" w:asciiTheme="minorEastAsia" w:hAnsiTheme="minorEastAsia"/>
          <w:color w:val="auto"/>
          <w:sz w:val="24"/>
          <w:highlight w:val="none"/>
        </w:rPr>
        <w:t>附件2：廉洁协议</w:t>
      </w:r>
    </w:p>
    <w:p>
      <w:pPr>
        <w:tabs>
          <w:tab w:val="left" w:pos="5400"/>
        </w:tabs>
        <w:snapToGrid w:val="0"/>
        <w:spacing w:line="360" w:lineRule="auto"/>
        <w:ind w:firstLine="642" w:firstLineChars="200"/>
        <w:jc w:val="center"/>
        <w:rPr>
          <w:rFonts w:asciiTheme="minorEastAsia" w:hAnsiTheme="minorEastAsia"/>
          <w:b/>
          <w:bCs/>
          <w:color w:val="auto"/>
          <w:spacing w:val="52"/>
          <w:w w:val="90"/>
          <w:sz w:val="24"/>
          <w:highlight w:val="none"/>
        </w:rPr>
      </w:pPr>
      <w:r>
        <w:rPr>
          <w:rFonts w:hint="eastAsia" w:asciiTheme="minorEastAsia" w:hAnsiTheme="minorEastAsia"/>
          <w:b/>
          <w:bCs/>
          <w:color w:val="auto"/>
          <w:spacing w:val="52"/>
          <w:w w:val="90"/>
          <w:sz w:val="24"/>
          <w:highlight w:val="none"/>
        </w:rPr>
        <w:t>廉洁协议</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乙方同意接受甲方邀请，参与甲方增城开发区宁西家园项目联合测绘服务项目，为保障双方的合法权益，使甲乙双方在招投标过程中保持廉洁自律的工作作风，防止各种不正当行为的发生，甲乙双方同意订立本协议如下：</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一、甲乙双方应当自觉遵守国家、广东省和广州市有关法律法规以及有关廉政建设的各项规定。廉洁经营，对违反廉洁协议的人和事必须严肃处理。</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二、甲方及其工作人员不得以任何形式向乙方索要和收受回扣等好处费。</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三、甲方工作人员不得接受乙方的礼金（卡）、有价证券和贵重物品等，不得在乙方报销应由个人支付的费用。 </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四、甲方及其工作人员应当保持与乙方的正常的业务交往，除公司安排的正常的对外业务活动外，甲方工作人员不得参加可能对公正执行业务有影响的宴请和娱乐活动。 </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五、乙方及其工作人员不得利用向甲方及其工作人员行贿、提供回扣、送礼或者其他好处等不正当手段联系业务项目。</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六、乙方及其工作人员应按合同或双方约定的工作程序开展工作，不得为谋取私利擅自与甲方工作人员就项目所涉及的承包、费用、材料、变更、验收、质量问题处理等进行私下商谈或者达成默契。</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七、除双方正常的业务交往外，乙方不得以洽谈业务、签订经济合同等为借口，邀请甲方工作人员进行高消费的娱乐活动。</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八、乙方如发现甲方工作人员有违反上述协议者，应向甲方领导或纪检监察审计部门（综合管理部）举报。甲方对举报属实和严格遵守《廉洁协议》的乙方，在同等条件下给予继续参加甲方今后有关项目投标的优先权。</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九、甲方发现乙方有违反本协议或者采取不正当的手段贿赂甲方工作人员，甲方根据具体情节和造成的后果追究乙方的违 约责任。一经查实，甲方将取消乙方继续参与项目洽谈及竞标资格，如已签订合同，甲方有权终止项目合同，由此导致甲方所造成的损失以及发生的一切费用均由乙方承担。 </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十、本协议作为增城开发区宁西家园项目联合测绘服务招投标项目实施期间甲乙双方的行为规范，应共同遵守。</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十一、本协议经乙方打印盖章签字后立即生效。本协议份数随主合同。    　</w:t>
      </w:r>
    </w:p>
    <w:p>
      <w:pPr>
        <w:tabs>
          <w:tab w:val="left" w:pos="0"/>
        </w:tabs>
        <w:spacing w:line="360" w:lineRule="auto"/>
        <w:ind w:firstLine="480" w:firstLineChars="200"/>
        <w:rPr>
          <w:rFonts w:asciiTheme="minorEastAsia" w:hAnsiTheme="minorEastAsia"/>
          <w:color w:val="auto"/>
          <w:sz w:val="24"/>
          <w:highlight w:val="none"/>
        </w:rPr>
      </w:pP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甲方（盖章）：                      乙方（盖章）：</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签字代表：                         签字代表：</w:t>
      </w:r>
    </w:p>
    <w:p>
      <w:pPr>
        <w:tabs>
          <w:tab w:val="left" w:pos="0"/>
        </w:tabs>
        <w:spacing w:line="360" w:lineRule="auto"/>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pPr>
        <w:tabs>
          <w:tab w:val="left" w:pos="0"/>
        </w:tabs>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时间：   年   月    日</w:t>
      </w:r>
    </w:p>
    <w:p>
      <w:pPr>
        <w:spacing w:line="360" w:lineRule="auto"/>
        <w:rPr>
          <w:rFonts w:cs="宋体" w:asciiTheme="minorEastAsia" w:hAnsiTheme="minorEastAsia"/>
          <w:color w:val="auto"/>
          <w:sz w:val="24"/>
          <w:highlight w:val="none"/>
        </w:rPr>
      </w:pPr>
      <w:r>
        <w:rPr>
          <w:rFonts w:hint="eastAsia" w:cs="宋体" w:asciiTheme="minorEastAsia" w:hAnsiTheme="minorEastAsia"/>
          <w:color w:val="auto"/>
          <w:sz w:val="24"/>
          <w:highlight w:val="none"/>
        </w:rPr>
        <w:br w:type="page"/>
      </w:r>
    </w:p>
    <w:p>
      <w:pPr>
        <w:pStyle w:val="7"/>
        <w:spacing w:line="360" w:lineRule="auto"/>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附件3：拟投入本项目机构人员一览表</w:t>
      </w:r>
    </w:p>
    <w:p>
      <w:pPr>
        <w:pStyle w:val="7"/>
        <w:spacing w:line="360" w:lineRule="auto"/>
        <w:rPr>
          <w:rFonts w:cs="宋体" w:asciiTheme="minorEastAsia" w:hAnsiTheme="minorEastAsia" w:eastAsiaTheme="minorEastAsia"/>
          <w:color w:val="auto"/>
          <w:sz w:val="24"/>
          <w:szCs w:val="24"/>
          <w:highlight w:val="none"/>
        </w:rPr>
      </w:pPr>
    </w:p>
    <w:p>
      <w:pPr>
        <w:widowControl/>
        <w:autoSpaceDE w:val="0"/>
        <w:autoSpaceDN w:val="0"/>
        <w:adjustRightInd w:val="0"/>
        <w:spacing w:line="520" w:lineRule="exact"/>
        <w:jc w:val="left"/>
        <w:rPr>
          <w:rFonts w:ascii="仿宋_GB2312" w:hAnsi="宋体" w:eastAsia="仿宋_GB2312" w:cs="宋体"/>
          <w:color w:val="auto"/>
          <w:sz w:val="28"/>
          <w:szCs w:val="28"/>
          <w:highlight w:val="none"/>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52D18EE-7338-47A2-9A35-8F7F18D2DB16}"/>
  </w:font>
  <w:font w:name="方正小标宋简体">
    <w:panose1 w:val="02000000000000000000"/>
    <w:charset w:val="86"/>
    <w:family w:val="script"/>
    <w:pitch w:val="default"/>
    <w:sig w:usb0="00000001" w:usb1="08000000" w:usb2="00000000" w:usb3="00000000" w:csb0="00040000" w:csb1="00000000"/>
    <w:embedRegular r:id="rId2" w:fontKey="{525FBF1E-9ED3-48C9-81CB-DAE599A291C3}"/>
  </w:font>
  <w:font w:name="Wingdings 2">
    <w:panose1 w:val="05020102010507070707"/>
    <w:charset w:val="02"/>
    <w:family w:val="roman"/>
    <w:pitch w:val="default"/>
    <w:sig w:usb0="00000000" w:usb1="00000000" w:usb2="00000000" w:usb3="00000000" w:csb0="80000000" w:csb1="00000000"/>
    <w:embedRegular r:id="rId3" w:fontKey="{CFDE2AA0-6FF6-4868-B672-40FBC3574DAD}"/>
  </w:font>
  <w:font w:name="仿宋">
    <w:panose1 w:val="02010609060101010101"/>
    <w:charset w:val="86"/>
    <w:family w:val="modern"/>
    <w:pitch w:val="default"/>
    <w:sig w:usb0="800002BF" w:usb1="38CF7CFA" w:usb2="00000016" w:usb3="00000000" w:csb0="00040001" w:csb1="00000000"/>
    <w:embedRegular r:id="rId4" w:fontKey="{B670C2A9-BED3-4C2D-8FBF-CAA2AA62C4F0}"/>
  </w:font>
  <w:font w:name="微软雅黑">
    <w:panose1 w:val="020B0503020204020204"/>
    <w:charset w:val="86"/>
    <w:family w:val="auto"/>
    <w:pitch w:val="default"/>
    <w:sig w:usb0="80000287" w:usb1="2ACF3C50" w:usb2="00000016" w:usb3="00000000" w:csb0="0004001F" w:csb1="00000000"/>
    <w:embedRegular r:id="rId5" w:fontKey="{85AAFBDF-BAD3-455F-9083-AA8B090CF6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F8908"/>
    <w:multiLevelType w:val="singleLevel"/>
    <w:tmpl w:val="A5BF8908"/>
    <w:lvl w:ilvl="0" w:tentative="0">
      <w:start w:val="4"/>
      <w:numFmt w:val="chineseCounting"/>
      <w:suff w:val="nothing"/>
      <w:lvlText w:val="（%1）"/>
      <w:lvlJc w:val="left"/>
      <w:rPr>
        <w:rFonts w:hint="eastAsia"/>
      </w:rPr>
    </w:lvl>
  </w:abstractNum>
  <w:abstractNum w:abstractNumId="1">
    <w:nsid w:val="71566137"/>
    <w:multiLevelType w:val="singleLevel"/>
    <w:tmpl w:val="71566137"/>
    <w:lvl w:ilvl="0" w:tentative="0">
      <w:start w:val="1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GJiMDNmYWM2YzMyMzliYzU2MGYzMTJhNTFlMTMifQ=="/>
  </w:docVars>
  <w:rsids>
    <w:rsidRoot w:val="00133A30"/>
    <w:rsid w:val="00133A30"/>
    <w:rsid w:val="00190C12"/>
    <w:rsid w:val="001D5431"/>
    <w:rsid w:val="00212A52"/>
    <w:rsid w:val="005042BE"/>
    <w:rsid w:val="005B1CF1"/>
    <w:rsid w:val="00802B17"/>
    <w:rsid w:val="008C242E"/>
    <w:rsid w:val="00985C36"/>
    <w:rsid w:val="00A85DCD"/>
    <w:rsid w:val="00B138DA"/>
    <w:rsid w:val="00D9375F"/>
    <w:rsid w:val="00DD7B4A"/>
    <w:rsid w:val="00E50000"/>
    <w:rsid w:val="00EA2D26"/>
    <w:rsid w:val="00F500DE"/>
    <w:rsid w:val="00F61CA0"/>
    <w:rsid w:val="06BE2336"/>
    <w:rsid w:val="14707C73"/>
    <w:rsid w:val="19140AB7"/>
    <w:rsid w:val="1994784E"/>
    <w:rsid w:val="28C76E19"/>
    <w:rsid w:val="3AF025C3"/>
    <w:rsid w:val="4121206B"/>
    <w:rsid w:val="430446A9"/>
    <w:rsid w:val="480E7482"/>
    <w:rsid w:val="4A780B03"/>
    <w:rsid w:val="4EC772CC"/>
    <w:rsid w:val="5DF71A98"/>
    <w:rsid w:val="60FD130A"/>
    <w:rsid w:val="63206651"/>
    <w:rsid w:val="63D817F4"/>
    <w:rsid w:val="65873E88"/>
    <w:rsid w:val="6BC56430"/>
    <w:rsid w:val="725244BE"/>
    <w:rsid w:val="7A56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autoSpaceDE w:val="0"/>
      <w:autoSpaceDN w:val="0"/>
      <w:adjustRightInd w:val="0"/>
      <w:jc w:val="left"/>
    </w:pPr>
    <w:rPr>
      <w:rFonts w:ascii="Calibri" w:hAnsi="Calibri" w:eastAsia="宋体" w:cs="Times New Roman"/>
      <w:kern w:val="0"/>
      <w:sz w:val="20"/>
      <w:szCs w:val="20"/>
    </w:rPr>
  </w:style>
  <w:style w:type="paragraph" w:styleId="5">
    <w:name w:val="Body Text"/>
    <w:basedOn w:val="1"/>
    <w:next w:val="6"/>
    <w:link w:val="25"/>
    <w:autoRedefine/>
    <w:qFormat/>
    <w:uiPriority w:val="0"/>
    <w:pPr>
      <w:autoSpaceDE w:val="0"/>
      <w:autoSpaceDN w:val="0"/>
      <w:adjustRightInd w:val="0"/>
      <w:spacing w:after="120"/>
      <w:jc w:val="left"/>
    </w:pPr>
    <w:rPr>
      <w:rFonts w:ascii="Calibri" w:hAnsi="Calibri" w:eastAsia="宋体" w:cs="Times New Roman"/>
      <w:kern w:val="0"/>
      <w:sz w:val="20"/>
      <w:szCs w:val="22"/>
    </w:rPr>
  </w:style>
  <w:style w:type="paragraph" w:styleId="6">
    <w:name w:val="toc 2"/>
    <w:basedOn w:val="1"/>
    <w:next w:val="1"/>
    <w:autoRedefine/>
    <w:qFormat/>
    <w:uiPriority w:val="0"/>
    <w:pPr>
      <w:autoSpaceDE w:val="0"/>
      <w:autoSpaceDN w:val="0"/>
      <w:adjustRightInd w:val="0"/>
      <w:ind w:left="420" w:leftChars="200"/>
      <w:jc w:val="left"/>
    </w:pPr>
    <w:rPr>
      <w:rFonts w:ascii="Calibri" w:hAnsi="Calibri" w:eastAsia="仿宋_GB2312" w:cs="Times New Roman"/>
      <w:kern w:val="0"/>
      <w:sz w:val="32"/>
      <w:szCs w:val="22"/>
    </w:rPr>
  </w:style>
  <w:style w:type="paragraph" w:styleId="7">
    <w:name w:val="Plain Text"/>
    <w:basedOn w:val="1"/>
    <w:next w:val="1"/>
    <w:link w:val="24"/>
    <w:autoRedefine/>
    <w:qFormat/>
    <w:uiPriority w:val="0"/>
    <w:rPr>
      <w:rFonts w:ascii="宋体" w:hAnsi="Courier New" w:eastAsia="宋体" w:cs="Courier New"/>
      <w:szCs w:val="21"/>
    </w:rPr>
  </w:style>
  <w:style w:type="paragraph" w:styleId="8">
    <w:name w:val="Balloon Text"/>
    <w:basedOn w:val="1"/>
    <w:link w:val="19"/>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autoSpaceDE w:val="0"/>
      <w:autoSpaceDN w:val="0"/>
      <w:adjustRightInd w:val="0"/>
      <w:spacing w:beforeAutospacing="1" w:afterAutospacing="1"/>
      <w:jc w:val="left"/>
    </w:pPr>
    <w:rPr>
      <w:rFonts w:hint="eastAsia" w:ascii="宋体" w:hAnsi="宋体" w:eastAsia="宋体" w:cs="Times New Roman"/>
      <w:kern w:val="0"/>
      <w:sz w:val="24"/>
      <w:szCs w:val="20"/>
    </w:rPr>
  </w:style>
  <w:style w:type="paragraph" w:styleId="12">
    <w:name w:val="annotation subject"/>
    <w:basedOn w:val="4"/>
    <w:next w:val="4"/>
    <w:link w:val="22"/>
    <w:qFormat/>
    <w:uiPriority w:val="0"/>
    <w:pPr>
      <w:autoSpaceDE/>
      <w:autoSpaceDN/>
      <w:adjustRightInd/>
    </w:pPr>
    <w:rPr>
      <w:rFonts w:asciiTheme="minorHAnsi" w:hAnsiTheme="minorHAnsi" w:eastAsiaTheme="minorEastAsia" w:cstheme="minorBidi"/>
      <w:b/>
      <w:bCs/>
      <w:kern w:val="2"/>
      <w:sz w:val="21"/>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annotation reference"/>
    <w:basedOn w:val="15"/>
    <w:qFormat/>
    <w:uiPriority w:val="0"/>
    <w:rPr>
      <w:sz w:val="21"/>
      <w:szCs w:val="21"/>
    </w:rPr>
  </w:style>
  <w:style w:type="character" w:customStyle="1" w:styleId="17">
    <w:name w:val="批注文字 Char"/>
    <w:basedOn w:val="15"/>
    <w:link w:val="4"/>
    <w:qFormat/>
    <w:uiPriority w:val="0"/>
    <w:rPr>
      <w:rFonts w:hint="default" w:ascii="Calibri" w:hAnsi="Calibri" w:eastAsia="宋体" w:cs="Times New Roman"/>
    </w:rPr>
  </w:style>
  <w:style w:type="paragraph" w:customStyle="1" w:styleId="18">
    <w:name w:val="Default"/>
    <w:basedOn w:val="1"/>
    <w:next w:val="1"/>
    <w:qFormat/>
    <w:uiPriority w:val="0"/>
    <w:pPr>
      <w:tabs>
        <w:tab w:val="left" w:pos="315"/>
      </w:tabs>
      <w:autoSpaceDE w:val="0"/>
      <w:autoSpaceDN w:val="0"/>
      <w:adjustRightInd w:val="0"/>
      <w:ind w:firstLine="883" w:firstLineChars="200"/>
    </w:pPr>
    <w:rPr>
      <w:rFonts w:hint="eastAsia" w:ascii="仿宋_GB2312" w:hAnsi="仿宋_GB2312" w:eastAsia="仿宋_GB2312" w:cs="Times New Roman"/>
      <w:color w:val="000000"/>
      <w:sz w:val="32"/>
    </w:rPr>
  </w:style>
  <w:style w:type="character" w:customStyle="1" w:styleId="19">
    <w:name w:val="批注框文本 Char"/>
    <w:basedOn w:val="15"/>
    <w:link w:val="8"/>
    <w:qFormat/>
    <w:uiPriority w:val="0"/>
    <w:rPr>
      <w:rFonts w:asciiTheme="minorHAnsi" w:hAnsiTheme="minorHAnsi" w:eastAsiaTheme="minorEastAsia" w:cstheme="minorBidi"/>
      <w:kern w:val="2"/>
      <w:sz w:val="18"/>
      <w:szCs w:val="18"/>
    </w:rPr>
  </w:style>
  <w:style w:type="character" w:customStyle="1" w:styleId="20">
    <w:name w:val="页眉 Char"/>
    <w:basedOn w:val="15"/>
    <w:link w:val="10"/>
    <w:qFormat/>
    <w:uiPriority w:val="0"/>
    <w:rPr>
      <w:rFonts w:asciiTheme="minorHAnsi" w:hAnsiTheme="minorHAnsi" w:eastAsiaTheme="minorEastAsia" w:cstheme="minorBidi"/>
      <w:kern w:val="2"/>
      <w:sz w:val="18"/>
      <w:szCs w:val="18"/>
    </w:rPr>
  </w:style>
  <w:style w:type="character" w:customStyle="1" w:styleId="21">
    <w:name w:val="页脚 Char"/>
    <w:basedOn w:val="15"/>
    <w:link w:val="9"/>
    <w:qFormat/>
    <w:uiPriority w:val="0"/>
    <w:rPr>
      <w:rFonts w:asciiTheme="minorHAnsi" w:hAnsiTheme="minorHAnsi" w:eastAsiaTheme="minorEastAsia" w:cstheme="minorBidi"/>
      <w:kern w:val="2"/>
      <w:sz w:val="18"/>
      <w:szCs w:val="18"/>
    </w:rPr>
  </w:style>
  <w:style w:type="character" w:customStyle="1" w:styleId="22">
    <w:name w:val="批注主题 Char"/>
    <w:basedOn w:val="17"/>
    <w:link w:val="12"/>
    <w:qFormat/>
    <w:uiPriority w:val="0"/>
    <w:rPr>
      <w:rFonts w:hint="default" w:asciiTheme="minorHAnsi" w:hAnsiTheme="minorHAnsi" w:eastAsiaTheme="minorEastAsia" w:cstheme="minorBidi"/>
      <w:b/>
      <w:bCs/>
      <w:kern w:val="2"/>
      <w:sz w:val="21"/>
      <w:szCs w:val="24"/>
    </w:rPr>
  </w:style>
  <w:style w:type="character" w:customStyle="1" w:styleId="23">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24">
    <w:name w:val="纯文本 Char"/>
    <w:basedOn w:val="15"/>
    <w:link w:val="7"/>
    <w:qFormat/>
    <w:uiPriority w:val="0"/>
    <w:rPr>
      <w:rFonts w:ascii="宋体" w:hAnsi="Courier New" w:cs="Courier New"/>
      <w:kern w:val="2"/>
      <w:sz w:val="21"/>
      <w:szCs w:val="21"/>
    </w:rPr>
  </w:style>
  <w:style w:type="character" w:customStyle="1" w:styleId="25">
    <w:name w:val="正文文本 Char"/>
    <w:basedOn w:val="15"/>
    <w:link w:val="5"/>
    <w:qFormat/>
    <w:uiPriority w:val="0"/>
    <w:rPr>
      <w:rFonts w:cs="Times New Roman"/>
      <w:szCs w:val="22"/>
    </w:rPr>
  </w:style>
  <w:style w:type="character" w:customStyle="1" w:styleId="26">
    <w:name w:val="font21"/>
    <w:basedOn w:val="15"/>
    <w:qFormat/>
    <w:uiPriority w:val="0"/>
    <w:rPr>
      <w:rFonts w:hint="eastAsia" w:ascii="宋体" w:hAnsi="宋体" w:eastAsia="宋体" w:cs="宋体"/>
      <w:color w:val="000000"/>
      <w:sz w:val="24"/>
      <w:szCs w:val="24"/>
      <w:u w:val="none"/>
    </w:rPr>
  </w:style>
  <w:style w:type="character" w:customStyle="1" w:styleId="27">
    <w:name w:val="font81"/>
    <w:basedOn w:val="1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6815</Words>
  <Characters>7414</Characters>
  <Lines>66</Lines>
  <Paragraphs>18</Paragraphs>
  <TotalTime>0</TotalTime>
  <ScaleCrop>false</ScaleCrop>
  <LinksUpToDate>false</LinksUpToDate>
  <CharactersWithSpaces>7821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2025-05-12T01:42:00Z</dcterms:created>
  <dc:creator>gfd</dc:creator>
  <cp:lastModifiedBy>JXL</cp:lastModifiedBy>
  <cp:lastPrinted>2025-05-28T03:53:00Z</cp:lastPrinted>
  <dcterms:modified xsi:type="dcterms:W3CDTF">2025-06-03T13:37:43Z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eyJoZGlkIjoiODdmYWUyYzUxY2RmNTI5NDk2ZWJmMDM5Yzc0OGNmMDEiLCJ1c2VySWQiOiIyNjY4MTY4ODAifQ==</vt:lpwstr>
  </property>
  <property fmtid="{D5CDD505-2E9C-101B-9397-08002B2CF9AE}" pid="4" name="ICV">
    <vt:lpwstr>386D32598CE0405381E39EBB6D5F5319_13</vt:lpwstr>
  </property>
</Properties>
</file>