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60371">
      <w:pPr>
        <w:tabs>
          <w:tab w:val="left" w:pos="5834"/>
        </w:tabs>
        <w:kinsoku w:val="0"/>
        <w:overflowPunct w:val="0"/>
        <w:spacing w:beforeLines="0" w:afterLines="0" w:line="381" w:lineRule="exact"/>
        <w:ind w:left="2685"/>
        <w:jc w:val="both"/>
        <w:rPr>
          <w:rFonts w:hint="eastAsia" w:ascii="宋体" w:hAnsi="宋体" w:eastAsia="宋体"/>
          <w:color w:val="auto"/>
          <w:sz w:val="36"/>
          <w:szCs w:val="36"/>
          <w:highlight w:val="none"/>
          <w:lang w:eastAsia="zh-CN"/>
        </w:rPr>
      </w:pPr>
      <w:bookmarkStart w:id="0" w:name="_Toc530"/>
      <w:bookmarkStart w:id="1" w:name="_Toc19332"/>
      <w:bookmarkStart w:id="2" w:name="_Toc134"/>
      <w:bookmarkStart w:id="3" w:name="_Toc19926"/>
      <w:bookmarkStart w:id="4" w:name="_Toc52"/>
      <w:bookmarkStart w:id="5" w:name="_Toc18837"/>
      <w:bookmarkStart w:id="6" w:name="_Toc10315"/>
      <w:bookmarkStart w:id="7" w:name="_Toc23904"/>
    </w:p>
    <w:p w14:paraId="442FB7F7">
      <w:pPr>
        <w:tabs>
          <w:tab w:val="left" w:pos="5834"/>
        </w:tabs>
        <w:kinsoku w:val="0"/>
        <w:overflowPunct w:val="0"/>
        <w:spacing w:beforeLines="0" w:afterLines="0" w:line="381" w:lineRule="exact"/>
        <w:ind w:left="2685"/>
        <w:jc w:val="both"/>
        <w:rPr>
          <w:rFonts w:hint="eastAsia" w:ascii="宋体" w:hAnsi="宋体" w:eastAsia="宋体"/>
          <w:color w:val="auto"/>
          <w:sz w:val="36"/>
          <w:szCs w:val="36"/>
          <w:highlight w:val="none"/>
        </w:rPr>
      </w:pPr>
    </w:p>
    <w:bookmarkEnd w:id="0"/>
    <w:p w14:paraId="60401271">
      <w:pPr>
        <w:keepNext w:val="0"/>
        <w:keepLines w:val="0"/>
        <w:pageBreakBefore w:val="0"/>
        <w:widowControl w:val="0"/>
        <w:tabs>
          <w:tab w:val="left" w:pos="5834"/>
        </w:tabs>
        <w:kinsoku w:val="0"/>
        <w:wordWrap/>
        <w:overflowPunct w:val="0"/>
        <w:topLinePunct w:val="0"/>
        <w:autoSpaceDE w:val="0"/>
        <w:autoSpaceDN w:val="0"/>
        <w:bidi w:val="0"/>
        <w:adjustRightInd/>
        <w:snapToGrid/>
        <w:spacing w:beforeLines="0" w:afterLines="0" w:line="360" w:lineRule="auto"/>
        <w:jc w:val="both"/>
        <w:textAlignment w:val="auto"/>
        <w:rPr>
          <w:rFonts w:hint="default" w:ascii="宋体" w:hAnsi="宋体" w:eastAsia="宋体"/>
          <w:color w:val="auto"/>
          <w:sz w:val="40"/>
          <w:szCs w:val="40"/>
          <w:highlight w:val="none"/>
        </w:rPr>
      </w:pPr>
      <w:r>
        <w:rPr>
          <w:rFonts w:hint="eastAsia" w:ascii="宋体" w:hAnsi="宋体" w:eastAsia="宋体"/>
          <w:color w:val="auto"/>
          <w:sz w:val="40"/>
          <w:szCs w:val="40"/>
          <w:highlight w:val="none"/>
          <w:lang w:eastAsia="zh-CN"/>
        </w:rPr>
        <w:t>增城经济技术开发区仙村园区蓝山4号路勘察设计</w:t>
      </w:r>
    </w:p>
    <w:p w14:paraId="0E9E1DCE">
      <w:pPr>
        <w:tabs>
          <w:tab w:val="left" w:pos="5834"/>
        </w:tabs>
        <w:kinsoku w:val="0"/>
        <w:overflowPunct w:val="0"/>
        <w:spacing w:beforeLines="0" w:afterLines="0" w:line="381" w:lineRule="exact"/>
        <w:ind w:left="2685"/>
        <w:jc w:val="both"/>
        <w:rPr>
          <w:rFonts w:hint="default" w:ascii="宋体" w:hAnsi="宋体" w:eastAsia="宋体"/>
          <w:color w:val="auto"/>
          <w:sz w:val="36"/>
          <w:szCs w:val="36"/>
          <w:highlight w:val="none"/>
        </w:rPr>
      </w:pPr>
    </w:p>
    <w:p w14:paraId="158233A6">
      <w:pPr>
        <w:tabs>
          <w:tab w:val="left" w:pos="5834"/>
        </w:tabs>
        <w:kinsoku w:val="0"/>
        <w:overflowPunct w:val="0"/>
        <w:spacing w:beforeLines="0" w:afterLines="0" w:line="381" w:lineRule="exact"/>
        <w:ind w:left="2685"/>
        <w:jc w:val="both"/>
        <w:rPr>
          <w:rFonts w:hint="eastAsia" w:ascii="宋体" w:hAnsi="宋体" w:eastAsia="宋体"/>
          <w:color w:val="auto"/>
          <w:sz w:val="36"/>
          <w:szCs w:val="36"/>
          <w:highlight w:val="none"/>
        </w:rPr>
      </w:pPr>
    </w:p>
    <w:p w14:paraId="40DBAE0F">
      <w:pPr>
        <w:tabs>
          <w:tab w:val="left" w:pos="5834"/>
        </w:tabs>
        <w:kinsoku w:val="0"/>
        <w:overflowPunct w:val="0"/>
        <w:spacing w:beforeLines="0" w:afterLines="0" w:line="381" w:lineRule="exact"/>
        <w:ind w:left="2685"/>
        <w:jc w:val="both"/>
        <w:rPr>
          <w:rFonts w:hint="eastAsia" w:ascii="宋体" w:hAnsi="宋体" w:eastAsia="宋体"/>
          <w:color w:val="auto"/>
          <w:sz w:val="36"/>
          <w:szCs w:val="36"/>
          <w:highlight w:val="none"/>
        </w:rPr>
      </w:pPr>
      <w:r>
        <w:rPr>
          <w:rFonts w:hint="eastAsia" w:ascii="宋体" w:hAnsi="宋体" w:eastAsia="宋体"/>
          <w:color w:val="auto"/>
          <w:sz w:val="36"/>
          <w:szCs w:val="36"/>
          <w:highlight w:val="none"/>
        </w:rPr>
        <w:t>（招标</w:t>
      </w:r>
      <w:r>
        <w:rPr>
          <w:rFonts w:hint="eastAsia" w:ascii="宋体" w:hAnsi="宋体" w:eastAsia="宋体"/>
          <w:color w:val="auto"/>
          <w:spacing w:val="-3"/>
          <w:sz w:val="36"/>
          <w:szCs w:val="36"/>
          <w:highlight w:val="none"/>
        </w:rPr>
        <w:t>编</w:t>
      </w:r>
      <w:r>
        <w:rPr>
          <w:rFonts w:hint="eastAsia" w:ascii="宋体" w:hAnsi="宋体" w:eastAsia="宋体"/>
          <w:color w:val="auto"/>
          <w:sz w:val="36"/>
          <w:szCs w:val="36"/>
          <w:highlight w:val="none"/>
        </w:rPr>
        <w:t>号：</w:t>
      </w:r>
      <w:r>
        <w:rPr>
          <w:rFonts w:hint="eastAsia" w:ascii="宋体" w:hAnsi="宋体" w:eastAsia="宋体"/>
          <w:color w:val="auto"/>
          <w:sz w:val="36"/>
          <w:szCs w:val="36"/>
          <w:highlight w:val="none"/>
          <w:u w:val="single"/>
        </w:rPr>
        <w:tab/>
      </w:r>
      <w:r>
        <w:rPr>
          <w:rFonts w:hint="eastAsia" w:ascii="宋体" w:hAnsi="宋体" w:eastAsia="宋体"/>
          <w:color w:val="auto"/>
          <w:sz w:val="36"/>
          <w:szCs w:val="36"/>
          <w:highlight w:val="none"/>
        </w:rPr>
        <w:t>）</w:t>
      </w:r>
    </w:p>
    <w:p w14:paraId="05EAADE9">
      <w:pPr>
        <w:kinsoku w:val="0"/>
        <w:overflowPunct w:val="0"/>
        <w:spacing w:beforeLines="0" w:afterLines="0" w:line="200" w:lineRule="exact"/>
        <w:jc w:val="both"/>
        <w:rPr>
          <w:rFonts w:hint="default"/>
          <w:color w:val="auto"/>
          <w:sz w:val="20"/>
          <w:highlight w:val="none"/>
        </w:rPr>
      </w:pPr>
    </w:p>
    <w:p w14:paraId="76E3D39A">
      <w:pPr>
        <w:kinsoku w:val="0"/>
        <w:overflowPunct w:val="0"/>
        <w:spacing w:beforeLines="0" w:afterLines="0" w:line="200" w:lineRule="exact"/>
        <w:jc w:val="both"/>
        <w:rPr>
          <w:rFonts w:hint="default"/>
          <w:color w:val="auto"/>
          <w:sz w:val="20"/>
          <w:highlight w:val="none"/>
        </w:rPr>
      </w:pPr>
    </w:p>
    <w:p w14:paraId="0967AF39">
      <w:pPr>
        <w:kinsoku w:val="0"/>
        <w:overflowPunct w:val="0"/>
        <w:spacing w:beforeLines="0" w:afterLines="0" w:line="200" w:lineRule="exact"/>
        <w:jc w:val="both"/>
        <w:rPr>
          <w:rFonts w:hint="default"/>
          <w:color w:val="auto"/>
          <w:sz w:val="20"/>
          <w:highlight w:val="none"/>
        </w:rPr>
      </w:pPr>
    </w:p>
    <w:p w14:paraId="22CF1F44">
      <w:pPr>
        <w:kinsoku w:val="0"/>
        <w:overflowPunct w:val="0"/>
        <w:spacing w:beforeLines="0" w:afterLines="0" w:line="200" w:lineRule="exact"/>
        <w:jc w:val="both"/>
        <w:rPr>
          <w:rFonts w:hint="default"/>
          <w:color w:val="auto"/>
          <w:sz w:val="20"/>
          <w:highlight w:val="none"/>
        </w:rPr>
      </w:pPr>
    </w:p>
    <w:p w14:paraId="29B25202">
      <w:pPr>
        <w:kinsoku w:val="0"/>
        <w:overflowPunct w:val="0"/>
        <w:spacing w:beforeLines="0" w:afterLines="0" w:line="200" w:lineRule="exact"/>
        <w:jc w:val="both"/>
        <w:rPr>
          <w:rFonts w:hint="default"/>
          <w:color w:val="auto"/>
          <w:sz w:val="20"/>
          <w:highlight w:val="none"/>
        </w:rPr>
      </w:pPr>
    </w:p>
    <w:p w14:paraId="4163C657">
      <w:pPr>
        <w:kinsoku w:val="0"/>
        <w:overflowPunct w:val="0"/>
        <w:spacing w:beforeLines="0" w:afterLines="0" w:line="200" w:lineRule="exact"/>
        <w:jc w:val="both"/>
        <w:rPr>
          <w:rFonts w:hint="default"/>
          <w:color w:val="auto"/>
          <w:sz w:val="20"/>
          <w:highlight w:val="none"/>
        </w:rPr>
      </w:pPr>
    </w:p>
    <w:p w14:paraId="713D5FB4">
      <w:pPr>
        <w:kinsoku w:val="0"/>
        <w:overflowPunct w:val="0"/>
        <w:spacing w:beforeLines="0" w:afterLines="0" w:line="539" w:lineRule="exact"/>
        <w:ind w:right="1"/>
        <w:jc w:val="both"/>
        <w:outlineLvl w:val="9"/>
        <w:rPr>
          <w:rFonts w:hint="eastAsia" w:ascii="宋体" w:hAnsi="宋体" w:eastAsia="宋体"/>
          <w:color w:val="auto"/>
          <w:spacing w:val="1"/>
          <w:sz w:val="72"/>
          <w:szCs w:val="36"/>
          <w:highlight w:val="none"/>
        </w:rPr>
      </w:pPr>
    </w:p>
    <w:p w14:paraId="71ECCC1B">
      <w:pPr>
        <w:kinsoku w:val="0"/>
        <w:overflowPunct w:val="0"/>
        <w:spacing w:beforeLines="0" w:afterLines="0" w:line="539" w:lineRule="exact"/>
        <w:ind w:right="1"/>
        <w:jc w:val="both"/>
        <w:outlineLvl w:val="9"/>
        <w:rPr>
          <w:rFonts w:hint="eastAsia" w:ascii="宋体" w:hAnsi="宋体" w:eastAsia="宋体"/>
          <w:color w:val="auto"/>
          <w:spacing w:val="1"/>
          <w:sz w:val="72"/>
          <w:szCs w:val="36"/>
          <w:highlight w:val="none"/>
        </w:rPr>
      </w:pPr>
    </w:p>
    <w:p w14:paraId="41FA1713">
      <w:pPr>
        <w:kinsoku w:val="0"/>
        <w:overflowPunct w:val="0"/>
        <w:spacing w:beforeLines="0" w:afterLines="0" w:line="539" w:lineRule="exact"/>
        <w:ind w:right="1"/>
        <w:jc w:val="both"/>
        <w:outlineLvl w:val="9"/>
        <w:rPr>
          <w:rFonts w:hint="eastAsia" w:ascii="宋体" w:hAnsi="宋体" w:eastAsia="宋体"/>
          <w:color w:val="auto"/>
          <w:spacing w:val="1"/>
          <w:sz w:val="72"/>
          <w:szCs w:val="36"/>
          <w:highlight w:val="none"/>
        </w:rPr>
      </w:pPr>
    </w:p>
    <w:p w14:paraId="4F5C0267">
      <w:pPr>
        <w:keepNext w:val="0"/>
        <w:keepLines w:val="0"/>
        <w:pageBreakBefore w:val="0"/>
        <w:widowControl w:val="0"/>
        <w:kinsoku w:val="0"/>
        <w:wordWrap/>
        <w:overflowPunct w:val="0"/>
        <w:topLinePunct w:val="0"/>
        <w:autoSpaceDE/>
        <w:autoSpaceDN/>
        <w:bidi w:val="0"/>
        <w:adjustRightInd/>
        <w:snapToGrid/>
        <w:spacing w:beforeLines="0" w:afterLines="0" w:line="240" w:lineRule="auto"/>
        <w:ind w:right="0"/>
        <w:jc w:val="center"/>
        <w:textAlignment w:val="auto"/>
        <w:outlineLvl w:val="9"/>
        <w:rPr>
          <w:rFonts w:hint="eastAsia" w:ascii="宋体" w:hAnsi="宋体" w:eastAsia="宋体"/>
          <w:color w:val="auto"/>
          <w:sz w:val="72"/>
          <w:szCs w:val="72"/>
          <w:highlight w:val="none"/>
          <w:lang w:val="en-US" w:eastAsia="zh-CN"/>
        </w:rPr>
      </w:pPr>
      <w:r>
        <w:rPr>
          <w:rFonts w:hint="eastAsia" w:ascii="宋体" w:hAnsi="宋体" w:eastAsia="宋体"/>
          <w:color w:val="auto"/>
          <w:spacing w:val="1"/>
          <w:sz w:val="72"/>
          <w:szCs w:val="72"/>
          <w:highlight w:val="none"/>
        </w:rPr>
        <w:t>招</w:t>
      </w:r>
      <w:r>
        <w:rPr>
          <w:rFonts w:hint="eastAsia" w:ascii="宋体" w:hAnsi="宋体" w:eastAsia="宋体"/>
          <w:color w:val="auto"/>
          <w:sz w:val="72"/>
          <w:szCs w:val="72"/>
          <w:highlight w:val="none"/>
        </w:rPr>
        <w:t>标</w:t>
      </w:r>
      <w:r>
        <w:rPr>
          <w:rFonts w:hint="eastAsia" w:ascii="宋体" w:hAnsi="宋体" w:eastAsia="宋体"/>
          <w:color w:val="auto"/>
          <w:sz w:val="72"/>
          <w:szCs w:val="72"/>
          <w:highlight w:val="none"/>
          <w:lang w:eastAsia="zh-CN"/>
        </w:rPr>
        <w:t>公告</w:t>
      </w:r>
    </w:p>
    <w:p w14:paraId="37649D07">
      <w:pPr>
        <w:keepNext w:val="0"/>
        <w:keepLines w:val="0"/>
        <w:pageBreakBefore w:val="0"/>
        <w:widowControl w:val="0"/>
        <w:kinsoku w:val="0"/>
        <w:wordWrap/>
        <w:overflowPunct w:val="0"/>
        <w:topLinePunct w:val="0"/>
        <w:autoSpaceDE/>
        <w:autoSpaceDN/>
        <w:bidi w:val="0"/>
        <w:adjustRightInd/>
        <w:snapToGrid/>
        <w:spacing w:beforeLines="0" w:afterLines="0" w:line="170" w:lineRule="exact"/>
        <w:jc w:val="both"/>
        <w:textAlignment w:val="auto"/>
        <w:rPr>
          <w:rFonts w:hint="default"/>
          <w:color w:val="auto"/>
          <w:sz w:val="17"/>
          <w:highlight w:val="none"/>
        </w:rPr>
      </w:pPr>
    </w:p>
    <w:p w14:paraId="06653745">
      <w:pPr>
        <w:kinsoku w:val="0"/>
        <w:overflowPunct w:val="0"/>
        <w:spacing w:beforeLines="0" w:afterLines="0" w:line="200" w:lineRule="exact"/>
        <w:jc w:val="both"/>
        <w:rPr>
          <w:rFonts w:hint="default"/>
          <w:color w:val="auto"/>
          <w:sz w:val="20"/>
          <w:highlight w:val="none"/>
        </w:rPr>
      </w:pPr>
    </w:p>
    <w:p w14:paraId="37609E36">
      <w:pPr>
        <w:kinsoku w:val="0"/>
        <w:overflowPunct w:val="0"/>
        <w:spacing w:beforeLines="0" w:afterLines="0" w:line="200" w:lineRule="exact"/>
        <w:jc w:val="both"/>
        <w:rPr>
          <w:rFonts w:hint="default"/>
          <w:color w:val="auto"/>
          <w:sz w:val="20"/>
          <w:highlight w:val="none"/>
        </w:rPr>
      </w:pPr>
    </w:p>
    <w:p w14:paraId="37E5A92A">
      <w:pPr>
        <w:kinsoku w:val="0"/>
        <w:overflowPunct w:val="0"/>
        <w:spacing w:beforeLines="0" w:afterLines="0" w:line="200" w:lineRule="exact"/>
        <w:jc w:val="both"/>
        <w:rPr>
          <w:rFonts w:hint="default"/>
          <w:color w:val="auto"/>
          <w:sz w:val="20"/>
          <w:highlight w:val="none"/>
        </w:rPr>
      </w:pPr>
    </w:p>
    <w:p w14:paraId="55469CB3">
      <w:pPr>
        <w:kinsoku w:val="0"/>
        <w:overflowPunct w:val="0"/>
        <w:spacing w:beforeLines="0" w:afterLines="0" w:line="200" w:lineRule="exact"/>
        <w:jc w:val="both"/>
        <w:rPr>
          <w:rFonts w:hint="default"/>
          <w:color w:val="auto"/>
          <w:sz w:val="20"/>
          <w:highlight w:val="none"/>
        </w:rPr>
      </w:pPr>
    </w:p>
    <w:p w14:paraId="30FE00CC">
      <w:pPr>
        <w:kinsoku w:val="0"/>
        <w:overflowPunct w:val="0"/>
        <w:spacing w:beforeLines="0" w:afterLines="0" w:line="200" w:lineRule="exact"/>
        <w:jc w:val="both"/>
        <w:rPr>
          <w:rFonts w:hint="default"/>
          <w:color w:val="auto"/>
          <w:sz w:val="20"/>
          <w:highlight w:val="none"/>
        </w:rPr>
      </w:pPr>
    </w:p>
    <w:p w14:paraId="2CA54C9E">
      <w:pPr>
        <w:kinsoku w:val="0"/>
        <w:overflowPunct w:val="0"/>
        <w:spacing w:beforeLines="0" w:afterLines="0" w:line="200" w:lineRule="exact"/>
        <w:jc w:val="both"/>
        <w:rPr>
          <w:rFonts w:hint="default"/>
          <w:color w:val="auto"/>
          <w:sz w:val="20"/>
          <w:highlight w:val="none"/>
        </w:rPr>
      </w:pPr>
    </w:p>
    <w:p w14:paraId="124D644F">
      <w:pPr>
        <w:kinsoku w:val="0"/>
        <w:overflowPunct w:val="0"/>
        <w:spacing w:beforeLines="0" w:afterLines="0" w:line="200" w:lineRule="exact"/>
        <w:jc w:val="both"/>
        <w:rPr>
          <w:rFonts w:hint="default"/>
          <w:color w:val="auto"/>
          <w:sz w:val="20"/>
          <w:highlight w:val="none"/>
        </w:rPr>
      </w:pPr>
    </w:p>
    <w:p w14:paraId="16960B27">
      <w:pPr>
        <w:kinsoku w:val="0"/>
        <w:overflowPunct w:val="0"/>
        <w:spacing w:beforeLines="0" w:afterLines="0" w:line="200" w:lineRule="exact"/>
        <w:jc w:val="both"/>
        <w:rPr>
          <w:rFonts w:hint="default"/>
          <w:color w:val="auto"/>
          <w:sz w:val="20"/>
          <w:highlight w:val="none"/>
        </w:rPr>
      </w:pPr>
    </w:p>
    <w:p w14:paraId="1E9765D9">
      <w:pPr>
        <w:kinsoku w:val="0"/>
        <w:overflowPunct w:val="0"/>
        <w:spacing w:beforeLines="0" w:afterLines="0" w:line="200" w:lineRule="exact"/>
        <w:jc w:val="both"/>
        <w:rPr>
          <w:rFonts w:hint="default"/>
          <w:color w:val="auto"/>
          <w:sz w:val="20"/>
          <w:highlight w:val="none"/>
        </w:rPr>
      </w:pPr>
    </w:p>
    <w:p w14:paraId="07946F07">
      <w:pPr>
        <w:kinsoku w:val="0"/>
        <w:overflowPunct w:val="0"/>
        <w:spacing w:beforeLines="0" w:afterLines="0" w:line="200" w:lineRule="exact"/>
        <w:jc w:val="both"/>
        <w:rPr>
          <w:rFonts w:hint="default"/>
          <w:color w:val="auto"/>
          <w:sz w:val="20"/>
          <w:highlight w:val="none"/>
        </w:rPr>
      </w:pPr>
    </w:p>
    <w:p w14:paraId="63E48E95">
      <w:pPr>
        <w:kinsoku w:val="0"/>
        <w:overflowPunct w:val="0"/>
        <w:spacing w:beforeLines="0" w:afterLines="0" w:line="200" w:lineRule="exact"/>
        <w:jc w:val="both"/>
        <w:rPr>
          <w:rFonts w:hint="default"/>
          <w:color w:val="auto"/>
          <w:sz w:val="20"/>
          <w:highlight w:val="none"/>
        </w:rPr>
      </w:pPr>
    </w:p>
    <w:p w14:paraId="29980BE7">
      <w:pPr>
        <w:kinsoku w:val="0"/>
        <w:overflowPunct w:val="0"/>
        <w:spacing w:beforeLines="0" w:afterLines="0" w:line="200" w:lineRule="exact"/>
        <w:jc w:val="both"/>
        <w:rPr>
          <w:rFonts w:hint="default"/>
          <w:color w:val="auto"/>
          <w:sz w:val="20"/>
          <w:highlight w:val="none"/>
        </w:rPr>
      </w:pPr>
    </w:p>
    <w:p w14:paraId="0353D8DA">
      <w:pPr>
        <w:kinsoku w:val="0"/>
        <w:overflowPunct w:val="0"/>
        <w:spacing w:beforeLines="0" w:afterLines="0" w:line="200" w:lineRule="exact"/>
        <w:jc w:val="both"/>
        <w:rPr>
          <w:rFonts w:hint="default"/>
          <w:color w:val="auto"/>
          <w:sz w:val="20"/>
          <w:highlight w:val="none"/>
        </w:rPr>
      </w:pPr>
    </w:p>
    <w:p w14:paraId="324792C6">
      <w:pPr>
        <w:kinsoku w:val="0"/>
        <w:overflowPunct w:val="0"/>
        <w:spacing w:beforeLines="0" w:afterLines="0" w:line="200" w:lineRule="exact"/>
        <w:jc w:val="both"/>
        <w:rPr>
          <w:rFonts w:hint="default"/>
          <w:color w:val="auto"/>
          <w:sz w:val="20"/>
          <w:highlight w:val="none"/>
        </w:rPr>
      </w:pPr>
    </w:p>
    <w:p w14:paraId="63E3F228">
      <w:pPr>
        <w:kinsoku w:val="0"/>
        <w:overflowPunct w:val="0"/>
        <w:spacing w:beforeLines="0" w:afterLines="0" w:line="200" w:lineRule="exact"/>
        <w:jc w:val="both"/>
        <w:rPr>
          <w:rFonts w:hint="default"/>
          <w:color w:val="auto"/>
          <w:sz w:val="20"/>
          <w:highlight w:val="none"/>
        </w:rPr>
      </w:pPr>
    </w:p>
    <w:p w14:paraId="0C1C4096">
      <w:pPr>
        <w:kinsoku w:val="0"/>
        <w:overflowPunct w:val="0"/>
        <w:spacing w:beforeLines="0" w:afterLines="0" w:line="200" w:lineRule="exact"/>
        <w:jc w:val="both"/>
        <w:rPr>
          <w:rFonts w:hint="default"/>
          <w:color w:val="auto"/>
          <w:sz w:val="20"/>
          <w:highlight w:val="none"/>
        </w:rPr>
      </w:pPr>
    </w:p>
    <w:p w14:paraId="3F4B3F37">
      <w:pPr>
        <w:kinsoku w:val="0"/>
        <w:overflowPunct w:val="0"/>
        <w:spacing w:beforeLines="0" w:afterLines="0" w:line="200" w:lineRule="exact"/>
        <w:jc w:val="both"/>
        <w:rPr>
          <w:rFonts w:hint="default"/>
          <w:color w:val="auto"/>
          <w:sz w:val="20"/>
          <w:highlight w:val="none"/>
        </w:rPr>
      </w:pPr>
    </w:p>
    <w:p w14:paraId="129B3E32">
      <w:pPr>
        <w:tabs>
          <w:tab w:val="left" w:pos="2593"/>
        </w:tabs>
        <w:kinsoku w:val="0"/>
        <w:overflowPunct w:val="0"/>
        <w:spacing w:beforeLines="0" w:afterLines="0"/>
        <w:ind w:left="3" w:firstLine="560" w:firstLineChars="200"/>
        <w:jc w:val="both"/>
        <w:rPr>
          <w:rFonts w:hint="eastAsia" w:ascii="宋体" w:hAnsi="宋体" w:eastAsia="宋体"/>
          <w:color w:val="auto"/>
          <w:sz w:val="28"/>
          <w:szCs w:val="28"/>
          <w:highlight w:val="none"/>
        </w:rPr>
      </w:pPr>
      <w:r>
        <w:rPr>
          <w:rFonts w:hint="eastAsia" w:ascii="宋体" w:hAnsi="宋体" w:eastAsia="宋体"/>
          <w:color w:val="auto"/>
          <w:sz w:val="28"/>
          <w:szCs w:val="28"/>
          <w:highlight w:val="none"/>
        </w:rPr>
        <w:t>招标人：</w:t>
      </w:r>
      <w:r>
        <w:rPr>
          <w:rFonts w:hint="eastAsia" w:ascii="宋体" w:hAnsi="宋体"/>
          <w:color w:val="auto"/>
          <w:sz w:val="28"/>
          <w:szCs w:val="28"/>
          <w:highlight w:val="none"/>
          <w:u w:val="single"/>
          <w:lang w:eastAsia="zh-CN"/>
        </w:rPr>
        <w:t>广州市增城区仙村镇人民政府</w:t>
      </w:r>
      <w:r>
        <w:rPr>
          <w:rFonts w:hint="eastAsia" w:ascii="宋体" w:hAnsi="宋体" w:eastAsia="宋体"/>
          <w:color w:val="auto"/>
          <w:sz w:val="28"/>
          <w:szCs w:val="28"/>
          <w:highlight w:val="none"/>
        </w:rPr>
        <w:t>（盖单位章）</w:t>
      </w:r>
    </w:p>
    <w:p w14:paraId="27EDF94A">
      <w:pPr>
        <w:kinsoku w:val="0"/>
        <w:overflowPunct w:val="0"/>
        <w:ind w:left="3"/>
        <w:jc w:val="both"/>
        <w:rPr>
          <w:rFonts w:hint="eastAsia" w:ascii="宋体" w:hAnsi="宋体"/>
          <w:color w:val="auto"/>
          <w:sz w:val="28"/>
          <w:szCs w:val="28"/>
          <w:highlight w:val="none"/>
        </w:rPr>
      </w:pPr>
    </w:p>
    <w:p w14:paraId="43B4FBDC">
      <w:pPr>
        <w:kinsoku w:val="0"/>
        <w:overflowPunct w:val="0"/>
        <w:ind w:left="-2" w:leftChars="0" w:firstLine="0" w:firstLineChars="0"/>
        <w:jc w:val="both"/>
        <w:rPr>
          <w:rFonts w:hint="eastAsia" w:ascii="宋体" w:hAnsi="宋体"/>
          <w:color w:val="auto"/>
          <w:sz w:val="28"/>
          <w:szCs w:val="28"/>
          <w:highlight w:val="none"/>
        </w:rPr>
      </w:pPr>
    </w:p>
    <w:p w14:paraId="1C9C4215">
      <w:pPr>
        <w:kinsoku w:val="0"/>
        <w:overflowPunct w:val="0"/>
        <w:ind w:left="-2" w:leftChars="0" w:firstLine="560" w:firstLineChars="200"/>
        <w:jc w:val="both"/>
        <w:rPr>
          <w:rFonts w:hint="eastAsia" w:ascii="宋体" w:hAnsi="宋体"/>
          <w:color w:val="auto"/>
          <w:sz w:val="28"/>
          <w:szCs w:val="28"/>
          <w:highlight w:val="none"/>
        </w:rPr>
      </w:pPr>
      <w:r>
        <w:rPr>
          <w:rFonts w:hint="eastAsia" w:ascii="宋体" w:hAnsi="宋体"/>
          <w:color w:val="auto"/>
          <w:sz w:val="28"/>
          <w:szCs w:val="28"/>
          <w:highlight w:val="none"/>
        </w:rPr>
        <w:t>招标代理机构：</w:t>
      </w:r>
      <w:r>
        <w:rPr>
          <w:rFonts w:hint="eastAsia" w:ascii="宋体" w:hAnsi="宋体"/>
          <w:color w:val="auto"/>
          <w:sz w:val="28"/>
          <w:szCs w:val="28"/>
          <w:u w:val="single"/>
          <w:lang w:eastAsia="zh-CN"/>
        </w:rPr>
        <w:t>广州市弘鑫工程咨询有限公司</w:t>
      </w:r>
      <w:r>
        <w:rPr>
          <w:rFonts w:hint="eastAsia" w:ascii="宋体" w:hAnsi="宋体"/>
          <w:color w:val="auto"/>
          <w:sz w:val="28"/>
          <w:szCs w:val="28"/>
          <w:highlight w:val="none"/>
        </w:rPr>
        <w:t xml:space="preserve">（盖单位章） </w:t>
      </w:r>
    </w:p>
    <w:p w14:paraId="1E991C79">
      <w:pPr>
        <w:kinsoku w:val="0"/>
        <w:overflowPunct w:val="0"/>
        <w:spacing w:before="6" w:line="100" w:lineRule="exact"/>
        <w:jc w:val="both"/>
        <w:rPr>
          <w:color w:val="auto"/>
          <w:sz w:val="28"/>
          <w:szCs w:val="28"/>
          <w:highlight w:val="none"/>
        </w:rPr>
      </w:pPr>
    </w:p>
    <w:p w14:paraId="2722AFA9">
      <w:pPr>
        <w:kinsoku w:val="0"/>
        <w:overflowPunct w:val="0"/>
        <w:spacing w:line="200" w:lineRule="exact"/>
        <w:jc w:val="both"/>
        <w:rPr>
          <w:color w:val="auto"/>
          <w:sz w:val="28"/>
          <w:szCs w:val="28"/>
          <w:highlight w:val="none"/>
        </w:rPr>
      </w:pPr>
    </w:p>
    <w:p w14:paraId="233BC00D">
      <w:pPr>
        <w:pStyle w:val="6"/>
        <w:jc w:val="both"/>
        <w:rPr>
          <w:color w:val="auto"/>
          <w:sz w:val="28"/>
          <w:szCs w:val="28"/>
          <w:highlight w:val="none"/>
        </w:rPr>
      </w:pPr>
    </w:p>
    <w:p w14:paraId="1C2113DC">
      <w:pPr>
        <w:kinsoku w:val="0"/>
        <w:overflowPunct w:val="0"/>
        <w:spacing w:line="600" w:lineRule="auto"/>
        <w:ind w:left="-2"/>
        <w:jc w:val="center"/>
        <w:rPr>
          <w:rFonts w:hint="eastAsia" w:ascii="宋体" w:hAnsi="宋体" w:eastAsia="宋体" w:cs="Times New Roman"/>
          <w:color w:val="auto"/>
          <w:sz w:val="28"/>
          <w:szCs w:val="28"/>
          <w:highlight w:val="none"/>
          <w:lang w:val="en-US"/>
        </w:rPr>
        <w:sectPr>
          <w:footerReference r:id="rId3" w:type="default"/>
          <w:pgSz w:w="11906" w:h="16838"/>
          <w:pgMar w:top="1378" w:right="1587" w:bottom="1120" w:left="1701" w:header="0" w:footer="921" w:gutter="0"/>
          <w:pgBorders>
            <w:top w:val="none" w:sz="0" w:space="0"/>
            <w:left w:val="none" w:sz="0" w:space="0"/>
            <w:bottom w:val="none" w:sz="0" w:space="0"/>
            <w:right w:val="none" w:sz="0" w:space="0"/>
          </w:pgBorders>
          <w:lnNumType w:countBy="0" w:distance="360"/>
          <w:pgNumType w:fmt="decimal" w:start="1"/>
          <w:cols w:space="720" w:num="1"/>
        </w:sectPr>
      </w:pPr>
      <w:r>
        <w:rPr>
          <w:rFonts w:hint="eastAsia" w:ascii="宋体" w:hAnsi="宋体" w:eastAsia="宋体" w:cs="Times New Roman"/>
          <w:color w:val="auto"/>
          <w:sz w:val="28"/>
          <w:szCs w:val="28"/>
          <w:highlight w:val="none"/>
          <w:u w:val="none"/>
          <w:lang w:val="en-US" w:eastAsia="zh-CN"/>
        </w:rPr>
        <w:t>2025</w:t>
      </w:r>
      <w:r>
        <w:rPr>
          <w:rFonts w:hint="eastAsia" w:ascii="宋体" w:hAnsi="宋体" w:eastAsia="宋体" w:cs="Times New Roman"/>
          <w:color w:val="auto"/>
          <w:spacing w:val="0"/>
          <w:sz w:val="28"/>
          <w:szCs w:val="28"/>
          <w:highlight w:val="none"/>
        </w:rPr>
        <w:t>年</w:t>
      </w:r>
      <w:r>
        <w:rPr>
          <w:rFonts w:hint="eastAsia" w:ascii="宋体" w:hAnsi="宋体" w:eastAsia="宋体" w:cs="Times New Roman"/>
          <w:color w:val="auto"/>
          <w:spacing w:val="0"/>
          <w:sz w:val="28"/>
          <w:szCs w:val="28"/>
          <w:highlight w:val="none"/>
          <w:u w:val="none"/>
          <w:lang w:val="en-US" w:eastAsia="zh-CN"/>
        </w:rPr>
        <w:t xml:space="preserve"> </w:t>
      </w:r>
      <w:r>
        <w:rPr>
          <w:rFonts w:hint="eastAsia" w:ascii="宋体" w:hAnsi="宋体" w:cs="Times New Roman"/>
          <w:color w:val="auto"/>
          <w:spacing w:val="0"/>
          <w:sz w:val="28"/>
          <w:szCs w:val="28"/>
          <w:highlight w:val="none"/>
          <w:u w:val="none"/>
          <w:lang w:val="en-US" w:eastAsia="zh-CN"/>
        </w:rPr>
        <w:t xml:space="preserve"> </w:t>
      </w:r>
      <w:r>
        <w:rPr>
          <w:rFonts w:hint="eastAsia" w:ascii="宋体" w:hAnsi="宋体" w:eastAsia="宋体" w:cs="Times New Roman"/>
          <w:color w:val="auto"/>
          <w:spacing w:val="0"/>
          <w:sz w:val="28"/>
          <w:szCs w:val="28"/>
          <w:highlight w:val="none"/>
          <w:u w:val="none"/>
          <w:lang w:val="en-US" w:eastAsia="zh-CN"/>
        </w:rPr>
        <w:t xml:space="preserve"> </w:t>
      </w:r>
      <w:r>
        <w:rPr>
          <w:rFonts w:hint="eastAsia" w:ascii="宋体" w:hAnsi="宋体" w:eastAsia="宋体" w:cs="Times New Roman"/>
          <w:color w:val="auto"/>
          <w:spacing w:val="0"/>
          <w:sz w:val="28"/>
          <w:szCs w:val="28"/>
          <w:highlight w:val="none"/>
        </w:rPr>
        <w:t>月</w:t>
      </w:r>
    </w:p>
    <w:p w14:paraId="4079821D">
      <w:pPr>
        <w:bidi w:val="0"/>
        <w:jc w:val="center"/>
        <w:rPr>
          <w:rFonts w:hint="eastAsia" w:ascii="宋体" w:hAnsi="宋体" w:cs="宋体"/>
          <w:b/>
          <w:bCs/>
          <w:color w:val="auto"/>
          <w:sz w:val="32"/>
          <w:szCs w:val="32"/>
          <w:lang w:eastAsia="zh-CN"/>
        </w:rPr>
      </w:pPr>
      <w:r>
        <w:rPr>
          <w:rFonts w:hint="eastAsia" w:ascii="宋体" w:hAnsi="宋体" w:cs="宋体"/>
          <w:b/>
          <w:bCs/>
          <w:color w:val="auto"/>
          <w:sz w:val="32"/>
          <w:szCs w:val="32"/>
          <w:lang w:eastAsia="zh-CN"/>
        </w:rPr>
        <w:t>增城经济技术开发区仙村园区蓝山4号路勘察设计</w:t>
      </w:r>
    </w:p>
    <w:p w14:paraId="43AD1CE4">
      <w:pPr>
        <w:bidi w:val="0"/>
        <w:jc w:val="center"/>
        <w:rPr>
          <w:b/>
          <w:bCs/>
          <w:color w:val="auto"/>
        </w:rPr>
      </w:pPr>
      <w:r>
        <w:rPr>
          <w:rFonts w:hint="eastAsia" w:ascii="宋体" w:hAnsi="宋体" w:eastAsia="宋体" w:cs="宋体"/>
          <w:b/>
          <w:bCs/>
          <w:color w:val="auto"/>
          <w:sz w:val="32"/>
          <w:szCs w:val="32"/>
        </w:rPr>
        <w:t>招标公告</w:t>
      </w:r>
      <w:bookmarkEnd w:id="1"/>
      <w:bookmarkEnd w:id="2"/>
      <w:bookmarkEnd w:id="3"/>
      <w:bookmarkEnd w:id="4"/>
      <w:bookmarkEnd w:id="5"/>
      <w:bookmarkEnd w:id="6"/>
      <w:bookmarkEnd w:id="7"/>
    </w:p>
    <w:p w14:paraId="3F1072A3">
      <w:pPr>
        <w:pStyle w:val="3"/>
        <w:rPr>
          <w:rFonts w:hint="eastAsia"/>
          <w:color w:val="auto"/>
        </w:rPr>
      </w:pPr>
      <w:bookmarkStart w:id="8" w:name="bookmark2"/>
      <w:bookmarkEnd w:id="8"/>
      <w:bookmarkStart w:id="9" w:name="_Toc32065"/>
      <w:bookmarkStart w:id="10" w:name="_Toc26166"/>
      <w:bookmarkStart w:id="11" w:name="_Toc2178"/>
      <w:bookmarkStart w:id="12" w:name="_Toc20499"/>
      <w:bookmarkStart w:id="13" w:name="_Toc20954"/>
      <w:bookmarkStart w:id="14" w:name="_Toc8245"/>
      <w:r>
        <w:rPr>
          <w:rFonts w:hint="eastAsia"/>
          <w:color w:val="auto"/>
        </w:rPr>
        <w:t>1.招标条件</w:t>
      </w:r>
      <w:bookmarkEnd w:id="9"/>
      <w:bookmarkEnd w:id="10"/>
      <w:bookmarkEnd w:id="11"/>
      <w:bookmarkEnd w:id="12"/>
      <w:bookmarkEnd w:id="13"/>
      <w:bookmarkEnd w:id="14"/>
    </w:p>
    <w:p w14:paraId="66B98B71">
      <w:pPr>
        <w:pStyle w:val="5"/>
        <w:keepNext w:val="0"/>
        <w:keepLines w:val="0"/>
        <w:pageBreakBefore w:val="0"/>
        <w:widowControl w:val="0"/>
        <w:tabs>
          <w:tab w:val="left" w:pos="1362"/>
          <w:tab w:val="left" w:pos="2712"/>
          <w:tab w:val="left" w:pos="3264"/>
          <w:tab w:val="left" w:pos="4896"/>
          <w:tab w:val="left" w:pos="6005"/>
          <w:tab w:val="left" w:pos="7085"/>
          <w:tab w:val="left" w:pos="7498"/>
        </w:tabs>
        <w:kinsoku w:val="0"/>
        <w:wordWrap/>
        <w:overflowPunct w:val="0"/>
        <w:topLinePunct w:val="0"/>
        <w:autoSpaceDE w:val="0"/>
        <w:autoSpaceDN w:val="0"/>
        <w:bidi w:val="0"/>
        <w:adjustRightInd/>
        <w:snapToGrid/>
        <w:spacing w:line="360" w:lineRule="auto"/>
        <w:ind w:left="102" w:right="-40" w:firstLine="420"/>
        <w:jc w:val="both"/>
        <w:textAlignment w:val="auto"/>
        <w:rPr>
          <w:color w:val="auto"/>
        </w:rPr>
      </w:pPr>
      <w:r>
        <w:rPr>
          <w:color w:val="auto"/>
        </w:rPr>
        <w:t>本招标项目</w:t>
      </w:r>
      <w:r>
        <w:rPr>
          <w:rFonts w:hint="eastAsia"/>
          <w:color w:val="auto"/>
          <w:u w:val="single"/>
          <w:lang w:val="en-US" w:eastAsia="zh-CN"/>
        </w:rPr>
        <w:t xml:space="preserve"> </w:t>
      </w:r>
      <w:r>
        <w:rPr>
          <w:rFonts w:hint="eastAsia" w:ascii="Times New Roman" w:hAnsi="Times New Roman"/>
          <w:color w:val="auto"/>
          <w:u w:val="single"/>
          <w:lang w:eastAsia="zh-CN"/>
        </w:rPr>
        <w:t>增城经济技术开发区仙村园区蓝山4号路</w:t>
      </w:r>
      <w:r>
        <w:rPr>
          <w:rFonts w:hint="eastAsia" w:ascii="Times New Roman" w:hAnsi="Times New Roman"/>
          <w:color w:val="auto"/>
          <w:u w:val="single"/>
          <w:lang w:val="en-US" w:eastAsia="zh-CN"/>
        </w:rPr>
        <w:t xml:space="preserve"> </w:t>
      </w:r>
      <w:r>
        <w:rPr>
          <w:color w:val="auto"/>
        </w:rPr>
        <w:t>已</w:t>
      </w:r>
      <w:r>
        <w:rPr>
          <w:color w:val="auto"/>
          <w:spacing w:val="-1"/>
        </w:rPr>
        <w:t>由</w:t>
      </w:r>
      <w:r>
        <w:rPr>
          <w:rFonts w:hint="eastAsia" w:ascii="Times New Roman" w:hAnsi="Times New Roman" w:eastAsia="宋体" w:cs="Times New Roman"/>
          <w:color w:val="auto"/>
          <w:u w:val="single"/>
        </w:rPr>
        <w:t>广州市增城区发展和改革局</w:t>
      </w:r>
      <w:r>
        <w:rPr>
          <w:color w:val="auto"/>
          <w:spacing w:val="-1"/>
        </w:rPr>
        <w:t>以</w:t>
      </w:r>
      <w:r>
        <w:rPr>
          <w:rFonts w:hint="eastAsia" w:ascii="Times New Roman" w:hAnsi="Times New Roman" w:eastAsia="宋体" w:cs="Times New Roman"/>
          <w:color w:val="auto"/>
          <w:highlight w:val="none"/>
          <w:u w:val="single"/>
        </w:rPr>
        <w:t>穗增发改</w:t>
      </w:r>
      <w:r>
        <w:rPr>
          <w:rFonts w:hint="eastAsia" w:ascii="Times New Roman" w:hAnsi="Times New Roman" w:cs="Times New Roman"/>
          <w:color w:val="auto"/>
          <w:highlight w:val="none"/>
          <w:u w:val="single"/>
          <w:lang w:val="en-US" w:eastAsia="zh-CN"/>
        </w:rPr>
        <w:t>投</w:t>
      </w:r>
      <w:r>
        <w:rPr>
          <w:rFonts w:hint="eastAsia" w:ascii="Times New Roman" w:hAnsi="Times New Roman" w:eastAsia="宋体" w:cs="Times New Roman"/>
          <w:color w:val="auto"/>
          <w:highlight w:val="none"/>
          <w:u w:val="single"/>
        </w:rPr>
        <w:t>函[2025]</w:t>
      </w:r>
      <w:r>
        <w:rPr>
          <w:rFonts w:hint="eastAsia" w:ascii="Times New Roman" w:hAnsi="Times New Roman" w:cs="Times New Roman"/>
          <w:color w:val="auto"/>
          <w:highlight w:val="none"/>
          <w:u w:val="single"/>
          <w:lang w:val="en-US" w:eastAsia="zh-CN"/>
        </w:rPr>
        <w:t>10</w:t>
      </w:r>
      <w:r>
        <w:rPr>
          <w:rFonts w:hint="eastAsia" w:ascii="Times New Roman" w:hAnsi="Times New Roman" w:eastAsia="宋体" w:cs="Times New Roman"/>
          <w:color w:val="auto"/>
          <w:highlight w:val="none"/>
          <w:u w:val="single"/>
        </w:rPr>
        <w:t>号</w:t>
      </w:r>
      <w:r>
        <w:rPr>
          <w:color w:val="auto"/>
          <w:spacing w:val="-3"/>
          <w:highlight w:val="none"/>
        </w:rPr>
        <w:t>批</w:t>
      </w:r>
      <w:r>
        <w:rPr>
          <w:color w:val="auto"/>
        </w:rPr>
        <w:t>准建</w:t>
      </w:r>
      <w:r>
        <w:rPr>
          <w:color w:val="auto"/>
          <w:spacing w:val="-3"/>
        </w:rPr>
        <w:t>设</w:t>
      </w:r>
      <w:r>
        <w:rPr>
          <w:color w:val="auto"/>
          <w:spacing w:val="-17"/>
        </w:rPr>
        <w:t>，</w:t>
      </w:r>
      <w:r>
        <w:rPr>
          <w:color w:val="auto"/>
        </w:rPr>
        <w:t>项</w:t>
      </w:r>
      <w:r>
        <w:rPr>
          <w:color w:val="auto"/>
          <w:spacing w:val="-3"/>
        </w:rPr>
        <w:t>目</w:t>
      </w:r>
      <w:r>
        <w:rPr>
          <w:color w:val="auto"/>
        </w:rPr>
        <w:t>业</w:t>
      </w:r>
      <w:r>
        <w:rPr>
          <w:color w:val="auto"/>
          <w:spacing w:val="-3"/>
        </w:rPr>
        <w:t>主</w:t>
      </w:r>
      <w:r>
        <w:rPr>
          <w:color w:val="auto"/>
          <w:spacing w:val="-1"/>
        </w:rPr>
        <w:t>为</w:t>
      </w:r>
      <w:r>
        <w:rPr>
          <w:rFonts w:hint="eastAsia" w:ascii="Times New Roman" w:hAnsi="Times New Roman" w:cs="Times New Roman"/>
          <w:color w:val="auto"/>
          <w:u w:val="single"/>
          <w:lang w:eastAsia="zh-CN"/>
        </w:rPr>
        <w:t>广州市增城区仙村镇人民政府</w:t>
      </w:r>
      <w:r>
        <w:rPr>
          <w:color w:val="auto"/>
          <w:spacing w:val="-17"/>
        </w:rPr>
        <w:t>，</w:t>
      </w:r>
      <w:r>
        <w:rPr>
          <w:color w:val="auto"/>
        </w:rPr>
        <w:t>建</w:t>
      </w:r>
      <w:r>
        <w:rPr>
          <w:color w:val="auto"/>
          <w:spacing w:val="-3"/>
        </w:rPr>
        <w:t>设</w:t>
      </w:r>
      <w:r>
        <w:rPr>
          <w:color w:val="auto"/>
        </w:rPr>
        <w:t>资</w:t>
      </w:r>
      <w:r>
        <w:rPr>
          <w:color w:val="auto"/>
          <w:spacing w:val="-3"/>
        </w:rPr>
        <w:t>金</w:t>
      </w:r>
      <w:r>
        <w:rPr>
          <w:color w:val="auto"/>
        </w:rPr>
        <w:t>来</w:t>
      </w:r>
      <w:r>
        <w:rPr>
          <w:color w:val="auto"/>
          <w:spacing w:val="-1"/>
        </w:rPr>
        <w:t>自</w:t>
      </w:r>
      <w:r>
        <w:rPr>
          <w:rFonts w:hint="eastAsia" w:ascii="Times New Roman" w:hAnsi="Times New Roman" w:eastAsia="宋体" w:cs="Times New Roman"/>
          <w:color w:val="auto"/>
          <w:u w:val="single"/>
        </w:rPr>
        <w:t>区财政资金</w:t>
      </w:r>
      <w:r>
        <w:rPr>
          <w:color w:val="auto"/>
          <w:spacing w:val="-20"/>
        </w:rPr>
        <w:t>，</w:t>
      </w:r>
      <w:r>
        <w:rPr>
          <w:color w:val="auto"/>
        </w:rPr>
        <w:t>出</w:t>
      </w:r>
      <w:r>
        <w:rPr>
          <w:color w:val="auto"/>
          <w:spacing w:val="-3"/>
        </w:rPr>
        <w:t>资</w:t>
      </w:r>
      <w:r>
        <w:rPr>
          <w:color w:val="auto"/>
        </w:rPr>
        <w:t>比</w:t>
      </w:r>
      <w:r>
        <w:rPr>
          <w:color w:val="auto"/>
          <w:spacing w:val="-3"/>
        </w:rPr>
        <w:t>例</w:t>
      </w:r>
      <w:r>
        <w:rPr>
          <w:color w:val="auto"/>
        </w:rPr>
        <w:t>为</w:t>
      </w:r>
      <w:r>
        <w:rPr>
          <w:rFonts w:hint="eastAsia" w:ascii="Times New Roman" w:hAnsi="Times New Roman" w:eastAsia="宋体" w:cs="Times New Roman"/>
          <w:color w:val="auto"/>
          <w:u w:val="single"/>
          <w:lang w:val="en-US" w:eastAsia="zh-CN"/>
        </w:rPr>
        <w:t xml:space="preserve">100% </w:t>
      </w:r>
      <w:r>
        <w:rPr>
          <w:color w:val="auto"/>
          <w:spacing w:val="-20"/>
        </w:rPr>
        <w:t>，</w:t>
      </w:r>
      <w:r>
        <w:rPr>
          <w:color w:val="auto"/>
        </w:rPr>
        <w:t>招</w:t>
      </w:r>
      <w:r>
        <w:rPr>
          <w:color w:val="auto"/>
          <w:spacing w:val="-3"/>
        </w:rPr>
        <w:t>标</w:t>
      </w:r>
      <w:r>
        <w:rPr>
          <w:color w:val="auto"/>
        </w:rPr>
        <w:t>人</w:t>
      </w:r>
      <w:r>
        <w:rPr>
          <w:color w:val="auto"/>
          <w:spacing w:val="-3"/>
        </w:rPr>
        <w:t>为</w:t>
      </w:r>
      <w:r>
        <w:rPr>
          <w:rFonts w:hint="eastAsia" w:ascii="Times New Roman" w:hAnsi="Times New Roman" w:cs="Times New Roman"/>
          <w:color w:val="auto"/>
          <w:u w:val="single"/>
          <w:lang w:eastAsia="zh-CN"/>
        </w:rPr>
        <w:t>广州市增城区仙村镇人民政府</w:t>
      </w:r>
      <w:r>
        <w:rPr>
          <w:color w:val="auto"/>
          <w:spacing w:val="-22"/>
        </w:rPr>
        <w:t>。</w:t>
      </w:r>
      <w:r>
        <w:rPr>
          <w:color w:val="auto"/>
        </w:rPr>
        <w:t>项目</w:t>
      </w:r>
      <w:r>
        <w:rPr>
          <w:color w:val="auto"/>
          <w:spacing w:val="-3"/>
        </w:rPr>
        <w:t>已</w:t>
      </w:r>
      <w:r>
        <w:rPr>
          <w:color w:val="auto"/>
        </w:rPr>
        <w:t>具</w:t>
      </w:r>
      <w:r>
        <w:rPr>
          <w:color w:val="auto"/>
          <w:spacing w:val="-3"/>
        </w:rPr>
        <w:t>备招</w:t>
      </w:r>
      <w:r>
        <w:rPr>
          <w:color w:val="auto"/>
        </w:rPr>
        <w:t>标条件</w:t>
      </w:r>
      <w:r>
        <w:rPr>
          <w:color w:val="auto"/>
          <w:spacing w:val="-3"/>
        </w:rPr>
        <w:t>，</w:t>
      </w:r>
      <w:r>
        <w:rPr>
          <w:color w:val="auto"/>
        </w:rPr>
        <w:t>现</w:t>
      </w:r>
      <w:r>
        <w:rPr>
          <w:color w:val="auto"/>
          <w:spacing w:val="-3"/>
        </w:rPr>
        <w:t>对</w:t>
      </w:r>
      <w:r>
        <w:rPr>
          <w:color w:val="auto"/>
        </w:rPr>
        <w:t>该</w:t>
      </w:r>
      <w:r>
        <w:rPr>
          <w:color w:val="auto"/>
          <w:spacing w:val="-3"/>
        </w:rPr>
        <w:t>项</w:t>
      </w:r>
      <w:r>
        <w:rPr>
          <w:color w:val="auto"/>
        </w:rPr>
        <w:t>目</w:t>
      </w:r>
      <w:r>
        <w:rPr>
          <w:color w:val="auto"/>
          <w:spacing w:val="-3"/>
        </w:rPr>
        <w:t>的</w:t>
      </w:r>
      <w:r>
        <w:rPr>
          <w:rFonts w:hint="eastAsia"/>
          <w:color w:val="auto"/>
          <w:spacing w:val="-3"/>
          <w:lang w:eastAsia="zh-CN"/>
        </w:rPr>
        <w:t>勘察</w:t>
      </w:r>
      <w:r>
        <w:rPr>
          <w:color w:val="auto"/>
        </w:rPr>
        <w:t>设</w:t>
      </w:r>
      <w:r>
        <w:rPr>
          <w:color w:val="auto"/>
          <w:spacing w:val="-2"/>
        </w:rPr>
        <w:t>计</w:t>
      </w:r>
      <w:r>
        <w:rPr>
          <w:color w:val="auto"/>
        </w:rPr>
        <w:t>进行</w:t>
      </w:r>
      <w:r>
        <w:rPr>
          <w:color w:val="auto"/>
          <w:spacing w:val="-3"/>
        </w:rPr>
        <w:t>公</w:t>
      </w:r>
      <w:r>
        <w:rPr>
          <w:color w:val="auto"/>
        </w:rPr>
        <w:t>开</w:t>
      </w:r>
      <w:r>
        <w:rPr>
          <w:color w:val="auto"/>
          <w:spacing w:val="-3"/>
        </w:rPr>
        <w:t>招</w:t>
      </w:r>
      <w:r>
        <w:rPr>
          <w:color w:val="auto"/>
        </w:rPr>
        <w:t>标。</w:t>
      </w:r>
    </w:p>
    <w:p w14:paraId="7EDCC9D1">
      <w:pPr>
        <w:pStyle w:val="3"/>
        <w:rPr>
          <w:rFonts w:hint="eastAsia"/>
          <w:color w:val="auto"/>
        </w:rPr>
      </w:pPr>
      <w:bookmarkStart w:id="15" w:name="bookmark3"/>
      <w:bookmarkEnd w:id="15"/>
      <w:bookmarkStart w:id="16" w:name="_Toc14353"/>
      <w:bookmarkStart w:id="17" w:name="_Toc20470"/>
      <w:bookmarkStart w:id="18" w:name="_Toc25151"/>
      <w:bookmarkStart w:id="19" w:name="_Toc13016"/>
      <w:bookmarkStart w:id="20" w:name="_Toc28475"/>
      <w:bookmarkStart w:id="21" w:name="_Toc30473"/>
      <w:r>
        <w:rPr>
          <w:rFonts w:hint="eastAsia"/>
          <w:color w:val="auto"/>
        </w:rPr>
        <w:t>2.项目概况与招标范围</w:t>
      </w:r>
      <w:bookmarkEnd w:id="16"/>
      <w:bookmarkEnd w:id="17"/>
      <w:bookmarkEnd w:id="18"/>
      <w:bookmarkEnd w:id="19"/>
      <w:bookmarkEnd w:id="20"/>
      <w:bookmarkEnd w:id="21"/>
    </w:p>
    <w:p w14:paraId="07DA8757">
      <w:pPr>
        <w:keepNext w:val="0"/>
        <w:keepLines w:val="0"/>
        <w:pageBreakBefore w:val="0"/>
        <w:widowControl w:val="0"/>
        <w:tabs>
          <w:tab w:val="left" w:pos="7513"/>
        </w:tabs>
        <w:kinsoku/>
        <w:wordWrap/>
        <w:overflowPunct/>
        <w:topLinePunct w:val="0"/>
        <w:autoSpaceDE w:val="0"/>
        <w:autoSpaceDN w:val="0"/>
        <w:bidi w:val="0"/>
        <w:adjustRightInd w:val="0"/>
        <w:snapToGrid/>
        <w:spacing w:line="360" w:lineRule="auto"/>
        <w:jc w:val="both"/>
        <w:textAlignment w:val="auto"/>
        <w:rPr>
          <w:rFonts w:hint="default" w:ascii="宋体" w:hAnsi="宋体" w:eastAsia="宋体" w:cs="Times New Roman"/>
          <w:color w:val="auto"/>
          <w:sz w:val="21"/>
          <w:szCs w:val="21"/>
          <w:highlight w:val="none"/>
          <w:lang w:val="en-US" w:eastAsia="zh-CN"/>
        </w:rPr>
      </w:pPr>
      <w:bookmarkStart w:id="22" w:name="_Toc17345"/>
      <w:r>
        <w:rPr>
          <w:rFonts w:hint="default" w:ascii="宋体" w:hAnsi="宋体" w:eastAsia="宋体" w:cs="Times New Roman"/>
          <w:color w:val="auto"/>
          <w:sz w:val="21"/>
          <w:szCs w:val="21"/>
          <w:highlight w:val="none"/>
          <w:lang w:val="en-US" w:eastAsia="zh-CN"/>
        </w:rPr>
        <w:t>2.1</w:t>
      </w:r>
      <w:r>
        <w:rPr>
          <w:rFonts w:hint="eastAsia" w:ascii="宋体" w:hAnsi="宋体" w:eastAsia="宋体" w:cs="Times New Roman"/>
          <w:color w:val="auto"/>
          <w:sz w:val="21"/>
          <w:szCs w:val="21"/>
          <w:highlight w:val="none"/>
          <w:lang w:val="en-US" w:eastAsia="zh-CN"/>
        </w:rPr>
        <w:t xml:space="preserve"> </w:t>
      </w:r>
      <w:r>
        <w:rPr>
          <w:rFonts w:hint="default" w:ascii="宋体" w:hAnsi="宋体" w:eastAsia="宋体" w:cs="Times New Roman"/>
          <w:color w:val="auto"/>
          <w:sz w:val="21"/>
          <w:szCs w:val="21"/>
          <w:highlight w:val="none"/>
          <w:lang w:val="en-US" w:eastAsia="zh-CN"/>
        </w:rPr>
        <w:t>招标项目概况</w:t>
      </w:r>
      <w:bookmarkEnd w:id="22"/>
    </w:p>
    <w:p w14:paraId="45877856">
      <w:pPr>
        <w:keepNext w:val="0"/>
        <w:keepLines w:val="0"/>
        <w:pageBreakBefore w:val="0"/>
        <w:widowControl w:val="0"/>
        <w:tabs>
          <w:tab w:val="left" w:pos="7513"/>
        </w:tabs>
        <w:kinsoku/>
        <w:overflowPunct/>
        <w:topLinePunct w:val="0"/>
        <w:autoSpaceDE w:val="0"/>
        <w:autoSpaceDN w:val="0"/>
        <w:bidi w:val="0"/>
        <w:snapToGrid/>
        <w:spacing w:line="360" w:lineRule="auto"/>
        <w:ind w:firstLine="371" w:firstLineChars="177"/>
        <w:jc w:val="both"/>
        <w:textAlignment w:val="auto"/>
        <w:rPr>
          <w:rFonts w:hint="default" w:ascii="宋体" w:hAnsi="宋体"/>
          <w:color w:val="auto"/>
          <w:sz w:val="21"/>
          <w:szCs w:val="21"/>
          <w:highlight w:val="none"/>
          <w:u w:val="single"/>
          <w:lang w:val="en-US" w:eastAsia="zh-CN"/>
        </w:rPr>
      </w:pPr>
      <w:r>
        <w:rPr>
          <w:rFonts w:hint="default" w:ascii="宋体" w:hAnsi="宋体" w:eastAsia="宋体"/>
          <w:color w:val="auto"/>
          <w:sz w:val="21"/>
          <w:szCs w:val="21"/>
          <w:highlight w:val="none"/>
        </w:rPr>
        <w:t>2.1.</w:t>
      </w:r>
      <w:r>
        <w:rPr>
          <w:rFonts w:hint="eastAsia" w:ascii="宋体" w:hAnsi="宋体"/>
          <w:color w:val="auto"/>
          <w:sz w:val="21"/>
          <w:szCs w:val="21"/>
          <w:highlight w:val="none"/>
          <w:lang w:val="en-US" w:eastAsia="zh-CN"/>
        </w:rPr>
        <w:t>1 招标项目固定资产投资项目代码：</w:t>
      </w:r>
      <w:r>
        <w:rPr>
          <w:rFonts w:hint="eastAsia" w:cs="Times New Roman"/>
          <w:color w:val="auto"/>
          <w:sz w:val="21"/>
          <w:u w:val="single"/>
          <w:lang w:val="en-US" w:eastAsia="zh-CN" w:bidi="ar-SA"/>
        </w:rPr>
        <w:t>2501-440118-04-01-405855</w:t>
      </w:r>
    </w:p>
    <w:p w14:paraId="04C07E06">
      <w:pPr>
        <w:keepNext w:val="0"/>
        <w:keepLines w:val="0"/>
        <w:pageBreakBefore w:val="0"/>
        <w:widowControl w:val="0"/>
        <w:tabs>
          <w:tab w:val="left" w:pos="7513"/>
        </w:tabs>
        <w:kinsoku/>
        <w:overflowPunct/>
        <w:topLinePunct w:val="0"/>
        <w:autoSpaceDE w:val="0"/>
        <w:autoSpaceDN w:val="0"/>
        <w:bidi w:val="0"/>
        <w:snapToGrid/>
        <w:spacing w:line="360" w:lineRule="auto"/>
        <w:ind w:firstLine="371" w:firstLineChars="177"/>
        <w:jc w:val="both"/>
        <w:textAlignment w:val="auto"/>
        <w:rPr>
          <w:rFonts w:hint="default" w:ascii="宋体" w:hAnsi="宋体"/>
          <w:color w:val="auto"/>
          <w:sz w:val="21"/>
          <w:szCs w:val="21"/>
          <w:highlight w:val="none"/>
          <w:u w:val="single"/>
          <w:lang w:val="en-US" w:eastAsia="zh-CN"/>
        </w:rPr>
      </w:pPr>
      <w:r>
        <w:rPr>
          <w:rFonts w:hint="eastAsia" w:ascii="宋体" w:hAnsi="宋体"/>
          <w:color w:val="auto"/>
          <w:sz w:val="21"/>
          <w:szCs w:val="21"/>
          <w:highlight w:val="none"/>
          <w:lang w:val="en-US" w:eastAsia="zh-CN"/>
        </w:rPr>
        <w:t>2.1.2 招标项目名称：</w:t>
      </w:r>
      <w:r>
        <w:rPr>
          <w:rFonts w:hint="eastAsia" w:cs="Times New Roman"/>
          <w:color w:val="auto"/>
          <w:sz w:val="21"/>
          <w:u w:val="single"/>
          <w:lang w:val="en-US" w:eastAsia="zh-CN" w:bidi="ar-SA"/>
        </w:rPr>
        <w:t>增城经济技术开发区仙村园区蓝山4号路勘察设计</w:t>
      </w:r>
      <w:r>
        <w:rPr>
          <w:rFonts w:hint="eastAsia" w:ascii="Times New Roman" w:hAnsi="Times New Roman" w:eastAsia="宋体" w:cs="Times New Roman"/>
          <w:color w:val="auto"/>
          <w:sz w:val="21"/>
          <w:u w:val="single"/>
          <w:lang w:val="en-US" w:eastAsia="zh-CN" w:bidi="ar-SA"/>
        </w:rPr>
        <w:t>。</w:t>
      </w:r>
    </w:p>
    <w:p w14:paraId="1543F65F">
      <w:pPr>
        <w:keepNext w:val="0"/>
        <w:keepLines w:val="0"/>
        <w:pageBreakBefore w:val="0"/>
        <w:widowControl w:val="0"/>
        <w:tabs>
          <w:tab w:val="left" w:pos="7513"/>
        </w:tabs>
        <w:kinsoku/>
        <w:overflowPunct/>
        <w:topLinePunct w:val="0"/>
        <w:autoSpaceDE w:val="0"/>
        <w:autoSpaceDN w:val="0"/>
        <w:bidi w:val="0"/>
        <w:snapToGrid/>
        <w:spacing w:line="360" w:lineRule="auto"/>
        <w:ind w:firstLine="371" w:firstLineChars="177"/>
        <w:jc w:val="both"/>
        <w:textAlignment w:val="auto"/>
        <w:rPr>
          <w:rFonts w:hint="default" w:ascii="宋体" w:hAnsi="宋体" w:eastAsia="宋体" w:cs="宋体"/>
          <w:color w:val="auto"/>
          <w:sz w:val="21"/>
          <w:szCs w:val="21"/>
          <w:highlight w:val="none"/>
          <w:lang w:eastAsia="zh-CN"/>
        </w:rPr>
      </w:pPr>
      <w:r>
        <w:rPr>
          <w:rFonts w:hint="eastAsia" w:ascii="宋体" w:hAnsi="宋体"/>
          <w:color w:val="auto"/>
          <w:sz w:val="21"/>
          <w:szCs w:val="21"/>
          <w:highlight w:val="none"/>
          <w:lang w:val="en-US" w:eastAsia="zh-CN"/>
        </w:rPr>
        <w:t xml:space="preserve">2.1.3 </w:t>
      </w:r>
      <w:r>
        <w:rPr>
          <w:rFonts w:hint="default" w:ascii="宋体" w:hAnsi="宋体" w:eastAsia="宋体"/>
          <w:color w:val="auto"/>
          <w:sz w:val="21"/>
          <w:szCs w:val="21"/>
          <w:highlight w:val="none"/>
        </w:rPr>
        <w:t>工程建设地点：</w:t>
      </w:r>
      <w:r>
        <w:rPr>
          <w:rFonts w:hint="eastAsia" w:cs="Times New Roman"/>
          <w:color w:val="auto"/>
          <w:sz w:val="21"/>
          <w:u w:val="single"/>
          <w:lang w:val="en-US" w:eastAsia="zh-CN" w:bidi="ar-SA"/>
        </w:rPr>
        <w:t>广州市增城区仙村镇</w:t>
      </w:r>
      <w:r>
        <w:rPr>
          <w:rFonts w:hint="eastAsia" w:ascii="Times New Roman" w:hAnsi="Times New Roman" w:eastAsia="宋体" w:cs="Times New Roman"/>
          <w:color w:val="auto"/>
          <w:sz w:val="21"/>
          <w:u w:val="single"/>
          <w:lang w:val="en-US" w:eastAsia="zh-CN" w:bidi="ar-SA"/>
        </w:rPr>
        <w:t>。</w:t>
      </w:r>
      <w:r>
        <w:rPr>
          <w:rFonts w:hint="default" w:ascii="宋体" w:hAnsi="宋体" w:eastAsia="宋体"/>
          <w:color w:val="auto"/>
          <w:sz w:val="21"/>
          <w:szCs w:val="21"/>
          <w:highlight w:val="none"/>
          <w:lang w:val="en-US" w:eastAsia="zh-CN"/>
        </w:rPr>
        <w:t xml:space="preserve"> </w:t>
      </w:r>
    </w:p>
    <w:p w14:paraId="4016C0A2">
      <w:pPr>
        <w:keepNext w:val="0"/>
        <w:keepLines w:val="0"/>
        <w:pageBreakBefore w:val="0"/>
        <w:widowControl w:val="0"/>
        <w:tabs>
          <w:tab w:val="left" w:pos="7513"/>
        </w:tabs>
        <w:kinsoku/>
        <w:overflowPunct/>
        <w:topLinePunct w:val="0"/>
        <w:autoSpaceDE w:val="0"/>
        <w:autoSpaceDN w:val="0"/>
        <w:bidi w:val="0"/>
        <w:snapToGrid/>
        <w:spacing w:line="360" w:lineRule="auto"/>
        <w:ind w:firstLine="371" w:firstLineChars="177"/>
        <w:jc w:val="both"/>
        <w:textAlignment w:val="auto"/>
        <w:rPr>
          <w:rFonts w:hint="default" w:ascii="Times New Roman" w:hAnsi="Times New Roman" w:eastAsia="宋体" w:cs="Times New Roman"/>
          <w:color w:val="auto"/>
          <w:sz w:val="21"/>
          <w:u w:val="single"/>
          <w:lang w:val="en-US" w:eastAsia="zh-CN" w:bidi="ar-SA"/>
        </w:rPr>
      </w:pPr>
      <w:r>
        <w:rPr>
          <w:rFonts w:hint="default" w:ascii="宋体" w:hAnsi="宋体" w:eastAsia="宋体"/>
          <w:color w:val="auto"/>
          <w:sz w:val="21"/>
          <w:szCs w:val="21"/>
          <w:highlight w:val="none"/>
        </w:rPr>
        <w:t>2.1.</w:t>
      </w:r>
      <w:r>
        <w:rPr>
          <w:rFonts w:hint="eastAsia" w:ascii="宋体" w:hAnsi="宋体"/>
          <w:color w:val="auto"/>
          <w:sz w:val="21"/>
          <w:szCs w:val="21"/>
          <w:highlight w:val="none"/>
          <w:lang w:val="en-US" w:eastAsia="zh-CN"/>
        </w:rPr>
        <w:t xml:space="preserve">4 </w:t>
      </w:r>
      <w:r>
        <w:rPr>
          <w:rFonts w:hint="default" w:ascii="宋体" w:hAnsi="宋体" w:eastAsia="宋体"/>
          <w:color w:val="auto"/>
          <w:sz w:val="21"/>
          <w:szCs w:val="21"/>
          <w:highlight w:val="none"/>
        </w:rPr>
        <w:t>工程建设规模</w:t>
      </w:r>
      <w:r>
        <w:rPr>
          <w:rFonts w:hint="default" w:ascii="宋体" w:hAnsi="Times New Roman" w:eastAsia="宋体"/>
          <w:color w:val="auto"/>
          <w:sz w:val="21"/>
          <w:szCs w:val="21"/>
          <w:highlight w:val="none"/>
        </w:rPr>
        <w:t>：</w:t>
      </w:r>
      <w:r>
        <w:rPr>
          <w:rFonts w:hint="eastAsia" w:cs="Times New Roman"/>
          <w:color w:val="auto"/>
          <w:sz w:val="21"/>
          <w:u w:val="single"/>
          <w:lang w:val="en-US" w:eastAsia="zh-CN" w:bidi="ar-SA"/>
        </w:rPr>
        <w:t>道路全长约1541.877m，规划红线宽度为40m，双向六车道，设计时速为60km/h，为城市主干路，路面结构为沥青混凝土路面。</w:t>
      </w:r>
      <w:r>
        <w:rPr>
          <w:rFonts w:hint="eastAsia" w:cs="Times New Roman"/>
          <w:color w:val="auto"/>
          <w:sz w:val="21"/>
          <w:highlight w:val="none"/>
          <w:u w:val="single"/>
          <w:lang w:val="en-US" w:eastAsia="zh-CN" w:bidi="ar-SA"/>
        </w:rPr>
        <w:t xml:space="preserve">项目建设内容主要包括:道路工程、交通工程、给排水工程、照明工程、电力工程以及绿化工程等。 </w:t>
      </w:r>
      <w:r>
        <w:rPr>
          <w:rFonts w:hint="eastAsia" w:cs="Times New Roman"/>
          <w:color w:val="auto"/>
          <w:sz w:val="21"/>
          <w:highlight w:val="none"/>
          <w:u w:val="single"/>
          <w:lang w:val="en-US" w:eastAsia="zh-CN" w:bidi="ar-SA"/>
        </w:rPr>
        <w:t xml:space="preserve"> </w:t>
      </w:r>
    </w:p>
    <w:p w14:paraId="435DA47C">
      <w:pPr>
        <w:keepNext w:val="0"/>
        <w:keepLines w:val="0"/>
        <w:pageBreakBefore w:val="0"/>
        <w:widowControl w:val="0"/>
        <w:tabs>
          <w:tab w:val="left" w:pos="7513"/>
        </w:tabs>
        <w:kinsoku/>
        <w:overflowPunct/>
        <w:topLinePunct w:val="0"/>
        <w:autoSpaceDE w:val="0"/>
        <w:autoSpaceDN w:val="0"/>
        <w:bidi w:val="0"/>
        <w:snapToGrid/>
        <w:spacing w:line="360" w:lineRule="auto"/>
        <w:ind w:firstLine="371" w:firstLineChars="177"/>
        <w:jc w:val="both"/>
        <w:textAlignment w:val="auto"/>
        <w:rPr>
          <w:rFonts w:hint="default"/>
          <w:color w:val="auto"/>
          <w:sz w:val="21"/>
          <w:szCs w:val="21"/>
          <w:highlight w:val="none"/>
          <w:u w:val="single"/>
          <w:lang w:val="en-US" w:eastAsia="zh-CN"/>
        </w:rPr>
      </w:pPr>
      <w:r>
        <w:rPr>
          <w:rFonts w:hint="default" w:ascii="宋体" w:hAnsi="宋体" w:eastAsia="宋体"/>
          <w:color w:val="auto"/>
          <w:sz w:val="21"/>
          <w:szCs w:val="21"/>
          <w:highlight w:val="none"/>
        </w:rPr>
        <w:t>2.1.</w:t>
      </w:r>
      <w:r>
        <w:rPr>
          <w:rFonts w:hint="eastAsia" w:ascii="宋体" w:hAnsi="宋体" w:eastAsia="宋体"/>
          <w:color w:val="auto"/>
          <w:sz w:val="21"/>
          <w:szCs w:val="21"/>
          <w:highlight w:val="none"/>
          <w:lang w:val="en-US" w:eastAsia="zh-CN"/>
        </w:rPr>
        <w:t xml:space="preserve">5 </w:t>
      </w:r>
      <w:r>
        <w:rPr>
          <w:rFonts w:hint="default" w:ascii="宋体" w:hAnsi="宋体" w:eastAsia="宋体"/>
          <w:color w:val="auto"/>
          <w:sz w:val="21"/>
          <w:szCs w:val="21"/>
          <w:highlight w:val="none"/>
        </w:rPr>
        <w:t>工程</w:t>
      </w:r>
      <w:r>
        <w:rPr>
          <w:rFonts w:hint="eastAsia" w:ascii="宋体" w:hAnsi="宋体" w:eastAsia="宋体"/>
          <w:color w:val="auto"/>
          <w:sz w:val="21"/>
          <w:szCs w:val="21"/>
          <w:highlight w:val="none"/>
          <w:u w:val="single"/>
          <w:lang w:eastAsia="zh-CN"/>
        </w:rPr>
        <w:t>估算</w:t>
      </w:r>
      <w:r>
        <w:rPr>
          <w:rFonts w:hint="default" w:ascii="宋体" w:hAnsi="宋体" w:eastAsia="宋体"/>
          <w:color w:val="auto"/>
          <w:sz w:val="21"/>
          <w:szCs w:val="22"/>
          <w:highlight w:val="none"/>
        </w:rPr>
        <w:t>建筑安装工程费</w:t>
      </w:r>
      <w:r>
        <w:rPr>
          <w:rFonts w:hint="default" w:ascii="宋体" w:hAnsi="Times New Roman" w:eastAsia="宋体"/>
          <w:color w:val="auto"/>
          <w:sz w:val="21"/>
          <w:szCs w:val="21"/>
          <w:highlight w:val="none"/>
        </w:rPr>
        <w:t>：</w:t>
      </w:r>
      <w:r>
        <w:rPr>
          <w:rFonts w:hint="eastAsia" w:ascii="Times New Roman" w:hAnsi="Times New Roman" w:eastAsia="宋体" w:cs="Times New Roman"/>
          <w:color w:val="auto"/>
          <w:sz w:val="21"/>
          <w:highlight w:val="none"/>
          <w:u w:val="single"/>
          <w:lang w:val="en-US" w:eastAsia="zh-CN" w:bidi="ar-SA"/>
        </w:rPr>
        <w:t>约为</w:t>
      </w:r>
      <w:r>
        <w:rPr>
          <w:rFonts w:hint="eastAsia" w:cs="Times New Roman"/>
          <w:color w:val="auto"/>
          <w:sz w:val="21"/>
          <w:highlight w:val="none"/>
          <w:u w:val="single"/>
          <w:lang w:val="en-US" w:eastAsia="zh-CN" w:bidi="ar-SA"/>
        </w:rPr>
        <w:t>14881.71</w:t>
      </w:r>
      <w:r>
        <w:rPr>
          <w:rFonts w:hint="default" w:ascii="Times New Roman" w:hAnsi="Times New Roman" w:eastAsia="宋体" w:cs="Times New Roman"/>
          <w:color w:val="auto"/>
          <w:sz w:val="21"/>
          <w:highlight w:val="none"/>
          <w:u w:val="single"/>
          <w:lang w:val="en-US" w:eastAsia="zh-CN" w:bidi="ar-SA"/>
        </w:rPr>
        <w:t xml:space="preserve">万元 </w:t>
      </w:r>
      <w:bookmarkStart w:id="23" w:name="_Toc13481"/>
    </w:p>
    <w:p w14:paraId="5CAE00E0">
      <w:pPr>
        <w:keepNext w:val="0"/>
        <w:keepLines w:val="0"/>
        <w:pageBreakBefore w:val="0"/>
        <w:widowControl w:val="0"/>
        <w:tabs>
          <w:tab w:val="left" w:pos="7513"/>
        </w:tabs>
        <w:kinsoku/>
        <w:wordWrap/>
        <w:overflowPunct/>
        <w:topLinePunct w:val="0"/>
        <w:autoSpaceDE w:val="0"/>
        <w:autoSpaceDN w:val="0"/>
        <w:bidi w:val="0"/>
        <w:adjustRightInd w:val="0"/>
        <w:snapToGrid/>
        <w:spacing w:line="360" w:lineRule="auto"/>
        <w:jc w:val="both"/>
        <w:textAlignment w:val="auto"/>
        <w:rPr>
          <w:rFonts w:hint="default" w:ascii="宋体" w:hAnsi="宋体" w:eastAsia="宋体" w:cs="Times New Roman"/>
          <w:color w:val="auto"/>
          <w:sz w:val="21"/>
          <w:szCs w:val="21"/>
          <w:highlight w:val="none"/>
          <w:lang w:val="en-US" w:eastAsia="zh-CN"/>
        </w:rPr>
      </w:pPr>
      <w:r>
        <w:rPr>
          <w:rFonts w:hint="default" w:ascii="宋体" w:hAnsi="宋体" w:eastAsia="宋体" w:cs="Times New Roman"/>
          <w:color w:val="auto"/>
          <w:sz w:val="21"/>
          <w:szCs w:val="21"/>
          <w:highlight w:val="none"/>
          <w:lang w:val="en-US" w:eastAsia="zh-CN"/>
        </w:rPr>
        <w:t>2.2</w:t>
      </w:r>
      <w:r>
        <w:rPr>
          <w:rFonts w:hint="eastAsia" w:ascii="宋体" w:hAnsi="宋体" w:eastAsia="宋体" w:cs="Times New Roman"/>
          <w:color w:val="auto"/>
          <w:sz w:val="21"/>
          <w:szCs w:val="21"/>
          <w:highlight w:val="none"/>
          <w:lang w:val="en-US" w:eastAsia="zh-CN"/>
        </w:rPr>
        <w:t xml:space="preserve"> </w:t>
      </w:r>
      <w:r>
        <w:rPr>
          <w:rFonts w:hint="default" w:ascii="宋体" w:hAnsi="宋体" w:eastAsia="宋体" w:cs="Times New Roman"/>
          <w:color w:val="auto"/>
          <w:sz w:val="21"/>
          <w:szCs w:val="21"/>
          <w:highlight w:val="none"/>
          <w:lang w:val="en-US" w:eastAsia="zh-CN"/>
        </w:rPr>
        <w:t>招标范围</w:t>
      </w:r>
      <w:bookmarkEnd w:id="23"/>
    </w:p>
    <w:p w14:paraId="44A88B56">
      <w:pPr>
        <w:keepNext w:val="0"/>
        <w:keepLines w:val="0"/>
        <w:pageBreakBefore w:val="0"/>
        <w:widowControl w:val="0"/>
        <w:tabs>
          <w:tab w:val="left" w:pos="7513"/>
        </w:tabs>
        <w:kinsoku/>
        <w:overflowPunct/>
        <w:topLinePunct w:val="0"/>
        <w:autoSpaceDE w:val="0"/>
        <w:autoSpaceDN w:val="0"/>
        <w:bidi w:val="0"/>
        <w:snapToGrid/>
        <w:spacing w:line="360" w:lineRule="auto"/>
        <w:ind w:firstLine="420" w:firstLineChars="200"/>
        <w:jc w:val="both"/>
        <w:textAlignment w:val="auto"/>
        <w:rPr>
          <w:rFonts w:hint="default" w:ascii="宋体" w:hAnsi="宋体" w:eastAsia="宋体" w:cs="宋体"/>
          <w:color w:val="auto"/>
          <w:sz w:val="21"/>
          <w:szCs w:val="21"/>
          <w:highlight w:val="none"/>
          <w:lang w:val="en-US"/>
        </w:rPr>
      </w:pPr>
      <w:r>
        <w:rPr>
          <w:rFonts w:hint="default" w:ascii="宋体" w:hAnsi="宋体" w:eastAsia="宋体"/>
          <w:color w:val="auto"/>
          <w:sz w:val="21"/>
          <w:szCs w:val="21"/>
          <w:highlight w:val="none"/>
        </w:rPr>
        <w:t>2.2.1</w:t>
      </w:r>
      <w:r>
        <w:rPr>
          <w:rFonts w:hint="eastAsia" w:ascii="宋体" w:hAnsi="宋体" w:eastAsia="宋体"/>
          <w:color w:val="auto"/>
          <w:sz w:val="21"/>
          <w:szCs w:val="21"/>
          <w:highlight w:val="none"/>
          <w:lang w:val="en-US" w:eastAsia="zh-CN"/>
        </w:rPr>
        <w:t xml:space="preserve"> </w:t>
      </w:r>
      <w:r>
        <w:rPr>
          <w:rFonts w:hint="default" w:ascii="宋体" w:hAnsi="Times New Roman" w:eastAsia="宋体"/>
          <w:color w:val="auto"/>
          <w:sz w:val="21"/>
          <w:szCs w:val="21"/>
          <w:highlight w:val="none"/>
        </w:rPr>
        <w:t>标段划分：</w:t>
      </w:r>
      <w:r>
        <w:rPr>
          <w:rFonts w:hint="default"/>
          <w:color w:val="auto"/>
          <w:sz w:val="21"/>
          <w:szCs w:val="21"/>
          <w:highlight w:val="none"/>
          <w:u w:val="single"/>
          <w:lang w:val="en-US" w:eastAsia="zh-CN"/>
        </w:rPr>
        <w:t xml:space="preserve"> </w:t>
      </w:r>
      <w:r>
        <w:rPr>
          <w:rFonts w:hint="default" w:ascii="Times New Roman" w:hAnsi="Times New Roman" w:eastAsia="宋体" w:cs="Times New Roman"/>
          <w:color w:val="auto"/>
          <w:sz w:val="21"/>
          <w:u w:val="single"/>
          <w:lang w:val="en-US" w:eastAsia="zh-CN" w:bidi="ar-SA"/>
        </w:rPr>
        <w:t xml:space="preserve">本项目划分1个标段  </w:t>
      </w:r>
      <w:r>
        <w:rPr>
          <w:rFonts w:hint="default"/>
          <w:color w:val="auto"/>
          <w:sz w:val="21"/>
          <w:szCs w:val="21"/>
          <w:highlight w:val="none"/>
          <w:lang w:val="en-US" w:eastAsia="zh-CN"/>
        </w:rPr>
        <w:t xml:space="preserve">     </w:t>
      </w:r>
    </w:p>
    <w:p w14:paraId="3BA5997B">
      <w:pPr>
        <w:keepNext w:val="0"/>
        <w:keepLines w:val="0"/>
        <w:pageBreakBefore w:val="0"/>
        <w:widowControl w:val="0"/>
        <w:kinsoku/>
        <w:overflowPunct/>
        <w:topLinePunct w:val="0"/>
        <w:autoSpaceDE w:val="0"/>
        <w:autoSpaceDN w:val="0"/>
        <w:bidi w:val="0"/>
        <w:snapToGrid/>
        <w:spacing w:line="360" w:lineRule="auto"/>
        <w:ind w:firstLine="420" w:firstLineChars="200"/>
        <w:jc w:val="both"/>
        <w:textAlignment w:val="auto"/>
        <w:rPr>
          <w:rFonts w:hint="eastAsia" w:eastAsia="宋体"/>
          <w:color w:val="auto"/>
          <w:lang w:eastAsia="zh-CN"/>
        </w:rPr>
      </w:pPr>
      <w:r>
        <w:rPr>
          <w:rFonts w:hint="eastAsia" w:ascii="楷体_GB2312" w:hAnsi="楷体_GB2312" w:eastAsia="楷体_GB2312" w:cs="楷体_GB2312"/>
          <w:color w:val="auto"/>
          <w:kern w:val="2"/>
          <w:sz w:val="21"/>
          <w:szCs w:val="21"/>
          <w:lang w:val="en-US" w:eastAsia="zh-CN" w:bidi="ar-SA"/>
        </w:rPr>
        <w:t>注：两个或两个以上标段的，应明确允许兼中或不兼中。</w:t>
      </w:r>
    </w:p>
    <w:p w14:paraId="16FE1983">
      <w:pPr>
        <w:keepNext w:val="0"/>
        <w:keepLines w:val="0"/>
        <w:pageBreakBefore w:val="0"/>
        <w:widowControl w:val="0"/>
        <w:tabs>
          <w:tab w:val="left" w:pos="7513"/>
        </w:tabs>
        <w:kinsoku/>
        <w:overflowPunct/>
        <w:topLinePunct w:val="0"/>
        <w:autoSpaceDE w:val="0"/>
        <w:autoSpaceDN w:val="0"/>
        <w:bidi w:val="0"/>
        <w:snapToGrid/>
        <w:spacing w:line="360" w:lineRule="auto"/>
        <w:ind w:firstLine="371" w:firstLineChars="177"/>
        <w:jc w:val="both"/>
        <w:textAlignment w:val="auto"/>
        <w:rPr>
          <w:rFonts w:hint="default" w:ascii="Times New Roman" w:hAnsi="Times New Roman" w:eastAsia="宋体" w:cs="Times New Roman"/>
          <w:color w:val="auto"/>
          <w:sz w:val="21"/>
          <w:u w:val="single"/>
          <w:lang w:val="en-US" w:eastAsia="zh-CN" w:bidi="ar-SA"/>
        </w:rPr>
      </w:pPr>
      <w:r>
        <w:rPr>
          <w:rFonts w:hint="default" w:ascii="宋体" w:hAnsi="宋体" w:eastAsia="宋体"/>
          <w:color w:val="auto"/>
          <w:sz w:val="21"/>
          <w:szCs w:val="21"/>
          <w:highlight w:val="none"/>
        </w:rPr>
        <w:t>2.2.2</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lang w:eastAsia="zh-CN"/>
        </w:rPr>
        <w:t>招标</w:t>
      </w:r>
      <w:r>
        <w:rPr>
          <w:rFonts w:hint="default" w:ascii="宋体" w:hAnsi="宋体" w:eastAsia="宋体"/>
          <w:color w:val="auto"/>
          <w:sz w:val="21"/>
          <w:szCs w:val="21"/>
          <w:highlight w:val="none"/>
        </w:rPr>
        <w:t>范围：</w:t>
      </w:r>
      <w:r>
        <w:rPr>
          <w:rFonts w:hint="default" w:ascii="Times New Roman" w:hAnsi="Times New Roman" w:eastAsia="宋体" w:cs="Times New Roman"/>
          <w:color w:val="auto"/>
          <w:sz w:val="21"/>
          <w:u w:val="single"/>
          <w:lang w:val="en-US" w:eastAsia="zh-CN" w:bidi="ar-SA"/>
        </w:rPr>
        <w:t>根据基础资料、勘察设计任务要求，完成本项目所涉及建设内容的全部勘察设计工作，包括但不限于：</w:t>
      </w:r>
    </w:p>
    <w:p w14:paraId="1D02BBF2">
      <w:pPr>
        <w:keepNext w:val="0"/>
        <w:keepLines w:val="0"/>
        <w:pageBreakBefore w:val="0"/>
        <w:widowControl w:val="0"/>
        <w:tabs>
          <w:tab w:val="left" w:pos="7513"/>
        </w:tabs>
        <w:kinsoku/>
        <w:overflowPunct/>
        <w:topLinePunct w:val="0"/>
        <w:autoSpaceDE w:val="0"/>
        <w:autoSpaceDN w:val="0"/>
        <w:bidi w:val="0"/>
        <w:snapToGrid/>
        <w:spacing w:line="360" w:lineRule="auto"/>
        <w:ind w:firstLine="371" w:firstLineChars="177"/>
        <w:jc w:val="both"/>
        <w:textAlignment w:val="auto"/>
        <w:rPr>
          <w:rFonts w:hint="default" w:ascii="Times New Roman" w:hAnsi="Times New Roman" w:eastAsia="宋体" w:cs="Times New Roman"/>
          <w:color w:val="auto"/>
          <w:sz w:val="21"/>
          <w:u w:val="single"/>
          <w:lang w:val="en-US" w:eastAsia="zh-CN" w:bidi="ar-SA"/>
        </w:rPr>
      </w:pPr>
      <w:r>
        <w:rPr>
          <w:rFonts w:hint="default" w:ascii="Times New Roman" w:hAnsi="Times New Roman" w:eastAsia="宋体" w:cs="Times New Roman"/>
          <w:color w:val="auto"/>
          <w:sz w:val="21"/>
          <w:u w:val="single"/>
          <w:lang w:val="en-US" w:eastAsia="zh-CN" w:bidi="ar-SA"/>
        </w:rPr>
        <w:t>（一）本项目规划用地红线范围内，及经</w:t>
      </w:r>
      <w:r>
        <w:rPr>
          <w:rFonts w:hint="eastAsia" w:ascii="Times New Roman" w:hAnsi="Times New Roman" w:eastAsia="宋体" w:cs="Times New Roman"/>
          <w:color w:val="auto"/>
          <w:sz w:val="21"/>
          <w:u w:val="single"/>
          <w:lang w:val="en-US" w:eastAsia="zh-CN" w:bidi="ar-SA"/>
        </w:rPr>
        <w:t>发包人</w:t>
      </w:r>
      <w:r>
        <w:rPr>
          <w:rFonts w:hint="default" w:ascii="Times New Roman" w:hAnsi="Times New Roman" w:eastAsia="宋体" w:cs="Times New Roman"/>
          <w:color w:val="auto"/>
          <w:sz w:val="21"/>
          <w:u w:val="single"/>
          <w:lang w:val="en-US" w:eastAsia="zh-CN" w:bidi="ar-SA"/>
        </w:rPr>
        <w:t>审批同意用于辅助项目建设所需的红线范围外的工程勘察工作，包括但不限于以下内容：工程测量、</w:t>
      </w:r>
      <w:r>
        <w:rPr>
          <w:rFonts w:hint="eastAsia" w:ascii="Times New Roman" w:hAnsi="Times New Roman" w:eastAsia="宋体" w:cs="Times New Roman"/>
          <w:color w:val="auto"/>
          <w:sz w:val="21"/>
          <w:u w:val="single"/>
          <w:lang w:val="en-US" w:eastAsia="zh-CN" w:bidi="ar-SA"/>
        </w:rPr>
        <w:t>工程</w:t>
      </w:r>
      <w:r>
        <w:rPr>
          <w:rFonts w:hint="default" w:ascii="Times New Roman" w:hAnsi="Times New Roman" w:eastAsia="宋体" w:cs="Times New Roman"/>
          <w:color w:val="auto"/>
          <w:sz w:val="21"/>
          <w:u w:val="single"/>
          <w:lang w:val="en-US" w:eastAsia="zh-CN" w:bidi="ar-SA"/>
        </w:rPr>
        <w:t>物探、岩土工程勘察等；</w:t>
      </w:r>
    </w:p>
    <w:p w14:paraId="245C9B55">
      <w:pPr>
        <w:keepNext w:val="0"/>
        <w:keepLines w:val="0"/>
        <w:pageBreakBefore w:val="0"/>
        <w:widowControl w:val="0"/>
        <w:tabs>
          <w:tab w:val="left" w:pos="7513"/>
        </w:tabs>
        <w:kinsoku/>
        <w:overflowPunct/>
        <w:topLinePunct w:val="0"/>
        <w:autoSpaceDE w:val="0"/>
        <w:autoSpaceDN w:val="0"/>
        <w:bidi w:val="0"/>
        <w:snapToGrid/>
        <w:spacing w:line="360" w:lineRule="auto"/>
        <w:ind w:firstLine="371" w:firstLineChars="177"/>
        <w:jc w:val="both"/>
        <w:textAlignment w:val="auto"/>
        <w:rPr>
          <w:rFonts w:hint="default" w:ascii="Times New Roman" w:hAnsi="Times New Roman" w:eastAsia="宋体" w:cs="Times New Roman"/>
          <w:color w:val="auto"/>
          <w:sz w:val="21"/>
          <w:u w:val="single"/>
          <w:lang w:val="en-US" w:eastAsia="zh-CN" w:bidi="ar-SA"/>
        </w:rPr>
      </w:pPr>
      <w:r>
        <w:rPr>
          <w:rFonts w:hint="default" w:ascii="Times New Roman" w:hAnsi="Times New Roman" w:eastAsia="宋体" w:cs="Times New Roman"/>
          <w:color w:val="auto"/>
          <w:sz w:val="21"/>
          <w:u w:val="single"/>
          <w:lang w:val="en-US" w:eastAsia="zh-CN" w:bidi="ar-SA"/>
        </w:rPr>
        <w:t>（二）设计部分：主要内容包括（但不限于）：方案设计、初步设计、编制初步设计概算和配合财政评审，施工图设计和报建，施工图取得施工图审查合格及通过行政主管部门的备案，现场指导与服务。最终以相关政府部门审查确定的建设项目、建设规模、建设标准等为准</w:t>
      </w:r>
      <w:r>
        <w:rPr>
          <w:rFonts w:hint="eastAsia" w:ascii="Times New Roman" w:hAnsi="Times New Roman" w:eastAsia="宋体" w:cs="Times New Roman"/>
          <w:color w:val="auto"/>
          <w:sz w:val="21"/>
          <w:u w:val="single"/>
          <w:lang w:val="en-US" w:eastAsia="zh-CN" w:bidi="ar-SA"/>
        </w:rPr>
        <w:t>。</w:t>
      </w:r>
    </w:p>
    <w:p w14:paraId="7555BB41">
      <w:pPr>
        <w:keepNext w:val="0"/>
        <w:keepLines w:val="0"/>
        <w:pageBreakBefore w:val="0"/>
        <w:widowControl w:val="0"/>
        <w:tabs>
          <w:tab w:val="left" w:pos="7513"/>
        </w:tabs>
        <w:kinsoku/>
        <w:overflowPunct/>
        <w:topLinePunct w:val="0"/>
        <w:autoSpaceDE w:val="0"/>
        <w:autoSpaceDN w:val="0"/>
        <w:bidi w:val="0"/>
        <w:snapToGrid/>
        <w:spacing w:line="360" w:lineRule="auto"/>
        <w:ind w:firstLine="420" w:firstLineChars="200"/>
        <w:jc w:val="both"/>
        <w:textAlignment w:val="auto"/>
        <w:rPr>
          <w:rFonts w:hint="default" w:ascii="宋体" w:hAnsi="宋体" w:eastAsia="宋体"/>
          <w:color w:val="auto"/>
          <w:sz w:val="21"/>
          <w:szCs w:val="21"/>
          <w:highlight w:val="none"/>
          <w:u w:val="single"/>
          <w:lang w:val="en-US" w:eastAsia="zh-CN"/>
        </w:rPr>
      </w:pPr>
      <w:r>
        <w:rPr>
          <w:rFonts w:hint="default" w:ascii="宋体" w:hAnsi="宋体" w:eastAsia="宋体"/>
          <w:color w:val="auto"/>
          <w:sz w:val="21"/>
          <w:szCs w:val="21"/>
          <w:highlight w:val="none"/>
        </w:rPr>
        <w:t>2.2.3</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lang w:eastAsia="zh-CN"/>
        </w:rPr>
        <w:t>设计</w:t>
      </w:r>
      <w:r>
        <w:rPr>
          <w:rFonts w:hint="default" w:ascii="宋体" w:hAnsi="宋体" w:eastAsia="宋体"/>
          <w:color w:val="auto"/>
          <w:sz w:val="21"/>
          <w:szCs w:val="21"/>
          <w:highlight w:val="none"/>
        </w:rPr>
        <w:t>服务期</w:t>
      </w:r>
      <w:r>
        <w:rPr>
          <w:rFonts w:hint="eastAsia" w:ascii="宋体" w:hAnsi="宋体"/>
          <w:color w:val="auto"/>
          <w:sz w:val="21"/>
          <w:szCs w:val="21"/>
          <w:highlight w:val="none"/>
          <w:lang w:eastAsia="zh-CN"/>
        </w:rPr>
        <w:t>限</w:t>
      </w:r>
      <w:r>
        <w:rPr>
          <w:rFonts w:hint="default" w:ascii="宋体" w:hAnsi="宋体" w:eastAsia="宋体"/>
          <w:color w:val="auto"/>
          <w:sz w:val="21"/>
          <w:szCs w:val="21"/>
          <w:highlight w:val="none"/>
        </w:rPr>
        <w:t>：</w:t>
      </w:r>
      <w:r>
        <w:rPr>
          <w:rFonts w:hint="default" w:ascii="Times New Roman" w:hAnsi="Times New Roman" w:eastAsia="宋体" w:cs="Times New Roman"/>
          <w:color w:val="auto"/>
          <w:sz w:val="21"/>
          <w:u w:val="single"/>
          <w:lang w:val="en-US" w:eastAsia="zh-CN" w:bidi="ar-SA"/>
        </w:rPr>
        <w:t>中标人应在收到中标通知书且收到方案修改意见后，20天内完成初步设计（不含招标人对初步设计的审查时间），初步设计审查批准后30天内完成施工图设计（含工程概算），施工图设计文件经审查发现问题后5天内完成补充、修改并送施工图审查单位。如果延误工期，承包人向发包人支付的误期损害赔偿费每天为最终合同价格的0.3%；误期损害赔偿费的最高限额为最终合同价格的30%。</w:t>
      </w:r>
      <w:r>
        <w:rPr>
          <w:rFonts w:hint="eastAsia" w:ascii="Times New Roman" w:hAnsi="Times New Roman" w:eastAsia="宋体" w:cs="Times New Roman"/>
          <w:color w:val="auto"/>
          <w:sz w:val="21"/>
          <w:u w:val="single"/>
          <w:lang w:val="en-US" w:eastAsia="zh-CN" w:bidi="ar-SA"/>
        </w:rPr>
        <w:t xml:space="preserve"> </w:t>
      </w:r>
    </w:p>
    <w:p w14:paraId="2E2416B4">
      <w:pPr>
        <w:keepNext w:val="0"/>
        <w:keepLines w:val="0"/>
        <w:pageBreakBefore w:val="0"/>
        <w:widowControl w:val="0"/>
        <w:numPr>
          <w:ilvl w:val="0"/>
          <w:numId w:val="0"/>
        </w:numPr>
        <w:kinsoku/>
        <w:overflowPunct/>
        <w:topLinePunct w:val="0"/>
        <w:autoSpaceDE w:val="0"/>
        <w:autoSpaceDN w:val="0"/>
        <w:bidi w:val="0"/>
        <w:snapToGrid/>
        <w:spacing w:line="360" w:lineRule="auto"/>
        <w:ind w:firstLine="420" w:firstLineChars="200"/>
        <w:jc w:val="both"/>
        <w:textAlignment w:val="auto"/>
        <w:rPr>
          <w:rFonts w:hint="eastAsia" w:ascii="Times New Roman" w:hAnsi="Times New Roman" w:eastAsia="宋体" w:cs="Times New Roman"/>
          <w:color w:val="auto"/>
          <w:sz w:val="21"/>
          <w:u w:val="single"/>
          <w:lang w:val="en-US" w:eastAsia="zh-CN" w:bidi="ar-SA"/>
        </w:rPr>
      </w:pPr>
      <w:r>
        <w:rPr>
          <w:rFonts w:hint="eastAsia" w:ascii="宋体" w:hAnsi="宋体" w:eastAsia="宋体"/>
          <w:color w:val="auto"/>
          <w:sz w:val="21"/>
          <w:szCs w:val="21"/>
          <w:highlight w:val="none"/>
          <w:lang w:val="en-US" w:eastAsia="zh-CN"/>
        </w:rPr>
        <w:t>设计</w:t>
      </w:r>
      <w:r>
        <w:rPr>
          <w:rFonts w:hint="eastAsia"/>
          <w:color w:val="auto"/>
          <w:sz w:val="21"/>
          <w:szCs w:val="21"/>
        </w:rPr>
        <w:t>专业内容：</w:t>
      </w:r>
      <w:r>
        <w:rPr>
          <w:rFonts w:hint="eastAsia" w:ascii="Times New Roman" w:hAnsi="Times New Roman" w:eastAsia="宋体" w:cs="Times New Roman"/>
          <w:color w:val="auto"/>
          <w:sz w:val="21"/>
          <w:u w:val="single"/>
          <w:lang w:val="en-US" w:eastAsia="zh-CN" w:bidi="ar-SA"/>
        </w:rPr>
        <w:t>☑城市道路工程、</w:t>
      </w:r>
      <w:r>
        <w:rPr>
          <w:rFonts w:hint="eastAsia" w:cs="Times New Roman"/>
          <w:color w:val="auto"/>
          <w:sz w:val="21"/>
          <w:u w:val="single"/>
          <w:lang w:val="en-US" w:eastAsia="zh-CN" w:bidi="ar-SA"/>
        </w:rPr>
        <w:t>□</w:t>
      </w:r>
      <w:r>
        <w:rPr>
          <w:rFonts w:hint="eastAsia" w:ascii="Times New Roman" w:hAnsi="Times New Roman" w:eastAsia="宋体" w:cs="Times New Roman"/>
          <w:color w:val="auto"/>
          <w:sz w:val="21"/>
          <w:u w:val="single"/>
          <w:lang w:val="en-US" w:eastAsia="zh-CN" w:bidi="ar-SA"/>
        </w:rPr>
        <w:t>桥梁工程、□城市隧道工程、☑排水工程、☑给水工程、☑照明工程、☑交通工程、□城镇燃气工程、□热力工程、☑绿化工程、□管线综合工程、☑电力管沟工程、□城市轨道交通工程。</w:t>
      </w:r>
    </w:p>
    <w:p w14:paraId="5C4A2D4D">
      <w:pPr>
        <w:keepNext w:val="0"/>
        <w:keepLines w:val="0"/>
        <w:pageBreakBefore w:val="0"/>
        <w:widowControl w:val="0"/>
        <w:kinsoku/>
        <w:wordWrap/>
        <w:overflowPunct/>
        <w:topLinePunct w:val="0"/>
        <w:autoSpaceDE w:val="0"/>
        <w:autoSpaceDN w:val="0"/>
        <w:bidi w:val="0"/>
        <w:snapToGrid/>
        <w:spacing w:line="360" w:lineRule="auto"/>
        <w:ind w:firstLine="0" w:firstLineChars="0"/>
        <w:jc w:val="both"/>
        <w:textAlignment w:val="auto"/>
        <w:rPr>
          <w:rFonts w:hint="eastAsia" w:ascii="楷体_GB2312" w:hAnsi="楷体_GB2312" w:eastAsia="楷体_GB2312" w:cs="楷体_GB2312"/>
          <w:color w:val="auto"/>
          <w:sz w:val="20"/>
          <w:szCs w:val="21"/>
          <w:lang w:val="en-US" w:eastAsia="zh-CN"/>
        </w:rPr>
      </w:pPr>
      <w:r>
        <w:rPr>
          <w:rFonts w:hint="eastAsia" w:ascii="楷体_GB2312" w:hAnsi="楷体_GB2312" w:eastAsia="楷体_GB2312" w:cs="楷体_GB2312"/>
          <w:color w:val="auto"/>
          <w:sz w:val="20"/>
          <w:szCs w:val="21"/>
          <w:lang w:eastAsia="zh-CN"/>
        </w:rPr>
        <w:t>注：</w:t>
      </w:r>
      <w:r>
        <w:rPr>
          <w:rFonts w:hint="eastAsia" w:ascii="楷体_GB2312" w:hAnsi="楷体_GB2312" w:eastAsia="楷体_GB2312" w:cs="楷体_GB2312"/>
          <w:color w:val="auto"/>
          <w:sz w:val="20"/>
          <w:szCs w:val="21"/>
        </w:rPr>
        <w:t>以上专业内容选项可增加或减少，由招标人结合项目实际勾选。</w:t>
      </w:r>
    </w:p>
    <w:p w14:paraId="180402DB">
      <w:pPr>
        <w:keepNext w:val="0"/>
        <w:keepLines w:val="0"/>
        <w:pageBreakBefore w:val="0"/>
        <w:widowControl w:val="0"/>
        <w:tabs>
          <w:tab w:val="left" w:pos="7513"/>
        </w:tabs>
        <w:kinsoku/>
        <w:overflowPunct/>
        <w:topLinePunct w:val="0"/>
        <w:autoSpaceDE w:val="0"/>
        <w:autoSpaceDN w:val="0"/>
        <w:bidi w:val="0"/>
        <w:snapToGrid/>
        <w:spacing w:line="360" w:lineRule="auto"/>
        <w:ind w:firstLine="420" w:firstLineChars="200"/>
        <w:jc w:val="both"/>
        <w:textAlignment w:val="auto"/>
        <w:rPr>
          <w:rFonts w:hint="default" w:ascii="宋体" w:hAnsi="宋体" w:eastAsia="宋体"/>
          <w:color w:val="auto"/>
          <w:sz w:val="21"/>
          <w:szCs w:val="21"/>
          <w:highlight w:val="none"/>
          <w:lang w:val="en-US" w:eastAsia="zh-CN"/>
        </w:rPr>
      </w:pPr>
      <w:r>
        <w:rPr>
          <w:rFonts w:hint="default" w:ascii="宋体" w:hAnsi="宋体" w:eastAsia="宋体"/>
          <w:color w:val="auto"/>
          <w:sz w:val="21"/>
          <w:szCs w:val="21"/>
          <w:highlight w:val="none"/>
        </w:rPr>
        <w:t>2.2.</w:t>
      </w:r>
      <w:r>
        <w:rPr>
          <w:rFonts w:hint="eastAsia" w:ascii="宋体" w:hAnsi="宋体" w:eastAsia="宋体"/>
          <w:color w:val="auto"/>
          <w:sz w:val="21"/>
          <w:szCs w:val="21"/>
          <w:highlight w:val="none"/>
          <w:lang w:val="en-US" w:eastAsia="zh-CN"/>
        </w:rPr>
        <w:t xml:space="preserve">4 </w:t>
      </w:r>
      <w:r>
        <w:rPr>
          <w:rFonts w:hint="eastAsia" w:ascii="宋体" w:hAnsi="宋体" w:eastAsia="宋体"/>
          <w:color w:val="auto"/>
          <w:sz w:val="21"/>
          <w:szCs w:val="21"/>
          <w:highlight w:val="none"/>
          <w:lang w:eastAsia="zh-CN"/>
        </w:rPr>
        <w:t>勘察</w:t>
      </w:r>
      <w:r>
        <w:rPr>
          <w:rFonts w:hint="default" w:ascii="宋体" w:hAnsi="宋体" w:eastAsia="宋体"/>
          <w:color w:val="auto"/>
          <w:sz w:val="21"/>
          <w:szCs w:val="21"/>
          <w:highlight w:val="none"/>
        </w:rPr>
        <w:t>服务期</w:t>
      </w:r>
      <w:r>
        <w:rPr>
          <w:rFonts w:hint="eastAsia" w:ascii="宋体" w:hAnsi="宋体"/>
          <w:color w:val="auto"/>
          <w:sz w:val="21"/>
          <w:szCs w:val="21"/>
          <w:highlight w:val="none"/>
          <w:lang w:eastAsia="zh-CN"/>
        </w:rPr>
        <w:t>限</w:t>
      </w:r>
      <w:r>
        <w:rPr>
          <w:rFonts w:hint="default" w:ascii="宋体" w:hAnsi="宋体" w:eastAsia="宋体"/>
          <w:color w:val="auto"/>
          <w:sz w:val="21"/>
          <w:szCs w:val="21"/>
          <w:highlight w:val="none"/>
        </w:rPr>
        <w:t>：</w:t>
      </w:r>
      <w:r>
        <w:rPr>
          <w:rFonts w:hint="default" w:ascii="Times New Roman" w:hAnsi="Times New Roman" w:eastAsia="宋体" w:cs="Times New Roman"/>
          <w:color w:val="auto"/>
          <w:sz w:val="21"/>
          <w:u w:val="single"/>
          <w:lang w:val="en-US" w:eastAsia="zh-CN" w:bidi="ar-SA"/>
        </w:rPr>
        <w:t>中标通知书发出后，承包人收到发包人发出具备进场条件的通知起计30日内提交勘察成果文件。如果延误工期，承包人向发包人支付的误期损害赔偿费每天为最终合同价格的0.3%；误期损害赔偿费的最高限额为最终合同价格的30%</w:t>
      </w:r>
      <w:r>
        <w:rPr>
          <w:rFonts w:hint="default" w:ascii="宋体" w:hAnsi="宋体" w:eastAsia="宋体"/>
          <w:color w:val="auto"/>
          <w:sz w:val="21"/>
          <w:szCs w:val="21"/>
          <w:highlight w:val="none"/>
          <w:u w:val="single"/>
          <w:lang w:val="en-US" w:eastAsia="zh-CN"/>
        </w:rPr>
        <w:t>。</w:t>
      </w:r>
      <w:r>
        <w:rPr>
          <w:rFonts w:hint="default" w:ascii="宋体" w:hAnsi="宋体" w:eastAsia="宋体"/>
          <w:color w:val="auto"/>
          <w:sz w:val="21"/>
          <w:szCs w:val="21"/>
          <w:highlight w:val="none"/>
          <w:lang w:val="en-US" w:eastAsia="zh-CN"/>
        </w:rPr>
        <w:t xml:space="preserve">                  </w:t>
      </w:r>
    </w:p>
    <w:p w14:paraId="0DB6F4CE">
      <w:pPr>
        <w:keepNext w:val="0"/>
        <w:keepLines w:val="0"/>
        <w:pageBreakBefore w:val="0"/>
        <w:widowControl w:val="0"/>
        <w:tabs>
          <w:tab w:val="left" w:pos="7513"/>
        </w:tabs>
        <w:kinsoku/>
        <w:overflowPunct/>
        <w:topLinePunct w:val="0"/>
        <w:autoSpaceDE w:val="0"/>
        <w:autoSpaceDN w:val="0"/>
        <w:bidi w:val="0"/>
        <w:snapToGrid/>
        <w:spacing w:line="360" w:lineRule="auto"/>
        <w:ind w:firstLine="420" w:firstLineChars="200"/>
        <w:jc w:val="both"/>
        <w:textAlignment w:val="auto"/>
        <w:rPr>
          <w:rFonts w:hint="eastAsia" w:ascii="Times New Roman" w:hAnsi="Times New Roman" w:eastAsia="宋体" w:cs="Times New Roman"/>
          <w:color w:val="auto"/>
          <w:sz w:val="21"/>
          <w:u w:val="single"/>
          <w:lang w:val="en-US" w:eastAsia="zh-CN" w:bidi="ar-SA"/>
        </w:rPr>
      </w:pPr>
      <w:r>
        <w:rPr>
          <w:rFonts w:hint="eastAsia" w:ascii="宋体" w:hAnsi="宋体" w:eastAsia="宋体"/>
          <w:color w:val="auto"/>
          <w:sz w:val="21"/>
          <w:szCs w:val="21"/>
          <w:highlight w:val="none"/>
          <w:lang w:val="en-US" w:eastAsia="zh-CN"/>
        </w:rPr>
        <w:t>勘察</w:t>
      </w:r>
      <w:r>
        <w:rPr>
          <w:rFonts w:hint="eastAsia"/>
          <w:color w:val="auto"/>
          <w:sz w:val="21"/>
          <w:szCs w:val="21"/>
        </w:rPr>
        <w:t>内容：</w:t>
      </w:r>
      <w:r>
        <w:rPr>
          <w:rFonts w:hint="eastAsia" w:ascii="Times New Roman" w:hAnsi="Times New Roman" w:eastAsia="宋体" w:cs="Times New Roman"/>
          <w:color w:val="auto"/>
          <w:sz w:val="21"/>
          <w:u w:val="single"/>
          <w:lang w:val="en-US" w:eastAsia="zh-CN" w:bidi="ar-SA"/>
        </w:rPr>
        <w:t>☑工程测量、☑岩土工程勘察、□岩土工程设计与检测监测、□水文地质勘察、□工程水文气象勘察、☑工程物探（含管线探测）。</w:t>
      </w:r>
    </w:p>
    <w:p w14:paraId="5C32759C">
      <w:pPr>
        <w:keepNext w:val="0"/>
        <w:keepLines w:val="0"/>
        <w:pageBreakBefore w:val="0"/>
        <w:widowControl w:val="0"/>
        <w:tabs>
          <w:tab w:val="left" w:pos="7513"/>
        </w:tabs>
        <w:kinsoku/>
        <w:overflowPunct/>
        <w:topLinePunct w:val="0"/>
        <w:autoSpaceDE w:val="0"/>
        <w:autoSpaceDN w:val="0"/>
        <w:bidi w:val="0"/>
        <w:snapToGrid/>
        <w:spacing w:line="360" w:lineRule="auto"/>
        <w:ind w:firstLine="400" w:firstLineChars="200"/>
        <w:jc w:val="left"/>
        <w:textAlignment w:val="auto"/>
        <w:rPr>
          <w:rFonts w:hint="eastAsia" w:ascii="楷体_GB2312" w:hAnsi="楷体_GB2312" w:eastAsia="楷体_GB2312" w:cs="楷体_GB2312"/>
          <w:color w:val="auto"/>
          <w:sz w:val="20"/>
          <w:szCs w:val="21"/>
          <w:lang w:val="en-US" w:eastAsia="zh-CN"/>
        </w:rPr>
      </w:pPr>
      <w:r>
        <w:rPr>
          <w:rFonts w:hint="eastAsia" w:ascii="楷体_GB2312" w:hAnsi="楷体_GB2312" w:eastAsia="楷体_GB2312" w:cs="楷体_GB2312"/>
          <w:color w:val="auto"/>
          <w:sz w:val="20"/>
          <w:szCs w:val="21"/>
          <w:lang w:eastAsia="zh-CN"/>
        </w:rPr>
        <w:t>注：</w:t>
      </w:r>
      <w:r>
        <w:rPr>
          <w:rFonts w:hint="eastAsia" w:ascii="楷体_GB2312" w:hAnsi="楷体_GB2312" w:eastAsia="楷体_GB2312" w:cs="楷体_GB2312"/>
          <w:color w:val="auto"/>
          <w:sz w:val="20"/>
          <w:szCs w:val="21"/>
        </w:rPr>
        <w:t>以上专业内容选项可增加或减少，由招标人结合项目实际勾选。</w:t>
      </w:r>
    </w:p>
    <w:p w14:paraId="23F034C8">
      <w:pPr>
        <w:keepNext w:val="0"/>
        <w:keepLines w:val="0"/>
        <w:pageBreakBefore w:val="0"/>
        <w:widowControl w:val="0"/>
        <w:tabs>
          <w:tab w:val="left" w:pos="7513"/>
        </w:tabs>
        <w:kinsoku/>
        <w:overflowPunct/>
        <w:topLinePunct w:val="0"/>
        <w:autoSpaceDE w:val="0"/>
        <w:autoSpaceDN w:val="0"/>
        <w:bidi w:val="0"/>
        <w:snapToGrid/>
        <w:spacing w:line="360" w:lineRule="auto"/>
        <w:ind w:firstLine="420" w:firstLineChars="200"/>
        <w:jc w:val="left"/>
        <w:textAlignment w:val="auto"/>
        <w:rPr>
          <w:rFonts w:hint="default" w:ascii="宋体" w:hAnsi="宋体" w:eastAsia="宋体"/>
          <w:color w:val="auto"/>
          <w:sz w:val="21"/>
          <w:szCs w:val="21"/>
          <w:highlight w:val="none"/>
        </w:rPr>
      </w:pPr>
      <w:r>
        <w:rPr>
          <w:rFonts w:hint="default" w:ascii="宋体" w:hAnsi="宋体" w:eastAsia="宋体"/>
          <w:color w:val="auto"/>
          <w:sz w:val="21"/>
          <w:szCs w:val="21"/>
          <w:highlight w:val="none"/>
        </w:rPr>
        <w:t>2.2.</w:t>
      </w:r>
      <w:r>
        <w:rPr>
          <w:rFonts w:hint="eastAsia" w:ascii="宋体" w:hAnsi="宋体"/>
          <w:color w:val="auto"/>
          <w:sz w:val="21"/>
          <w:szCs w:val="21"/>
          <w:highlight w:val="none"/>
          <w:lang w:val="en-US" w:eastAsia="zh-CN"/>
        </w:rPr>
        <w:t xml:space="preserve">5 </w:t>
      </w:r>
      <w:r>
        <w:rPr>
          <w:rFonts w:hint="default" w:ascii="宋体" w:hAnsi="宋体" w:eastAsia="宋体"/>
          <w:color w:val="auto"/>
          <w:sz w:val="21"/>
          <w:szCs w:val="21"/>
          <w:highlight w:val="none"/>
        </w:rPr>
        <w:t>最高投标限价：</w:t>
      </w:r>
      <w:bookmarkStart w:id="24" w:name="OLE_LINK1"/>
      <w:r>
        <w:rPr>
          <w:rFonts w:hint="eastAsia" w:ascii="宋体" w:hAnsi="宋体" w:cs="宋体"/>
          <w:color w:val="auto"/>
          <w:sz w:val="21"/>
          <w:u w:val="single"/>
          <w:lang w:val="en-US" w:eastAsia="zh-CN" w:bidi="ar-SA"/>
        </w:rPr>
        <w:t>611.55</w:t>
      </w:r>
      <w:r>
        <w:rPr>
          <w:rFonts w:hint="eastAsia" w:ascii="宋体" w:hAnsi="宋体" w:eastAsia="宋体" w:cs="宋体"/>
          <w:color w:val="auto"/>
          <w:sz w:val="21"/>
          <w:u w:val="single"/>
          <w:lang w:val="en-US" w:eastAsia="zh-CN" w:bidi="ar-SA"/>
        </w:rPr>
        <w:t>万元，其中：工程勘察费最高投标限价：</w:t>
      </w:r>
      <w:r>
        <w:rPr>
          <w:rFonts w:hint="eastAsia" w:ascii="宋体" w:hAnsi="宋体" w:cs="宋体"/>
          <w:color w:val="auto"/>
          <w:sz w:val="21"/>
          <w:u w:val="single"/>
          <w:lang w:val="en-US" w:eastAsia="zh-CN" w:bidi="ar-SA"/>
        </w:rPr>
        <w:t>163.70</w:t>
      </w:r>
      <w:r>
        <w:rPr>
          <w:rFonts w:hint="eastAsia" w:ascii="宋体" w:hAnsi="宋体" w:eastAsia="宋体" w:cs="宋体"/>
          <w:color w:val="auto"/>
          <w:sz w:val="21"/>
          <w:u w:val="single"/>
          <w:lang w:val="en-US" w:eastAsia="zh-CN" w:bidi="ar-SA"/>
        </w:rPr>
        <w:t>万元，工程设计费最高投标限价：</w:t>
      </w:r>
      <w:r>
        <w:rPr>
          <w:rFonts w:hint="eastAsia" w:ascii="宋体" w:hAnsi="宋体" w:cs="宋体"/>
          <w:color w:val="auto"/>
          <w:sz w:val="21"/>
          <w:u w:val="single"/>
          <w:lang w:val="en-US" w:eastAsia="zh-CN" w:bidi="ar-SA"/>
        </w:rPr>
        <w:t>447.85</w:t>
      </w:r>
      <w:r>
        <w:rPr>
          <w:rFonts w:hint="eastAsia" w:ascii="宋体" w:hAnsi="宋体" w:eastAsia="宋体" w:cs="宋体"/>
          <w:color w:val="auto"/>
          <w:sz w:val="21"/>
          <w:u w:val="single"/>
          <w:lang w:val="en-US" w:eastAsia="zh-CN" w:bidi="ar-SA"/>
        </w:rPr>
        <w:t xml:space="preserve">万元 </w:t>
      </w:r>
      <w:r>
        <w:rPr>
          <w:rFonts w:hint="eastAsia" w:ascii="宋体" w:hAnsi="宋体" w:eastAsia="宋体" w:cs="宋体"/>
          <w:color w:val="auto"/>
          <w:sz w:val="21"/>
          <w:u w:val="none"/>
          <w:lang w:val="en-US" w:eastAsia="zh-CN" w:bidi="ar-SA"/>
        </w:rPr>
        <w:t xml:space="preserve">。 </w:t>
      </w:r>
      <w:r>
        <w:rPr>
          <w:rFonts w:hint="eastAsia" w:ascii="宋体" w:hAnsi="宋体" w:eastAsia="宋体" w:cs="宋体"/>
          <w:color w:val="auto"/>
          <w:sz w:val="21"/>
          <w:szCs w:val="21"/>
          <w:highlight w:val="none"/>
          <w:u w:val="none"/>
          <w:lang w:val="en-US" w:eastAsia="zh-CN" w:bidi="ar"/>
        </w:rPr>
        <w:t xml:space="preserve"> </w:t>
      </w:r>
      <w:r>
        <w:rPr>
          <w:rFonts w:hint="eastAsia" w:ascii="宋体" w:hAnsi="宋体" w:eastAsia="宋体" w:cs="宋体"/>
          <w:color w:val="auto"/>
          <w:sz w:val="21"/>
          <w:szCs w:val="21"/>
          <w:highlight w:val="none"/>
          <w:lang w:val="en-US" w:eastAsia="zh-CN" w:bidi="ar"/>
        </w:rPr>
        <w:t xml:space="preserve"> </w:t>
      </w:r>
      <w:r>
        <w:rPr>
          <w:rFonts w:hint="default" w:ascii="宋体" w:hAnsi="宋体" w:eastAsia="宋体" w:cs="宋体"/>
          <w:color w:val="auto"/>
          <w:sz w:val="21"/>
          <w:szCs w:val="21"/>
          <w:highlight w:val="none"/>
          <w:lang w:val="en-US" w:eastAsia="zh-CN" w:bidi="ar"/>
        </w:rPr>
        <w:t xml:space="preserve">    </w:t>
      </w:r>
      <w:bookmarkEnd w:id="24"/>
    </w:p>
    <w:p w14:paraId="0DA8EDD7">
      <w:pPr>
        <w:keepNext w:val="0"/>
        <w:keepLines w:val="0"/>
        <w:pageBreakBefore w:val="0"/>
        <w:widowControl w:val="0"/>
        <w:kinsoku/>
        <w:overflowPunct/>
        <w:topLinePunct w:val="0"/>
        <w:autoSpaceDE w:val="0"/>
        <w:autoSpaceDN w:val="0"/>
        <w:bidi w:val="0"/>
        <w:snapToGrid/>
        <w:spacing w:line="360" w:lineRule="auto"/>
        <w:ind w:firstLine="420" w:firstLineChars="200"/>
        <w:jc w:val="both"/>
        <w:textAlignment w:val="auto"/>
        <w:rPr>
          <w:rFonts w:hint="eastAsia" w:eastAsia="宋体"/>
          <w:color w:val="auto"/>
          <w:lang w:eastAsia="zh-CN"/>
        </w:rPr>
      </w:pPr>
      <w:r>
        <w:rPr>
          <w:rFonts w:hint="eastAsia" w:ascii="楷体_GB2312" w:hAnsi="楷体_GB2312" w:eastAsia="楷体_GB2312" w:cs="楷体_GB2312"/>
          <w:color w:val="auto"/>
          <w:kern w:val="2"/>
          <w:sz w:val="21"/>
          <w:szCs w:val="21"/>
          <w:lang w:val="en-US" w:eastAsia="zh-CN" w:bidi="ar-SA"/>
        </w:rPr>
        <w:t>注：两个或两个以上标段的，应明确各标段最高投标限价。</w:t>
      </w:r>
    </w:p>
    <w:p w14:paraId="53D04C83">
      <w:pPr>
        <w:keepNext w:val="0"/>
        <w:keepLines w:val="0"/>
        <w:pageBreakBefore w:val="0"/>
        <w:widowControl w:val="0"/>
        <w:tabs>
          <w:tab w:val="left" w:pos="7513"/>
        </w:tabs>
        <w:kinsoku/>
        <w:overflowPunct/>
        <w:topLinePunct w:val="0"/>
        <w:autoSpaceDE w:val="0"/>
        <w:autoSpaceDN w:val="0"/>
        <w:bidi w:val="0"/>
        <w:snapToGrid/>
        <w:spacing w:line="360" w:lineRule="auto"/>
        <w:ind w:firstLine="420" w:firstLineChars="200"/>
        <w:jc w:val="both"/>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2.2.6</w:t>
      </w:r>
      <w:r>
        <w:rPr>
          <w:rFonts w:hint="eastAsia" w:ascii="宋体" w:hAnsi="宋体" w:eastAsia="宋体" w:cs="Times New Roman"/>
          <w:color w:val="auto"/>
          <w:sz w:val="21"/>
          <w:szCs w:val="21"/>
          <w:highlight w:val="none"/>
        </w:rPr>
        <w:t xml:space="preserve"> 前期服务机构名称（□项目建议书、</w:t>
      </w:r>
      <w:r>
        <w:rPr>
          <w:rFonts w:hint="eastAsia" w:ascii="宋体" w:hAnsi="宋体" w:cs="Times New Roman"/>
          <w:color w:val="auto"/>
          <w:sz w:val="21"/>
          <w:szCs w:val="21"/>
          <w:highlight w:val="none"/>
          <w:lang w:eastAsia="zh-CN"/>
        </w:rPr>
        <w:t>☑</w:t>
      </w:r>
      <w:r>
        <w:rPr>
          <w:rFonts w:hint="eastAsia" w:ascii="宋体" w:hAnsi="宋体" w:eastAsia="宋体" w:cs="Times New Roman"/>
          <w:color w:val="auto"/>
          <w:sz w:val="21"/>
          <w:szCs w:val="21"/>
          <w:highlight w:val="none"/>
        </w:rPr>
        <w:t>可行性研究报告、□规划</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eastAsia="zh-CN"/>
        </w:rPr>
        <w:t>咨询</w:t>
      </w:r>
      <w:r>
        <w:rPr>
          <w:rFonts w:hint="eastAsia" w:ascii="宋体" w:hAnsi="宋体" w:eastAsia="宋体" w:cs="Times New Roman"/>
          <w:color w:val="auto"/>
          <w:sz w:val="21"/>
          <w:szCs w:val="21"/>
          <w:highlight w:val="none"/>
        </w:rPr>
        <w:t>等编制单位）：</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u w:val="single"/>
          <w:lang w:val="en-US" w:eastAsia="zh-CN"/>
        </w:rPr>
        <w:t>深圳群伦项目管理</w:t>
      </w:r>
      <w:r>
        <w:rPr>
          <w:rFonts w:hint="eastAsia" w:ascii="宋体" w:hAnsi="宋体" w:eastAsia="宋体" w:cs="Times New Roman"/>
          <w:color w:val="auto"/>
          <w:sz w:val="21"/>
          <w:szCs w:val="21"/>
          <w:highlight w:val="none"/>
          <w:u w:val="single"/>
        </w:rPr>
        <w:t xml:space="preserve">有限公司  </w:t>
      </w:r>
      <w:r>
        <w:rPr>
          <w:rFonts w:hint="eastAsia" w:ascii="宋体" w:hAnsi="宋体" w:eastAsia="宋体" w:cs="Times New Roman"/>
          <w:color w:val="auto"/>
          <w:sz w:val="21"/>
          <w:szCs w:val="21"/>
          <w:highlight w:val="none"/>
          <w:lang w:eastAsia="zh-CN"/>
        </w:rPr>
        <w:t>（填写所有与招标内容相关的曾提供前期服务机构名称）</w:t>
      </w:r>
    </w:p>
    <w:p w14:paraId="6E186B91">
      <w:pPr>
        <w:keepNext w:val="0"/>
        <w:keepLines w:val="0"/>
        <w:pageBreakBefore w:val="0"/>
        <w:widowControl w:val="0"/>
        <w:kinsoku/>
        <w:wordWrap/>
        <w:overflowPunct/>
        <w:topLinePunct w:val="0"/>
        <w:autoSpaceDE w:val="0"/>
        <w:autoSpaceDN w:val="0"/>
        <w:bidi w:val="0"/>
        <w:snapToGrid/>
        <w:spacing w:line="360" w:lineRule="auto"/>
        <w:ind w:firstLine="0" w:firstLineChars="0"/>
        <w:jc w:val="both"/>
        <w:textAlignment w:val="auto"/>
        <w:rPr>
          <w:rFonts w:hint="eastAsia" w:ascii="楷体_GB2312" w:hAnsi="楷体_GB2312" w:eastAsia="楷体_GB2312" w:cs="楷体_GB2312"/>
          <w:color w:val="auto"/>
          <w:sz w:val="20"/>
          <w:szCs w:val="21"/>
        </w:rPr>
      </w:pPr>
      <w:r>
        <w:rPr>
          <w:rFonts w:hint="eastAsia" w:ascii="楷体_GB2312" w:hAnsi="楷体_GB2312" w:eastAsia="楷体_GB2312" w:cs="楷体_GB2312"/>
          <w:color w:val="auto"/>
          <w:szCs w:val="21"/>
        </w:rPr>
        <w:t>注：</w:t>
      </w:r>
      <w:r>
        <w:rPr>
          <w:rFonts w:hint="eastAsia" w:ascii="楷体_GB2312" w:hAnsi="楷体_GB2312" w:eastAsia="楷体_GB2312" w:cs="楷体_GB2312"/>
          <w:color w:val="auto"/>
          <w:sz w:val="20"/>
          <w:szCs w:val="21"/>
        </w:rPr>
        <w:t>如果</w:t>
      </w:r>
      <w:r>
        <w:rPr>
          <w:rFonts w:hint="eastAsia" w:ascii="楷体_GB2312" w:hAnsi="楷体_GB2312" w:eastAsia="楷体_GB2312" w:cs="楷体_GB2312"/>
          <w:color w:val="auto"/>
          <w:sz w:val="20"/>
          <w:szCs w:val="21"/>
          <w:lang w:eastAsia="zh-CN"/>
        </w:rPr>
        <w:t>有</w:t>
      </w:r>
      <w:r>
        <w:rPr>
          <w:rFonts w:hint="eastAsia" w:ascii="楷体_GB2312" w:hAnsi="楷体_GB2312" w:eastAsia="楷体_GB2312" w:cs="楷体_GB2312"/>
          <w:color w:val="auto"/>
          <w:sz w:val="20"/>
          <w:szCs w:val="21"/>
        </w:rPr>
        <w:t>前期服务机构，应</w:t>
      </w:r>
      <w:r>
        <w:rPr>
          <w:rFonts w:hint="eastAsia" w:ascii="楷体_GB2312" w:hAnsi="楷体_GB2312" w:eastAsia="楷体_GB2312" w:cs="楷体_GB2312"/>
          <w:color w:val="auto"/>
          <w:sz w:val="20"/>
          <w:szCs w:val="21"/>
          <w:lang w:eastAsia="zh-CN"/>
        </w:rPr>
        <w:t>公开披露其名称及本公告发布前其最终完成的工作成果</w:t>
      </w:r>
      <w:r>
        <w:rPr>
          <w:rFonts w:hint="eastAsia" w:ascii="楷体_GB2312" w:hAnsi="楷体_GB2312" w:eastAsia="楷体_GB2312" w:cs="楷体_GB2312"/>
          <w:color w:val="auto"/>
          <w:sz w:val="20"/>
          <w:szCs w:val="21"/>
        </w:rPr>
        <w:t>（含电子文件</w:t>
      </w:r>
      <w:r>
        <w:rPr>
          <w:rFonts w:hint="eastAsia" w:ascii="楷体_GB2312" w:hAnsi="楷体_GB2312" w:eastAsia="楷体_GB2312" w:cs="楷体_GB2312"/>
          <w:color w:val="auto"/>
          <w:sz w:val="20"/>
          <w:szCs w:val="21"/>
          <w:lang w:eastAsia="zh-CN"/>
        </w:rPr>
        <w:t>，有保密要求不宜对外公布的除外</w:t>
      </w:r>
      <w:r>
        <w:rPr>
          <w:rFonts w:hint="eastAsia" w:ascii="楷体_GB2312" w:hAnsi="楷体_GB2312" w:eastAsia="楷体_GB2312" w:cs="楷体_GB2312"/>
          <w:color w:val="auto"/>
          <w:sz w:val="20"/>
          <w:szCs w:val="21"/>
        </w:rPr>
        <w:t>）</w:t>
      </w:r>
      <w:r>
        <w:rPr>
          <w:rFonts w:hint="eastAsia" w:ascii="楷体_GB2312" w:hAnsi="楷体_GB2312" w:eastAsia="楷体_GB2312" w:cs="楷体_GB2312"/>
          <w:color w:val="auto"/>
          <w:sz w:val="20"/>
          <w:szCs w:val="21"/>
          <w:lang w:eastAsia="zh-CN"/>
        </w:rPr>
        <w:t>，</w:t>
      </w:r>
      <w:r>
        <w:rPr>
          <w:rFonts w:hint="eastAsia" w:ascii="楷体_GB2312" w:hAnsi="楷体_GB2312" w:eastAsia="楷体_GB2312" w:cs="楷体_GB2312"/>
          <w:color w:val="auto"/>
          <w:sz w:val="20"/>
          <w:szCs w:val="21"/>
        </w:rPr>
        <w:t>否则前期参与的服务机构中标无效。</w:t>
      </w:r>
    </w:p>
    <w:p w14:paraId="619F0B43">
      <w:pPr>
        <w:keepNext w:val="0"/>
        <w:keepLines w:val="0"/>
        <w:pageBreakBefore w:val="0"/>
        <w:widowControl w:val="0"/>
        <w:tabs>
          <w:tab w:val="left" w:pos="7513"/>
        </w:tabs>
        <w:kinsoku/>
        <w:overflowPunct/>
        <w:topLinePunct w:val="0"/>
        <w:autoSpaceDE w:val="0"/>
        <w:autoSpaceDN w:val="0"/>
        <w:bidi w:val="0"/>
        <w:snapToGrid/>
        <w:spacing w:line="360" w:lineRule="auto"/>
        <w:ind w:firstLine="420" w:firstLineChars="200"/>
        <w:jc w:val="left"/>
        <w:textAlignment w:val="auto"/>
        <w:rPr>
          <w:rFonts w:hint="default" w:ascii="宋体" w:hAnsi="宋体" w:eastAsia="宋体" w:cs="Times New Roman"/>
          <w:color w:val="auto"/>
          <w:sz w:val="21"/>
          <w:szCs w:val="21"/>
          <w:highlight w:val="none"/>
          <w:lang w:eastAsia="zh-CN"/>
        </w:rPr>
      </w:pPr>
      <w:r>
        <w:rPr>
          <w:rFonts w:hint="default" w:ascii="宋体" w:hAnsi="宋体" w:eastAsia="宋体" w:cs="Times New Roman"/>
          <w:color w:val="auto"/>
          <w:sz w:val="21"/>
          <w:szCs w:val="21"/>
          <w:highlight w:val="none"/>
          <w:lang w:eastAsia="zh-CN"/>
        </w:rPr>
        <w:t>2.2.7 设计合理使用年限：各项目需达到招标文件要求且不低于相关规范作出的要求。</w:t>
      </w:r>
    </w:p>
    <w:p w14:paraId="110FA99D">
      <w:pPr>
        <w:keepNext w:val="0"/>
        <w:keepLines w:val="0"/>
        <w:pageBreakBefore w:val="0"/>
        <w:widowControl w:val="0"/>
        <w:tabs>
          <w:tab w:val="left" w:pos="7513"/>
        </w:tabs>
        <w:kinsoku/>
        <w:overflowPunct/>
        <w:topLinePunct w:val="0"/>
        <w:autoSpaceDE w:val="0"/>
        <w:autoSpaceDN w:val="0"/>
        <w:bidi w:val="0"/>
        <w:snapToGrid/>
        <w:spacing w:line="360" w:lineRule="auto"/>
        <w:ind w:firstLine="420" w:firstLineChars="200"/>
        <w:jc w:val="left"/>
        <w:textAlignment w:val="auto"/>
        <w:rPr>
          <w:rFonts w:hint="default" w:ascii="宋体" w:hAnsi="宋体" w:eastAsia="宋体" w:cs="Times New Roman"/>
          <w:color w:val="auto"/>
          <w:sz w:val="21"/>
          <w:szCs w:val="21"/>
          <w:highlight w:val="none"/>
          <w:lang w:eastAsia="zh-CN"/>
        </w:rPr>
      </w:pPr>
      <w:r>
        <w:rPr>
          <w:rFonts w:hint="default" w:ascii="宋体" w:hAnsi="宋体" w:eastAsia="宋体" w:cs="Times New Roman"/>
          <w:color w:val="auto"/>
          <w:sz w:val="21"/>
          <w:szCs w:val="21"/>
          <w:highlight w:val="none"/>
          <w:lang w:eastAsia="zh-CN"/>
        </w:rPr>
        <w:t>2.2.</w:t>
      </w:r>
      <w:r>
        <w:rPr>
          <w:rFonts w:hint="eastAsia" w:ascii="宋体" w:hAnsi="宋体" w:eastAsia="宋体" w:cs="Times New Roman"/>
          <w:color w:val="auto"/>
          <w:sz w:val="21"/>
          <w:szCs w:val="21"/>
          <w:highlight w:val="none"/>
          <w:lang w:val="en-US" w:eastAsia="zh-CN"/>
        </w:rPr>
        <w:t>8</w:t>
      </w:r>
      <w:r>
        <w:rPr>
          <w:rFonts w:hint="default" w:ascii="宋体" w:hAnsi="宋体" w:eastAsia="宋体" w:cs="Times New Roman"/>
          <w:color w:val="auto"/>
          <w:sz w:val="21"/>
          <w:szCs w:val="21"/>
          <w:highlight w:val="none"/>
          <w:lang w:eastAsia="zh-CN"/>
        </w:rPr>
        <w:t>本项目采用评定分离方式确定中标人。</w:t>
      </w:r>
    </w:p>
    <w:p w14:paraId="63DB46CE">
      <w:pPr>
        <w:pStyle w:val="3"/>
        <w:rPr>
          <w:rFonts w:hint="eastAsia"/>
          <w:color w:val="auto"/>
        </w:rPr>
      </w:pPr>
      <w:bookmarkStart w:id="25" w:name="bookmark4"/>
      <w:bookmarkEnd w:id="25"/>
      <w:bookmarkStart w:id="26" w:name="_Toc22036"/>
      <w:bookmarkStart w:id="27" w:name="_Toc19512"/>
      <w:bookmarkStart w:id="28" w:name="_Toc31271"/>
      <w:bookmarkStart w:id="29" w:name="_Toc30484"/>
      <w:bookmarkStart w:id="30" w:name="_Toc6675"/>
      <w:bookmarkStart w:id="31" w:name="_Toc31380"/>
      <w:r>
        <w:rPr>
          <w:rFonts w:hint="eastAsia"/>
          <w:color w:val="auto"/>
        </w:rPr>
        <w:t>3.投标人资格要求</w:t>
      </w:r>
      <w:bookmarkEnd w:id="26"/>
      <w:bookmarkEnd w:id="27"/>
      <w:bookmarkEnd w:id="28"/>
      <w:bookmarkEnd w:id="29"/>
      <w:bookmarkEnd w:id="30"/>
      <w:bookmarkEnd w:id="31"/>
    </w:p>
    <w:p w14:paraId="21005A02">
      <w:pPr>
        <w:pStyle w:val="5"/>
        <w:keepNext w:val="0"/>
        <w:keepLines w:val="0"/>
        <w:pageBreakBefore w:val="0"/>
        <w:widowControl w:val="0"/>
        <w:tabs>
          <w:tab w:val="left" w:pos="4500"/>
          <w:tab w:val="left" w:pos="6415"/>
        </w:tabs>
        <w:kinsoku w:val="0"/>
        <w:wordWrap/>
        <w:overflowPunct w:val="0"/>
        <w:topLinePunct w:val="0"/>
        <w:autoSpaceDE w:val="0"/>
        <w:autoSpaceDN w:val="0"/>
        <w:bidi w:val="0"/>
        <w:adjustRightInd/>
        <w:snapToGrid/>
        <w:spacing w:line="360" w:lineRule="auto"/>
        <w:ind w:left="0" w:leftChars="0" w:right="21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rPr>
        <w:t>3.1</w:t>
      </w:r>
      <w:r>
        <w:rPr>
          <w:rFonts w:hint="eastAsia" w:eastAsia="宋体" w:cs="宋体"/>
          <w:color w:val="auto"/>
          <w:lang w:val="en-US" w:eastAsia="zh-CN"/>
        </w:rPr>
        <w:t xml:space="preserve">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人参加投标的意思表达清楚，投标人代表被授权有效。</w:t>
      </w:r>
    </w:p>
    <w:p w14:paraId="5A2584DF">
      <w:pPr>
        <w:pStyle w:val="5"/>
        <w:keepNext w:val="0"/>
        <w:keepLines w:val="0"/>
        <w:pageBreakBefore w:val="0"/>
        <w:widowControl w:val="0"/>
        <w:numPr>
          <w:ilvl w:val="0"/>
          <w:numId w:val="0"/>
        </w:numPr>
        <w:tabs>
          <w:tab w:val="left" w:pos="2812"/>
          <w:tab w:val="left" w:pos="3986"/>
        </w:tabs>
        <w:kinsoku w:val="0"/>
        <w:wordWrap/>
        <w:overflowPunct w:val="0"/>
        <w:topLinePunct w:val="0"/>
        <w:autoSpaceDE w:val="0"/>
        <w:autoSpaceDN w:val="0"/>
        <w:bidi w:val="0"/>
        <w:adjustRightInd/>
        <w:snapToGrid/>
        <w:spacing w:line="360" w:lineRule="auto"/>
        <w:ind w:right="223" w:firstLine="420" w:firstLineChars="200"/>
        <w:jc w:val="both"/>
        <w:textAlignment w:val="auto"/>
        <w:rPr>
          <w:rFonts w:hint="eastAsia" w:ascii="宋体" w:hAnsi="宋体" w:eastAsia="宋体" w:cs="宋体"/>
          <w:color w:val="auto"/>
        </w:rPr>
      </w:pPr>
      <w:r>
        <w:rPr>
          <w:rFonts w:hint="eastAsia" w:ascii="宋体" w:hAnsi="宋体" w:eastAsia="宋体" w:cs="宋体"/>
          <w:color w:val="auto"/>
          <w:lang w:val="en-US" w:eastAsia="zh-CN"/>
        </w:rPr>
        <w:t xml:space="preserve">3.2 </w:t>
      </w:r>
      <w:r>
        <w:rPr>
          <w:rFonts w:hint="eastAsia" w:ascii="宋体" w:hAnsi="宋体" w:eastAsia="宋体" w:cs="宋体"/>
          <w:color w:val="auto"/>
          <w:sz w:val="21"/>
          <w:szCs w:val="21"/>
          <w:highlight w:val="none"/>
        </w:rPr>
        <w:t>投标人是法人或其他组织，按国家法律经营</w:t>
      </w:r>
      <w:r>
        <w:rPr>
          <w:rFonts w:hint="eastAsia" w:ascii="宋体" w:hAnsi="宋体" w:eastAsia="宋体" w:cs="宋体"/>
          <w:color w:val="auto"/>
          <w:lang w:eastAsia="zh-CN"/>
        </w:rPr>
        <w:t>。</w:t>
      </w:r>
    </w:p>
    <w:p w14:paraId="4FD42598">
      <w:pPr>
        <w:pStyle w:val="5"/>
        <w:keepNext w:val="0"/>
        <w:keepLines w:val="0"/>
        <w:pageBreakBefore w:val="0"/>
        <w:widowControl w:val="0"/>
        <w:tabs>
          <w:tab w:val="left" w:pos="4500"/>
          <w:tab w:val="left" w:pos="6415"/>
        </w:tabs>
        <w:kinsoku w:val="0"/>
        <w:wordWrap w:val="0"/>
        <w:overflowPunct w:val="0"/>
        <w:topLinePunct w:val="0"/>
        <w:autoSpaceDE w:val="0"/>
        <w:autoSpaceDN w:val="0"/>
        <w:bidi w:val="0"/>
        <w:adjustRightInd/>
        <w:snapToGrid/>
        <w:spacing w:line="360" w:lineRule="auto"/>
        <w:ind w:left="0" w:leftChars="0" w:right="215" w:firstLine="420" w:firstLineChars="200"/>
        <w:jc w:val="left"/>
        <w:textAlignment w:val="auto"/>
        <w:rPr>
          <w:rFonts w:hint="eastAsia" w:ascii="宋体" w:hAnsi="宋体" w:eastAsia="宋体" w:cs="宋体"/>
          <w:color w:val="auto"/>
          <w:spacing w:val="2"/>
        </w:rPr>
      </w:pPr>
      <w:r>
        <w:rPr>
          <w:rFonts w:hint="eastAsia" w:ascii="宋体" w:hAnsi="宋体" w:eastAsia="宋体" w:cs="宋体"/>
          <w:color w:val="auto"/>
          <w:sz w:val="21"/>
          <w:szCs w:val="21"/>
          <w:highlight w:val="none"/>
          <w:lang w:val="en-US" w:eastAsia="zh-CN"/>
        </w:rPr>
        <w:t xml:space="preserve">3.3 </w:t>
      </w:r>
      <w:r>
        <w:rPr>
          <w:rFonts w:hint="eastAsia" w:ascii="宋体" w:hAnsi="宋体" w:eastAsia="宋体" w:cs="宋体"/>
          <w:color w:val="auto"/>
          <w:spacing w:val="2"/>
        </w:rPr>
        <w:t>投标人须具备建设行政主管部门颁发的（1）、（2）资质：</w:t>
      </w:r>
    </w:p>
    <w:p w14:paraId="7239A140">
      <w:pPr>
        <w:pStyle w:val="5"/>
        <w:keepNext w:val="0"/>
        <w:keepLines w:val="0"/>
        <w:pageBreakBefore w:val="0"/>
        <w:widowControl w:val="0"/>
        <w:tabs>
          <w:tab w:val="left" w:pos="4500"/>
          <w:tab w:val="left" w:pos="6415"/>
        </w:tabs>
        <w:kinsoku w:val="0"/>
        <w:wordWrap w:val="0"/>
        <w:overflowPunct w:val="0"/>
        <w:topLinePunct w:val="0"/>
        <w:autoSpaceDE w:val="0"/>
        <w:autoSpaceDN w:val="0"/>
        <w:bidi w:val="0"/>
        <w:adjustRightInd/>
        <w:snapToGrid/>
        <w:spacing w:line="360" w:lineRule="auto"/>
        <w:ind w:left="0" w:leftChars="0" w:right="215" w:firstLine="428" w:firstLineChars="200"/>
        <w:jc w:val="left"/>
        <w:textAlignment w:val="auto"/>
        <w:rPr>
          <w:rFonts w:hint="eastAsia" w:ascii="宋体" w:hAnsi="宋体" w:eastAsia="宋体" w:cs="宋体"/>
          <w:color w:val="auto"/>
          <w:spacing w:val="2"/>
        </w:rPr>
      </w:pPr>
      <w:r>
        <w:rPr>
          <w:rFonts w:hint="eastAsia" w:ascii="宋体" w:hAnsi="宋体" w:eastAsia="宋体" w:cs="宋体"/>
          <w:color w:val="auto"/>
          <w:spacing w:val="2"/>
        </w:rPr>
        <w:t>（1）工程勘察资质：</w:t>
      </w:r>
      <w:r>
        <w:rPr>
          <w:rFonts w:hint="eastAsia" w:ascii="宋体" w:hAnsi="宋体" w:eastAsia="宋体" w:cs="宋体"/>
          <w:color w:val="auto"/>
          <w:sz w:val="21"/>
          <w:szCs w:val="21"/>
          <w:u w:val="single"/>
          <w:lang w:eastAsia="zh-CN"/>
        </w:rPr>
        <w:t>工程勘察综合类甲级资质，或同时具备工程勘察专业类（岩土工程）甲级和工程勘察专业类（工程测量）乙级或以上资质，或同时具备工程勘察专业类（岩土工程勘察分项）甲级和工程勘察专业类（工程测量）乙级或以上资质。</w:t>
      </w:r>
    </w:p>
    <w:p w14:paraId="41C1E39A">
      <w:pPr>
        <w:pStyle w:val="5"/>
        <w:keepNext w:val="0"/>
        <w:keepLines w:val="0"/>
        <w:pageBreakBefore w:val="0"/>
        <w:widowControl w:val="0"/>
        <w:tabs>
          <w:tab w:val="left" w:pos="4500"/>
          <w:tab w:val="left" w:pos="6415"/>
        </w:tabs>
        <w:kinsoku w:val="0"/>
        <w:wordWrap w:val="0"/>
        <w:overflowPunct w:val="0"/>
        <w:topLinePunct w:val="0"/>
        <w:autoSpaceDE w:val="0"/>
        <w:autoSpaceDN w:val="0"/>
        <w:bidi w:val="0"/>
        <w:adjustRightInd/>
        <w:snapToGrid/>
        <w:spacing w:line="360" w:lineRule="auto"/>
        <w:ind w:left="0" w:leftChars="0" w:right="215" w:firstLine="428" w:firstLineChars="200"/>
        <w:jc w:val="left"/>
        <w:textAlignment w:val="auto"/>
        <w:rPr>
          <w:rFonts w:hint="eastAsia" w:eastAsia="宋体" w:cs="宋体"/>
          <w:color w:val="auto"/>
          <w:lang w:eastAsia="zh-CN"/>
        </w:rPr>
      </w:pPr>
      <w:r>
        <w:rPr>
          <w:rFonts w:hint="eastAsia" w:ascii="宋体" w:hAnsi="宋体" w:eastAsia="宋体" w:cs="宋体"/>
          <w:color w:val="auto"/>
          <w:spacing w:val="2"/>
        </w:rPr>
        <w:t>（2）工程设计资质：</w:t>
      </w:r>
      <w:r>
        <w:rPr>
          <w:rFonts w:hint="eastAsia" w:ascii="宋体" w:hAnsi="宋体" w:eastAsia="宋体" w:cs="宋体"/>
          <w:color w:val="auto"/>
          <w:sz w:val="21"/>
          <w:szCs w:val="21"/>
          <w:u w:val="single"/>
          <w:lang w:eastAsia="zh-CN"/>
        </w:rPr>
        <w:t>工程设计综合甲级资质，或工程设计市政行业甲级资质，或工程设计市政行业（道路工程专业甲级</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u w:val="single"/>
          <w:lang w:eastAsia="zh-CN"/>
        </w:rPr>
        <w:t>资质。</w:t>
      </w:r>
    </w:p>
    <w:p w14:paraId="0AA56C48">
      <w:pPr>
        <w:pStyle w:val="5"/>
        <w:keepNext w:val="0"/>
        <w:keepLines w:val="0"/>
        <w:pageBreakBefore w:val="0"/>
        <w:widowControl w:val="0"/>
        <w:tabs>
          <w:tab w:val="left" w:pos="4500"/>
          <w:tab w:val="left" w:pos="6415"/>
        </w:tabs>
        <w:kinsoku w:val="0"/>
        <w:wordWrap/>
        <w:overflowPunct w:val="0"/>
        <w:topLinePunct w:val="0"/>
        <w:autoSpaceDE w:val="0"/>
        <w:autoSpaceDN w:val="0"/>
        <w:bidi w:val="0"/>
        <w:adjustRightInd/>
        <w:snapToGrid/>
        <w:spacing w:line="360" w:lineRule="auto"/>
        <w:ind w:left="0" w:leftChars="0" w:right="214" w:firstLine="420" w:firstLineChars="200"/>
        <w:jc w:val="both"/>
        <w:textAlignment w:val="auto"/>
        <w:rPr>
          <w:rFonts w:hint="eastAsia" w:eastAsia="宋体" w:cs="宋体"/>
          <w:color w:val="auto"/>
          <w:lang w:val="en-US" w:eastAsia="zh-CN"/>
        </w:rPr>
      </w:pPr>
      <w:r>
        <w:rPr>
          <w:rFonts w:hint="eastAsia" w:eastAsia="宋体" w:cs="宋体"/>
          <w:color w:val="auto"/>
          <w:lang w:val="en-US" w:eastAsia="zh-CN"/>
        </w:rPr>
        <w:t>对应所设置资质要求的勘察设计规模指标：</w:t>
      </w:r>
    </w:p>
    <w:p w14:paraId="6CDD36ED">
      <w:pPr>
        <w:pStyle w:val="5"/>
        <w:keepNext w:val="0"/>
        <w:keepLines w:val="0"/>
        <w:pageBreakBefore w:val="0"/>
        <w:widowControl w:val="0"/>
        <w:tabs>
          <w:tab w:val="left" w:pos="4500"/>
          <w:tab w:val="left" w:pos="6415"/>
        </w:tabs>
        <w:kinsoku w:val="0"/>
        <w:wordWrap/>
        <w:overflowPunct w:val="0"/>
        <w:topLinePunct w:val="0"/>
        <w:autoSpaceDE w:val="0"/>
        <w:autoSpaceDN w:val="0"/>
        <w:bidi w:val="0"/>
        <w:adjustRightInd/>
        <w:snapToGrid/>
        <w:spacing w:line="360" w:lineRule="auto"/>
        <w:ind w:left="0" w:leftChars="0" w:right="214" w:firstLine="420" w:firstLineChars="200"/>
        <w:jc w:val="both"/>
        <w:textAlignment w:val="auto"/>
        <w:rPr>
          <w:rFonts w:hint="eastAsia" w:ascii="宋体" w:hAnsi="宋体" w:eastAsia="宋体" w:cs="宋体"/>
          <w:color w:val="auto"/>
          <w:lang w:val="en-US" w:eastAsia="zh-CN"/>
        </w:rPr>
      </w:pPr>
      <w:r>
        <w:rPr>
          <w:rFonts w:hint="eastAsia" w:ascii="宋体" w:hAnsi="宋体" w:eastAsia="宋体" w:cs="宋体"/>
          <w:color w:val="auto"/>
          <w:sz w:val="21"/>
          <w:szCs w:val="21"/>
          <w:u w:val="single"/>
        </w:rPr>
        <w:sym w:font="Wingdings 2" w:char="0052"/>
      </w:r>
      <w:r>
        <w:rPr>
          <w:rFonts w:hint="eastAsia" w:ascii="宋体" w:hAnsi="宋体" w:eastAsia="宋体" w:cs="宋体"/>
          <w:color w:val="auto"/>
          <w:sz w:val="21"/>
          <w:szCs w:val="21"/>
          <w:u w:val="single"/>
          <w:lang w:eastAsia="zh-CN"/>
        </w:rPr>
        <w:t>城市主干道</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w:t>
      </w:r>
      <w:r>
        <w:rPr>
          <w:rFonts w:hint="eastAsia" w:ascii="宋体" w:hAnsi="宋体" w:eastAsia="宋体" w:cs="宋体"/>
          <w:color w:val="auto"/>
          <w:sz w:val="21"/>
          <w:szCs w:val="21"/>
          <w:u w:val="single"/>
          <w:lang w:eastAsia="zh-CN"/>
        </w:rPr>
        <w:t>城市次干路</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□城市</w:t>
      </w:r>
      <w:r>
        <w:rPr>
          <w:rFonts w:hint="eastAsia" w:ascii="宋体" w:hAnsi="宋体" w:eastAsia="宋体" w:cs="宋体"/>
          <w:color w:val="auto"/>
          <w:sz w:val="21"/>
          <w:szCs w:val="21"/>
          <w:u w:val="single"/>
          <w:lang w:eastAsia="zh-CN"/>
        </w:rPr>
        <w:t>支路</w:t>
      </w:r>
      <w:r>
        <w:rPr>
          <w:rFonts w:hint="eastAsia" w:ascii="宋体" w:hAnsi="宋体" w:eastAsia="宋体" w:cs="宋体"/>
          <w:color w:val="auto"/>
          <w:sz w:val="21"/>
          <w:szCs w:val="21"/>
          <w:u w:val="single"/>
          <w:lang w:val="en-US" w:eastAsia="zh-CN"/>
        </w:rPr>
        <w:t xml:space="preserve">  </w:t>
      </w:r>
      <w:r>
        <w:rPr>
          <w:rFonts w:hint="eastAsia" w:cs="宋体"/>
          <w:color w:val="auto"/>
          <w:sz w:val="21"/>
          <w:szCs w:val="21"/>
          <w:u w:val="single"/>
          <w:lang w:eastAsia="zh-CN"/>
        </w:rPr>
        <w:t>□</w:t>
      </w:r>
      <w:r>
        <w:rPr>
          <w:rFonts w:hint="eastAsia" w:ascii="宋体" w:hAnsi="宋体" w:eastAsia="宋体" w:cs="宋体"/>
          <w:color w:val="auto"/>
          <w:sz w:val="21"/>
          <w:szCs w:val="21"/>
          <w:u w:val="single"/>
          <w:lang w:eastAsia="zh-CN"/>
        </w:rPr>
        <w:t>桥梁单跨≥</w:t>
      </w:r>
      <w:r>
        <w:rPr>
          <w:rFonts w:hint="eastAsia" w:ascii="宋体" w:hAnsi="宋体" w:eastAsia="宋体" w:cs="宋体"/>
          <w:color w:val="auto"/>
          <w:sz w:val="21"/>
          <w:szCs w:val="21"/>
          <w:u w:val="single"/>
          <w:lang w:val="en-US" w:eastAsia="zh-CN"/>
        </w:rPr>
        <w:t>40米、总长</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lang w:val="en-US" w:eastAsia="zh-CN"/>
        </w:rPr>
        <w:t>100米</w:t>
      </w:r>
      <w:r>
        <w:rPr>
          <w:rFonts w:hint="eastAsia" w:cs="宋体"/>
          <w:color w:val="auto"/>
          <w:sz w:val="21"/>
          <w:szCs w:val="21"/>
          <w:highlight w:val="none"/>
          <w:u w:val="single"/>
          <w:lang w:val="en-US" w:eastAsia="zh-CN"/>
        </w:rPr>
        <w:t xml:space="preserve">  </w:t>
      </w:r>
      <w:r>
        <w:rPr>
          <w:rFonts w:hint="eastAsia"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5-20km及以下线路工程测量）</w:t>
      </w:r>
    </w:p>
    <w:p w14:paraId="4D5E7E99">
      <w:pPr>
        <w:keepNext w:val="0"/>
        <w:keepLines w:val="0"/>
        <w:pageBreakBefore w:val="0"/>
        <w:widowControl w:val="0"/>
        <w:kinsoku/>
        <w:wordWrap/>
        <w:overflowPunct/>
        <w:topLinePunct w:val="0"/>
        <w:autoSpaceDE w:val="0"/>
        <w:autoSpaceDN w:val="0"/>
        <w:bidi w:val="0"/>
        <w:snapToGrid/>
        <w:spacing w:line="360" w:lineRule="auto"/>
        <w:ind w:firstLine="400" w:firstLineChars="200"/>
        <w:jc w:val="both"/>
        <w:textAlignment w:val="auto"/>
        <w:rPr>
          <w:rFonts w:hint="eastAsia" w:ascii="楷体_GB2312" w:hAnsi="楷体_GB2312" w:eastAsia="楷体_GB2312" w:cs="楷体_GB2312"/>
          <w:color w:val="auto"/>
          <w:sz w:val="20"/>
          <w:szCs w:val="21"/>
        </w:rPr>
      </w:pPr>
      <w:r>
        <w:rPr>
          <w:rFonts w:hint="eastAsia" w:ascii="楷体_GB2312" w:hAnsi="楷体_GB2312" w:eastAsia="楷体_GB2312" w:cs="楷体_GB2312"/>
          <w:color w:val="auto"/>
          <w:sz w:val="20"/>
          <w:szCs w:val="21"/>
        </w:rPr>
        <w:t>注：（1）国内申请人具体资质要求按照《建设工程勘察设计资质管理规定》（建设部令第160号）、《工程勘察、工程设计资质分级标准补充规定》（建设〔2001〕178号）、《工程设计资质标准》（建市〔2007〕86号）、《建设工程勘察设计资质管理规定实施意见》（建市[2007]202号）、《工程勘察资质标准》（建市[2013]9号）、《住房城乡建设部关于促进建筑工程设计事务所发展有关事项的通知》（建市〔2016〕261号）填写。</w:t>
      </w:r>
    </w:p>
    <w:p w14:paraId="656EE20A">
      <w:pPr>
        <w:keepNext w:val="0"/>
        <w:keepLines w:val="0"/>
        <w:pageBreakBefore w:val="0"/>
        <w:widowControl w:val="0"/>
        <w:kinsoku/>
        <w:wordWrap/>
        <w:overflowPunct/>
        <w:topLinePunct w:val="0"/>
        <w:autoSpaceDE w:val="0"/>
        <w:autoSpaceDN w:val="0"/>
        <w:bidi w:val="0"/>
        <w:snapToGrid/>
        <w:spacing w:line="360" w:lineRule="auto"/>
        <w:ind w:firstLine="400" w:firstLineChars="200"/>
        <w:jc w:val="both"/>
        <w:textAlignment w:val="auto"/>
        <w:rPr>
          <w:rFonts w:hint="eastAsia" w:ascii="楷体_GB2312" w:hAnsi="楷体_GB2312" w:eastAsia="楷体_GB2312" w:cs="楷体_GB2312"/>
          <w:color w:val="auto"/>
          <w:sz w:val="20"/>
          <w:szCs w:val="21"/>
        </w:rPr>
      </w:pPr>
      <w:r>
        <w:rPr>
          <w:rFonts w:hint="eastAsia" w:ascii="楷体_GB2312" w:hAnsi="楷体_GB2312" w:eastAsia="楷体_GB2312" w:cs="楷体_GB2312"/>
          <w:color w:val="auto"/>
          <w:sz w:val="20"/>
          <w:szCs w:val="21"/>
        </w:rPr>
        <w:t>（2）工程勘察、工程设计企业资质证书有效期按</w:t>
      </w:r>
      <w:r>
        <w:rPr>
          <w:rFonts w:hint="eastAsia" w:ascii="楷体_GB2312" w:hAnsi="楷体_GB2312" w:eastAsia="楷体_GB2312" w:cs="楷体_GB2312"/>
          <w:color w:val="auto"/>
          <w:kern w:val="2"/>
          <w:sz w:val="21"/>
          <w:szCs w:val="21"/>
          <w:lang w:val="en-US" w:eastAsia="zh-CN" w:bidi="ar-SA"/>
        </w:rPr>
        <w:t>《住房城乡建设部关于简化建筑业企业资质标准部分指标的通知》(建市〔2016〕226号)、《住房和城乡建设部关于印发建设工程企业资质管理制度改革方案的通知》（建市〔2020〕94号、</w:t>
      </w:r>
      <w:r>
        <w:rPr>
          <w:rFonts w:hint="eastAsia" w:ascii="楷体_GB2312" w:hAnsi="楷体_GB2312" w:eastAsia="楷体_GB2312" w:cs="楷体_GB2312"/>
          <w:color w:val="auto"/>
          <w:sz w:val="20"/>
          <w:szCs w:val="21"/>
        </w:rPr>
        <w:t>《住房和城乡建设部办公厅关于做好建筑业“证照分离”改革衔接有关工作的通知》（建办市〔2021〕30号）、《住房和城乡建设部办公厅关于建设工程企业资质统一延续有关事项的通知》（建办市函〔2021〕510号）</w:t>
      </w:r>
      <w:r>
        <w:rPr>
          <w:rFonts w:hint="eastAsia" w:ascii="楷体_GB2312" w:hAnsi="楷体_GB2312" w:eastAsia="楷体_GB2312" w:cs="楷体_GB2312"/>
          <w:color w:val="auto"/>
          <w:sz w:val="20"/>
          <w:szCs w:val="21"/>
          <w:lang w:eastAsia="zh-CN"/>
        </w:rPr>
        <w:t>、</w:t>
      </w:r>
      <w:r>
        <w:rPr>
          <w:rFonts w:hint="eastAsia" w:ascii="楷体_GB2312" w:hAnsi="楷体_GB2312" w:eastAsia="楷体_GB2312" w:cs="楷体_GB2312"/>
          <w:color w:val="auto"/>
          <w:sz w:val="20"/>
          <w:szCs w:val="21"/>
        </w:rPr>
        <w:t>《广东省住房和城乡建设厅关于建设工程企业资质有效期延期的通知》（粤建许函〔2021〕849号）</w:t>
      </w:r>
      <w:r>
        <w:rPr>
          <w:rFonts w:hint="eastAsia" w:ascii="楷体_GB2312" w:hAnsi="楷体_GB2312" w:eastAsia="楷体_GB2312" w:cs="楷体_GB2312"/>
          <w:color w:val="auto"/>
          <w:sz w:val="20"/>
          <w:szCs w:val="21"/>
          <w:lang w:eastAsia="zh-CN"/>
        </w:rPr>
        <w:t>、</w:t>
      </w:r>
      <w:r>
        <w:rPr>
          <w:rFonts w:hint="eastAsia" w:ascii="楷体_GB2312" w:hAnsi="楷体_GB2312" w:eastAsia="楷体_GB2312" w:cs="楷体_GB2312"/>
          <w:color w:val="auto"/>
          <w:sz w:val="20"/>
          <w:szCs w:val="21"/>
        </w:rPr>
        <w:t>《住房和城乡建设部办公厅关于建设工程企业资质有关事宜的通知》（建办市函〔2022〕361号）、《广东省住房和城乡建设厅关于建设工程企业资质有关事宜的通知》（粤建许函〔2022〕846号）、</w:t>
      </w:r>
      <w:r>
        <w:rPr>
          <w:rFonts w:hint="eastAsia" w:ascii="楷体_GB2312" w:hAnsi="楷体_GB2312" w:eastAsia="楷体_GB2312" w:cs="楷体_GB2312"/>
          <w:color w:val="auto"/>
          <w:sz w:val="20"/>
          <w:szCs w:val="21"/>
          <w:lang w:eastAsia="zh-CN"/>
        </w:rPr>
        <w:t>《住房和城乡建设部关于进一步加强建设工程企业资质审批管理工作的通知》（建市规</w:t>
      </w:r>
      <w:r>
        <w:rPr>
          <w:rFonts w:hint="eastAsia" w:ascii="楷体_GB2312" w:hAnsi="楷体_GB2312" w:eastAsia="楷体_GB2312" w:cs="楷体_GB2312"/>
          <w:color w:val="auto"/>
          <w:sz w:val="20"/>
          <w:szCs w:val="21"/>
        </w:rPr>
        <w:t>〔20</w:t>
      </w:r>
      <w:r>
        <w:rPr>
          <w:rFonts w:hint="eastAsia" w:ascii="楷体_GB2312" w:hAnsi="楷体_GB2312" w:eastAsia="楷体_GB2312" w:cs="楷体_GB2312"/>
          <w:color w:val="auto"/>
          <w:sz w:val="20"/>
          <w:szCs w:val="21"/>
          <w:lang w:val="en-US" w:eastAsia="zh-CN"/>
        </w:rPr>
        <w:t>23</w:t>
      </w:r>
      <w:r>
        <w:rPr>
          <w:rFonts w:hint="eastAsia" w:ascii="楷体_GB2312" w:hAnsi="楷体_GB2312" w:eastAsia="楷体_GB2312" w:cs="楷体_GB2312"/>
          <w:color w:val="auto"/>
          <w:sz w:val="20"/>
          <w:szCs w:val="21"/>
        </w:rPr>
        <w:t>〕</w:t>
      </w:r>
      <w:r>
        <w:rPr>
          <w:rFonts w:hint="eastAsia" w:ascii="楷体_GB2312" w:hAnsi="楷体_GB2312" w:eastAsia="楷体_GB2312" w:cs="楷体_GB2312"/>
          <w:color w:val="auto"/>
          <w:sz w:val="20"/>
          <w:szCs w:val="21"/>
          <w:lang w:val="en-US" w:eastAsia="zh-CN"/>
        </w:rPr>
        <w:t>3号）、</w:t>
      </w:r>
      <w:r>
        <w:rPr>
          <w:rFonts w:hint="eastAsia" w:ascii="楷体_GB2312" w:hAnsi="楷体_GB2312" w:eastAsia="楷体_GB2312" w:cs="楷体_GB2312"/>
          <w:color w:val="auto"/>
          <w:sz w:val="20"/>
          <w:szCs w:val="21"/>
        </w:rPr>
        <w:t>《住房城乡建设部办公厅关于做好有关建设工程企业资质证书换领和延续工作的通知》（建办市〔2023〕47号）</w:t>
      </w:r>
      <w:r>
        <w:rPr>
          <w:rFonts w:hint="eastAsia" w:ascii="楷体_GB2312" w:hAnsi="楷体_GB2312" w:eastAsia="楷体_GB2312" w:cs="楷体_GB2312"/>
          <w:color w:val="auto"/>
          <w:sz w:val="20"/>
          <w:szCs w:val="21"/>
          <w:lang w:eastAsia="zh-CN"/>
        </w:rPr>
        <w:t>、</w:t>
      </w:r>
      <w:r>
        <w:rPr>
          <w:rFonts w:hint="eastAsia" w:ascii="楷体_GB2312" w:hAnsi="楷体_GB2312" w:eastAsia="楷体_GB2312" w:cs="楷体_GB2312"/>
          <w:color w:val="auto"/>
          <w:sz w:val="20"/>
          <w:szCs w:val="21"/>
        </w:rPr>
        <w:t>《住房城乡建设部建筑市场监管司关于建设工程企业资质延续有关事项的通知》（建司局函市〔2023〕116号）、《广东省住房和城乡建设厅关于建设工程企业资质延续有关事项的通知》（粤建许函〔2023〕820号）、</w:t>
      </w:r>
      <w:r>
        <w:rPr>
          <w:rFonts w:hint="eastAsia" w:ascii="楷体_GB2312" w:hAnsi="楷体_GB2312" w:eastAsia="楷体_GB2312" w:cs="楷体_GB2312"/>
          <w:color w:val="auto"/>
          <w:sz w:val="20"/>
          <w:szCs w:val="21"/>
          <w:lang w:val="en-US" w:eastAsia="zh-CN"/>
        </w:rPr>
        <w:t>《广东省住房和城乡建设厅关于做好有关建设工程企业资质证书换领工作的通知》（粤建许函〔2024〕124号）</w:t>
      </w:r>
      <w:r>
        <w:rPr>
          <w:rFonts w:hint="eastAsia" w:ascii="楷体_GB2312" w:hAnsi="楷体_GB2312" w:eastAsia="楷体_GB2312" w:cs="楷体_GB2312"/>
          <w:color w:val="auto"/>
          <w:sz w:val="20"/>
          <w:szCs w:val="21"/>
        </w:rPr>
        <w:t>等相关规定执行。根据上述文件的要求，投标人需办理企业资质有效期延续的，应当按照相关规定及时办理。</w:t>
      </w:r>
      <w:r>
        <w:rPr>
          <w:rFonts w:hint="eastAsia" w:ascii="楷体_GB2312" w:hAnsi="楷体_GB2312" w:eastAsia="楷体_GB2312" w:cs="楷体_GB2312"/>
          <w:color w:val="auto"/>
          <w:kern w:val="2"/>
          <w:sz w:val="21"/>
          <w:szCs w:val="21"/>
          <w:lang w:val="en-US" w:eastAsia="zh-CN" w:bidi="ar-SA"/>
        </w:rPr>
        <w:t>招标期间如行政主管部门对建设工程企业资质有效期发布新规定的，按新规定相应调整执行。</w:t>
      </w:r>
      <w:r>
        <w:rPr>
          <w:rFonts w:hint="eastAsia" w:ascii="楷体_GB2312" w:hAnsi="楷体_GB2312" w:eastAsia="楷体_GB2312" w:cs="楷体_GB2312"/>
          <w:color w:val="auto"/>
          <w:sz w:val="20"/>
          <w:szCs w:val="21"/>
        </w:rPr>
        <w:t xml:space="preserve"> </w:t>
      </w:r>
    </w:p>
    <w:p w14:paraId="62BBBD26">
      <w:pPr>
        <w:keepNext w:val="0"/>
        <w:keepLines w:val="0"/>
        <w:pageBreakBefore w:val="0"/>
        <w:widowControl w:val="0"/>
        <w:kinsoku/>
        <w:wordWrap/>
        <w:overflowPunct/>
        <w:topLinePunct w:val="0"/>
        <w:autoSpaceDE w:val="0"/>
        <w:autoSpaceDN w:val="0"/>
        <w:bidi w:val="0"/>
        <w:snapToGrid/>
        <w:spacing w:line="360" w:lineRule="auto"/>
        <w:ind w:firstLine="400" w:firstLineChars="200"/>
        <w:jc w:val="both"/>
        <w:textAlignment w:val="auto"/>
        <w:rPr>
          <w:rFonts w:hint="eastAsia" w:ascii="楷体_GB2312" w:hAnsi="楷体_GB2312" w:eastAsia="楷体_GB2312" w:cs="楷体_GB2312"/>
          <w:color w:val="auto"/>
          <w:sz w:val="20"/>
          <w:szCs w:val="21"/>
        </w:rPr>
      </w:pPr>
      <w:r>
        <w:rPr>
          <w:rFonts w:hint="eastAsia" w:ascii="楷体_GB2312" w:hAnsi="楷体_GB2312" w:eastAsia="楷体_GB2312" w:cs="楷体_GB2312"/>
          <w:color w:val="auto"/>
          <w:sz w:val="20"/>
          <w:szCs w:val="21"/>
        </w:rPr>
        <w:t>（3）香港企业独立参加投标的，须在广东省住房和城乡建设主管部门备案且备案的业务范围应符合本招标项目对工程勘察、设计资质的要求。香港企业备案的业务范围依据《广东省住房和城乡建设厅关于印发香港工程建设咨询企业和专业人士在粤港澳大湾区内地城市开业执业试点管理暂行办法的通知》（粤建规范〔2020〕1号，详见链接：</w:t>
      </w:r>
      <w:r>
        <w:rPr>
          <w:rFonts w:hint="eastAsia" w:ascii="楷体_GB2312" w:hAnsi="楷体_GB2312" w:eastAsia="楷体_GB2312" w:cs="楷体_GB2312"/>
          <w:color w:val="auto"/>
          <w:sz w:val="20"/>
          <w:szCs w:val="21"/>
        </w:rPr>
        <w:fldChar w:fldCharType="begin"/>
      </w:r>
      <w:r>
        <w:rPr>
          <w:rFonts w:hint="eastAsia" w:ascii="楷体_GB2312" w:hAnsi="楷体_GB2312" w:eastAsia="楷体_GB2312" w:cs="楷体_GB2312"/>
          <w:color w:val="auto"/>
          <w:sz w:val="20"/>
          <w:szCs w:val="21"/>
        </w:rPr>
        <w:instrText xml:space="preserve"> HYPERLINK "http://zfcxjst.gd.gov.cn/xxgk/wjtz/content/post_3137220.html）确定。香港企业须提供满足招标文件要求的相应资质证书及备案证明资料扫描件。" </w:instrText>
      </w:r>
      <w:r>
        <w:rPr>
          <w:rFonts w:hint="eastAsia" w:ascii="楷体_GB2312" w:hAnsi="楷体_GB2312" w:eastAsia="楷体_GB2312" w:cs="楷体_GB2312"/>
          <w:color w:val="auto"/>
          <w:sz w:val="20"/>
          <w:szCs w:val="21"/>
        </w:rPr>
        <w:fldChar w:fldCharType="separate"/>
      </w:r>
      <w:r>
        <w:rPr>
          <w:rFonts w:hint="eastAsia" w:ascii="楷体_GB2312" w:hAnsi="楷体_GB2312" w:eastAsia="楷体_GB2312" w:cs="楷体_GB2312"/>
          <w:color w:val="auto"/>
          <w:sz w:val="20"/>
          <w:szCs w:val="21"/>
        </w:rPr>
        <w:t>http://zfcxjst.gd.gov.cn/xxgk/wjtz/content/post_3137220.html）确定。香港企业须提供满足招标文件要求的相应资质证书及备案证明资料扫描件。</w:t>
      </w:r>
      <w:r>
        <w:rPr>
          <w:rFonts w:hint="eastAsia" w:ascii="楷体_GB2312" w:hAnsi="楷体_GB2312" w:eastAsia="楷体_GB2312" w:cs="楷体_GB2312"/>
          <w:color w:val="auto"/>
          <w:sz w:val="20"/>
          <w:szCs w:val="21"/>
        </w:rPr>
        <w:fldChar w:fldCharType="end"/>
      </w:r>
    </w:p>
    <w:p w14:paraId="3F88C286">
      <w:pPr>
        <w:pStyle w:val="5"/>
        <w:keepNext w:val="0"/>
        <w:keepLines w:val="0"/>
        <w:pageBreakBefore w:val="0"/>
        <w:widowControl w:val="0"/>
        <w:tabs>
          <w:tab w:val="left" w:pos="2812"/>
          <w:tab w:val="left" w:pos="3986"/>
        </w:tabs>
        <w:kinsoku w:val="0"/>
        <w:wordWrap/>
        <w:overflowPunct w:val="0"/>
        <w:topLinePunct w:val="0"/>
        <w:autoSpaceDE w:val="0"/>
        <w:autoSpaceDN w:val="0"/>
        <w:bidi w:val="0"/>
        <w:adjustRightInd/>
        <w:snapToGrid/>
        <w:spacing w:line="360" w:lineRule="auto"/>
        <w:ind w:left="0" w:leftChars="0" w:right="223" w:firstLine="420" w:firstLineChars="200"/>
        <w:jc w:val="both"/>
        <w:textAlignment w:val="auto"/>
        <w:rPr>
          <w:rFonts w:hint="default" w:ascii="宋体" w:hAnsi="宋体" w:eastAsia="宋体" w:cs="宋体"/>
          <w:color w:val="auto"/>
          <w:highlight w:val="yellow"/>
          <w:u w:val="none"/>
          <w:lang w:val="en-US" w:eastAsia="zh-CN"/>
        </w:rPr>
      </w:pPr>
      <w:r>
        <w:rPr>
          <w:rFonts w:hint="eastAsia" w:ascii="宋体" w:hAnsi="宋体" w:eastAsia="宋体" w:cs="宋体"/>
          <w:color w:val="auto"/>
        </w:rPr>
        <w:t>3.</w:t>
      </w:r>
      <w:r>
        <w:rPr>
          <w:rFonts w:hint="eastAsia" w:ascii="宋体" w:hAnsi="宋体" w:eastAsia="宋体" w:cs="宋体"/>
          <w:color w:val="auto"/>
          <w:lang w:val="en-US" w:eastAsia="zh-CN"/>
        </w:rPr>
        <w:t>4 投标人</w:t>
      </w:r>
      <w:r>
        <w:rPr>
          <w:rFonts w:hint="eastAsia" w:ascii="宋体" w:hAnsi="宋体" w:eastAsia="宋体" w:cs="宋体"/>
          <w:color w:val="auto"/>
        </w:rPr>
        <w:t>拟委派</w:t>
      </w:r>
      <w:r>
        <w:rPr>
          <w:rFonts w:hint="eastAsia" w:ascii="宋体" w:hAnsi="宋体" w:eastAsia="宋体" w:cs="宋体"/>
          <w:color w:val="auto"/>
          <w:lang w:eastAsia="zh-CN"/>
        </w:rPr>
        <w:t>的</w:t>
      </w:r>
      <w:r>
        <w:rPr>
          <w:rFonts w:hint="eastAsia" w:ascii="宋体" w:hAnsi="宋体" w:eastAsia="宋体" w:cs="宋体"/>
          <w:color w:val="auto"/>
        </w:rPr>
        <w:t>项目负责人须具备</w:t>
      </w:r>
      <w:r>
        <w:rPr>
          <w:rFonts w:hint="eastAsia" w:ascii="宋体" w:hAnsi="宋体" w:eastAsia="宋体" w:cs="宋体"/>
          <w:color w:val="auto"/>
          <w:u w:val="single"/>
          <w:lang w:val="en-US" w:eastAsia="zh-CN"/>
        </w:rPr>
        <w:t>路桥或</w:t>
      </w:r>
      <w:r>
        <w:rPr>
          <w:rFonts w:hint="eastAsia" w:eastAsia="宋体" w:cs="宋体"/>
          <w:color w:val="auto"/>
          <w:u w:val="single"/>
          <w:lang w:val="en-US" w:eastAsia="zh-CN"/>
        </w:rPr>
        <w:t>道桥或市政专业（含相近专业）</w:t>
      </w:r>
      <w:r>
        <w:rPr>
          <w:rFonts w:hint="eastAsia" w:eastAsia="宋体" w:cs="宋体"/>
          <w:color w:val="auto"/>
          <w:u w:val="single"/>
          <w:lang w:eastAsia="zh-CN"/>
        </w:rPr>
        <w:t>高级工程师或以上，或者中级技术职称从事本专业工作10年或以上，或在广东省住房和城乡建设主管部门备案且备案的业务范围符合本招标项目对项目负责人要求的香港专业人士</w:t>
      </w:r>
      <w:r>
        <w:rPr>
          <w:rFonts w:hint="eastAsia" w:ascii="宋体" w:hAnsi="宋体" w:eastAsia="宋体" w:cs="宋体"/>
          <w:color w:val="auto"/>
          <w:u w:val="single"/>
        </w:rPr>
        <w:t>。</w:t>
      </w:r>
      <w:r>
        <w:rPr>
          <w:rFonts w:hint="eastAsia" w:ascii="宋体" w:hAnsi="宋体" w:eastAsia="宋体" w:cs="宋体"/>
          <w:color w:val="auto"/>
          <w:sz w:val="21"/>
          <w:szCs w:val="21"/>
          <w:highlight w:val="none"/>
          <w:u w:val="single"/>
        </w:rPr>
        <w:t>需提供离投标截止时间最近</w:t>
      </w:r>
      <w:r>
        <w:rPr>
          <w:rFonts w:hint="eastAsia" w:ascii="宋体" w:hAnsi="宋体" w:eastAsia="宋体" w:cs="宋体"/>
          <w:color w:val="auto"/>
          <w:sz w:val="21"/>
          <w:szCs w:val="21"/>
          <w:highlight w:val="none"/>
          <w:u w:val="single"/>
          <w:lang w:val="en-US" w:eastAsia="zh-CN"/>
        </w:rPr>
        <w:t>的至少</w:t>
      </w:r>
      <w:r>
        <w:rPr>
          <w:rFonts w:hint="eastAsia"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个月</w:t>
      </w:r>
      <w:r>
        <w:rPr>
          <w:rFonts w:hint="eastAsia" w:eastAsia="宋体" w:cs="宋体"/>
          <w:color w:val="auto"/>
          <w:sz w:val="21"/>
          <w:szCs w:val="21"/>
          <w:highlight w:val="none"/>
          <w:u w:val="single"/>
          <w:lang w:eastAsia="zh-CN"/>
        </w:rPr>
        <w:t>（即</w:t>
      </w:r>
      <w:r>
        <w:rPr>
          <w:rFonts w:hint="eastAsia" w:eastAsia="宋体" w:cs="宋体"/>
          <w:color w:val="auto"/>
          <w:sz w:val="21"/>
          <w:szCs w:val="21"/>
          <w:highlight w:val="none"/>
          <w:u w:val="single"/>
          <w:lang w:val="en-US" w:eastAsia="zh-CN"/>
        </w:rPr>
        <w:t>2025年</w:t>
      </w:r>
      <w:r>
        <w:rPr>
          <w:rFonts w:hint="eastAsia" w:cs="宋体"/>
          <w:color w:val="auto"/>
          <w:sz w:val="21"/>
          <w:szCs w:val="21"/>
          <w:highlight w:val="none"/>
          <w:u w:val="single"/>
          <w:lang w:val="en-US" w:eastAsia="zh-CN"/>
        </w:rPr>
        <w:t>5</w:t>
      </w:r>
      <w:r>
        <w:rPr>
          <w:rFonts w:hint="eastAsia" w:eastAsia="宋体" w:cs="宋体"/>
          <w:color w:val="auto"/>
          <w:sz w:val="21"/>
          <w:szCs w:val="21"/>
          <w:highlight w:val="none"/>
          <w:u w:val="single"/>
          <w:lang w:val="en-US" w:eastAsia="zh-CN"/>
        </w:rPr>
        <w:t>月）</w:t>
      </w:r>
      <w:r>
        <w:rPr>
          <w:rFonts w:hint="eastAsia" w:ascii="宋体" w:hAnsi="宋体" w:eastAsia="宋体" w:cs="宋体"/>
          <w:color w:val="auto"/>
          <w:sz w:val="21"/>
          <w:szCs w:val="21"/>
          <w:highlight w:val="none"/>
          <w:u w:val="single"/>
        </w:rPr>
        <w:t>在本</w:t>
      </w:r>
      <w:bookmarkStart w:id="76" w:name="_GoBack"/>
      <w:r>
        <w:rPr>
          <w:rFonts w:hint="eastAsia" w:ascii="宋体" w:hAnsi="宋体" w:eastAsia="宋体" w:cs="宋体"/>
          <w:color w:val="auto"/>
          <w:sz w:val="21"/>
          <w:szCs w:val="21"/>
          <w:highlight w:val="none"/>
          <w:u w:val="single"/>
        </w:rPr>
        <w:t>单位</w:t>
      </w:r>
      <w:r>
        <w:rPr>
          <w:rFonts w:hint="eastAsia" w:cs="宋体"/>
          <w:color w:val="auto"/>
          <w:sz w:val="21"/>
          <w:szCs w:val="21"/>
          <w:highlight w:val="none"/>
          <w:u w:val="single"/>
          <w:lang w:eastAsia="zh-CN"/>
        </w:rPr>
        <w:t>（</w:t>
      </w:r>
      <w:r>
        <w:rPr>
          <w:rFonts w:hint="eastAsia" w:cs="宋体"/>
          <w:color w:val="auto"/>
          <w:sz w:val="21"/>
          <w:szCs w:val="21"/>
          <w:highlight w:val="none"/>
          <w:u w:val="single"/>
          <w:lang w:val="en-US" w:eastAsia="zh-CN"/>
        </w:rPr>
        <w:t>或其分支机构</w:t>
      </w:r>
      <w:r>
        <w:rPr>
          <w:rFonts w:hint="eastAsia"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缴</w:t>
      </w:r>
      <w:bookmarkEnd w:id="76"/>
      <w:r>
        <w:rPr>
          <w:rFonts w:hint="eastAsia" w:ascii="宋体" w:hAnsi="宋体" w:eastAsia="宋体" w:cs="宋体"/>
          <w:color w:val="auto"/>
          <w:sz w:val="21"/>
          <w:szCs w:val="21"/>
          <w:highlight w:val="none"/>
          <w:u w:val="single"/>
        </w:rPr>
        <w:t>纳的社保证明文件</w:t>
      </w:r>
      <w:r>
        <w:rPr>
          <w:rFonts w:hint="eastAsia" w:ascii="宋体" w:hAnsi="宋体" w:eastAsia="宋体" w:cs="宋体"/>
          <w:color w:val="auto"/>
          <w:sz w:val="21"/>
          <w:szCs w:val="21"/>
          <w:highlight w:val="none"/>
          <w:u w:val="single"/>
          <w:lang w:eastAsia="zh-CN"/>
        </w:rPr>
        <w:t>。</w:t>
      </w:r>
    </w:p>
    <w:p w14:paraId="3258C35D">
      <w:pPr>
        <w:pStyle w:val="5"/>
        <w:keepNext w:val="0"/>
        <w:keepLines w:val="0"/>
        <w:pageBreakBefore w:val="0"/>
        <w:widowControl w:val="0"/>
        <w:tabs>
          <w:tab w:val="left" w:pos="2812"/>
          <w:tab w:val="left" w:pos="3986"/>
        </w:tabs>
        <w:kinsoku w:val="0"/>
        <w:wordWrap/>
        <w:overflowPunct w:val="0"/>
        <w:topLinePunct w:val="0"/>
        <w:autoSpaceDE w:val="0"/>
        <w:autoSpaceDN w:val="0"/>
        <w:bidi w:val="0"/>
        <w:adjustRightInd/>
        <w:snapToGrid/>
        <w:spacing w:line="360" w:lineRule="auto"/>
        <w:ind w:left="0" w:leftChars="0" w:right="223" w:firstLine="400" w:firstLineChars="200"/>
        <w:jc w:val="both"/>
        <w:textAlignment w:val="auto"/>
        <w:rPr>
          <w:rFonts w:hint="eastAsia" w:ascii="楷体_GB2312" w:hAnsi="楷体_GB2312" w:eastAsia="楷体_GB2312" w:cs="楷体_GB2312"/>
          <w:color w:val="auto"/>
          <w:sz w:val="20"/>
          <w:szCs w:val="21"/>
          <w:lang w:val="en-US" w:eastAsia="zh-CN" w:bidi="ar-SA"/>
        </w:rPr>
      </w:pPr>
      <w:r>
        <w:rPr>
          <w:rFonts w:hint="eastAsia" w:ascii="楷体_GB2312" w:hAnsi="楷体_GB2312" w:eastAsia="楷体_GB2312" w:cs="楷体_GB2312"/>
          <w:color w:val="auto"/>
          <w:sz w:val="20"/>
          <w:szCs w:val="21"/>
          <w:lang w:val="en-US" w:eastAsia="zh-CN" w:bidi="ar-SA"/>
        </w:rPr>
        <w:t>注：（1）根据《全国注册建筑师管理委员会关于开展使用一级注册建筑师电子注册证书工作的通知》（注建[2021]2号）要求，自2022年7月1日起，一级注册建筑师统一使用电子证书，纸质注册证书作废。若投标人提供的一级注册建筑师电子证书未在个人签名处手写签名或手写签名与签名图像笔迹存在差异或超过使用有效期的，资格审查时应通过“全国建筑市场监管公共服务平台”查询渠道查询持证人注册建筑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投标人提供一级注册建筑师证书电子证书的注册有效期未在有效期内，该电子证书无效，投标人将自行承担资格审查不通过相应后果。</w:t>
      </w:r>
    </w:p>
    <w:p w14:paraId="3DC3B08C">
      <w:pPr>
        <w:pStyle w:val="5"/>
        <w:keepNext w:val="0"/>
        <w:keepLines w:val="0"/>
        <w:pageBreakBefore w:val="0"/>
        <w:widowControl w:val="0"/>
        <w:tabs>
          <w:tab w:val="left" w:pos="2812"/>
          <w:tab w:val="left" w:pos="3986"/>
        </w:tabs>
        <w:kinsoku w:val="0"/>
        <w:wordWrap/>
        <w:overflowPunct w:val="0"/>
        <w:topLinePunct w:val="0"/>
        <w:autoSpaceDE w:val="0"/>
        <w:autoSpaceDN w:val="0"/>
        <w:bidi w:val="0"/>
        <w:adjustRightInd/>
        <w:snapToGrid/>
        <w:spacing w:line="360" w:lineRule="auto"/>
        <w:ind w:left="0" w:leftChars="0" w:right="223" w:firstLine="400" w:firstLineChars="200"/>
        <w:jc w:val="both"/>
        <w:textAlignment w:val="auto"/>
        <w:rPr>
          <w:rFonts w:hint="eastAsia" w:ascii="楷体_GB2312" w:hAnsi="楷体_GB2312" w:eastAsia="宋体" w:cs="楷体_GB2312"/>
          <w:color w:val="auto"/>
          <w:sz w:val="20"/>
          <w:szCs w:val="21"/>
          <w:lang w:val="en-US" w:eastAsia="zh-CN" w:bidi="ar-SA"/>
        </w:rPr>
      </w:pPr>
      <w:r>
        <w:rPr>
          <w:rFonts w:hint="eastAsia" w:ascii="楷体_GB2312" w:hAnsi="楷体_GB2312" w:eastAsia="楷体_GB2312" w:cs="楷体_GB2312"/>
          <w:color w:val="auto"/>
          <w:sz w:val="20"/>
          <w:szCs w:val="21"/>
          <w:lang w:val="en-US" w:eastAsia="zh-CN" w:bidi="ar-SA"/>
        </w:rPr>
        <w:t>（2）香港专业人士的备案业务范围依据《广东省住房和城乡建设厅关于印发香港工程建设咨询企业和专业人士在粤港澳大湾区内地城市开业执业试点管理暂行办法的通知》（粤建规范〔2020〕1号）确定。香港专业人士须提供满足招标文件要求的相应执业证书及备案证明资料扫描件。</w:t>
      </w:r>
    </w:p>
    <w:p w14:paraId="2545D7AD">
      <w:pPr>
        <w:pStyle w:val="4"/>
        <w:rPr>
          <w:rFonts w:hint="default" w:ascii="楷体_GB2312" w:hAnsi="楷体_GB2312" w:eastAsia="楷体_GB2312" w:cs="楷体_GB2312"/>
          <w:color w:val="auto"/>
          <w:kern w:val="0"/>
          <w:sz w:val="20"/>
          <w:szCs w:val="21"/>
          <w:lang w:val="en-US" w:eastAsia="zh-CN" w:bidi="ar-SA"/>
        </w:rPr>
      </w:pPr>
      <w:r>
        <w:rPr>
          <w:rFonts w:hint="eastAsia" w:ascii="宋体" w:hAnsi="宋体" w:eastAsia="宋体" w:cs="宋体"/>
          <w:color w:val="auto"/>
          <w:sz w:val="21"/>
          <w:lang w:val="en-US" w:eastAsia="zh-CN" w:bidi="ar-SA"/>
        </w:rPr>
        <w:t>3.5  投标申请人业绩要求（</w:t>
      </w:r>
      <w:r>
        <w:rPr>
          <w:rFonts w:hint="eastAsia"/>
          <w:color w:val="auto"/>
          <w:sz w:val="21"/>
          <w:szCs w:val="21"/>
          <w:u w:val="none"/>
        </w:rPr>
        <w:sym w:font="Wingdings 2" w:char="00A3"/>
      </w:r>
      <w:r>
        <w:rPr>
          <w:rFonts w:hint="eastAsia" w:ascii="宋体" w:hAnsi="宋体" w:eastAsia="宋体" w:cs="宋体"/>
          <w:color w:val="auto"/>
          <w:sz w:val="21"/>
          <w:lang w:val="en-US" w:eastAsia="zh-CN" w:bidi="ar-SA"/>
        </w:rPr>
        <w:t>需要 /</w:t>
      </w:r>
      <w:r>
        <w:rPr>
          <w:rFonts w:hint="eastAsia"/>
          <w:color w:val="auto"/>
          <w:sz w:val="21"/>
          <w:szCs w:val="21"/>
          <w:u w:val="none"/>
          <w:lang w:eastAsia="zh-CN"/>
        </w:rPr>
        <w:t>☑</w:t>
      </w:r>
      <w:r>
        <w:rPr>
          <w:rFonts w:hint="eastAsia" w:ascii="宋体" w:hAnsi="宋体" w:eastAsia="宋体" w:cs="宋体"/>
          <w:color w:val="auto"/>
          <w:sz w:val="21"/>
          <w:lang w:val="en-US" w:eastAsia="zh-CN" w:bidi="ar-SA"/>
        </w:rPr>
        <w:t>不需要）</w:t>
      </w:r>
    </w:p>
    <w:p w14:paraId="1F3AF689">
      <w:pPr>
        <w:spacing w:line="400" w:lineRule="exact"/>
        <w:ind w:left="714" w:leftChars="208" w:hanging="298" w:hangingChars="142"/>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3.6</w:t>
      </w:r>
      <w:r>
        <w:rPr>
          <w:rFonts w:hint="eastAsia" w:ascii="宋体" w:hAnsi="宋体" w:eastAsia="宋体" w:cs="宋体"/>
          <w:color w:val="auto"/>
          <w:sz w:val="21"/>
          <w:szCs w:val="21"/>
          <w:highlight w:val="none"/>
        </w:rPr>
        <w:t>关于联合体投标：</w:t>
      </w:r>
    </w:p>
    <w:p w14:paraId="292C0779">
      <w:pPr>
        <w:spacing w:line="400" w:lineRule="exact"/>
        <w:ind w:firstLine="420" w:firstLineChars="200"/>
        <w:jc w:val="both"/>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3.6.1</w:t>
      </w:r>
      <w:r>
        <w:rPr>
          <w:rFonts w:hint="eastAsia" w:ascii="宋体" w:hAnsi="宋体" w:eastAsia="宋体" w:cs="宋体"/>
          <w:color w:val="auto"/>
          <w:sz w:val="21"/>
          <w:szCs w:val="21"/>
          <w:highlight w:val="none"/>
        </w:rPr>
        <w:t>本次招标</w:t>
      </w:r>
      <w:r>
        <w:rPr>
          <w:rFonts w:hint="eastAsia" w:ascii="宋体" w:hAnsi="宋体" w:eastAsia="宋体" w:cs="宋体"/>
          <w:color w:val="auto"/>
          <w:sz w:val="21"/>
          <w:szCs w:val="21"/>
          <w:highlight w:val="none"/>
          <w:lang w:eastAsia="zh-CN"/>
        </w:rPr>
        <w:t>（</w:t>
      </w:r>
      <w:r>
        <w:rPr>
          <w:rFonts w:hint="eastAsia"/>
          <w:color w:val="auto"/>
          <w:sz w:val="21"/>
          <w:szCs w:val="21"/>
          <w:u w:val="none"/>
        </w:rPr>
        <w:sym w:font="Wingdings 2" w:char="0052"/>
      </w:r>
      <w:r>
        <w:rPr>
          <w:rFonts w:hint="eastAsia"/>
          <w:color w:val="auto"/>
          <w:sz w:val="21"/>
          <w:szCs w:val="21"/>
          <w:u w:val="none"/>
          <w:lang w:eastAsia="zh-CN"/>
        </w:rPr>
        <w:t>接受</w:t>
      </w:r>
      <w:r>
        <w:rPr>
          <w:rFonts w:hint="eastAsia" w:ascii="宋体" w:hAnsi="宋体" w:eastAsia="宋体" w:cs="宋体"/>
          <w:color w:val="auto"/>
          <w:sz w:val="21"/>
          <w:lang w:val="en-US" w:eastAsia="zh-CN" w:bidi="ar-SA"/>
        </w:rPr>
        <w:t xml:space="preserve"> /</w:t>
      </w:r>
      <w:r>
        <w:rPr>
          <w:rFonts w:hint="eastAsia"/>
          <w:color w:val="auto"/>
          <w:sz w:val="21"/>
          <w:szCs w:val="21"/>
          <w:u w:val="none"/>
        </w:rPr>
        <w:t>□</w:t>
      </w:r>
      <w:r>
        <w:rPr>
          <w:rFonts w:hint="eastAsia" w:ascii="宋体" w:hAnsi="宋体" w:eastAsia="宋体" w:cs="宋体"/>
          <w:color w:val="auto"/>
          <w:sz w:val="21"/>
          <w:lang w:val="en-US" w:eastAsia="zh-CN" w:bidi="ar-SA"/>
        </w:rPr>
        <w:t>不接受）</w:t>
      </w:r>
      <w:r>
        <w:rPr>
          <w:rFonts w:hint="eastAsia" w:ascii="宋体" w:hAnsi="宋体" w:eastAsia="宋体" w:cs="宋体"/>
          <w:color w:val="auto"/>
          <w:sz w:val="21"/>
          <w:szCs w:val="21"/>
          <w:highlight w:val="none"/>
        </w:rPr>
        <w:t>联合体投标</w:t>
      </w:r>
      <w:r>
        <w:rPr>
          <w:rFonts w:hint="eastAsia" w:ascii="宋体" w:hAnsi="宋体" w:eastAsia="宋体" w:cs="宋体"/>
          <w:color w:val="auto"/>
          <w:sz w:val="21"/>
          <w:szCs w:val="21"/>
          <w:highlight w:val="none"/>
          <w:lang w:eastAsia="zh-CN"/>
        </w:rPr>
        <w:t>。</w:t>
      </w:r>
    </w:p>
    <w:p w14:paraId="47BA4097">
      <w:pPr>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3.6.2如</w:t>
      </w:r>
      <w:r>
        <w:rPr>
          <w:rFonts w:hint="eastAsia" w:ascii="宋体" w:hAnsi="宋体" w:eastAsia="宋体" w:cs="宋体"/>
          <w:color w:val="auto"/>
          <w:sz w:val="21"/>
          <w:szCs w:val="21"/>
          <w:highlight w:val="none"/>
        </w:rPr>
        <w:t>投标人组成联合体，应以</w:t>
      </w:r>
      <w:r>
        <w:rPr>
          <w:rFonts w:hint="eastAsia" w:ascii="宋体" w:hAnsi="宋体" w:eastAsia="宋体" w:cs="宋体"/>
          <w:color w:val="auto"/>
          <w:sz w:val="21"/>
          <w:szCs w:val="21"/>
          <w:highlight w:val="none"/>
          <w:u w:val="single"/>
        </w:rPr>
        <w:t>具备相应设计资质且承接设计任务的一方</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eastAsia="zh-CN"/>
        </w:rPr>
        <w:t>主办方</w:t>
      </w:r>
      <w:r>
        <w:rPr>
          <w:rFonts w:hint="eastAsia" w:ascii="宋体" w:hAnsi="宋体" w:eastAsia="宋体" w:cs="宋体"/>
          <w:color w:val="auto"/>
          <w:sz w:val="21"/>
          <w:szCs w:val="21"/>
          <w:highlight w:val="none"/>
        </w:rPr>
        <w:t>，并签定联合体共同投标协议。投标人拟任本工程项目负责人应为</w:t>
      </w:r>
      <w:r>
        <w:rPr>
          <w:rFonts w:hint="eastAsia" w:ascii="宋体" w:hAnsi="宋体" w:eastAsia="宋体" w:cs="宋体"/>
          <w:color w:val="auto"/>
          <w:sz w:val="21"/>
          <w:szCs w:val="21"/>
          <w:highlight w:val="none"/>
          <w:lang w:eastAsia="zh-CN"/>
        </w:rPr>
        <w:t>主办方</w:t>
      </w:r>
      <w:r>
        <w:rPr>
          <w:rFonts w:hint="eastAsia" w:ascii="宋体" w:hAnsi="宋体" w:eastAsia="宋体" w:cs="宋体"/>
          <w:color w:val="auto"/>
          <w:sz w:val="21"/>
          <w:szCs w:val="21"/>
          <w:highlight w:val="none"/>
        </w:rPr>
        <w:t>正式员工。联合体共同投标协议应明确约定各方拟承担的工作和责任。</w:t>
      </w:r>
      <w:r>
        <w:rPr>
          <w:rFonts w:hint="eastAsia" w:ascii="宋体" w:hAnsi="宋体" w:eastAsia="宋体" w:cs="宋体"/>
          <w:color w:val="auto"/>
          <w:w w:val="100"/>
          <w:sz w:val="21"/>
          <w:szCs w:val="21"/>
          <w:highlight w:val="none"/>
        </w:rPr>
        <w:t>投标登记截止后</w:t>
      </w:r>
      <w:r>
        <w:rPr>
          <w:rFonts w:hint="eastAsia" w:ascii="宋体" w:hAnsi="宋体" w:eastAsia="宋体" w:cs="宋体"/>
          <w:color w:val="auto"/>
          <w:sz w:val="21"/>
          <w:szCs w:val="21"/>
          <w:highlight w:val="none"/>
        </w:rPr>
        <w:t>联合体增减、更换成员的，其投标无效。</w:t>
      </w:r>
    </w:p>
    <w:p w14:paraId="1490F986">
      <w:pPr>
        <w:spacing w:line="40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3.6.3如投标人组成联合体投标的，</w:t>
      </w:r>
      <w:r>
        <w:rPr>
          <w:rFonts w:hint="eastAsia" w:ascii="宋体" w:hAnsi="宋体" w:eastAsia="宋体" w:cs="宋体"/>
          <w:color w:val="auto"/>
          <w:sz w:val="21"/>
          <w:szCs w:val="21"/>
          <w:highlight w:val="none"/>
          <w:lang w:eastAsia="zh-CN"/>
        </w:rPr>
        <w:t>应满足下列要求：</w:t>
      </w:r>
    </w:p>
    <w:p w14:paraId="670495AC">
      <w:pPr>
        <w:spacing w:line="400" w:lineRule="exact"/>
        <w:ind w:firstLine="420" w:firstLineChars="200"/>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（1）由同一专业的单位组成的联合体，按照资质等级较低的单位确定资质等级。</w:t>
      </w:r>
    </w:p>
    <w:p w14:paraId="024508BE">
      <w:pPr>
        <w:spacing w:line="400" w:lineRule="exact"/>
        <w:ind w:firstLine="420" w:firstLineChars="200"/>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（2）联合体各方不得再以自己名义单独或参加其他联合体在同一标段中投标。</w:t>
      </w:r>
    </w:p>
    <w:p w14:paraId="25B7BC3E">
      <w:pPr>
        <w:spacing w:line="400" w:lineRule="exact"/>
        <w:ind w:firstLine="420" w:firstLineChars="200"/>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3）按资质标准划分为多个资质的，应在联合体协议中明确承接每一个资质类别的成员单位；若联合体协议约定同一专业分工由两个及以上单位共同承担的，按照就低不就高的原则确定联合体的资质；不同专业分工由不同单位分别承担的，按照各自的专业资质确定联合体的资质。</w:t>
      </w:r>
    </w:p>
    <w:p w14:paraId="068D3793">
      <w:pPr>
        <w:spacing w:line="400" w:lineRule="exact"/>
        <w:ind w:firstLine="420" w:firstLineChars="200"/>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 xml:space="preserve">（4）联合体各方应分别按照本招标文件的要求，填写投标文件中的相应表格，并由联合体主办方负责对联合体各成员的资料进行统一汇总后一并提交给招标人；联合体主办方所提交的投标文件应认为已代表了联合体各成员的真实情况； </w:t>
      </w:r>
    </w:p>
    <w:p w14:paraId="7530AE01">
      <w:pPr>
        <w:spacing w:line="400" w:lineRule="exact"/>
        <w:ind w:firstLine="420" w:firstLineChars="200"/>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（5）尽管委任了联合体主办方，但联合体各成员在投标、签订合同与履行合同过程中，仍负有连带的和各自的法律责任。</w:t>
      </w:r>
    </w:p>
    <w:p w14:paraId="43C072B8">
      <w:pPr>
        <w:spacing w:line="400" w:lineRule="exact"/>
        <w:ind w:firstLine="420" w:firstLineChars="200"/>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（6）联合体各方（包括主办方及联合体成员）不得再单独或与其他单位组成联合体参与本项目投标，出现上述情况者，其投标和与此有关的联合体的投标将被拒绝。</w:t>
      </w:r>
    </w:p>
    <w:p w14:paraId="45A1F21C">
      <w:pPr>
        <w:spacing w:line="400" w:lineRule="exact"/>
        <w:ind w:firstLine="420" w:firstLineChars="200"/>
        <w:jc w:val="both"/>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（7）组成联合体各方的数量不得超过2家（含主办方及成员数量合计）。</w:t>
      </w:r>
    </w:p>
    <w:p w14:paraId="6380BB8D">
      <w:pPr>
        <w:pStyle w:val="5"/>
        <w:keepNext w:val="0"/>
        <w:keepLines w:val="0"/>
        <w:pageBreakBefore w:val="0"/>
        <w:widowControl w:val="0"/>
        <w:tabs>
          <w:tab w:val="left" w:pos="2812"/>
          <w:tab w:val="left" w:pos="3986"/>
        </w:tabs>
        <w:kinsoku w:val="0"/>
        <w:wordWrap/>
        <w:overflowPunct w:val="0"/>
        <w:topLinePunct w:val="0"/>
        <w:autoSpaceDE w:val="0"/>
        <w:autoSpaceDN w:val="0"/>
        <w:bidi w:val="0"/>
        <w:adjustRightInd/>
        <w:snapToGrid/>
        <w:spacing w:line="360" w:lineRule="auto"/>
        <w:ind w:left="0" w:leftChars="0" w:right="223" w:firstLine="420" w:firstLineChars="200"/>
        <w:jc w:val="both"/>
        <w:textAlignment w:val="auto"/>
        <w:rPr>
          <w:rFonts w:hint="eastAsia" w:ascii="宋体" w:hAnsi="宋体" w:eastAsia="宋体" w:cs="宋体"/>
          <w:color w:val="auto"/>
        </w:rPr>
      </w:pPr>
      <w:r>
        <w:rPr>
          <w:rFonts w:hint="eastAsia" w:ascii="宋体" w:hAnsi="宋体" w:eastAsia="宋体" w:cs="宋体"/>
          <w:color w:val="auto"/>
        </w:rPr>
        <w:t>3.</w:t>
      </w:r>
      <w:r>
        <w:rPr>
          <w:rFonts w:hint="eastAsia" w:eastAsia="宋体" w:cs="宋体"/>
          <w:color w:val="auto"/>
          <w:lang w:val="en-US" w:eastAsia="zh-CN"/>
        </w:rPr>
        <w:t>7</w:t>
      </w:r>
      <w:r>
        <w:rPr>
          <w:rFonts w:hint="eastAsia" w:ascii="宋体" w:hAnsi="宋体" w:eastAsia="宋体" w:cs="宋体"/>
          <w:color w:val="auto"/>
        </w:rPr>
        <w:t xml:space="preserve"> 投标人（如为联合体，则联合体各方）</w:t>
      </w:r>
      <w:r>
        <w:rPr>
          <w:rFonts w:hint="eastAsia" w:ascii="宋体" w:hAnsi="宋体" w:eastAsia="宋体" w:cs="宋体"/>
          <w:color w:val="auto"/>
          <w:lang w:eastAsia="zh-CN"/>
        </w:rPr>
        <w:t>须</w:t>
      </w:r>
      <w:r>
        <w:rPr>
          <w:rFonts w:hint="eastAsia" w:ascii="宋体" w:hAnsi="宋体" w:eastAsia="宋体" w:cs="宋体"/>
          <w:color w:val="auto"/>
        </w:rPr>
        <w:t>在广州交易集团有限公司（广州公共资源交易中心）办理企业信息登记，及拟担任本工程项目负责人须是本企业在广州交易集团有限公司（广州公共资源交易中心）企业信息登记中的在册人员。</w:t>
      </w:r>
    </w:p>
    <w:p w14:paraId="122A43E0">
      <w:pPr>
        <w:spacing w:line="400" w:lineRule="exact"/>
        <w:ind w:firstLine="420" w:firstLineChars="200"/>
        <w:jc w:val="both"/>
        <w:rPr>
          <w:rFonts w:hint="eastAsia" w:ascii="宋体" w:hAnsi="宋体" w:eastAsia="宋体" w:cs="宋体"/>
          <w:color w:val="auto"/>
          <w:szCs w:val="20"/>
        </w:rPr>
      </w:pP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如为联合体，则联合体各方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未出现招标文件第二章投标人须知第1.4.3项所规定的任何一种情形</w:t>
      </w:r>
      <w:r>
        <w:rPr>
          <w:rFonts w:hint="eastAsia" w:ascii="宋体" w:hAnsi="宋体" w:eastAsia="宋体" w:cs="宋体"/>
          <w:color w:val="auto"/>
          <w:sz w:val="21"/>
          <w:szCs w:val="21"/>
          <w:highlight w:val="none"/>
          <w:lang w:eastAsia="zh-CN"/>
        </w:rPr>
        <w:t>，并</w:t>
      </w:r>
      <w:r>
        <w:rPr>
          <w:rFonts w:hint="eastAsia" w:ascii="宋体" w:hAnsi="宋体" w:eastAsia="宋体" w:cs="宋体"/>
          <w:color w:val="auto"/>
          <w:sz w:val="21"/>
          <w:szCs w:val="21"/>
          <w:highlight w:val="none"/>
        </w:rPr>
        <w:t>已按规定格式签名盖章《投标人声明》（按投标人提供的《投标人声明》内容进行评审）</w:t>
      </w:r>
      <w:r>
        <w:rPr>
          <w:rFonts w:hint="eastAsia" w:ascii="宋体" w:hAnsi="宋体" w:eastAsia="宋体" w:cs="宋体"/>
          <w:color w:val="auto"/>
          <w:sz w:val="21"/>
          <w:szCs w:val="21"/>
          <w:highlight w:val="none"/>
          <w:lang w:eastAsia="zh-CN"/>
        </w:rPr>
        <w:t>。</w:t>
      </w:r>
    </w:p>
    <w:p w14:paraId="173D8212">
      <w:pPr>
        <w:spacing w:line="400" w:lineRule="exact"/>
        <w:ind w:firstLine="420" w:firstLineChars="200"/>
        <w:jc w:val="both"/>
        <w:rPr>
          <w:rFonts w:hint="eastAsia" w:ascii="宋体" w:hAnsi="宋体" w:eastAsia="宋体" w:cs="宋体"/>
          <w:color w:val="auto"/>
          <w:sz w:val="21"/>
          <w:szCs w:val="20"/>
          <w:highlight w:val="none"/>
          <w:u w:val="single"/>
          <w:lang w:val="en-US" w:eastAsia="zh-CN" w:bidi="ar-SA"/>
        </w:rPr>
      </w:pPr>
      <w:r>
        <w:rPr>
          <w:rFonts w:hint="eastAsia" w:ascii="宋体" w:hAnsi="宋体" w:eastAsia="宋体" w:cs="宋体"/>
          <w:color w:val="auto"/>
          <w:sz w:val="21"/>
          <w:szCs w:val="20"/>
          <w:highlight w:val="none"/>
          <w:lang w:val="en-US" w:eastAsia="zh-CN" w:bidi="ar-SA"/>
        </w:rPr>
        <w:t>3.9在投标截止时间前，投标人（如为联合体，则联合体各方）未被列入拖欠农民工工资失信联合惩戒对象名单。</w:t>
      </w:r>
      <w:r>
        <w:rPr>
          <w:rFonts w:hint="eastAsia" w:ascii="宋体" w:hAnsi="宋体" w:eastAsia="宋体" w:cs="宋体"/>
          <w:color w:val="auto"/>
          <w:sz w:val="21"/>
          <w:szCs w:val="20"/>
          <w:highlight w:val="none"/>
          <w:u w:val="single"/>
          <w:lang w:val="en-US" w:eastAsia="zh-CN" w:bidi="ar-SA"/>
        </w:rPr>
        <w:t>（注：本项投标人无需提供资料，按投标截止时间交易系统比对结果进行评审）</w:t>
      </w:r>
    </w:p>
    <w:p w14:paraId="3B9728E6">
      <w:pPr>
        <w:spacing w:line="400" w:lineRule="exact"/>
        <w:ind w:firstLine="420" w:firstLineChars="200"/>
        <w:jc w:val="both"/>
        <w:rPr>
          <w:rFonts w:hint="default" w:ascii="宋体" w:hAnsi="宋体" w:eastAsia="宋体" w:cs="宋体"/>
          <w:color w:val="auto"/>
          <w:sz w:val="21"/>
          <w:szCs w:val="20"/>
          <w:highlight w:val="none"/>
          <w:lang w:val="en-US" w:eastAsia="zh-CN" w:bidi="ar-SA"/>
        </w:rPr>
      </w:pPr>
      <w:r>
        <w:rPr>
          <w:rFonts w:hint="eastAsia" w:ascii="宋体" w:hAnsi="宋体" w:eastAsia="宋体" w:cs="宋体"/>
          <w:color w:val="auto"/>
          <w:sz w:val="21"/>
          <w:szCs w:val="20"/>
          <w:highlight w:val="none"/>
          <w:lang w:val="en-US" w:eastAsia="zh-CN" w:bidi="ar-SA"/>
        </w:rPr>
        <w:t>3.10政府投资项目，在投标截止时间前，</w:t>
      </w:r>
      <w:r>
        <w:rPr>
          <w:rFonts w:hint="default" w:ascii="宋体" w:hAnsi="宋体" w:eastAsia="宋体" w:cs="宋体"/>
          <w:color w:val="auto"/>
          <w:sz w:val="21"/>
          <w:szCs w:val="20"/>
          <w:highlight w:val="none"/>
          <w:lang w:val="en-US" w:eastAsia="zh-CN" w:bidi="ar-SA"/>
        </w:rPr>
        <w:t>投标人</w:t>
      </w:r>
      <w:r>
        <w:rPr>
          <w:rFonts w:hint="eastAsia" w:ascii="宋体" w:hAnsi="宋体" w:eastAsia="宋体" w:cs="宋体"/>
          <w:color w:val="auto"/>
          <w:sz w:val="21"/>
          <w:szCs w:val="20"/>
          <w:highlight w:val="none"/>
          <w:lang w:val="en-US" w:eastAsia="zh-CN" w:bidi="ar-SA"/>
        </w:rPr>
        <w:t>（如为联合体，则联合体各方）</w:t>
      </w:r>
      <w:r>
        <w:rPr>
          <w:rFonts w:hint="default" w:ascii="宋体" w:hAnsi="宋体" w:eastAsia="宋体" w:cs="宋体"/>
          <w:color w:val="auto"/>
          <w:sz w:val="21"/>
          <w:szCs w:val="20"/>
          <w:highlight w:val="none"/>
          <w:lang w:val="en-US" w:eastAsia="zh-CN" w:bidi="ar-SA"/>
        </w:rPr>
        <w:t>未被列入“</w:t>
      </w:r>
      <w:r>
        <w:rPr>
          <w:rFonts w:hint="eastAsia" w:ascii="宋体" w:hAnsi="宋体" w:eastAsia="宋体" w:cs="宋体"/>
          <w:color w:val="auto"/>
          <w:sz w:val="21"/>
          <w:szCs w:val="20"/>
          <w:highlight w:val="none"/>
          <w:lang w:val="en-US" w:eastAsia="zh-CN" w:bidi="ar-SA"/>
        </w:rPr>
        <w:t>失信被执行人</w:t>
      </w:r>
      <w:r>
        <w:rPr>
          <w:rFonts w:hint="default" w:ascii="宋体" w:hAnsi="宋体" w:eastAsia="宋体" w:cs="宋体"/>
          <w:color w:val="auto"/>
          <w:sz w:val="21"/>
          <w:szCs w:val="20"/>
          <w:highlight w:val="none"/>
          <w:lang w:val="en-US" w:eastAsia="zh-CN" w:bidi="ar-SA"/>
        </w:rPr>
        <w:t>”</w:t>
      </w:r>
      <w:r>
        <w:rPr>
          <w:rFonts w:hint="eastAsia" w:ascii="宋体" w:hAnsi="宋体" w:eastAsia="宋体" w:cs="宋体"/>
          <w:color w:val="auto"/>
          <w:sz w:val="21"/>
          <w:szCs w:val="20"/>
          <w:highlight w:val="none"/>
          <w:lang w:val="en-US" w:eastAsia="zh-CN" w:bidi="ar-SA"/>
        </w:rPr>
        <w:t>名单</w:t>
      </w:r>
      <w:r>
        <w:rPr>
          <w:rFonts w:hint="default" w:ascii="宋体" w:hAnsi="宋体" w:eastAsia="宋体" w:cs="宋体"/>
          <w:color w:val="auto"/>
          <w:sz w:val="21"/>
          <w:szCs w:val="20"/>
          <w:highlight w:val="none"/>
          <w:lang w:val="en-US" w:eastAsia="zh-CN" w:bidi="ar-SA"/>
        </w:rPr>
        <w:t>。</w:t>
      </w:r>
    </w:p>
    <w:p w14:paraId="6CB18251">
      <w:pPr>
        <w:spacing w:line="400" w:lineRule="exact"/>
        <w:ind w:firstLine="400" w:firstLineChars="200"/>
        <w:jc w:val="both"/>
        <w:rPr>
          <w:rFonts w:hint="eastAsia" w:ascii="楷体_GB2312" w:hAnsi="楷体_GB2312" w:eastAsia="楷体_GB2312" w:cs="楷体_GB2312"/>
          <w:color w:val="auto"/>
          <w:sz w:val="20"/>
          <w:szCs w:val="21"/>
          <w:lang w:val="en-US" w:eastAsia="zh-CN" w:bidi="ar-SA"/>
        </w:rPr>
      </w:pPr>
      <w:r>
        <w:rPr>
          <w:rFonts w:hint="default" w:ascii="楷体_GB2312" w:hAnsi="楷体_GB2312" w:eastAsia="楷体_GB2312" w:cs="楷体_GB2312"/>
          <w:color w:val="auto"/>
          <w:sz w:val="20"/>
          <w:szCs w:val="21"/>
          <w:lang w:val="en-US" w:eastAsia="zh-CN" w:bidi="ar-SA"/>
        </w:rPr>
        <w:t>注：</w:t>
      </w:r>
      <w:r>
        <w:rPr>
          <w:rFonts w:hint="eastAsia" w:ascii="楷体_GB2312" w:hAnsi="楷体_GB2312" w:eastAsia="楷体_GB2312" w:cs="楷体_GB2312"/>
          <w:color w:val="auto"/>
          <w:sz w:val="20"/>
          <w:szCs w:val="21"/>
          <w:lang w:val="en-US" w:eastAsia="zh-CN" w:bidi="ar-SA"/>
        </w:rPr>
        <w:t>按</w:t>
      </w:r>
      <w:r>
        <w:rPr>
          <w:rFonts w:hint="default" w:ascii="楷体_GB2312" w:hAnsi="楷体_GB2312" w:eastAsia="楷体_GB2312" w:cs="楷体_GB2312"/>
          <w:color w:val="auto"/>
          <w:sz w:val="20"/>
          <w:szCs w:val="21"/>
          <w:lang w:val="en-US" w:eastAsia="zh-CN" w:bidi="ar-SA"/>
        </w:rPr>
        <w:t>《全国失信惩戒措施清单基础清单》（2024版）</w:t>
      </w:r>
      <w:r>
        <w:rPr>
          <w:rFonts w:hint="eastAsia" w:ascii="楷体_GB2312" w:hAnsi="楷体_GB2312" w:eastAsia="楷体_GB2312" w:cs="楷体_GB2312"/>
          <w:color w:val="auto"/>
          <w:sz w:val="20"/>
          <w:szCs w:val="21"/>
          <w:lang w:val="en-US" w:eastAsia="zh-CN" w:bidi="ar-SA"/>
        </w:rPr>
        <w:t>的有关规定执行。</w:t>
      </w:r>
    </w:p>
    <w:p w14:paraId="721205FA">
      <w:pPr>
        <w:pStyle w:val="3"/>
        <w:rPr>
          <w:rFonts w:hint="eastAsia"/>
          <w:color w:val="auto"/>
        </w:rPr>
      </w:pPr>
      <w:bookmarkStart w:id="32" w:name="_Toc13334"/>
      <w:bookmarkStart w:id="33" w:name="_Toc13451"/>
      <w:bookmarkStart w:id="34" w:name="_Toc2167"/>
      <w:bookmarkStart w:id="35" w:name="_Toc21448"/>
      <w:bookmarkStart w:id="36" w:name="_Toc14531"/>
      <w:bookmarkStart w:id="37" w:name="_Toc18023"/>
      <w:r>
        <w:rPr>
          <w:rFonts w:hint="eastAsia"/>
          <w:color w:val="auto"/>
        </w:rPr>
        <w:t>4.技术成果经济补偿</w:t>
      </w:r>
      <w:bookmarkEnd w:id="32"/>
      <w:bookmarkEnd w:id="33"/>
      <w:bookmarkEnd w:id="34"/>
      <w:bookmarkEnd w:id="35"/>
      <w:bookmarkEnd w:id="36"/>
      <w:bookmarkEnd w:id="37"/>
    </w:p>
    <w:p w14:paraId="50CDBDDA">
      <w:pPr>
        <w:spacing w:line="400" w:lineRule="exact"/>
        <w:ind w:firstLine="420" w:firstLineChars="200"/>
        <w:jc w:val="both"/>
        <w:rPr>
          <w:rFonts w:hint="eastAsia" w:ascii="宋体" w:hAnsi="宋体" w:eastAsia="宋体" w:cs="宋体"/>
          <w:color w:val="auto"/>
          <w:sz w:val="21"/>
          <w:szCs w:val="20"/>
          <w:highlight w:val="none"/>
          <w:lang w:val="en-US" w:eastAsia="zh-CN" w:bidi="ar-SA"/>
        </w:rPr>
      </w:pPr>
      <w:r>
        <w:rPr>
          <w:rFonts w:hint="eastAsia" w:ascii="宋体" w:hAnsi="宋体" w:eastAsia="宋体" w:cs="宋体"/>
          <w:color w:val="auto"/>
          <w:sz w:val="21"/>
          <w:szCs w:val="20"/>
          <w:highlight w:val="none"/>
          <w:lang w:val="en-US" w:eastAsia="zh-CN" w:bidi="ar-SA"/>
        </w:rPr>
        <w:t>4.1本工程不设未中标单位经济补偿，投标费用由投标人自理。</w:t>
      </w:r>
    </w:p>
    <w:p w14:paraId="3BB8E9FC">
      <w:pPr>
        <w:pStyle w:val="3"/>
        <w:rPr>
          <w:rFonts w:hint="eastAsia"/>
          <w:color w:val="auto"/>
        </w:rPr>
      </w:pPr>
      <w:bookmarkStart w:id="38" w:name="bookmark6"/>
      <w:bookmarkEnd w:id="38"/>
      <w:bookmarkStart w:id="39" w:name="_Toc27703"/>
      <w:bookmarkStart w:id="40" w:name="_Toc23453"/>
      <w:bookmarkStart w:id="41" w:name="_Toc9630"/>
      <w:bookmarkStart w:id="42" w:name="_Toc13926"/>
      <w:bookmarkStart w:id="43" w:name="_Toc30112"/>
      <w:bookmarkStart w:id="44" w:name="_Toc20442"/>
      <w:r>
        <w:rPr>
          <w:rFonts w:hint="eastAsia"/>
          <w:color w:val="auto"/>
        </w:rPr>
        <w:t>5.招标文件的获取</w:t>
      </w:r>
      <w:bookmarkEnd w:id="39"/>
      <w:bookmarkEnd w:id="40"/>
      <w:bookmarkEnd w:id="41"/>
      <w:bookmarkEnd w:id="42"/>
      <w:bookmarkEnd w:id="43"/>
      <w:bookmarkEnd w:id="44"/>
    </w:p>
    <w:p w14:paraId="755B3EED">
      <w:pPr>
        <w:pStyle w:val="5"/>
        <w:keepNext w:val="0"/>
        <w:keepLines w:val="0"/>
        <w:pageBreakBefore w:val="0"/>
        <w:widowControl w:val="0"/>
        <w:tabs>
          <w:tab w:val="left" w:pos="4704"/>
          <w:tab w:val="left" w:pos="6012"/>
          <w:tab w:val="left" w:pos="7166"/>
          <w:tab w:val="left" w:pos="8533"/>
        </w:tabs>
        <w:kinsoku w:val="0"/>
        <w:wordWrap/>
        <w:overflowPunct w:val="0"/>
        <w:topLinePunct w:val="0"/>
        <w:autoSpaceDE w:val="0"/>
        <w:autoSpaceDN w:val="0"/>
        <w:bidi w:val="0"/>
        <w:adjustRightInd/>
        <w:snapToGrid/>
        <w:spacing w:beforeLines="0" w:afterLines="0" w:line="360" w:lineRule="auto"/>
        <w:ind w:left="0" w:firstLine="424" w:firstLineChars="202"/>
        <w:jc w:val="both"/>
        <w:textAlignment w:val="auto"/>
        <w:rPr>
          <w:color w:val="auto"/>
        </w:rPr>
      </w:pPr>
      <w:r>
        <w:rPr>
          <w:rFonts w:hint="eastAsia" w:ascii="宋体" w:hAnsi="宋体" w:eastAsia="宋体" w:cs="宋体"/>
          <w:color w:val="auto"/>
          <w:szCs w:val="21"/>
          <w:lang w:val="en-US" w:eastAsia="zh-CN"/>
        </w:rPr>
        <w:t xml:space="preserve">5.1 </w:t>
      </w:r>
      <w:r>
        <w:rPr>
          <w:rFonts w:hint="eastAsia" w:ascii="Times New Roman" w:hAnsi="Times New Roman" w:eastAsia="宋体" w:cs="Times New Roman"/>
          <w:color w:val="auto"/>
          <w:szCs w:val="21"/>
        </w:rPr>
        <w:t>凡</w:t>
      </w:r>
      <w:r>
        <w:rPr>
          <w:rFonts w:hint="eastAsia" w:ascii="Times New Roman" w:hAnsi="Times New Roman"/>
          <w:color w:val="auto"/>
          <w:szCs w:val="21"/>
        </w:rPr>
        <w:t>有意参加投标者，请于</w:t>
      </w:r>
      <w:r>
        <w:rPr>
          <w:rFonts w:hint="eastAsia" w:ascii="Times New Roman" w:hAnsi="Times New Roman"/>
          <w:color w:val="auto"/>
          <w:szCs w:val="21"/>
          <w:lang w:val="en-US" w:eastAsia="zh-CN"/>
        </w:rPr>
        <w:t xml:space="preserve"> </w:t>
      </w:r>
      <w:r>
        <w:rPr>
          <w:rFonts w:hint="eastAsia" w:ascii="宋体" w:hAnsi="宋体" w:eastAsia="宋体" w:cs="宋体"/>
          <w:color w:val="auto"/>
          <w:sz w:val="21"/>
          <w:szCs w:val="21"/>
          <w:u w:val="single"/>
          <w:lang w:val="en-US" w:eastAsia="zh-CN"/>
        </w:rPr>
        <w:t>2025</w:t>
      </w:r>
      <w:r>
        <w:rPr>
          <w:rFonts w:hint="eastAsia" w:ascii="Times New Roman" w:hAnsi="Times New Roman"/>
          <w:color w:val="auto"/>
          <w:szCs w:val="21"/>
        </w:rPr>
        <w:t>年</w:t>
      </w:r>
      <w:r>
        <w:rPr>
          <w:rFonts w:ascii="Times New Roman" w:hAnsi="Times New Roman"/>
          <w:color w:val="auto"/>
          <w:szCs w:val="21"/>
          <w:u w:val="single"/>
        </w:rPr>
        <w:t xml:space="preserve">      </w:t>
      </w:r>
      <w:r>
        <w:rPr>
          <w:rFonts w:hint="eastAsia" w:ascii="Times New Roman" w:hAnsi="Times New Roman"/>
          <w:color w:val="auto"/>
          <w:szCs w:val="21"/>
        </w:rPr>
        <w:t>月</w:t>
      </w:r>
      <w:r>
        <w:rPr>
          <w:rFonts w:ascii="Times New Roman" w:hAnsi="Times New Roman"/>
          <w:color w:val="auto"/>
          <w:szCs w:val="21"/>
          <w:u w:val="single"/>
        </w:rPr>
        <w:t xml:space="preserve">     </w:t>
      </w:r>
      <w:r>
        <w:rPr>
          <w:rFonts w:hint="eastAsia" w:ascii="Times New Roman" w:hAnsi="Times New Roman"/>
          <w:color w:val="auto"/>
          <w:szCs w:val="21"/>
        </w:rPr>
        <w:t>日</w:t>
      </w:r>
      <w:r>
        <w:rPr>
          <w:rFonts w:ascii="Times New Roman" w:hAnsi="Times New Roman"/>
          <w:color w:val="auto"/>
          <w:szCs w:val="21"/>
          <w:u w:val="single"/>
        </w:rPr>
        <w:t xml:space="preserve">   </w:t>
      </w:r>
      <w:r>
        <w:rPr>
          <w:rFonts w:hint="eastAsia" w:ascii="Times New Roman" w:hAnsi="Times New Roman"/>
          <w:color w:val="auto"/>
          <w:szCs w:val="21"/>
          <w:u w:val="single"/>
          <w:lang w:eastAsia="zh-CN"/>
        </w:rPr>
        <w:t>　</w:t>
      </w:r>
      <w:r>
        <w:rPr>
          <w:rFonts w:ascii="Times New Roman" w:hAnsi="Times New Roman"/>
          <w:color w:val="auto"/>
          <w:szCs w:val="21"/>
          <w:u w:val="single"/>
        </w:rPr>
        <w:t xml:space="preserve"> </w:t>
      </w:r>
      <w:r>
        <w:rPr>
          <w:rFonts w:hint="eastAsia" w:ascii="Times New Roman" w:hAnsi="Times New Roman"/>
          <w:color w:val="auto"/>
          <w:szCs w:val="21"/>
        </w:rPr>
        <w:t>时</w:t>
      </w:r>
      <w:r>
        <w:rPr>
          <w:rFonts w:hint="eastAsia" w:ascii="宋体" w:hAnsi="宋体" w:cs="宋体"/>
          <w:color w:val="auto"/>
          <w:sz w:val="21"/>
          <w:szCs w:val="21"/>
          <w:u w:val="single"/>
        </w:rPr>
        <w:t xml:space="preserve">   </w:t>
      </w:r>
      <w:r>
        <w:rPr>
          <w:rFonts w:hint="eastAsia" w:ascii="宋体" w:hAnsi="宋体" w:cs="宋体"/>
          <w:color w:val="auto"/>
          <w:sz w:val="21"/>
          <w:szCs w:val="21"/>
        </w:rPr>
        <w:t>分</w:t>
      </w:r>
      <w:r>
        <w:rPr>
          <w:rFonts w:hint="eastAsia" w:ascii="Times New Roman" w:hAnsi="Times New Roman"/>
          <w:color w:val="auto"/>
          <w:szCs w:val="21"/>
        </w:rPr>
        <w:t>至</w:t>
      </w:r>
      <w:r>
        <w:rPr>
          <w:rFonts w:ascii="Times New Roman" w:hAnsi="Times New Roman"/>
          <w:color w:val="auto"/>
          <w:szCs w:val="21"/>
          <w:u w:val="single"/>
        </w:rPr>
        <w:t xml:space="preserve"> </w:t>
      </w:r>
      <w:r>
        <w:rPr>
          <w:rFonts w:hint="eastAsia" w:ascii="宋体" w:hAnsi="宋体" w:eastAsia="宋体" w:cs="宋体"/>
          <w:color w:val="auto"/>
          <w:sz w:val="21"/>
          <w:szCs w:val="21"/>
          <w:u w:val="single"/>
          <w:lang w:val="en-US" w:eastAsia="zh-CN"/>
        </w:rPr>
        <w:t>2025</w:t>
      </w:r>
      <w:r>
        <w:rPr>
          <w:rFonts w:ascii="Times New Roman" w:hAnsi="Times New Roman"/>
          <w:color w:val="auto"/>
          <w:szCs w:val="21"/>
          <w:u w:val="single"/>
        </w:rPr>
        <w:t xml:space="preserve"> </w:t>
      </w:r>
      <w:r>
        <w:rPr>
          <w:rFonts w:hint="eastAsia" w:ascii="Times New Roman" w:hAnsi="Times New Roman"/>
          <w:color w:val="auto"/>
          <w:szCs w:val="21"/>
        </w:rPr>
        <w:t>年</w:t>
      </w:r>
      <w:r>
        <w:rPr>
          <w:rFonts w:ascii="Times New Roman" w:hAnsi="Times New Roman"/>
          <w:color w:val="auto"/>
          <w:szCs w:val="21"/>
          <w:u w:val="single"/>
        </w:rPr>
        <w:t xml:space="preserve">      </w:t>
      </w:r>
      <w:r>
        <w:rPr>
          <w:rFonts w:hint="eastAsia" w:ascii="Times New Roman" w:hAnsi="Times New Roman"/>
          <w:color w:val="auto"/>
          <w:szCs w:val="21"/>
        </w:rPr>
        <w:t>月</w:t>
      </w:r>
      <w:r>
        <w:rPr>
          <w:rFonts w:ascii="Times New Roman" w:hAnsi="Times New Roman"/>
          <w:color w:val="auto"/>
          <w:szCs w:val="21"/>
          <w:u w:val="single"/>
        </w:rPr>
        <w:t xml:space="preserve">       </w:t>
      </w:r>
      <w:r>
        <w:rPr>
          <w:rFonts w:hint="eastAsia" w:ascii="Times New Roman" w:hAnsi="Times New Roman"/>
          <w:color w:val="auto"/>
          <w:szCs w:val="21"/>
        </w:rPr>
        <w:t>日</w:t>
      </w:r>
      <w:r>
        <w:rPr>
          <w:rFonts w:ascii="Times New Roman" w:hAnsi="Times New Roman"/>
          <w:color w:val="auto"/>
          <w:szCs w:val="21"/>
          <w:u w:val="single"/>
        </w:rPr>
        <w:t xml:space="preserve">        </w:t>
      </w:r>
      <w:r>
        <w:rPr>
          <w:rFonts w:hint="eastAsia" w:ascii="Times New Roman" w:hAnsi="Times New Roman"/>
          <w:color w:val="auto"/>
          <w:szCs w:val="21"/>
        </w:rPr>
        <w:t>时</w:t>
      </w:r>
      <w:r>
        <w:rPr>
          <w:rFonts w:hint="eastAsia" w:ascii="宋体" w:hAnsi="宋体" w:cs="宋体"/>
          <w:color w:val="auto"/>
          <w:sz w:val="21"/>
          <w:szCs w:val="21"/>
          <w:u w:val="single"/>
        </w:rPr>
        <w:t xml:space="preserve">   </w:t>
      </w:r>
      <w:r>
        <w:rPr>
          <w:rFonts w:hint="eastAsia" w:ascii="宋体" w:hAnsi="宋体" w:cs="宋体"/>
          <w:color w:val="auto"/>
          <w:sz w:val="21"/>
          <w:szCs w:val="21"/>
        </w:rPr>
        <w:t>分</w:t>
      </w:r>
      <w:r>
        <w:rPr>
          <w:rFonts w:ascii="Times New Roman" w:hAnsi="Times New Roman"/>
          <w:color w:val="auto"/>
          <w:szCs w:val="21"/>
        </w:rPr>
        <w:t>(</w:t>
      </w:r>
      <w:r>
        <w:rPr>
          <w:rFonts w:hint="eastAsia" w:ascii="Times New Roman" w:hAnsi="Times New Roman"/>
          <w:color w:val="auto"/>
          <w:szCs w:val="21"/>
        </w:rPr>
        <w:t>北京时间，下同</w:t>
      </w:r>
      <w:r>
        <w:rPr>
          <w:rFonts w:ascii="Times New Roman" w:hAnsi="Times New Roman"/>
          <w:color w:val="auto"/>
          <w:szCs w:val="21"/>
        </w:rPr>
        <w:t>)</w:t>
      </w:r>
      <w:r>
        <w:rPr>
          <w:rFonts w:hint="eastAsia" w:ascii="Times New Roman" w:hAnsi="Times New Roman"/>
          <w:color w:val="auto"/>
          <w:szCs w:val="21"/>
        </w:rPr>
        <w:t>，登录</w:t>
      </w:r>
      <w:r>
        <w:rPr>
          <w:rFonts w:hint="eastAsia" w:ascii="宋体" w:hAnsi="宋体" w:eastAsia="宋体" w:cs="宋体"/>
          <w:color w:val="auto"/>
          <w:u w:val="single"/>
          <w:lang w:val="en-US" w:eastAsia="zh-CN"/>
        </w:rPr>
        <w:t>广州交易集团有限公司（广州公共资源交易中心）官网（网址：http://www.gzggzy.cn）</w:t>
      </w:r>
      <w:r>
        <w:rPr>
          <w:rFonts w:hint="eastAsia" w:ascii="Times New Roman" w:hAnsi="Times New Roman"/>
          <w:color w:val="auto"/>
          <w:szCs w:val="21"/>
        </w:rPr>
        <w:t>下载电子招标文件。</w:t>
      </w:r>
    </w:p>
    <w:p w14:paraId="7EC7DA7E">
      <w:pPr>
        <w:keepNext w:val="0"/>
        <w:keepLines w:val="0"/>
        <w:pageBreakBefore w:val="0"/>
        <w:widowControl w:val="0"/>
        <w:wordWrap/>
        <w:topLinePunct w:val="0"/>
        <w:autoSpaceDE w:val="0"/>
        <w:autoSpaceDN w:val="0"/>
        <w:bidi w:val="0"/>
        <w:adjustRightInd/>
        <w:snapToGrid/>
        <w:spacing w:line="360" w:lineRule="auto"/>
        <w:ind w:firstLine="420" w:firstLineChars="200"/>
        <w:jc w:val="both"/>
        <w:textAlignment w:val="auto"/>
        <w:rPr>
          <w:rFonts w:hint="eastAsia" w:ascii="宋体" w:hAnsi="宋体" w:cs="宋体"/>
          <w:color w:val="auto"/>
          <w:sz w:val="21"/>
          <w:szCs w:val="21"/>
        </w:rPr>
      </w:pPr>
      <w:r>
        <w:rPr>
          <w:rFonts w:hint="eastAsia" w:ascii="宋体" w:hAnsi="宋体" w:cs="宋体"/>
          <w:color w:val="auto"/>
          <w:sz w:val="21"/>
          <w:szCs w:val="21"/>
        </w:rPr>
        <w:t>5.2</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发布招标公告时间（含本日）：</w:t>
      </w:r>
      <w:r>
        <w:rPr>
          <w:rFonts w:hint="eastAsia" w:ascii="宋体" w:hAnsi="宋体" w:eastAsia="宋体" w:cs="宋体"/>
          <w:color w:val="auto"/>
          <w:sz w:val="21"/>
          <w:szCs w:val="21"/>
          <w:u w:val="single"/>
          <w:lang w:val="en-US" w:eastAsia="zh-CN"/>
        </w:rPr>
        <w:t>2025</w:t>
      </w:r>
      <w:r>
        <w:rPr>
          <w:rFonts w:hint="eastAsia" w:ascii="宋体" w:hAnsi="宋体" w:cs="宋体"/>
          <w:color w:val="auto"/>
          <w:sz w:val="21"/>
          <w:szCs w:val="21"/>
        </w:rPr>
        <w:t>年</w:t>
      </w:r>
      <w:r>
        <w:rPr>
          <w:rFonts w:hint="eastAsia" w:ascii="宋体" w:hAnsi="宋体" w:cs="宋体"/>
          <w:color w:val="auto"/>
          <w:sz w:val="21"/>
          <w:szCs w:val="21"/>
          <w:u w:val="single"/>
        </w:rPr>
        <w:t xml:space="preserve"> </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 xml:space="preserve"> </w:t>
      </w:r>
      <w:r>
        <w:rPr>
          <w:rFonts w:hint="eastAsia" w:ascii="宋体" w:hAnsi="宋体" w:cs="宋体"/>
          <w:color w:val="auto"/>
          <w:sz w:val="21"/>
          <w:szCs w:val="21"/>
        </w:rPr>
        <w:t>月</w:t>
      </w:r>
      <w:r>
        <w:rPr>
          <w:rFonts w:hint="eastAsia" w:ascii="宋体" w:hAnsi="宋体" w:cs="宋体"/>
          <w:color w:val="auto"/>
          <w:sz w:val="21"/>
          <w:szCs w:val="21"/>
          <w:u w:val="single"/>
        </w:rPr>
        <w:t xml:space="preserve"> </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 xml:space="preserve"> </w:t>
      </w:r>
      <w:r>
        <w:rPr>
          <w:rFonts w:hint="eastAsia" w:ascii="宋体" w:hAnsi="宋体" w:cs="宋体"/>
          <w:color w:val="auto"/>
          <w:sz w:val="21"/>
          <w:szCs w:val="21"/>
        </w:rPr>
        <w:t>日</w:t>
      </w:r>
      <w:r>
        <w:rPr>
          <w:rFonts w:hint="eastAsia" w:ascii="宋体" w:hAnsi="宋体" w:cs="宋体"/>
          <w:color w:val="auto"/>
          <w:sz w:val="21"/>
          <w:szCs w:val="21"/>
          <w:lang w:val="en-US" w:eastAsia="zh-CN"/>
        </w:rPr>
        <w:t xml:space="preserve"> </w:t>
      </w:r>
      <w:r>
        <w:rPr>
          <w:rFonts w:hint="eastAsia" w:ascii="宋体" w:hAnsi="宋体" w:cs="宋体"/>
          <w:color w:val="auto"/>
          <w:sz w:val="21"/>
          <w:szCs w:val="21"/>
          <w:u w:val="single"/>
        </w:rPr>
        <w:t xml:space="preserve">  </w:t>
      </w:r>
      <w:r>
        <w:rPr>
          <w:rFonts w:hint="eastAsia" w:ascii="宋体" w:hAnsi="宋体" w:cs="宋体"/>
          <w:color w:val="auto"/>
          <w:sz w:val="21"/>
          <w:szCs w:val="21"/>
        </w:rPr>
        <w:t>时</w:t>
      </w:r>
      <w:r>
        <w:rPr>
          <w:rFonts w:hint="eastAsia" w:ascii="宋体" w:hAnsi="宋体" w:cs="宋体"/>
          <w:color w:val="auto"/>
          <w:sz w:val="21"/>
          <w:szCs w:val="21"/>
          <w:u w:val="single"/>
        </w:rPr>
        <w:t xml:space="preserve">   </w:t>
      </w:r>
      <w:r>
        <w:rPr>
          <w:rFonts w:hint="eastAsia" w:ascii="宋体" w:hAnsi="宋体" w:cs="宋体"/>
          <w:color w:val="auto"/>
          <w:sz w:val="21"/>
          <w:szCs w:val="21"/>
        </w:rPr>
        <w:t>分至</w:t>
      </w:r>
      <w:r>
        <w:rPr>
          <w:rFonts w:hint="eastAsia" w:ascii="宋体" w:hAnsi="宋体" w:eastAsia="宋体" w:cs="宋体"/>
          <w:color w:val="auto"/>
          <w:sz w:val="21"/>
          <w:szCs w:val="21"/>
          <w:u w:val="single"/>
          <w:lang w:val="en-US" w:eastAsia="zh-CN"/>
        </w:rPr>
        <w:t>2025</w:t>
      </w:r>
      <w:r>
        <w:rPr>
          <w:rFonts w:hint="eastAsia" w:ascii="宋体" w:hAnsi="宋体" w:cs="宋体"/>
          <w:color w:val="auto"/>
          <w:sz w:val="21"/>
          <w:szCs w:val="21"/>
        </w:rPr>
        <w:t>年</w:t>
      </w:r>
      <w:r>
        <w:rPr>
          <w:rFonts w:hint="eastAsia" w:ascii="宋体" w:hAnsi="宋体" w:cs="宋体"/>
          <w:color w:val="auto"/>
          <w:sz w:val="21"/>
          <w:szCs w:val="21"/>
          <w:u w:val="single"/>
        </w:rPr>
        <w:t xml:space="preserve"> </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 xml:space="preserve"> </w:t>
      </w:r>
      <w:r>
        <w:rPr>
          <w:rFonts w:hint="eastAsia" w:ascii="宋体" w:hAnsi="宋体" w:cs="宋体"/>
          <w:color w:val="auto"/>
          <w:sz w:val="21"/>
          <w:szCs w:val="21"/>
        </w:rPr>
        <w:t>月</w:t>
      </w:r>
      <w:r>
        <w:rPr>
          <w:rFonts w:hint="eastAsia" w:ascii="宋体" w:hAnsi="宋体" w:cs="宋体"/>
          <w:color w:val="auto"/>
          <w:sz w:val="21"/>
          <w:szCs w:val="21"/>
          <w:u w:val="single"/>
        </w:rPr>
        <w:t xml:space="preserve"> </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 xml:space="preserve"> </w:t>
      </w:r>
      <w:r>
        <w:rPr>
          <w:rFonts w:hint="eastAsia" w:ascii="宋体" w:hAnsi="宋体" w:cs="宋体"/>
          <w:color w:val="auto"/>
          <w:sz w:val="21"/>
          <w:szCs w:val="21"/>
        </w:rPr>
        <w:t>日</w:t>
      </w:r>
      <w:r>
        <w:rPr>
          <w:rFonts w:hint="eastAsia" w:ascii="宋体" w:hAnsi="宋体" w:cs="宋体"/>
          <w:color w:val="auto"/>
          <w:sz w:val="21"/>
          <w:szCs w:val="21"/>
          <w:u w:val="single"/>
        </w:rPr>
        <w:t xml:space="preserve"> </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 xml:space="preserve"> </w:t>
      </w:r>
      <w:r>
        <w:rPr>
          <w:rFonts w:hint="eastAsia" w:ascii="宋体" w:hAnsi="宋体" w:cs="宋体"/>
          <w:color w:val="auto"/>
          <w:sz w:val="21"/>
          <w:szCs w:val="21"/>
        </w:rPr>
        <w:t>时</w:t>
      </w:r>
      <w:r>
        <w:rPr>
          <w:rFonts w:hint="eastAsia" w:ascii="宋体" w:hAnsi="宋体" w:cs="宋体"/>
          <w:color w:val="auto"/>
          <w:sz w:val="21"/>
          <w:szCs w:val="21"/>
          <w:u w:val="single"/>
        </w:rPr>
        <w:t xml:space="preserve">     </w:t>
      </w:r>
      <w:r>
        <w:rPr>
          <w:rFonts w:hint="eastAsia" w:ascii="宋体" w:hAnsi="宋体" w:cs="宋体"/>
          <w:color w:val="auto"/>
          <w:sz w:val="21"/>
          <w:szCs w:val="21"/>
        </w:rPr>
        <w:t>分。</w:t>
      </w:r>
    </w:p>
    <w:p w14:paraId="1D9EC6A5">
      <w:pPr>
        <w:keepNext w:val="0"/>
        <w:keepLines w:val="0"/>
        <w:pageBreakBefore w:val="0"/>
        <w:widowControl w:val="0"/>
        <w:wordWrap/>
        <w:topLinePunct w:val="0"/>
        <w:autoSpaceDE w:val="0"/>
        <w:autoSpaceDN w:val="0"/>
        <w:bidi w:val="0"/>
        <w:adjustRightInd/>
        <w:snapToGrid/>
        <w:spacing w:line="360" w:lineRule="auto"/>
        <w:ind w:firstLine="420" w:firstLineChars="200"/>
        <w:jc w:val="both"/>
        <w:textAlignment w:val="auto"/>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2"/>
          <w:sz w:val="21"/>
          <w:szCs w:val="21"/>
          <w:lang w:val="en-US" w:eastAsia="zh-CN" w:bidi="ar-SA"/>
        </w:rPr>
        <w:t>注：本公告发布之日起开始发布招标文件，发布招标公告的时间为招标公告发出之日起至递交投标文件截止时间止,并从招标公告发布之日起开始计算备标时间。</w:t>
      </w:r>
    </w:p>
    <w:p w14:paraId="40B8F424">
      <w:pPr>
        <w:pStyle w:val="5"/>
        <w:keepNext w:val="0"/>
        <w:keepLines w:val="0"/>
        <w:pageBreakBefore w:val="0"/>
        <w:widowControl w:val="0"/>
        <w:tabs>
          <w:tab w:val="left" w:pos="3492"/>
          <w:tab w:val="left" w:pos="7063"/>
        </w:tabs>
        <w:kinsoku w:val="0"/>
        <w:wordWrap/>
        <w:overflowPunct w:val="0"/>
        <w:topLinePunct w:val="0"/>
        <w:autoSpaceDE w:val="0"/>
        <w:autoSpaceDN w:val="0"/>
        <w:bidi w:val="0"/>
        <w:adjustRightInd/>
        <w:snapToGrid/>
        <w:spacing w:beforeLines="0" w:afterLines="0" w:line="360" w:lineRule="auto"/>
        <w:ind w:left="0" w:right="113" w:firstLine="424" w:firstLineChars="202"/>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5.3 本项目招标文件随招标公告一并在</w:t>
      </w:r>
      <w:r>
        <w:rPr>
          <w:rFonts w:hint="eastAsia" w:ascii="宋体" w:hAnsi="宋体" w:eastAsia="宋体" w:cs="宋体"/>
          <w:color w:val="auto"/>
          <w:sz w:val="21"/>
          <w:szCs w:val="21"/>
          <w:u w:val="single"/>
          <w:lang w:val="en-US" w:eastAsia="zh-CN" w:bidi="ar-SA"/>
        </w:rPr>
        <w:t>广州交易集团有限公司（广州公共资源交易中心）</w:t>
      </w:r>
      <w:r>
        <w:rPr>
          <w:rFonts w:hint="eastAsia" w:ascii="宋体" w:hAnsi="宋体" w:eastAsia="宋体" w:cs="宋体"/>
          <w:color w:val="auto"/>
          <w:sz w:val="21"/>
          <w:szCs w:val="21"/>
          <w:lang w:val="en-US" w:eastAsia="zh-CN" w:bidi="ar-SA"/>
        </w:rPr>
        <w:t>网站交易平台发布。招标文件一经在</w:t>
      </w:r>
      <w:r>
        <w:rPr>
          <w:rFonts w:hint="eastAsia" w:ascii="宋体" w:hAnsi="宋体" w:eastAsia="宋体" w:cs="宋体"/>
          <w:color w:val="auto"/>
          <w:sz w:val="21"/>
          <w:szCs w:val="21"/>
          <w:u w:val="single"/>
          <w:lang w:val="en-US" w:eastAsia="zh-CN" w:bidi="ar-SA"/>
        </w:rPr>
        <w:t>广州交易集团有限公司（广州公共资源交易中心）</w:t>
      </w:r>
      <w:r>
        <w:rPr>
          <w:rFonts w:hint="eastAsia" w:ascii="宋体" w:hAnsi="宋体" w:eastAsia="宋体" w:cs="宋体"/>
          <w:color w:val="auto"/>
          <w:sz w:val="21"/>
          <w:szCs w:val="21"/>
          <w:lang w:val="en-US" w:eastAsia="zh-CN" w:bidi="ar-SA"/>
        </w:rPr>
        <w:t>交易平台发布，视为发出给投标人，招标文件由投标人自行在交易平台下载。</w:t>
      </w:r>
    </w:p>
    <w:p w14:paraId="1F779A62">
      <w:pPr>
        <w:pStyle w:val="3"/>
        <w:rPr>
          <w:rFonts w:hint="eastAsia"/>
          <w:color w:val="auto"/>
        </w:rPr>
      </w:pPr>
      <w:bookmarkStart w:id="45" w:name="bookmark7"/>
      <w:bookmarkEnd w:id="45"/>
      <w:bookmarkStart w:id="46" w:name="_Toc28454"/>
      <w:bookmarkStart w:id="47" w:name="_Toc17994"/>
      <w:bookmarkStart w:id="48" w:name="_Toc4745"/>
      <w:bookmarkStart w:id="49" w:name="_Toc24268"/>
      <w:bookmarkStart w:id="50" w:name="_Toc7106"/>
      <w:bookmarkStart w:id="51" w:name="_Toc1406"/>
      <w:r>
        <w:rPr>
          <w:rFonts w:hint="eastAsia"/>
          <w:color w:val="auto"/>
        </w:rPr>
        <w:t>6. 投标文件的递交</w:t>
      </w:r>
      <w:bookmarkEnd w:id="46"/>
      <w:bookmarkEnd w:id="47"/>
      <w:bookmarkEnd w:id="48"/>
      <w:bookmarkEnd w:id="49"/>
      <w:bookmarkEnd w:id="50"/>
      <w:bookmarkEnd w:id="51"/>
    </w:p>
    <w:p w14:paraId="402E5E05">
      <w:pPr>
        <w:tabs>
          <w:tab w:val="left" w:pos="360"/>
        </w:tabs>
        <w:spacing w:line="40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6.1</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投标文件递交的截止时间（投标截止时间，下同）为</w:t>
      </w:r>
      <w:r>
        <w:rPr>
          <w:rFonts w:hint="eastAsia" w:ascii="宋体" w:hAnsi="宋体" w:eastAsia="宋体" w:cs="宋体"/>
          <w:color w:val="auto"/>
          <w:sz w:val="21"/>
          <w:szCs w:val="21"/>
          <w:u w:val="single"/>
          <w:lang w:val="en-US" w:eastAsia="zh-CN"/>
        </w:rPr>
        <w:t>2025</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时</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分，投标人应在截止时间前通过</w:t>
      </w:r>
      <w:r>
        <w:rPr>
          <w:rFonts w:hint="eastAsia" w:ascii="宋体" w:hAnsi="宋体" w:eastAsia="宋体" w:cs="宋体"/>
          <w:color w:val="auto"/>
          <w:sz w:val="21"/>
          <w:szCs w:val="21"/>
          <w:u w:val="single"/>
          <w:lang w:val="en-US" w:eastAsia="zh-CN"/>
        </w:rPr>
        <w:t>广州交易集团有限公司（广州公共资源交易中心）数字交易平台（网址：http://www.gzggzy.cn）</w:t>
      </w:r>
      <w:r>
        <w:rPr>
          <w:rFonts w:hint="eastAsia" w:ascii="宋体" w:hAnsi="宋体" w:eastAsia="宋体" w:cs="宋体"/>
          <w:color w:val="auto"/>
          <w:sz w:val="21"/>
          <w:szCs w:val="21"/>
        </w:rPr>
        <w:t>递交电子投标文件。</w:t>
      </w:r>
      <w:r>
        <w:rPr>
          <w:rFonts w:hint="eastAsia" w:ascii="宋体" w:hAnsi="宋体" w:eastAsia="宋体" w:cs="宋体"/>
          <w:color w:val="auto"/>
          <w:sz w:val="21"/>
          <w:szCs w:val="21"/>
          <w:highlight w:val="none"/>
          <w:lang w:eastAsia="zh-CN"/>
        </w:rPr>
        <w:t>投标人</w:t>
      </w:r>
      <w:r>
        <w:rPr>
          <w:rFonts w:hint="eastAsia" w:ascii="宋体" w:hAnsi="宋体" w:cs="宋体"/>
          <w:color w:val="auto"/>
          <w:sz w:val="21"/>
          <w:szCs w:val="21"/>
          <w:highlight w:val="none"/>
        </w:rPr>
        <w:t>完成</w:t>
      </w:r>
      <w:r>
        <w:rPr>
          <w:rFonts w:hint="eastAsia" w:ascii="宋体" w:hAnsi="宋体" w:cs="宋体"/>
          <w:color w:val="auto"/>
          <w:sz w:val="21"/>
          <w:szCs w:val="21"/>
          <w:highlight w:val="none"/>
          <w:lang w:eastAsia="zh-CN"/>
        </w:rPr>
        <w:t>电子</w:t>
      </w:r>
      <w:r>
        <w:rPr>
          <w:rFonts w:hint="eastAsia" w:ascii="宋体" w:hAnsi="宋体" w:cs="宋体"/>
          <w:color w:val="auto"/>
          <w:sz w:val="21"/>
          <w:szCs w:val="21"/>
          <w:highlight w:val="none"/>
        </w:rPr>
        <w:t>投标文件上传</w:t>
      </w:r>
      <w:r>
        <w:rPr>
          <w:rFonts w:hint="eastAsia" w:ascii="宋体" w:hAnsi="宋体" w:eastAsia="宋体" w:cs="宋体"/>
          <w:color w:val="auto"/>
          <w:sz w:val="21"/>
          <w:szCs w:val="21"/>
          <w:highlight w:val="none"/>
          <w:lang w:eastAsia="zh-CN"/>
        </w:rPr>
        <w:t>后</w:t>
      </w:r>
      <w:r>
        <w:rPr>
          <w:rFonts w:hint="eastAsia" w:ascii="宋体" w:hAnsi="宋体" w:cs="宋体"/>
          <w:color w:val="auto"/>
          <w:sz w:val="21"/>
          <w:szCs w:val="21"/>
          <w:highlight w:val="none"/>
        </w:rPr>
        <w:t>，</w:t>
      </w:r>
      <w:r>
        <w:rPr>
          <w:rFonts w:hint="eastAsia" w:ascii="宋体" w:hAnsi="宋体" w:eastAsia="宋体" w:cs="宋体"/>
          <w:color w:val="auto"/>
          <w:sz w:val="21"/>
          <w:szCs w:val="21"/>
          <w:highlight w:val="none"/>
          <w:u w:val="single"/>
          <w:lang w:eastAsia="zh-CN"/>
        </w:rPr>
        <w:t>广州交易集团有限公司（广州公共资源交易中心）数字交易平台</w:t>
      </w:r>
      <w:r>
        <w:rPr>
          <w:rFonts w:hint="eastAsia" w:ascii="宋体" w:hAnsi="宋体" w:eastAsia="宋体" w:cs="宋体"/>
          <w:color w:val="auto"/>
          <w:sz w:val="21"/>
          <w:szCs w:val="21"/>
          <w:highlight w:val="none"/>
          <w:lang w:eastAsia="zh-CN"/>
        </w:rPr>
        <w:t>即时向投标人发出递交</w:t>
      </w:r>
      <w:r>
        <w:rPr>
          <w:rFonts w:hint="eastAsia" w:ascii="宋体" w:hAnsi="宋体" w:cs="宋体"/>
          <w:color w:val="auto"/>
          <w:sz w:val="21"/>
          <w:szCs w:val="21"/>
          <w:highlight w:val="none"/>
        </w:rPr>
        <w:t>回执</w:t>
      </w:r>
      <w:r>
        <w:rPr>
          <w:rFonts w:hint="eastAsia" w:ascii="宋体" w:hAnsi="宋体" w:eastAsia="宋体" w:cs="宋体"/>
          <w:color w:val="auto"/>
          <w:sz w:val="21"/>
          <w:szCs w:val="21"/>
          <w:highlight w:val="none"/>
          <w:lang w:eastAsia="zh-CN"/>
        </w:rPr>
        <w:t>通知</w:t>
      </w:r>
      <w:r>
        <w:rPr>
          <w:rFonts w:hint="eastAsia" w:ascii="宋体" w:hAnsi="宋体" w:cs="宋体"/>
          <w:color w:val="auto"/>
          <w:sz w:val="21"/>
          <w:szCs w:val="21"/>
          <w:highlight w:val="none"/>
          <w:lang w:eastAsia="zh-CN"/>
        </w:rPr>
        <w:t>。递交时间以递交回执通知载明的传输完成时间为准。</w:t>
      </w:r>
    </w:p>
    <w:p w14:paraId="3D2CD4E3">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both"/>
        <w:textAlignment w:val="auto"/>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在投标截止时间后</w:t>
      </w:r>
      <w:r>
        <w:rPr>
          <w:rFonts w:hint="eastAsia" w:ascii="宋体" w:hAnsi="宋体" w:eastAsia="宋体" w:cs="宋体"/>
          <w:color w:val="auto"/>
          <w:w w:val="100"/>
          <w:sz w:val="21"/>
          <w:szCs w:val="21"/>
          <w:highlight w:val="none"/>
          <w:u w:val="single"/>
          <w:lang w:eastAsia="zh-CN"/>
        </w:rPr>
        <w:t>一</w:t>
      </w:r>
      <w:r>
        <w:rPr>
          <w:rFonts w:hint="eastAsia" w:ascii="宋体" w:hAnsi="宋体" w:eastAsia="宋体" w:cs="宋体"/>
          <w:color w:val="auto"/>
          <w:w w:val="100"/>
          <w:sz w:val="21"/>
          <w:szCs w:val="21"/>
          <w:highlight w:val="none"/>
        </w:rPr>
        <w:t>小时内，投标人通过</w:t>
      </w:r>
      <w:r>
        <w:rPr>
          <w:rFonts w:hint="eastAsia" w:ascii="宋体" w:hAnsi="宋体" w:eastAsia="宋体" w:cs="宋体"/>
          <w:color w:val="auto"/>
          <w:w w:val="100"/>
          <w:sz w:val="21"/>
          <w:szCs w:val="21"/>
          <w:highlight w:val="none"/>
          <w:u w:val="single"/>
          <w:lang w:val="en-US" w:eastAsia="zh-CN"/>
        </w:rPr>
        <w:t>广州交易集团有限公司（广州公共资源交易中心）数字交易平台</w:t>
      </w:r>
      <w:r>
        <w:rPr>
          <w:rFonts w:hint="eastAsia" w:ascii="宋体" w:hAnsi="宋体" w:eastAsia="宋体" w:cs="宋体"/>
          <w:color w:val="auto"/>
          <w:w w:val="100"/>
          <w:sz w:val="21"/>
          <w:szCs w:val="21"/>
          <w:highlight w:val="none"/>
        </w:rPr>
        <w:t>对已递交的电子投标文件进行解密。</w:t>
      </w:r>
    </w:p>
    <w:p w14:paraId="05F0829F">
      <w:pPr>
        <w:pStyle w:val="5"/>
        <w:keepNext w:val="0"/>
        <w:keepLines w:val="0"/>
        <w:pageBreakBefore w:val="0"/>
        <w:widowControl w:val="0"/>
        <w:tabs>
          <w:tab w:val="left" w:pos="3492"/>
          <w:tab w:val="left" w:pos="7063"/>
        </w:tabs>
        <w:kinsoku w:val="0"/>
        <w:wordWrap/>
        <w:overflowPunct w:val="0"/>
        <w:topLinePunct w:val="0"/>
        <w:autoSpaceDE w:val="0"/>
        <w:autoSpaceDN w:val="0"/>
        <w:bidi w:val="0"/>
        <w:adjustRightInd/>
        <w:snapToGrid/>
        <w:spacing w:beforeLines="0" w:afterLines="0" w:line="360" w:lineRule="auto"/>
        <w:ind w:left="0" w:right="113" w:firstLine="424" w:firstLineChars="202"/>
        <w:jc w:val="left"/>
        <w:textAlignment w:val="auto"/>
        <w:rPr>
          <w:rFonts w:hint="eastAsia" w:ascii="Times New Roman" w:hAnsi="Times New Roman"/>
          <w:color w:val="auto"/>
          <w:szCs w:val="21"/>
          <w:u w:val="single"/>
        </w:rPr>
      </w:pPr>
      <w:r>
        <w:rPr>
          <w:rFonts w:hint="eastAsia" w:ascii="宋体" w:hAnsi="宋体" w:eastAsia="宋体" w:cs="宋体"/>
          <w:color w:val="auto"/>
          <w:sz w:val="21"/>
          <w:szCs w:val="21"/>
          <w:lang w:val="en-US" w:eastAsia="zh-CN" w:bidi="ar-SA"/>
        </w:rPr>
        <w:t>6.2 投标人应在递交投标文件截止时间前，登录</w:t>
      </w:r>
      <w:r>
        <w:rPr>
          <w:rFonts w:hint="eastAsia" w:ascii="宋体" w:hAnsi="宋体" w:eastAsia="宋体" w:cs="宋体"/>
          <w:color w:val="auto"/>
          <w:sz w:val="21"/>
          <w:szCs w:val="21"/>
          <w:u w:val="single"/>
          <w:lang w:val="en-US" w:eastAsia="zh-CN" w:bidi="ar-SA"/>
        </w:rPr>
        <w:t>广州交易集团有限公司（广州公共资源交易中心）数字</w:t>
      </w:r>
      <w:r>
        <w:rPr>
          <w:rFonts w:hint="eastAsia" w:ascii="宋体" w:hAnsi="宋体" w:eastAsia="宋体" w:cs="宋体"/>
          <w:color w:val="auto"/>
          <w:sz w:val="21"/>
          <w:szCs w:val="21"/>
          <w:lang w:val="en-US" w:eastAsia="zh-CN" w:bidi="ar-SA"/>
        </w:rPr>
        <w:t>交易平台办理网上投标登记手续；投标登记时间（含本日）</w:t>
      </w:r>
      <w:r>
        <w:rPr>
          <w:rFonts w:hint="eastAsia" w:ascii="Times New Roman" w:hAnsi="Times New Roman"/>
          <w:color w:val="auto"/>
          <w:szCs w:val="21"/>
        </w:rPr>
        <w:t>：</w:t>
      </w:r>
      <w:r>
        <w:rPr>
          <w:rFonts w:hint="eastAsia" w:ascii="宋体" w:hAnsi="宋体" w:eastAsia="宋体" w:cs="宋体"/>
          <w:color w:val="auto"/>
          <w:sz w:val="21"/>
          <w:szCs w:val="21"/>
          <w:u w:val="single"/>
          <w:lang w:val="en-US" w:eastAsia="zh-CN"/>
        </w:rPr>
        <w:t>2025</w:t>
      </w:r>
      <w:r>
        <w:rPr>
          <w:rFonts w:hint="eastAsia" w:ascii="Times New Roman" w:hAnsi="Times New Roman"/>
          <w:color w:val="auto"/>
          <w:szCs w:val="21"/>
        </w:rPr>
        <w:t>年</w:t>
      </w:r>
      <w:r>
        <w:rPr>
          <w:rFonts w:ascii="Times New Roman" w:hAnsi="Times New Roman"/>
          <w:color w:val="auto"/>
          <w:szCs w:val="21"/>
          <w:u w:val="single"/>
        </w:rPr>
        <w:t xml:space="preserve"> </w:t>
      </w:r>
      <w:r>
        <w:rPr>
          <w:rFonts w:hint="eastAsia" w:ascii="Times New Roman" w:hAnsi="Times New Roman"/>
          <w:color w:val="auto"/>
          <w:szCs w:val="21"/>
          <w:u w:val="single"/>
          <w:lang w:val="en-US" w:eastAsia="zh-CN"/>
        </w:rPr>
        <w:t xml:space="preserve"> </w:t>
      </w:r>
      <w:r>
        <w:rPr>
          <w:rFonts w:ascii="Times New Roman" w:hAnsi="Times New Roman"/>
          <w:color w:val="auto"/>
          <w:szCs w:val="21"/>
          <w:u w:val="single"/>
        </w:rPr>
        <w:t xml:space="preserve"> </w:t>
      </w:r>
      <w:r>
        <w:rPr>
          <w:rFonts w:hint="eastAsia" w:ascii="Times New Roman" w:hAnsi="Times New Roman"/>
          <w:color w:val="auto"/>
          <w:szCs w:val="21"/>
          <w:u w:val="single"/>
          <w:lang w:val="en-US" w:eastAsia="zh-CN"/>
        </w:rPr>
        <w:t xml:space="preserve"> 　</w:t>
      </w:r>
      <w:r>
        <w:rPr>
          <w:rFonts w:ascii="Times New Roman" w:hAnsi="Times New Roman"/>
          <w:color w:val="auto"/>
          <w:szCs w:val="21"/>
          <w:u w:val="single"/>
        </w:rPr>
        <w:t xml:space="preserve"> </w:t>
      </w:r>
      <w:r>
        <w:rPr>
          <w:rFonts w:hint="eastAsia" w:ascii="Times New Roman" w:hAnsi="Times New Roman"/>
          <w:color w:val="auto"/>
          <w:szCs w:val="21"/>
        </w:rPr>
        <w:t>月</w:t>
      </w:r>
      <w:r>
        <w:rPr>
          <w:rFonts w:ascii="Times New Roman" w:hAnsi="Times New Roman"/>
          <w:color w:val="auto"/>
          <w:szCs w:val="21"/>
          <w:u w:val="single"/>
        </w:rPr>
        <w:t xml:space="preserve">   </w:t>
      </w:r>
      <w:r>
        <w:rPr>
          <w:rFonts w:hint="eastAsia" w:ascii="Times New Roman" w:hAnsi="Times New Roman"/>
          <w:color w:val="auto"/>
          <w:szCs w:val="21"/>
          <w:u w:val="single"/>
          <w:lang w:val="en-US" w:eastAsia="zh-CN"/>
        </w:rPr>
        <w:t xml:space="preserve"> 　</w:t>
      </w:r>
      <w:r>
        <w:rPr>
          <w:rFonts w:ascii="Times New Roman" w:hAnsi="Times New Roman"/>
          <w:color w:val="auto"/>
          <w:szCs w:val="21"/>
          <w:u w:val="single"/>
        </w:rPr>
        <w:t xml:space="preserve"> </w:t>
      </w:r>
      <w:r>
        <w:rPr>
          <w:rFonts w:hint="eastAsia" w:ascii="Times New Roman" w:hAnsi="Times New Roman"/>
          <w:color w:val="auto"/>
          <w:szCs w:val="21"/>
        </w:rPr>
        <w:t>日</w:t>
      </w:r>
      <w:r>
        <w:rPr>
          <w:rFonts w:ascii="Times New Roman" w:hAnsi="Times New Roman"/>
          <w:color w:val="auto"/>
          <w:szCs w:val="21"/>
          <w:u w:val="single"/>
        </w:rPr>
        <w:t xml:space="preserve">      </w:t>
      </w:r>
      <w:r>
        <w:rPr>
          <w:rFonts w:hint="eastAsia" w:ascii="Times New Roman" w:hAnsi="Times New Roman"/>
          <w:color w:val="auto"/>
          <w:szCs w:val="21"/>
        </w:rPr>
        <w:t>时</w:t>
      </w:r>
      <w:r>
        <w:rPr>
          <w:rFonts w:ascii="Times New Roman" w:hAnsi="Times New Roman"/>
          <w:color w:val="auto"/>
          <w:szCs w:val="21"/>
          <w:u w:val="single"/>
        </w:rPr>
        <w:t xml:space="preserve">     </w:t>
      </w:r>
      <w:r>
        <w:rPr>
          <w:rFonts w:hint="eastAsia" w:ascii="Times New Roman" w:hAnsi="Times New Roman"/>
          <w:color w:val="auto"/>
          <w:szCs w:val="21"/>
          <w:u w:val="single"/>
          <w:lang w:eastAsia="zh-CN"/>
        </w:rPr>
        <w:t>　</w:t>
      </w:r>
      <w:r>
        <w:rPr>
          <w:rFonts w:hint="eastAsia" w:ascii="Times New Roman" w:hAnsi="Times New Roman"/>
          <w:color w:val="auto"/>
          <w:szCs w:val="21"/>
        </w:rPr>
        <w:t>分至</w:t>
      </w:r>
      <w:r>
        <w:rPr>
          <w:rFonts w:hint="eastAsia" w:ascii="宋体" w:hAnsi="宋体" w:eastAsia="宋体" w:cs="宋体"/>
          <w:color w:val="auto"/>
          <w:u w:val="single"/>
          <w:lang w:val="en-US" w:eastAsia="zh-CN"/>
        </w:rPr>
        <w:t xml:space="preserve">     </w:t>
      </w:r>
      <w:r>
        <w:rPr>
          <w:rFonts w:hint="eastAsia" w:ascii="Times New Roman" w:hAnsi="Times New Roman"/>
          <w:color w:val="auto"/>
          <w:szCs w:val="21"/>
        </w:rPr>
        <w:t>年</w:t>
      </w:r>
      <w:r>
        <w:rPr>
          <w:rFonts w:hint="eastAsia" w:ascii="Times New Roman" w:hAnsi="Times New Roman"/>
          <w:color w:val="auto"/>
          <w:szCs w:val="21"/>
          <w:u w:val="single"/>
        </w:rPr>
        <w:t xml:space="preserve">  </w:t>
      </w:r>
      <w:r>
        <w:rPr>
          <w:rFonts w:hint="eastAsia" w:ascii="Times New Roman" w:hAnsi="Times New Roman"/>
          <w:color w:val="auto"/>
          <w:szCs w:val="21"/>
          <w:u w:val="single"/>
          <w:lang w:val="en-US" w:eastAsia="zh-CN"/>
        </w:rPr>
        <w:t xml:space="preserve"> 　</w:t>
      </w:r>
      <w:r>
        <w:rPr>
          <w:rFonts w:hint="eastAsia" w:ascii="Times New Roman" w:hAnsi="Times New Roman"/>
          <w:color w:val="auto"/>
          <w:szCs w:val="21"/>
          <w:u w:val="single"/>
        </w:rPr>
        <w:t xml:space="preserve">  </w:t>
      </w:r>
      <w:r>
        <w:rPr>
          <w:rFonts w:hint="eastAsia" w:ascii="Times New Roman" w:hAnsi="Times New Roman"/>
          <w:color w:val="auto"/>
          <w:szCs w:val="21"/>
        </w:rPr>
        <w:t>月</w:t>
      </w:r>
      <w:r>
        <w:rPr>
          <w:rFonts w:ascii="Times New Roman" w:hAnsi="Times New Roman"/>
          <w:color w:val="auto"/>
          <w:szCs w:val="21"/>
          <w:u w:val="single"/>
        </w:rPr>
        <w:t xml:space="preserve">  </w:t>
      </w:r>
      <w:r>
        <w:rPr>
          <w:rFonts w:hint="eastAsia" w:ascii="Times New Roman" w:hAnsi="Times New Roman"/>
          <w:color w:val="auto"/>
          <w:szCs w:val="21"/>
          <w:u w:val="single"/>
          <w:lang w:eastAsia="zh-CN"/>
        </w:rPr>
        <w:t>　</w:t>
      </w:r>
      <w:r>
        <w:rPr>
          <w:rFonts w:ascii="Times New Roman" w:hAnsi="Times New Roman"/>
          <w:color w:val="auto"/>
          <w:szCs w:val="21"/>
          <w:u w:val="single"/>
        </w:rPr>
        <w:t xml:space="preserve">    </w:t>
      </w:r>
      <w:r>
        <w:rPr>
          <w:rFonts w:hint="eastAsia" w:ascii="Times New Roman" w:hAnsi="Times New Roman"/>
          <w:color w:val="auto"/>
          <w:szCs w:val="21"/>
        </w:rPr>
        <w:t>日</w:t>
      </w:r>
      <w:r>
        <w:rPr>
          <w:rFonts w:ascii="Times New Roman" w:hAnsi="Times New Roman"/>
          <w:color w:val="auto"/>
          <w:szCs w:val="21"/>
          <w:u w:val="single"/>
        </w:rPr>
        <w:t xml:space="preserve">     </w:t>
      </w:r>
      <w:r>
        <w:rPr>
          <w:rFonts w:hint="eastAsia" w:ascii="Times New Roman" w:hAnsi="Times New Roman"/>
          <w:color w:val="auto"/>
          <w:szCs w:val="21"/>
          <w:u w:val="single"/>
          <w:lang w:eastAsia="zh-CN"/>
        </w:rPr>
        <w:t>　</w:t>
      </w:r>
      <w:r>
        <w:rPr>
          <w:rFonts w:ascii="Times New Roman" w:hAnsi="Times New Roman"/>
          <w:color w:val="auto"/>
          <w:szCs w:val="21"/>
          <w:u w:val="single"/>
        </w:rPr>
        <w:t xml:space="preserve"> </w:t>
      </w:r>
      <w:r>
        <w:rPr>
          <w:rFonts w:hint="eastAsia" w:ascii="Times New Roman" w:hAnsi="Times New Roman"/>
          <w:color w:val="auto"/>
          <w:szCs w:val="21"/>
        </w:rPr>
        <w:t>时</w:t>
      </w:r>
      <w:r>
        <w:rPr>
          <w:rFonts w:ascii="Times New Roman" w:hAnsi="Times New Roman"/>
          <w:color w:val="auto"/>
          <w:szCs w:val="21"/>
          <w:u w:val="single"/>
        </w:rPr>
        <w:t xml:space="preserve">     </w:t>
      </w:r>
      <w:r>
        <w:rPr>
          <w:rFonts w:hint="eastAsia" w:ascii="Times New Roman" w:hAnsi="Times New Roman"/>
          <w:color w:val="auto"/>
          <w:szCs w:val="21"/>
          <w:u w:val="single"/>
          <w:lang w:eastAsia="zh-CN"/>
        </w:rPr>
        <w:t>分</w:t>
      </w:r>
      <w:r>
        <w:rPr>
          <w:rFonts w:hint="eastAsia" w:ascii="Times New Roman" w:hAnsi="Times New Roman"/>
          <w:color w:val="auto"/>
          <w:szCs w:val="21"/>
        </w:rPr>
        <w:t>。</w:t>
      </w:r>
    </w:p>
    <w:p w14:paraId="657B26A6">
      <w:pPr>
        <w:pStyle w:val="5"/>
        <w:keepNext w:val="0"/>
        <w:keepLines w:val="0"/>
        <w:pageBreakBefore w:val="0"/>
        <w:widowControl w:val="0"/>
        <w:tabs>
          <w:tab w:val="left" w:pos="3492"/>
          <w:tab w:val="left" w:pos="7063"/>
        </w:tabs>
        <w:kinsoku w:val="0"/>
        <w:wordWrap/>
        <w:overflowPunct w:val="0"/>
        <w:topLinePunct w:val="0"/>
        <w:autoSpaceDE w:val="0"/>
        <w:autoSpaceDN w:val="0"/>
        <w:bidi w:val="0"/>
        <w:adjustRightInd/>
        <w:snapToGrid/>
        <w:spacing w:beforeLines="0" w:afterLines="0" w:line="360" w:lineRule="auto"/>
        <w:ind w:left="0" w:right="113" w:firstLine="424" w:firstLineChars="202"/>
        <w:jc w:val="both"/>
        <w:textAlignment w:val="auto"/>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2"/>
          <w:sz w:val="21"/>
          <w:szCs w:val="21"/>
          <w:lang w:val="en-US" w:eastAsia="zh-CN" w:bidi="ar-SA"/>
        </w:rPr>
        <w:t>注：详见电子招标投标交易平台网站发布的最新版操作指引。</w:t>
      </w:r>
    </w:p>
    <w:p w14:paraId="4F25E0A3">
      <w:pPr>
        <w:tabs>
          <w:tab w:val="left" w:pos="360"/>
        </w:tabs>
        <w:spacing w:line="40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6.</w:t>
      </w:r>
      <w:r>
        <w:rPr>
          <w:rFonts w:hint="eastAsia" w:ascii="宋体" w:hAnsi="宋体" w:eastAsia="宋体" w:cs="宋体"/>
          <w:color w:val="auto"/>
          <w:sz w:val="21"/>
          <w:szCs w:val="21"/>
          <w:lang w:val="en-US" w:eastAsia="zh-CN"/>
        </w:rPr>
        <w:t xml:space="preserve">3 </w:t>
      </w:r>
      <w:r>
        <w:rPr>
          <w:rFonts w:hint="eastAsia" w:ascii="宋体" w:hAnsi="宋体" w:eastAsia="宋体" w:cs="宋体"/>
          <w:color w:val="auto"/>
          <w:sz w:val="21"/>
          <w:szCs w:val="21"/>
        </w:rPr>
        <w:t>开标开始时间：</w:t>
      </w:r>
      <w:r>
        <w:rPr>
          <w:rFonts w:hint="eastAsia" w:ascii="宋体" w:hAnsi="宋体" w:eastAsia="宋体" w:cs="宋体"/>
          <w:color w:val="auto"/>
          <w:sz w:val="21"/>
          <w:szCs w:val="21"/>
          <w:u w:val="single"/>
          <w:lang w:val="en-US" w:eastAsia="zh-CN"/>
        </w:rPr>
        <w:t>2025</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时</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分；地点：</w:t>
      </w:r>
      <w:r>
        <w:rPr>
          <w:rFonts w:hint="eastAsia" w:ascii="宋体" w:hAnsi="宋体" w:eastAsia="宋体" w:cs="宋体"/>
          <w:color w:val="auto"/>
          <w:sz w:val="21"/>
          <w:szCs w:val="21"/>
          <w:u w:val="single"/>
        </w:rPr>
        <w:t>广州交易集团有限公司（广州公共资源交易中心）</w:t>
      </w:r>
      <w:r>
        <w:rPr>
          <w:rFonts w:hint="eastAsia" w:ascii="宋体" w:hAnsi="宋体" w:eastAsia="宋体" w:cs="宋体"/>
          <w:color w:val="auto"/>
          <w:sz w:val="21"/>
          <w:szCs w:val="21"/>
          <w:highlight w:val="none"/>
          <w:u w:val="single"/>
          <w:lang w:val="en-US" w:eastAsia="zh-CN"/>
        </w:rPr>
        <w:t>增城交易部</w:t>
      </w:r>
      <w:r>
        <w:rPr>
          <w:rFonts w:hint="eastAsia" w:ascii="宋体" w:hAnsi="宋体" w:eastAsia="宋体" w:cs="宋体"/>
          <w:color w:val="auto"/>
          <w:sz w:val="21"/>
          <w:szCs w:val="21"/>
          <w:highlight w:val="none"/>
          <w:u w:val="single"/>
        </w:rPr>
        <w:t>开标室</w:t>
      </w:r>
      <w:r>
        <w:rPr>
          <w:rFonts w:hint="eastAsia" w:ascii="宋体" w:hAnsi="宋体" w:eastAsia="宋体" w:cs="宋体"/>
          <w:color w:val="auto"/>
          <w:sz w:val="21"/>
          <w:szCs w:val="21"/>
          <w:u w:val="single"/>
        </w:rPr>
        <w:t>（增城区荔城街增城大道2号金河湾3栋108，具体详见本项目公告的日程安排）。投标人也可选择参加在线开标，具体按照交易平台相关指南进行操作。</w:t>
      </w:r>
    </w:p>
    <w:p w14:paraId="64C81BDA">
      <w:pPr>
        <w:tabs>
          <w:tab w:val="left" w:pos="360"/>
        </w:tabs>
        <w:spacing w:line="40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6.</w:t>
      </w:r>
      <w:r>
        <w:rPr>
          <w:rFonts w:hint="eastAsia" w:ascii="宋体" w:hAnsi="宋体" w:eastAsia="宋体" w:cs="宋体"/>
          <w:color w:val="auto"/>
          <w:sz w:val="21"/>
          <w:szCs w:val="21"/>
          <w:lang w:val="en-US" w:eastAsia="zh-CN"/>
        </w:rPr>
        <w:t xml:space="preserve">4 </w:t>
      </w:r>
      <w:r>
        <w:rPr>
          <w:rFonts w:hint="eastAsia" w:ascii="宋体" w:hAnsi="宋体" w:eastAsia="宋体" w:cs="宋体"/>
          <w:color w:val="auto"/>
          <w:sz w:val="21"/>
          <w:szCs w:val="21"/>
        </w:rPr>
        <w:t>投标文件光盘（备用）递交时间：</w:t>
      </w:r>
      <w:r>
        <w:rPr>
          <w:rFonts w:hint="eastAsia" w:ascii="宋体" w:hAnsi="宋体" w:eastAsia="宋体" w:cs="宋体"/>
          <w:color w:val="auto"/>
          <w:sz w:val="21"/>
          <w:szCs w:val="21"/>
          <w:u w:val="single"/>
          <w:lang w:val="en-US" w:eastAsia="zh-CN"/>
        </w:rPr>
        <w:t>2025</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时</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分至</w:t>
      </w:r>
      <w:r>
        <w:rPr>
          <w:rFonts w:hint="eastAsia" w:ascii="宋体" w:hAnsi="宋体" w:eastAsia="宋体" w:cs="宋体"/>
          <w:color w:val="auto"/>
          <w:sz w:val="21"/>
          <w:szCs w:val="21"/>
          <w:u w:val="single"/>
          <w:lang w:val="en-US" w:eastAsia="zh-CN"/>
        </w:rPr>
        <w:t>2025</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时</w:t>
      </w:r>
    </w:p>
    <w:p w14:paraId="54CB4C87">
      <w:pPr>
        <w:tabs>
          <w:tab w:val="left" w:pos="360"/>
        </w:tabs>
        <w:spacing w:line="400" w:lineRule="exact"/>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分；地点：</w:t>
      </w:r>
      <w:r>
        <w:rPr>
          <w:rFonts w:hint="eastAsia" w:ascii="宋体" w:hAnsi="宋体" w:eastAsia="宋体" w:cs="宋体"/>
          <w:color w:val="auto"/>
          <w:sz w:val="21"/>
          <w:szCs w:val="21"/>
          <w:u w:val="single"/>
        </w:rPr>
        <w:t>广州交易集团有限公司（广州公共资源交易中心）增城交易部分开标</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rPr>
        <w:t>室（增城区荔城街增城大道2号金河湾3栋108，具体详见本项目公告的日程安排）</w:t>
      </w:r>
      <w:r>
        <w:rPr>
          <w:rFonts w:hint="eastAsia" w:ascii="宋体" w:hAnsi="宋体" w:eastAsia="宋体" w:cs="宋体"/>
          <w:color w:val="auto"/>
          <w:sz w:val="21"/>
          <w:szCs w:val="21"/>
        </w:rPr>
        <w:t>。（投标人自行决定是否递交备用电子光盘，若提交电子光盘需则按规定封装</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投标人将数据刻录到光盘之后，投标前自行检查文件是否可以读取）。</w:t>
      </w:r>
      <w:r>
        <w:rPr>
          <w:rFonts w:hint="eastAsia" w:ascii="宋体" w:hAnsi="宋体" w:eastAsia="宋体" w:cs="宋体"/>
          <w:color w:val="auto"/>
          <w:sz w:val="21"/>
          <w:szCs w:val="21"/>
          <w:lang w:eastAsia="zh-CN"/>
        </w:rPr>
        <w:t>逾期送达的投标文件光盘（备用），招标人将予以拒收。</w:t>
      </w:r>
    </w:p>
    <w:p w14:paraId="628262DF">
      <w:pPr>
        <w:tabs>
          <w:tab w:val="left" w:pos="360"/>
        </w:tabs>
        <w:spacing w:line="400" w:lineRule="exact"/>
        <w:ind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6.5 投标人需同时递交定标文件纸质版和电子版（U 盘），递交时间：</w:t>
      </w:r>
      <w:r>
        <w:rPr>
          <w:rFonts w:hint="eastAsia" w:ascii="宋体" w:hAnsi="宋体" w:eastAsia="宋体" w:cs="宋体"/>
          <w:color w:val="auto"/>
          <w:sz w:val="21"/>
          <w:szCs w:val="21"/>
          <w:u w:val="single"/>
          <w:lang w:val="en-US" w:eastAsia="zh-CN"/>
        </w:rPr>
        <w:t xml:space="preserve">2025年  月   日   时   </w:t>
      </w:r>
      <w:r>
        <w:rPr>
          <w:rFonts w:hint="eastAsia" w:ascii="宋体" w:hAnsi="宋体" w:eastAsia="宋体" w:cs="宋体"/>
          <w:color w:val="auto"/>
          <w:sz w:val="21"/>
          <w:szCs w:val="21"/>
          <w:lang w:val="en-US" w:eastAsia="zh-CN"/>
        </w:rPr>
        <w:t>分至</w:t>
      </w:r>
      <w:r>
        <w:rPr>
          <w:rFonts w:hint="eastAsia" w:ascii="宋体" w:hAnsi="宋体" w:eastAsia="宋体" w:cs="宋体"/>
          <w:color w:val="auto"/>
          <w:sz w:val="21"/>
          <w:szCs w:val="21"/>
          <w:u w:val="single"/>
          <w:lang w:val="en-US" w:eastAsia="zh-CN"/>
        </w:rPr>
        <w:t>2025年  月  日  时  分</w:t>
      </w:r>
      <w:r>
        <w:rPr>
          <w:rFonts w:hint="eastAsia" w:ascii="宋体" w:hAnsi="宋体" w:eastAsia="宋体" w:cs="宋体"/>
          <w:color w:val="auto"/>
          <w:sz w:val="21"/>
          <w:szCs w:val="21"/>
          <w:lang w:val="en-US" w:eastAsia="zh-CN"/>
        </w:rPr>
        <w:t xml:space="preserve">；地点：广州交易集团有限公司（广州公共资源交易中心）增城交易部开标室。（定标文件纸质版和电子版需按规定封装，投标前自行检查文件是否可以读取。） </w:t>
      </w:r>
    </w:p>
    <w:p w14:paraId="78BEA817">
      <w:pPr>
        <w:tabs>
          <w:tab w:val="left" w:pos="360"/>
        </w:tabs>
        <w:spacing w:line="40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6.6 </w:t>
      </w:r>
      <w:r>
        <w:rPr>
          <w:rFonts w:hint="eastAsia" w:ascii="宋体" w:hAnsi="宋体" w:eastAsia="宋体" w:cs="宋体"/>
          <w:color w:val="auto"/>
          <w:sz w:val="21"/>
          <w:szCs w:val="21"/>
        </w:rPr>
        <w:t>投标时</w:t>
      </w:r>
      <w:r>
        <w:rPr>
          <w:rFonts w:hint="eastAsia" w:ascii="宋体" w:hAnsi="宋体" w:eastAsia="宋体" w:cs="宋体"/>
          <w:color w:val="auto"/>
          <w:sz w:val="21"/>
          <w:lang w:val="en-US" w:eastAsia="zh-CN" w:bidi="ar-SA"/>
        </w:rPr>
        <w:t>（</w:t>
      </w:r>
      <w:r>
        <w:rPr>
          <w:rFonts w:hint="eastAsia"/>
          <w:color w:val="auto"/>
          <w:sz w:val="21"/>
          <w:szCs w:val="21"/>
          <w:u w:val="none"/>
        </w:rPr>
        <w:sym w:font="Wingdings 2" w:char="00A3"/>
      </w:r>
      <w:r>
        <w:rPr>
          <w:rFonts w:hint="eastAsia" w:ascii="宋体" w:hAnsi="宋体" w:eastAsia="宋体" w:cs="宋体"/>
          <w:color w:val="auto"/>
          <w:sz w:val="21"/>
          <w:lang w:val="en-US" w:eastAsia="zh-CN" w:bidi="ar-SA"/>
        </w:rPr>
        <w:t>需要 /</w:t>
      </w:r>
      <w:r>
        <w:rPr>
          <w:rFonts w:hint="eastAsia"/>
          <w:color w:val="auto"/>
          <w:sz w:val="21"/>
          <w:szCs w:val="21"/>
          <w:u w:val="none"/>
          <w:lang w:eastAsia="zh-CN"/>
        </w:rPr>
        <w:t>☑</w:t>
      </w:r>
      <w:r>
        <w:rPr>
          <w:rFonts w:hint="eastAsia" w:ascii="宋体" w:hAnsi="宋体" w:eastAsia="宋体" w:cs="宋体"/>
          <w:color w:val="auto"/>
          <w:sz w:val="21"/>
          <w:lang w:val="en-US" w:eastAsia="zh-CN" w:bidi="ar-SA"/>
        </w:rPr>
        <w:t>不需要）</w:t>
      </w:r>
      <w:r>
        <w:rPr>
          <w:rFonts w:hint="eastAsia" w:ascii="宋体" w:hAnsi="宋体" w:eastAsia="宋体" w:cs="宋体"/>
          <w:color w:val="auto"/>
          <w:sz w:val="21"/>
          <w:szCs w:val="21"/>
        </w:rPr>
        <w:t>提交设计模型：</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14:paraId="7ED2AEA3">
      <w:pPr>
        <w:tabs>
          <w:tab w:val="left" w:pos="360"/>
        </w:tabs>
        <w:spacing w:line="40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6.</w:t>
      </w:r>
      <w:r>
        <w:rPr>
          <w:rFonts w:hint="eastAsia" w:ascii="宋体" w:hAnsi="宋体" w:eastAsia="宋体" w:cs="宋体"/>
          <w:color w:val="auto"/>
          <w:sz w:val="21"/>
          <w:szCs w:val="21"/>
          <w:lang w:val="en-US" w:eastAsia="zh-CN"/>
        </w:rPr>
        <w:t xml:space="preserve">7 </w:t>
      </w:r>
      <w:r>
        <w:rPr>
          <w:rFonts w:hint="eastAsia" w:ascii="宋体" w:hAnsi="宋体" w:eastAsia="宋体" w:cs="宋体"/>
          <w:color w:val="auto"/>
          <w:sz w:val="21"/>
          <w:szCs w:val="21"/>
        </w:rPr>
        <w:t>投标文件解密时间为：</w:t>
      </w:r>
      <w:r>
        <w:rPr>
          <w:rFonts w:hint="eastAsia" w:ascii="宋体" w:hAnsi="宋体" w:eastAsia="宋体" w:cs="宋体"/>
          <w:color w:val="auto"/>
          <w:sz w:val="21"/>
          <w:szCs w:val="21"/>
          <w:u w:val="single"/>
          <w:lang w:val="en-US" w:eastAsia="zh-CN"/>
        </w:rPr>
        <w:t>2025</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时</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分至</w:t>
      </w:r>
      <w:r>
        <w:rPr>
          <w:rFonts w:hint="eastAsia" w:ascii="宋体" w:hAnsi="宋体" w:eastAsia="宋体" w:cs="宋体"/>
          <w:color w:val="auto"/>
          <w:sz w:val="21"/>
          <w:szCs w:val="21"/>
          <w:u w:val="single"/>
          <w:lang w:val="en-US" w:eastAsia="zh-CN"/>
        </w:rPr>
        <w:t>2025</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时</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分，投标人应在截止时间前通过</w:t>
      </w:r>
      <w:r>
        <w:rPr>
          <w:rFonts w:hint="eastAsia" w:ascii="宋体" w:hAnsi="宋体" w:eastAsia="宋体" w:cs="宋体"/>
          <w:color w:val="auto"/>
          <w:sz w:val="21"/>
          <w:szCs w:val="21"/>
          <w:u w:val="single"/>
          <w:lang w:val="en-US" w:eastAsia="zh-CN"/>
        </w:rPr>
        <w:t>广州交易集团有限公司（广州公共资源交易中心）数字交易平台（网址：http://www.gzggzy.cn）</w:t>
      </w:r>
      <w:r>
        <w:rPr>
          <w:rFonts w:hint="eastAsia" w:ascii="宋体" w:hAnsi="宋体" w:eastAsia="宋体" w:cs="宋体"/>
          <w:color w:val="auto"/>
          <w:sz w:val="21"/>
          <w:szCs w:val="21"/>
        </w:rPr>
        <w:t>对电子投标文件进行投标文件解密。</w:t>
      </w:r>
    </w:p>
    <w:p w14:paraId="174EBA8C">
      <w:pPr>
        <w:spacing w:line="40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6.</w:t>
      </w:r>
      <w:r>
        <w:rPr>
          <w:rFonts w:hint="eastAsia" w:ascii="宋体" w:hAnsi="宋体" w:eastAsia="宋体" w:cs="宋体"/>
          <w:color w:val="auto"/>
          <w:sz w:val="21"/>
          <w:szCs w:val="21"/>
          <w:lang w:val="en-US" w:eastAsia="zh-CN"/>
        </w:rPr>
        <w:t xml:space="preserve">8 </w:t>
      </w:r>
      <w:r>
        <w:rPr>
          <w:rFonts w:hint="eastAsia" w:ascii="宋体" w:hAnsi="宋体" w:eastAsia="宋体" w:cs="宋体"/>
          <w:color w:val="auto"/>
          <w:sz w:val="21"/>
          <w:szCs w:val="21"/>
        </w:rPr>
        <w:t>逾期送达的投标文件，电子招标投标交易平台将予以拒收。</w:t>
      </w:r>
    </w:p>
    <w:p w14:paraId="4424D9C0">
      <w:pPr>
        <w:spacing w:line="40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6.</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 xml:space="preserve"> 递交投标文件截止时间及开标时间是否有变化，请密切留意</w:t>
      </w:r>
      <w:r>
        <w:rPr>
          <w:rFonts w:hint="eastAsia" w:ascii="宋体" w:hAnsi="宋体" w:eastAsia="宋体" w:cs="宋体"/>
          <w:color w:val="auto"/>
          <w:sz w:val="21"/>
          <w:szCs w:val="21"/>
          <w:u w:val="single"/>
          <w:lang w:val="en-US" w:eastAsia="zh-CN"/>
        </w:rPr>
        <w:t>广州交易集团有限公司（广州公共资源交易中心）网站</w:t>
      </w:r>
      <w:r>
        <w:rPr>
          <w:rFonts w:hint="eastAsia" w:ascii="宋体" w:hAnsi="宋体" w:eastAsia="宋体" w:cs="宋体"/>
          <w:color w:val="auto"/>
          <w:sz w:val="21"/>
          <w:szCs w:val="21"/>
        </w:rPr>
        <w:t>中的相关信息。递交投标文件截止时间后，投标文件评审时间因故推迟的，相关资审信息仍以原递交投标文件截止时间的信息为准。</w:t>
      </w:r>
    </w:p>
    <w:p w14:paraId="5F95FB68">
      <w:pPr>
        <w:pStyle w:val="3"/>
        <w:rPr>
          <w:rFonts w:hint="eastAsia"/>
          <w:color w:val="auto"/>
        </w:rPr>
      </w:pPr>
      <w:bookmarkStart w:id="52" w:name="bookmark8"/>
      <w:bookmarkEnd w:id="52"/>
      <w:bookmarkStart w:id="53" w:name="_Toc2931"/>
      <w:bookmarkStart w:id="54" w:name="_Toc15032"/>
      <w:bookmarkStart w:id="55" w:name="_Toc30636"/>
      <w:bookmarkStart w:id="56" w:name="_Toc1566"/>
      <w:bookmarkStart w:id="57" w:name="_Toc27805"/>
      <w:bookmarkStart w:id="58" w:name="_Toc25685"/>
      <w:r>
        <w:rPr>
          <w:rFonts w:hint="eastAsia"/>
          <w:color w:val="auto"/>
        </w:rPr>
        <w:t>7.发布公告的媒介</w:t>
      </w:r>
      <w:bookmarkEnd w:id="53"/>
      <w:bookmarkEnd w:id="54"/>
      <w:bookmarkEnd w:id="55"/>
      <w:bookmarkEnd w:id="56"/>
      <w:bookmarkEnd w:id="57"/>
      <w:bookmarkEnd w:id="58"/>
    </w:p>
    <w:p w14:paraId="60503110">
      <w:pPr>
        <w:keepNext w:val="0"/>
        <w:keepLines w:val="0"/>
        <w:pageBreakBefore w:val="0"/>
        <w:widowControl w:val="0"/>
        <w:kinsoku/>
        <w:wordWrap w:val="0"/>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本次招标公告同时在</w:t>
      </w:r>
      <w:r>
        <w:rPr>
          <w:rFonts w:hint="eastAsia" w:ascii="宋体" w:hAnsi="宋体" w:eastAsia="宋体" w:cs="宋体"/>
          <w:b w:val="0"/>
          <w:bCs w:val="0"/>
          <w:color w:val="auto"/>
          <w:sz w:val="21"/>
          <w:szCs w:val="21"/>
          <w:u w:val="single"/>
          <w:lang w:val="en-US" w:eastAsia="zh-CN" w:bidi="ar-SA"/>
        </w:rPr>
        <w:t>广州交易集团有限公司（广州公共资源交易中心）官网（网址：http://www.gzggzy.cn</w:t>
      </w:r>
      <w:r>
        <w:rPr>
          <w:rFonts w:hint="eastAsia" w:ascii="宋体" w:hAnsi="宋体" w:eastAsia="宋体" w:cs="宋体"/>
          <w:b w:val="0"/>
          <w:bCs w:val="0"/>
          <w:color w:val="auto"/>
          <w:sz w:val="21"/>
          <w:szCs w:val="21"/>
          <w:u w:val="none"/>
          <w:lang w:val="en-US" w:eastAsia="zh-CN" w:bidi="ar-SA"/>
        </w:rPr>
        <w:t>）、</w:t>
      </w:r>
      <w:r>
        <w:rPr>
          <w:rFonts w:hint="eastAsia" w:ascii="宋体" w:hAnsi="宋体" w:eastAsia="宋体" w:cs="宋体"/>
          <w:b w:val="0"/>
          <w:bCs w:val="0"/>
          <w:color w:val="auto"/>
          <w:sz w:val="21"/>
          <w:szCs w:val="21"/>
          <w:u w:val="single"/>
          <w:lang w:val="en-US" w:eastAsia="zh-CN" w:bidi="ar-SA"/>
        </w:rPr>
        <w:t>广东省招标投标监管网（网址：http://zbtb.gd.gov.cn/login）</w:t>
      </w:r>
      <w:r>
        <w:rPr>
          <w:rFonts w:hint="eastAsia" w:ascii="宋体" w:hAnsi="宋体" w:eastAsia="宋体" w:cs="宋体"/>
          <w:b w:val="0"/>
          <w:bCs w:val="0"/>
          <w:color w:val="auto"/>
          <w:sz w:val="21"/>
          <w:szCs w:val="21"/>
          <w:lang w:val="en-US" w:eastAsia="zh-CN" w:bidi="ar-SA"/>
        </w:rPr>
        <w:t>、中国招标投标公共服务平台（网址：http://www.cebpubservice.com/）</w:t>
      </w:r>
      <w:r>
        <w:rPr>
          <w:rFonts w:hint="eastAsia" w:ascii="宋体" w:hAnsi="宋体" w:cs="宋体"/>
          <w:b w:val="0"/>
          <w:bCs w:val="0"/>
          <w:color w:val="auto"/>
          <w:sz w:val="21"/>
          <w:szCs w:val="21"/>
          <w:lang w:val="en-US" w:eastAsia="zh-CN" w:bidi="ar-SA"/>
        </w:rPr>
        <w:t>、广州市增城区人民政府门户网站的“首页&gt;公开&gt;公共资源配置领域&gt;工程建设项目招投标”栏目（网址：http://www.zc.gov.cn/gk/ggzypzly/gcjsxmztb/index_7.html）</w:t>
      </w:r>
      <w:r>
        <w:rPr>
          <w:rFonts w:hint="eastAsia" w:ascii="宋体" w:hAnsi="宋体" w:eastAsia="宋体" w:cs="宋体"/>
          <w:b w:val="0"/>
          <w:bCs w:val="0"/>
          <w:color w:val="auto"/>
          <w:sz w:val="21"/>
          <w:szCs w:val="21"/>
          <w:lang w:val="en-US" w:eastAsia="zh-CN" w:bidi="ar-SA"/>
        </w:rPr>
        <w:t>上发布。</w:t>
      </w:r>
      <w:bookmarkStart w:id="59" w:name="_Toc25499"/>
      <w:bookmarkStart w:id="60" w:name="_Toc60344359"/>
      <w:bookmarkStart w:id="61" w:name="_Toc4036"/>
      <w:bookmarkStart w:id="62" w:name="_Toc11452"/>
      <w:bookmarkStart w:id="63" w:name="_Toc7928"/>
      <w:r>
        <w:rPr>
          <w:rFonts w:hint="eastAsia" w:ascii="宋体" w:hAnsi="宋体" w:eastAsia="宋体" w:cs="宋体"/>
          <w:b w:val="0"/>
          <w:bCs w:val="0"/>
          <w:color w:val="auto"/>
          <w:sz w:val="21"/>
          <w:szCs w:val="21"/>
          <w:lang w:val="en-US" w:eastAsia="zh-CN" w:bidi="ar-SA"/>
        </w:rPr>
        <w:t>本公告的修改、补充，在</w:t>
      </w:r>
      <w:r>
        <w:rPr>
          <w:rFonts w:hint="eastAsia" w:ascii="宋体" w:hAnsi="宋体" w:eastAsia="宋体" w:cs="宋体"/>
          <w:b w:val="0"/>
          <w:bCs w:val="0"/>
          <w:color w:val="auto"/>
          <w:sz w:val="21"/>
          <w:szCs w:val="21"/>
          <w:u w:val="single"/>
          <w:lang w:val="en-US" w:eastAsia="zh-CN" w:bidi="ar-SA"/>
        </w:rPr>
        <w:t>广州交易集团有限公司（广州公共资源交易中心）官网</w:t>
      </w:r>
      <w:r>
        <w:rPr>
          <w:rFonts w:hint="eastAsia" w:ascii="宋体" w:hAnsi="宋体" w:eastAsia="宋体" w:cs="宋体"/>
          <w:b w:val="0"/>
          <w:bCs w:val="0"/>
          <w:color w:val="auto"/>
          <w:sz w:val="21"/>
          <w:szCs w:val="21"/>
          <w:lang w:val="en-US" w:eastAsia="zh-CN" w:bidi="ar-SA"/>
        </w:rPr>
        <w:t>、广东省招标投标监管网和中国招标投标公共服务平台发布。招标公告、公示信息的发布时间和内容，以在广东省招标投标监管网(网址: http://zbtb.gd.gov.cn/) 发布的为准。本项目相关附件具体详见</w:t>
      </w:r>
      <w:r>
        <w:rPr>
          <w:rFonts w:hint="eastAsia" w:ascii="宋体" w:hAnsi="宋体" w:eastAsia="宋体" w:cs="宋体"/>
          <w:b w:val="0"/>
          <w:bCs w:val="0"/>
          <w:color w:val="auto"/>
          <w:sz w:val="21"/>
          <w:szCs w:val="21"/>
          <w:u w:val="single"/>
          <w:lang w:val="en-US" w:eastAsia="zh-CN" w:bidi="ar-SA"/>
        </w:rPr>
        <w:t>广州交易集团有限公司（广州公共资源交易中心）官网（网址：http://www.gzggzy.cn）</w:t>
      </w:r>
      <w:r>
        <w:rPr>
          <w:rFonts w:hint="eastAsia" w:ascii="宋体" w:hAnsi="宋体" w:eastAsia="宋体" w:cs="宋体"/>
          <w:b w:val="0"/>
          <w:bCs w:val="0"/>
          <w:color w:val="auto"/>
          <w:sz w:val="21"/>
          <w:szCs w:val="21"/>
          <w:lang w:val="en-US" w:eastAsia="zh-CN" w:bidi="ar-SA"/>
        </w:rPr>
        <w:t>。</w:t>
      </w:r>
    </w:p>
    <w:p w14:paraId="13DA850B">
      <w:pPr>
        <w:pStyle w:val="3"/>
        <w:rPr>
          <w:rFonts w:hint="eastAsia"/>
          <w:color w:val="auto"/>
          <w:lang w:eastAsia="zh-CN"/>
        </w:rPr>
      </w:pPr>
      <w:bookmarkStart w:id="64" w:name="_Toc6143"/>
      <w:bookmarkStart w:id="65" w:name="_Toc7778"/>
      <w:r>
        <w:rPr>
          <w:rFonts w:hint="eastAsia"/>
          <w:color w:val="auto"/>
        </w:rPr>
        <w:t>8.</w:t>
      </w:r>
      <w:r>
        <w:rPr>
          <w:rFonts w:hint="eastAsia"/>
          <w:color w:val="auto"/>
          <w:lang w:eastAsia="zh-CN"/>
        </w:rPr>
        <w:t>资格审查方式</w:t>
      </w:r>
      <w:bookmarkEnd w:id="64"/>
    </w:p>
    <w:p w14:paraId="7BB8A069">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8.1 本工程采用资格后审方式，由评标委员会负责资格审查。</w:t>
      </w:r>
    </w:p>
    <w:p w14:paraId="7EF07174">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default" w:ascii="宋体" w:hAnsi="宋体" w:eastAsia="宋体" w:cs="宋体"/>
          <w:b w:val="0"/>
          <w:bCs w:val="0"/>
          <w:color w:val="auto"/>
          <w:w w:val="100"/>
          <w:sz w:val="21"/>
          <w:szCs w:val="21"/>
          <w:highlight w:val="none"/>
          <w:lang w:val="en-US" w:eastAsia="zh-CN"/>
        </w:rPr>
      </w:pPr>
      <w:r>
        <w:rPr>
          <w:rFonts w:hint="eastAsia" w:ascii="宋体" w:hAnsi="宋体" w:eastAsia="宋体" w:cs="宋体"/>
          <w:color w:val="auto"/>
          <w:sz w:val="21"/>
          <w:szCs w:val="21"/>
          <w:lang w:val="en-US" w:eastAsia="zh-CN"/>
        </w:rPr>
        <w:t>8.2 资格审查结果将在</w:t>
      </w:r>
      <w:r>
        <w:rPr>
          <w:rFonts w:hint="eastAsia" w:ascii="宋体" w:hAnsi="宋体" w:eastAsia="宋体" w:cs="宋体"/>
          <w:color w:val="auto"/>
          <w:sz w:val="21"/>
          <w:szCs w:val="21"/>
          <w:u w:val="single"/>
          <w:lang w:val="en-US" w:eastAsia="zh-CN"/>
        </w:rPr>
        <w:t>广州交易集团有限公司（广州公共资源交易中心）官网</w:t>
      </w:r>
      <w:r>
        <w:rPr>
          <w:rFonts w:hint="eastAsia" w:ascii="宋体" w:hAnsi="宋体" w:eastAsia="宋体" w:cs="宋体"/>
          <w:color w:val="auto"/>
          <w:sz w:val="21"/>
          <w:szCs w:val="21"/>
          <w:lang w:val="en-US" w:eastAsia="zh-CN"/>
        </w:rPr>
        <w:t>和广东省招标投标监管网公示，公示时间不得少于3日，最后一天应为工作日。</w:t>
      </w:r>
    </w:p>
    <w:p w14:paraId="2308F82C">
      <w:pPr>
        <w:pStyle w:val="3"/>
        <w:rPr>
          <w:rFonts w:hint="eastAsia"/>
          <w:color w:val="auto"/>
          <w:lang w:eastAsia="zh-CN"/>
        </w:rPr>
      </w:pPr>
      <w:bookmarkStart w:id="66" w:name="_Toc31661"/>
      <w:r>
        <w:rPr>
          <w:rFonts w:hint="eastAsia"/>
          <w:color w:val="auto"/>
          <w:lang w:val="en-US" w:eastAsia="zh-CN"/>
        </w:rPr>
        <w:t>9</w:t>
      </w:r>
      <w:r>
        <w:rPr>
          <w:rFonts w:hint="eastAsia"/>
          <w:color w:val="auto"/>
        </w:rPr>
        <w:t>.</w:t>
      </w:r>
      <w:r>
        <w:rPr>
          <w:rFonts w:hint="eastAsia"/>
          <w:color w:val="auto"/>
          <w:lang w:eastAsia="zh-CN"/>
        </w:rPr>
        <w:t>疑问、异议、投诉处理</w:t>
      </w:r>
      <w:bookmarkEnd w:id="66"/>
    </w:p>
    <w:p w14:paraId="082C6C64">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9.1 </w:t>
      </w:r>
      <w:r>
        <w:rPr>
          <w:rFonts w:hint="default" w:ascii="宋体" w:hAnsi="宋体" w:eastAsia="宋体" w:cs="宋体"/>
          <w:color w:val="auto"/>
          <w:w w:val="100"/>
          <w:sz w:val="21"/>
          <w:szCs w:val="21"/>
          <w:highlight w:val="none"/>
          <w:lang w:val="en-US" w:eastAsia="zh-CN"/>
        </w:rPr>
        <w:t>关于疑问、异议、投诉的基本概念和处理程序详见《中华人民共和国招标投标法》、《中华人民共和国招标投标法实施条例》、《工程建设项目招标投标活动投诉处理办法》</w:t>
      </w:r>
      <w:r>
        <w:rPr>
          <w:rFonts w:hint="eastAsia" w:ascii="宋体" w:hAnsi="宋体" w:eastAsia="宋体" w:cs="宋体"/>
          <w:color w:val="auto"/>
          <w:sz w:val="21"/>
          <w:szCs w:val="21"/>
        </w:rPr>
        <w:t>。</w:t>
      </w:r>
    </w:p>
    <w:p w14:paraId="096863D4">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9.2 </w:t>
      </w:r>
      <w:r>
        <w:rPr>
          <w:rFonts w:hint="default" w:ascii="宋体" w:hAnsi="宋体" w:eastAsia="宋体" w:cs="宋体"/>
          <w:color w:val="auto"/>
          <w:w w:val="100"/>
          <w:sz w:val="21"/>
          <w:szCs w:val="21"/>
          <w:highlight w:val="none"/>
          <w:lang w:val="en-US" w:eastAsia="zh-CN"/>
        </w:rPr>
        <w:t>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r>
        <w:rPr>
          <w:rFonts w:hint="eastAsia" w:ascii="宋体" w:hAnsi="宋体" w:eastAsia="宋体" w:cs="宋体"/>
          <w:color w:val="auto"/>
          <w:sz w:val="21"/>
          <w:szCs w:val="21"/>
        </w:rPr>
        <w:t>。</w:t>
      </w:r>
    </w:p>
    <w:p w14:paraId="4E1D52CE">
      <w:pPr>
        <w:keepNext w:val="0"/>
        <w:keepLines w:val="0"/>
        <w:pageBreakBefore w:val="0"/>
        <w:widowControl w:val="0"/>
        <w:kinsoku/>
        <w:wordWrap/>
        <w:overflowPunct/>
        <w:topLinePunct w:val="0"/>
        <w:autoSpaceDE w:val="0"/>
        <w:autoSpaceDN w:val="0"/>
        <w:bidi w:val="0"/>
        <w:adjustRightInd/>
        <w:snapToGrid/>
        <w:spacing w:line="360" w:lineRule="auto"/>
        <w:ind w:firstLine="281" w:firstLineChars="134"/>
        <w:jc w:val="both"/>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 xml:space="preserve">9.3 </w:t>
      </w:r>
      <w:r>
        <w:rPr>
          <w:rFonts w:hint="eastAsia" w:ascii="宋体" w:hAnsi="宋体" w:eastAsia="宋体" w:cs="宋体"/>
          <w:b w:val="0"/>
          <w:bCs w:val="0"/>
          <w:color w:val="auto"/>
          <w:sz w:val="21"/>
          <w:szCs w:val="21"/>
        </w:rPr>
        <w:t>潜在投标人或利害关系人对本招标公告</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招标文件有异议的</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应当在招标投标相关法律法规规定的时间内</w:t>
      </w:r>
      <w:r>
        <w:rPr>
          <w:rFonts w:hint="eastAsia" w:ascii="宋体" w:hAnsi="宋体" w:eastAsia="宋体" w:cs="宋体"/>
          <w:b w:val="0"/>
          <w:bCs w:val="0"/>
          <w:color w:val="auto"/>
          <w:sz w:val="21"/>
          <w:szCs w:val="21"/>
          <w:lang w:eastAsia="zh-CN"/>
        </w:rPr>
        <w:t>（投标截止时间</w:t>
      </w:r>
      <w:r>
        <w:rPr>
          <w:rFonts w:hint="eastAsia" w:ascii="宋体" w:hAnsi="宋体" w:eastAsia="宋体" w:cs="宋体"/>
          <w:b w:val="0"/>
          <w:bCs w:val="0"/>
          <w:color w:val="auto"/>
          <w:sz w:val="21"/>
          <w:szCs w:val="21"/>
          <w:u w:val="single"/>
          <w:lang w:val="en-US" w:eastAsia="zh-CN"/>
        </w:rPr>
        <w:t xml:space="preserve"> 10 </w:t>
      </w:r>
      <w:r>
        <w:rPr>
          <w:rFonts w:hint="eastAsia" w:ascii="宋体" w:hAnsi="宋体" w:eastAsia="宋体" w:cs="宋体"/>
          <w:b w:val="0"/>
          <w:bCs w:val="0"/>
          <w:color w:val="auto"/>
          <w:sz w:val="21"/>
          <w:szCs w:val="21"/>
          <w:u w:val="none"/>
          <w:lang w:val="en-US" w:eastAsia="zh-CN"/>
        </w:rPr>
        <w:t>日前）</w:t>
      </w:r>
      <w:r>
        <w:rPr>
          <w:rFonts w:hint="eastAsia" w:ascii="宋体" w:hAnsi="宋体" w:eastAsia="宋体" w:cs="宋体"/>
          <w:b w:val="0"/>
          <w:bCs w:val="0"/>
          <w:color w:val="auto"/>
          <w:sz w:val="21"/>
          <w:szCs w:val="21"/>
        </w:rPr>
        <w:t>通过电子交易系统</w:t>
      </w:r>
      <w:r>
        <w:rPr>
          <w:rFonts w:hint="eastAsia" w:ascii="宋体" w:hAnsi="宋体" w:eastAsia="宋体" w:cs="宋体"/>
          <w:b w:val="0"/>
          <w:bCs w:val="0"/>
          <w:color w:val="auto"/>
          <w:sz w:val="21"/>
          <w:szCs w:val="21"/>
          <w:u w:val="none"/>
          <w:lang w:val="en-US" w:eastAsia="zh-CN"/>
        </w:rPr>
        <w:t>向招标人</w:t>
      </w:r>
      <w:r>
        <w:rPr>
          <w:rFonts w:hint="eastAsia" w:ascii="宋体" w:hAnsi="宋体" w:eastAsia="宋体" w:cs="宋体"/>
          <w:b w:val="0"/>
          <w:bCs w:val="0"/>
          <w:color w:val="auto"/>
          <w:sz w:val="21"/>
          <w:szCs w:val="21"/>
        </w:rPr>
        <w:t>提出，具体按照</w:t>
      </w:r>
      <w:r>
        <w:rPr>
          <w:rFonts w:hint="eastAsia" w:ascii="宋体" w:hAnsi="宋体" w:eastAsia="宋体" w:cs="宋体"/>
          <w:b w:val="0"/>
          <w:bCs w:val="0"/>
          <w:color w:val="auto"/>
          <w:sz w:val="21"/>
          <w:szCs w:val="21"/>
          <w:u w:val="single"/>
          <w:lang w:val="en-US" w:eastAsia="zh-CN"/>
        </w:rPr>
        <w:t xml:space="preserve"> 广州交易集团有限公司（广州公共资源交易中心）官网</w:t>
      </w:r>
      <w:r>
        <w:rPr>
          <w:rFonts w:hint="eastAsia" w:ascii="宋体" w:hAnsi="宋体" w:eastAsia="宋体" w:cs="宋体"/>
          <w:b w:val="0"/>
          <w:bCs w:val="0"/>
          <w:color w:val="auto"/>
          <w:sz w:val="21"/>
          <w:szCs w:val="21"/>
        </w:rPr>
        <w:t>相关指南进行操作；尚未登记注册的，可</w:t>
      </w:r>
      <w:r>
        <w:rPr>
          <w:rFonts w:hint="eastAsia" w:ascii="宋体" w:hAnsi="宋体" w:eastAsia="宋体" w:cs="宋体"/>
          <w:b w:val="0"/>
          <w:bCs w:val="0"/>
          <w:color w:val="auto"/>
          <w:sz w:val="21"/>
          <w:szCs w:val="21"/>
          <w:u w:val="single"/>
          <w:lang w:val="en-US" w:eastAsia="zh-CN"/>
        </w:rPr>
        <w:t>书面</w:t>
      </w:r>
      <w:r>
        <w:rPr>
          <w:rFonts w:hint="eastAsia" w:ascii="宋体" w:hAnsi="宋体" w:eastAsia="宋体" w:cs="宋体"/>
          <w:b w:val="0"/>
          <w:bCs w:val="0"/>
          <w:color w:val="auto"/>
          <w:sz w:val="21"/>
          <w:szCs w:val="21"/>
        </w:rPr>
        <w:t>向招标人提出。招标人应当在规定的异议答复期限内作出答复；作出答复前，应当暂停招标投标活动。招标人依法作出答复、发布招标文件澄清或者修改文件的，应当通过电子交易系统进</w:t>
      </w:r>
      <w:r>
        <w:rPr>
          <w:rFonts w:hint="eastAsia" w:ascii="宋体" w:hAnsi="宋体" w:eastAsia="宋体" w:cs="宋体"/>
          <w:b w:val="0"/>
          <w:bCs w:val="0"/>
          <w:color w:val="auto"/>
          <w:sz w:val="21"/>
          <w:szCs w:val="21"/>
          <w:lang w:eastAsia="zh-CN"/>
        </w:rPr>
        <w:t>行。</w:t>
      </w:r>
    </w:p>
    <w:p w14:paraId="6AC282C0">
      <w:pPr>
        <w:keepNext w:val="0"/>
        <w:keepLines w:val="0"/>
        <w:pageBreakBefore w:val="0"/>
        <w:widowControl w:val="0"/>
        <w:kinsoku/>
        <w:wordWrap/>
        <w:overflowPunct/>
        <w:topLinePunct w:val="0"/>
        <w:autoSpaceDE w:val="0"/>
        <w:autoSpaceDN w:val="0"/>
        <w:bidi w:val="0"/>
        <w:adjustRightInd/>
        <w:snapToGrid/>
        <w:spacing w:line="360" w:lineRule="auto"/>
        <w:ind w:firstLine="281" w:firstLineChars="134"/>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异议受理部门：</w:t>
      </w:r>
      <w:r>
        <w:rPr>
          <w:rFonts w:hint="eastAsia" w:ascii="宋体" w:hAnsi="宋体" w:cs="宋体"/>
          <w:color w:val="auto"/>
          <w:sz w:val="21"/>
          <w:szCs w:val="21"/>
          <w:u w:val="single"/>
          <w:lang w:eastAsia="zh-CN"/>
        </w:rPr>
        <w:t>广州市增城区仙村镇人民政府</w:t>
      </w:r>
      <w:r>
        <w:rPr>
          <w:rFonts w:hint="eastAsia" w:ascii="宋体" w:hAnsi="宋体" w:eastAsia="宋体" w:cs="宋体"/>
          <w:color w:val="auto"/>
          <w:sz w:val="21"/>
          <w:szCs w:val="21"/>
        </w:rPr>
        <w:t xml:space="preserve">            </w:t>
      </w:r>
    </w:p>
    <w:p w14:paraId="703F500A">
      <w:pPr>
        <w:keepNext w:val="0"/>
        <w:keepLines w:val="0"/>
        <w:pageBreakBefore w:val="0"/>
        <w:widowControl w:val="0"/>
        <w:kinsoku/>
        <w:wordWrap/>
        <w:overflowPunct/>
        <w:topLinePunct w:val="0"/>
        <w:autoSpaceDE w:val="0"/>
        <w:autoSpaceDN w:val="0"/>
        <w:bidi w:val="0"/>
        <w:adjustRightInd/>
        <w:snapToGrid/>
        <w:spacing w:line="360" w:lineRule="auto"/>
        <w:ind w:firstLine="281" w:firstLineChars="134"/>
        <w:jc w:val="both"/>
        <w:textAlignment w:val="auto"/>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rPr>
        <w:t>异议受理电话：</w:t>
      </w:r>
      <w:r>
        <w:rPr>
          <w:rFonts w:hint="eastAsia" w:ascii="宋体" w:hAnsi="宋体" w:cs="宋体"/>
          <w:color w:val="auto"/>
          <w:sz w:val="21"/>
          <w:szCs w:val="21"/>
          <w:u w:val="single"/>
          <w:lang w:val="en-US" w:eastAsia="zh-CN"/>
        </w:rPr>
        <w:t>020-82936601</w:t>
      </w:r>
    </w:p>
    <w:p w14:paraId="41AA208C">
      <w:pPr>
        <w:keepNext w:val="0"/>
        <w:keepLines w:val="0"/>
        <w:pageBreakBefore w:val="0"/>
        <w:widowControl w:val="0"/>
        <w:kinsoku/>
        <w:wordWrap/>
        <w:overflowPunct/>
        <w:topLinePunct w:val="0"/>
        <w:autoSpaceDE w:val="0"/>
        <w:autoSpaceDN w:val="0"/>
        <w:bidi w:val="0"/>
        <w:adjustRightInd/>
        <w:snapToGrid/>
        <w:spacing w:line="360" w:lineRule="auto"/>
        <w:ind w:firstLine="281" w:firstLineChars="134"/>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u w:val="none"/>
          <w:lang w:val="en-US" w:eastAsia="zh-CN"/>
        </w:rPr>
        <w:t>地</w:t>
      </w:r>
      <w:r>
        <w:rPr>
          <w:rFonts w:hint="eastAsia" w:ascii="宋体" w:hAnsi="宋体" w:eastAsia="宋体" w:cs="宋体"/>
          <w:color w:val="auto"/>
          <w:sz w:val="21"/>
          <w:szCs w:val="21"/>
        </w:rPr>
        <w:t>址：</w:t>
      </w:r>
      <w:r>
        <w:rPr>
          <w:rFonts w:hint="eastAsia" w:ascii="宋体" w:hAnsi="宋体" w:cs="宋体"/>
          <w:color w:val="auto"/>
          <w:sz w:val="21"/>
          <w:szCs w:val="21"/>
          <w:u w:val="single"/>
          <w:lang w:val="en-US" w:eastAsia="zh-CN"/>
        </w:rPr>
        <w:t>广州市增城区仙村镇仙村大道中16号</w:t>
      </w:r>
      <w:r>
        <w:rPr>
          <w:rFonts w:hint="eastAsia" w:ascii="宋体" w:hAnsi="宋体" w:eastAsia="宋体" w:cs="宋体"/>
          <w:color w:val="auto"/>
          <w:sz w:val="21"/>
          <w:szCs w:val="21"/>
        </w:rPr>
        <w:t xml:space="preserve"> </w:t>
      </w:r>
    </w:p>
    <w:p w14:paraId="2B73EF41">
      <w:pPr>
        <w:keepNext w:val="0"/>
        <w:keepLines w:val="0"/>
        <w:pageBreakBefore w:val="0"/>
        <w:widowControl w:val="0"/>
        <w:kinsoku/>
        <w:wordWrap/>
        <w:overflowPunct/>
        <w:topLinePunct w:val="0"/>
        <w:autoSpaceDE w:val="0"/>
        <w:autoSpaceDN w:val="0"/>
        <w:bidi w:val="0"/>
        <w:adjustRightInd/>
        <w:snapToGrid/>
        <w:spacing w:line="360" w:lineRule="auto"/>
        <w:ind w:firstLine="281" w:firstLineChars="134"/>
        <w:jc w:val="both"/>
        <w:textAlignment w:val="auto"/>
        <w:rPr>
          <w:rFonts w:hint="eastAsia" w:ascii="宋体" w:hAnsi="宋体" w:eastAsia="宋体" w:cs="宋体"/>
          <w:color w:val="auto"/>
          <w:sz w:val="21"/>
          <w:szCs w:val="21"/>
        </w:rPr>
      </w:pPr>
      <w:r>
        <w:rPr>
          <w:rFonts w:hint="eastAsia" w:ascii="宋体" w:hAnsi="宋体" w:eastAsia="宋体" w:cs="宋体"/>
          <w:b w:val="0"/>
          <w:bCs w:val="0"/>
          <w:color w:val="auto"/>
          <w:sz w:val="21"/>
          <w:szCs w:val="21"/>
          <w:highlight w:val="none"/>
          <w:u w:val="single"/>
          <w:lang w:val="en-US" w:eastAsia="zh-CN"/>
        </w:rPr>
        <w:t>注：具体操作详见“广州交易集团有限公司（广州公共资源交易中心）门户网站首页-&gt;服务指南-&gt;系统帮助-&gt;操作手册-&gt;发起及受理异议操作指引”。</w:t>
      </w:r>
      <w:r>
        <w:rPr>
          <w:rFonts w:hint="eastAsia" w:ascii="宋体" w:hAnsi="宋体" w:eastAsia="宋体" w:cs="宋体"/>
          <w:color w:val="auto"/>
          <w:sz w:val="21"/>
          <w:szCs w:val="21"/>
        </w:rPr>
        <w:t xml:space="preserve"> </w:t>
      </w:r>
      <w:bookmarkStart w:id="67" w:name="_Toc8225"/>
    </w:p>
    <w:p w14:paraId="7AB4B390">
      <w:pPr>
        <w:keepNext w:val="0"/>
        <w:keepLines w:val="0"/>
        <w:pageBreakBefore w:val="0"/>
        <w:widowControl w:val="0"/>
        <w:kinsoku/>
        <w:wordWrap/>
        <w:overflowPunct/>
        <w:topLinePunct w:val="0"/>
        <w:autoSpaceDE w:val="0"/>
        <w:autoSpaceDN w:val="0"/>
        <w:bidi w:val="0"/>
        <w:adjustRightInd/>
        <w:snapToGrid/>
        <w:spacing w:line="360" w:lineRule="auto"/>
        <w:ind w:firstLine="281" w:firstLineChars="134"/>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9.4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广州市交通建设项目企业信息库诚信评价管理系统。</w:t>
      </w:r>
      <w:r>
        <w:rPr>
          <w:rFonts w:hint="default" w:ascii="宋体" w:hAnsi="宋体" w:eastAsia="宋体" w:cs="宋体"/>
          <w:b w:val="0"/>
          <w:bCs w:val="0"/>
          <w:color w:val="auto"/>
          <w:sz w:val="21"/>
          <w:szCs w:val="21"/>
          <w:lang w:val="en-US" w:eastAsia="zh-CN"/>
        </w:rPr>
        <w:t>在招投标过程中，投诉人投诉事项经查实不属实的恶意投诉，招标人将提请行政主管部门，并按《中华人民共和国招标投标法实施条例》、《工程建设项目招标投标活动投诉处理办法》等进行处理，</w:t>
      </w:r>
      <w:r>
        <w:rPr>
          <w:rFonts w:hint="eastAsia" w:ascii="宋体" w:hAnsi="宋体" w:eastAsia="宋体" w:cs="宋体"/>
          <w:b w:val="0"/>
          <w:bCs w:val="0"/>
          <w:color w:val="auto"/>
          <w:sz w:val="21"/>
          <w:szCs w:val="21"/>
          <w:lang w:val="en-US" w:eastAsia="zh-CN"/>
        </w:rPr>
        <w:t>同时将记录到广州市交通建设项目企业信息库诚信评价管理系统。</w:t>
      </w:r>
      <w:bookmarkEnd w:id="67"/>
    </w:p>
    <w:p w14:paraId="1316F9AB">
      <w:pPr>
        <w:pStyle w:val="3"/>
        <w:rPr>
          <w:rFonts w:hint="eastAsia"/>
          <w:color w:val="auto"/>
        </w:rPr>
      </w:pPr>
      <w:bookmarkStart w:id="68" w:name="_Toc12791"/>
      <w:r>
        <w:rPr>
          <w:rFonts w:hint="eastAsia"/>
          <w:color w:val="auto"/>
          <w:lang w:val="en-US" w:eastAsia="zh-CN"/>
        </w:rPr>
        <w:t>10</w:t>
      </w:r>
      <w:r>
        <w:rPr>
          <w:rFonts w:hint="eastAsia"/>
          <w:color w:val="auto"/>
        </w:rPr>
        <w:t>.其它事项</w:t>
      </w:r>
      <w:bookmarkEnd w:id="59"/>
      <w:bookmarkEnd w:id="60"/>
      <w:bookmarkEnd w:id="61"/>
      <w:bookmarkEnd w:id="62"/>
      <w:bookmarkEnd w:id="63"/>
      <w:bookmarkEnd w:id="65"/>
      <w:bookmarkEnd w:id="68"/>
    </w:p>
    <w:p w14:paraId="20224E9B">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10.1 </w:t>
      </w:r>
      <w:r>
        <w:rPr>
          <w:rFonts w:hint="eastAsia" w:ascii="宋体" w:hAnsi="宋体" w:eastAsia="宋体" w:cs="宋体"/>
          <w:color w:val="auto"/>
          <w:sz w:val="21"/>
          <w:szCs w:val="21"/>
        </w:rPr>
        <w:t>招标项目的电子地形图由</w:t>
      </w:r>
      <w:r>
        <w:rPr>
          <w:rFonts w:hint="eastAsia" w:ascii="宋体" w:hAnsi="宋体" w:eastAsia="宋体" w:cs="宋体"/>
          <w:color w:val="auto"/>
          <w:sz w:val="21"/>
          <w:szCs w:val="21"/>
          <w:u w:val="single"/>
          <w:lang w:val="en-US" w:eastAsia="zh-CN"/>
        </w:rPr>
        <w:t>及相关资料由投标人自行</w:t>
      </w:r>
      <w:r>
        <w:rPr>
          <w:rFonts w:hint="eastAsia" w:ascii="宋体" w:hAnsi="宋体" w:eastAsia="宋体" w:cs="宋体"/>
          <w:color w:val="auto"/>
          <w:sz w:val="21"/>
          <w:szCs w:val="21"/>
        </w:rPr>
        <w:t>收集。投标人可通过相关http://maps.google.com选择satellite（卫星图象）软件观察本项目的周边环境。</w:t>
      </w:r>
    </w:p>
    <w:p w14:paraId="44C14B50">
      <w:pPr>
        <w:keepNext w:val="0"/>
        <w:keepLines w:val="0"/>
        <w:pageBreakBefore w:val="0"/>
        <w:widowControl w:val="0"/>
        <w:kinsoku/>
        <w:wordWrap/>
        <w:overflowPunct/>
        <w:topLinePunct w:val="0"/>
        <w:autoSpaceDE w:val="0"/>
        <w:autoSpaceDN w:val="0"/>
        <w:bidi w:val="0"/>
        <w:adjustRightInd/>
        <w:snapToGrid/>
        <w:spacing w:line="360" w:lineRule="auto"/>
        <w:ind w:firstLine="281" w:firstLineChars="134"/>
        <w:jc w:val="both"/>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sz w:val="21"/>
          <w:szCs w:val="21"/>
        </w:rPr>
        <w:t xml:space="preserve">  </w:t>
      </w:r>
      <w:r>
        <w:rPr>
          <w:rFonts w:hint="eastAsia" w:hAnsi="宋体" w:eastAsia="宋体" w:cs="宋体"/>
          <w:color w:val="auto"/>
          <w:sz w:val="21"/>
          <w:szCs w:val="21"/>
          <w:lang w:val="en-US" w:eastAsia="zh-CN"/>
        </w:rPr>
        <w:t>10</w:t>
      </w:r>
      <w:r>
        <w:rPr>
          <w:rFonts w:hint="eastAsia" w:ascii="宋体" w:hAnsi="宋体" w:eastAsia="宋体" w:cs="宋体"/>
          <w:color w:val="auto"/>
          <w:sz w:val="21"/>
          <w:szCs w:val="21"/>
          <w:lang w:val="en-US" w:eastAsia="zh-CN"/>
        </w:rPr>
        <w:t>.</w:t>
      </w:r>
      <w:r>
        <w:rPr>
          <w:rFonts w:hint="eastAsia" w:hAnsi="宋体" w:eastAsia="宋体" w:cs="宋体"/>
          <w:color w:val="auto"/>
          <w:sz w:val="21"/>
          <w:szCs w:val="21"/>
          <w:lang w:val="en-US" w:eastAsia="zh-CN"/>
        </w:rPr>
        <w:t xml:space="preserve">2 </w:t>
      </w:r>
      <w:r>
        <w:rPr>
          <w:rFonts w:hint="eastAsia" w:ascii="宋体" w:hAnsi="宋体" w:eastAsia="宋体" w:cs="宋体"/>
          <w:color w:val="auto"/>
          <w:w w:val="100"/>
          <w:sz w:val="21"/>
          <w:szCs w:val="21"/>
          <w:highlight w:val="none"/>
          <w:lang w:val="en-US" w:eastAsia="zh-CN"/>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2C03C350">
      <w:pPr>
        <w:pStyle w:val="3"/>
        <w:rPr>
          <w:rFonts w:hint="eastAsia"/>
          <w:color w:val="auto"/>
        </w:rPr>
      </w:pPr>
      <w:bookmarkStart w:id="69" w:name="bookmark9"/>
      <w:bookmarkEnd w:id="69"/>
      <w:bookmarkStart w:id="70" w:name="_Toc30163"/>
      <w:bookmarkStart w:id="71" w:name="_Toc9802"/>
      <w:bookmarkStart w:id="72" w:name="_Toc15585"/>
      <w:bookmarkStart w:id="73" w:name="_Toc20345"/>
      <w:bookmarkStart w:id="74" w:name="_Toc26307"/>
      <w:bookmarkStart w:id="75" w:name="_Toc25287"/>
      <w:r>
        <w:rPr>
          <w:rFonts w:hint="eastAsia"/>
          <w:color w:val="auto"/>
          <w:lang w:val="en-US" w:eastAsia="zh-CN"/>
        </w:rPr>
        <w:t>11</w:t>
      </w:r>
      <w:r>
        <w:rPr>
          <w:rFonts w:hint="eastAsia"/>
          <w:color w:val="auto"/>
        </w:rPr>
        <w:t>.联系方式</w:t>
      </w:r>
      <w:bookmarkEnd w:id="70"/>
      <w:bookmarkEnd w:id="71"/>
      <w:bookmarkEnd w:id="72"/>
      <w:bookmarkEnd w:id="73"/>
      <w:bookmarkEnd w:id="74"/>
      <w:bookmarkEnd w:id="75"/>
    </w:p>
    <w:p w14:paraId="03E6BD88">
      <w:pPr>
        <w:pStyle w:val="5"/>
        <w:tabs>
          <w:tab w:val="left" w:pos="1151"/>
          <w:tab w:val="left" w:pos="4228"/>
          <w:tab w:val="left" w:pos="4862"/>
          <w:tab w:val="left" w:pos="7942"/>
        </w:tabs>
        <w:kinsoku w:val="0"/>
        <w:overflowPunct w:val="0"/>
        <w:spacing w:line="310" w:lineRule="auto"/>
        <w:ind w:right="915"/>
        <w:jc w:val="both"/>
        <w:rPr>
          <w:rFonts w:hint="eastAsia" w:eastAsia="宋体"/>
          <w:color w:val="auto"/>
          <w:u w:val="single"/>
          <w:lang w:val="en-US" w:eastAsia="zh-CN"/>
        </w:rPr>
      </w:pPr>
      <w:r>
        <w:rPr>
          <w:color w:val="auto"/>
        </w:rPr>
        <w:t>招 标</w:t>
      </w:r>
      <w:r>
        <w:rPr>
          <w:color w:val="auto"/>
          <w:spacing w:val="-2"/>
        </w:rPr>
        <w:t xml:space="preserve"> </w:t>
      </w:r>
      <w:r>
        <w:rPr>
          <w:color w:val="auto"/>
        </w:rPr>
        <w:t>人：</w:t>
      </w:r>
      <w:r>
        <w:rPr>
          <w:rFonts w:hint="eastAsia" w:cs="宋体"/>
          <w:color w:val="auto"/>
          <w:szCs w:val="21"/>
          <w:u w:val="single"/>
          <w:lang w:eastAsia="zh-CN"/>
        </w:rPr>
        <w:t>广州市增城区仙村镇人民政府</w:t>
      </w:r>
    </w:p>
    <w:p w14:paraId="5A42E98F">
      <w:pPr>
        <w:pStyle w:val="5"/>
        <w:tabs>
          <w:tab w:val="left" w:pos="1151"/>
          <w:tab w:val="left" w:pos="4228"/>
          <w:tab w:val="left" w:pos="4862"/>
          <w:tab w:val="left" w:pos="7942"/>
        </w:tabs>
        <w:kinsoku w:val="0"/>
        <w:overflowPunct w:val="0"/>
        <w:spacing w:line="310" w:lineRule="auto"/>
        <w:ind w:right="915"/>
        <w:jc w:val="both"/>
        <w:rPr>
          <w:color w:val="auto"/>
        </w:rPr>
      </w:pPr>
      <w:r>
        <w:rPr>
          <w:rFonts w:hint="eastAsia"/>
          <w:color w:val="auto"/>
          <w:lang w:eastAsia="zh-CN"/>
        </w:rPr>
        <w:t>邮政编码</w:t>
      </w:r>
      <w:r>
        <w:rPr>
          <w:color w:val="auto"/>
        </w:rPr>
        <w:t>：</w:t>
      </w:r>
      <w:r>
        <w:rPr>
          <w:rFonts w:hint="eastAsia"/>
          <w:color w:val="auto"/>
          <w:u w:val="single"/>
        </w:rPr>
        <w:t>5113</w:t>
      </w:r>
      <w:r>
        <w:rPr>
          <w:rFonts w:hint="eastAsia"/>
          <w:color w:val="auto"/>
          <w:u w:val="single"/>
          <w:lang w:val="en-US" w:eastAsia="zh-CN"/>
        </w:rPr>
        <w:t>55</w:t>
      </w:r>
      <w:r>
        <w:rPr>
          <w:color w:val="auto"/>
        </w:rPr>
        <w:t xml:space="preserve"> </w:t>
      </w:r>
    </w:p>
    <w:p w14:paraId="249740F3">
      <w:pPr>
        <w:pStyle w:val="5"/>
        <w:tabs>
          <w:tab w:val="left" w:pos="1151"/>
          <w:tab w:val="left" w:pos="4228"/>
          <w:tab w:val="left" w:pos="4862"/>
          <w:tab w:val="left" w:pos="7942"/>
        </w:tabs>
        <w:kinsoku w:val="0"/>
        <w:overflowPunct w:val="0"/>
        <w:spacing w:line="310" w:lineRule="auto"/>
        <w:ind w:right="915"/>
        <w:jc w:val="both"/>
        <w:rPr>
          <w:rFonts w:hint="eastAsia" w:eastAsia="宋体"/>
          <w:color w:val="auto"/>
          <w:u w:val="single"/>
          <w:lang w:val="en-US" w:eastAsia="zh-CN"/>
        </w:rPr>
      </w:pPr>
      <w:r>
        <w:rPr>
          <w:color w:val="auto"/>
        </w:rPr>
        <w:t>地</w:t>
      </w:r>
      <w:r>
        <w:rPr>
          <w:color w:val="auto"/>
        </w:rPr>
        <w:tab/>
      </w:r>
      <w:r>
        <w:rPr>
          <w:color w:val="auto"/>
        </w:rPr>
        <w:t>址：</w:t>
      </w:r>
      <w:r>
        <w:rPr>
          <w:rFonts w:hint="eastAsia"/>
          <w:color w:val="auto"/>
          <w:u w:val="single"/>
          <w:lang w:eastAsia="zh-CN"/>
        </w:rPr>
        <w:t>广州市增城区仙村镇仙村大道中16号</w:t>
      </w:r>
    </w:p>
    <w:p w14:paraId="19C81783">
      <w:pPr>
        <w:pStyle w:val="5"/>
        <w:tabs>
          <w:tab w:val="left" w:pos="1151"/>
          <w:tab w:val="left" w:pos="4228"/>
          <w:tab w:val="left" w:pos="7942"/>
          <w:tab w:val="left" w:pos="9400"/>
        </w:tabs>
        <w:kinsoku w:val="0"/>
        <w:overflowPunct w:val="0"/>
        <w:spacing w:line="310" w:lineRule="auto"/>
        <w:ind w:right="915"/>
        <w:jc w:val="both"/>
        <w:rPr>
          <w:rFonts w:hint="eastAsia" w:eastAsia="宋体"/>
          <w:color w:val="auto"/>
          <w:lang w:val="en-US" w:eastAsia="zh-CN"/>
        </w:rPr>
      </w:pPr>
      <w:r>
        <w:rPr>
          <w:rFonts w:hint="eastAsia"/>
          <w:color w:val="auto"/>
          <w:lang w:eastAsia="zh-CN"/>
        </w:rPr>
        <w:t>联系电话</w:t>
      </w:r>
      <w:r>
        <w:rPr>
          <w:color w:val="auto"/>
        </w:rPr>
        <w:t>：</w:t>
      </w:r>
      <w:r>
        <w:rPr>
          <w:rFonts w:hint="eastAsia"/>
          <w:color w:val="auto"/>
          <w:u w:val="single"/>
          <w:lang w:eastAsia="zh-CN"/>
        </w:rPr>
        <w:t>020-82936601</w:t>
      </w:r>
    </w:p>
    <w:p w14:paraId="324DF235">
      <w:pPr>
        <w:pStyle w:val="5"/>
        <w:tabs>
          <w:tab w:val="left" w:pos="1151"/>
          <w:tab w:val="left" w:pos="4228"/>
          <w:tab w:val="left" w:pos="4862"/>
          <w:tab w:val="left" w:pos="7942"/>
        </w:tabs>
        <w:kinsoku w:val="0"/>
        <w:overflowPunct w:val="0"/>
        <w:spacing w:line="310" w:lineRule="auto"/>
        <w:ind w:right="915"/>
        <w:jc w:val="both"/>
        <w:rPr>
          <w:rFonts w:hint="default" w:eastAsia="宋体"/>
          <w:color w:val="auto"/>
          <w:u w:val="single"/>
          <w:lang w:val="en-US" w:eastAsia="zh-CN"/>
        </w:rPr>
      </w:pPr>
      <w:r>
        <w:rPr>
          <w:rFonts w:hint="eastAsia"/>
          <w:color w:val="auto"/>
          <w:lang w:eastAsia="zh-CN"/>
        </w:rPr>
        <w:t>传真号码</w:t>
      </w:r>
      <w:r>
        <w:rPr>
          <w:color w:val="auto"/>
        </w:rPr>
        <w:t>：</w:t>
      </w:r>
      <w:r>
        <w:rPr>
          <w:rFonts w:hint="eastAsia"/>
          <w:color w:val="auto"/>
          <w:u w:val="single"/>
          <w:lang w:val="en-US" w:eastAsia="zh-CN"/>
        </w:rPr>
        <w:t xml:space="preserve">   /  </w:t>
      </w:r>
    </w:p>
    <w:p w14:paraId="3A430418">
      <w:pPr>
        <w:pStyle w:val="5"/>
        <w:tabs>
          <w:tab w:val="left" w:pos="1151"/>
          <w:tab w:val="left" w:pos="4228"/>
          <w:tab w:val="left" w:pos="4862"/>
          <w:tab w:val="left" w:pos="7942"/>
        </w:tabs>
        <w:kinsoku w:val="0"/>
        <w:overflowPunct w:val="0"/>
        <w:spacing w:line="310" w:lineRule="auto"/>
        <w:ind w:right="915"/>
        <w:jc w:val="both"/>
        <w:rPr>
          <w:rFonts w:hint="default"/>
          <w:color w:val="auto"/>
          <w:lang w:val="en-US"/>
        </w:rPr>
      </w:pPr>
      <w:r>
        <w:rPr>
          <w:rFonts w:hint="eastAsia"/>
          <w:color w:val="auto"/>
          <w:lang w:eastAsia="zh-CN"/>
        </w:rPr>
        <w:t>电子邮箱</w:t>
      </w:r>
      <w:r>
        <w:rPr>
          <w:color w:val="auto"/>
        </w:rPr>
        <w:t>：</w:t>
      </w:r>
      <w:r>
        <w:rPr>
          <w:rFonts w:hint="eastAsia"/>
          <w:color w:val="auto"/>
          <w:u w:val="single"/>
          <w:lang w:val="en-US" w:eastAsia="zh-CN"/>
        </w:rPr>
        <w:t xml:space="preserve">   /  </w:t>
      </w:r>
    </w:p>
    <w:p w14:paraId="76EB3985">
      <w:pPr>
        <w:pStyle w:val="5"/>
        <w:tabs>
          <w:tab w:val="left" w:pos="1151"/>
          <w:tab w:val="left" w:pos="4228"/>
          <w:tab w:val="left" w:pos="4862"/>
          <w:tab w:val="left" w:pos="7942"/>
        </w:tabs>
        <w:kinsoku w:val="0"/>
        <w:overflowPunct w:val="0"/>
        <w:spacing w:line="310" w:lineRule="auto"/>
        <w:ind w:right="915"/>
        <w:jc w:val="both"/>
        <w:rPr>
          <w:rFonts w:hint="eastAsia"/>
          <w:color w:val="auto"/>
          <w:lang w:val="en-US" w:eastAsia="zh-CN"/>
        </w:rPr>
      </w:pPr>
      <w:r>
        <w:rPr>
          <w:rFonts w:hint="eastAsia"/>
          <w:color w:val="auto"/>
          <w:lang w:val="en-US" w:eastAsia="zh-CN"/>
        </w:rPr>
        <w:t xml:space="preserve"> </w:t>
      </w:r>
    </w:p>
    <w:p w14:paraId="40FB9A11">
      <w:pPr>
        <w:pStyle w:val="5"/>
        <w:tabs>
          <w:tab w:val="left" w:pos="1151"/>
          <w:tab w:val="left" w:pos="4228"/>
          <w:tab w:val="left" w:pos="4862"/>
          <w:tab w:val="left" w:pos="7942"/>
        </w:tabs>
        <w:kinsoku w:val="0"/>
        <w:overflowPunct w:val="0"/>
        <w:spacing w:line="310" w:lineRule="auto"/>
        <w:ind w:right="915"/>
        <w:jc w:val="both"/>
        <w:rPr>
          <w:rFonts w:hint="eastAsia" w:eastAsia="宋体"/>
          <w:color w:val="auto"/>
          <w:u w:val="single"/>
          <w:lang w:val="en-US" w:eastAsia="zh-CN"/>
        </w:rPr>
      </w:pPr>
      <w:r>
        <w:rPr>
          <w:color w:val="auto"/>
        </w:rPr>
        <w:t>招</w:t>
      </w:r>
      <w:r>
        <w:rPr>
          <w:rFonts w:hint="eastAsia"/>
          <w:color w:val="auto"/>
          <w:lang w:eastAsia="zh-CN"/>
        </w:rPr>
        <w:t>标代理</w:t>
      </w:r>
      <w:r>
        <w:rPr>
          <w:rFonts w:hint="eastAsia"/>
          <w:color w:val="auto"/>
          <w:lang w:val="en-US" w:eastAsia="zh-CN"/>
        </w:rPr>
        <w:t>机构</w:t>
      </w:r>
      <w:r>
        <w:rPr>
          <w:color w:val="auto"/>
        </w:rPr>
        <w:t>：</w:t>
      </w:r>
      <w:r>
        <w:rPr>
          <w:rFonts w:hint="eastAsia" w:cs="宋体"/>
          <w:color w:val="auto"/>
          <w:szCs w:val="21"/>
          <w:u w:val="single"/>
          <w:lang w:eastAsia="zh-CN"/>
        </w:rPr>
        <w:t>广州市弘鑫工程咨询有限公司</w:t>
      </w:r>
    </w:p>
    <w:p w14:paraId="40ACF0B0">
      <w:pPr>
        <w:pStyle w:val="5"/>
        <w:tabs>
          <w:tab w:val="left" w:pos="1151"/>
          <w:tab w:val="left" w:pos="4228"/>
          <w:tab w:val="left" w:pos="4862"/>
          <w:tab w:val="left" w:pos="7942"/>
        </w:tabs>
        <w:kinsoku w:val="0"/>
        <w:overflowPunct w:val="0"/>
        <w:spacing w:line="310" w:lineRule="auto"/>
        <w:ind w:right="915"/>
        <w:jc w:val="both"/>
        <w:rPr>
          <w:color w:val="auto"/>
        </w:rPr>
      </w:pPr>
      <w:r>
        <w:rPr>
          <w:rFonts w:hint="eastAsia"/>
          <w:color w:val="auto"/>
          <w:lang w:eastAsia="zh-CN"/>
        </w:rPr>
        <w:t>邮政编码</w:t>
      </w:r>
      <w:r>
        <w:rPr>
          <w:color w:val="auto"/>
        </w:rPr>
        <w:t>：</w:t>
      </w:r>
      <w:r>
        <w:rPr>
          <w:rFonts w:hint="eastAsia"/>
          <w:color w:val="auto"/>
          <w:u w:val="single"/>
          <w:lang w:val="en-US" w:eastAsia="zh-CN"/>
        </w:rPr>
        <w:t>511300</w:t>
      </w:r>
      <w:r>
        <w:rPr>
          <w:color w:val="auto"/>
        </w:rPr>
        <w:t xml:space="preserve"> </w:t>
      </w:r>
    </w:p>
    <w:p w14:paraId="7A0A6624">
      <w:pPr>
        <w:pStyle w:val="5"/>
        <w:tabs>
          <w:tab w:val="left" w:pos="1151"/>
          <w:tab w:val="left" w:pos="4228"/>
          <w:tab w:val="left" w:pos="4862"/>
          <w:tab w:val="left" w:pos="7942"/>
        </w:tabs>
        <w:kinsoku w:val="0"/>
        <w:overflowPunct w:val="0"/>
        <w:spacing w:line="310" w:lineRule="auto"/>
        <w:ind w:right="915"/>
        <w:jc w:val="both"/>
        <w:rPr>
          <w:rFonts w:hint="eastAsia" w:eastAsia="宋体"/>
          <w:color w:val="auto"/>
          <w:u w:val="single"/>
          <w:lang w:val="en-US" w:eastAsia="zh-CN"/>
        </w:rPr>
      </w:pPr>
      <w:r>
        <w:rPr>
          <w:color w:val="auto"/>
        </w:rPr>
        <w:t>地</w:t>
      </w:r>
      <w:r>
        <w:rPr>
          <w:color w:val="auto"/>
        </w:rPr>
        <w:tab/>
      </w:r>
      <w:r>
        <w:rPr>
          <w:color w:val="auto"/>
        </w:rPr>
        <w:t>址：</w:t>
      </w:r>
      <w:r>
        <w:rPr>
          <w:rFonts w:hint="eastAsia"/>
          <w:color w:val="auto"/>
          <w:u w:val="single"/>
          <w:lang w:eastAsia="zh-CN"/>
        </w:rPr>
        <w:t>广州市增城区荔城街菜园路13号二幢301房之一</w:t>
      </w:r>
    </w:p>
    <w:p w14:paraId="1D395496">
      <w:pPr>
        <w:pStyle w:val="5"/>
        <w:tabs>
          <w:tab w:val="left" w:pos="1151"/>
          <w:tab w:val="left" w:pos="4228"/>
          <w:tab w:val="left" w:pos="7942"/>
          <w:tab w:val="left" w:pos="9400"/>
        </w:tabs>
        <w:kinsoku w:val="0"/>
        <w:overflowPunct w:val="0"/>
        <w:spacing w:line="310" w:lineRule="auto"/>
        <w:ind w:right="915"/>
        <w:jc w:val="both"/>
        <w:rPr>
          <w:rFonts w:hint="eastAsia" w:eastAsia="宋体"/>
          <w:color w:val="auto"/>
          <w:lang w:val="en-US" w:eastAsia="zh-CN"/>
        </w:rPr>
      </w:pPr>
      <w:r>
        <w:rPr>
          <w:rFonts w:hint="eastAsia"/>
          <w:color w:val="auto"/>
          <w:lang w:eastAsia="zh-CN"/>
        </w:rPr>
        <w:t>联系电话</w:t>
      </w:r>
      <w:r>
        <w:rPr>
          <w:color w:val="auto"/>
        </w:rPr>
        <w:t>：</w:t>
      </w:r>
      <w:r>
        <w:rPr>
          <w:rFonts w:hint="eastAsia"/>
          <w:color w:val="auto"/>
          <w:u w:val="single"/>
          <w:lang w:eastAsia="zh-CN"/>
        </w:rPr>
        <w:t>13422202875</w:t>
      </w:r>
    </w:p>
    <w:p w14:paraId="2E20B9A8">
      <w:pPr>
        <w:pStyle w:val="5"/>
        <w:tabs>
          <w:tab w:val="left" w:pos="1151"/>
          <w:tab w:val="left" w:pos="4228"/>
          <w:tab w:val="left" w:pos="4862"/>
          <w:tab w:val="left" w:pos="7942"/>
        </w:tabs>
        <w:kinsoku w:val="0"/>
        <w:overflowPunct w:val="0"/>
        <w:spacing w:line="310" w:lineRule="auto"/>
        <w:ind w:right="915"/>
        <w:jc w:val="both"/>
        <w:rPr>
          <w:rFonts w:hint="default" w:eastAsia="宋体"/>
          <w:color w:val="auto"/>
          <w:u w:val="single"/>
          <w:lang w:val="en-US" w:eastAsia="zh-CN"/>
        </w:rPr>
      </w:pPr>
      <w:r>
        <w:rPr>
          <w:rFonts w:hint="eastAsia"/>
          <w:color w:val="auto"/>
          <w:lang w:eastAsia="zh-CN"/>
        </w:rPr>
        <w:t>传真号码</w:t>
      </w:r>
      <w:r>
        <w:rPr>
          <w:color w:val="auto"/>
        </w:rPr>
        <w:t>：</w:t>
      </w:r>
      <w:r>
        <w:rPr>
          <w:rFonts w:hint="eastAsia"/>
          <w:color w:val="auto"/>
          <w:u w:val="single"/>
          <w:lang w:val="en-US" w:eastAsia="zh-CN"/>
        </w:rPr>
        <w:t xml:space="preserve">/ </w:t>
      </w:r>
    </w:p>
    <w:p w14:paraId="589F9982">
      <w:pPr>
        <w:pStyle w:val="5"/>
        <w:tabs>
          <w:tab w:val="left" w:pos="1151"/>
          <w:tab w:val="left" w:pos="4228"/>
          <w:tab w:val="left" w:pos="4862"/>
          <w:tab w:val="left" w:pos="7942"/>
        </w:tabs>
        <w:kinsoku w:val="0"/>
        <w:overflowPunct w:val="0"/>
        <w:spacing w:line="310" w:lineRule="auto"/>
        <w:ind w:right="915"/>
        <w:jc w:val="both"/>
        <w:rPr>
          <w:color w:val="auto"/>
        </w:rPr>
      </w:pPr>
      <w:r>
        <w:rPr>
          <w:rFonts w:hint="eastAsia"/>
          <w:color w:val="auto"/>
          <w:lang w:eastAsia="zh-CN"/>
        </w:rPr>
        <w:t>电子邮箱</w:t>
      </w:r>
      <w:r>
        <w:rPr>
          <w:color w:val="auto"/>
        </w:rPr>
        <w:t>：</w:t>
      </w:r>
      <w:r>
        <w:rPr>
          <w:rFonts w:hint="eastAsia" w:ascii="宋体" w:hAnsi="宋体" w:cs="宋体"/>
          <w:color w:val="auto"/>
          <w:sz w:val="24"/>
          <w:highlight w:val="none"/>
          <w:u w:val="single"/>
        </w:rPr>
        <w:t>/</w:t>
      </w:r>
    </w:p>
    <w:p w14:paraId="2A150E51">
      <w:pPr>
        <w:pStyle w:val="5"/>
        <w:tabs>
          <w:tab w:val="left" w:pos="1151"/>
          <w:tab w:val="left" w:pos="4228"/>
          <w:tab w:val="left" w:pos="4862"/>
          <w:tab w:val="left" w:pos="7942"/>
        </w:tabs>
        <w:kinsoku w:val="0"/>
        <w:overflowPunct w:val="0"/>
        <w:spacing w:line="310" w:lineRule="auto"/>
        <w:ind w:right="915"/>
        <w:jc w:val="both"/>
        <w:rPr>
          <w:color w:val="auto"/>
        </w:rPr>
      </w:pPr>
    </w:p>
    <w:p w14:paraId="391E8FF0">
      <w:pPr>
        <w:pStyle w:val="5"/>
        <w:tabs>
          <w:tab w:val="left" w:pos="1151"/>
          <w:tab w:val="left" w:pos="4228"/>
          <w:tab w:val="left" w:pos="4862"/>
          <w:tab w:val="left" w:pos="7942"/>
        </w:tabs>
        <w:kinsoku w:val="0"/>
        <w:overflowPunct w:val="0"/>
        <w:spacing w:line="310" w:lineRule="auto"/>
        <w:ind w:right="915"/>
        <w:jc w:val="both"/>
        <w:rPr>
          <w:rFonts w:hint="default"/>
          <w:color w:val="auto"/>
          <w:u w:val="single"/>
          <w:lang w:val="en-US" w:eastAsia="zh-CN"/>
        </w:rPr>
      </w:pPr>
      <w:r>
        <w:rPr>
          <w:color w:val="auto"/>
        </w:rPr>
        <w:t>招标</w:t>
      </w:r>
      <w:r>
        <w:rPr>
          <w:rFonts w:hint="eastAsia"/>
          <w:color w:val="auto"/>
          <w:lang w:eastAsia="zh-CN"/>
        </w:rPr>
        <w:t>管理机构</w:t>
      </w:r>
      <w:r>
        <w:rPr>
          <w:color w:val="auto"/>
        </w:rPr>
        <w:t xml:space="preserve">： </w:t>
      </w:r>
      <w:r>
        <w:rPr>
          <w:rFonts w:hint="eastAsia"/>
          <w:color w:val="auto"/>
          <w:u w:val="single"/>
          <w:lang w:eastAsia="zh-CN"/>
        </w:rPr>
        <w:t>广州市增城区建设工程招标管理办公室</w:t>
      </w:r>
    </w:p>
    <w:p w14:paraId="37CF9CCE">
      <w:pPr>
        <w:pStyle w:val="5"/>
        <w:tabs>
          <w:tab w:val="left" w:pos="1151"/>
          <w:tab w:val="left" w:pos="4228"/>
          <w:tab w:val="left" w:pos="4862"/>
          <w:tab w:val="left" w:pos="7942"/>
        </w:tabs>
        <w:kinsoku w:val="0"/>
        <w:overflowPunct w:val="0"/>
        <w:spacing w:line="310" w:lineRule="auto"/>
        <w:ind w:right="915"/>
        <w:jc w:val="both"/>
        <w:rPr>
          <w:rFonts w:hint="default"/>
          <w:color w:val="auto"/>
          <w:lang w:val="en-US"/>
        </w:rPr>
      </w:pPr>
      <w:r>
        <w:rPr>
          <w:rFonts w:hint="eastAsia"/>
          <w:color w:val="auto"/>
          <w:lang w:eastAsia="zh-CN"/>
        </w:rPr>
        <w:t>邮政编码</w:t>
      </w:r>
      <w:r>
        <w:rPr>
          <w:color w:val="auto"/>
        </w:rPr>
        <w:t>：</w:t>
      </w:r>
      <w:r>
        <w:rPr>
          <w:rFonts w:hint="eastAsia"/>
          <w:color w:val="auto"/>
          <w:u w:val="single"/>
          <w:lang w:val="en-US" w:eastAsia="zh-CN"/>
        </w:rPr>
        <w:t>511300</w:t>
      </w:r>
    </w:p>
    <w:p w14:paraId="79D9B042">
      <w:pPr>
        <w:pStyle w:val="5"/>
        <w:tabs>
          <w:tab w:val="left" w:pos="1151"/>
          <w:tab w:val="left" w:pos="4228"/>
          <w:tab w:val="left" w:pos="4862"/>
          <w:tab w:val="left" w:pos="7942"/>
        </w:tabs>
        <w:kinsoku w:val="0"/>
        <w:overflowPunct w:val="0"/>
        <w:spacing w:line="310" w:lineRule="auto"/>
        <w:ind w:right="915"/>
        <w:jc w:val="both"/>
        <w:rPr>
          <w:rFonts w:hint="default" w:eastAsia="宋体"/>
          <w:color w:val="auto"/>
          <w:u w:val="single"/>
          <w:lang w:val="en-US" w:eastAsia="zh-CN"/>
        </w:rPr>
      </w:pPr>
      <w:r>
        <w:rPr>
          <w:color w:val="auto"/>
        </w:rPr>
        <w:t>地</w:t>
      </w:r>
      <w:r>
        <w:rPr>
          <w:color w:val="auto"/>
        </w:rPr>
        <w:tab/>
      </w:r>
      <w:r>
        <w:rPr>
          <w:color w:val="auto"/>
        </w:rPr>
        <w:t>址：</w:t>
      </w:r>
      <w:r>
        <w:rPr>
          <w:rFonts w:hint="eastAsia"/>
          <w:color w:val="auto"/>
          <w:u w:val="single"/>
          <w:lang w:eastAsia="zh-CN"/>
        </w:rPr>
        <w:t>广州市增城区荔城街挂绿路12号</w:t>
      </w:r>
    </w:p>
    <w:p w14:paraId="4BA458FA">
      <w:pPr>
        <w:pStyle w:val="5"/>
        <w:tabs>
          <w:tab w:val="left" w:pos="1151"/>
          <w:tab w:val="left" w:pos="4228"/>
          <w:tab w:val="left" w:pos="7942"/>
          <w:tab w:val="left" w:pos="9400"/>
        </w:tabs>
        <w:kinsoku w:val="0"/>
        <w:overflowPunct w:val="0"/>
        <w:spacing w:line="310" w:lineRule="auto"/>
        <w:ind w:right="915"/>
        <w:jc w:val="both"/>
        <w:rPr>
          <w:rFonts w:hint="default"/>
          <w:color w:val="auto"/>
          <w:lang w:val="en-US"/>
        </w:rPr>
      </w:pPr>
      <w:r>
        <w:rPr>
          <w:rFonts w:hint="eastAsia"/>
          <w:color w:val="auto"/>
          <w:lang w:eastAsia="zh-CN"/>
        </w:rPr>
        <w:t>电</w:t>
      </w:r>
      <w:r>
        <w:rPr>
          <w:rFonts w:hint="eastAsia"/>
          <w:color w:val="auto"/>
          <w:lang w:val="en-US" w:eastAsia="zh-CN"/>
        </w:rPr>
        <w:t xml:space="preserve">    </w:t>
      </w:r>
      <w:r>
        <w:rPr>
          <w:rFonts w:hint="eastAsia"/>
          <w:color w:val="auto"/>
          <w:lang w:eastAsia="zh-CN"/>
        </w:rPr>
        <w:t>话</w:t>
      </w:r>
      <w:r>
        <w:rPr>
          <w:color w:val="auto"/>
        </w:rPr>
        <w:t>：</w:t>
      </w:r>
      <w:r>
        <w:rPr>
          <w:rFonts w:hint="eastAsia"/>
          <w:color w:val="auto"/>
          <w:u w:val="single"/>
          <w:lang w:eastAsia="zh-CN"/>
        </w:rPr>
        <w:t>020-32821156</w:t>
      </w:r>
    </w:p>
    <w:p w14:paraId="45D03A74">
      <w:pPr>
        <w:spacing w:line="400" w:lineRule="exact"/>
        <w:jc w:val="both"/>
        <w:rPr>
          <w:rFonts w:hint="eastAsia"/>
          <w:color w:val="auto"/>
        </w:rPr>
      </w:pPr>
    </w:p>
    <w:p w14:paraId="74DA2A75">
      <w:pPr>
        <w:spacing w:line="400" w:lineRule="exact"/>
        <w:ind w:firstLine="210" w:firstLineChars="100"/>
        <w:jc w:val="right"/>
        <w:rPr>
          <w:rFonts w:hint="eastAsia" w:ascii="宋体" w:hAnsi="宋体" w:eastAsia="宋体" w:cs="Times New Roman"/>
          <w:color w:val="auto"/>
          <w:sz w:val="21"/>
          <w:u w:val="single"/>
          <w:lang w:val="en-US" w:eastAsia="zh-CN" w:bidi="ar-SA"/>
        </w:rPr>
      </w:pPr>
    </w:p>
    <w:p w14:paraId="4CF88639">
      <w:pPr>
        <w:spacing w:line="400" w:lineRule="exact"/>
        <w:ind w:firstLine="210" w:firstLineChars="100"/>
        <w:jc w:val="right"/>
        <w:rPr>
          <w:color w:val="auto"/>
        </w:rPr>
      </w:pPr>
      <w:r>
        <w:rPr>
          <w:rFonts w:hint="eastAsia" w:ascii="宋体" w:hAnsi="宋体" w:eastAsia="宋体" w:cs="Times New Roman"/>
          <w:color w:val="auto"/>
          <w:sz w:val="21"/>
          <w:u w:val="single"/>
          <w:lang w:val="en-US" w:eastAsia="zh-CN" w:bidi="ar-SA"/>
        </w:rPr>
        <w:t>2025年    月    日</w:t>
      </w:r>
    </w:p>
    <w:sectPr>
      <w:footerReference r:id="rId4" w:type="default"/>
      <w:pgSz w:w="11906" w:h="16838"/>
      <w:pgMar w:top="1440" w:right="1587"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D47B1">
    <w:pPr>
      <w:tabs>
        <w:tab w:val="center" w:pos="4400"/>
      </w:tabs>
      <w:kinsoku w:val="0"/>
      <w:overflowPunct w:val="0"/>
      <w:spacing w:line="200" w:lineRule="exact"/>
    </w:pPr>
    <w:r>
      <w:rPr>
        <w:rFonts w:ascii="Calibri" w:hAnsi="Calibri" w:eastAsia="Calibri"/>
        <w:sz w:val="21"/>
      </w:rPr>
      <mc:AlternateContent>
        <mc:Choice Requires="wps">
          <w:drawing>
            <wp:anchor distT="0" distB="0" distL="114300" distR="114300" simplePos="0" relativeHeight="251659264" behindDoc="1" locked="0" layoutInCell="1" allowOverlap="1">
              <wp:simplePos x="0" y="0"/>
              <wp:positionH relativeFrom="page">
                <wp:posOffset>3832225</wp:posOffset>
              </wp:positionH>
              <wp:positionV relativeFrom="page">
                <wp:posOffset>9333865</wp:posOffset>
              </wp:positionV>
              <wp:extent cx="1092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14:paraId="3A081C36">
                          <w:pPr>
                            <w:kinsoku w:val="0"/>
                            <w:overflowPunct w:val="0"/>
                            <w:spacing w:line="203" w:lineRule="exact"/>
                            <w:ind w:left="40"/>
                            <w:rPr>
                              <w:rFonts w:ascii="Calibri" w:hAnsi="Calibri" w:eastAsia="Calibri"/>
                              <w:sz w:val="18"/>
                            </w:rPr>
                          </w:pPr>
                        </w:p>
                      </w:txbxContent>
                    </wps:txbx>
                    <wps:bodyPr lIns="0" tIns="0" rIns="0" bIns="0" upright="1"/>
                  </wps:wsp>
                </a:graphicData>
              </a:graphic>
            </wp:anchor>
          </w:drawing>
        </mc:Choice>
        <mc:Fallback>
          <w:pict>
            <v:shape id="_x0000_s1026" o:spid="_x0000_s1026" o:spt="202" type="#_x0000_t202" style="position:absolute;left:0pt;margin-left:301.75pt;margin-top:734.95pt;height:11pt;width:8.6pt;mso-position-horizontal-relative:page;mso-position-vertical-relative:page;z-index:-251657216;mso-width-relative:page;mso-height-relative:page;" filled="f" stroked="f" coordsize="21600,21600" o:gfxdata="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8jqa2gAAAA0BAAAPAAAAAAAAAAEAIAAAACIAAABkcnMvZG93bnJldi54bWxQSwEC&#10;FAAUAAAACACHTuJA1YPnMrkBAABxAwAADgAAAAAAAAABACAAAAApAQAAZHJzL2Uyb0RvYy54bWxQ&#10;SwUGAAAAAAYABgBZAQAAVAUAAAAA&#10;">
              <v:fill on="f" focussize="0,0"/>
              <v:stroke on="f"/>
              <v:imagedata o:title=""/>
              <o:lock v:ext="edit" aspectratio="f"/>
              <v:textbox inset="0mm,0mm,0mm,0mm">
                <w:txbxContent>
                  <w:p w14:paraId="3A081C36">
                    <w:pPr>
                      <w:kinsoku w:val="0"/>
                      <w:overflowPunct w:val="0"/>
                      <w:spacing w:line="203" w:lineRule="exact"/>
                      <w:ind w:left="40"/>
                      <w:rPr>
                        <w:rFonts w:ascii="Calibri" w:hAnsi="Calibri" w:eastAsia="Calibri"/>
                        <w:sz w:val="18"/>
                      </w:rPr>
                    </w:pP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AD79C">
    <w:pPr>
      <w:tabs>
        <w:tab w:val="center" w:pos="4400"/>
      </w:tabs>
      <w:kinsoku w:val="0"/>
      <w:overflowPunct w:val="0"/>
      <w:spacing w:line="200" w:lineRule="exact"/>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052518">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A052518">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Fonts w:ascii="Calibri" w:hAnsi="Calibri" w:eastAsia="Calibri"/>
        <w:sz w:val="21"/>
      </w:rPr>
      <mc:AlternateContent>
        <mc:Choice Requires="wps">
          <w:drawing>
            <wp:anchor distT="0" distB="0" distL="114300" distR="114300" simplePos="0" relativeHeight="251660288" behindDoc="1" locked="0" layoutInCell="1" allowOverlap="1">
              <wp:simplePos x="0" y="0"/>
              <wp:positionH relativeFrom="page">
                <wp:posOffset>3832225</wp:posOffset>
              </wp:positionH>
              <wp:positionV relativeFrom="page">
                <wp:posOffset>9333865</wp:posOffset>
              </wp:positionV>
              <wp:extent cx="109220"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14:paraId="114098A1">
                          <w:pPr>
                            <w:kinsoku w:val="0"/>
                            <w:overflowPunct w:val="0"/>
                            <w:spacing w:line="203" w:lineRule="exact"/>
                            <w:ind w:left="40"/>
                            <w:rPr>
                              <w:rFonts w:ascii="Calibri" w:hAnsi="Calibri" w:eastAsia="Calibri"/>
                              <w:sz w:val="18"/>
                            </w:rPr>
                          </w:pPr>
                        </w:p>
                      </w:txbxContent>
                    </wps:txbx>
                    <wps:bodyPr lIns="0" tIns="0" rIns="0" bIns="0" upright="1"/>
                  </wps:wsp>
                </a:graphicData>
              </a:graphic>
            </wp:anchor>
          </w:drawing>
        </mc:Choice>
        <mc:Fallback>
          <w:pict>
            <v:shape id="_x0000_s1026" o:spid="_x0000_s1026" o:spt="202" type="#_x0000_t202" style="position:absolute;left:0pt;margin-left:301.75pt;margin-top:734.95pt;height:11pt;width:8.6pt;mso-position-horizontal-relative:page;mso-position-vertical-relative:page;z-index:-251656192;mso-width-relative:page;mso-height-relative:page;" filled="f" stroked="f" coordsize="21600,21600" o:gfxdata="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8jqa2gAAAA0BAAAPAAAAAAAAAAEAIAAAACIAAABkcnMvZG93bnJldi54bWxQSwEC&#10;FAAUAAAACACHTuJAN7/6cLkBAABxAwAADgAAAAAAAAABACAAAAApAQAAZHJzL2Uyb0RvYy54bWxQ&#10;SwUGAAAAAAYABgBZAQAAVAUAAAAA&#10;">
              <v:fill on="f" focussize="0,0"/>
              <v:stroke on="f"/>
              <v:imagedata o:title=""/>
              <o:lock v:ext="edit" aspectratio="f"/>
              <v:textbox inset="0mm,0mm,0mm,0mm">
                <w:txbxContent>
                  <w:p w14:paraId="114098A1">
                    <w:pPr>
                      <w:kinsoku w:val="0"/>
                      <w:overflowPunct w:val="0"/>
                      <w:spacing w:line="203" w:lineRule="exact"/>
                      <w:ind w:left="40"/>
                      <w:rPr>
                        <w:rFonts w:ascii="Calibri" w:hAnsi="Calibri" w:eastAsia="Calibri"/>
                        <w:sz w:val="18"/>
                      </w:rPr>
                    </w:pPr>
                  </w:p>
                </w:txbxContent>
              </v:textbox>
            </v:shape>
          </w:pict>
        </mc:Fallback>
      </mc:AlternateContent>
    </w: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yZTRjNmE4YWUxOGU0ZGU5YmZlOWVjZGFiNmU0ZGMifQ=="/>
    <w:docVar w:name="KSO_WPS_MARK_KEY" w:val="9c98098c-53f5-426b-bd9d-b48082c22a86"/>
  </w:docVars>
  <w:rsids>
    <w:rsidRoot w:val="1C484FE5"/>
    <w:rsid w:val="016D7E33"/>
    <w:rsid w:val="04FC409E"/>
    <w:rsid w:val="0C354C94"/>
    <w:rsid w:val="1C484FE5"/>
    <w:rsid w:val="29CB2F12"/>
    <w:rsid w:val="2A0A38EC"/>
    <w:rsid w:val="2D300BAB"/>
    <w:rsid w:val="35144666"/>
    <w:rsid w:val="3DC6071A"/>
    <w:rsid w:val="402339F9"/>
    <w:rsid w:val="417A02DD"/>
    <w:rsid w:val="606B5E6E"/>
    <w:rsid w:val="65125A16"/>
    <w:rsid w:val="6D187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9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宋体" w:cs="Times New Roman"/>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Cambria" w:hAnsi="Cambria" w:eastAsia="宋体" w:cs="Times New Roman"/>
      <w:b/>
      <w:bCs/>
      <w:sz w:val="32"/>
      <w:szCs w:val="32"/>
    </w:rPr>
  </w:style>
  <w:style w:type="paragraph" w:styleId="3">
    <w:name w:val="heading 3"/>
    <w:basedOn w:val="1"/>
    <w:next w:val="1"/>
    <w:qFormat/>
    <w:uiPriority w:val="9"/>
    <w:pPr>
      <w:widowControl/>
      <w:autoSpaceDE/>
      <w:autoSpaceDN/>
      <w:spacing w:before="100" w:beforeAutospacing="1" w:after="100" w:afterAutospacing="1"/>
      <w:outlineLvl w:val="2"/>
    </w:pPr>
    <w:rPr>
      <w:rFonts w:ascii="宋体" w:hAnsi="宋体"/>
      <w:b/>
      <w:bCs/>
      <w:sz w:val="27"/>
      <w:szCs w:val="27"/>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jc w:val="left"/>
    </w:pPr>
    <w:rPr>
      <w:rFonts w:eastAsia="Calibri"/>
      <w:kern w:val="0"/>
      <w:sz w:val="22"/>
      <w:szCs w:val="22"/>
      <w:lang w:eastAsia="en-US"/>
    </w:rPr>
  </w:style>
  <w:style w:type="paragraph" w:styleId="5">
    <w:name w:val="Body Text"/>
    <w:basedOn w:val="1"/>
    <w:unhideWhenUsed/>
    <w:qFormat/>
    <w:uiPriority w:val="1"/>
    <w:pPr>
      <w:spacing w:beforeLines="0" w:afterLines="0"/>
      <w:ind w:left="520"/>
    </w:pPr>
    <w:rPr>
      <w:rFonts w:ascii="宋体" w:hAnsi="宋体"/>
      <w:sz w:val="21"/>
    </w:rPr>
  </w:style>
  <w:style w:type="paragraph" w:styleId="6">
    <w:name w:val="Plain Text"/>
    <w:basedOn w:val="1"/>
    <w:next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7487</Words>
  <Characters>8268</Characters>
  <Lines>0</Lines>
  <Paragraphs>0</Paragraphs>
  <TotalTime>23</TotalTime>
  <ScaleCrop>false</ScaleCrop>
  <LinksUpToDate>false</LinksUpToDate>
  <CharactersWithSpaces>8667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2025-04-23T14:57:00Z</dcterms:created>
  <dc:creator>Administrator</dc:creator>
  <cp:lastModifiedBy>广州市弘鑫工程咨询有限公司[广州市弘鑫工程咨询有限公司]</cp:lastModifiedBy>
  <cp:lastPrinted>2025-04-27T02:50:00Z</cp:lastPrinted>
  <dcterms:modified xsi:type="dcterms:W3CDTF">2025-06-06T03:25:00Z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4982036D760F4A54A0181830A4C5A2B9_13</vt:lpwstr>
  </property>
  <property fmtid="{D5CDD505-2E9C-101B-9397-08002B2CF9AE}" pid="4" name="KSOTemplateDocerSaveRecord">
    <vt:lpwstr>eyJoZGlkIjoiNDNkMmVhNzhhMzYxNmZhZWRjMWQzNWQ5YmRmZmZiMDEiLCJ1c2VySWQiOiIzNjk1MDI2MTYifQ==</vt:lpwstr>
  </property>
</Properties>
</file>