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77C1F6">
      <w:pPr>
        <w:snapToGrid w:val="0"/>
        <w:ind w:left="27"/>
        <w:jc w:val="left"/>
        <w:rPr>
          <w:rFonts w:hint="eastAsia" w:ascii="黑体" w:hAnsi="黑体" w:eastAsia="黑体" w:cs="黑体"/>
          <w:color w:val="auto"/>
          <w:spacing w:val="-9"/>
          <w:sz w:val="32"/>
          <w:szCs w:val="32"/>
          <w:highlight w:val="none"/>
          <w:u w:val="single"/>
        </w:rPr>
      </w:pPr>
      <w:bookmarkStart w:id="0" w:name="_Toc234382586"/>
      <w:bookmarkStart w:id="1" w:name="_Toc9236"/>
      <w:r>
        <w:rPr>
          <w:rFonts w:hint="eastAsia" w:ascii="黑体" w:hAnsi="黑体" w:eastAsia="黑体" w:cs="黑体"/>
          <w:color w:val="auto"/>
          <w:spacing w:val="-9"/>
          <w:sz w:val="32"/>
          <w:szCs w:val="32"/>
          <w:highlight w:val="none"/>
        </w:rPr>
        <w:t>附件 1：资格审查条件附录</w:t>
      </w:r>
      <w:r>
        <w:rPr>
          <w:rFonts w:hint="eastAsia" w:ascii="黑体" w:hAnsi="黑体" w:eastAsia="黑体" w:cs="黑体"/>
          <w:color w:val="auto"/>
          <w:spacing w:val="-9"/>
          <w:sz w:val="32"/>
          <w:szCs w:val="32"/>
          <w:highlight w:val="none"/>
          <w:lang w:eastAsia="zh-CN"/>
        </w:rPr>
        <w:t>1</w:t>
      </w:r>
      <w:r>
        <w:rPr>
          <w:rFonts w:hint="eastAsia" w:ascii="黑体" w:hAnsi="黑体" w:eastAsia="黑体" w:cs="黑体"/>
          <w:color w:val="auto"/>
          <w:spacing w:val="-9"/>
          <w:sz w:val="32"/>
          <w:szCs w:val="32"/>
          <w:highlight w:val="none"/>
        </w:rPr>
        <w:t>至附录</w:t>
      </w:r>
      <w:bookmarkEnd w:id="0"/>
      <w:bookmarkEnd w:id="1"/>
      <w:bookmarkStart w:id="2" w:name="_Toc9857"/>
      <w:bookmarkStart w:id="3" w:name="_Toc10207"/>
      <w:r>
        <w:rPr>
          <w:rFonts w:hint="eastAsia" w:ascii="黑体" w:hAnsi="黑体" w:eastAsia="黑体" w:cs="黑体"/>
          <w:color w:val="auto"/>
          <w:spacing w:val="-9"/>
          <w:sz w:val="32"/>
          <w:szCs w:val="32"/>
          <w:highlight w:val="none"/>
          <w:lang w:eastAsia="zh-CN"/>
        </w:rPr>
        <w:t>7</w:t>
      </w:r>
    </w:p>
    <w:p w14:paraId="33208A65">
      <w:pPr>
        <w:snapToGrid w:val="0"/>
        <w:ind w:left="27"/>
        <w:jc w:val="center"/>
        <w:rPr>
          <w:rFonts w:ascii="宋体" w:hAnsi="宋体" w:cs="宋体"/>
          <w:color w:val="auto"/>
          <w:spacing w:val="-9"/>
          <w:sz w:val="24"/>
          <w:highlight w:val="none"/>
          <w:u w:val="single"/>
        </w:rPr>
      </w:pPr>
    </w:p>
    <w:p w14:paraId="2C8B3619">
      <w:pPr>
        <w:snapToGrid w:val="0"/>
        <w:ind w:left="27"/>
        <w:jc w:val="center"/>
        <w:rPr>
          <w:rFonts w:ascii="宋体" w:hAnsi="宋体" w:cs="宋体"/>
          <w:color w:val="auto"/>
          <w:spacing w:val="-9"/>
          <w:sz w:val="24"/>
          <w:highlight w:val="none"/>
          <w:u w:val="single"/>
        </w:rPr>
      </w:pPr>
    </w:p>
    <w:p w14:paraId="6D0AF406">
      <w:pPr>
        <w:pStyle w:val="4"/>
        <w:spacing w:before="140" w:after="140" w:line="360" w:lineRule="auto"/>
        <w:jc w:val="center"/>
        <w:rPr>
          <w:rFonts w:hint="eastAsia" w:ascii="宋体" w:hAnsi="宋体" w:cs="黑体"/>
          <w:bCs w:val="0"/>
          <w:color w:val="auto"/>
          <w:sz w:val="30"/>
          <w:szCs w:val="30"/>
          <w:highlight w:val="none"/>
        </w:rPr>
      </w:pPr>
      <w:r>
        <w:rPr>
          <w:rFonts w:hint="eastAsia" w:ascii="宋体" w:hAnsi="宋体" w:cs="黑体"/>
          <w:bCs w:val="0"/>
          <w:color w:val="auto"/>
          <w:sz w:val="30"/>
          <w:szCs w:val="30"/>
          <w:highlight w:val="none"/>
        </w:rPr>
        <w:t>附录1  资格审查条件（资质最低要求）</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731"/>
      </w:tblGrid>
      <w:tr w14:paraId="5EDD953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9731" w:type="dxa"/>
          </w:tcPr>
          <w:p w14:paraId="4C3F7B1D">
            <w:pPr>
              <w:pStyle w:val="53"/>
              <w:spacing w:line="360" w:lineRule="auto"/>
              <w:ind w:firstLine="0"/>
              <w:jc w:val="center"/>
              <w:rPr>
                <w:rFonts w:ascii="宋体" w:hAnsi="宋体" w:cs="Times New Roman"/>
                <w:color w:val="auto"/>
                <w:sz w:val="21"/>
                <w:szCs w:val="21"/>
                <w:highlight w:val="none"/>
              </w:rPr>
            </w:pPr>
            <w:r>
              <w:rPr>
                <w:rFonts w:hint="eastAsia" w:ascii="宋体" w:hAnsi="宋体"/>
                <w:color w:val="auto"/>
                <w:sz w:val="24"/>
                <w:highlight w:val="none"/>
              </w:rPr>
              <w:t>施工企业资质等级要求</w:t>
            </w:r>
          </w:p>
        </w:tc>
      </w:tr>
      <w:tr w14:paraId="246A0A4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70" w:hRule="atLeast"/>
          <w:jc w:val="center"/>
        </w:trPr>
        <w:tc>
          <w:tcPr>
            <w:tcW w:w="9731" w:type="dxa"/>
            <w:vAlign w:val="center"/>
          </w:tcPr>
          <w:p w14:paraId="296EFE41">
            <w:pPr>
              <w:pStyle w:val="16"/>
              <w:spacing w:line="360" w:lineRule="auto"/>
              <w:ind w:firstLine="480" w:firstLineChars="200"/>
              <w:rPr>
                <w:rFonts w:hint="eastAsia" w:ascii="宋体" w:hAnsi="宋体"/>
                <w:color w:val="auto"/>
                <w:sz w:val="24"/>
                <w:highlight w:val="none"/>
              </w:rPr>
            </w:pPr>
            <w:r>
              <w:rPr>
                <w:rFonts w:ascii="宋体" w:hAnsi="宋体"/>
                <w:color w:val="auto"/>
                <w:sz w:val="24"/>
                <w:highlight w:val="none"/>
              </w:rPr>
              <w:t>1、中华人民共和国国内注册成立的独立企业法人。</w:t>
            </w:r>
          </w:p>
          <w:p w14:paraId="78B60750">
            <w:pPr>
              <w:pStyle w:val="16"/>
              <w:spacing w:line="360" w:lineRule="auto"/>
              <w:ind w:firstLine="480" w:firstLineChars="200"/>
              <w:rPr>
                <w:rFonts w:ascii="宋体" w:hAnsi="宋体"/>
                <w:color w:val="auto"/>
                <w:sz w:val="24"/>
                <w:highlight w:val="none"/>
              </w:rPr>
            </w:pPr>
            <w:r>
              <w:rPr>
                <w:rFonts w:ascii="宋体" w:hAnsi="宋体"/>
                <w:color w:val="auto"/>
                <w:sz w:val="24"/>
                <w:highlight w:val="none"/>
              </w:rPr>
              <w:t>2、具备住房城乡建设主管部门核发的公路工程施工总承包二级（或以上）资质。</w:t>
            </w:r>
          </w:p>
          <w:p w14:paraId="53A200B2">
            <w:pPr>
              <w:pStyle w:val="16"/>
              <w:ind w:firstLine="480" w:firstLineChars="200"/>
              <w:rPr>
                <w:rFonts w:ascii="宋体" w:hAnsi="宋体" w:cs="Times New Roman"/>
                <w:color w:val="auto"/>
                <w:sz w:val="21"/>
                <w:szCs w:val="21"/>
                <w:highlight w:val="none"/>
              </w:rPr>
            </w:pPr>
            <w:r>
              <w:rPr>
                <w:rFonts w:ascii="宋体" w:hAnsi="宋体"/>
                <w:color w:val="auto"/>
                <w:sz w:val="24"/>
                <w:highlight w:val="none"/>
              </w:rPr>
              <w:t>3、具有有效的安全生产许可证。</w:t>
            </w:r>
          </w:p>
        </w:tc>
      </w:tr>
    </w:tbl>
    <w:p w14:paraId="275B820B">
      <w:pPr>
        <w:pStyle w:val="53"/>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注：投标人应根据投标文件第二章“投标人须知”第3.5.1项的要求附相关证明材料。</w:t>
      </w:r>
    </w:p>
    <w:p w14:paraId="4C26F195">
      <w:pPr>
        <w:rPr>
          <w:rFonts w:hint="eastAsia" w:ascii="宋体" w:hAnsi="宋体" w:cs="黑体"/>
          <w:color w:val="auto"/>
          <w:sz w:val="30"/>
          <w:szCs w:val="30"/>
          <w:highlight w:val="none"/>
        </w:rPr>
      </w:pPr>
    </w:p>
    <w:p w14:paraId="4F620763">
      <w:pPr>
        <w:pStyle w:val="53"/>
        <w:rPr>
          <w:rFonts w:hint="eastAsia" w:ascii="宋体" w:hAnsi="宋体" w:cs="黑体"/>
          <w:color w:val="auto"/>
          <w:sz w:val="30"/>
          <w:szCs w:val="30"/>
          <w:highlight w:val="none"/>
        </w:rPr>
      </w:pPr>
    </w:p>
    <w:p w14:paraId="703E26E9">
      <w:pPr>
        <w:pStyle w:val="4"/>
        <w:spacing w:before="140" w:after="140" w:line="360" w:lineRule="auto"/>
        <w:jc w:val="center"/>
        <w:rPr>
          <w:rFonts w:hint="eastAsia" w:ascii="宋体" w:hAnsi="宋体" w:cs="黑体"/>
          <w:bCs w:val="0"/>
          <w:color w:val="auto"/>
          <w:sz w:val="30"/>
          <w:szCs w:val="30"/>
          <w:highlight w:val="none"/>
        </w:rPr>
      </w:pPr>
    </w:p>
    <w:p w14:paraId="1053BFC2">
      <w:pPr>
        <w:pStyle w:val="4"/>
        <w:spacing w:before="140" w:after="140" w:line="360" w:lineRule="auto"/>
        <w:jc w:val="both"/>
        <w:rPr>
          <w:rFonts w:hint="eastAsia" w:ascii="宋体" w:hAnsi="宋体" w:cs="黑体"/>
          <w:bCs w:val="0"/>
          <w:color w:val="auto"/>
          <w:sz w:val="30"/>
          <w:szCs w:val="30"/>
          <w:highlight w:val="none"/>
        </w:rPr>
      </w:pPr>
    </w:p>
    <w:p w14:paraId="3EC1A154">
      <w:pPr>
        <w:pStyle w:val="4"/>
        <w:spacing w:before="140" w:after="140" w:line="360" w:lineRule="auto"/>
        <w:jc w:val="center"/>
        <w:rPr>
          <w:rFonts w:hint="eastAsia" w:ascii="宋体" w:hAnsi="宋体" w:cs="黑体"/>
          <w:bCs w:val="0"/>
          <w:color w:val="auto"/>
          <w:sz w:val="30"/>
          <w:szCs w:val="30"/>
          <w:highlight w:val="none"/>
        </w:rPr>
      </w:pPr>
      <w:r>
        <w:rPr>
          <w:rFonts w:hint="eastAsia" w:ascii="宋体" w:hAnsi="宋体" w:cs="黑体"/>
          <w:bCs w:val="0"/>
          <w:color w:val="auto"/>
          <w:sz w:val="30"/>
          <w:szCs w:val="30"/>
          <w:highlight w:val="none"/>
        </w:rPr>
        <w:t>附录2  资格审查条件（财务最低要求）</w:t>
      </w:r>
    </w:p>
    <w:tbl>
      <w:tblPr>
        <w:tblStyle w:val="43"/>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14:paraId="06AC2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vAlign w:val="center"/>
          </w:tcPr>
          <w:p w14:paraId="21051DB1">
            <w:pPr>
              <w:pStyle w:val="16"/>
              <w:spacing w:before="120" w:beforeLines="50" w:after="120" w:afterLines="50"/>
              <w:ind w:left="105" w:leftChars="50" w:right="105" w:rightChars="50"/>
              <w:jc w:val="center"/>
              <w:rPr>
                <w:rFonts w:ascii="Calibri" w:hAnsi="Calibri"/>
                <w:color w:val="auto"/>
                <w:sz w:val="24"/>
                <w:highlight w:val="none"/>
              </w:rPr>
            </w:pPr>
            <w:r>
              <w:rPr>
                <w:rFonts w:hint="eastAsia" w:ascii="宋体" w:hAnsi="宋体"/>
                <w:color w:val="auto"/>
                <w:sz w:val="24"/>
                <w:highlight w:val="none"/>
              </w:rPr>
              <w:t>财 务 要 求</w:t>
            </w:r>
          </w:p>
        </w:tc>
      </w:tr>
      <w:tr w14:paraId="4E656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vAlign w:val="center"/>
          </w:tcPr>
          <w:p w14:paraId="796FF86E">
            <w:pPr>
              <w:pStyle w:val="16"/>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企业净资产（总资产-总负债）不少于</w:t>
            </w:r>
            <w:r>
              <w:rPr>
                <w:rFonts w:hint="eastAsia" w:ascii="宋体" w:hAnsi="宋体"/>
                <w:color w:val="auto"/>
                <w:sz w:val="24"/>
                <w:highlight w:val="none"/>
                <w:lang w:val="en-US" w:eastAsia="zh-CN"/>
              </w:rPr>
              <w:t>4</w:t>
            </w:r>
            <w:r>
              <w:rPr>
                <w:rFonts w:hint="eastAsia" w:ascii="宋体" w:hAnsi="宋体"/>
                <w:color w:val="auto"/>
                <w:sz w:val="24"/>
                <w:highlight w:val="none"/>
                <w:u w:val="single"/>
              </w:rPr>
              <w:t>000</w:t>
            </w:r>
            <w:r>
              <w:rPr>
                <w:rFonts w:ascii="宋体" w:hAnsi="宋体"/>
                <w:color w:val="auto"/>
                <w:sz w:val="24"/>
                <w:highlight w:val="none"/>
              </w:rPr>
              <w:t>万元人民币</w:t>
            </w:r>
            <w:r>
              <w:rPr>
                <w:rFonts w:hint="eastAsia" w:ascii="宋体" w:hAnsi="宋体"/>
                <w:color w:val="auto"/>
                <w:sz w:val="24"/>
                <w:highlight w:val="none"/>
              </w:rPr>
              <w:t>。</w:t>
            </w:r>
            <w:r>
              <w:rPr>
                <w:rFonts w:ascii="宋体" w:hAnsi="宋体"/>
                <w:color w:val="auto"/>
                <w:sz w:val="24"/>
                <w:highlight w:val="none"/>
              </w:rPr>
              <w:t xml:space="preserve"> </w:t>
            </w:r>
          </w:p>
          <w:p w14:paraId="336CF5DC">
            <w:pPr>
              <w:pStyle w:val="16"/>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营运资金（流动资产－流动负债）不少于</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0000</w:t>
            </w:r>
            <w:r>
              <w:rPr>
                <w:rFonts w:ascii="宋体" w:hAnsi="宋体"/>
                <w:color w:val="auto"/>
                <w:sz w:val="24"/>
                <w:highlight w:val="none"/>
              </w:rPr>
              <w:t>万元人民币</w:t>
            </w:r>
            <w:r>
              <w:rPr>
                <w:rFonts w:hint="eastAsia" w:ascii="宋体" w:hAnsi="宋体"/>
                <w:color w:val="auto"/>
                <w:sz w:val="24"/>
                <w:highlight w:val="none"/>
              </w:rPr>
              <w:t>。</w:t>
            </w:r>
            <w:r>
              <w:rPr>
                <w:rFonts w:ascii="宋体" w:hAnsi="宋体"/>
                <w:color w:val="auto"/>
                <w:sz w:val="24"/>
                <w:highlight w:val="none"/>
              </w:rPr>
              <w:t xml:space="preserve">  </w:t>
            </w:r>
          </w:p>
          <w:p w14:paraId="4B73EB3C">
            <w:pPr>
              <w:pStyle w:val="16"/>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kern w:val="0"/>
                <w:sz w:val="24"/>
                <w:highlight w:val="none"/>
              </w:rPr>
              <w:t>近三个年度的年平均营业总收入不少于</w:t>
            </w:r>
            <w:r>
              <w:rPr>
                <w:rFonts w:hint="eastAsia" w:ascii="宋体" w:hAnsi="宋体"/>
                <w:color w:val="auto"/>
                <w:kern w:val="0"/>
                <w:sz w:val="24"/>
                <w:highlight w:val="none"/>
                <w:u w:val="single"/>
                <w:lang w:val="en-US" w:eastAsia="zh-CN"/>
              </w:rPr>
              <w:t>37</w:t>
            </w:r>
            <w:r>
              <w:rPr>
                <w:rFonts w:hint="eastAsia" w:ascii="宋体" w:hAnsi="宋体"/>
                <w:color w:val="auto"/>
                <w:sz w:val="24"/>
                <w:highlight w:val="none"/>
                <w:u w:val="single"/>
              </w:rPr>
              <w:t>000</w:t>
            </w:r>
            <w:r>
              <w:rPr>
                <w:rFonts w:hint="eastAsia" w:ascii="宋体" w:hAnsi="宋体"/>
                <w:color w:val="auto"/>
                <w:kern w:val="0"/>
                <w:sz w:val="24"/>
                <w:highlight w:val="none"/>
              </w:rPr>
              <w:t>万元人民币</w:t>
            </w:r>
            <w:r>
              <w:rPr>
                <w:rFonts w:hint="eastAsia" w:ascii="宋体" w:hAnsi="宋体"/>
                <w:color w:val="auto"/>
                <w:sz w:val="24"/>
                <w:highlight w:val="none"/>
              </w:rPr>
              <w:t>。</w:t>
            </w:r>
          </w:p>
          <w:p w14:paraId="05385DE2">
            <w:pPr>
              <w:pStyle w:val="16"/>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4、近三个年度至少有</w:t>
            </w:r>
            <w:r>
              <w:rPr>
                <w:rFonts w:hint="eastAsia" w:ascii="宋体" w:hAnsi="宋体"/>
                <w:color w:val="auto"/>
                <w:sz w:val="24"/>
                <w:highlight w:val="none"/>
                <w:u w:val="single"/>
                <w:lang w:val="en-US" w:eastAsia="zh-CN"/>
              </w:rPr>
              <w:t>1</w:t>
            </w:r>
            <w:r>
              <w:rPr>
                <w:rFonts w:hint="eastAsia" w:ascii="宋体" w:hAnsi="宋体"/>
                <w:color w:val="auto"/>
                <w:sz w:val="24"/>
                <w:highlight w:val="none"/>
              </w:rPr>
              <w:t>年盈利。</w:t>
            </w:r>
          </w:p>
        </w:tc>
      </w:tr>
    </w:tbl>
    <w:p w14:paraId="1C1F2DF1">
      <w:pPr>
        <w:pStyle w:val="53"/>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注：1、企业净资产、营运资金是按交通运输部“全国公路建设市场监督管理系统”登记的最新年度（近三个年度的最后一年，下同）数据计算得出。近三个年度是指202</w:t>
      </w: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rPr>
        <w:t>年度-202</w:t>
      </w:r>
      <w:r>
        <w:rPr>
          <w:rFonts w:hint="eastAsia" w:ascii="宋体" w:hAnsi="宋体" w:cs="Times New Roman"/>
          <w:color w:val="auto"/>
          <w:sz w:val="21"/>
          <w:szCs w:val="21"/>
          <w:highlight w:val="none"/>
          <w:lang w:val="en-US" w:eastAsia="zh-CN"/>
        </w:rPr>
        <w:t>3年度</w:t>
      </w:r>
      <w:r>
        <w:rPr>
          <w:rFonts w:hint="eastAsia" w:ascii="宋体" w:hAnsi="宋体" w:cs="Times New Roman"/>
          <w:color w:val="auto"/>
          <w:sz w:val="21"/>
          <w:szCs w:val="21"/>
          <w:highlight w:val="none"/>
        </w:rPr>
        <w:t>。</w:t>
      </w:r>
    </w:p>
    <w:p w14:paraId="30C33B8E">
      <w:pPr>
        <w:pStyle w:val="53"/>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2、投标人应根据招标文件第二章“投标人须知”第 3.5.2 项的要求附相关证明材料。</w:t>
      </w:r>
    </w:p>
    <w:p w14:paraId="09195034">
      <w:pPr>
        <w:pStyle w:val="4"/>
        <w:spacing w:before="140" w:after="140" w:line="360" w:lineRule="auto"/>
        <w:jc w:val="center"/>
        <w:rPr>
          <w:rFonts w:hint="eastAsia" w:ascii="宋体" w:hAnsi="宋体" w:cs="黑体"/>
          <w:bCs w:val="0"/>
          <w:color w:val="auto"/>
          <w:sz w:val="30"/>
          <w:szCs w:val="30"/>
          <w:highlight w:val="none"/>
        </w:rPr>
      </w:pPr>
    </w:p>
    <w:p w14:paraId="78B5D808">
      <w:pPr>
        <w:rPr>
          <w:rFonts w:hint="eastAsia" w:ascii="宋体" w:hAnsi="宋体" w:cs="黑体"/>
          <w:color w:val="auto"/>
          <w:sz w:val="30"/>
          <w:szCs w:val="30"/>
          <w:highlight w:val="none"/>
        </w:rPr>
      </w:pPr>
      <w:r>
        <w:rPr>
          <w:rFonts w:hint="eastAsia" w:ascii="宋体" w:hAnsi="宋体" w:cs="黑体"/>
          <w:color w:val="auto"/>
          <w:sz w:val="30"/>
          <w:szCs w:val="30"/>
          <w:highlight w:val="none"/>
        </w:rPr>
        <w:br w:type="page"/>
      </w:r>
    </w:p>
    <w:p w14:paraId="0B94F863">
      <w:pPr>
        <w:pStyle w:val="4"/>
        <w:spacing w:before="140" w:after="140" w:line="360" w:lineRule="auto"/>
        <w:jc w:val="center"/>
        <w:rPr>
          <w:rFonts w:hint="eastAsia" w:ascii="宋体" w:hAnsi="宋体" w:cs="黑体"/>
          <w:bCs w:val="0"/>
          <w:color w:val="auto"/>
          <w:sz w:val="30"/>
          <w:szCs w:val="30"/>
          <w:highlight w:val="none"/>
        </w:rPr>
      </w:pPr>
      <w:r>
        <w:rPr>
          <w:rFonts w:hint="eastAsia" w:ascii="宋体" w:hAnsi="宋体" w:cs="黑体"/>
          <w:bCs w:val="0"/>
          <w:color w:val="auto"/>
          <w:sz w:val="30"/>
          <w:szCs w:val="30"/>
          <w:highlight w:val="none"/>
        </w:rPr>
        <w:t>附录3  资格审查条件（业绩最低要求）</w:t>
      </w:r>
    </w:p>
    <w:tbl>
      <w:tblPr>
        <w:tblStyle w:val="43"/>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08298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14:paraId="08BCB9FC">
            <w:pPr>
              <w:pStyle w:val="16"/>
              <w:spacing w:line="360" w:lineRule="auto"/>
              <w:jc w:val="center"/>
              <w:rPr>
                <w:rFonts w:ascii="Calibri" w:hAnsi="Calibri"/>
                <w:color w:val="auto"/>
                <w:sz w:val="24"/>
                <w:highlight w:val="none"/>
              </w:rPr>
            </w:pPr>
            <w:r>
              <w:rPr>
                <w:rFonts w:hint="eastAsia" w:ascii="宋体" w:hAnsi="宋体"/>
                <w:color w:val="auto"/>
                <w:sz w:val="24"/>
                <w:highlight w:val="none"/>
              </w:rPr>
              <w:t>业 绩 要 求</w:t>
            </w:r>
          </w:p>
        </w:tc>
      </w:tr>
      <w:tr w14:paraId="419F6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14:paraId="1848F10E">
            <w:pPr>
              <w:widowControl/>
              <w:snapToGrid w:val="0"/>
              <w:jc w:val="left"/>
              <w:rPr>
                <w:rFonts w:hint="eastAsia" w:ascii="宋体" w:hAnsi="宋体"/>
                <w:color w:val="auto"/>
                <w:sz w:val="24"/>
                <w:highlight w:val="none"/>
              </w:rPr>
            </w:pPr>
            <w:r>
              <w:rPr>
                <w:rFonts w:ascii="宋体" w:hAnsi="宋体"/>
                <w:color w:val="auto"/>
                <w:sz w:val="24"/>
                <w:highlight w:val="none"/>
              </w:rPr>
              <w:t>近五年内，成功完成：</w:t>
            </w:r>
          </w:p>
          <w:p w14:paraId="56BD34A8">
            <w:pPr>
              <w:widowControl/>
              <w:snapToGrid w:val="0"/>
              <w:ind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类似工程路基桥涵工程至少</w:t>
            </w:r>
            <w:r>
              <w:rPr>
                <w:rFonts w:ascii="宋体" w:hAnsi="宋体"/>
                <w:color w:val="auto"/>
                <w:sz w:val="24"/>
                <w:highlight w:val="none"/>
                <w:u w:val="single"/>
              </w:rPr>
              <w:t xml:space="preserve"> 3 </w:t>
            </w:r>
            <w:r>
              <w:rPr>
                <w:rFonts w:ascii="宋体" w:hAnsi="宋体"/>
                <w:color w:val="auto"/>
                <w:sz w:val="24"/>
                <w:highlight w:val="none"/>
              </w:rPr>
              <w:t>个标段（其中有1个标段里程</w:t>
            </w:r>
            <w:r>
              <w:rPr>
                <w:rFonts w:ascii="宋体" w:hAnsi="宋体"/>
                <w:color w:val="auto"/>
                <w:sz w:val="24"/>
                <w:highlight w:val="none"/>
                <w:u w:val="single"/>
              </w:rPr>
              <w:t>至少</w:t>
            </w:r>
            <w:r>
              <w:rPr>
                <w:rFonts w:hint="eastAsia" w:ascii="宋体" w:hAnsi="宋体"/>
                <w:color w:val="auto"/>
                <w:sz w:val="24"/>
                <w:highlight w:val="none"/>
                <w:u w:val="single"/>
                <w:lang w:val="en-US" w:eastAsia="zh-CN"/>
              </w:rPr>
              <w:t xml:space="preserve">2 </w:t>
            </w:r>
            <w:r>
              <w:rPr>
                <w:rFonts w:ascii="宋体" w:hAnsi="宋体"/>
                <w:color w:val="auto"/>
                <w:sz w:val="24"/>
                <w:highlight w:val="none"/>
              </w:rPr>
              <w:t>km），且累计里程</w:t>
            </w:r>
            <w:r>
              <w:rPr>
                <w:rFonts w:hint="eastAsia" w:ascii="宋体" w:hAnsi="宋体"/>
                <w:color w:val="auto"/>
                <w:sz w:val="24"/>
                <w:highlight w:val="none"/>
                <w:u w:val="single"/>
              </w:rPr>
              <w:t>至少</w:t>
            </w:r>
            <w:r>
              <w:rPr>
                <w:rFonts w:hint="eastAsia" w:ascii="宋体" w:hAnsi="宋体"/>
                <w:color w:val="auto"/>
                <w:sz w:val="24"/>
                <w:highlight w:val="none"/>
                <w:u w:val="single"/>
                <w:lang w:val="en-US" w:eastAsia="zh-CN"/>
              </w:rPr>
              <w:t xml:space="preserve">6 </w:t>
            </w:r>
            <w:r>
              <w:rPr>
                <w:rFonts w:ascii="宋体" w:hAnsi="宋体"/>
                <w:color w:val="auto"/>
                <w:sz w:val="24"/>
                <w:highlight w:val="none"/>
              </w:rPr>
              <w:t>km</w:t>
            </w:r>
            <w:r>
              <w:rPr>
                <w:rFonts w:hint="eastAsia" w:ascii="宋体" w:hAnsi="宋体"/>
                <w:color w:val="auto"/>
                <w:sz w:val="24"/>
                <w:highlight w:val="none"/>
              </w:rPr>
              <w:t>。</w:t>
            </w:r>
          </w:p>
          <w:p w14:paraId="5F86048A">
            <w:pPr>
              <w:widowControl/>
              <w:snapToGrid w:val="0"/>
              <w:ind w:firstLineChars="200"/>
              <w:jc w:val="lef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桥长不小于</w:t>
            </w:r>
            <w:r>
              <w:rPr>
                <w:rFonts w:hint="eastAsia" w:ascii="宋体" w:hAnsi="宋体"/>
                <w:color w:val="auto"/>
                <w:sz w:val="24"/>
                <w:highlight w:val="none"/>
                <w:u w:val="single"/>
                <w:lang w:val="en-US" w:eastAsia="zh-CN"/>
              </w:rPr>
              <w:t>210</w:t>
            </w:r>
            <w:r>
              <w:rPr>
                <w:rFonts w:hint="eastAsia"/>
                <w:color w:val="auto"/>
                <w:highlight w:val="none"/>
                <w:u w:val="single"/>
                <w:lang w:val="en-US" w:eastAsia="zh-CN"/>
              </w:rPr>
              <w:t xml:space="preserve"> </w:t>
            </w:r>
            <w:r>
              <w:rPr>
                <w:rFonts w:ascii="宋体" w:hAnsi="宋体"/>
                <w:color w:val="auto"/>
                <w:sz w:val="24"/>
                <w:highlight w:val="none"/>
                <w:u w:val="single"/>
              </w:rPr>
              <w:t>m</w:t>
            </w:r>
            <w:r>
              <w:rPr>
                <w:rFonts w:ascii="宋体" w:hAnsi="宋体"/>
                <w:color w:val="auto"/>
                <w:sz w:val="24"/>
                <w:highlight w:val="none"/>
              </w:rPr>
              <w:t>的类似工程桥梁</w:t>
            </w:r>
            <w:r>
              <w:rPr>
                <w:rFonts w:hint="eastAsia" w:ascii="宋体" w:hAnsi="宋体"/>
                <w:color w:val="auto"/>
                <w:sz w:val="24"/>
                <w:highlight w:val="none"/>
                <w:u w:val="single"/>
              </w:rPr>
              <w:t>至少</w:t>
            </w:r>
            <w:r>
              <w:rPr>
                <w:rFonts w:ascii="宋体" w:hAnsi="宋体"/>
                <w:color w:val="auto"/>
                <w:sz w:val="24"/>
                <w:highlight w:val="none"/>
                <w:u w:val="single"/>
              </w:rPr>
              <w:t xml:space="preserve"> 3 </w:t>
            </w:r>
            <w:r>
              <w:rPr>
                <w:rFonts w:ascii="宋体" w:hAnsi="宋体"/>
                <w:color w:val="auto"/>
                <w:sz w:val="24"/>
                <w:highlight w:val="none"/>
              </w:rPr>
              <w:t>座，且其中</w:t>
            </w:r>
            <w:r>
              <w:rPr>
                <w:rFonts w:hint="eastAsia" w:ascii="宋体" w:hAnsi="宋体"/>
                <w:color w:val="auto"/>
                <w:sz w:val="24"/>
                <w:highlight w:val="none"/>
                <w:u w:val="single"/>
              </w:rPr>
              <w:t xml:space="preserve">至少 1 </w:t>
            </w:r>
            <w:r>
              <w:rPr>
                <w:rFonts w:ascii="宋体" w:hAnsi="宋体"/>
                <w:color w:val="auto"/>
                <w:sz w:val="24"/>
                <w:highlight w:val="none"/>
              </w:rPr>
              <w:t>座主孔单孔跨径</w:t>
            </w:r>
            <w:r>
              <w:rPr>
                <w:rFonts w:ascii="宋体" w:hAnsi="宋体"/>
                <w:color w:val="auto"/>
                <w:sz w:val="24"/>
                <w:highlight w:val="none"/>
                <w:u w:val="single"/>
              </w:rPr>
              <w:t>不小于</w:t>
            </w:r>
            <w:r>
              <w:rPr>
                <w:rFonts w:hint="eastAsia" w:ascii="宋体" w:hAnsi="宋体"/>
                <w:color w:val="auto"/>
                <w:sz w:val="24"/>
                <w:highlight w:val="none"/>
                <w:u w:val="single"/>
                <w:lang w:val="en-US" w:eastAsia="zh-CN"/>
              </w:rPr>
              <w:t>40</w:t>
            </w:r>
            <w:r>
              <w:rPr>
                <w:rFonts w:ascii="宋体" w:hAnsi="宋体"/>
                <w:color w:val="auto"/>
                <w:sz w:val="24"/>
                <w:highlight w:val="none"/>
              </w:rPr>
              <w:t>m。</w:t>
            </w:r>
          </w:p>
          <w:p w14:paraId="3D7AC692">
            <w:pPr>
              <w:widowControl/>
              <w:snapToGrid w:val="0"/>
              <w:ind w:firstLine="480" w:firstLineChars="200"/>
              <w:jc w:val="lef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类似工程沥青混凝土路面工程</w:t>
            </w:r>
            <w:r>
              <w:rPr>
                <w:rFonts w:ascii="宋体" w:hAnsi="宋体"/>
                <w:color w:val="auto"/>
                <w:sz w:val="24"/>
                <w:highlight w:val="none"/>
                <w:u w:val="single"/>
              </w:rPr>
              <w:t>至少</w:t>
            </w:r>
            <w:r>
              <w:rPr>
                <w:rFonts w:hint="eastAsia" w:ascii="宋体" w:hAnsi="宋体"/>
                <w:color w:val="auto"/>
                <w:sz w:val="24"/>
                <w:highlight w:val="none"/>
                <w:u w:val="single"/>
                <w:lang w:val="en-US" w:eastAsia="zh-CN"/>
              </w:rPr>
              <w:t>3</w:t>
            </w:r>
            <w:r>
              <w:rPr>
                <w:rFonts w:ascii="宋体" w:hAnsi="宋体"/>
                <w:color w:val="auto"/>
                <w:sz w:val="24"/>
                <w:highlight w:val="none"/>
                <w:u w:val="single"/>
              </w:rPr>
              <w:t xml:space="preserve"> </w:t>
            </w:r>
            <w:r>
              <w:rPr>
                <w:rFonts w:ascii="宋体" w:hAnsi="宋体"/>
                <w:color w:val="auto"/>
                <w:sz w:val="24"/>
                <w:highlight w:val="none"/>
              </w:rPr>
              <w:t>个标段（其中有1个标段里程</w:t>
            </w:r>
            <w:r>
              <w:rPr>
                <w:rFonts w:hint="eastAsia" w:ascii="宋体" w:hAnsi="宋体"/>
                <w:color w:val="auto"/>
                <w:sz w:val="24"/>
                <w:highlight w:val="none"/>
                <w:u w:val="single"/>
              </w:rPr>
              <w:t>至少</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ascii="宋体" w:hAnsi="宋体"/>
                <w:color w:val="auto"/>
                <w:sz w:val="24"/>
                <w:highlight w:val="none"/>
                <w:u w:val="single"/>
              </w:rPr>
              <w:t xml:space="preserve"> </w:t>
            </w:r>
            <w:r>
              <w:rPr>
                <w:rFonts w:ascii="宋体" w:hAnsi="宋体"/>
                <w:color w:val="auto"/>
                <w:sz w:val="24"/>
                <w:highlight w:val="none"/>
              </w:rPr>
              <w:t>km）</w:t>
            </w:r>
            <w:r>
              <w:rPr>
                <w:rFonts w:hint="eastAsia" w:ascii="宋体" w:hAnsi="宋体"/>
                <w:color w:val="auto"/>
                <w:sz w:val="24"/>
                <w:highlight w:val="none"/>
                <w:lang w:eastAsia="zh-CN"/>
              </w:rPr>
              <w:t>，</w:t>
            </w:r>
            <w:r>
              <w:rPr>
                <w:rFonts w:hint="eastAsia" w:ascii="宋体" w:hAnsi="宋体" w:eastAsia="宋体" w:cs="宋体"/>
                <w:color w:val="auto"/>
                <w:kern w:val="0"/>
                <w:sz w:val="24"/>
                <w:szCs w:val="24"/>
                <w:highlight w:val="none"/>
                <w:lang w:val="en-US" w:eastAsia="zh-CN" w:bidi="ar"/>
              </w:rPr>
              <w:t>且累计里程</w:t>
            </w:r>
            <w:r>
              <w:rPr>
                <w:rFonts w:hint="eastAsia" w:ascii="宋体" w:hAnsi="宋体"/>
                <w:color w:val="auto"/>
                <w:sz w:val="24"/>
                <w:highlight w:val="none"/>
                <w:u w:val="single"/>
              </w:rPr>
              <w:t>至少</w:t>
            </w:r>
            <w:r>
              <w:rPr>
                <w:rFonts w:hint="eastAsia" w:ascii="宋体" w:hAnsi="宋体"/>
                <w:color w:val="auto"/>
                <w:sz w:val="24"/>
                <w:highlight w:val="none"/>
                <w:u w:val="single"/>
                <w:lang w:val="en-US" w:eastAsia="zh-CN"/>
              </w:rPr>
              <w:t xml:space="preserve">6 </w:t>
            </w:r>
            <w:r>
              <w:rPr>
                <w:rFonts w:hint="eastAsia" w:ascii="宋体" w:hAnsi="宋体" w:eastAsia="宋体" w:cs="宋体"/>
                <w:color w:val="auto"/>
                <w:kern w:val="0"/>
                <w:sz w:val="24"/>
                <w:szCs w:val="24"/>
                <w:highlight w:val="none"/>
                <w:lang w:val="en-US" w:eastAsia="zh-CN" w:bidi="ar"/>
              </w:rPr>
              <w:t>km。</w:t>
            </w:r>
          </w:p>
        </w:tc>
      </w:tr>
    </w:tbl>
    <w:p w14:paraId="595144A8">
      <w:pPr>
        <w:pStyle w:val="53"/>
        <w:snapToGrid w:val="0"/>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注：</w:t>
      </w:r>
    </w:p>
    <w:p w14:paraId="6D3185B4">
      <w:pPr>
        <w:pStyle w:val="53"/>
        <w:snapToGrid w:val="0"/>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1、本附录所要求的业绩仅限中华人民共和国境内业绩。</w:t>
      </w:r>
    </w:p>
    <w:p w14:paraId="01109A58">
      <w:pPr>
        <w:pStyle w:val="53"/>
        <w:numPr>
          <w:ilvl w:val="0"/>
          <w:numId w:val="4"/>
        </w:numPr>
        <w:snapToGrid w:val="0"/>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投标人应根据招标文件第二章“投标人须知”第 3.5.3 项的要求附相关证明材料。</w:t>
      </w:r>
    </w:p>
    <w:p w14:paraId="5FF566A7">
      <w:pPr>
        <w:pStyle w:val="53"/>
        <w:numPr>
          <w:ilvl w:val="0"/>
          <w:numId w:val="5"/>
        </w:numPr>
        <w:snapToGrid w:val="0"/>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近五年是指：2020年1月1日至投标文件递交截止之日止。</w:t>
      </w:r>
    </w:p>
    <w:p w14:paraId="79CAB7CB">
      <w:pPr>
        <w:pStyle w:val="53"/>
        <w:snapToGrid w:val="0"/>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4、类似工程是指：指</w:t>
      </w:r>
      <w:r>
        <w:rPr>
          <w:rFonts w:hint="eastAsia" w:ascii="宋体" w:hAnsi="宋体" w:cs="Times New Roman"/>
          <w:b/>
          <w:bCs/>
          <w:color w:val="auto"/>
          <w:sz w:val="21"/>
          <w:szCs w:val="21"/>
          <w:highlight w:val="none"/>
          <w:u w:val="single"/>
        </w:rPr>
        <w:t>新建或改造或改、扩建一级或以上等级</w:t>
      </w:r>
      <w:r>
        <w:rPr>
          <w:rFonts w:hint="eastAsia" w:ascii="宋体" w:hAnsi="宋体" w:cs="Times New Roman"/>
          <w:color w:val="auto"/>
          <w:sz w:val="21"/>
          <w:szCs w:val="21"/>
          <w:highlight w:val="none"/>
        </w:rPr>
        <w:t>公路施工项目。在采用新建公路项目完工业绩时，对于同公路等级改、扩建中的新建桥梁或隧道工程业绩也应认可。</w:t>
      </w:r>
    </w:p>
    <w:p w14:paraId="1D8C462D">
      <w:pPr>
        <w:rPr>
          <w:color w:val="auto"/>
          <w:highlight w:val="none"/>
        </w:rPr>
      </w:pPr>
    </w:p>
    <w:p w14:paraId="3AFE9148">
      <w:pPr>
        <w:rPr>
          <w:color w:val="auto"/>
          <w:highlight w:val="none"/>
        </w:rPr>
      </w:pPr>
    </w:p>
    <w:p w14:paraId="1061027E">
      <w:pPr>
        <w:rPr>
          <w:color w:val="auto"/>
          <w:highlight w:val="none"/>
        </w:rPr>
      </w:pPr>
    </w:p>
    <w:p w14:paraId="183B6AA6">
      <w:pPr>
        <w:rPr>
          <w:color w:val="auto"/>
          <w:highlight w:val="none"/>
        </w:rPr>
      </w:pPr>
    </w:p>
    <w:p w14:paraId="7A4E0E6D">
      <w:pPr>
        <w:rPr>
          <w:color w:val="auto"/>
          <w:highlight w:val="none"/>
        </w:rPr>
      </w:pPr>
    </w:p>
    <w:p w14:paraId="047FF694">
      <w:pPr>
        <w:rPr>
          <w:color w:val="auto"/>
          <w:highlight w:val="none"/>
        </w:rPr>
      </w:pPr>
    </w:p>
    <w:p w14:paraId="5D530E36">
      <w:pPr>
        <w:pStyle w:val="4"/>
        <w:jc w:val="center"/>
        <w:rPr>
          <w:color w:val="auto"/>
          <w:sz w:val="30"/>
          <w:szCs w:val="30"/>
          <w:highlight w:val="none"/>
        </w:rPr>
      </w:pPr>
      <w:r>
        <w:rPr>
          <w:rFonts w:hint="eastAsia"/>
          <w:color w:val="auto"/>
          <w:sz w:val="30"/>
          <w:szCs w:val="30"/>
          <w:highlight w:val="none"/>
        </w:rPr>
        <w:t>附录4  资格审查条件（信誉最低要求）</w:t>
      </w:r>
    </w:p>
    <w:tbl>
      <w:tblPr>
        <w:tblStyle w:val="43"/>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0E53E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jc w:val="center"/>
        </w:trPr>
        <w:tc>
          <w:tcPr>
            <w:tcW w:w="9239" w:type="dxa"/>
            <w:vAlign w:val="center"/>
          </w:tcPr>
          <w:p w14:paraId="329DB0A9">
            <w:pPr>
              <w:jc w:val="center"/>
              <w:rPr>
                <w:rFonts w:hint="eastAsia" w:ascii="宋体" w:hAnsi="宋体"/>
                <w:color w:val="auto"/>
                <w:sz w:val="24"/>
                <w:highlight w:val="none"/>
              </w:rPr>
            </w:pPr>
            <w:r>
              <w:rPr>
                <w:rFonts w:hint="eastAsia" w:ascii="宋体" w:hAnsi="宋体"/>
                <w:color w:val="auto"/>
                <w:sz w:val="24"/>
                <w:highlight w:val="none"/>
              </w:rPr>
              <w:t>信 誉 要 求</w:t>
            </w:r>
          </w:p>
        </w:tc>
      </w:tr>
      <w:tr w14:paraId="1797D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14:paraId="2E378112">
            <w:pPr>
              <w:pStyle w:val="58"/>
              <w:spacing w:line="360" w:lineRule="auto"/>
              <w:ind w:firstLine="480"/>
              <w:jc w:val="both"/>
              <w:rPr>
                <w:rFonts w:hint="eastAsia" w:ascii="宋体" w:hAnsi="宋体"/>
                <w:color w:val="auto"/>
                <w:highlight w:val="none"/>
              </w:rPr>
            </w:pPr>
            <w:r>
              <w:rPr>
                <w:rFonts w:hint="eastAsia" w:ascii="宋体" w:hAnsi="宋体"/>
                <w:color w:val="auto"/>
                <w:highlight w:val="none"/>
              </w:rPr>
              <w:t>在最新年度广东省公路工程从业单位（施工单位）信用评价（含无最新年度而上一年度有信用评价）中，信用等级未被评为 D 级；</w:t>
            </w:r>
          </w:p>
          <w:p w14:paraId="0F20512A">
            <w:pPr>
              <w:pStyle w:val="58"/>
              <w:spacing w:line="360" w:lineRule="auto"/>
              <w:ind w:firstLine="480"/>
              <w:jc w:val="both"/>
              <w:rPr>
                <w:rFonts w:hint="eastAsia" w:ascii="宋体" w:hAnsi="宋体"/>
                <w:color w:val="auto"/>
                <w:highlight w:val="none"/>
              </w:rPr>
            </w:pPr>
            <w:r>
              <w:rPr>
                <w:rFonts w:hint="eastAsia" w:ascii="宋体" w:hAnsi="宋体"/>
                <w:color w:val="auto"/>
                <w:highlight w:val="none"/>
              </w:rPr>
              <w:t>初次进入广东省的投标人，在最新年度的全国公路从业单位（施工单位）信用评价结果中未被评为 D 级。</w:t>
            </w:r>
          </w:p>
        </w:tc>
      </w:tr>
    </w:tbl>
    <w:p w14:paraId="51123403">
      <w:pPr>
        <w:pStyle w:val="53"/>
        <w:snapToGrid w:val="0"/>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注：</w:t>
      </w:r>
    </w:p>
    <w:p w14:paraId="53B545B0">
      <w:pPr>
        <w:pStyle w:val="53"/>
        <w:snapToGrid w:val="0"/>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1、信用等级的确定原则遵</w:t>
      </w:r>
      <w:r>
        <w:rPr>
          <w:rFonts w:hint="eastAsia" w:ascii="宋体" w:hAnsi="宋体" w:cs="Times New Roman"/>
          <w:color w:val="auto"/>
          <w:sz w:val="21"/>
          <w:szCs w:val="21"/>
          <w:highlight w:val="none"/>
          <w:lang w:val="en-US" w:eastAsia="zh-CN"/>
        </w:rPr>
        <w:t>循</w:t>
      </w:r>
      <w:r>
        <w:rPr>
          <w:rFonts w:hint="eastAsia" w:ascii="宋体" w:hAnsi="宋体" w:cs="Times New Roman"/>
          <w:color w:val="auto"/>
          <w:sz w:val="21"/>
          <w:szCs w:val="21"/>
          <w:highlight w:val="none"/>
        </w:rPr>
        <w:t>投标人须知前附表 10.2 款的规定。</w:t>
      </w:r>
    </w:p>
    <w:p w14:paraId="622222DF">
      <w:pPr>
        <w:pStyle w:val="53"/>
        <w:snapToGrid w:val="0"/>
        <w:spacing w:line="360" w:lineRule="auto"/>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2、投标人应根据第九章“投标文件格式”中“</w:t>
      </w:r>
      <w:r>
        <w:rPr>
          <w:rFonts w:hint="eastAsia" w:ascii="宋体" w:hAnsi="宋体" w:cs="Times New Roman"/>
          <w:color w:val="auto"/>
          <w:sz w:val="21"/>
          <w:szCs w:val="21"/>
          <w:highlight w:val="none"/>
          <w:lang w:val="en-US" w:eastAsia="zh-CN"/>
        </w:rPr>
        <w:t>六</w:t>
      </w:r>
      <w:r>
        <w:rPr>
          <w:rFonts w:hint="eastAsia" w:ascii="宋体" w:hAnsi="宋体" w:cs="Times New Roman"/>
          <w:color w:val="auto"/>
          <w:sz w:val="21"/>
          <w:szCs w:val="21"/>
          <w:highlight w:val="none"/>
        </w:rPr>
        <w:t>、资格审查资料 （五）投标人的信誉情况表”填写情况说明。</w:t>
      </w:r>
    </w:p>
    <w:p w14:paraId="72DF406A">
      <w:pPr>
        <w:rPr>
          <w:rFonts w:hint="eastAsia" w:ascii="宋体" w:hAnsi="宋体" w:cs="黑体"/>
          <w:bCs w:val="0"/>
          <w:color w:val="auto"/>
          <w:sz w:val="30"/>
          <w:szCs w:val="30"/>
          <w:highlight w:val="none"/>
        </w:rPr>
      </w:pPr>
      <w:r>
        <w:rPr>
          <w:rFonts w:hint="eastAsia" w:ascii="宋体" w:hAnsi="宋体" w:cs="黑体"/>
          <w:bCs w:val="0"/>
          <w:color w:val="auto"/>
          <w:sz w:val="30"/>
          <w:szCs w:val="30"/>
          <w:highlight w:val="none"/>
        </w:rPr>
        <w:br w:type="page"/>
      </w:r>
    </w:p>
    <w:p w14:paraId="5B22192B">
      <w:pPr>
        <w:pStyle w:val="4"/>
        <w:spacing w:before="140" w:after="140" w:line="360" w:lineRule="auto"/>
        <w:jc w:val="center"/>
        <w:rPr>
          <w:rFonts w:hint="eastAsia" w:ascii="宋体" w:hAnsi="宋体" w:cs="黑体"/>
          <w:bCs w:val="0"/>
          <w:color w:val="auto"/>
          <w:sz w:val="30"/>
          <w:szCs w:val="30"/>
          <w:highlight w:val="none"/>
        </w:rPr>
      </w:pPr>
      <w:r>
        <w:rPr>
          <w:rFonts w:hint="eastAsia" w:ascii="宋体" w:hAnsi="宋体" w:cs="黑体"/>
          <w:bCs w:val="0"/>
          <w:color w:val="auto"/>
          <w:sz w:val="30"/>
          <w:szCs w:val="30"/>
          <w:highlight w:val="none"/>
        </w:rPr>
        <w:t>附录5  资格审查条件（项目经理和项目总工最低要求）</w:t>
      </w:r>
    </w:p>
    <w:tbl>
      <w:tblPr>
        <w:tblStyle w:val="43"/>
        <w:tblW w:w="97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5841"/>
        <w:gridCol w:w="1971"/>
      </w:tblGrid>
      <w:tr w14:paraId="225ED1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14:paraId="4E8A0563">
            <w:pPr>
              <w:spacing w:line="276" w:lineRule="auto"/>
              <w:jc w:val="center"/>
              <w:rPr>
                <w:rFonts w:ascii="Calibri" w:hAnsi="Calibri"/>
                <w:color w:val="auto"/>
                <w:sz w:val="24"/>
                <w:highlight w:val="none"/>
              </w:rPr>
            </w:pPr>
            <w:r>
              <w:rPr>
                <w:rFonts w:hint="eastAsia" w:ascii="宋体" w:hAnsi="宋体" w:cs="宋体"/>
                <w:color w:val="auto"/>
                <w:sz w:val="24"/>
                <w:highlight w:val="none"/>
              </w:rPr>
              <w:t>人  员</w:t>
            </w:r>
          </w:p>
        </w:tc>
        <w:tc>
          <w:tcPr>
            <w:tcW w:w="720" w:type="dxa"/>
            <w:tcBorders>
              <w:tl2br w:val="nil"/>
              <w:tr2bl w:val="nil"/>
            </w:tcBorders>
            <w:vAlign w:val="center"/>
          </w:tcPr>
          <w:p w14:paraId="4C240893">
            <w:pPr>
              <w:spacing w:line="276" w:lineRule="auto"/>
              <w:jc w:val="center"/>
              <w:rPr>
                <w:rFonts w:ascii="Calibri" w:hAnsi="Calibri"/>
                <w:color w:val="auto"/>
                <w:sz w:val="24"/>
                <w:highlight w:val="none"/>
              </w:rPr>
            </w:pPr>
            <w:r>
              <w:rPr>
                <w:rFonts w:hint="eastAsia" w:ascii="宋体" w:hAnsi="宋体" w:cs="宋体"/>
                <w:color w:val="auto"/>
                <w:sz w:val="24"/>
                <w:highlight w:val="none"/>
              </w:rPr>
              <w:t>数量</w:t>
            </w:r>
          </w:p>
        </w:tc>
        <w:tc>
          <w:tcPr>
            <w:tcW w:w="5841" w:type="dxa"/>
            <w:tcBorders>
              <w:tl2br w:val="nil"/>
              <w:tr2bl w:val="nil"/>
            </w:tcBorders>
            <w:vAlign w:val="center"/>
          </w:tcPr>
          <w:p w14:paraId="312C2B5A">
            <w:pPr>
              <w:spacing w:line="276" w:lineRule="auto"/>
              <w:jc w:val="center"/>
              <w:rPr>
                <w:rFonts w:ascii="Calibri" w:hAnsi="Calibri"/>
                <w:color w:val="auto"/>
                <w:sz w:val="24"/>
                <w:highlight w:val="none"/>
              </w:rPr>
            </w:pPr>
            <w:r>
              <w:rPr>
                <w:rFonts w:hint="eastAsia" w:ascii="宋体" w:hAnsi="宋体" w:cs="宋体"/>
                <w:color w:val="auto"/>
                <w:sz w:val="24"/>
                <w:highlight w:val="none"/>
              </w:rPr>
              <w:t>资 格 要 求</w:t>
            </w:r>
          </w:p>
        </w:tc>
        <w:tc>
          <w:tcPr>
            <w:tcW w:w="1971" w:type="dxa"/>
            <w:tcBorders>
              <w:tl2br w:val="nil"/>
              <w:tr2bl w:val="nil"/>
            </w:tcBorders>
            <w:vAlign w:val="center"/>
          </w:tcPr>
          <w:p w14:paraId="7540146A">
            <w:pPr>
              <w:spacing w:line="276" w:lineRule="auto"/>
              <w:jc w:val="center"/>
              <w:rPr>
                <w:rFonts w:ascii="Calibri" w:hAnsi="Calibri"/>
                <w:color w:val="auto"/>
                <w:sz w:val="24"/>
                <w:highlight w:val="none"/>
              </w:rPr>
            </w:pPr>
            <w:r>
              <w:rPr>
                <w:rFonts w:hint="eastAsia" w:ascii="宋体" w:hAnsi="宋体" w:cs="宋体"/>
                <w:color w:val="auto"/>
                <w:sz w:val="24"/>
                <w:highlight w:val="none"/>
              </w:rPr>
              <w:t>在 岗 要 求</w:t>
            </w:r>
          </w:p>
        </w:tc>
      </w:tr>
      <w:tr w14:paraId="660995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00" w:hRule="atLeast"/>
          <w:jc w:val="center"/>
        </w:trPr>
        <w:tc>
          <w:tcPr>
            <w:tcW w:w="1184" w:type="dxa"/>
            <w:tcBorders>
              <w:tl2br w:val="nil"/>
              <w:tr2bl w:val="nil"/>
            </w:tcBorders>
            <w:vAlign w:val="center"/>
          </w:tcPr>
          <w:p w14:paraId="145A9E0D">
            <w:pPr>
              <w:spacing w:line="360" w:lineRule="auto"/>
              <w:jc w:val="center"/>
              <w:rPr>
                <w:rFonts w:ascii="Calibri" w:hAnsi="Calibri"/>
                <w:color w:val="auto"/>
                <w:sz w:val="24"/>
                <w:highlight w:val="none"/>
              </w:rPr>
            </w:pPr>
            <w:r>
              <w:rPr>
                <w:rFonts w:hint="eastAsia" w:ascii="宋体" w:hAnsi="宋体" w:cs="宋体"/>
                <w:color w:val="auto"/>
                <w:sz w:val="24"/>
                <w:highlight w:val="none"/>
              </w:rPr>
              <w:t>项目经理</w:t>
            </w:r>
          </w:p>
        </w:tc>
        <w:tc>
          <w:tcPr>
            <w:tcW w:w="720" w:type="dxa"/>
            <w:tcBorders>
              <w:tl2br w:val="nil"/>
              <w:tr2bl w:val="nil"/>
            </w:tcBorders>
            <w:vAlign w:val="center"/>
          </w:tcPr>
          <w:p w14:paraId="52BB0E41">
            <w:pPr>
              <w:spacing w:line="360" w:lineRule="auto"/>
              <w:jc w:val="center"/>
              <w:rPr>
                <w:rFonts w:ascii="Calibri" w:hAnsi="Calibri"/>
                <w:color w:val="auto"/>
                <w:sz w:val="24"/>
                <w:highlight w:val="none"/>
              </w:rPr>
            </w:pPr>
            <w:r>
              <w:rPr>
                <w:rFonts w:hint="eastAsia" w:ascii="宋体" w:hAnsi="宋体" w:cs="宋体"/>
                <w:color w:val="auto"/>
                <w:sz w:val="24"/>
                <w:highlight w:val="none"/>
              </w:rPr>
              <w:t>1</w:t>
            </w:r>
          </w:p>
        </w:tc>
        <w:tc>
          <w:tcPr>
            <w:tcW w:w="5841" w:type="dxa"/>
            <w:vMerge w:val="restart"/>
            <w:tcBorders>
              <w:tl2br w:val="nil"/>
              <w:tr2bl w:val="nil"/>
            </w:tcBorders>
            <w:vAlign w:val="center"/>
          </w:tcPr>
          <w:p w14:paraId="6D632A6B">
            <w:pPr>
              <w:spacing w:line="360" w:lineRule="auto"/>
              <w:ind w:right="6" w:rightChars="3" w:firstLine="480"/>
              <w:rPr>
                <w:rFonts w:hint="eastAsia" w:ascii="宋体" w:hAnsi="宋体"/>
                <w:color w:val="auto"/>
                <w:sz w:val="24"/>
                <w:highlight w:val="none"/>
              </w:rPr>
            </w:pPr>
            <w:r>
              <w:rPr>
                <w:rFonts w:hint="eastAsia" w:ascii="宋体" w:hAnsi="宋体" w:cs="宋体"/>
                <w:color w:val="auto"/>
                <w:sz w:val="24"/>
                <w:highlight w:val="none"/>
              </w:rPr>
              <w:t>工程师，担任类似工程项目经理（或项目副经理或总工）岗位累计</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个月，并持有住房和城乡建设部颁发的公路工程专业</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级建造师注册证书，具有交通主管部门颁发的有效安全生产“三类人员”B 类证书。</w:t>
            </w:r>
          </w:p>
        </w:tc>
        <w:tc>
          <w:tcPr>
            <w:tcW w:w="1971" w:type="dxa"/>
            <w:vMerge w:val="restart"/>
            <w:tcBorders>
              <w:tl2br w:val="nil"/>
              <w:tr2bl w:val="nil"/>
            </w:tcBorders>
            <w:vAlign w:val="center"/>
          </w:tcPr>
          <w:p w14:paraId="0C9EC571">
            <w:pPr>
              <w:spacing w:line="360" w:lineRule="auto"/>
              <w:rPr>
                <w:rFonts w:hint="eastAsia" w:ascii="宋体" w:hAnsi="宋体"/>
                <w:color w:val="auto"/>
                <w:sz w:val="24"/>
                <w:highlight w:val="none"/>
              </w:rPr>
            </w:pPr>
            <w:r>
              <w:rPr>
                <w:rFonts w:hint="eastAsia" w:ascii="宋体" w:hAnsi="宋体"/>
                <w:color w:val="auto"/>
                <w:sz w:val="24"/>
                <w:highlight w:val="none"/>
              </w:rPr>
              <w:t>无在岗项目（指目前未在其他项目上任职，或虽在其他项目上任职但本项目</w:t>
            </w:r>
            <w:r>
              <w:rPr>
                <w:rFonts w:hint="eastAsia" w:ascii="宋体" w:hAnsi="宋体"/>
                <w:color w:val="auto"/>
                <w:sz w:val="24"/>
                <w:highlight w:val="none"/>
                <w:u w:val="single"/>
              </w:rPr>
              <w:t>中标公示后15天</w:t>
            </w:r>
            <w:r>
              <w:rPr>
                <w:rFonts w:hint="eastAsia" w:ascii="宋体" w:hAnsi="宋体"/>
                <w:color w:val="auto"/>
                <w:sz w:val="24"/>
                <w:highlight w:val="none"/>
              </w:rPr>
              <w:t>内能够从该项目撤离）</w:t>
            </w:r>
          </w:p>
        </w:tc>
      </w:tr>
      <w:tr w14:paraId="006C8B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00" w:hRule="atLeast"/>
          <w:jc w:val="center"/>
        </w:trPr>
        <w:tc>
          <w:tcPr>
            <w:tcW w:w="1184" w:type="dxa"/>
            <w:tcBorders>
              <w:tl2br w:val="nil"/>
              <w:tr2bl w:val="nil"/>
            </w:tcBorders>
            <w:vAlign w:val="center"/>
          </w:tcPr>
          <w:p w14:paraId="72B3740C">
            <w:pPr>
              <w:widowControl/>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项目经理备选人</w:t>
            </w:r>
          </w:p>
        </w:tc>
        <w:tc>
          <w:tcPr>
            <w:tcW w:w="720" w:type="dxa"/>
            <w:tcBorders>
              <w:tl2br w:val="nil"/>
              <w:tr2bl w:val="nil"/>
            </w:tcBorders>
            <w:vAlign w:val="center"/>
          </w:tcPr>
          <w:p w14:paraId="22E1DB6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841" w:type="dxa"/>
            <w:vMerge w:val="continue"/>
            <w:tcBorders>
              <w:tl2br w:val="nil"/>
              <w:tr2bl w:val="nil"/>
            </w:tcBorders>
            <w:vAlign w:val="center"/>
          </w:tcPr>
          <w:p w14:paraId="2D9E820D">
            <w:pPr>
              <w:spacing w:line="360" w:lineRule="auto"/>
              <w:ind w:right="6" w:rightChars="3" w:firstLine="480"/>
              <w:rPr>
                <w:rFonts w:hint="eastAsia" w:ascii="宋体" w:hAnsi="宋体" w:cs="宋体"/>
                <w:color w:val="auto"/>
                <w:sz w:val="24"/>
                <w:highlight w:val="none"/>
              </w:rPr>
            </w:pPr>
          </w:p>
        </w:tc>
        <w:tc>
          <w:tcPr>
            <w:tcW w:w="1971" w:type="dxa"/>
            <w:vMerge w:val="continue"/>
            <w:tcBorders>
              <w:tl2br w:val="nil"/>
              <w:tr2bl w:val="nil"/>
            </w:tcBorders>
            <w:vAlign w:val="center"/>
          </w:tcPr>
          <w:p w14:paraId="61D84DD9">
            <w:pPr>
              <w:spacing w:line="360" w:lineRule="auto"/>
              <w:rPr>
                <w:rFonts w:hint="eastAsia" w:ascii="宋体" w:hAnsi="宋体"/>
                <w:color w:val="auto"/>
                <w:sz w:val="24"/>
                <w:highlight w:val="none"/>
              </w:rPr>
            </w:pPr>
          </w:p>
        </w:tc>
      </w:tr>
      <w:tr w14:paraId="7245B3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00" w:hRule="atLeast"/>
          <w:jc w:val="center"/>
        </w:trPr>
        <w:tc>
          <w:tcPr>
            <w:tcW w:w="1184" w:type="dxa"/>
            <w:tcBorders>
              <w:tl2br w:val="nil"/>
              <w:tr2bl w:val="nil"/>
            </w:tcBorders>
            <w:vAlign w:val="center"/>
          </w:tcPr>
          <w:p w14:paraId="12FE075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项目总工</w:t>
            </w:r>
          </w:p>
        </w:tc>
        <w:tc>
          <w:tcPr>
            <w:tcW w:w="720" w:type="dxa"/>
            <w:tcBorders>
              <w:tl2br w:val="nil"/>
              <w:tr2bl w:val="nil"/>
            </w:tcBorders>
            <w:vAlign w:val="center"/>
          </w:tcPr>
          <w:p w14:paraId="6EFC12C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841" w:type="dxa"/>
            <w:vMerge w:val="restart"/>
            <w:tcBorders>
              <w:tl2br w:val="nil"/>
              <w:tr2bl w:val="nil"/>
            </w:tcBorders>
            <w:vAlign w:val="center"/>
          </w:tcPr>
          <w:p w14:paraId="670896E0">
            <w:pPr>
              <w:spacing w:line="360" w:lineRule="auto"/>
              <w:rPr>
                <w:rFonts w:ascii="Calibri" w:hAnsi="Calibri"/>
                <w:color w:val="auto"/>
                <w:sz w:val="24"/>
                <w:highlight w:val="none"/>
              </w:rPr>
            </w:pPr>
            <w:r>
              <w:rPr>
                <w:rFonts w:hint="eastAsia" w:ascii="宋体" w:hAnsi="宋体" w:cs="宋体"/>
                <w:color w:val="auto"/>
                <w:sz w:val="24"/>
                <w:highlight w:val="none"/>
              </w:rPr>
              <w:t xml:space="preserve">    路桥相关专业高级工程师，主管类似工程技术工作岗位累计</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个月，具有交通主管部门颁发的有效安全生产“三类人员”B 类证书。</w:t>
            </w:r>
          </w:p>
        </w:tc>
        <w:tc>
          <w:tcPr>
            <w:tcW w:w="1971" w:type="dxa"/>
            <w:vMerge w:val="continue"/>
            <w:tcBorders>
              <w:tl2br w:val="nil"/>
              <w:tr2bl w:val="nil"/>
            </w:tcBorders>
            <w:vAlign w:val="center"/>
          </w:tcPr>
          <w:p w14:paraId="139BBB41">
            <w:pPr>
              <w:spacing w:line="360" w:lineRule="auto"/>
              <w:rPr>
                <w:rFonts w:ascii="Calibri" w:hAnsi="Calibri"/>
                <w:color w:val="auto"/>
                <w:sz w:val="24"/>
                <w:highlight w:val="none"/>
              </w:rPr>
            </w:pPr>
          </w:p>
        </w:tc>
      </w:tr>
      <w:tr w14:paraId="4EDF79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00" w:hRule="atLeast"/>
          <w:jc w:val="center"/>
        </w:trPr>
        <w:tc>
          <w:tcPr>
            <w:tcW w:w="1184" w:type="dxa"/>
            <w:tcBorders>
              <w:tl2br w:val="nil"/>
              <w:tr2bl w:val="nil"/>
            </w:tcBorders>
            <w:vAlign w:val="center"/>
          </w:tcPr>
          <w:p w14:paraId="2135CBF7">
            <w:pPr>
              <w:widowControl/>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项目总工备选人</w:t>
            </w:r>
          </w:p>
        </w:tc>
        <w:tc>
          <w:tcPr>
            <w:tcW w:w="720" w:type="dxa"/>
            <w:tcBorders>
              <w:tl2br w:val="nil"/>
              <w:tr2bl w:val="nil"/>
            </w:tcBorders>
            <w:vAlign w:val="center"/>
          </w:tcPr>
          <w:p w14:paraId="2254A85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841" w:type="dxa"/>
            <w:vMerge w:val="continue"/>
            <w:tcBorders>
              <w:tl2br w:val="nil"/>
              <w:tr2bl w:val="nil"/>
            </w:tcBorders>
            <w:vAlign w:val="center"/>
          </w:tcPr>
          <w:p w14:paraId="30E20F58">
            <w:pPr>
              <w:spacing w:line="360" w:lineRule="auto"/>
              <w:rPr>
                <w:rFonts w:hint="eastAsia" w:ascii="宋体" w:hAnsi="宋体" w:cs="宋体"/>
                <w:color w:val="auto"/>
                <w:sz w:val="24"/>
                <w:highlight w:val="none"/>
              </w:rPr>
            </w:pPr>
          </w:p>
        </w:tc>
        <w:tc>
          <w:tcPr>
            <w:tcW w:w="1971" w:type="dxa"/>
            <w:vMerge w:val="continue"/>
            <w:tcBorders>
              <w:tl2br w:val="nil"/>
              <w:tr2bl w:val="nil"/>
            </w:tcBorders>
            <w:vAlign w:val="center"/>
          </w:tcPr>
          <w:p w14:paraId="39B1B1C7">
            <w:pPr>
              <w:spacing w:line="360" w:lineRule="auto"/>
              <w:rPr>
                <w:rFonts w:ascii="Calibri" w:hAnsi="Calibri"/>
                <w:color w:val="auto"/>
                <w:sz w:val="24"/>
                <w:highlight w:val="none"/>
              </w:rPr>
            </w:pPr>
          </w:p>
        </w:tc>
      </w:tr>
    </w:tbl>
    <w:p w14:paraId="53160B5D">
      <w:pPr>
        <w:adjustRightInd w:val="0"/>
        <w:snapToGrid w:val="0"/>
        <w:spacing w:line="360" w:lineRule="auto"/>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注：</w:t>
      </w:r>
    </w:p>
    <w:p w14:paraId="58569ABA">
      <w:pPr>
        <w:adjustRightInd w:val="0"/>
        <w:snapToGrid w:val="0"/>
        <w:spacing w:line="360" w:lineRule="auto"/>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1．资格要求的人员建造师注册证书、安全生产“三类人员”B 类证书均应在投标人所在单位，否则视为无效。</w:t>
      </w:r>
    </w:p>
    <w:p w14:paraId="3E6D4407">
      <w:pPr>
        <w:numPr>
          <w:ilvl w:val="0"/>
          <w:numId w:val="6"/>
        </w:numPr>
        <w:adjustRightInd w:val="0"/>
        <w:snapToGrid w:val="0"/>
        <w:spacing w:line="360" w:lineRule="auto"/>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主管技术工作指：担任过项目经理、项目副经理、总工程师、质检部门负责人、工程部门负责人。担任类似工程项目经理（或项目副经理或项目总工）岗位经验累计时间、主管类似工程技术工作岗位经验累计时间统计至月，计算时尾数如不少于 15 天的按 1 个月计，不足 15 天部分不计。</w:t>
      </w:r>
    </w:p>
    <w:p w14:paraId="18115C48">
      <w:pPr>
        <w:numPr>
          <w:ilvl w:val="0"/>
          <w:numId w:val="6"/>
        </w:numPr>
        <w:adjustRightInd w:val="0"/>
        <w:snapToGrid w:val="0"/>
        <w:spacing w:line="360" w:lineRule="auto"/>
        <w:ind w:firstLine="440" w:firstLineChars="200"/>
        <w:rPr>
          <w:rFonts w:hint="eastAsia" w:ascii="宋体" w:hAnsi="宋体"/>
          <w:color w:val="auto"/>
          <w:sz w:val="22"/>
          <w:szCs w:val="22"/>
          <w:highlight w:val="none"/>
          <w:lang w:val="zh-CN"/>
        </w:rPr>
      </w:pPr>
      <w:r>
        <w:rPr>
          <w:rFonts w:hint="eastAsia" w:ascii="宋体" w:hAnsi="宋体" w:cs="宋体"/>
          <w:color w:val="auto"/>
          <w:sz w:val="22"/>
          <w:szCs w:val="22"/>
          <w:highlight w:val="none"/>
        </w:rPr>
        <w:t>投标人应根据招标文件第二章“投标人须知”第 3.5.5 项的要求附相关证明材料。</w:t>
      </w:r>
    </w:p>
    <w:p w14:paraId="1273FADB">
      <w:pPr>
        <w:numPr>
          <w:ilvl w:val="0"/>
          <w:numId w:val="6"/>
        </w:numPr>
        <w:adjustRightInd w:val="0"/>
        <w:snapToGrid w:val="0"/>
        <w:spacing w:line="360" w:lineRule="auto"/>
        <w:ind w:firstLine="440" w:firstLineChars="200"/>
        <w:rPr>
          <w:rFonts w:hint="eastAsia" w:ascii="宋体" w:hAnsi="宋体"/>
          <w:color w:val="auto"/>
          <w:sz w:val="22"/>
          <w:szCs w:val="22"/>
          <w:highlight w:val="none"/>
          <w:lang w:val="zh-CN"/>
        </w:rPr>
      </w:pPr>
      <w:r>
        <w:rPr>
          <w:rFonts w:hint="eastAsia" w:ascii="宋体" w:hAnsi="宋体" w:cs="宋体"/>
          <w:color w:val="auto"/>
          <w:sz w:val="22"/>
          <w:szCs w:val="22"/>
          <w:highlight w:val="none"/>
        </w:rPr>
        <w:t>路桥相关专业包括公路工程、桥梁工程、公路与桥梁工程、交通土建、隧道（地下结构）工程、交通工程、市政路桥、道路与桥梁工程等专业职称。</w:t>
      </w:r>
    </w:p>
    <w:p w14:paraId="2532E3F4">
      <w:pPr>
        <w:pStyle w:val="4"/>
        <w:spacing w:before="140" w:after="140" w:line="360" w:lineRule="auto"/>
        <w:jc w:val="center"/>
        <w:rPr>
          <w:rFonts w:hint="eastAsia" w:ascii="宋体" w:hAnsi="宋体" w:cs="黑体"/>
          <w:bCs w:val="0"/>
          <w:color w:val="auto"/>
          <w:sz w:val="30"/>
          <w:szCs w:val="30"/>
          <w:highlight w:val="none"/>
        </w:rPr>
      </w:pPr>
    </w:p>
    <w:p w14:paraId="54377E28">
      <w:pPr>
        <w:rPr>
          <w:rFonts w:hint="eastAsia" w:ascii="宋体" w:hAnsi="宋体" w:cs="黑体"/>
          <w:color w:val="auto"/>
          <w:sz w:val="30"/>
          <w:szCs w:val="30"/>
          <w:highlight w:val="none"/>
        </w:rPr>
      </w:pPr>
    </w:p>
    <w:p w14:paraId="1B02B525">
      <w:pPr>
        <w:rPr>
          <w:rFonts w:hint="eastAsia" w:ascii="宋体" w:hAnsi="宋体" w:cs="黑体"/>
          <w:color w:val="auto"/>
          <w:sz w:val="30"/>
          <w:szCs w:val="30"/>
          <w:highlight w:val="none"/>
        </w:rPr>
      </w:pPr>
      <w:r>
        <w:rPr>
          <w:rFonts w:hint="eastAsia" w:ascii="宋体" w:hAnsi="宋体" w:cs="黑体"/>
          <w:color w:val="auto"/>
          <w:sz w:val="30"/>
          <w:szCs w:val="30"/>
          <w:highlight w:val="none"/>
        </w:rPr>
        <w:br w:type="page"/>
      </w:r>
    </w:p>
    <w:p w14:paraId="22E97724">
      <w:pPr>
        <w:pStyle w:val="4"/>
        <w:spacing w:before="140" w:after="140" w:line="360" w:lineRule="auto"/>
        <w:jc w:val="center"/>
        <w:rPr>
          <w:rFonts w:hint="eastAsia" w:ascii="宋体" w:hAnsi="宋体" w:cs="黑体"/>
          <w:bCs w:val="0"/>
          <w:color w:val="auto"/>
          <w:sz w:val="30"/>
          <w:szCs w:val="30"/>
          <w:highlight w:val="none"/>
        </w:rPr>
      </w:pPr>
      <w:r>
        <w:rPr>
          <w:rFonts w:hint="eastAsia" w:ascii="宋体" w:hAnsi="宋体" w:cs="黑体"/>
          <w:bCs w:val="0"/>
          <w:color w:val="auto"/>
          <w:sz w:val="30"/>
          <w:szCs w:val="30"/>
          <w:highlight w:val="none"/>
        </w:rPr>
        <w:t>附录6  资格审查条件（其他管理人员和技术人员最低要求）</w:t>
      </w:r>
    </w:p>
    <w:tbl>
      <w:tblPr>
        <w:tblStyle w:val="43"/>
        <w:tblW w:w="9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690"/>
        <w:gridCol w:w="7286"/>
      </w:tblGrid>
      <w:tr w14:paraId="73577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exact"/>
          <w:jc w:val="center"/>
        </w:trPr>
        <w:tc>
          <w:tcPr>
            <w:tcW w:w="1876" w:type="dxa"/>
            <w:vAlign w:val="center"/>
          </w:tcPr>
          <w:p w14:paraId="7A58C67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  员</w:t>
            </w:r>
          </w:p>
        </w:tc>
        <w:tc>
          <w:tcPr>
            <w:tcW w:w="690" w:type="dxa"/>
            <w:vAlign w:val="center"/>
          </w:tcPr>
          <w:p w14:paraId="516B9FB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7286" w:type="dxa"/>
            <w:vAlign w:val="center"/>
          </w:tcPr>
          <w:p w14:paraId="3D1D2F1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 格 要 求</w:t>
            </w:r>
          </w:p>
        </w:tc>
      </w:tr>
      <w:tr w14:paraId="11F9A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1B47530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质检工程师</w:t>
            </w:r>
          </w:p>
        </w:tc>
        <w:tc>
          <w:tcPr>
            <w:tcW w:w="690" w:type="dxa"/>
            <w:vAlign w:val="center"/>
          </w:tcPr>
          <w:p w14:paraId="1D1A33B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286" w:type="dxa"/>
            <w:vAlign w:val="center"/>
          </w:tcPr>
          <w:p w14:paraId="2DDD10E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路桥相关专业工程师，累计3 年从事类似工程经验。</w:t>
            </w:r>
          </w:p>
        </w:tc>
      </w:tr>
      <w:tr w14:paraId="2A816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30B05FE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计划工程师</w:t>
            </w:r>
          </w:p>
        </w:tc>
        <w:tc>
          <w:tcPr>
            <w:tcW w:w="690" w:type="dxa"/>
            <w:vAlign w:val="center"/>
          </w:tcPr>
          <w:p w14:paraId="23F011B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286" w:type="dxa"/>
            <w:vAlign w:val="center"/>
          </w:tcPr>
          <w:p w14:paraId="6D1F6481">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路桥相关专业工程师，累计3 年从事类似工程经验，具有住房和城乡建设部颁发的注册造价工程师证书或</w:t>
            </w:r>
            <w:r>
              <w:rPr>
                <w:rFonts w:hint="eastAsia" w:asciiTheme="minorEastAsia" w:hAnsiTheme="minorEastAsia" w:eastAsiaTheme="minorEastAsia" w:cstheme="minorEastAsia"/>
                <w:color w:val="auto"/>
                <w:sz w:val="24"/>
                <w:highlight w:val="none"/>
                <w:u w:val="single"/>
              </w:rPr>
              <w:t xml:space="preserve"> 一 </w:t>
            </w:r>
            <w:r>
              <w:rPr>
                <w:rFonts w:hint="eastAsia" w:asciiTheme="minorEastAsia" w:hAnsiTheme="minorEastAsia" w:eastAsiaTheme="minorEastAsia" w:cstheme="minorEastAsia"/>
                <w:color w:val="auto"/>
                <w:sz w:val="24"/>
                <w:highlight w:val="none"/>
              </w:rPr>
              <w:t>级造价工程师注册证（土木建筑工程专业），或交通运输部（原交通部）颁发的</w:t>
            </w:r>
            <w:r>
              <w:rPr>
                <w:rFonts w:hint="eastAsia" w:asciiTheme="minorEastAsia" w:hAnsiTheme="minorEastAsia" w:eastAsiaTheme="minorEastAsia" w:cstheme="minorEastAsia"/>
                <w:color w:val="auto"/>
                <w:sz w:val="24"/>
                <w:highlight w:val="none"/>
                <w:u w:val="single"/>
              </w:rPr>
              <w:t xml:space="preserve"> 甲 </w:t>
            </w:r>
            <w:r>
              <w:rPr>
                <w:rFonts w:hint="eastAsia" w:asciiTheme="minorEastAsia" w:hAnsiTheme="minorEastAsia" w:eastAsiaTheme="minorEastAsia" w:cstheme="minorEastAsia"/>
                <w:color w:val="auto"/>
                <w:sz w:val="24"/>
                <w:highlight w:val="none"/>
              </w:rPr>
              <w:t>级造价人员证书或</w:t>
            </w:r>
            <w:r>
              <w:rPr>
                <w:rFonts w:hint="eastAsia" w:asciiTheme="minorEastAsia" w:hAnsiTheme="minorEastAsia" w:eastAsiaTheme="minorEastAsia" w:cstheme="minorEastAsia"/>
                <w:color w:val="auto"/>
                <w:sz w:val="24"/>
                <w:highlight w:val="none"/>
                <w:u w:val="single"/>
              </w:rPr>
              <w:t xml:space="preserve"> 一 </w:t>
            </w:r>
            <w:r>
              <w:rPr>
                <w:rFonts w:hint="eastAsia" w:asciiTheme="minorEastAsia" w:hAnsiTheme="minorEastAsia" w:eastAsiaTheme="minorEastAsia" w:cstheme="minorEastAsia"/>
                <w:color w:val="auto"/>
                <w:sz w:val="24"/>
                <w:highlight w:val="none"/>
              </w:rPr>
              <w:t>级造价工程师注册证（交通运输工程专业）。</w:t>
            </w:r>
          </w:p>
        </w:tc>
      </w:tr>
      <w:tr w14:paraId="34C39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7F8AF79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道路工程师</w:t>
            </w:r>
          </w:p>
        </w:tc>
        <w:tc>
          <w:tcPr>
            <w:tcW w:w="690" w:type="dxa"/>
            <w:vAlign w:val="center"/>
          </w:tcPr>
          <w:p w14:paraId="52D62BF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7286" w:type="dxa"/>
            <w:vAlign w:val="center"/>
          </w:tcPr>
          <w:p w14:paraId="1DA5E6F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路桥相关专业工程师，累计 3 年从事类似工程经验。</w:t>
            </w:r>
          </w:p>
        </w:tc>
      </w:tr>
      <w:tr w14:paraId="60346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05C2844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桥梁工程师</w:t>
            </w:r>
          </w:p>
        </w:tc>
        <w:tc>
          <w:tcPr>
            <w:tcW w:w="690" w:type="dxa"/>
            <w:vAlign w:val="center"/>
          </w:tcPr>
          <w:p w14:paraId="159EF5D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7286" w:type="dxa"/>
            <w:vAlign w:val="center"/>
          </w:tcPr>
          <w:p w14:paraId="212FB0E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路桥相关专业工程师，累计 3 年从事类似工程经验。</w:t>
            </w:r>
          </w:p>
        </w:tc>
      </w:tr>
      <w:tr w14:paraId="1024E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shd w:val="clear" w:color="auto" w:fill="auto"/>
            <w:vAlign w:val="center"/>
          </w:tcPr>
          <w:p w14:paraId="0E066DC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测量工程师</w:t>
            </w:r>
          </w:p>
        </w:tc>
        <w:tc>
          <w:tcPr>
            <w:tcW w:w="690" w:type="dxa"/>
            <w:shd w:val="clear" w:color="auto" w:fill="auto"/>
            <w:vAlign w:val="center"/>
          </w:tcPr>
          <w:p w14:paraId="400B3A8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286" w:type="dxa"/>
            <w:shd w:val="clear" w:color="auto" w:fill="auto"/>
            <w:vAlign w:val="center"/>
          </w:tcPr>
          <w:p w14:paraId="2312BF81">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工程师，累计3年从事类似工程经验。</w:t>
            </w:r>
          </w:p>
        </w:tc>
      </w:tr>
      <w:tr w14:paraId="3AF7F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shd w:val="clear" w:color="auto" w:fill="auto"/>
            <w:vAlign w:val="center"/>
          </w:tcPr>
          <w:p w14:paraId="695E9CD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试验工程师</w:t>
            </w:r>
          </w:p>
        </w:tc>
        <w:tc>
          <w:tcPr>
            <w:tcW w:w="690" w:type="dxa"/>
            <w:shd w:val="clear" w:color="auto" w:fill="auto"/>
            <w:vAlign w:val="center"/>
          </w:tcPr>
          <w:p w14:paraId="4CB358BB">
            <w:pPr>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7286" w:type="dxa"/>
            <w:shd w:val="clear" w:color="auto" w:fill="auto"/>
            <w:vAlign w:val="center"/>
          </w:tcPr>
          <w:p w14:paraId="00681AB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持有行政主管部门核发的公路工程试验检测师资格证书或试验检测工程师资格证书，累计 3 年从事类似工程经验。</w:t>
            </w:r>
          </w:p>
        </w:tc>
      </w:tr>
      <w:tr w14:paraId="249D4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shd w:val="clear" w:color="auto" w:fill="auto"/>
            <w:vAlign w:val="center"/>
          </w:tcPr>
          <w:p w14:paraId="13143A0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财务负责人</w:t>
            </w:r>
          </w:p>
        </w:tc>
        <w:tc>
          <w:tcPr>
            <w:tcW w:w="690" w:type="dxa"/>
            <w:shd w:val="clear" w:color="auto" w:fill="auto"/>
            <w:vAlign w:val="center"/>
          </w:tcPr>
          <w:p w14:paraId="4031B766">
            <w:pPr>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7286" w:type="dxa"/>
            <w:shd w:val="clear" w:color="auto" w:fill="auto"/>
            <w:vAlign w:val="center"/>
          </w:tcPr>
          <w:p w14:paraId="7A19D53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累计 3 年从事类似工程经验。</w:t>
            </w:r>
          </w:p>
        </w:tc>
      </w:tr>
      <w:tr w14:paraId="6DA49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shd w:val="clear" w:color="auto" w:fill="auto"/>
            <w:vAlign w:val="center"/>
          </w:tcPr>
          <w:p w14:paraId="3DD4B54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专职安全生产管理人员</w:t>
            </w:r>
          </w:p>
        </w:tc>
        <w:tc>
          <w:tcPr>
            <w:tcW w:w="690" w:type="dxa"/>
            <w:shd w:val="clear" w:color="auto" w:fill="auto"/>
            <w:vAlign w:val="center"/>
          </w:tcPr>
          <w:p w14:paraId="347D309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7286" w:type="dxa"/>
            <w:shd w:val="clear" w:color="auto" w:fill="auto"/>
            <w:vAlign w:val="center"/>
          </w:tcPr>
          <w:p w14:paraId="089ED95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具有交通主管部门颁发的有效安全生产“三类人员”C 类证书，累计 3 年从事类似工程经验。</w:t>
            </w:r>
          </w:p>
        </w:tc>
      </w:tr>
      <w:tr w14:paraId="2B9DB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5D5591B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资料员</w:t>
            </w:r>
          </w:p>
        </w:tc>
        <w:tc>
          <w:tcPr>
            <w:tcW w:w="690" w:type="dxa"/>
            <w:vAlign w:val="center"/>
          </w:tcPr>
          <w:p w14:paraId="1CA025B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286" w:type="dxa"/>
            <w:vAlign w:val="center"/>
          </w:tcPr>
          <w:p w14:paraId="2F28C4AB">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资料员，累计3年从事类似工作经验。</w:t>
            </w:r>
          </w:p>
        </w:tc>
      </w:tr>
    </w:tbl>
    <w:p w14:paraId="1076ECD6">
      <w:pPr>
        <w:adjustRightInd w:val="0"/>
        <w:snapToGrid w:val="0"/>
        <w:spacing w:line="360" w:lineRule="auto"/>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 xml:space="preserve">注： </w:t>
      </w:r>
    </w:p>
    <w:p w14:paraId="4846353C">
      <w:pPr>
        <w:adjustRightInd w:val="0"/>
        <w:snapToGrid w:val="0"/>
        <w:spacing w:line="360" w:lineRule="auto"/>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1、附录</w:t>
      </w:r>
      <w:r>
        <w:rPr>
          <w:rFonts w:hint="eastAsia" w:ascii="宋体" w:hAnsi="宋体"/>
          <w:color w:val="auto"/>
          <w:sz w:val="22"/>
          <w:szCs w:val="22"/>
          <w:highlight w:val="none"/>
          <w:lang w:val="en-US" w:eastAsia="zh-CN"/>
        </w:rPr>
        <w:t>6</w:t>
      </w:r>
      <w:r>
        <w:rPr>
          <w:rFonts w:hint="eastAsia" w:ascii="宋体" w:hAnsi="宋体"/>
          <w:color w:val="auto"/>
          <w:sz w:val="22"/>
          <w:szCs w:val="22"/>
          <w:highlight w:val="none"/>
          <w:lang w:val="zh-CN"/>
        </w:rPr>
        <w:t>所要求人员须按投标文件投标函的格式承诺，中标人在进场前向招标人提交实际投入的人员。</w:t>
      </w:r>
    </w:p>
    <w:p w14:paraId="13017D56">
      <w:pPr>
        <w:adjustRightInd w:val="0"/>
        <w:snapToGrid w:val="0"/>
        <w:spacing w:line="360" w:lineRule="auto"/>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2、投标人中标后专职安全生产管理人员的配备应按照交通部《公路水运工程安全生产监督管理办法》的要求执行。招标人可根据项目的工期和进度，按规定设置最低的专职安全生产管理人员数量要求。</w:t>
      </w:r>
    </w:p>
    <w:p w14:paraId="0F26E7C3">
      <w:pPr>
        <w:numPr>
          <w:ilvl w:val="255"/>
          <w:numId w:val="0"/>
        </w:numPr>
        <w:adjustRightInd w:val="0"/>
        <w:snapToGrid w:val="0"/>
        <w:spacing w:line="360" w:lineRule="auto"/>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3、</w:t>
      </w:r>
      <w:r>
        <w:rPr>
          <w:rFonts w:hint="eastAsia" w:ascii="宋体" w:hAnsi="宋体" w:cs="宋体"/>
          <w:color w:val="auto"/>
          <w:sz w:val="22"/>
          <w:szCs w:val="22"/>
          <w:highlight w:val="none"/>
        </w:rPr>
        <w:t>路桥相关专业包括公路工程、桥梁工程、公路与桥梁工程、交通土建、隧道（地下结构）工程、交通工程、市政路桥、道路与桥梁工程等专业职称。</w:t>
      </w:r>
    </w:p>
    <w:p w14:paraId="347B9351">
      <w:pPr>
        <w:adjustRightInd w:val="0"/>
        <w:snapToGrid w:val="0"/>
        <w:spacing w:line="360" w:lineRule="auto"/>
        <w:ind w:firstLine="440" w:firstLineChars="200"/>
        <w:rPr>
          <w:rFonts w:hint="eastAsia" w:ascii="宋体" w:hAnsi="宋体"/>
          <w:color w:val="auto"/>
          <w:sz w:val="22"/>
          <w:szCs w:val="22"/>
          <w:highlight w:val="none"/>
          <w:lang w:val="zh-CN"/>
        </w:rPr>
      </w:pPr>
    </w:p>
    <w:p w14:paraId="453EB25C">
      <w:pPr>
        <w:keepNext/>
        <w:keepLines/>
        <w:spacing w:line="416" w:lineRule="auto"/>
        <w:jc w:val="center"/>
        <w:outlineLvl w:val="2"/>
        <w:rPr>
          <w:rFonts w:hint="eastAsia" w:ascii="宋体" w:hAnsi="宋体" w:cs="黑体"/>
          <w:b/>
          <w:bCs/>
          <w:color w:val="auto"/>
          <w:sz w:val="30"/>
          <w:szCs w:val="30"/>
          <w:highlight w:val="none"/>
        </w:rPr>
      </w:pPr>
      <w:r>
        <w:rPr>
          <w:rFonts w:hint="eastAsia" w:ascii="宋体" w:hAnsi="宋体" w:cs="黑体"/>
          <w:b/>
          <w:bCs/>
          <w:color w:val="auto"/>
          <w:sz w:val="30"/>
          <w:szCs w:val="30"/>
          <w:highlight w:val="none"/>
        </w:rPr>
        <w:t>附录7  资格审查条件（主要设备最低要求）</w:t>
      </w:r>
    </w:p>
    <w:tbl>
      <w:tblPr>
        <w:tblStyle w:val="43"/>
        <w:tblW w:w="9211" w:type="dxa"/>
        <w:jc w:val="center"/>
        <w:tblLayout w:type="fixed"/>
        <w:tblCellMar>
          <w:top w:w="0" w:type="dxa"/>
          <w:left w:w="0" w:type="dxa"/>
          <w:bottom w:w="0" w:type="dxa"/>
          <w:right w:w="0" w:type="dxa"/>
        </w:tblCellMar>
      </w:tblPr>
      <w:tblGrid>
        <w:gridCol w:w="734"/>
        <w:gridCol w:w="3242"/>
        <w:gridCol w:w="2506"/>
        <w:gridCol w:w="1374"/>
        <w:gridCol w:w="1355"/>
      </w:tblGrid>
      <w:tr w14:paraId="13CEE695">
        <w:tblPrEx>
          <w:tblCellMar>
            <w:top w:w="0" w:type="dxa"/>
            <w:left w:w="0" w:type="dxa"/>
            <w:bottom w:w="0" w:type="dxa"/>
            <w:right w:w="0" w:type="dxa"/>
          </w:tblCellMar>
        </w:tblPrEx>
        <w:trPr>
          <w:trHeight w:val="397" w:hRule="exact"/>
          <w:jc w:val="center"/>
        </w:trPr>
        <w:tc>
          <w:tcPr>
            <w:tcW w:w="734" w:type="dxa"/>
            <w:tcBorders>
              <w:top w:val="single" w:color="000000" w:sz="12" w:space="0"/>
              <w:left w:val="single" w:color="000000" w:sz="12" w:space="0"/>
              <w:bottom w:val="single" w:color="000000" w:sz="8" w:space="0"/>
              <w:right w:val="single" w:color="000000" w:sz="8" w:space="0"/>
            </w:tcBorders>
            <w:vAlign w:val="center"/>
          </w:tcPr>
          <w:p w14:paraId="3C190B4C">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242" w:type="dxa"/>
            <w:tcBorders>
              <w:top w:val="single" w:color="000000" w:sz="12" w:space="0"/>
              <w:left w:val="single" w:color="000000" w:sz="8" w:space="0"/>
              <w:bottom w:val="single" w:color="000000" w:sz="8" w:space="0"/>
              <w:right w:val="single" w:color="000000" w:sz="8" w:space="0"/>
            </w:tcBorders>
            <w:vAlign w:val="center"/>
          </w:tcPr>
          <w:p w14:paraId="32A1FDBA">
            <w:pPr>
              <w:jc w:val="center"/>
              <w:rPr>
                <w:rFonts w:hint="eastAsia" w:ascii="宋体" w:hAnsi="宋体" w:cs="宋体"/>
                <w:color w:val="auto"/>
                <w:szCs w:val="21"/>
                <w:highlight w:val="none"/>
              </w:rPr>
            </w:pPr>
            <w:r>
              <w:rPr>
                <w:rFonts w:hint="eastAsia" w:ascii="宋体" w:hAnsi="宋体" w:cs="宋体"/>
                <w:color w:val="auto"/>
                <w:szCs w:val="21"/>
                <w:highlight w:val="none"/>
              </w:rPr>
              <w:t>设备名称</w:t>
            </w:r>
          </w:p>
        </w:tc>
        <w:tc>
          <w:tcPr>
            <w:tcW w:w="2506" w:type="dxa"/>
            <w:tcBorders>
              <w:top w:val="single" w:color="000000" w:sz="12" w:space="0"/>
              <w:left w:val="single" w:color="000000" w:sz="8" w:space="0"/>
              <w:bottom w:val="single" w:color="000000" w:sz="8" w:space="0"/>
              <w:right w:val="single" w:color="000000" w:sz="8" w:space="0"/>
            </w:tcBorders>
            <w:vAlign w:val="center"/>
          </w:tcPr>
          <w:p w14:paraId="46BE64CF">
            <w:pPr>
              <w:jc w:val="center"/>
              <w:rPr>
                <w:rFonts w:hint="eastAsia" w:ascii="宋体" w:hAnsi="宋体" w:cs="宋体"/>
                <w:color w:val="auto"/>
                <w:szCs w:val="21"/>
                <w:highlight w:val="none"/>
              </w:rPr>
            </w:pPr>
            <w:r>
              <w:rPr>
                <w:rFonts w:hint="eastAsia" w:ascii="宋体" w:hAnsi="宋体" w:cs="宋体"/>
                <w:color w:val="auto"/>
                <w:szCs w:val="21"/>
                <w:highlight w:val="none"/>
              </w:rPr>
              <w:t>规格、功率及容量</w:t>
            </w:r>
          </w:p>
        </w:tc>
        <w:tc>
          <w:tcPr>
            <w:tcW w:w="1374" w:type="dxa"/>
            <w:tcBorders>
              <w:top w:val="single" w:color="000000" w:sz="12" w:space="0"/>
              <w:left w:val="single" w:color="000000" w:sz="8" w:space="0"/>
              <w:bottom w:val="single" w:color="000000" w:sz="8" w:space="0"/>
              <w:right w:val="single" w:color="000000" w:sz="8" w:space="0"/>
            </w:tcBorders>
            <w:vAlign w:val="center"/>
          </w:tcPr>
          <w:p w14:paraId="32C5CC87">
            <w:pPr>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355" w:type="dxa"/>
            <w:tcBorders>
              <w:top w:val="single" w:color="000000" w:sz="12" w:space="0"/>
              <w:left w:val="single" w:color="000000" w:sz="8" w:space="0"/>
              <w:bottom w:val="single" w:color="000000" w:sz="8" w:space="0"/>
              <w:right w:val="single" w:color="000000" w:sz="12" w:space="0"/>
            </w:tcBorders>
            <w:vAlign w:val="center"/>
          </w:tcPr>
          <w:p w14:paraId="7C7090DA">
            <w:pPr>
              <w:jc w:val="center"/>
              <w:rPr>
                <w:rFonts w:hint="eastAsia" w:ascii="宋体" w:hAnsi="宋体" w:cs="宋体"/>
                <w:color w:val="auto"/>
                <w:szCs w:val="21"/>
                <w:highlight w:val="none"/>
              </w:rPr>
            </w:pPr>
            <w:r>
              <w:rPr>
                <w:rFonts w:hint="eastAsia" w:ascii="宋体" w:hAnsi="宋体" w:cs="宋体"/>
                <w:color w:val="auto"/>
                <w:szCs w:val="21"/>
                <w:highlight w:val="none"/>
              </w:rPr>
              <w:t>最低数量要求</w:t>
            </w:r>
          </w:p>
        </w:tc>
      </w:tr>
      <w:tr w14:paraId="72A592AD">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303D6376">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242" w:type="dxa"/>
            <w:tcBorders>
              <w:top w:val="single" w:color="000000" w:sz="8" w:space="0"/>
              <w:left w:val="single" w:color="000000" w:sz="8" w:space="0"/>
              <w:bottom w:val="single" w:color="000000" w:sz="8" w:space="0"/>
              <w:right w:val="single" w:color="000000" w:sz="8" w:space="0"/>
            </w:tcBorders>
            <w:vAlign w:val="center"/>
          </w:tcPr>
          <w:p w14:paraId="429CD287">
            <w:pPr>
              <w:jc w:val="center"/>
              <w:rPr>
                <w:rFonts w:hint="eastAsia" w:ascii="宋体" w:hAnsi="宋体" w:cs="宋体"/>
                <w:color w:val="auto"/>
                <w:szCs w:val="21"/>
                <w:highlight w:val="none"/>
              </w:rPr>
            </w:pPr>
            <w:r>
              <w:rPr>
                <w:rFonts w:ascii="宋体" w:hAnsi="宋体" w:cs="宋体"/>
                <w:color w:val="auto"/>
                <w:szCs w:val="21"/>
                <w:highlight w:val="none"/>
              </w:rPr>
              <w:t>平地机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7B649B4F">
            <w:pPr>
              <w:jc w:val="center"/>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180KW</w:t>
            </w:r>
          </w:p>
        </w:tc>
        <w:tc>
          <w:tcPr>
            <w:tcW w:w="1374" w:type="dxa"/>
            <w:tcBorders>
              <w:top w:val="single" w:color="000000" w:sz="8" w:space="0"/>
              <w:left w:val="single" w:color="000000" w:sz="8" w:space="0"/>
              <w:bottom w:val="single" w:color="000000" w:sz="8" w:space="0"/>
              <w:right w:val="single" w:color="000000" w:sz="8" w:space="0"/>
            </w:tcBorders>
            <w:vAlign w:val="center"/>
          </w:tcPr>
          <w:p w14:paraId="13DF5D0B">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7788B3E">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6797451D">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DC9D095">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242" w:type="dxa"/>
            <w:tcBorders>
              <w:top w:val="single" w:color="000000" w:sz="8" w:space="0"/>
              <w:left w:val="single" w:color="000000" w:sz="8" w:space="0"/>
              <w:bottom w:val="single" w:color="000000" w:sz="8" w:space="0"/>
              <w:right w:val="single" w:color="000000" w:sz="8" w:space="0"/>
            </w:tcBorders>
            <w:vAlign w:val="center"/>
          </w:tcPr>
          <w:p w14:paraId="5CD7CD97">
            <w:pPr>
              <w:jc w:val="center"/>
              <w:rPr>
                <w:rFonts w:hint="eastAsia" w:ascii="宋体" w:hAnsi="宋体" w:cs="宋体"/>
                <w:color w:val="auto"/>
                <w:szCs w:val="21"/>
                <w:highlight w:val="none"/>
              </w:rPr>
            </w:pPr>
            <w:r>
              <w:rPr>
                <w:rFonts w:ascii="宋体" w:hAnsi="宋体" w:cs="宋体"/>
                <w:color w:val="auto"/>
                <w:szCs w:val="21"/>
                <w:highlight w:val="none"/>
              </w:rPr>
              <w:t>振动压路机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2A415551">
            <w:pPr>
              <w:jc w:val="center"/>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25T</w:t>
            </w:r>
          </w:p>
        </w:tc>
        <w:tc>
          <w:tcPr>
            <w:tcW w:w="1374" w:type="dxa"/>
            <w:tcBorders>
              <w:top w:val="single" w:color="000000" w:sz="8" w:space="0"/>
              <w:left w:val="single" w:color="000000" w:sz="8" w:space="0"/>
              <w:bottom w:val="single" w:color="000000" w:sz="8" w:space="0"/>
              <w:right w:val="single" w:color="000000" w:sz="8" w:space="0"/>
            </w:tcBorders>
            <w:vAlign w:val="center"/>
          </w:tcPr>
          <w:p w14:paraId="3D91D348">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778AC894">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17B87856">
        <w:tblPrEx>
          <w:tblCellMar>
            <w:top w:w="0" w:type="dxa"/>
            <w:left w:w="0" w:type="dxa"/>
            <w:bottom w:w="0" w:type="dxa"/>
            <w:right w:w="0" w:type="dxa"/>
          </w:tblCellMar>
        </w:tblPrEx>
        <w:trPr>
          <w:trHeight w:val="396"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CB9AD66">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242" w:type="dxa"/>
            <w:tcBorders>
              <w:top w:val="single" w:color="000000" w:sz="8" w:space="0"/>
              <w:left w:val="single" w:color="000000" w:sz="8" w:space="0"/>
              <w:bottom w:val="single" w:color="000000" w:sz="8" w:space="0"/>
              <w:right w:val="single" w:color="000000" w:sz="8" w:space="0"/>
            </w:tcBorders>
            <w:vAlign w:val="center"/>
          </w:tcPr>
          <w:p w14:paraId="756BA451">
            <w:pPr>
              <w:jc w:val="center"/>
              <w:rPr>
                <w:rFonts w:hint="eastAsia" w:ascii="宋体" w:hAnsi="宋体" w:cs="宋体"/>
                <w:color w:val="auto"/>
                <w:szCs w:val="21"/>
                <w:highlight w:val="none"/>
              </w:rPr>
            </w:pPr>
            <w:r>
              <w:rPr>
                <w:rFonts w:hint="eastAsia" w:ascii="宋体" w:hAnsi="宋体" w:cs="宋体"/>
                <w:color w:val="auto"/>
                <w:szCs w:val="21"/>
                <w:highlight w:val="none"/>
              </w:rPr>
              <w:t>双钢轮压路机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2CAE92A0">
            <w:pPr>
              <w:jc w:val="center"/>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10T</w:t>
            </w:r>
          </w:p>
        </w:tc>
        <w:tc>
          <w:tcPr>
            <w:tcW w:w="1374" w:type="dxa"/>
            <w:tcBorders>
              <w:top w:val="single" w:color="000000" w:sz="8" w:space="0"/>
              <w:left w:val="single" w:color="000000" w:sz="8" w:space="0"/>
              <w:bottom w:val="single" w:color="000000" w:sz="8" w:space="0"/>
              <w:right w:val="single" w:color="000000" w:sz="8" w:space="0"/>
            </w:tcBorders>
            <w:vAlign w:val="center"/>
          </w:tcPr>
          <w:p w14:paraId="53FC1553">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0C8F9F7E">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7CA334B8">
        <w:tblPrEx>
          <w:tblCellMar>
            <w:top w:w="0" w:type="dxa"/>
            <w:left w:w="0" w:type="dxa"/>
            <w:bottom w:w="0" w:type="dxa"/>
            <w:right w:w="0" w:type="dxa"/>
          </w:tblCellMar>
        </w:tblPrEx>
        <w:trPr>
          <w:trHeight w:val="396"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3BAFD151">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242" w:type="dxa"/>
            <w:tcBorders>
              <w:top w:val="single" w:color="000000" w:sz="8" w:space="0"/>
              <w:left w:val="single" w:color="000000" w:sz="8" w:space="0"/>
              <w:bottom w:val="single" w:color="000000" w:sz="8" w:space="0"/>
              <w:right w:val="single" w:color="000000" w:sz="8" w:space="0"/>
            </w:tcBorders>
            <w:vAlign w:val="center"/>
          </w:tcPr>
          <w:p w14:paraId="6EDDD999">
            <w:pPr>
              <w:jc w:val="center"/>
              <w:rPr>
                <w:rFonts w:hint="eastAsia" w:ascii="宋体" w:hAnsi="宋体" w:cs="宋体"/>
                <w:color w:val="auto"/>
                <w:szCs w:val="21"/>
                <w:highlight w:val="none"/>
              </w:rPr>
            </w:pPr>
            <w:r>
              <w:rPr>
                <w:rFonts w:hint="eastAsia" w:ascii="宋体" w:hAnsi="宋体" w:cs="宋体"/>
                <w:color w:val="auto"/>
                <w:szCs w:val="21"/>
                <w:highlight w:val="none"/>
              </w:rPr>
              <w:t>装载机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131613CE">
            <w:pPr>
              <w:jc w:val="center"/>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2m</w:t>
            </w:r>
            <w:r>
              <w:rPr>
                <w:rFonts w:hint="eastAsia" w:ascii="宋体" w:hAnsi="宋体" w:cs="宋体"/>
                <w:color w:val="auto"/>
                <w:szCs w:val="21"/>
                <w:highlight w:val="none"/>
                <w:vertAlign w:val="superscript"/>
              </w:rPr>
              <w:t>3</w:t>
            </w:r>
          </w:p>
        </w:tc>
        <w:tc>
          <w:tcPr>
            <w:tcW w:w="1374" w:type="dxa"/>
            <w:tcBorders>
              <w:top w:val="single" w:color="000000" w:sz="8" w:space="0"/>
              <w:left w:val="single" w:color="000000" w:sz="8" w:space="0"/>
              <w:bottom w:val="single" w:color="000000" w:sz="8" w:space="0"/>
              <w:right w:val="single" w:color="000000" w:sz="8" w:space="0"/>
            </w:tcBorders>
            <w:vAlign w:val="center"/>
          </w:tcPr>
          <w:p w14:paraId="1EB7B694">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46802662">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01E0DEE1">
        <w:tblPrEx>
          <w:tblCellMar>
            <w:top w:w="0" w:type="dxa"/>
            <w:left w:w="0" w:type="dxa"/>
            <w:bottom w:w="0" w:type="dxa"/>
            <w:right w:w="0" w:type="dxa"/>
          </w:tblCellMar>
        </w:tblPrEx>
        <w:trPr>
          <w:trHeight w:val="369"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3E970C5A">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242" w:type="dxa"/>
            <w:tcBorders>
              <w:top w:val="single" w:color="000000" w:sz="8" w:space="0"/>
              <w:left w:val="single" w:color="000000" w:sz="8" w:space="0"/>
              <w:bottom w:val="single" w:color="000000" w:sz="8" w:space="0"/>
              <w:right w:val="single" w:color="000000" w:sz="8" w:space="0"/>
            </w:tcBorders>
            <w:vAlign w:val="center"/>
          </w:tcPr>
          <w:p w14:paraId="7F8431B6">
            <w:pPr>
              <w:jc w:val="center"/>
              <w:rPr>
                <w:rFonts w:hint="eastAsia" w:ascii="宋体" w:hAnsi="宋体" w:cs="宋体"/>
                <w:color w:val="auto"/>
                <w:szCs w:val="21"/>
                <w:highlight w:val="none"/>
              </w:rPr>
            </w:pPr>
            <w:r>
              <w:rPr>
                <w:rFonts w:hint="eastAsia" w:ascii="宋体" w:hAnsi="宋体" w:cs="宋体"/>
                <w:color w:val="auto"/>
                <w:szCs w:val="21"/>
                <w:highlight w:val="none"/>
              </w:rPr>
              <w:t>挖掘机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5B699EB0">
            <w:pPr>
              <w:jc w:val="center"/>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1.0m</w:t>
            </w:r>
            <w:r>
              <w:rPr>
                <w:rFonts w:hint="eastAsia" w:ascii="宋体" w:hAnsi="宋体" w:cs="宋体"/>
                <w:color w:val="auto"/>
                <w:szCs w:val="21"/>
                <w:highlight w:val="none"/>
                <w:vertAlign w:val="superscript"/>
              </w:rPr>
              <w:t>3</w:t>
            </w:r>
          </w:p>
        </w:tc>
        <w:tc>
          <w:tcPr>
            <w:tcW w:w="1374" w:type="dxa"/>
            <w:tcBorders>
              <w:top w:val="single" w:color="000000" w:sz="8" w:space="0"/>
              <w:left w:val="single" w:color="000000" w:sz="8" w:space="0"/>
              <w:bottom w:val="single" w:color="000000" w:sz="8" w:space="0"/>
              <w:right w:val="single" w:color="000000" w:sz="8" w:space="0"/>
            </w:tcBorders>
            <w:vAlign w:val="center"/>
          </w:tcPr>
          <w:p w14:paraId="65CBA53B">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68244D29">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28BD1770">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10E1D60">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242" w:type="dxa"/>
            <w:tcBorders>
              <w:top w:val="single" w:color="000000" w:sz="8" w:space="0"/>
              <w:left w:val="single" w:color="000000" w:sz="8" w:space="0"/>
              <w:bottom w:val="single" w:color="000000" w:sz="8" w:space="0"/>
              <w:right w:val="single" w:color="000000" w:sz="8" w:space="0"/>
            </w:tcBorders>
            <w:vAlign w:val="center"/>
          </w:tcPr>
          <w:p w14:paraId="18B23FF4">
            <w:pPr>
              <w:jc w:val="center"/>
              <w:rPr>
                <w:rFonts w:hint="eastAsia" w:ascii="宋体" w:hAnsi="宋体" w:cs="宋体"/>
                <w:color w:val="auto"/>
                <w:szCs w:val="21"/>
                <w:highlight w:val="none"/>
              </w:rPr>
            </w:pPr>
            <w:r>
              <w:rPr>
                <w:rFonts w:hint="eastAsia" w:ascii="宋体" w:hAnsi="宋体" w:cs="宋体"/>
                <w:color w:val="auto"/>
                <w:szCs w:val="21"/>
                <w:highlight w:val="none"/>
              </w:rPr>
              <w:t>推土机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7CB0D033">
            <w:pPr>
              <w:jc w:val="center"/>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165kw</w:t>
            </w:r>
          </w:p>
        </w:tc>
        <w:tc>
          <w:tcPr>
            <w:tcW w:w="1374" w:type="dxa"/>
            <w:tcBorders>
              <w:top w:val="single" w:color="000000" w:sz="8" w:space="0"/>
              <w:left w:val="single" w:color="000000" w:sz="8" w:space="0"/>
              <w:bottom w:val="single" w:color="000000" w:sz="8" w:space="0"/>
              <w:right w:val="single" w:color="000000" w:sz="8" w:space="0"/>
            </w:tcBorders>
            <w:vAlign w:val="center"/>
          </w:tcPr>
          <w:p w14:paraId="46B2982D">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0C160371">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7EC54219">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DFA8857">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3242" w:type="dxa"/>
            <w:tcBorders>
              <w:top w:val="single" w:color="000000" w:sz="8" w:space="0"/>
              <w:left w:val="single" w:color="000000" w:sz="8" w:space="0"/>
              <w:bottom w:val="single" w:color="000000" w:sz="8" w:space="0"/>
              <w:right w:val="single" w:color="000000" w:sz="8" w:space="0"/>
            </w:tcBorders>
            <w:vAlign w:val="center"/>
          </w:tcPr>
          <w:p w14:paraId="284FEF10">
            <w:pPr>
              <w:jc w:val="center"/>
              <w:rPr>
                <w:rFonts w:hint="eastAsia" w:ascii="宋体" w:hAnsi="宋体" w:cs="宋体"/>
                <w:color w:val="auto"/>
                <w:szCs w:val="21"/>
                <w:highlight w:val="none"/>
              </w:rPr>
            </w:pPr>
            <w:r>
              <w:rPr>
                <w:rFonts w:hint="eastAsia" w:ascii="宋体" w:hAnsi="宋体" w:cs="宋体"/>
                <w:color w:val="auto"/>
                <w:szCs w:val="21"/>
                <w:highlight w:val="none"/>
              </w:rPr>
              <w:t>载重汽车</w:t>
            </w:r>
          </w:p>
        </w:tc>
        <w:tc>
          <w:tcPr>
            <w:tcW w:w="2506" w:type="dxa"/>
            <w:tcBorders>
              <w:top w:val="single" w:color="000000" w:sz="8" w:space="0"/>
              <w:left w:val="single" w:color="000000" w:sz="8" w:space="0"/>
              <w:bottom w:val="single" w:color="000000" w:sz="8" w:space="0"/>
              <w:right w:val="single" w:color="000000" w:sz="8" w:space="0"/>
            </w:tcBorders>
            <w:vAlign w:val="center"/>
          </w:tcPr>
          <w:p w14:paraId="529C39AA">
            <w:pPr>
              <w:jc w:val="center"/>
              <w:rPr>
                <w:rFonts w:hint="eastAsia" w:ascii="宋体" w:hAnsi="宋体" w:cs="宋体"/>
                <w:color w:val="auto"/>
                <w:szCs w:val="21"/>
                <w:highlight w:val="none"/>
              </w:rPr>
            </w:pPr>
            <w:r>
              <w:rPr>
                <w:rFonts w:hint="eastAsia" w:ascii="宋体" w:hAnsi="宋体" w:cs="宋体"/>
                <w:color w:val="auto"/>
                <w:szCs w:val="21"/>
                <w:highlight w:val="none"/>
              </w:rPr>
              <w:t>15t以上</w:t>
            </w:r>
          </w:p>
        </w:tc>
        <w:tc>
          <w:tcPr>
            <w:tcW w:w="1374" w:type="dxa"/>
            <w:tcBorders>
              <w:top w:val="single" w:color="000000" w:sz="8" w:space="0"/>
              <w:left w:val="single" w:color="000000" w:sz="8" w:space="0"/>
              <w:bottom w:val="single" w:color="000000" w:sz="8" w:space="0"/>
              <w:right w:val="single" w:color="000000" w:sz="8" w:space="0"/>
            </w:tcBorders>
            <w:vAlign w:val="center"/>
          </w:tcPr>
          <w:p w14:paraId="532CCB33">
            <w:pPr>
              <w:jc w:val="center"/>
              <w:rPr>
                <w:rFonts w:hint="eastAsia" w:ascii="宋体" w:hAnsi="宋体" w:cs="宋体"/>
                <w:color w:val="auto"/>
                <w:szCs w:val="21"/>
                <w:highlight w:val="none"/>
              </w:rPr>
            </w:pPr>
            <w:r>
              <w:rPr>
                <w:rFonts w:hint="eastAsia" w:ascii="宋体" w:hAnsi="宋体" w:cs="宋体"/>
                <w:color w:val="auto"/>
                <w:szCs w:val="21"/>
                <w:highlight w:val="none"/>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32048824">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1FE83409">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4FDAC60A">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3242" w:type="dxa"/>
            <w:tcBorders>
              <w:top w:val="single" w:color="000000" w:sz="8" w:space="0"/>
              <w:left w:val="single" w:color="000000" w:sz="8" w:space="0"/>
              <w:bottom w:val="single" w:color="000000" w:sz="8" w:space="0"/>
              <w:right w:val="single" w:color="000000" w:sz="8" w:space="0"/>
            </w:tcBorders>
            <w:vAlign w:val="center"/>
          </w:tcPr>
          <w:p w14:paraId="129D5B75">
            <w:pPr>
              <w:jc w:val="center"/>
              <w:rPr>
                <w:rFonts w:hint="eastAsia" w:ascii="宋体" w:hAnsi="宋体" w:cs="宋体"/>
                <w:color w:val="auto"/>
                <w:szCs w:val="21"/>
                <w:highlight w:val="none"/>
              </w:rPr>
            </w:pPr>
            <w:r>
              <w:rPr>
                <w:rFonts w:hint="eastAsia" w:ascii="宋体" w:hAnsi="宋体" w:cs="宋体"/>
                <w:color w:val="auto"/>
                <w:szCs w:val="21"/>
                <w:highlight w:val="none"/>
              </w:rPr>
              <w:t>冲击钻</w:t>
            </w:r>
          </w:p>
        </w:tc>
        <w:tc>
          <w:tcPr>
            <w:tcW w:w="2506" w:type="dxa"/>
            <w:tcBorders>
              <w:top w:val="single" w:color="000000" w:sz="8" w:space="0"/>
              <w:left w:val="single" w:color="000000" w:sz="8" w:space="0"/>
              <w:bottom w:val="single" w:color="000000" w:sz="8" w:space="0"/>
              <w:right w:val="single" w:color="000000" w:sz="8" w:space="0"/>
            </w:tcBorders>
            <w:vAlign w:val="center"/>
          </w:tcPr>
          <w:p w14:paraId="4F6A18C2">
            <w:pPr>
              <w:jc w:val="center"/>
              <w:rPr>
                <w:rFonts w:hint="eastAsia" w:ascii="宋体" w:hAnsi="宋体" w:cs="宋体"/>
                <w:color w:val="auto"/>
                <w:szCs w:val="21"/>
                <w:highlight w:val="none"/>
              </w:rPr>
            </w:pPr>
          </w:p>
        </w:tc>
        <w:tc>
          <w:tcPr>
            <w:tcW w:w="1374" w:type="dxa"/>
            <w:tcBorders>
              <w:top w:val="single" w:color="000000" w:sz="8" w:space="0"/>
              <w:left w:val="single" w:color="000000" w:sz="8" w:space="0"/>
              <w:bottom w:val="single" w:color="000000" w:sz="8" w:space="0"/>
              <w:right w:val="single" w:color="000000" w:sz="8" w:space="0"/>
            </w:tcBorders>
            <w:vAlign w:val="center"/>
          </w:tcPr>
          <w:p w14:paraId="4FC4FD3B">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396CEB46">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464B3215">
        <w:tblPrEx>
          <w:tblCellMar>
            <w:top w:w="0" w:type="dxa"/>
            <w:left w:w="0" w:type="dxa"/>
            <w:bottom w:w="0" w:type="dxa"/>
            <w:right w:w="0" w:type="dxa"/>
          </w:tblCellMar>
        </w:tblPrEx>
        <w:trPr>
          <w:trHeight w:val="432"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603E91CC">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242" w:type="dxa"/>
            <w:tcBorders>
              <w:top w:val="single" w:color="000000" w:sz="8" w:space="0"/>
              <w:left w:val="single" w:color="000000" w:sz="8" w:space="0"/>
              <w:bottom w:val="single" w:color="000000" w:sz="8" w:space="0"/>
              <w:right w:val="single" w:color="000000" w:sz="8" w:space="0"/>
            </w:tcBorders>
            <w:vAlign w:val="center"/>
          </w:tcPr>
          <w:p w14:paraId="0AF0F6DC">
            <w:pPr>
              <w:jc w:val="center"/>
              <w:rPr>
                <w:rFonts w:hint="eastAsia" w:ascii="宋体" w:hAnsi="宋体" w:cs="宋体"/>
                <w:color w:val="auto"/>
                <w:szCs w:val="21"/>
                <w:highlight w:val="none"/>
              </w:rPr>
            </w:pPr>
            <w:r>
              <w:rPr>
                <w:rFonts w:hint="eastAsia" w:ascii="宋体" w:hAnsi="宋体" w:cs="宋体"/>
                <w:color w:val="auto"/>
                <w:szCs w:val="21"/>
                <w:highlight w:val="none"/>
              </w:rPr>
              <w:t>吊车</w:t>
            </w:r>
          </w:p>
        </w:tc>
        <w:tc>
          <w:tcPr>
            <w:tcW w:w="2506" w:type="dxa"/>
            <w:tcBorders>
              <w:top w:val="single" w:color="000000" w:sz="8" w:space="0"/>
              <w:left w:val="single" w:color="000000" w:sz="8" w:space="0"/>
              <w:bottom w:val="single" w:color="000000" w:sz="8" w:space="0"/>
              <w:right w:val="single" w:color="000000" w:sz="8" w:space="0"/>
            </w:tcBorders>
            <w:vAlign w:val="center"/>
          </w:tcPr>
          <w:p w14:paraId="08E28697">
            <w:pPr>
              <w:jc w:val="center"/>
              <w:rPr>
                <w:rFonts w:hint="eastAsia" w:ascii="宋体" w:hAnsi="宋体" w:cs="宋体"/>
                <w:color w:val="auto"/>
                <w:szCs w:val="21"/>
                <w:highlight w:val="none"/>
              </w:rPr>
            </w:pPr>
            <w:r>
              <w:rPr>
                <w:rFonts w:hint="eastAsia" w:ascii="宋体" w:hAnsi="宋体" w:cs="宋体"/>
                <w:color w:val="auto"/>
                <w:szCs w:val="21"/>
                <w:highlight w:val="none"/>
              </w:rPr>
              <w:t>大于30T</w:t>
            </w:r>
          </w:p>
        </w:tc>
        <w:tc>
          <w:tcPr>
            <w:tcW w:w="1374" w:type="dxa"/>
            <w:tcBorders>
              <w:top w:val="single" w:color="000000" w:sz="8" w:space="0"/>
              <w:left w:val="single" w:color="000000" w:sz="8" w:space="0"/>
              <w:bottom w:val="single" w:color="000000" w:sz="8" w:space="0"/>
              <w:right w:val="single" w:color="000000" w:sz="8" w:space="0"/>
            </w:tcBorders>
            <w:vAlign w:val="center"/>
          </w:tcPr>
          <w:p w14:paraId="29DD2B66">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2C1E70E4">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1F499FBD">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1A9802A8">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3242" w:type="dxa"/>
            <w:tcBorders>
              <w:top w:val="single" w:color="000000" w:sz="8" w:space="0"/>
              <w:left w:val="single" w:color="000000" w:sz="8" w:space="0"/>
              <w:bottom w:val="single" w:color="000000" w:sz="8" w:space="0"/>
              <w:right w:val="single" w:color="000000" w:sz="8" w:space="0"/>
            </w:tcBorders>
            <w:vAlign w:val="center"/>
          </w:tcPr>
          <w:p w14:paraId="734915B9">
            <w:pPr>
              <w:jc w:val="center"/>
              <w:rPr>
                <w:rFonts w:hint="eastAsia" w:ascii="宋体" w:hAnsi="宋体" w:cs="宋体"/>
                <w:color w:val="auto"/>
                <w:szCs w:val="21"/>
                <w:highlight w:val="none"/>
              </w:rPr>
            </w:pPr>
            <w:r>
              <w:rPr>
                <w:rFonts w:ascii="宋体" w:hAnsi="宋体" w:cs="宋体"/>
                <w:color w:val="auto"/>
                <w:szCs w:val="21"/>
                <w:highlight w:val="none"/>
              </w:rPr>
              <w:t>混凝土搅拌运输车</w:t>
            </w:r>
          </w:p>
        </w:tc>
        <w:tc>
          <w:tcPr>
            <w:tcW w:w="2506" w:type="dxa"/>
            <w:tcBorders>
              <w:top w:val="single" w:color="000000" w:sz="8" w:space="0"/>
              <w:left w:val="single" w:color="000000" w:sz="8" w:space="0"/>
              <w:bottom w:val="single" w:color="000000" w:sz="8" w:space="0"/>
              <w:right w:val="single" w:color="000000" w:sz="8" w:space="0"/>
            </w:tcBorders>
            <w:vAlign w:val="center"/>
          </w:tcPr>
          <w:p w14:paraId="1C141196">
            <w:pPr>
              <w:jc w:val="center"/>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6m</w:t>
            </w:r>
            <w:r>
              <w:rPr>
                <w:rFonts w:hint="eastAsia" w:ascii="宋体" w:hAnsi="宋体" w:cs="宋体"/>
                <w:color w:val="auto"/>
                <w:szCs w:val="21"/>
                <w:highlight w:val="none"/>
                <w:vertAlign w:val="superscript"/>
              </w:rPr>
              <w:t>3</w:t>
            </w:r>
          </w:p>
        </w:tc>
        <w:tc>
          <w:tcPr>
            <w:tcW w:w="1374" w:type="dxa"/>
            <w:tcBorders>
              <w:top w:val="single" w:color="000000" w:sz="8" w:space="0"/>
              <w:left w:val="single" w:color="000000" w:sz="8" w:space="0"/>
              <w:bottom w:val="single" w:color="000000" w:sz="8" w:space="0"/>
              <w:right w:val="single" w:color="000000" w:sz="8" w:space="0"/>
            </w:tcBorders>
            <w:vAlign w:val="center"/>
          </w:tcPr>
          <w:p w14:paraId="672602CC">
            <w:pPr>
              <w:jc w:val="center"/>
              <w:rPr>
                <w:rFonts w:hint="eastAsia" w:ascii="宋体" w:hAnsi="宋体" w:cs="宋体"/>
                <w:color w:val="auto"/>
                <w:szCs w:val="21"/>
                <w:highlight w:val="none"/>
              </w:rPr>
            </w:pPr>
            <w:r>
              <w:rPr>
                <w:rFonts w:hint="eastAsia" w:ascii="宋体" w:hAnsi="宋体" w:cs="宋体"/>
                <w:color w:val="auto"/>
                <w:szCs w:val="21"/>
                <w:highlight w:val="none"/>
              </w:rPr>
              <w:t>辆</w:t>
            </w:r>
          </w:p>
        </w:tc>
        <w:tc>
          <w:tcPr>
            <w:tcW w:w="1355" w:type="dxa"/>
            <w:tcBorders>
              <w:top w:val="single" w:color="000000" w:sz="8" w:space="0"/>
              <w:left w:val="single" w:color="000000" w:sz="8" w:space="0"/>
              <w:bottom w:val="single" w:color="000000" w:sz="8" w:space="0"/>
              <w:right w:val="single" w:color="000000" w:sz="12" w:space="0"/>
            </w:tcBorders>
            <w:vAlign w:val="center"/>
          </w:tcPr>
          <w:p w14:paraId="3007F65B">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r>
      <w:tr w14:paraId="46D0071E">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02E8FBED">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3242" w:type="dxa"/>
            <w:tcBorders>
              <w:top w:val="single" w:color="000000" w:sz="8" w:space="0"/>
              <w:left w:val="single" w:color="000000" w:sz="8" w:space="0"/>
              <w:bottom w:val="single" w:color="000000" w:sz="8" w:space="0"/>
              <w:right w:val="single" w:color="000000" w:sz="8" w:space="0"/>
            </w:tcBorders>
            <w:vAlign w:val="center"/>
          </w:tcPr>
          <w:p w14:paraId="1C82760C">
            <w:pPr>
              <w:jc w:val="center"/>
              <w:rPr>
                <w:rFonts w:hint="eastAsia" w:ascii="宋体" w:hAnsi="宋体" w:cs="宋体"/>
                <w:color w:val="auto"/>
                <w:szCs w:val="21"/>
                <w:highlight w:val="none"/>
              </w:rPr>
            </w:pPr>
            <w:r>
              <w:rPr>
                <w:rFonts w:hint="eastAsia" w:ascii="宋体" w:hAnsi="宋体" w:cs="宋体"/>
                <w:color w:val="auto"/>
                <w:szCs w:val="21"/>
                <w:highlight w:val="none"/>
              </w:rPr>
              <w:t>稳定粒料拌和设备</w:t>
            </w:r>
          </w:p>
        </w:tc>
        <w:tc>
          <w:tcPr>
            <w:tcW w:w="2506" w:type="dxa"/>
            <w:tcBorders>
              <w:top w:val="single" w:color="000000" w:sz="8" w:space="0"/>
              <w:left w:val="single" w:color="000000" w:sz="8" w:space="0"/>
              <w:bottom w:val="single" w:color="000000" w:sz="8" w:space="0"/>
              <w:right w:val="single" w:color="000000" w:sz="8" w:space="0"/>
            </w:tcBorders>
            <w:vAlign w:val="center"/>
          </w:tcPr>
          <w:p w14:paraId="324EE5BD">
            <w:pPr>
              <w:jc w:val="center"/>
              <w:rPr>
                <w:rFonts w:hint="eastAsia" w:ascii="宋体" w:hAnsi="宋体" w:cs="宋体"/>
                <w:color w:val="auto"/>
                <w:szCs w:val="21"/>
                <w:highlight w:val="none"/>
              </w:rPr>
            </w:pPr>
            <w:r>
              <w:rPr>
                <w:rFonts w:hint="eastAsia" w:ascii="宋体" w:hAnsi="宋体" w:cs="宋体"/>
                <w:color w:val="auto"/>
                <w:szCs w:val="21"/>
                <w:highlight w:val="none"/>
              </w:rPr>
              <w:t>≥500t/h</w:t>
            </w:r>
          </w:p>
        </w:tc>
        <w:tc>
          <w:tcPr>
            <w:tcW w:w="1374" w:type="dxa"/>
            <w:tcBorders>
              <w:top w:val="single" w:color="000000" w:sz="8" w:space="0"/>
              <w:left w:val="single" w:color="000000" w:sz="8" w:space="0"/>
              <w:bottom w:val="single" w:color="000000" w:sz="8" w:space="0"/>
              <w:right w:val="single" w:color="000000" w:sz="8" w:space="0"/>
            </w:tcBorders>
            <w:vAlign w:val="center"/>
          </w:tcPr>
          <w:p w14:paraId="71815796">
            <w:pPr>
              <w:jc w:val="center"/>
              <w:rPr>
                <w:rFonts w:hint="eastAsia" w:ascii="宋体" w:hAnsi="宋体" w:cs="宋体"/>
                <w:color w:val="auto"/>
                <w:szCs w:val="21"/>
                <w:highlight w:val="none"/>
              </w:rPr>
            </w:pPr>
            <w:r>
              <w:rPr>
                <w:rFonts w:hint="eastAsia" w:ascii="宋体" w:hAnsi="宋体" w:cs="宋体"/>
                <w:color w:val="auto"/>
                <w:szCs w:val="21"/>
                <w:highlight w:val="none"/>
              </w:rPr>
              <w:t>座</w:t>
            </w:r>
          </w:p>
        </w:tc>
        <w:tc>
          <w:tcPr>
            <w:tcW w:w="1355" w:type="dxa"/>
            <w:tcBorders>
              <w:top w:val="single" w:color="000000" w:sz="8" w:space="0"/>
              <w:left w:val="single" w:color="000000" w:sz="8" w:space="0"/>
              <w:bottom w:val="single" w:color="000000" w:sz="8" w:space="0"/>
              <w:right w:val="single" w:color="000000" w:sz="12" w:space="0"/>
            </w:tcBorders>
            <w:vAlign w:val="center"/>
          </w:tcPr>
          <w:p w14:paraId="7CAB2374">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577ED3B1">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603F6F23">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3242" w:type="dxa"/>
            <w:tcBorders>
              <w:top w:val="single" w:color="000000" w:sz="8" w:space="0"/>
              <w:left w:val="single" w:color="000000" w:sz="8" w:space="0"/>
              <w:bottom w:val="single" w:color="000000" w:sz="8" w:space="0"/>
              <w:right w:val="single" w:color="000000" w:sz="8" w:space="0"/>
            </w:tcBorders>
            <w:vAlign w:val="center"/>
          </w:tcPr>
          <w:p w14:paraId="2E017402">
            <w:pPr>
              <w:jc w:val="center"/>
              <w:rPr>
                <w:rFonts w:hint="eastAsia" w:ascii="宋体" w:hAnsi="宋体" w:cs="宋体"/>
                <w:color w:val="auto"/>
                <w:szCs w:val="21"/>
                <w:highlight w:val="none"/>
              </w:rPr>
            </w:pPr>
            <w:r>
              <w:rPr>
                <w:rFonts w:hint="eastAsia" w:ascii="宋体" w:hAnsi="宋体" w:cs="宋体"/>
                <w:color w:val="auto"/>
                <w:szCs w:val="21"/>
                <w:highlight w:val="none"/>
              </w:rPr>
              <w:t>沥青砼摊铺机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078EDE75">
            <w:pPr>
              <w:jc w:val="center"/>
              <w:rPr>
                <w:rFonts w:hint="eastAsia" w:ascii="宋体" w:hAnsi="宋体" w:cs="宋体"/>
                <w:color w:val="auto"/>
                <w:szCs w:val="21"/>
                <w:highlight w:val="none"/>
              </w:rPr>
            </w:pPr>
            <w:r>
              <w:rPr>
                <w:rFonts w:hint="eastAsia" w:ascii="宋体" w:hAnsi="宋体" w:cs="宋体"/>
                <w:color w:val="auto"/>
                <w:szCs w:val="21"/>
                <w:highlight w:val="none"/>
              </w:rPr>
              <w:t>一次性摊铺宽度≥7.5m</w:t>
            </w:r>
          </w:p>
        </w:tc>
        <w:tc>
          <w:tcPr>
            <w:tcW w:w="1374" w:type="dxa"/>
            <w:tcBorders>
              <w:top w:val="single" w:color="000000" w:sz="8" w:space="0"/>
              <w:left w:val="single" w:color="000000" w:sz="8" w:space="0"/>
              <w:bottom w:val="single" w:color="000000" w:sz="8" w:space="0"/>
              <w:right w:val="single" w:color="000000" w:sz="8" w:space="0"/>
            </w:tcBorders>
            <w:vAlign w:val="center"/>
          </w:tcPr>
          <w:p w14:paraId="2FA8AD1C">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7642676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4CB244EA">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04DAF023">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3242" w:type="dxa"/>
            <w:tcBorders>
              <w:top w:val="single" w:color="000000" w:sz="8" w:space="0"/>
              <w:left w:val="single" w:color="000000" w:sz="8" w:space="0"/>
              <w:bottom w:val="single" w:color="000000" w:sz="8" w:space="0"/>
              <w:right w:val="single" w:color="000000" w:sz="8" w:space="0"/>
            </w:tcBorders>
            <w:vAlign w:val="center"/>
          </w:tcPr>
          <w:p w14:paraId="5B99FD94">
            <w:pPr>
              <w:jc w:val="center"/>
              <w:rPr>
                <w:rFonts w:hint="eastAsia" w:ascii="宋体" w:hAnsi="宋体" w:cs="宋体"/>
                <w:color w:val="auto"/>
                <w:szCs w:val="21"/>
                <w:highlight w:val="none"/>
              </w:rPr>
            </w:pPr>
            <w:r>
              <w:rPr>
                <w:rFonts w:hint="eastAsia" w:ascii="宋体" w:hAnsi="宋体" w:cs="宋体"/>
                <w:color w:val="auto"/>
                <w:szCs w:val="21"/>
                <w:highlight w:val="none"/>
              </w:rPr>
              <w:t>基层摊铺机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35BAA92E">
            <w:pPr>
              <w:jc w:val="center"/>
              <w:rPr>
                <w:rFonts w:hint="eastAsia" w:ascii="宋体" w:hAnsi="宋体" w:cs="宋体"/>
                <w:color w:val="auto"/>
                <w:szCs w:val="21"/>
                <w:highlight w:val="none"/>
              </w:rPr>
            </w:pPr>
            <w:r>
              <w:rPr>
                <w:rFonts w:hint="eastAsia" w:ascii="宋体" w:hAnsi="宋体" w:cs="宋体"/>
                <w:color w:val="auto"/>
                <w:szCs w:val="21"/>
                <w:highlight w:val="none"/>
              </w:rPr>
              <w:t>一次性摊铺宽度≥7.5m</w:t>
            </w:r>
          </w:p>
        </w:tc>
        <w:tc>
          <w:tcPr>
            <w:tcW w:w="1374" w:type="dxa"/>
            <w:tcBorders>
              <w:top w:val="single" w:color="000000" w:sz="8" w:space="0"/>
              <w:left w:val="single" w:color="000000" w:sz="8" w:space="0"/>
              <w:bottom w:val="single" w:color="000000" w:sz="8" w:space="0"/>
              <w:right w:val="single" w:color="000000" w:sz="8" w:space="0"/>
            </w:tcBorders>
            <w:vAlign w:val="center"/>
          </w:tcPr>
          <w:p w14:paraId="4975944B">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1D53F902">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609B9650">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5653BCCB">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3242" w:type="dxa"/>
            <w:tcBorders>
              <w:top w:val="single" w:color="000000" w:sz="8" w:space="0"/>
              <w:left w:val="single" w:color="000000" w:sz="8" w:space="0"/>
              <w:bottom w:val="single" w:color="000000" w:sz="8" w:space="0"/>
              <w:right w:val="single" w:color="000000" w:sz="8" w:space="0"/>
            </w:tcBorders>
            <w:vAlign w:val="center"/>
          </w:tcPr>
          <w:p w14:paraId="63ECF7C3">
            <w:pPr>
              <w:jc w:val="center"/>
              <w:rPr>
                <w:rFonts w:hint="eastAsia" w:ascii="宋体" w:hAnsi="宋体" w:cs="宋体"/>
                <w:color w:val="auto"/>
                <w:szCs w:val="21"/>
                <w:highlight w:val="none"/>
              </w:rPr>
            </w:pPr>
            <w:r>
              <w:rPr>
                <w:rFonts w:hint="eastAsia" w:ascii="宋体" w:hAnsi="宋体" w:cs="宋体"/>
                <w:color w:val="auto"/>
                <w:szCs w:val="21"/>
                <w:highlight w:val="none"/>
              </w:rPr>
              <w:t>自卸汽车</w:t>
            </w:r>
          </w:p>
        </w:tc>
        <w:tc>
          <w:tcPr>
            <w:tcW w:w="2506" w:type="dxa"/>
            <w:tcBorders>
              <w:top w:val="single" w:color="000000" w:sz="8" w:space="0"/>
              <w:left w:val="single" w:color="000000" w:sz="8" w:space="0"/>
              <w:bottom w:val="single" w:color="000000" w:sz="8" w:space="0"/>
              <w:right w:val="single" w:color="000000" w:sz="8" w:space="0"/>
            </w:tcBorders>
            <w:vAlign w:val="center"/>
          </w:tcPr>
          <w:p w14:paraId="4FB7B1AF">
            <w:pPr>
              <w:jc w:val="center"/>
              <w:rPr>
                <w:rFonts w:hint="eastAsia" w:ascii="宋体" w:hAnsi="宋体" w:cs="宋体"/>
                <w:color w:val="auto"/>
                <w:szCs w:val="21"/>
                <w:highlight w:val="none"/>
              </w:rPr>
            </w:pPr>
            <w:r>
              <w:rPr>
                <w:rFonts w:hint="eastAsia" w:ascii="宋体" w:hAnsi="宋体" w:cs="宋体"/>
                <w:color w:val="auto"/>
                <w:szCs w:val="21"/>
                <w:highlight w:val="none"/>
              </w:rPr>
              <w:t>10m</w:t>
            </w:r>
            <w:r>
              <w:rPr>
                <w:rFonts w:hint="eastAsia" w:ascii="宋体" w:hAnsi="宋体" w:cs="宋体"/>
                <w:color w:val="auto"/>
                <w:szCs w:val="21"/>
                <w:highlight w:val="none"/>
                <w:vertAlign w:val="superscript"/>
              </w:rPr>
              <w:t>3</w:t>
            </w:r>
          </w:p>
        </w:tc>
        <w:tc>
          <w:tcPr>
            <w:tcW w:w="1374" w:type="dxa"/>
            <w:tcBorders>
              <w:top w:val="single" w:color="000000" w:sz="8" w:space="0"/>
              <w:left w:val="single" w:color="000000" w:sz="8" w:space="0"/>
              <w:bottom w:val="single" w:color="000000" w:sz="8" w:space="0"/>
              <w:right w:val="single" w:color="000000" w:sz="8" w:space="0"/>
            </w:tcBorders>
            <w:vAlign w:val="center"/>
          </w:tcPr>
          <w:p w14:paraId="41617A81">
            <w:pPr>
              <w:jc w:val="center"/>
              <w:rPr>
                <w:rFonts w:hint="eastAsia" w:ascii="宋体" w:hAnsi="宋体" w:cs="宋体"/>
                <w:color w:val="auto"/>
                <w:szCs w:val="21"/>
                <w:highlight w:val="none"/>
              </w:rPr>
            </w:pPr>
            <w:r>
              <w:rPr>
                <w:rFonts w:hint="eastAsia" w:ascii="宋体" w:hAnsi="宋体" w:cs="宋体"/>
                <w:color w:val="auto"/>
                <w:szCs w:val="21"/>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3C8ECAEC">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0011B6BD">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225B7D8B">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3242" w:type="dxa"/>
            <w:tcBorders>
              <w:top w:val="single" w:color="000000" w:sz="8" w:space="0"/>
              <w:left w:val="single" w:color="000000" w:sz="8" w:space="0"/>
              <w:bottom w:val="single" w:color="000000" w:sz="8" w:space="0"/>
              <w:right w:val="single" w:color="000000" w:sz="8" w:space="0"/>
            </w:tcBorders>
            <w:vAlign w:val="center"/>
          </w:tcPr>
          <w:p w14:paraId="211B3AA6">
            <w:pPr>
              <w:jc w:val="center"/>
              <w:rPr>
                <w:rFonts w:hint="eastAsia" w:ascii="宋体" w:hAnsi="宋体" w:cs="宋体"/>
                <w:color w:val="auto"/>
                <w:szCs w:val="21"/>
                <w:highlight w:val="none"/>
              </w:rPr>
            </w:pPr>
            <w:r>
              <w:rPr>
                <w:rFonts w:hint="eastAsia" w:ascii="宋体" w:hAnsi="宋体" w:cs="宋体"/>
                <w:color w:val="auto"/>
                <w:szCs w:val="21"/>
                <w:highlight w:val="none"/>
              </w:rPr>
              <w:t>放线设备</w:t>
            </w:r>
          </w:p>
        </w:tc>
        <w:tc>
          <w:tcPr>
            <w:tcW w:w="2506" w:type="dxa"/>
            <w:tcBorders>
              <w:top w:val="single" w:color="000000" w:sz="8" w:space="0"/>
              <w:left w:val="single" w:color="000000" w:sz="8" w:space="0"/>
              <w:bottom w:val="single" w:color="000000" w:sz="8" w:space="0"/>
              <w:right w:val="single" w:color="000000" w:sz="8" w:space="0"/>
            </w:tcBorders>
            <w:vAlign w:val="center"/>
          </w:tcPr>
          <w:p w14:paraId="33FE73AE">
            <w:pPr>
              <w:jc w:val="center"/>
              <w:rPr>
                <w:rFonts w:hint="eastAsia" w:ascii="宋体" w:hAnsi="宋体" w:cs="宋体"/>
                <w:color w:val="auto"/>
                <w:szCs w:val="21"/>
                <w:highlight w:val="none"/>
              </w:rPr>
            </w:pPr>
          </w:p>
        </w:tc>
        <w:tc>
          <w:tcPr>
            <w:tcW w:w="1374" w:type="dxa"/>
            <w:tcBorders>
              <w:top w:val="single" w:color="000000" w:sz="8" w:space="0"/>
              <w:left w:val="single" w:color="000000" w:sz="8" w:space="0"/>
              <w:bottom w:val="single" w:color="000000" w:sz="8" w:space="0"/>
              <w:right w:val="single" w:color="000000" w:sz="8" w:space="0"/>
            </w:tcBorders>
            <w:vAlign w:val="center"/>
          </w:tcPr>
          <w:p w14:paraId="79956452">
            <w:pPr>
              <w:topLinePunct/>
              <w:jc w:val="center"/>
              <w:rPr>
                <w:rFonts w:hint="eastAsia" w:ascii="宋体" w:hAnsi="宋体" w:cs="宋体"/>
                <w:color w:val="auto"/>
                <w:szCs w:val="21"/>
                <w:highlight w:val="none"/>
              </w:rPr>
            </w:pPr>
            <w:r>
              <w:rPr>
                <w:rFonts w:hint="eastAsia" w:ascii="宋体"/>
                <w:color w:val="auto"/>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322733E7">
            <w:pPr>
              <w:topLinePunct/>
              <w:jc w:val="center"/>
              <w:rPr>
                <w:rFonts w:hint="eastAsia" w:ascii="宋体" w:hAnsi="宋体" w:cs="宋体"/>
                <w:color w:val="auto"/>
                <w:szCs w:val="21"/>
                <w:highlight w:val="none"/>
              </w:rPr>
            </w:pPr>
            <w:r>
              <w:rPr>
                <w:rFonts w:hint="eastAsia" w:ascii="宋体" w:cs="宋体"/>
                <w:color w:val="auto"/>
                <w:highlight w:val="none"/>
              </w:rPr>
              <w:t>3</w:t>
            </w:r>
          </w:p>
        </w:tc>
      </w:tr>
      <w:tr w14:paraId="2453236A">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7EB6B791">
            <w:pPr>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3242" w:type="dxa"/>
            <w:tcBorders>
              <w:top w:val="single" w:color="000000" w:sz="8" w:space="0"/>
              <w:left w:val="single" w:color="000000" w:sz="8" w:space="0"/>
              <w:bottom w:val="single" w:color="000000" w:sz="8" w:space="0"/>
              <w:right w:val="single" w:color="000000" w:sz="8" w:space="0"/>
            </w:tcBorders>
            <w:vAlign w:val="center"/>
          </w:tcPr>
          <w:p w14:paraId="33078104">
            <w:pPr>
              <w:jc w:val="center"/>
              <w:rPr>
                <w:rFonts w:hint="eastAsia" w:ascii="宋体" w:hAnsi="宋体" w:cs="宋体"/>
                <w:color w:val="auto"/>
                <w:szCs w:val="21"/>
                <w:highlight w:val="none"/>
              </w:rPr>
            </w:pPr>
            <w:r>
              <w:rPr>
                <w:rFonts w:hint="eastAsia" w:ascii="宋体" w:hAnsi="宋体" w:cs="宋体"/>
                <w:color w:val="auto"/>
                <w:szCs w:val="21"/>
                <w:highlight w:val="none"/>
              </w:rPr>
              <w:t>架桥机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6B5713E6">
            <w:pPr>
              <w:jc w:val="center"/>
              <w:rPr>
                <w:rFonts w:hint="eastAsia" w:ascii="宋体" w:hAnsi="宋体" w:cs="宋体"/>
                <w:color w:val="auto"/>
                <w:szCs w:val="21"/>
                <w:highlight w:val="none"/>
              </w:rPr>
            </w:pPr>
            <w:r>
              <w:rPr>
                <w:rFonts w:hint="eastAsia" w:ascii="宋体" w:hAnsi="宋体" w:cs="宋体"/>
                <w:color w:val="auto"/>
                <w:szCs w:val="21"/>
                <w:highlight w:val="none"/>
              </w:rPr>
              <w:t>≥120T</w:t>
            </w:r>
          </w:p>
        </w:tc>
        <w:tc>
          <w:tcPr>
            <w:tcW w:w="1374" w:type="dxa"/>
            <w:tcBorders>
              <w:top w:val="single" w:color="000000" w:sz="8" w:space="0"/>
              <w:left w:val="single" w:color="000000" w:sz="8" w:space="0"/>
              <w:bottom w:val="single" w:color="000000" w:sz="8" w:space="0"/>
              <w:right w:val="single" w:color="000000" w:sz="8" w:space="0"/>
            </w:tcBorders>
            <w:vAlign w:val="center"/>
          </w:tcPr>
          <w:p w14:paraId="250C1DC8">
            <w:pPr>
              <w:topLinePunct/>
              <w:jc w:val="center"/>
              <w:rPr>
                <w:rFonts w:ascii="宋体"/>
                <w:color w:val="auto"/>
                <w:highlight w:val="none"/>
              </w:rPr>
            </w:pPr>
            <w:r>
              <w:rPr>
                <w:rFonts w:hint="eastAsia" w:ascii="宋体"/>
                <w:color w:val="auto"/>
                <w:highlight w:val="none"/>
              </w:rPr>
              <w:t>台</w:t>
            </w:r>
          </w:p>
        </w:tc>
        <w:tc>
          <w:tcPr>
            <w:tcW w:w="1355" w:type="dxa"/>
            <w:tcBorders>
              <w:top w:val="single" w:color="000000" w:sz="8" w:space="0"/>
              <w:left w:val="single" w:color="000000" w:sz="8" w:space="0"/>
              <w:bottom w:val="single" w:color="000000" w:sz="8" w:space="0"/>
              <w:right w:val="single" w:color="000000" w:sz="12" w:space="0"/>
            </w:tcBorders>
            <w:vAlign w:val="center"/>
          </w:tcPr>
          <w:p w14:paraId="79C189B8">
            <w:pPr>
              <w:topLinePunct/>
              <w:jc w:val="center"/>
              <w:rPr>
                <w:rFonts w:ascii="宋体" w:cs="宋体"/>
                <w:color w:val="auto"/>
                <w:highlight w:val="none"/>
              </w:rPr>
            </w:pPr>
            <w:r>
              <w:rPr>
                <w:rFonts w:hint="eastAsia" w:ascii="宋体" w:cs="宋体"/>
                <w:color w:val="auto"/>
                <w:highlight w:val="none"/>
              </w:rPr>
              <w:t>1</w:t>
            </w:r>
          </w:p>
        </w:tc>
      </w:tr>
      <w:tr w14:paraId="7CC78563">
        <w:tblPrEx>
          <w:tblCellMar>
            <w:top w:w="0" w:type="dxa"/>
            <w:left w:w="0" w:type="dxa"/>
            <w:bottom w:w="0" w:type="dxa"/>
            <w:right w:w="0" w:type="dxa"/>
          </w:tblCellMar>
        </w:tblPrEx>
        <w:trPr>
          <w:trHeight w:val="397" w:hRule="exact"/>
          <w:jc w:val="center"/>
        </w:trPr>
        <w:tc>
          <w:tcPr>
            <w:tcW w:w="734" w:type="dxa"/>
            <w:tcBorders>
              <w:top w:val="single" w:color="000000" w:sz="8" w:space="0"/>
              <w:left w:val="single" w:color="000000" w:sz="12" w:space="0"/>
              <w:bottom w:val="single" w:color="000000" w:sz="8" w:space="0"/>
              <w:right w:val="single" w:color="000000" w:sz="8" w:space="0"/>
            </w:tcBorders>
            <w:vAlign w:val="center"/>
          </w:tcPr>
          <w:p w14:paraId="32FE7557">
            <w:pPr>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3242" w:type="dxa"/>
            <w:tcBorders>
              <w:top w:val="single" w:color="000000" w:sz="8" w:space="0"/>
              <w:left w:val="single" w:color="000000" w:sz="8" w:space="0"/>
              <w:bottom w:val="single" w:color="000000" w:sz="8" w:space="0"/>
              <w:right w:val="single" w:color="000000" w:sz="8" w:space="0"/>
            </w:tcBorders>
            <w:vAlign w:val="center"/>
          </w:tcPr>
          <w:p w14:paraId="46FC3670">
            <w:pPr>
              <w:jc w:val="center"/>
              <w:rPr>
                <w:rFonts w:hint="eastAsia" w:ascii="宋体" w:hAnsi="宋体" w:cs="宋体"/>
                <w:color w:val="auto"/>
                <w:szCs w:val="21"/>
                <w:highlight w:val="none"/>
              </w:rPr>
            </w:pPr>
            <w:r>
              <w:rPr>
                <w:rFonts w:hint="eastAsia" w:ascii="宋体" w:hAnsi="宋体" w:cs="宋体"/>
                <w:color w:val="auto"/>
                <w:szCs w:val="21"/>
                <w:highlight w:val="none"/>
              </w:rPr>
              <w:t>塔式吊机</w:t>
            </w:r>
          </w:p>
        </w:tc>
        <w:tc>
          <w:tcPr>
            <w:tcW w:w="2506" w:type="dxa"/>
            <w:tcBorders>
              <w:top w:val="single" w:color="000000" w:sz="8" w:space="0"/>
              <w:left w:val="single" w:color="000000" w:sz="8" w:space="0"/>
              <w:bottom w:val="single" w:color="000000" w:sz="8" w:space="0"/>
              <w:right w:val="single" w:color="000000" w:sz="8" w:space="0"/>
            </w:tcBorders>
            <w:vAlign w:val="center"/>
          </w:tcPr>
          <w:p w14:paraId="1BA154D3">
            <w:pPr>
              <w:jc w:val="center"/>
              <w:rPr>
                <w:rFonts w:hint="eastAsia" w:ascii="宋体" w:hAnsi="宋体" w:cs="宋体"/>
                <w:color w:val="auto"/>
                <w:szCs w:val="21"/>
                <w:highlight w:val="none"/>
              </w:rPr>
            </w:pPr>
            <w:r>
              <w:rPr>
                <w:rFonts w:hint="eastAsia" w:ascii="宋体" w:hAnsi="宋体" w:cs="宋体"/>
                <w:color w:val="auto"/>
                <w:szCs w:val="21"/>
                <w:highlight w:val="none"/>
              </w:rPr>
              <w:t>≥120T</w:t>
            </w:r>
          </w:p>
        </w:tc>
        <w:tc>
          <w:tcPr>
            <w:tcW w:w="1374" w:type="dxa"/>
            <w:tcBorders>
              <w:top w:val="single" w:color="000000" w:sz="8" w:space="0"/>
              <w:left w:val="single" w:color="000000" w:sz="8" w:space="0"/>
              <w:bottom w:val="single" w:color="000000" w:sz="8" w:space="0"/>
              <w:right w:val="single" w:color="000000" w:sz="8" w:space="0"/>
            </w:tcBorders>
            <w:vAlign w:val="center"/>
          </w:tcPr>
          <w:p w14:paraId="6DA4F593">
            <w:pPr>
              <w:topLinePunct/>
              <w:jc w:val="center"/>
              <w:rPr>
                <w:rFonts w:ascii="宋体"/>
                <w:color w:val="auto"/>
                <w:highlight w:val="none"/>
              </w:rPr>
            </w:pPr>
            <w:r>
              <w:rPr>
                <w:rFonts w:hint="eastAsia" w:ascii="宋体"/>
                <w:color w:val="auto"/>
                <w:highlight w:val="none"/>
              </w:rPr>
              <w:t>套</w:t>
            </w:r>
          </w:p>
        </w:tc>
        <w:tc>
          <w:tcPr>
            <w:tcW w:w="1355" w:type="dxa"/>
            <w:tcBorders>
              <w:top w:val="single" w:color="000000" w:sz="8" w:space="0"/>
              <w:left w:val="single" w:color="000000" w:sz="8" w:space="0"/>
              <w:bottom w:val="single" w:color="000000" w:sz="8" w:space="0"/>
              <w:right w:val="single" w:color="000000" w:sz="12" w:space="0"/>
            </w:tcBorders>
            <w:vAlign w:val="center"/>
          </w:tcPr>
          <w:p w14:paraId="01FA3116">
            <w:pPr>
              <w:topLinePunct/>
              <w:jc w:val="center"/>
              <w:rPr>
                <w:rFonts w:ascii="宋体" w:cs="宋体"/>
                <w:color w:val="auto"/>
                <w:highlight w:val="none"/>
              </w:rPr>
            </w:pPr>
            <w:r>
              <w:rPr>
                <w:rFonts w:hint="eastAsia" w:ascii="宋体" w:cs="宋体"/>
                <w:color w:val="auto"/>
                <w:highlight w:val="none"/>
              </w:rPr>
              <w:t>1</w:t>
            </w:r>
          </w:p>
        </w:tc>
      </w:tr>
    </w:tbl>
    <w:p w14:paraId="4D8D3841">
      <w:pPr>
        <w:widowControl/>
        <w:adjustRightInd w:val="0"/>
        <w:snapToGrid w:val="0"/>
        <w:spacing w:line="360" w:lineRule="auto"/>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val="zh-CN"/>
        </w:rPr>
        <w:t>注：</w:t>
      </w:r>
    </w:p>
    <w:p w14:paraId="4CD35AED">
      <w:pPr>
        <w:widowControl/>
        <w:adjustRightInd w:val="0"/>
        <w:snapToGrid w:val="0"/>
        <w:spacing w:line="360" w:lineRule="auto"/>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val="zh-CN"/>
        </w:rPr>
        <w:t>1、附录</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lang w:val="zh-CN"/>
        </w:rPr>
        <w:t>所要求</w:t>
      </w:r>
      <w:r>
        <w:rPr>
          <w:rFonts w:hint="eastAsia" w:ascii="宋体" w:hAnsi="宋体"/>
          <w:color w:val="auto"/>
          <w:sz w:val="22"/>
          <w:szCs w:val="22"/>
          <w:highlight w:val="none"/>
          <w:lang w:val="en-US" w:eastAsia="zh-CN"/>
        </w:rPr>
        <w:t>设备</w:t>
      </w:r>
      <w:r>
        <w:rPr>
          <w:rFonts w:hint="eastAsia" w:ascii="宋体" w:hAnsi="宋体"/>
          <w:color w:val="auto"/>
          <w:sz w:val="22"/>
          <w:szCs w:val="22"/>
          <w:highlight w:val="none"/>
          <w:lang w:val="zh-CN"/>
        </w:rPr>
        <w:t>须按投标文件投标函的格式承诺。</w:t>
      </w:r>
    </w:p>
    <w:p w14:paraId="1607DCB6">
      <w:pPr>
        <w:widowControl/>
        <w:adjustRightInd w:val="0"/>
        <w:snapToGrid w:val="0"/>
        <w:spacing w:line="360" w:lineRule="auto"/>
        <w:ind w:firstLine="420" w:firstLineChars="200"/>
        <w:jc w:val="left"/>
        <w:rPr>
          <w:color w:val="auto"/>
          <w:spacing w:val="-20"/>
          <w:highlight w:val="none"/>
        </w:rPr>
      </w:pPr>
      <w:r>
        <w:rPr>
          <w:rFonts w:hint="eastAsia" w:ascii="宋体" w:hAnsi="宋体"/>
          <w:color w:val="auto"/>
          <w:szCs w:val="22"/>
          <w:highlight w:val="none"/>
          <w:lang w:val="zh-CN"/>
        </w:rPr>
        <w:t>2、招标人有权根据标段的工程特点、工程量及工程进度情况要求增加或调整相应的施工设备</w:t>
      </w:r>
      <w:r>
        <w:rPr>
          <w:rFonts w:hint="eastAsia" w:ascii="宋体" w:hAnsi="宋体" w:cs="宋体"/>
          <w:color w:val="auto"/>
          <w:szCs w:val="21"/>
          <w:highlight w:val="none"/>
        </w:rPr>
        <w:t>。</w:t>
      </w:r>
    </w:p>
    <w:bookmarkEnd w:id="2"/>
    <w:bookmarkEnd w:id="3"/>
    <w:p w14:paraId="586CF324">
      <w:pPr>
        <w:widowControl/>
        <w:adjustRightInd w:val="0"/>
        <w:snapToGrid w:val="0"/>
        <w:spacing w:line="360" w:lineRule="auto"/>
        <w:ind w:firstLine="340" w:firstLineChars="200"/>
        <w:jc w:val="left"/>
        <w:rPr>
          <w:color w:val="auto"/>
          <w:spacing w:val="-20"/>
          <w:highlight w:val="none"/>
        </w:rPr>
      </w:pPr>
    </w:p>
    <w:p w14:paraId="66B8888A">
      <w:pPr>
        <w:jc w:val="left"/>
        <w:rPr>
          <w:rFonts w:hint="eastAsia" w:ascii="宋体" w:hAnsi="宋体" w:cs="宋体"/>
          <w:b/>
          <w:bCs/>
          <w:color w:val="auto"/>
          <w:w w:val="95"/>
          <w:kern w:val="0"/>
          <w:szCs w:val="28"/>
          <w:highlight w:val="none"/>
        </w:rPr>
      </w:pPr>
      <w:r>
        <w:rPr>
          <w:rFonts w:ascii="宋体" w:hAnsi="宋体" w:cs="宋体"/>
          <w:b/>
          <w:bCs/>
          <w:color w:val="auto"/>
          <w:w w:val="95"/>
          <w:kern w:val="0"/>
          <w:szCs w:val="28"/>
          <w:highlight w:val="none"/>
        </w:rPr>
        <w:br w:type="page"/>
      </w:r>
    </w:p>
    <w:p w14:paraId="6D6EE139">
      <w:pPr>
        <w:snapToGrid w:val="0"/>
        <w:ind w:left="27"/>
        <w:jc w:val="left"/>
        <w:rPr>
          <w:rFonts w:hint="eastAsia" w:ascii="黑体" w:hAnsi="黑体" w:eastAsia="黑体" w:cs="黑体"/>
          <w:b w:val="0"/>
          <w:bCs w:val="0"/>
          <w:color w:val="auto"/>
          <w:spacing w:val="-9"/>
          <w:sz w:val="32"/>
          <w:szCs w:val="32"/>
          <w:highlight w:val="none"/>
        </w:rPr>
      </w:pPr>
      <w:r>
        <w:rPr>
          <w:rFonts w:hint="eastAsia" w:ascii="黑体" w:hAnsi="黑体" w:eastAsia="黑体" w:cs="黑体"/>
          <w:b w:val="0"/>
          <w:bCs w:val="0"/>
          <w:color w:val="auto"/>
          <w:spacing w:val="-9"/>
          <w:sz w:val="32"/>
          <w:szCs w:val="32"/>
          <w:highlight w:val="none"/>
        </w:rPr>
        <w:t>附件2：评标办法</w:t>
      </w:r>
    </w:p>
    <w:p w14:paraId="509E097C">
      <w:pPr>
        <w:snapToGrid w:val="0"/>
        <w:ind w:left="27"/>
        <w:jc w:val="center"/>
        <w:rPr>
          <w:rFonts w:hint="eastAsia"/>
          <w:color w:val="auto"/>
          <w:sz w:val="36"/>
          <w:szCs w:val="36"/>
          <w:highlight w:val="none"/>
        </w:rPr>
      </w:pPr>
      <w:bookmarkStart w:id="4" w:name="_Toc43475732"/>
      <w:bookmarkEnd w:id="4"/>
      <w:bookmarkStart w:id="5" w:name="_Toc14628"/>
      <w:bookmarkStart w:id="6" w:name="_Toc21948"/>
    </w:p>
    <w:p w14:paraId="0F3DA94B">
      <w:pPr>
        <w:snapToGrid w:val="0"/>
        <w:ind w:left="27"/>
        <w:jc w:val="center"/>
        <w:rPr>
          <w:rFonts w:ascii="黑体" w:eastAsia="黑体"/>
          <w:color w:val="auto"/>
          <w:sz w:val="36"/>
          <w:szCs w:val="36"/>
          <w:highlight w:val="none"/>
        </w:rPr>
      </w:pPr>
      <w:r>
        <w:rPr>
          <w:rFonts w:hint="eastAsia"/>
          <w:color w:val="auto"/>
          <w:sz w:val="36"/>
          <w:szCs w:val="36"/>
          <w:highlight w:val="none"/>
        </w:rPr>
        <w:t>第三章评标办法</w:t>
      </w:r>
      <w:r>
        <w:rPr>
          <w:rFonts w:hint="eastAsia" w:ascii="宋体" w:hAnsi="宋体" w:cs="宋体"/>
          <w:color w:val="auto"/>
          <w:sz w:val="36"/>
          <w:szCs w:val="36"/>
          <w:highlight w:val="none"/>
        </w:rPr>
        <w:t>（双信封的技术评分最低标价法）</w:t>
      </w:r>
      <w:bookmarkEnd w:id="5"/>
      <w:bookmarkEnd w:id="6"/>
    </w:p>
    <w:p w14:paraId="0A9BED0B">
      <w:pPr>
        <w:jc w:val="left"/>
        <w:rPr>
          <w:rFonts w:hint="eastAsia" w:ascii="宋体" w:hAnsi="宋体" w:cs="宋体"/>
          <w:b/>
          <w:bCs/>
          <w:color w:val="auto"/>
          <w:sz w:val="28"/>
          <w:szCs w:val="28"/>
          <w:highlight w:val="none"/>
        </w:rPr>
      </w:pPr>
      <w:bookmarkStart w:id="7" w:name="_Toc43475733"/>
      <w:bookmarkEnd w:id="7"/>
      <w:bookmarkStart w:id="8" w:name="_Toc234382653"/>
      <w:bookmarkStart w:id="9" w:name="_Toc522725722"/>
      <w:r>
        <w:rPr>
          <w:rFonts w:hint="eastAsia" w:ascii="宋体" w:hAnsi="宋体" w:cs="宋体"/>
          <w:b/>
          <w:bCs/>
          <w:color w:val="auto"/>
          <w:sz w:val="28"/>
          <w:szCs w:val="28"/>
          <w:highlight w:val="none"/>
        </w:rPr>
        <w:t>评标办法前附表</w:t>
      </w:r>
    </w:p>
    <w:tbl>
      <w:tblPr>
        <w:tblStyle w:val="43"/>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87"/>
        <w:gridCol w:w="618"/>
        <w:gridCol w:w="732"/>
        <w:gridCol w:w="1237"/>
        <w:gridCol w:w="731"/>
        <w:gridCol w:w="5174"/>
      </w:tblGrid>
      <w:tr w14:paraId="4A15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72" w:type="dxa"/>
            <w:gridSpan w:val="3"/>
            <w:vAlign w:val="center"/>
          </w:tcPr>
          <w:p w14:paraId="62D874BC">
            <w:pPr>
              <w:adjustRightInd w:val="0"/>
              <w:snapToGrid w:val="0"/>
              <w:spacing w:line="312"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7874" w:type="dxa"/>
            <w:gridSpan w:val="4"/>
            <w:vAlign w:val="center"/>
          </w:tcPr>
          <w:p w14:paraId="0B2C9EE1">
            <w:pPr>
              <w:adjustRightInd w:val="0"/>
              <w:snapToGrid w:val="0"/>
              <w:spacing w:line="312"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评审因素与评审标准</w:t>
            </w:r>
          </w:p>
        </w:tc>
      </w:tr>
      <w:tr w14:paraId="7B76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39050324">
            <w:pPr>
              <w:pStyle w:val="81"/>
              <w:tabs>
                <w:tab w:val="left" w:pos="804"/>
              </w:tabs>
              <w:kinsoku w:val="0"/>
              <w:overflowPunct w:val="0"/>
              <w:adjustRightInd w:val="0"/>
              <w:snapToGrid w:val="0"/>
              <w:spacing w:line="312"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1</w:t>
            </w:r>
          </w:p>
        </w:tc>
        <w:tc>
          <w:tcPr>
            <w:tcW w:w="1005" w:type="dxa"/>
            <w:gridSpan w:val="2"/>
            <w:vAlign w:val="center"/>
          </w:tcPr>
          <w:p w14:paraId="3D1F3A07">
            <w:pPr>
              <w:pStyle w:val="81"/>
              <w:tabs>
                <w:tab w:val="left" w:pos="804"/>
              </w:tabs>
              <w:kinsoku w:val="0"/>
              <w:overflowPunct w:val="0"/>
              <w:adjustRightInd w:val="0"/>
              <w:snapToGrid w:val="0"/>
              <w:spacing w:line="312"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评标方法</w:t>
            </w:r>
          </w:p>
        </w:tc>
        <w:tc>
          <w:tcPr>
            <w:tcW w:w="7874" w:type="dxa"/>
            <w:gridSpan w:val="4"/>
          </w:tcPr>
          <w:p w14:paraId="4CC7C8EF">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评标价相等时，评标委员会依次按照以下优先顺序推荐中标候选人或确定中标人：</w:t>
            </w:r>
          </w:p>
          <w:p w14:paraId="35FFA96C">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(1)按招标文件规定被认定为最新年度广东省公路工程从业单位信用评价等级较高的投标人优先；</w:t>
            </w:r>
          </w:p>
          <w:p w14:paraId="6F9909AF">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【采用如下的优先顺序：承诺使用的AA级投标人、不承诺使用的AA级投标人、承诺使用的A级投标人、不承诺使用的A级投标人、B级投标人、未参评且被确定为B级投标人】</w:t>
            </w:r>
          </w:p>
          <w:p w14:paraId="42C9A274">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(2)以投标人企业最新年度净资产较高的优先；</w:t>
            </w:r>
          </w:p>
          <w:p w14:paraId="6FB6FE05">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(3)评标委员会视投标人情况综合比较，投票确定其名次。</w:t>
            </w:r>
          </w:p>
        </w:tc>
      </w:tr>
      <w:tr w14:paraId="1C62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14:paraId="051C940B">
            <w:pPr>
              <w:pStyle w:val="81"/>
              <w:kinsoku w:val="0"/>
              <w:overflowPunct w:val="0"/>
              <w:adjustRightInd w:val="0"/>
              <w:snapToGrid w:val="0"/>
              <w:spacing w:line="312"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2.1.1</w:t>
            </w:r>
          </w:p>
          <w:p w14:paraId="7B1BABB0">
            <w:pPr>
              <w:pStyle w:val="81"/>
              <w:tabs>
                <w:tab w:val="left" w:pos="804"/>
              </w:tabs>
              <w:kinsoku w:val="0"/>
              <w:overflowPunct w:val="0"/>
              <w:adjustRightInd w:val="0"/>
              <w:snapToGrid w:val="0"/>
              <w:spacing w:line="312"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2.1.3</w:t>
            </w:r>
          </w:p>
        </w:tc>
        <w:tc>
          <w:tcPr>
            <w:tcW w:w="1005" w:type="dxa"/>
            <w:gridSpan w:val="2"/>
            <w:vAlign w:val="center"/>
          </w:tcPr>
          <w:p w14:paraId="581D9B10">
            <w:pPr>
              <w:pStyle w:val="81"/>
              <w:tabs>
                <w:tab w:val="left" w:pos="804"/>
              </w:tabs>
              <w:kinsoku w:val="0"/>
              <w:overflowPunct w:val="0"/>
              <w:adjustRightInd w:val="0"/>
              <w:snapToGrid w:val="0"/>
              <w:spacing w:line="312"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形式评审与响应性评审标准</w:t>
            </w:r>
          </w:p>
        </w:tc>
        <w:tc>
          <w:tcPr>
            <w:tcW w:w="7874" w:type="dxa"/>
            <w:gridSpan w:val="4"/>
          </w:tcPr>
          <w:p w14:paraId="01F6BAA8">
            <w:pPr>
              <w:pStyle w:val="81"/>
              <w:tabs>
                <w:tab w:val="left" w:pos="804"/>
              </w:tabs>
              <w:overflowPunct w:val="0"/>
              <w:adjustRightInd w:val="0"/>
              <w:snapToGrid w:val="0"/>
              <w:spacing w:line="312" w:lineRule="auto"/>
              <w:rPr>
                <w:rFonts w:hint="eastAsia" w:ascii="宋体" w:hAnsi="宋体" w:cs="宋体"/>
                <w:b/>
                <w:color w:val="auto"/>
                <w:spacing w:val="-1"/>
                <w:sz w:val="24"/>
                <w:highlight w:val="none"/>
              </w:rPr>
            </w:pPr>
            <w:r>
              <w:rPr>
                <w:rFonts w:hint="eastAsia" w:ascii="宋体" w:hAnsi="宋体" w:cs="宋体"/>
                <w:b/>
                <w:color w:val="auto"/>
                <w:spacing w:val="-1"/>
                <w:sz w:val="24"/>
                <w:highlight w:val="none"/>
              </w:rPr>
              <w:t>第一个信封（商务及技术文件）评审标准：</w:t>
            </w:r>
          </w:p>
          <w:p w14:paraId="3B2837B7">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（1）投标文件按照招标文件规定的格式、内容填写，字迹清晰可辨：</w:t>
            </w:r>
          </w:p>
          <w:p w14:paraId="3423C8A7">
            <w:pPr>
              <w:pStyle w:val="81"/>
              <w:numPr>
                <w:ilvl w:val="255"/>
                <w:numId w:val="0"/>
              </w:numPr>
              <w:tabs>
                <w:tab w:val="left" w:pos="804"/>
              </w:tabs>
              <w:overflowPunct w:val="0"/>
              <w:adjustRightInd w:val="0"/>
              <w:snapToGrid w:val="0"/>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a.投标函按招标文件规定填报了项目名称、标段号（如有）、补遗书编号（如有）、工期、工程质量要求及安全目标</w:t>
            </w:r>
            <w:r>
              <w:rPr>
                <w:rFonts w:hint="eastAsia" w:ascii="宋体" w:hAnsi="宋体" w:cs="宋体"/>
                <w:color w:val="auto"/>
                <w:sz w:val="24"/>
                <w:highlight w:val="none"/>
                <w:lang w:val="en-US" w:eastAsia="zh-CN"/>
              </w:rPr>
              <w:t>；</w:t>
            </w:r>
          </w:p>
          <w:p w14:paraId="7106C483">
            <w:pPr>
              <w:pStyle w:val="81"/>
              <w:numPr>
                <w:ilvl w:val="255"/>
                <w:numId w:val="0"/>
              </w:numPr>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b.投标函附录的所有数据均符合招标文件规定；</w:t>
            </w:r>
          </w:p>
          <w:p w14:paraId="5192E95E">
            <w:pPr>
              <w:pStyle w:val="81"/>
              <w:numPr>
                <w:ilvl w:val="255"/>
                <w:numId w:val="0"/>
              </w:numPr>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c.投标文件组成齐全完整，内容均按规定填写。</w:t>
            </w:r>
          </w:p>
          <w:p w14:paraId="237B84AC">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（2）投标文件上法定代表人或其委托代理人的签字、投标人的单位章盖章齐全，符合招标文件规定。</w:t>
            </w:r>
          </w:p>
          <w:p w14:paraId="27FDF8A8">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（3）投标人法定代表人授权委托代理人签署投标文件的，需提交授权委托书，且授权人和被授权人均在授权委托书上签名，未使用印章、签名章或其他电子制版签名代替。</w:t>
            </w:r>
          </w:p>
          <w:p w14:paraId="0402F767">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（4）投标人法定代表人亲自签署投标文件的，提供了法定代表人身份证明，且法定代表人在法定代表人身份证明上签名，未使用印章、签名章或其他电子制版签名代替。</w:t>
            </w:r>
          </w:p>
          <w:p w14:paraId="342E0BEF">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（5）投标人未以联合体形式投标。</w:t>
            </w:r>
          </w:p>
          <w:p w14:paraId="39E7FA7D">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6）如投标人不具备拟分包工程所需的某专项工程相应资质或投标人如有分包计划，符合招标文件第二章“投标人须知”第1.11款规定，且按招标文件第九章“投标文件格式”的要求填写了“拟分包项目情况表”。</w:t>
            </w:r>
          </w:p>
          <w:p w14:paraId="0231F20D">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（7）同一投标人未提交两个以上不同的投标文件，但招标文件要求提交备选投标的除外。</w:t>
            </w:r>
          </w:p>
          <w:p w14:paraId="7A426676">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（8）投标文件中未出现有关投标报价的内容。</w:t>
            </w:r>
          </w:p>
          <w:p w14:paraId="5168E513">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（9）投标文件载明的招标项目完成期限未超过招标文件规定的时限。</w:t>
            </w:r>
          </w:p>
          <w:p w14:paraId="219D2997">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（10）投标文件对招标文件的实质性要求和条件作出响应。</w:t>
            </w:r>
          </w:p>
          <w:p w14:paraId="360AC01F">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（11）权利义务符合招标文件规定：</w:t>
            </w:r>
          </w:p>
          <w:p w14:paraId="32BE8B76">
            <w:pPr>
              <w:pStyle w:val="81"/>
              <w:tabs>
                <w:tab w:val="left" w:pos="804"/>
              </w:tabs>
              <w:overflowPunct w:val="0"/>
              <w:adjustRightInd w:val="0"/>
              <w:snapToGrid w:val="0"/>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a.投标人应接受招标文件规定的风险划分原则，未提出新的风险划分办法</w:t>
            </w:r>
            <w:r>
              <w:rPr>
                <w:rFonts w:hint="eastAsia" w:ascii="宋体" w:hAnsi="宋体" w:cs="宋体"/>
                <w:color w:val="auto"/>
                <w:sz w:val="24"/>
                <w:highlight w:val="none"/>
                <w:lang w:eastAsia="zh-CN"/>
              </w:rPr>
              <w:t>；</w:t>
            </w:r>
          </w:p>
          <w:p w14:paraId="3928F2C5">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b.投标人未增加发包人的责任范围，或减少投标人义务；</w:t>
            </w:r>
          </w:p>
          <w:p w14:paraId="499BAD5D">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c.投标人未提出不同的工程验收、计量、支付办法；</w:t>
            </w:r>
          </w:p>
          <w:p w14:paraId="0762763B">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d.投标人对合同纠纷、事故处理办法未提出异议；</w:t>
            </w:r>
          </w:p>
          <w:p w14:paraId="2C182F67">
            <w:pPr>
              <w:pStyle w:val="81"/>
              <w:tabs>
                <w:tab w:val="left" w:pos="804"/>
              </w:tabs>
              <w:overflowPunct w:val="0"/>
              <w:adjustRightInd w:val="0"/>
              <w:snapToGrid w:val="0"/>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e.投标人在投标活动中无欺诈行为</w:t>
            </w:r>
            <w:r>
              <w:rPr>
                <w:rFonts w:hint="eastAsia" w:ascii="宋体" w:hAnsi="宋体" w:cs="宋体"/>
                <w:color w:val="auto"/>
                <w:sz w:val="24"/>
                <w:highlight w:val="none"/>
                <w:lang w:eastAsia="zh-CN"/>
              </w:rPr>
              <w:t>；</w:t>
            </w:r>
          </w:p>
          <w:p w14:paraId="039BE59A">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f.投标人未对合同条款有重要保留。</w:t>
            </w:r>
          </w:p>
          <w:p w14:paraId="5D6AE550">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（12）投标文件未附有招标人不能接受的条件。</w:t>
            </w:r>
          </w:p>
          <w:p w14:paraId="21DA9842">
            <w:pPr>
              <w:pStyle w:val="81"/>
              <w:tabs>
                <w:tab w:val="left" w:pos="804"/>
              </w:tabs>
              <w:overflowPunct w:val="0"/>
              <w:adjustRightInd w:val="0"/>
              <w:snapToGrid w:val="0"/>
              <w:spacing w:line="312" w:lineRule="auto"/>
              <w:rPr>
                <w:rFonts w:hint="eastAsia" w:ascii="宋体" w:hAnsi="宋体" w:cs="宋体"/>
                <w:b/>
                <w:color w:val="auto"/>
                <w:sz w:val="24"/>
                <w:highlight w:val="none"/>
              </w:rPr>
            </w:pPr>
            <w:r>
              <w:rPr>
                <w:rFonts w:hint="eastAsia" w:ascii="宋体" w:hAnsi="宋体" w:cs="宋体"/>
                <w:b/>
                <w:color w:val="auto"/>
                <w:sz w:val="24"/>
                <w:highlight w:val="none"/>
              </w:rPr>
              <w:t>第二个信封（报价文件）评审标准：</w:t>
            </w:r>
          </w:p>
          <w:p w14:paraId="71CA2EAE">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（1）投标文件按照招标文件规定的格式、内容填写，字迹清晰可辨：</w:t>
            </w:r>
          </w:p>
          <w:p w14:paraId="078961D2">
            <w:pPr>
              <w:pStyle w:val="81"/>
              <w:tabs>
                <w:tab w:val="left" w:pos="804"/>
              </w:tabs>
              <w:overflowPunct w:val="0"/>
              <w:adjustRightInd w:val="0"/>
              <w:snapToGrid w:val="0"/>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a.投标函按招标文件规定填报了项目名称、标段号（如有）、补遗书编号（如有）、投标总报价（包括大写金额和小写金额）</w:t>
            </w:r>
            <w:r>
              <w:rPr>
                <w:rFonts w:hint="eastAsia" w:ascii="宋体" w:hAnsi="宋体" w:cs="宋体"/>
                <w:color w:val="auto"/>
                <w:sz w:val="24"/>
                <w:highlight w:val="none"/>
                <w:lang w:eastAsia="zh-CN"/>
              </w:rPr>
              <w:t>；</w:t>
            </w:r>
          </w:p>
          <w:p w14:paraId="21581C31">
            <w:pPr>
              <w:pStyle w:val="81"/>
              <w:tabs>
                <w:tab w:val="left" w:pos="804"/>
              </w:tabs>
              <w:overflowPunct w:val="0"/>
              <w:adjustRightInd w:val="0"/>
              <w:snapToGrid w:val="0"/>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b.已标价工程量清单说明文字与招标文件规定一致，未进行实质性修改和删减</w:t>
            </w:r>
            <w:r>
              <w:rPr>
                <w:rFonts w:hint="eastAsia" w:ascii="宋体" w:hAnsi="宋体" w:cs="宋体"/>
                <w:color w:val="auto"/>
                <w:sz w:val="24"/>
                <w:highlight w:val="none"/>
                <w:lang w:eastAsia="zh-CN"/>
              </w:rPr>
              <w:t>；</w:t>
            </w:r>
          </w:p>
          <w:p w14:paraId="5ECC294B">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c.投标文件组成齐全完整，内容均按规定填写。</w:t>
            </w:r>
          </w:p>
          <w:p w14:paraId="4A67FA94">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（2）投标文件上法定代表人或其委托代理人的签字、投标人的单位章盖章齐全，符合招标文件规定。</w:t>
            </w:r>
          </w:p>
          <w:p w14:paraId="18DE6975">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（3）投标总报价或调价函中的报价未超过招标文件设定的最高投标限价（如有）及最高评标限价（如有）。</w:t>
            </w:r>
          </w:p>
          <w:p w14:paraId="3797364C">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（4）投标总报价或调价函中报价的大写金额能够确定具体数值。</w:t>
            </w:r>
          </w:p>
          <w:p w14:paraId="444606C3">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（5）同一投标人未提交两个以上不同的投标报价，但招标文件要求提交备选投标的除外。</w:t>
            </w:r>
          </w:p>
          <w:p w14:paraId="622544B8">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（6）投标人若填写工程量固化清单，填写完毕的工程量固化清单未对工程量固化清单电子文件中的数据、格式和运算定义进行修改</w:t>
            </w:r>
            <w:r>
              <w:rPr>
                <w:rFonts w:hint="eastAsia" w:ascii="宋体" w:hAnsi="宋体" w:cs="宋体"/>
                <w:color w:val="auto"/>
                <w:sz w:val="24"/>
                <w:highlight w:val="none"/>
                <w:lang w:eastAsia="zh-CN"/>
              </w:rPr>
              <w:t>；</w:t>
            </w:r>
            <w:r>
              <w:rPr>
                <w:rFonts w:hint="eastAsia" w:ascii="宋体" w:hAnsi="宋体" w:cs="宋体"/>
                <w:color w:val="auto"/>
                <w:sz w:val="24"/>
                <w:highlight w:val="none"/>
              </w:rPr>
              <w:t>工程量固化清单中的投标总报价和投标函大写金额报价一致。</w:t>
            </w:r>
          </w:p>
        </w:tc>
      </w:tr>
      <w:tr w14:paraId="1B71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7" w:type="dxa"/>
            <w:vAlign w:val="center"/>
          </w:tcPr>
          <w:p w14:paraId="58F43A4D">
            <w:pPr>
              <w:pStyle w:val="81"/>
              <w:kinsoku w:val="0"/>
              <w:overflowPunct w:val="0"/>
              <w:adjustRightInd w:val="0"/>
              <w:snapToGrid w:val="0"/>
              <w:spacing w:line="312" w:lineRule="auto"/>
              <w:jc w:val="center"/>
              <w:rPr>
                <w:rFonts w:hint="eastAsia" w:ascii="宋体" w:hAnsi="宋体" w:cs="宋体"/>
                <w:color w:val="auto"/>
                <w:sz w:val="24"/>
                <w:highlight w:val="none"/>
              </w:rPr>
            </w:pPr>
            <w:r>
              <w:rPr>
                <w:rFonts w:hint="eastAsia" w:ascii="宋体" w:hAnsi="宋体" w:cs="宋体"/>
                <w:color w:val="auto"/>
                <w:spacing w:val="-1"/>
                <w:sz w:val="24"/>
                <w:highlight w:val="none"/>
              </w:rPr>
              <w:t>2.1.2</w:t>
            </w:r>
          </w:p>
        </w:tc>
        <w:tc>
          <w:tcPr>
            <w:tcW w:w="1005" w:type="dxa"/>
            <w:gridSpan w:val="2"/>
            <w:vAlign w:val="center"/>
          </w:tcPr>
          <w:p w14:paraId="2D7253FA">
            <w:pPr>
              <w:pStyle w:val="81"/>
              <w:kinsoku w:val="0"/>
              <w:overflowPunct w:val="0"/>
              <w:adjustRightInd w:val="0"/>
              <w:snapToGrid w:val="0"/>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资格评审标准</w:t>
            </w:r>
          </w:p>
        </w:tc>
        <w:tc>
          <w:tcPr>
            <w:tcW w:w="7874" w:type="dxa"/>
            <w:gridSpan w:val="4"/>
            <w:vAlign w:val="center"/>
          </w:tcPr>
          <w:p w14:paraId="0430E197">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461A0712">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（2）投标人的资质等级符合招标文件规定；</w:t>
            </w:r>
          </w:p>
          <w:p w14:paraId="2DCA2E97">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（3）投标人的财务状况符合招标文件规定；</w:t>
            </w:r>
          </w:p>
          <w:p w14:paraId="62A2DE7A">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（4）投标人的类似项目业绩符合招标文件规定；</w:t>
            </w:r>
          </w:p>
          <w:p w14:paraId="740D087B">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（5）投标人的信誉符合招标文件规定；</w:t>
            </w:r>
          </w:p>
          <w:p w14:paraId="706658FF">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（6）投标人的项目经理和项目总工资格（均含备选）、在岗情况符合招标文件规定，并按规定在投标文件中签字确认；</w:t>
            </w:r>
          </w:p>
          <w:p w14:paraId="0DD4CF02">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（7）投标人不存在第二章“投标人须知”第 1.4.3 项或第 1.4.4 项规定的任何一种情形；</w:t>
            </w:r>
          </w:p>
          <w:p w14:paraId="46851ED1">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（8）投标人符合第二章“投标人须知”第 1.4.5 项规定。</w:t>
            </w:r>
          </w:p>
        </w:tc>
      </w:tr>
      <w:tr w14:paraId="4259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Align w:val="center"/>
          </w:tcPr>
          <w:p w14:paraId="0990B3A4">
            <w:pPr>
              <w:pStyle w:val="81"/>
              <w:kinsoku w:val="0"/>
              <w:overflowPunct w:val="0"/>
              <w:adjustRightInd w:val="0"/>
              <w:snapToGrid w:val="0"/>
              <w:spacing w:line="312"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2.2.1</w:t>
            </w:r>
          </w:p>
        </w:tc>
        <w:tc>
          <w:tcPr>
            <w:tcW w:w="1005" w:type="dxa"/>
            <w:gridSpan w:val="2"/>
            <w:vAlign w:val="center"/>
          </w:tcPr>
          <w:p w14:paraId="1E638AE0">
            <w:pPr>
              <w:pStyle w:val="81"/>
              <w:kinsoku w:val="0"/>
              <w:overflowPunct w:val="0"/>
              <w:adjustRightInd w:val="0"/>
              <w:snapToGrid w:val="0"/>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第一个信封评分分值构成（总分100分）</w:t>
            </w:r>
          </w:p>
        </w:tc>
        <w:tc>
          <w:tcPr>
            <w:tcW w:w="7874" w:type="dxa"/>
            <w:gridSpan w:val="4"/>
            <w:vAlign w:val="center"/>
          </w:tcPr>
          <w:p w14:paraId="3636397F">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施工组织设计（A）：</w:t>
            </w:r>
            <w:r>
              <w:rPr>
                <w:rFonts w:hint="eastAsia" w:ascii="宋体" w:hAnsi="宋体" w:cs="宋体"/>
                <w:color w:val="auto"/>
                <w:sz w:val="24"/>
                <w:highlight w:val="none"/>
                <w:u w:val="single"/>
              </w:rPr>
              <w:t xml:space="preserve"> 40 </w:t>
            </w:r>
            <w:r>
              <w:rPr>
                <w:rFonts w:hint="eastAsia" w:ascii="宋体" w:hAnsi="宋体" w:cs="宋体"/>
                <w:color w:val="auto"/>
                <w:sz w:val="24"/>
                <w:highlight w:val="none"/>
              </w:rPr>
              <w:t>分</w:t>
            </w:r>
          </w:p>
          <w:p w14:paraId="06230492">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主要人员（B）：</w:t>
            </w:r>
            <w:r>
              <w:rPr>
                <w:rFonts w:hint="eastAsia" w:ascii="宋体" w:hAnsi="宋体" w:cs="宋体"/>
                <w:color w:val="auto"/>
                <w:sz w:val="24"/>
                <w:highlight w:val="none"/>
                <w:u w:val="single"/>
              </w:rPr>
              <w:t xml:space="preserve"> 25 </w:t>
            </w:r>
            <w:r>
              <w:rPr>
                <w:rFonts w:hint="eastAsia" w:ascii="宋体" w:hAnsi="宋体" w:cs="宋体"/>
                <w:color w:val="auto"/>
                <w:sz w:val="24"/>
                <w:highlight w:val="none"/>
              </w:rPr>
              <w:t>分</w:t>
            </w:r>
          </w:p>
          <w:p w14:paraId="4EE13D4B">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其他因素（C）</w:t>
            </w:r>
          </w:p>
          <w:p w14:paraId="2F442A05">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技术能力：</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分</w:t>
            </w:r>
          </w:p>
          <w:p w14:paraId="65038F78">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履约信誉：</w:t>
            </w:r>
            <w:r>
              <w:rPr>
                <w:rFonts w:hint="eastAsia" w:ascii="宋体" w:hAnsi="宋体" w:cs="宋体"/>
                <w:color w:val="auto"/>
                <w:sz w:val="24"/>
                <w:highlight w:val="none"/>
                <w:u w:val="single"/>
              </w:rPr>
              <w:t xml:space="preserve"> 15 </w:t>
            </w:r>
            <w:r>
              <w:rPr>
                <w:rFonts w:hint="eastAsia" w:ascii="宋体" w:hAnsi="宋体" w:cs="宋体"/>
                <w:color w:val="auto"/>
                <w:sz w:val="24"/>
                <w:highlight w:val="none"/>
              </w:rPr>
              <w:t>分</w:t>
            </w:r>
          </w:p>
        </w:tc>
      </w:tr>
      <w:tr w14:paraId="60A4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 w:type="dxa"/>
            <w:vAlign w:val="center"/>
          </w:tcPr>
          <w:p w14:paraId="793289E4">
            <w:pPr>
              <w:pStyle w:val="81"/>
              <w:kinsoku w:val="0"/>
              <w:overflowPunct w:val="0"/>
              <w:adjustRightInd w:val="0"/>
              <w:snapToGrid w:val="0"/>
              <w:spacing w:line="312"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2.2.3</w:t>
            </w:r>
          </w:p>
        </w:tc>
        <w:tc>
          <w:tcPr>
            <w:tcW w:w="1005" w:type="dxa"/>
            <w:gridSpan w:val="2"/>
            <w:vAlign w:val="center"/>
          </w:tcPr>
          <w:p w14:paraId="73ADA481">
            <w:pPr>
              <w:pStyle w:val="81"/>
              <w:kinsoku w:val="0"/>
              <w:overflowPunct w:val="0"/>
              <w:adjustRightInd w:val="0"/>
              <w:snapToGrid w:val="0"/>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第二个信封详细评审标准</w:t>
            </w:r>
          </w:p>
        </w:tc>
        <w:tc>
          <w:tcPr>
            <w:tcW w:w="7874" w:type="dxa"/>
            <w:gridSpan w:val="4"/>
          </w:tcPr>
          <w:p w14:paraId="323F8AAF">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评标价的评审：</w:t>
            </w:r>
          </w:p>
          <w:p w14:paraId="7CFDB904">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评标价计算公式：</w:t>
            </w:r>
          </w:p>
          <w:p w14:paraId="30596D6C">
            <w:pPr>
              <w:pStyle w:val="81"/>
              <w:tabs>
                <w:tab w:val="left" w:pos="804"/>
              </w:tabs>
              <w:overflowPunct w:val="0"/>
              <w:adjustRightInd w:val="0"/>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经评审的投标价（评标价）=投标函文字报价-暂估价-暂列金额（不含计日工总额）</w:t>
            </w:r>
          </w:p>
          <w:p w14:paraId="5EB376E6">
            <w:pPr>
              <w:pStyle w:val="81"/>
              <w:tabs>
                <w:tab w:val="left" w:pos="804"/>
              </w:tabs>
              <w:overflowPunct w:val="0"/>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14:paraId="1D25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 w:type="dxa"/>
            <w:vAlign w:val="center"/>
          </w:tcPr>
          <w:p w14:paraId="7D975B90">
            <w:pPr>
              <w:pStyle w:val="81"/>
              <w:kinsoku w:val="0"/>
              <w:overflowPunct w:val="0"/>
              <w:adjustRightInd w:val="0"/>
              <w:snapToGrid w:val="0"/>
              <w:spacing w:line="312"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3.2.4</w:t>
            </w:r>
          </w:p>
        </w:tc>
        <w:tc>
          <w:tcPr>
            <w:tcW w:w="1005" w:type="dxa"/>
            <w:gridSpan w:val="2"/>
            <w:vAlign w:val="center"/>
          </w:tcPr>
          <w:p w14:paraId="7F3729ED">
            <w:pPr>
              <w:pStyle w:val="81"/>
              <w:kinsoku w:val="0"/>
              <w:overflowPunct w:val="0"/>
              <w:adjustRightInd w:val="0"/>
              <w:snapToGrid w:val="0"/>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通过第一个信封详细评审的投标人数量</w:t>
            </w:r>
          </w:p>
        </w:tc>
        <w:tc>
          <w:tcPr>
            <w:tcW w:w="7874" w:type="dxa"/>
            <w:gridSpan w:val="4"/>
            <w:vAlign w:val="center"/>
          </w:tcPr>
          <w:p w14:paraId="47976F1D">
            <w:pPr>
              <w:pStyle w:val="81"/>
              <w:tabs>
                <w:tab w:val="left" w:pos="804"/>
              </w:tabs>
              <w:overflowPunct w:val="0"/>
              <w:adjustRightInd w:val="0"/>
              <w:snapToGrid w:val="0"/>
              <w:spacing w:line="312" w:lineRule="auto"/>
              <w:jc w:val="left"/>
              <w:rPr>
                <w:rFonts w:hint="eastAsia" w:ascii="宋体" w:hAnsi="宋体" w:cs="宋体"/>
                <w:color w:val="auto"/>
                <w:sz w:val="24"/>
                <w:highlight w:val="none"/>
              </w:rPr>
            </w:pPr>
            <w:r>
              <w:rPr>
                <w:rFonts w:hint="eastAsia" w:ascii="宋体" w:hAnsi="宋体" w:cs="宋体"/>
                <w:color w:val="auto"/>
                <w:sz w:val="24"/>
                <w:highlight w:val="none"/>
              </w:rPr>
              <w:t>按照投标人的商务和技术得分由高到低排序，选择前5名（不少于3名但不足5名时，按全部实际数量）通过详细评审。</w:t>
            </w:r>
          </w:p>
          <w:p w14:paraId="7897E1D1">
            <w:pPr>
              <w:pStyle w:val="81"/>
              <w:tabs>
                <w:tab w:val="left" w:pos="804"/>
              </w:tabs>
              <w:overflowPunct w:val="0"/>
              <w:adjustRightInd w:val="0"/>
              <w:snapToGrid w:val="0"/>
              <w:spacing w:line="312" w:lineRule="auto"/>
              <w:jc w:val="left"/>
              <w:rPr>
                <w:rFonts w:hint="eastAsia" w:ascii="宋体" w:hAnsi="宋体" w:cs="宋体"/>
                <w:color w:val="auto"/>
                <w:sz w:val="24"/>
                <w:highlight w:val="none"/>
              </w:rPr>
            </w:pPr>
            <w:r>
              <w:rPr>
                <w:rFonts w:hint="eastAsia" w:ascii="楷体" w:hAnsi="楷体" w:eastAsia="楷体" w:cs="楷体"/>
                <w:color w:val="auto"/>
                <w:sz w:val="24"/>
                <w:highlight w:val="none"/>
                <w:u w:val="single"/>
              </w:rPr>
              <w:t>注：本条所述“名次”包含了并列的情况；如名次为1,1,3,4,5 ，则前 5名为5家投标人；如名次为1,2,3,4,5,5，则前5名为6家投标人。</w:t>
            </w:r>
          </w:p>
        </w:tc>
      </w:tr>
      <w:tr w14:paraId="6DBD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4572" w:type="dxa"/>
            <w:gridSpan w:val="6"/>
            <w:vAlign w:val="center"/>
          </w:tcPr>
          <w:p w14:paraId="2F31F32C">
            <w:pPr>
              <w:pStyle w:val="81"/>
              <w:tabs>
                <w:tab w:val="left" w:pos="804"/>
              </w:tabs>
              <w:overflowPunct w:val="0"/>
              <w:adjustRightInd w:val="0"/>
              <w:snapToGrid w:val="0"/>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评分因素与权重分值</w:t>
            </w:r>
          </w:p>
        </w:tc>
        <w:tc>
          <w:tcPr>
            <w:tcW w:w="5174" w:type="dxa"/>
            <w:vMerge w:val="restart"/>
            <w:vAlign w:val="center"/>
          </w:tcPr>
          <w:p w14:paraId="01B5A48F">
            <w:pPr>
              <w:pStyle w:val="81"/>
              <w:tabs>
                <w:tab w:val="left" w:pos="804"/>
              </w:tabs>
              <w:overflowPunct w:val="0"/>
              <w:adjustRightInd w:val="0"/>
              <w:snapToGrid w:val="0"/>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评分标准</w:t>
            </w:r>
          </w:p>
        </w:tc>
      </w:tr>
      <w:tr w14:paraId="5F39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67" w:type="dxa"/>
            <w:vAlign w:val="center"/>
          </w:tcPr>
          <w:p w14:paraId="4217181B">
            <w:pPr>
              <w:pStyle w:val="81"/>
              <w:tabs>
                <w:tab w:val="left" w:pos="804"/>
              </w:tabs>
              <w:overflowPunct w:val="0"/>
              <w:adjustRightInd w:val="0"/>
              <w:snapToGrid w:val="0"/>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条款号</w:t>
            </w:r>
          </w:p>
        </w:tc>
        <w:tc>
          <w:tcPr>
            <w:tcW w:w="1005" w:type="dxa"/>
            <w:gridSpan w:val="2"/>
            <w:vAlign w:val="center"/>
          </w:tcPr>
          <w:p w14:paraId="48C784DB">
            <w:pPr>
              <w:pStyle w:val="81"/>
              <w:tabs>
                <w:tab w:val="left" w:pos="804"/>
              </w:tabs>
              <w:overflowPunct w:val="0"/>
              <w:adjustRightInd w:val="0"/>
              <w:snapToGrid w:val="0"/>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评分因素</w:t>
            </w:r>
          </w:p>
        </w:tc>
        <w:tc>
          <w:tcPr>
            <w:tcW w:w="732" w:type="dxa"/>
            <w:vAlign w:val="center"/>
          </w:tcPr>
          <w:p w14:paraId="65EEB9DC">
            <w:pPr>
              <w:pStyle w:val="81"/>
              <w:tabs>
                <w:tab w:val="left" w:pos="804"/>
              </w:tabs>
              <w:overflowPunct w:val="0"/>
              <w:adjustRightInd w:val="0"/>
              <w:snapToGrid w:val="0"/>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评分因素权重分值</w:t>
            </w:r>
          </w:p>
        </w:tc>
        <w:tc>
          <w:tcPr>
            <w:tcW w:w="1237" w:type="dxa"/>
            <w:vAlign w:val="center"/>
          </w:tcPr>
          <w:p w14:paraId="144DA594">
            <w:pPr>
              <w:pStyle w:val="81"/>
              <w:tabs>
                <w:tab w:val="left" w:pos="804"/>
              </w:tabs>
              <w:overflowPunct w:val="0"/>
              <w:adjustRightInd w:val="0"/>
              <w:snapToGrid w:val="0"/>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各评分因素细分项</w:t>
            </w:r>
          </w:p>
        </w:tc>
        <w:tc>
          <w:tcPr>
            <w:tcW w:w="731" w:type="dxa"/>
            <w:vAlign w:val="center"/>
          </w:tcPr>
          <w:p w14:paraId="628B57D7">
            <w:pPr>
              <w:pStyle w:val="81"/>
              <w:tabs>
                <w:tab w:val="left" w:pos="804"/>
              </w:tabs>
              <w:overflowPunct w:val="0"/>
              <w:adjustRightInd w:val="0"/>
              <w:snapToGrid w:val="0"/>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分值</w:t>
            </w:r>
          </w:p>
        </w:tc>
        <w:tc>
          <w:tcPr>
            <w:tcW w:w="5174" w:type="dxa"/>
            <w:vMerge w:val="continue"/>
            <w:vAlign w:val="center"/>
          </w:tcPr>
          <w:p w14:paraId="6AA20574">
            <w:pPr>
              <w:pStyle w:val="81"/>
              <w:tabs>
                <w:tab w:val="left" w:pos="804"/>
              </w:tabs>
              <w:overflowPunct w:val="0"/>
              <w:adjustRightInd w:val="0"/>
              <w:snapToGrid w:val="0"/>
              <w:spacing w:line="312" w:lineRule="auto"/>
              <w:rPr>
                <w:rFonts w:hint="eastAsia" w:ascii="宋体" w:hAnsi="宋体" w:cs="宋体"/>
                <w:b/>
                <w:bCs/>
                <w:color w:val="auto"/>
                <w:sz w:val="24"/>
                <w:highlight w:val="none"/>
              </w:rPr>
            </w:pPr>
          </w:p>
        </w:tc>
      </w:tr>
      <w:tr w14:paraId="26FF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67" w:type="dxa"/>
            <w:vMerge w:val="restart"/>
            <w:vAlign w:val="center"/>
          </w:tcPr>
          <w:p w14:paraId="479DA93F">
            <w:pPr>
              <w:pStyle w:val="116"/>
              <w:jc w:val="center"/>
              <w:rPr>
                <w:rFonts w:hint="eastAsia"/>
                <w:color w:val="auto"/>
                <w:spacing w:val="-1"/>
                <w:sz w:val="24"/>
                <w:szCs w:val="24"/>
                <w:highlight w:val="none"/>
                <w:lang w:eastAsia="zh-CN"/>
              </w:rPr>
            </w:pPr>
            <w:r>
              <w:rPr>
                <w:rFonts w:hint="eastAsia"/>
                <w:color w:val="auto"/>
                <w:spacing w:val="2"/>
                <w:position w:val="16"/>
                <w:sz w:val="24"/>
                <w:szCs w:val="24"/>
                <w:highlight w:val="none"/>
                <w:lang w:eastAsia="zh-CN"/>
              </w:rPr>
              <w:t>2.2.2（1）</w:t>
            </w:r>
          </w:p>
        </w:tc>
        <w:tc>
          <w:tcPr>
            <w:tcW w:w="1005" w:type="dxa"/>
            <w:gridSpan w:val="2"/>
            <w:vMerge w:val="restart"/>
            <w:vAlign w:val="center"/>
          </w:tcPr>
          <w:p w14:paraId="2DF79B70">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施工组织 设计</w:t>
            </w:r>
          </w:p>
        </w:tc>
        <w:tc>
          <w:tcPr>
            <w:tcW w:w="732" w:type="dxa"/>
            <w:vAlign w:val="center"/>
          </w:tcPr>
          <w:p w14:paraId="191B8BD3">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15分</w:t>
            </w:r>
          </w:p>
        </w:tc>
        <w:tc>
          <w:tcPr>
            <w:tcW w:w="1237" w:type="dxa"/>
            <w:vAlign w:val="center"/>
          </w:tcPr>
          <w:p w14:paraId="59D1E22A">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总体施工组织布置及规划</w:t>
            </w:r>
          </w:p>
        </w:tc>
        <w:tc>
          <w:tcPr>
            <w:tcW w:w="731" w:type="dxa"/>
            <w:vAlign w:val="center"/>
          </w:tcPr>
          <w:p w14:paraId="6F2EAD18">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15分</w:t>
            </w:r>
          </w:p>
        </w:tc>
        <w:tc>
          <w:tcPr>
            <w:tcW w:w="5174" w:type="dxa"/>
            <w:vAlign w:val="center"/>
          </w:tcPr>
          <w:p w14:paraId="7C58B3A2">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（1）对项目的基本情况了解全面、准确，施工总体布置规划、施工进度计划科学合理、可操作性强，按《广东省公路工程施工标准化指南》及《公路工程施工安全防护设施技术指南》执行，得</w:t>
            </w:r>
            <w:r>
              <w:rPr>
                <w:rFonts w:hint="eastAsia" w:ascii="宋体" w:hAnsi="宋体" w:cs="宋体"/>
                <w:color w:val="auto"/>
                <w:sz w:val="24"/>
                <w:highlight w:val="none"/>
                <w:u w:val="single"/>
              </w:rPr>
              <w:t>12-15</w:t>
            </w:r>
            <w:r>
              <w:rPr>
                <w:rFonts w:hint="eastAsia" w:ascii="宋体" w:hAnsi="宋体" w:cs="宋体"/>
                <w:color w:val="auto"/>
                <w:sz w:val="24"/>
                <w:highlight w:val="none"/>
              </w:rPr>
              <w:t>分；</w:t>
            </w:r>
          </w:p>
          <w:p w14:paraId="6CEE2717">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（2）满足工程建设需要，施工总体布置规划、施工进度计划基本可行，得</w:t>
            </w:r>
            <w:r>
              <w:rPr>
                <w:rFonts w:hint="eastAsia" w:ascii="宋体" w:hAnsi="宋体" w:cs="宋体"/>
                <w:color w:val="auto"/>
                <w:sz w:val="24"/>
                <w:highlight w:val="none"/>
                <w:u w:val="single"/>
              </w:rPr>
              <w:t>9-12</w:t>
            </w:r>
            <w:r>
              <w:rPr>
                <w:rFonts w:hint="eastAsia" w:ascii="宋体" w:hAnsi="宋体" w:cs="宋体"/>
                <w:color w:val="auto"/>
                <w:sz w:val="24"/>
                <w:highlight w:val="none"/>
              </w:rPr>
              <w:t>分；</w:t>
            </w:r>
          </w:p>
          <w:p w14:paraId="763BAEB9">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（3）一般但不被评定为不响应的,得</w:t>
            </w:r>
            <w:r>
              <w:rPr>
                <w:rFonts w:hint="eastAsia" w:ascii="宋体" w:hAnsi="宋体" w:cs="宋体"/>
                <w:color w:val="auto"/>
                <w:sz w:val="24"/>
                <w:highlight w:val="none"/>
                <w:u w:val="single"/>
              </w:rPr>
              <w:t>9</w:t>
            </w:r>
            <w:r>
              <w:rPr>
                <w:rFonts w:hint="eastAsia" w:ascii="宋体" w:hAnsi="宋体" w:cs="宋体"/>
                <w:color w:val="auto"/>
                <w:sz w:val="24"/>
                <w:highlight w:val="none"/>
              </w:rPr>
              <w:t>分。</w:t>
            </w:r>
          </w:p>
        </w:tc>
      </w:tr>
      <w:tr w14:paraId="0640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 w:type="dxa"/>
            <w:vMerge w:val="continue"/>
            <w:vAlign w:val="center"/>
          </w:tcPr>
          <w:p w14:paraId="424C00C6">
            <w:pPr>
              <w:pStyle w:val="81"/>
              <w:tabs>
                <w:tab w:val="left" w:pos="804"/>
              </w:tabs>
              <w:overflowPunct w:val="0"/>
              <w:adjustRightInd w:val="0"/>
              <w:snapToGrid w:val="0"/>
              <w:spacing w:line="288" w:lineRule="auto"/>
              <w:jc w:val="center"/>
              <w:rPr>
                <w:rFonts w:hint="eastAsia" w:ascii="宋体" w:hAnsi="宋体" w:cs="宋体"/>
                <w:color w:val="auto"/>
                <w:spacing w:val="-1"/>
                <w:sz w:val="24"/>
                <w:highlight w:val="none"/>
              </w:rPr>
            </w:pPr>
          </w:p>
        </w:tc>
        <w:tc>
          <w:tcPr>
            <w:tcW w:w="1005" w:type="dxa"/>
            <w:gridSpan w:val="2"/>
            <w:vMerge w:val="continue"/>
            <w:vAlign w:val="center"/>
          </w:tcPr>
          <w:p w14:paraId="5FA3B396">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p>
        </w:tc>
        <w:tc>
          <w:tcPr>
            <w:tcW w:w="732" w:type="dxa"/>
            <w:vAlign w:val="center"/>
          </w:tcPr>
          <w:p w14:paraId="38FD8E3F">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15分</w:t>
            </w:r>
          </w:p>
        </w:tc>
        <w:tc>
          <w:tcPr>
            <w:tcW w:w="1237" w:type="dxa"/>
            <w:vAlign w:val="center"/>
          </w:tcPr>
          <w:p w14:paraId="6E21DE94">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重点、难点和关键工程的施工方案与技术措施</w:t>
            </w:r>
          </w:p>
        </w:tc>
        <w:tc>
          <w:tcPr>
            <w:tcW w:w="731" w:type="dxa"/>
            <w:vAlign w:val="center"/>
          </w:tcPr>
          <w:p w14:paraId="071F0385">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15分</w:t>
            </w:r>
          </w:p>
        </w:tc>
        <w:tc>
          <w:tcPr>
            <w:tcW w:w="5174" w:type="dxa"/>
            <w:vAlign w:val="center"/>
          </w:tcPr>
          <w:p w14:paraId="608D5787">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1）对项目重点、难点和关键工程认识分析透彻，能充分发挥自身优势，积极采用“四新”技术，制定的施工方案与技术措施针对性和可操作性强，重点突出的，按《广东省公路工程施工标准化指南》及《公路工程施工安全防护设施技术指南》执行，得</w:t>
            </w:r>
            <w:r>
              <w:rPr>
                <w:rFonts w:hint="eastAsia" w:ascii="宋体" w:hAnsi="宋体" w:cs="宋体"/>
                <w:color w:val="auto"/>
                <w:sz w:val="24"/>
                <w:highlight w:val="none"/>
                <w:u w:val="single"/>
              </w:rPr>
              <w:t>12-15</w:t>
            </w:r>
            <w:r>
              <w:rPr>
                <w:rFonts w:hint="eastAsia" w:ascii="宋体" w:hAnsi="宋体" w:cs="宋体"/>
                <w:color w:val="auto"/>
                <w:sz w:val="24"/>
                <w:highlight w:val="none"/>
              </w:rPr>
              <w:t>分；</w:t>
            </w:r>
          </w:p>
          <w:p w14:paraId="5414E6E5">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（2）对项目重点、难点和关键工程认识基本到位，施工方案与技术措施基本可行，重点较为突出的，得</w:t>
            </w:r>
            <w:r>
              <w:rPr>
                <w:rFonts w:hint="eastAsia" w:ascii="宋体" w:hAnsi="宋体" w:cs="宋体"/>
                <w:color w:val="auto"/>
                <w:sz w:val="24"/>
                <w:highlight w:val="none"/>
                <w:u w:val="single"/>
              </w:rPr>
              <w:t>9-12</w:t>
            </w:r>
            <w:r>
              <w:rPr>
                <w:rFonts w:hint="eastAsia" w:ascii="宋体" w:hAnsi="宋体" w:cs="宋体"/>
                <w:color w:val="auto"/>
                <w:sz w:val="24"/>
                <w:highlight w:val="none"/>
              </w:rPr>
              <w:t xml:space="preserve">分； </w:t>
            </w:r>
          </w:p>
          <w:p w14:paraId="5ECACDE6">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（3）一般但不被评定为不响应的,得</w:t>
            </w:r>
            <w:r>
              <w:rPr>
                <w:rFonts w:hint="eastAsia" w:ascii="宋体" w:hAnsi="宋体" w:cs="宋体"/>
                <w:color w:val="auto"/>
                <w:sz w:val="24"/>
                <w:highlight w:val="none"/>
                <w:u w:val="single"/>
              </w:rPr>
              <w:t>9</w:t>
            </w:r>
            <w:r>
              <w:rPr>
                <w:rFonts w:hint="eastAsia" w:ascii="宋体" w:hAnsi="宋体" w:cs="宋体"/>
                <w:color w:val="auto"/>
                <w:sz w:val="24"/>
                <w:highlight w:val="none"/>
              </w:rPr>
              <w:t>分。</w:t>
            </w:r>
          </w:p>
        </w:tc>
      </w:tr>
      <w:tr w14:paraId="3EBE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 w:type="dxa"/>
            <w:vMerge w:val="continue"/>
            <w:vAlign w:val="center"/>
          </w:tcPr>
          <w:p w14:paraId="44B59EFD">
            <w:pPr>
              <w:pStyle w:val="81"/>
              <w:tabs>
                <w:tab w:val="left" w:pos="804"/>
              </w:tabs>
              <w:overflowPunct w:val="0"/>
              <w:adjustRightInd w:val="0"/>
              <w:snapToGrid w:val="0"/>
              <w:spacing w:line="288" w:lineRule="auto"/>
              <w:jc w:val="center"/>
              <w:rPr>
                <w:rFonts w:hint="eastAsia" w:ascii="宋体" w:hAnsi="宋体" w:cs="宋体"/>
                <w:color w:val="auto"/>
                <w:spacing w:val="-1"/>
                <w:sz w:val="24"/>
                <w:highlight w:val="none"/>
              </w:rPr>
            </w:pPr>
          </w:p>
        </w:tc>
        <w:tc>
          <w:tcPr>
            <w:tcW w:w="1005" w:type="dxa"/>
            <w:gridSpan w:val="2"/>
            <w:vMerge w:val="continue"/>
            <w:vAlign w:val="center"/>
          </w:tcPr>
          <w:p w14:paraId="1F1EDAAF">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p>
        </w:tc>
        <w:tc>
          <w:tcPr>
            <w:tcW w:w="732" w:type="dxa"/>
            <w:vAlign w:val="center"/>
          </w:tcPr>
          <w:p w14:paraId="6CDFC10B">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10分</w:t>
            </w:r>
          </w:p>
        </w:tc>
        <w:tc>
          <w:tcPr>
            <w:tcW w:w="1237" w:type="dxa"/>
            <w:vAlign w:val="center"/>
          </w:tcPr>
          <w:p w14:paraId="003E4EDE">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工期、质量、安全、环保水保、文明</w:t>
            </w:r>
          </w:p>
          <w:p w14:paraId="1B37FCE1">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施工保证</w:t>
            </w:r>
          </w:p>
          <w:p w14:paraId="4C259C3C">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措施</w:t>
            </w:r>
          </w:p>
        </w:tc>
        <w:tc>
          <w:tcPr>
            <w:tcW w:w="731" w:type="dxa"/>
            <w:vAlign w:val="center"/>
          </w:tcPr>
          <w:p w14:paraId="1F20D594">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10分</w:t>
            </w:r>
          </w:p>
        </w:tc>
        <w:tc>
          <w:tcPr>
            <w:tcW w:w="5174" w:type="dxa"/>
            <w:vAlign w:val="center"/>
          </w:tcPr>
          <w:p w14:paraId="3C8366C3">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1）能够准确预判分析工期、质量、安全、环保、水保、文明施工目标实现的主要影响因素，拟采取预防保证措施针对性强、科学有效，重点突出的，按《广东省公路工程施工标准化指南》及《公路工程施工安全防护设施技术指南》执行，得</w:t>
            </w:r>
            <w:r>
              <w:rPr>
                <w:rFonts w:hint="eastAsia" w:ascii="宋体" w:hAnsi="宋体" w:cs="宋体"/>
                <w:color w:val="auto"/>
                <w:sz w:val="24"/>
                <w:highlight w:val="none"/>
                <w:u w:val="single"/>
              </w:rPr>
              <w:t>8-10</w:t>
            </w:r>
            <w:r>
              <w:rPr>
                <w:rFonts w:hint="eastAsia" w:ascii="宋体" w:hAnsi="宋体" w:cs="宋体"/>
                <w:color w:val="auto"/>
                <w:sz w:val="24"/>
                <w:highlight w:val="none"/>
              </w:rPr>
              <w:t>分；</w:t>
            </w:r>
          </w:p>
          <w:p w14:paraId="51E0DD9F">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（2）对工期、质量、安全、环保、水保等风险有一定认识，预防保证措施基本可行，重点较为突出的，得</w:t>
            </w:r>
            <w:r>
              <w:rPr>
                <w:rFonts w:hint="eastAsia" w:ascii="宋体" w:hAnsi="宋体" w:cs="宋体"/>
                <w:color w:val="auto"/>
                <w:sz w:val="24"/>
                <w:highlight w:val="none"/>
                <w:u w:val="single"/>
              </w:rPr>
              <w:t>6-8</w:t>
            </w:r>
            <w:r>
              <w:rPr>
                <w:rFonts w:hint="eastAsia" w:ascii="宋体" w:hAnsi="宋体" w:cs="宋体"/>
                <w:color w:val="auto"/>
                <w:sz w:val="24"/>
                <w:highlight w:val="none"/>
              </w:rPr>
              <w:t>分；</w:t>
            </w:r>
          </w:p>
          <w:p w14:paraId="11B7DDFD">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（3）一般但不被评定为不响应的, 得</w:t>
            </w:r>
            <w:r>
              <w:rPr>
                <w:rFonts w:hint="eastAsia" w:ascii="宋体" w:hAnsi="宋体" w:cs="宋体"/>
                <w:color w:val="auto"/>
                <w:sz w:val="24"/>
                <w:highlight w:val="none"/>
                <w:u w:val="single"/>
              </w:rPr>
              <w:t>6</w:t>
            </w:r>
            <w:r>
              <w:rPr>
                <w:rFonts w:hint="eastAsia" w:ascii="宋体" w:hAnsi="宋体" w:cs="宋体"/>
                <w:color w:val="auto"/>
                <w:sz w:val="24"/>
                <w:highlight w:val="none"/>
              </w:rPr>
              <w:t>分。</w:t>
            </w:r>
          </w:p>
        </w:tc>
      </w:tr>
      <w:tr w14:paraId="12FE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Merge w:val="restart"/>
            <w:vAlign w:val="center"/>
          </w:tcPr>
          <w:p w14:paraId="524AF8DB">
            <w:pPr>
              <w:pStyle w:val="81"/>
              <w:tabs>
                <w:tab w:val="left" w:pos="804"/>
              </w:tabs>
              <w:overflowPunct w:val="0"/>
              <w:adjustRightInd w:val="0"/>
              <w:snapToGrid w:val="0"/>
              <w:spacing w:line="288" w:lineRule="auto"/>
              <w:jc w:val="center"/>
              <w:rPr>
                <w:rFonts w:hint="eastAsia" w:ascii="宋体" w:hAnsi="宋体" w:cs="宋体"/>
                <w:color w:val="auto"/>
                <w:spacing w:val="-1"/>
                <w:sz w:val="24"/>
                <w:highlight w:val="none"/>
              </w:rPr>
            </w:pPr>
            <w:r>
              <w:rPr>
                <w:rFonts w:hint="eastAsia" w:cs="宋体"/>
                <w:color w:val="auto"/>
                <w:spacing w:val="2"/>
                <w:position w:val="16"/>
                <w:sz w:val="24"/>
                <w:highlight w:val="none"/>
              </w:rPr>
              <w:t>2.2.2（2）</w:t>
            </w:r>
          </w:p>
        </w:tc>
        <w:tc>
          <w:tcPr>
            <w:tcW w:w="1005" w:type="dxa"/>
            <w:gridSpan w:val="2"/>
            <w:vMerge w:val="restart"/>
            <w:vAlign w:val="center"/>
          </w:tcPr>
          <w:p w14:paraId="561270CB">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主要人员</w:t>
            </w:r>
          </w:p>
        </w:tc>
        <w:tc>
          <w:tcPr>
            <w:tcW w:w="732" w:type="dxa"/>
            <w:vMerge w:val="restart"/>
            <w:vAlign w:val="center"/>
          </w:tcPr>
          <w:p w14:paraId="7D9EFBBF">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25分</w:t>
            </w:r>
          </w:p>
        </w:tc>
        <w:tc>
          <w:tcPr>
            <w:tcW w:w="1237" w:type="dxa"/>
            <w:vAlign w:val="center"/>
          </w:tcPr>
          <w:p w14:paraId="27C38A4D">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项目经理</w:t>
            </w:r>
          </w:p>
          <w:p w14:paraId="390C8300">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任职资格</w:t>
            </w:r>
          </w:p>
          <w:p w14:paraId="3D88299D">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与业绩</w:t>
            </w:r>
          </w:p>
        </w:tc>
        <w:tc>
          <w:tcPr>
            <w:tcW w:w="731" w:type="dxa"/>
            <w:vAlign w:val="center"/>
          </w:tcPr>
          <w:p w14:paraId="43037B72">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15分</w:t>
            </w:r>
          </w:p>
        </w:tc>
        <w:tc>
          <w:tcPr>
            <w:tcW w:w="5174" w:type="dxa"/>
            <w:vAlign w:val="center"/>
          </w:tcPr>
          <w:p w14:paraId="6A987DFA">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（1）满足资格审查条件（项目经理和项目总工最低要求）时，得9分；</w:t>
            </w:r>
          </w:p>
          <w:p w14:paraId="59A16122">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（2）项目经理及备选</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rPr>
              <w:t>（如有）均具有</w:t>
            </w:r>
            <w:bookmarkStart w:id="10" w:name="_GoBack"/>
            <w:r>
              <w:rPr>
                <w:rFonts w:hint="eastAsia" w:ascii="宋体" w:hAnsi="宋体" w:cs="宋体"/>
                <w:color w:val="auto"/>
                <w:sz w:val="24"/>
                <w:highlight w:val="none"/>
                <w:u w:val="single"/>
                <w:lang w:val="en-US" w:eastAsia="zh-CN"/>
              </w:rPr>
              <w:t>路桥相关专业</w:t>
            </w:r>
            <w:bookmarkEnd w:id="10"/>
            <w:r>
              <w:rPr>
                <w:rFonts w:hint="eastAsia" w:ascii="宋体" w:hAnsi="宋体" w:cs="宋体"/>
                <w:color w:val="auto"/>
                <w:sz w:val="24"/>
                <w:highlight w:val="none"/>
              </w:rPr>
              <w:t>高级工程师资格的，加3分。</w:t>
            </w:r>
          </w:p>
          <w:p w14:paraId="00821148">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none"/>
              </w:rPr>
              <w:t>每担任1个</w:t>
            </w:r>
            <w:r>
              <w:rPr>
                <w:rFonts w:hint="eastAsia" w:ascii="宋体" w:hAnsi="宋体" w:cs="宋体"/>
                <w:color w:val="auto"/>
                <w:sz w:val="24"/>
                <w:highlight w:val="none"/>
              </w:rPr>
              <w:t>类似工程项目经理岗位工作经验的，加</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分，最多加3分。</w:t>
            </w:r>
          </w:p>
        </w:tc>
      </w:tr>
      <w:tr w14:paraId="31CB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 w:type="dxa"/>
            <w:vMerge w:val="continue"/>
            <w:vAlign w:val="center"/>
          </w:tcPr>
          <w:p w14:paraId="0915EB14">
            <w:pPr>
              <w:pStyle w:val="81"/>
              <w:tabs>
                <w:tab w:val="left" w:pos="804"/>
              </w:tabs>
              <w:overflowPunct w:val="0"/>
              <w:adjustRightInd w:val="0"/>
              <w:snapToGrid w:val="0"/>
              <w:spacing w:line="288" w:lineRule="auto"/>
              <w:jc w:val="center"/>
              <w:rPr>
                <w:rFonts w:hint="eastAsia" w:ascii="宋体" w:hAnsi="宋体" w:cs="宋体"/>
                <w:color w:val="auto"/>
                <w:spacing w:val="-1"/>
                <w:sz w:val="24"/>
                <w:highlight w:val="none"/>
              </w:rPr>
            </w:pPr>
          </w:p>
        </w:tc>
        <w:tc>
          <w:tcPr>
            <w:tcW w:w="1005" w:type="dxa"/>
            <w:gridSpan w:val="2"/>
            <w:vMerge w:val="continue"/>
            <w:vAlign w:val="center"/>
          </w:tcPr>
          <w:p w14:paraId="3DC8C314">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p>
        </w:tc>
        <w:tc>
          <w:tcPr>
            <w:tcW w:w="732" w:type="dxa"/>
            <w:vMerge w:val="continue"/>
            <w:vAlign w:val="center"/>
          </w:tcPr>
          <w:p w14:paraId="3B2717AA">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p>
        </w:tc>
        <w:tc>
          <w:tcPr>
            <w:tcW w:w="1237" w:type="dxa"/>
            <w:vAlign w:val="center"/>
          </w:tcPr>
          <w:p w14:paraId="7B8145C2">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项目总工</w:t>
            </w:r>
          </w:p>
          <w:p w14:paraId="6527D5D1">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任职资格</w:t>
            </w:r>
          </w:p>
          <w:p w14:paraId="1669BDAD">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与业绩</w:t>
            </w:r>
          </w:p>
        </w:tc>
        <w:tc>
          <w:tcPr>
            <w:tcW w:w="731" w:type="dxa"/>
            <w:vAlign w:val="center"/>
          </w:tcPr>
          <w:p w14:paraId="48A818D4">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10分</w:t>
            </w:r>
          </w:p>
        </w:tc>
        <w:tc>
          <w:tcPr>
            <w:tcW w:w="5174" w:type="dxa"/>
            <w:vAlign w:val="center"/>
          </w:tcPr>
          <w:p w14:paraId="0206C7AC">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（1）满足资格审查条件（项目经理和项目总工最低要求）时，得6分。</w:t>
            </w:r>
          </w:p>
          <w:p w14:paraId="55DBD6CF">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none"/>
              </w:rPr>
              <w:t>每担任1个</w:t>
            </w:r>
            <w:r>
              <w:rPr>
                <w:rFonts w:hint="eastAsia" w:ascii="宋体" w:hAnsi="宋体" w:cs="宋体"/>
                <w:color w:val="auto"/>
                <w:sz w:val="24"/>
                <w:highlight w:val="none"/>
              </w:rPr>
              <w:t>类似工程项目总工岗位工作经验的，加</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分，最多加4分。</w:t>
            </w:r>
          </w:p>
        </w:tc>
      </w:tr>
      <w:tr w14:paraId="2CA2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 w:type="dxa"/>
            <w:vMerge w:val="restart"/>
            <w:vAlign w:val="center"/>
          </w:tcPr>
          <w:p w14:paraId="2147255D">
            <w:pPr>
              <w:pStyle w:val="81"/>
              <w:tabs>
                <w:tab w:val="left" w:pos="804"/>
              </w:tabs>
              <w:overflowPunct w:val="0"/>
              <w:adjustRightInd w:val="0"/>
              <w:snapToGrid w:val="0"/>
              <w:spacing w:line="288" w:lineRule="auto"/>
              <w:jc w:val="center"/>
              <w:rPr>
                <w:rFonts w:hint="eastAsia" w:ascii="宋体" w:hAnsi="宋体" w:cs="宋体"/>
                <w:color w:val="auto"/>
                <w:spacing w:val="-1"/>
                <w:sz w:val="24"/>
                <w:highlight w:val="none"/>
              </w:rPr>
            </w:pPr>
            <w:r>
              <w:rPr>
                <w:rFonts w:hint="eastAsia" w:cs="宋体"/>
                <w:color w:val="auto"/>
                <w:spacing w:val="2"/>
                <w:position w:val="16"/>
                <w:sz w:val="24"/>
                <w:highlight w:val="none"/>
              </w:rPr>
              <w:t>2.2.2（3）</w:t>
            </w:r>
          </w:p>
        </w:tc>
        <w:tc>
          <w:tcPr>
            <w:tcW w:w="387" w:type="dxa"/>
            <w:vMerge w:val="restart"/>
            <w:vAlign w:val="center"/>
          </w:tcPr>
          <w:p w14:paraId="7E727D26">
            <w:pPr>
              <w:pStyle w:val="81"/>
              <w:tabs>
                <w:tab w:val="left" w:pos="804"/>
              </w:tabs>
              <w:overflowPunct w:val="0"/>
              <w:adjustRightInd w:val="0"/>
              <w:snapToGrid w:val="0"/>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其他因素</w:t>
            </w:r>
          </w:p>
        </w:tc>
        <w:tc>
          <w:tcPr>
            <w:tcW w:w="618" w:type="dxa"/>
            <w:vAlign w:val="center"/>
          </w:tcPr>
          <w:p w14:paraId="288EDE5F">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技术</w:t>
            </w:r>
          </w:p>
          <w:p w14:paraId="2DCFF391">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能力</w:t>
            </w:r>
          </w:p>
        </w:tc>
        <w:tc>
          <w:tcPr>
            <w:tcW w:w="732" w:type="dxa"/>
            <w:vAlign w:val="center"/>
          </w:tcPr>
          <w:p w14:paraId="20E5076A">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20分</w:t>
            </w:r>
          </w:p>
        </w:tc>
        <w:tc>
          <w:tcPr>
            <w:tcW w:w="7142" w:type="dxa"/>
            <w:gridSpan w:val="3"/>
            <w:vAlign w:val="center"/>
          </w:tcPr>
          <w:p w14:paraId="4733493E">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（1）投标人获得与项目施工有关</w:t>
            </w:r>
            <w:r>
              <w:rPr>
                <w:rFonts w:hint="eastAsia" w:ascii="宋体" w:hAnsi="宋体" w:cs="宋体"/>
                <w:color w:val="auto"/>
                <w:sz w:val="24"/>
                <w:highlight w:val="none"/>
                <w:u w:val="single"/>
              </w:rPr>
              <w:t>（</w:t>
            </w:r>
            <w:r>
              <w:rPr>
                <w:rFonts w:hint="eastAsia" w:ascii="楷体" w:hAnsi="楷体" w:eastAsia="楷体" w:cs="楷体"/>
                <w:color w:val="auto"/>
                <w:sz w:val="24"/>
                <w:highlight w:val="none"/>
                <w:u w:val="single"/>
              </w:rPr>
              <w:t>与项目施工有关是指与项目标类相对应</w:t>
            </w:r>
            <w:r>
              <w:rPr>
                <w:rFonts w:hint="eastAsia" w:ascii="宋体" w:hAnsi="宋体" w:cs="宋体"/>
                <w:color w:val="auto"/>
                <w:sz w:val="24"/>
                <w:highlight w:val="none"/>
                <w:u w:val="single"/>
              </w:rPr>
              <w:t>）</w:t>
            </w:r>
            <w:r>
              <w:rPr>
                <w:rFonts w:hint="eastAsia" w:ascii="宋体" w:hAnsi="宋体" w:cs="宋体"/>
                <w:color w:val="auto"/>
                <w:sz w:val="24"/>
                <w:highlight w:val="none"/>
              </w:rPr>
              <w:t>的国家级工法、专利（发明专利或实用新型专利）、国家级科学技术进步奖、鲁班奖、詹天佑奖，主编或参编过国家标准，每项加2分；</w:t>
            </w:r>
          </w:p>
          <w:p w14:paraId="4A8DE0B1">
            <w:pPr>
              <w:pStyle w:val="14"/>
              <w:rPr>
                <w:rFonts w:hint="eastAsia" w:ascii="宋体" w:hAnsi="宋体" w:eastAsia="宋体" w:cs="宋体"/>
                <w:color w:val="auto"/>
                <w:sz w:val="24"/>
                <w:highlight w:val="none"/>
                <w:lang w:eastAsia="zh-CN"/>
              </w:rPr>
            </w:pPr>
            <w:r>
              <w:rPr>
                <w:rFonts w:hint="eastAsia" w:ascii="宋体" w:hAnsi="宋体" w:cs="宋体"/>
                <w:color w:val="auto"/>
                <w:sz w:val="24"/>
                <w:highlight w:val="none"/>
              </w:rPr>
              <w:t>（2）投标人获得省级科学技术进步奖，主编或参编过的行业或地方（指省级）标准，每项加1分</w:t>
            </w:r>
            <w:r>
              <w:rPr>
                <w:rFonts w:hint="eastAsia" w:ascii="宋体" w:hAnsi="宋体" w:cs="宋体"/>
                <w:color w:val="auto"/>
                <w:sz w:val="24"/>
                <w:highlight w:val="none"/>
                <w:lang w:eastAsia="zh-CN"/>
              </w:rPr>
              <w:t>。</w:t>
            </w:r>
          </w:p>
          <w:p w14:paraId="2F82A763">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注：技术能力加分最高20分，同一事项按较高分只计一次。</w:t>
            </w:r>
          </w:p>
        </w:tc>
      </w:tr>
      <w:tr w14:paraId="3B2F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Merge w:val="continue"/>
            <w:vAlign w:val="center"/>
          </w:tcPr>
          <w:p w14:paraId="69BDF518">
            <w:pPr>
              <w:pStyle w:val="81"/>
              <w:tabs>
                <w:tab w:val="left" w:pos="804"/>
              </w:tabs>
              <w:overflowPunct w:val="0"/>
              <w:adjustRightInd w:val="0"/>
              <w:snapToGrid w:val="0"/>
              <w:spacing w:line="288" w:lineRule="auto"/>
              <w:jc w:val="center"/>
              <w:rPr>
                <w:rFonts w:hint="eastAsia" w:ascii="宋体" w:hAnsi="宋体" w:cs="宋体"/>
                <w:color w:val="auto"/>
                <w:spacing w:val="-1"/>
                <w:sz w:val="24"/>
                <w:highlight w:val="none"/>
              </w:rPr>
            </w:pPr>
          </w:p>
        </w:tc>
        <w:tc>
          <w:tcPr>
            <w:tcW w:w="387" w:type="dxa"/>
            <w:vMerge w:val="continue"/>
            <w:vAlign w:val="center"/>
          </w:tcPr>
          <w:p w14:paraId="3B17D489">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p>
        </w:tc>
        <w:tc>
          <w:tcPr>
            <w:tcW w:w="618" w:type="dxa"/>
            <w:vAlign w:val="center"/>
          </w:tcPr>
          <w:p w14:paraId="540ADD74">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履约</w:t>
            </w:r>
          </w:p>
          <w:p w14:paraId="2F9E40DC">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信誉</w:t>
            </w:r>
          </w:p>
        </w:tc>
        <w:tc>
          <w:tcPr>
            <w:tcW w:w="732" w:type="dxa"/>
            <w:vAlign w:val="center"/>
          </w:tcPr>
          <w:p w14:paraId="1E9FED94">
            <w:pPr>
              <w:pStyle w:val="81"/>
              <w:tabs>
                <w:tab w:val="left" w:pos="804"/>
              </w:tabs>
              <w:overflowPunct w:val="0"/>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15分</w:t>
            </w:r>
          </w:p>
        </w:tc>
        <w:tc>
          <w:tcPr>
            <w:tcW w:w="7142" w:type="dxa"/>
            <w:gridSpan w:val="3"/>
            <w:vAlign w:val="center"/>
          </w:tcPr>
          <w:p w14:paraId="47E552D9">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1.信用等级分值（10分）</w:t>
            </w:r>
          </w:p>
          <w:p w14:paraId="1FD2BE67">
            <w:pPr>
              <w:pStyle w:val="81"/>
              <w:tabs>
                <w:tab w:val="left" w:pos="804"/>
              </w:tabs>
              <w:overflowPunct w:val="0"/>
              <w:adjustRightInd w:val="0"/>
              <w:snapToGrid w:val="0"/>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AA、A、B、C级单位的信用等级分得分分别为10、9.5、8.9、7.3分。</w:t>
            </w:r>
          </w:p>
          <w:p w14:paraId="520099F4">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注：信用等级的确定原则遵循投标人须知前附表10.2款的规定。</w:t>
            </w:r>
          </w:p>
          <w:p w14:paraId="37F609B3">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2.履约情况（5分）</w:t>
            </w:r>
          </w:p>
          <w:p w14:paraId="003C34BA">
            <w:pPr>
              <w:pStyle w:val="81"/>
              <w:tabs>
                <w:tab w:val="left" w:pos="804"/>
              </w:tabs>
              <w:overflowPunct w:val="0"/>
              <w:adjustRightInd w:val="0"/>
              <w:snapToGrid w:val="0"/>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若没出现下述情形得满分；</w:t>
            </w:r>
          </w:p>
          <w:p w14:paraId="2369F57D">
            <w:pPr>
              <w:pStyle w:val="81"/>
              <w:tabs>
                <w:tab w:val="left" w:pos="804"/>
              </w:tabs>
              <w:overflowPunct w:val="0"/>
              <w:adjustRightInd w:val="0"/>
              <w:snapToGrid w:val="0"/>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投标文件递交截止日前1年内，投标人因公路工程（含附属设施）质量、安全、履约或招标投标问题等原因被：</w:t>
            </w:r>
          </w:p>
          <w:p w14:paraId="4DF28554">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(1)交通运输部行政处罚的，扣5分/次。</w:t>
            </w:r>
          </w:p>
          <w:p w14:paraId="2A8A3245">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(2)广东省交通运输厅行政处罚的，扣3分/次。</w:t>
            </w:r>
          </w:p>
          <w:p w14:paraId="27F03318">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(3)广州市交通运输局行政处罚的，扣1.5分/次</w:t>
            </w:r>
            <w:r>
              <w:rPr>
                <w:rFonts w:hint="eastAsia" w:ascii="宋体" w:hAnsi="宋体" w:cs="宋体"/>
                <w:color w:val="auto"/>
                <w:sz w:val="24"/>
                <w:highlight w:val="none"/>
              </w:rPr>
              <w:tab/>
            </w:r>
          </w:p>
          <w:p w14:paraId="370F8DB3">
            <w:pPr>
              <w:pStyle w:val="81"/>
              <w:tabs>
                <w:tab w:val="left" w:pos="804"/>
              </w:tabs>
              <w:overflowPunct w:val="0"/>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(4)广东省交通运输厅正式约谈的，扣0.1分/次。</w:t>
            </w:r>
          </w:p>
          <w:p w14:paraId="08A0D1CA">
            <w:pPr>
              <w:pStyle w:val="81"/>
              <w:tabs>
                <w:tab w:val="left" w:pos="804"/>
              </w:tabs>
              <w:overflowPunct w:val="0"/>
              <w:adjustRightInd w:val="0"/>
              <w:snapToGrid w:val="0"/>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同一事项同时被多个部门行政处罚或正式约谈只按最高的扣分计算1次。如果扣完本项分值，可以从总分中扣。</w:t>
            </w:r>
          </w:p>
          <w:p w14:paraId="0CCEF62D">
            <w:pPr>
              <w:pStyle w:val="81"/>
              <w:tabs>
                <w:tab w:val="left" w:pos="804"/>
              </w:tabs>
              <w:overflowPunct w:val="0"/>
              <w:adjustRightInd w:val="0"/>
              <w:snapToGrid w:val="0"/>
              <w:spacing w:line="288" w:lineRule="auto"/>
              <w:rPr>
                <w:rFonts w:hint="eastAsia" w:ascii="宋体" w:hAnsi="宋体" w:eastAsia="楷体" w:cs="宋体"/>
                <w:color w:val="auto"/>
                <w:sz w:val="24"/>
                <w:highlight w:val="none"/>
              </w:rPr>
            </w:pPr>
            <w:r>
              <w:rPr>
                <w:rFonts w:hint="eastAsia" w:ascii="楷体" w:hAnsi="楷体" w:eastAsia="楷体" w:cs="楷体"/>
                <w:color w:val="auto"/>
                <w:sz w:val="24"/>
                <w:highlight w:val="none"/>
                <w:u w:val="single"/>
              </w:rPr>
              <w:t>注：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tc>
      </w:tr>
    </w:tbl>
    <w:p w14:paraId="4A33D387">
      <w:pPr>
        <w:rPr>
          <w:b/>
          <w:bCs/>
          <w:color w:val="auto"/>
          <w:w w:val="95"/>
          <w:sz w:val="28"/>
          <w:szCs w:val="28"/>
          <w:highlight w:val="none"/>
        </w:rPr>
      </w:pPr>
      <w:r>
        <w:rPr>
          <w:b/>
          <w:bCs/>
          <w:color w:val="auto"/>
          <w:w w:val="95"/>
          <w:sz w:val="28"/>
          <w:szCs w:val="28"/>
          <w:highlight w:val="none"/>
        </w:rPr>
        <w:br w:type="page"/>
      </w:r>
    </w:p>
    <w:tbl>
      <w:tblPr>
        <w:tblStyle w:val="117"/>
        <w:tblW w:w="97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8607"/>
      </w:tblGrid>
      <w:tr w14:paraId="6D8EC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49" w:type="dxa"/>
            <w:gridSpan w:val="2"/>
          </w:tcPr>
          <w:p w14:paraId="07BD0ABB">
            <w:pPr>
              <w:pStyle w:val="116"/>
              <w:spacing w:before="35" w:line="228" w:lineRule="auto"/>
              <w:ind w:left="246"/>
              <w:rPr>
                <w:rFonts w:hint="eastAsia"/>
                <w:color w:val="auto"/>
                <w:sz w:val="20"/>
                <w:szCs w:val="20"/>
                <w:highlight w:val="none"/>
              </w:rPr>
            </w:pPr>
            <w:r>
              <w:rPr>
                <w:b/>
                <w:bCs/>
                <w:color w:val="auto"/>
                <w:spacing w:val="5"/>
                <w:sz w:val="20"/>
                <w:szCs w:val="20"/>
                <w:highlight w:val="none"/>
              </w:rPr>
              <w:t>需要补充的其他内容：</w:t>
            </w:r>
          </w:p>
        </w:tc>
      </w:tr>
      <w:tr w14:paraId="2AA9D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142" w:type="dxa"/>
            <w:vAlign w:val="center"/>
          </w:tcPr>
          <w:p w14:paraId="56809620">
            <w:pPr>
              <w:pStyle w:val="116"/>
              <w:adjustRightInd w:val="0"/>
              <w:snapToGrid w:val="0"/>
              <w:spacing w:line="360" w:lineRule="auto"/>
              <w:jc w:val="center"/>
              <w:rPr>
                <w:rFonts w:hint="eastAsia"/>
                <w:color w:val="auto"/>
                <w:sz w:val="20"/>
                <w:szCs w:val="20"/>
                <w:highlight w:val="none"/>
              </w:rPr>
            </w:pPr>
            <w:r>
              <w:rPr>
                <w:b/>
                <w:bCs/>
                <w:color w:val="auto"/>
                <w:spacing w:val="5"/>
                <w:sz w:val="20"/>
                <w:szCs w:val="20"/>
                <w:highlight w:val="none"/>
              </w:rPr>
              <w:t>条款号</w:t>
            </w:r>
          </w:p>
        </w:tc>
        <w:tc>
          <w:tcPr>
            <w:tcW w:w="8607" w:type="dxa"/>
          </w:tcPr>
          <w:p w14:paraId="40E45233">
            <w:pPr>
              <w:pStyle w:val="116"/>
              <w:spacing w:before="42" w:line="228" w:lineRule="auto"/>
              <w:ind w:left="3065"/>
              <w:rPr>
                <w:rFonts w:hint="eastAsia"/>
                <w:color w:val="auto"/>
                <w:sz w:val="20"/>
                <w:szCs w:val="20"/>
                <w:highlight w:val="none"/>
              </w:rPr>
            </w:pPr>
            <w:r>
              <w:rPr>
                <w:b/>
                <w:bCs/>
                <w:color w:val="auto"/>
                <w:spacing w:val="7"/>
                <w:sz w:val="20"/>
                <w:szCs w:val="20"/>
                <w:highlight w:val="none"/>
              </w:rPr>
              <w:t>补充或修改的内容</w:t>
            </w:r>
          </w:p>
        </w:tc>
      </w:tr>
      <w:tr w14:paraId="7D702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0" w:hRule="atLeast"/>
          <w:jc w:val="center"/>
        </w:trPr>
        <w:tc>
          <w:tcPr>
            <w:tcW w:w="1142" w:type="dxa"/>
            <w:vAlign w:val="center"/>
          </w:tcPr>
          <w:p w14:paraId="34CE4367">
            <w:pPr>
              <w:pStyle w:val="116"/>
              <w:adjustRightInd w:val="0"/>
              <w:snapToGrid w:val="0"/>
              <w:spacing w:line="360" w:lineRule="auto"/>
              <w:jc w:val="center"/>
              <w:rPr>
                <w:rFonts w:hint="eastAsia"/>
                <w:color w:val="auto"/>
                <w:sz w:val="20"/>
                <w:szCs w:val="20"/>
                <w:highlight w:val="none"/>
              </w:rPr>
            </w:pPr>
            <w:r>
              <w:rPr>
                <w:color w:val="auto"/>
                <w:sz w:val="20"/>
                <w:szCs w:val="20"/>
                <w:highlight w:val="none"/>
              </w:rPr>
              <w:t>1</w:t>
            </w:r>
          </w:p>
        </w:tc>
        <w:tc>
          <w:tcPr>
            <w:tcW w:w="8607" w:type="dxa"/>
          </w:tcPr>
          <w:p w14:paraId="53DF3805">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将评标办法原文第1条“评标方法”改为“评标方法、组织及工作程序”，原文内容修改如下：</w:t>
            </w:r>
          </w:p>
          <w:p w14:paraId="445163AC">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1.评标方法、组织及工作程序</w:t>
            </w:r>
          </w:p>
          <w:p w14:paraId="6EEF704D">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1.1评标方法</w:t>
            </w:r>
          </w:p>
          <w:p w14:paraId="7A376CB6">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本次评标采用双信封的技术评分最低标价法。评标委员会对满足招标文件实质性要求的投标文件，按照本章第2.2款规定对通过初步评审的投标人的施工组织设计、主要人员、其他因素等进行评分，按照得分由高到低排序，对排名在招标文件规定数量前5名(不少于3名但不足5名时，按全部实际数量)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14:paraId="3C60DB14">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1.2评标组织</w:t>
            </w:r>
          </w:p>
          <w:p w14:paraId="08EADF44">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1.2.1协助工作组</w:t>
            </w:r>
          </w:p>
          <w:p w14:paraId="57FBD3E6">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招标人可在评标工作开始前成立协助工作组，选派熟悉招标工作、政治素质高的人员组成，协助评标委员会工作。协助工作组人员的具体数量由招标人视评标工作量确定。</w:t>
            </w:r>
          </w:p>
          <w:p w14:paraId="73686762">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招标人可以协助评标委员会开展下列工作并提供相关信息：</w:t>
            </w:r>
          </w:p>
          <w:p w14:paraId="4ADDA821">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(1)根据招标文件，编制评标使用的相应表格；</w:t>
            </w:r>
          </w:p>
          <w:p w14:paraId="3E1D5FB1">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(2)对投标报价进行算术性校核(如采用固化工程量清单，本步骤省略)；</w:t>
            </w:r>
          </w:p>
          <w:p w14:paraId="5F20928A">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(3)以评标标准和方法为依据，列出投标文件相对于招标文件的所有偏差，并进行归类汇总；</w:t>
            </w:r>
          </w:p>
          <w:p w14:paraId="4FF240EF">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(4)查询公路建设市场信用信息管理系统，对投标人的资质、业绩、主要人员资历和目前在岗情况、信用等级进行核实。</w:t>
            </w:r>
          </w:p>
          <w:p w14:paraId="49ED1C3F">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招标人不得对投标文件作出任何评价，不得故意遗漏或者片面摘录，不得在评标委员会对所有偏差定性之前透露存有偏差的投标人名称。</w:t>
            </w:r>
          </w:p>
          <w:p w14:paraId="7E626C4A">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1.2.2评标委员会</w:t>
            </w:r>
          </w:p>
          <w:p w14:paraId="1E8B4DF6">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评标委员会由招标人按国家、广东省等的有关规定依法组建。评标委员会的主要工作内容包括：</w:t>
            </w:r>
          </w:p>
          <w:p w14:paraId="694F278D">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(1)评标委员会开始评标工作之前，首先听取招标人、协助工作组关于工程情况和辅助工作的说明，并认真研读招标文件，获取评标所需的重要信息和数据；</w:t>
            </w:r>
          </w:p>
          <w:p w14:paraId="179EDA29">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(2)对协助工作组提供的评标工作用表和评标内容进行核查；</w:t>
            </w:r>
          </w:p>
          <w:p w14:paraId="5DEFE888">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(3)按照以下1.3款程序进行各项评审工作。</w:t>
            </w:r>
          </w:p>
          <w:p w14:paraId="0EBFFAEB">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1.3评审工作程序</w:t>
            </w:r>
          </w:p>
          <w:p w14:paraId="5088431E">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(一)第一个信封(商务及技术文件)：</w:t>
            </w:r>
          </w:p>
          <w:p w14:paraId="593CEABA">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l、初步评审：包括形式评审与响应性评审、资格评审(适用于未进行资格预审)；</w:t>
            </w:r>
          </w:p>
          <w:p w14:paraId="53D4A026">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2、详细评审(评审打分)：评标委员会首先对通过第一个信封初步评审的投标文件进行详细评审，对投标人的施工组织设计、主要人员、其他因素等分别评审打分，并按照综合得分由高到低排序，排名在招标文件规定数量前5名(不少于3名但不足5名的，按全部实际数量)的投标人，其投标文件第一个信封(商务及技术文件)通过详细评审。</w:t>
            </w:r>
          </w:p>
          <w:p w14:paraId="635DF918">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(二)第二个信封(报价文件)：</w:t>
            </w:r>
          </w:p>
          <w:p w14:paraId="411B8716">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1、初步评审：</w:t>
            </w:r>
          </w:p>
          <w:p w14:paraId="1F87ECED">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(1)只有对投标文件第一个信封通过详细评审的投标人的报价文件才能继续参加第二个信封报价文件的形式评审与响应性评审；</w:t>
            </w:r>
          </w:p>
          <w:p w14:paraId="38F2604D">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(2)报价算术性修正(如采用固化工程量清单，本步骤省略)。</w:t>
            </w:r>
          </w:p>
          <w:p w14:paraId="13174FB9">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2、详细评审：计算评标价。</w:t>
            </w:r>
          </w:p>
          <w:p w14:paraId="1CC10B52">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(三)投标文件相关信息的核查。</w:t>
            </w:r>
          </w:p>
          <w:p w14:paraId="749A5832">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(四)投标文件的澄清和说明(如有)。</w:t>
            </w:r>
          </w:p>
          <w:p w14:paraId="38D7EDAA">
            <w:pPr>
              <w:pStyle w:val="116"/>
              <w:adjustRightInd w:val="0"/>
              <w:snapToGrid w:val="0"/>
              <w:spacing w:line="312" w:lineRule="auto"/>
              <w:ind w:left="105" w:leftChars="50" w:right="105" w:rightChars="50" w:firstLine="420" w:firstLineChars="200"/>
              <w:rPr>
                <w:rFonts w:hint="eastAsia"/>
                <w:color w:val="auto"/>
                <w:spacing w:val="-52"/>
                <w:sz w:val="20"/>
                <w:szCs w:val="20"/>
                <w:highlight w:val="none"/>
              </w:rPr>
            </w:pPr>
            <w:r>
              <w:rPr>
                <w:rFonts w:hint="eastAsia"/>
                <w:color w:val="auto"/>
                <w:highlight w:val="none"/>
                <w:lang w:eastAsia="zh-CN" w:bidi="zh-CN"/>
              </w:rPr>
              <w:t>(五)按评标办法规定按照第二个信封的评标价由低到高的顺序推荐中标候选人，编写评标报告。</w:t>
            </w:r>
          </w:p>
        </w:tc>
      </w:tr>
      <w:tr w14:paraId="6CBDE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1142" w:type="dxa"/>
            <w:vAlign w:val="center"/>
          </w:tcPr>
          <w:p w14:paraId="61BEE0A5">
            <w:pPr>
              <w:pStyle w:val="116"/>
              <w:adjustRightInd w:val="0"/>
              <w:snapToGrid w:val="0"/>
              <w:spacing w:line="360" w:lineRule="auto"/>
              <w:jc w:val="center"/>
              <w:rPr>
                <w:rFonts w:hint="eastAsia"/>
                <w:color w:val="auto"/>
                <w:sz w:val="20"/>
                <w:szCs w:val="20"/>
                <w:highlight w:val="none"/>
              </w:rPr>
            </w:pPr>
            <w:r>
              <w:rPr>
                <w:color w:val="auto"/>
                <w:spacing w:val="2"/>
                <w:sz w:val="20"/>
                <w:szCs w:val="20"/>
                <w:highlight w:val="none"/>
              </w:rPr>
              <w:t>3.2.2</w:t>
            </w:r>
          </w:p>
        </w:tc>
        <w:tc>
          <w:tcPr>
            <w:tcW w:w="8607" w:type="dxa"/>
            <w:vAlign w:val="center"/>
          </w:tcPr>
          <w:p w14:paraId="0BFE6AD8">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将评标办法原文第 3.2.2 项修改如下：</w:t>
            </w:r>
          </w:p>
          <w:p w14:paraId="29CFC65B">
            <w:pPr>
              <w:tabs>
                <w:tab w:val="left" w:pos="1260"/>
              </w:tabs>
              <w:adjustRightInd w:val="0"/>
              <w:snapToGrid w:val="0"/>
              <w:spacing w:line="312" w:lineRule="auto"/>
              <w:ind w:left="105" w:leftChars="50" w:right="105" w:rightChars="50" w:firstLine="420" w:firstLineChars="200"/>
              <w:rPr>
                <w:color w:val="auto"/>
                <w:spacing w:val="8"/>
                <w:sz w:val="20"/>
                <w:szCs w:val="20"/>
                <w:highlight w:val="none"/>
              </w:rPr>
            </w:pPr>
            <w:r>
              <w:rPr>
                <w:rFonts w:hint="eastAsia" w:ascii="宋体" w:hAnsi="宋体" w:cs="宋体"/>
                <w:color w:val="auto"/>
                <w:szCs w:val="21"/>
                <w:highlight w:val="none"/>
                <w:lang w:bidi="zh-CN"/>
              </w:rPr>
              <w:t>投标人的商务和技术得分分值计算保留小数点后三位，小数点后第四位“ 四舍五入 ”。</w:t>
            </w:r>
          </w:p>
        </w:tc>
      </w:tr>
      <w:tr w14:paraId="2806D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jc w:val="center"/>
        </w:trPr>
        <w:tc>
          <w:tcPr>
            <w:tcW w:w="1142" w:type="dxa"/>
            <w:vAlign w:val="center"/>
          </w:tcPr>
          <w:p w14:paraId="1C690E74">
            <w:pPr>
              <w:pStyle w:val="116"/>
              <w:adjustRightInd w:val="0"/>
              <w:snapToGrid w:val="0"/>
              <w:spacing w:line="360" w:lineRule="auto"/>
              <w:jc w:val="center"/>
              <w:rPr>
                <w:rFonts w:hint="eastAsia"/>
                <w:color w:val="auto"/>
                <w:spacing w:val="2"/>
                <w:sz w:val="20"/>
                <w:szCs w:val="20"/>
                <w:highlight w:val="none"/>
              </w:rPr>
            </w:pPr>
            <w:r>
              <w:rPr>
                <w:color w:val="auto"/>
                <w:spacing w:val="2"/>
                <w:position w:val="-1"/>
                <w:sz w:val="20"/>
                <w:szCs w:val="20"/>
                <w:highlight w:val="none"/>
              </w:rPr>
              <w:t>3.2.3</w:t>
            </w:r>
          </w:p>
        </w:tc>
        <w:tc>
          <w:tcPr>
            <w:tcW w:w="8607" w:type="dxa"/>
          </w:tcPr>
          <w:p w14:paraId="0A9848A7">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将评标办法范本原文第3.2.3项细化如下：</w:t>
            </w:r>
          </w:p>
          <w:p w14:paraId="12285B3C">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投标人的商务和技术得分=A+B+C。</w:t>
            </w:r>
          </w:p>
          <w:p w14:paraId="2563643F">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除履约信誉、技术能力得分外，投标文件各评分因素细分项得分均不应低于其权重分的60%，评分低于权重分值60%的，评标委员会成员应当在评标报告中作出说明。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14:paraId="15541D3A">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取消其中1名评委所有评分的办法一(依次按照以下流程)：(1)对比上述出现技术评分总分差值最大值相等的评委的次大差值(次大差值＝某一评委技术评分总分的最高分－该评委技术评分总分的次低分)，取消次分差值最大的评委所有评分；(2)如次分差值仍相同，则按随机抽取的方式选定取消1名评委评分。</w:t>
            </w:r>
          </w:p>
          <w:p w14:paraId="36C7780D">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示例:同一评委对5名投标人技术评分总分分别为:6.65(最高分)、5.88、5.11、4.90(次低分)、4.55(最低分)，则其最大差值为2.1、次大差值为6.65-4.90=1.75)。</w:t>
            </w:r>
          </w:p>
        </w:tc>
      </w:tr>
      <w:tr w14:paraId="6FE0E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jc w:val="center"/>
        </w:trPr>
        <w:tc>
          <w:tcPr>
            <w:tcW w:w="1142" w:type="dxa"/>
            <w:vAlign w:val="center"/>
          </w:tcPr>
          <w:p w14:paraId="6FEF61D7">
            <w:pPr>
              <w:adjustRightInd w:val="0"/>
              <w:snapToGrid w:val="0"/>
              <w:spacing w:line="360" w:lineRule="auto"/>
              <w:jc w:val="center"/>
              <w:rPr>
                <w:color w:val="auto"/>
                <w:spacing w:val="2"/>
                <w:position w:val="-1"/>
                <w:sz w:val="20"/>
                <w:szCs w:val="20"/>
                <w:highlight w:val="none"/>
              </w:rPr>
            </w:pPr>
            <w:r>
              <w:rPr>
                <w:rFonts w:hint="eastAsia" w:ascii="宋体" w:hAnsi="宋体"/>
                <w:color w:val="auto"/>
                <w:szCs w:val="21"/>
                <w:highlight w:val="none"/>
              </w:rPr>
              <w:t>3.6</w:t>
            </w:r>
          </w:p>
        </w:tc>
        <w:tc>
          <w:tcPr>
            <w:tcW w:w="8607" w:type="dxa"/>
          </w:tcPr>
          <w:p w14:paraId="0BF691FA">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3.6.2项(2)目末增加以下条款：</w:t>
            </w:r>
          </w:p>
          <w:p w14:paraId="475FAED9">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g.当一家以上投标人评标价相同时，若各投标人工程量清单细目单价也相同，视为串标(一个标段仅一工作细目报价的除外)。</w:t>
            </w:r>
          </w:p>
          <w:p w14:paraId="6FFD1FDE">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h.广东省实施《中华人民共和国招标投标法》办法第十六条规定的情形。</w:t>
            </w:r>
          </w:p>
          <w:p w14:paraId="355B3659">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增加3.6.3项：</w:t>
            </w:r>
          </w:p>
          <w:p w14:paraId="3E3384CD">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0D619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jc w:val="center"/>
        </w:trPr>
        <w:tc>
          <w:tcPr>
            <w:tcW w:w="1142" w:type="dxa"/>
            <w:vAlign w:val="center"/>
          </w:tcPr>
          <w:p w14:paraId="54280CF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3.9</w:t>
            </w:r>
          </w:p>
        </w:tc>
        <w:tc>
          <w:tcPr>
            <w:tcW w:w="8607" w:type="dxa"/>
            <w:vAlign w:val="center"/>
          </w:tcPr>
          <w:p w14:paraId="4B0CBB6C">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增加3.9.3-3.9.6项：</w:t>
            </w:r>
          </w:p>
          <w:p w14:paraId="78555A2C">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3.9.3通过第一个信封商务及技术文件评审的投标人少于3个的，评标委员会应否决全部投标。</w:t>
            </w:r>
          </w:p>
          <w:p w14:paraId="09BE7F62">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3.9.4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3FB1C563">
            <w:pPr>
              <w:tabs>
                <w:tab w:val="left" w:pos="1260"/>
              </w:tabs>
              <w:adjustRightInd w:val="0"/>
              <w:snapToGrid w:val="0"/>
              <w:spacing w:line="312" w:lineRule="auto"/>
              <w:ind w:left="105" w:leftChars="50" w:right="105" w:rightChars="50"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3.9.5如果发生无法确定推荐中标候选人的其它意外情况，评标委员会可建议招标人重新招标。</w:t>
            </w:r>
          </w:p>
          <w:p w14:paraId="0DC8FDCC">
            <w:pPr>
              <w:tabs>
                <w:tab w:val="left" w:pos="1260"/>
              </w:tabs>
              <w:adjustRightInd w:val="0"/>
              <w:snapToGrid w:val="0"/>
              <w:spacing w:line="312" w:lineRule="auto"/>
              <w:ind w:left="105" w:leftChars="50" w:right="105" w:rightChars="50" w:firstLine="422" w:firstLineChars="200"/>
              <w:rPr>
                <w:rFonts w:hint="eastAsia" w:ascii="宋体" w:hAnsi="宋体" w:cs="宋体"/>
                <w:b/>
                <w:bCs/>
                <w:color w:val="auto"/>
                <w:szCs w:val="21"/>
                <w:highlight w:val="none"/>
                <w:lang w:bidi="zh-CN"/>
              </w:rPr>
            </w:pPr>
            <w:r>
              <w:rPr>
                <w:rFonts w:hint="eastAsia" w:ascii="宋体" w:hAnsi="宋体" w:cs="宋体"/>
                <w:b/>
                <w:bCs/>
                <w:color w:val="auto"/>
                <w:szCs w:val="21"/>
                <w:highlight w:val="none"/>
                <w:lang w:bidi="zh-CN"/>
              </w:rPr>
              <w:t>3.9.6本招标文件规定的否决投标条款包含在以下条款：</w:t>
            </w:r>
          </w:p>
          <w:p w14:paraId="0F6744D6">
            <w:pPr>
              <w:tabs>
                <w:tab w:val="left" w:pos="1260"/>
              </w:tabs>
              <w:adjustRightInd w:val="0"/>
              <w:snapToGrid w:val="0"/>
              <w:spacing w:line="312" w:lineRule="auto"/>
              <w:ind w:left="105" w:leftChars="50" w:right="105" w:rightChars="50" w:firstLine="422" w:firstLineChars="200"/>
              <w:rPr>
                <w:rFonts w:hint="eastAsia" w:ascii="宋体" w:hAnsi="宋体" w:cs="宋体"/>
                <w:b/>
                <w:bCs/>
                <w:color w:val="auto"/>
                <w:szCs w:val="21"/>
                <w:highlight w:val="none"/>
                <w:lang w:bidi="zh-CN"/>
              </w:rPr>
            </w:pPr>
            <w:r>
              <w:rPr>
                <w:rFonts w:hint="eastAsia" w:ascii="宋体" w:hAnsi="宋体" w:cs="宋体"/>
                <w:b/>
                <w:bCs/>
                <w:color w:val="auto"/>
                <w:szCs w:val="21"/>
                <w:highlight w:val="none"/>
                <w:lang w:bidi="zh-CN"/>
              </w:rPr>
              <w:t>(1)招标公告第3点投标人资格要求；</w:t>
            </w:r>
          </w:p>
          <w:p w14:paraId="43580D60">
            <w:pPr>
              <w:tabs>
                <w:tab w:val="left" w:pos="1260"/>
              </w:tabs>
              <w:adjustRightInd w:val="0"/>
              <w:snapToGrid w:val="0"/>
              <w:spacing w:line="312" w:lineRule="auto"/>
              <w:ind w:left="105" w:leftChars="50" w:right="105" w:rightChars="50" w:firstLine="422" w:firstLineChars="200"/>
              <w:rPr>
                <w:rFonts w:hint="eastAsia" w:ascii="宋体" w:hAnsi="宋体" w:cs="宋体"/>
                <w:b/>
                <w:bCs/>
                <w:color w:val="auto"/>
                <w:szCs w:val="21"/>
                <w:highlight w:val="none"/>
                <w:lang w:bidi="zh-CN"/>
              </w:rPr>
            </w:pPr>
            <w:r>
              <w:rPr>
                <w:rFonts w:hint="eastAsia" w:ascii="宋体" w:hAnsi="宋体" w:cs="宋体"/>
                <w:b/>
                <w:bCs/>
                <w:color w:val="auto"/>
                <w:szCs w:val="21"/>
                <w:highlight w:val="none"/>
                <w:lang w:bidi="zh-CN"/>
              </w:rPr>
              <w:t>(2)投标人须知1.4.3项、1.4.4项、1.4.5项、1.11.1项、1.12.2项、</w:t>
            </w:r>
            <w:r>
              <w:rPr>
                <w:rFonts w:hint="eastAsia" w:ascii="宋体" w:hAnsi="宋体" w:cs="宋体"/>
                <w:b/>
                <w:bCs/>
                <w:strike/>
                <w:color w:val="auto"/>
                <w:szCs w:val="21"/>
                <w:highlight w:val="none"/>
                <w:lang w:bidi="zh-CN"/>
              </w:rPr>
              <w:t>3.4.2项</w:t>
            </w:r>
            <w:r>
              <w:rPr>
                <w:rFonts w:hint="eastAsia" w:ascii="宋体" w:hAnsi="宋体" w:cs="宋体"/>
                <w:b/>
                <w:bCs/>
                <w:color w:val="auto"/>
                <w:szCs w:val="21"/>
                <w:highlight w:val="none"/>
                <w:lang w:bidi="zh-CN"/>
              </w:rPr>
              <w:t>、3.5.11项、3.6.1项；</w:t>
            </w:r>
          </w:p>
          <w:p w14:paraId="1815124C">
            <w:pPr>
              <w:tabs>
                <w:tab w:val="left" w:pos="1260"/>
              </w:tabs>
              <w:adjustRightInd w:val="0"/>
              <w:snapToGrid w:val="0"/>
              <w:spacing w:line="312" w:lineRule="auto"/>
              <w:ind w:left="105" w:leftChars="50" w:right="105" w:rightChars="50" w:firstLine="422" w:firstLineChars="200"/>
              <w:rPr>
                <w:rFonts w:hint="eastAsia" w:ascii="宋体" w:hAnsi="宋体" w:cs="宋体"/>
                <w:color w:val="auto"/>
                <w:szCs w:val="21"/>
                <w:highlight w:val="none"/>
                <w:lang w:bidi="zh-CN"/>
              </w:rPr>
            </w:pPr>
            <w:r>
              <w:rPr>
                <w:rFonts w:hint="eastAsia" w:ascii="宋体" w:hAnsi="宋体" w:cs="宋体"/>
                <w:b/>
                <w:bCs/>
                <w:color w:val="auto"/>
                <w:szCs w:val="21"/>
                <w:highlight w:val="none"/>
                <w:lang w:bidi="zh-CN"/>
              </w:rPr>
              <w:t>(3)本评标办法的否决条款。</w:t>
            </w:r>
          </w:p>
        </w:tc>
      </w:tr>
    </w:tbl>
    <w:p w14:paraId="0EDB5DAA">
      <w:pPr>
        <w:rPr>
          <w:b/>
          <w:bCs/>
          <w:color w:val="auto"/>
          <w:w w:val="95"/>
          <w:sz w:val="28"/>
          <w:szCs w:val="28"/>
          <w:highlight w:val="none"/>
        </w:rPr>
      </w:pPr>
      <w:r>
        <w:rPr>
          <w:b/>
          <w:bCs/>
          <w:color w:val="auto"/>
          <w:w w:val="95"/>
          <w:sz w:val="28"/>
          <w:szCs w:val="28"/>
          <w:highlight w:val="none"/>
        </w:rPr>
        <w:br w:type="page"/>
      </w:r>
    </w:p>
    <w:p w14:paraId="0A36837A">
      <w:pPr>
        <w:spacing w:before="70"/>
        <w:rPr>
          <w:b/>
          <w:bCs/>
          <w:color w:val="auto"/>
          <w:w w:val="95"/>
          <w:sz w:val="28"/>
          <w:szCs w:val="28"/>
          <w:highlight w:val="none"/>
        </w:rPr>
      </w:pPr>
    </w:p>
    <w:p w14:paraId="685E82C2">
      <w:pPr>
        <w:pStyle w:val="12"/>
        <w:numPr>
          <w:ilvl w:val="0"/>
          <w:numId w:val="0"/>
        </w:numPr>
        <w:spacing w:before="70"/>
        <w:jc w:val="center"/>
        <w:rPr>
          <w:b/>
          <w:bCs/>
          <w:color w:val="auto"/>
          <w:sz w:val="36"/>
          <w:szCs w:val="36"/>
          <w:highlight w:val="none"/>
        </w:rPr>
      </w:pPr>
      <w:r>
        <w:rPr>
          <w:rFonts w:ascii="Times New Roman" w:hAnsi="Times New Roman" w:eastAsia="宋体" w:cs="Times New Roman"/>
          <w:b/>
          <w:bCs/>
          <w:color w:val="auto"/>
          <w:kern w:val="2"/>
          <w:sz w:val="36"/>
          <w:szCs w:val="36"/>
          <w:lang w:val="en-US" w:eastAsia="zh-CN" w:bidi="ar-SA"/>
        </w:rPr>
        <w:t>第</w:t>
      </w:r>
      <w:r>
        <w:rPr>
          <w:rFonts w:hint="eastAsia" w:cs="Times New Roman"/>
          <w:b/>
          <w:bCs/>
          <w:color w:val="auto"/>
          <w:kern w:val="2"/>
          <w:sz w:val="36"/>
          <w:szCs w:val="36"/>
          <w:lang w:val="en-US" w:eastAsia="zh-CN" w:bidi="ar-SA"/>
        </w:rPr>
        <w:t>三</w:t>
      </w:r>
      <w:r>
        <w:rPr>
          <w:rFonts w:ascii="Times New Roman" w:hAnsi="Times New Roman" w:eastAsia="宋体" w:cs="Times New Roman"/>
          <w:b/>
          <w:bCs/>
          <w:color w:val="auto"/>
          <w:kern w:val="2"/>
          <w:sz w:val="36"/>
          <w:szCs w:val="36"/>
          <w:lang w:val="en-US" w:eastAsia="zh-CN" w:bidi="ar-SA"/>
        </w:rPr>
        <w:t>章</w:t>
      </w:r>
      <w:r>
        <w:rPr>
          <w:rFonts w:hint="eastAsia" w:cs="Times New Roman"/>
          <w:b/>
          <w:bCs/>
          <w:color w:val="auto"/>
          <w:kern w:val="2"/>
          <w:sz w:val="36"/>
          <w:szCs w:val="36"/>
          <w:lang w:val="en-US" w:eastAsia="zh-CN" w:bidi="ar-SA"/>
        </w:rPr>
        <w:t xml:space="preserve"> </w:t>
      </w:r>
      <w:r>
        <w:rPr>
          <w:b/>
          <w:bCs/>
          <w:color w:val="auto"/>
          <w:sz w:val="36"/>
          <w:szCs w:val="36"/>
          <w:highlight w:val="none"/>
        </w:rPr>
        <w:t>评标办法正文</w:t>
      </w:r>
    </w:p>
    <w:p w14:paraId="0CCB4976">
      <w:pPr>
        <w:pStyle w:val="12"/>
        <w:numPr>
          <w:ilvl w:val="255"/>
          <w:numId w:val="0"/>
        </w:numPr>
        <w:spacing w:before="70"/>
        <w:rPr>
          <w:rFonts w:hint="eastAsia" w:ascii="宋体" w:hAnsi="宋体" w:cs="宋体"/>
          <w:sz w:val="24"/>
        </w:rPr>
      </w:pPr>
      <w:r>
        <w:rPr>
          <w:b/>
          <w:bCs/>
          <w:color w:val="auto"/>
          <w:sz w:val="36"/>
          <w:szCs w:val="36"/>
          <w:highlight w:val="none"/>
        </w:rPr>
        <w:t>详见交通运输部《公路工程标准施工招标文件（2018年版）》</w:t>
      </w:r>
      <w:bookmarkEnd w:id="8"/>
      <w:bookmarkEnd w:id="9"/>
    </w:p>
    <w:sectPr>
      <w:footerReference r:id="rId5" w:type="first"/>
      <w:headerReference r:id="rId3" w:type="default"/>
      <w:footerReference r:id="rId4" w:type="default"/>
      <w:footnotePr>
        <w:numFmt w:val="decimalEnclosedCircleChinese"/>
      </w:footnotePr>
      <w:pgSz w:w="11906" w:h="16838"/>
      <w:pgMar w:top="1440" w:right="1080" w:bottom="1440" w:left="1080"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DDF2">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80D81">
                          <w:pPr>
                            <w:pStyle w:val="27"/>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4E80D81">
                    <w:pPr>
                      <w:pStyle w:val="27"/>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7616">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ln w="15875">
                        <a:noFill/>
                      </a:ln>
                      <a:effectLst/>
                    </wps:spPr>
                    <wps:txbx>
                      <w:txbxContent>
                        <w:p w14:paraId="4DC3D993">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59264;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mn&#10;LNYAAAAGAQAADwAAAAAAAAABACAAAAAiAAAAZHJzL2Rvd25yZXYueG1sUEsBAhQAFAAAAAgAh07i&#10;QG/Tg2nrAQAAyAMAAA4AAAAAAAAAAQAgAAAAJQEAAGRycy9lMm9Eb2MueG1sUEsFBgAAAAAGAAYA&#10;WQEAAIIFAAAAAA==&#10;">
              <v:fill on="f" focussize="0,0"/>
              <v:stroke on="f" weight="1.25pt"/>
              <v:imagedata o:title=""/>
              <o:lock v:ext="edit" aspectratio="f"/>
              <v:textbox inset="0mm,0mm,0mm,0mm" style="mso-fit-shape-to-text:t;">
                <w:txbxContent>
                  <w:p w14:paraId="4DC3D993">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E769">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4F9EA"/>
    <w:multiLevelType w:val="singleLevel"/>
    <w:tmpl w:val="D8D4F9EA"/>
    <w:lvl w:ilvl="0" w:tentative="0">
      <w:start w:val="3"/>
      <w:numFmt w:val="decimal"/>
      <w:suff w:val="nothing"/>
      <w:lvlText w:val="%1、"/>
      <w:lvlJc w:val="left"/>
      <w:pPr>
        <w:ind w:left="561" w:firstLine="0"/>
      </w:pPr>
    </w:lvl>
  </w:abstractNum>
  <w:abstractNum w:abstractNumId="1">
    <w:nsid w:val="E112654E"/>
    <w:multiLevelType w:val="singleLevel"/>
    <w:tmpl w:val="E112654E"/>
    <w:lvl w:ilvl="0" w:tentative="0">
      <w:start w:val="2"/>
      <w:numFmt w:val="decimal"/>
      <w:suff w:val="nothing"/>
      <w:lvlText w:val="%1、"/>
      <w:lvlJc w:val="left"/>
    </w:lvl>
  </w:abstractNum>
  <w:abstractNum w:abstractNumId="2">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suff w:val="space"/>
      <w:lvlText w:val="%2.%3.%4.%5"/>
      <w:lvlJc w:val="left"/>
      <w:pPr>
        <w:ind w:left="284" w:hanging="284"/>
      </w:pPr>
      <w:rPr>
        <w:rFonts w:hint="eastAsia" w:ascii="宋体" w:hAnsi="Times New Roman" w:eastAsia="宋体"/>
        <w:b/>
        <w:i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0E"/>
    <w:multiLevelType w:val="singleLevel"/>
    <w:tmpl w:val="0000000E"/>
    <w:lvl w:ilvl="0" w:tentative="0">
      <w:start w:val="1"/>
      <w:numFmt w:val="chineseCounting"/>
      <w:pStyle w:val="12"/>
      <w:suff w:val="space"/>
      <w:lvlText w:val="第%1章"/>
      <w:lvlJc w:val="left"/>
    </w:lvl>
  </w:abstractNum>
  <w:abstractNum w:abstractNumId="4">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70"/>
      <w:suff w:val="space"/>
      <w:lvlText w:val="%2."/>
      <w:lvlJc w:val="left"/>
      <w:pPr>
        <w:tabs>
          <w:tab w:val="left" w:pos="0"/>
        </w:tabs>
        <w:ind w:left="284" w:firstLine="0"/>
      </w:pPr>
      <w:rPr>
        <w:rFonts w:hint="eastAsia" w:ascii="宋体" w:hAnsi="宋体" w:eastAsia="宋体" w:cs="宋体"/>
      </w:rPr>
    </w:lvl>
    <w:lvl w:ilvl="2" w:tentative="0">
      <w:start w:val="1"/>
      <w:numFmt w:val="decimal"/>
      <w:pStyle w:val="72"/>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4059543"/>
    <w:multiLevelType w:val="singleLevel"/>
    <w:tmpl w:val="64059543"/>
    <w:lvl w:ilvl="0" w:tentative="0">
      <w:start w:val="2"/>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DA0OWEzM2U1YmU0YjNhNDFhZDA1YmI2Mzk1Zjk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25D8"/>
    <w:rsid w:val="00132CB8"/>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FDD"/>
    <w:rsid w:val="00187610"/>
    <w:rsid w:val="001879CA"/>
    <w:rsid w:val="001909A4"/>
    <w:rsid w:val="0019322A"/>
    <w:rsid w:val="001974D3"/>
    <w:rsid w:val="001A394B"/>
    <w:rsid w:val="001A3A5E"/>
    <w:rsid w:val="001A3D34"/>
    <w:rsid w:val="001A4C09"/>
    <w:rsid w:val="001A61EE"/>
    <w:rsid w:val="001A660B"/>
    <w:rsid w:val="001A719C"/>
    <w:rsid w:val="001A759D"/>
    <w:rsid w:val="001A7A90"/>
    <w:rsid w:val="001B251D"/>
    <w:rsid w:val="001B36A2"/>
    <w:rsid w:val="001B3C99"/>
    <w:rsid w:val="001B4536"/>
    <w:rsid w:val="001B5E91"/>
    <w:rsid w:val="001B60DF"/>
    <w:rsid w:val="001B6335"/>
    <w:rsid w:val="001C0F86"/>
    <w:rsid w:val="001C125D"/>
    <w:rsid w:val="001C1FD8"/>
    <w:rsid w:val="001C2B43"/>
    <w:rsid w:val="001C4492"/>
    <w:rsid w:val="001C469C"/>
    <w:rsid w:val="001C56A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B54"/>
    <w:rsid w:val="00261C61"/>
    <w:rsid w:val="00263185"/>
    <w:rsid w:val="00264463"/>
    <w:rsid w:val="002644DE"/>
    <w:rsid w:val="00264C42"/>
    <w:rsid w:val="00265CA3"/>
    <w:rsid w:val="002673CB"/>
    <w:rsid w:val="00267477"/>
    <w:rsid w:val="0027060C"/>
    <w:rsid w:val="0027155C"/>
    <w:rsid w:val="00271C1F"/>
    <w:rsid w:val="002722D4"/>
    <w:rsid w:val="002733E2"/>
    <w:rsid w:val="0027378E"/>
    <w:rsid w:val="00273FF6"/>
    <w:rsid w:val="00274DBC"/>
    <w:rsid w:val="0027538C"/>
    <w:rsid w:val="00275B21"/>
    <w:rsid w:val="002765C8"/>
    <w:rsid w:val="00280292"/>
    <w:rsid w:val="00280A1A"/>
    <w:rsid w:val="002835E8"/>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22E3"/>
    <w:rsid w:val="002F3C6E"/>
    <w:rsid w:val="002F4D33"/>
    <w:rsid w:val="002F59DC"/>
    <w:rsid w:val="002F5F37"/>
    <w:rsid w:val="002F6265"/>
    <w:rsid w:val="002F6BAE"/>
    <w:rsid w:val="002F6CB9"/>
    <w:rsid w:val="00300FCD"/>
    <w:rsid w:val="00301DF8"/>
    <w:rsid w:val="00302B90"/>
    <w:rsid w:val="003078D2"/>
    <w:rsid w:val="00310B31"/>
    <w:rsid w:val="0031351C"/>
    <w:rsid w:val="003217B4"/>
    <w:rsid w:val="00322B58"/>
    <w:rsid w:val="00323ED7"/>
    <w:rsid w:val="00330354"/>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E9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3BC5"/>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1CA3"/>
    <w:rsid w:val="0041219F"/>
    <w:rsid w:val="00412419"/>
    <w:rsid w:val="00412863"/>
    <w:rsid w:val="00412BF6"/>
    <w:rsid w:val="004130AC"/>
    <w:rsid w:val="00414B29"/>
    <w:rsid w:val="00414E9C"/>
    <w:rsid w:val="00417B46"/>
    <w:rsid w:val="004200FC"/>
    <w:rsid w:val="00421800"/>
    <w:rsid w:val="004234B6"/>
    <w:rsid w:val="004238F2"/>
    <w:rsid w:val="0042559D"/>
    <w:rsid w:val="00425A1B"/>
    <w:rsid w:val="00426534"/>
    <w:rsid w:val="004266E6"/>
    <w:rsid w:val="004277C9"/>
    <w:rsid w:val="00431036"/>
    <w:rsid w:val="00431514"/>
    <w:rsid w:val="00432115"/>
    <w:rsid w:val="00432A72"/>
    <w:rsid w:val="00433B5D"/>
    <w:rsid w:val="00434721"/>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67308"/>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5863"/>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2B01"/>
    <w:rsid w:val="0051363B"/>
    <w:rsid w:val="00514D2D"/>
    <w:rsid w:val="00515174"/>
    <w:rsid w:val="00515E93"/>
    <w:rsid w:val="00516166"/>
    <w:rsid w:val="00516FB3"/>
    <w:rsid w:val="00520558"/>
    <w:rsid w:val="00522FF6"/>
    <w:rsid w:val="0052438B"/>
    <w:rsid w:val="00530D3C"/>
    <w:rsid w:val="00535059"/>
    <w:rsid w:val="00535396"/>
    <w:rsid w:val="0053598F"/>
    <w:rsid w:val="00540158"/>
    <w:rsid w:val="00540A9A"/>
    <w:rsid w:val="00540EFC"/>
    <w:rsid w:val="00542733"/>
    <w:rsid w:val="00542BA4"/>
    <w:rsid w:val="00543769"/>
    <w:rsid w:val="00544A1E"/>
    <w:rsid w:val="005459C1"/>
    <w:rsid w:val="00545B57"/>
    <w:rsid w:val="00547C7C"/>
    <w:rsid w:val="005503FF"/>
    <w:rsid w:val="00550BC6"/>
    <w:rsid w:val="00551B71"/>
    <w:rsid w:val="00552046"/>
    <w:rsid w:val="0055797F"/>
    <w:rsid w:val="00557A13"/>
    <w:rsid w:val="005605A8"/>
    <w:rsid w:val="0056113F"/>
    <w:rsid w:val="0056506D"/>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B4B"/>
    <w:rsid w:val="005A0C43"/>
    <w:rsid w:val="005A21D5"/>
    <w:rsid w:val="005A5E88"/>
    <w:rsid w:val="005A66AB"/>
    <w:rsid w:val="005A7CC1"/>
    <w:rsid w:val="005B061E"/>
    <w:rsid w:val="005B0FCE"/>
    <w:rsid w:val="005B1A45"/>
    <w:rsid w:val="005C00C0"/>
    <w:rsid w:val="005C0BD1"/>
    <w:rsid w:val="005C1ED1"/>
    <w:rsid w:val="005C267C"/>
    <w:rsid w:val="005C4C29"/>
    <w:rsid w:val="005C5ECE"/>
    <w:rsid w:val="005C7DE6"/>
    <w:rsid w:val="005D03E0"/>
    <w:rsid w:val="005D22D3"/>
    <w:rsid w:val="005D3EE2"/>
    <w:rsid w:val="005D4A02"/>
    <w:rsid w:val="005D5A36"/>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14"/>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6B4F"/>
    <w:rsid w:val="006778DC"/>
    <w:rsid w:val="00677AFA"/>
    <w:rsid w:val="00680420"/>
    <w:rsid w:val="00681337"/>
    <w:rsid w:val="00684310"/>
    <w:rsid w:val="00684443"/>
    <w:rsid w:val="00687611"/>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375C"/>
    <w:rsid w:val="006A49D4"/>
    <w:rsid w:val="006A5A17"/>
    <w:rsid w:val="006A63C7"/>
    <w:rsid w:val="006A7567"/>
    <w:rsid w:val="006B1983"/>
    <w:rsid w:val="006B3231"/>
    <w:rsid w:val="006B3CC1"/>
    <w:rsid w:val="006B5073"/>
    <w:rsid w:val="006B765B"/>
    <w:rsid w:val="006B7C11"/>
    <w:rsid w:val="006C1F30"/>
    <w:rsid w:val="006C211D"/>
    <w:rsid w:val="006C27F0"/>
    <w:rsid w:val="006C33BD"/>
    <w:rsid w:val="006C38CF"/>
    <w:rsid w:val="006C41E0"/>
    <w:rsid w:val="006C5170"/>
    <w:rsid w:val="006C61AA"/>
    <w:rsid w:val="006D0506"/>
    <w:rsid w:val="006D1D93"/>
    <w:rsid w:val="006D3176"/>
    <w:rsid w:val="006D3190"/>
    <w:rsid w:val="006D4294"/>
    <w:rsid w:val="006D4C69"/>
    <w:rsid w:val="006D615D"/>
    <w:rsid w:val="006D6F3B"/>
    <w:rsid w:val="006E039C"/>
    <w:rsid w:val="006E1CF9"/>
    <w:rsid w:val="006E2117"/>
    <w:rsid w:val="006E275C"/>
    <w:rsid w:val="006E39C2"/>
    <w:rsid w:val="006E4070"/>
    <w:rsid w:val="006E6ECB"/>
    <w:rsid w:val="006E73A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073D5"/>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5BB9"/>
    <w:rsid w:val="00736A02"/>
    <w:rsid w:val="007462A0"/>
    <w:rsid w:val="00750139"/>
    <w:rsid w:val="00750A0E"/>
    <w:rsid w:val="00750F47"/>
    <w:rsid w:val="00751DD1"/>
    <w:rsid w:val="00753141"/>
    <w:rsid w:val="00753281"/>
    <w:rsid w:val="00753428"/>
    <w:rsid w:val="0075400B"/>
    <w:rsid w:val="007556C5"/>
    <w:rsid w:val="00755F3D"/>
    <w:rsid w:val="00757662"/>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1692"/>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6CB"/>
    <w:rsid w:val="007E1D6B"/>
    <w:rsid w:val="007E2C2F"/>
    <w:rsid w:val="007E352C"/>
    <w:rsid w:val="007E4575"/>
    <w:rsid w:val="007E4C49"/>
    <w:rsid w:val="007E531C"/>
    <w:rsid w:val="007E552D"/>
    <w:rsid w:val="007E717E"/>
    <w:rsid w:val="007F25AD"/>
    <w:rsid w:val="007F273E"/>
    <w:rsid w:val="007F281B"/>
    <w:rsid w:val="007F3D51"/>
    <w:rsid w:val="007F721F"/>
    <w:rsid w:val="007F7DE3"/>
    <w:rsid w:val="00800450"/>
    <w:rsid w:val="008007AC"/>
    <w:rsid w:val="00800B79"/>
    <w:rsid w:val="008011C7"/>
    <w:rsid w:val="00802062"/>
    <w:rsid w:val="0080250D"/>
    <w:rsid w:val="0080289D"/>
    <w:rsid w:val="0080386D"/>
    <w:rsid w:val="00804171"/>
    <w:rsid w:val="00805410"/>
    <w:rsid w:val="00806FA2"/>
    <w:rsid w:val="008077A9"/>
    <w:rsid w:val="008078FE"/>
    <w:rsid w:val="00810210"/>
    <w:rsid w:val="0081055C"/>
    <w:rsid w:val="00810B6D"/>
    <w:rsid w:val="008120FF"/>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6F2D"/>
    <w:rsid w:val="008A7196"/>
    <w:rsid w:val="008B4239"/>
    <w:rsid w:val="008B4A37"/>
    <w:rsid w:val="008B5983"/>
    <w:rsid w:val="008B5C0D"/>
    <w:rsid w:val="008B7636"/>
    <w:rsid w:val="008B7DD4"/>
    <w:rsid w:val="008C1A07"/>
    <w:rsid w:val="008C1D06"/>
    <w:rsid w:val="008C4005"/>
    <w:rsid w:val="008C49C5"/>
    <w:rsid w:val="008C4B35"/>
    <w:rsid w:val="008D0CDA"/>
    <w:rsid w:val="008D40E9"/>
    <w:rsid w:val="008D558B"/>
    <w:rsid w:val="008E151C"/>
    <w:rsid w:val="008E2307"/>
    <w:rsid w:val="008E63E0"/>
    <w:rsid w:val="008E713C"/>
    <w:rsid w:val="008F0F30"/>
    <w:rsid w:val="008F2563"/>
    <w:rsid w:val="008F2A1E"/>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69A2"/>
    <w:rsid w:val="0092732B"/>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1B60"/>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17AB"/>
    <w:rsid w:val="0099375B"/>
    <w:rsid w:val="0099390E"/>
    <w:rsid w:val="00997785"/>
    <w:rsid w:val="009A085C"/>
    <w:rsid w:val="009A32FB"/>
    <w:rsid w:val="009A3693"/>
    <w:rsid w:val="009A5448"/>
    <w:rsid w:val="009A7230"/>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1C"/>
    <w:rsid w:val="009E0426"/>
    <w:rsid w:val="009E1403"/>
    <w:rsid w:val="009E199B"/>
    <w:rsid w:val="009E4B5D"/>
    <w:rsid w:val="009E5840"/>
    <w:rsid w:val="009E6C54"/>
    <w:rsid w:val="009E70B3"/>
    <w:rsid w:val="009F1535"/>
    <w:rsid w:val="009F1BE2"/>
    <w:rsid w:val="009F4147"/>
    <w:rsid w:val="009F5E0F"/>
    <w:rsid w:val="009F648C"/>
    <w:rsid w:val="009F742D"/>
    <w:rsid w:val="00A0283E"/>
    <w:rsid w:val="00A032FC"/>
    <w:rsid w:val="00A05297"/>
    <w:rsid w:val="00A053DE"/>
    <w:rsid w:val="00A06B02"/>
    <w:rsid w:val="00A10443"/>
    <w:rsid w:val="00A12C3E"/>
    <w:rsid w:val="00A12CEC"/>
    <w:rsid w:val="00A13163"/>
    <w:rsid w:val="00A139AB"/>
    <w:rsid w:val="00A13C26"/>
    <w:rsid w:val="00A146C4"/>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4FF9"/>
    <w:rsid w:val="00A9648B"/>
    <w:rsid w:val="00A97092"/>
    <w:rsid w:val="00A97914"/>
    <w:rsid w:val="00AA0550"/>
    <w:rsid w:val="00AA1CD4"/>
    <w:rsid w:val="00AA24BF"/>
    <w:rsid w:val="00AA2693"/>
    <w:rsid w:val="00AA3EAE"/>
    <w:rsid w:val="00AA4520"/>
    <w:rsid w:val="00AA4609"/>
    <w:rsid w:val="00AA74AB"/>
    <w:rsid w:val="00AA7FA7"/>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289F"/>
    <w:rsid w:val="00AD361F"/>
    <w:rsid w:val="00AD40F0"/>
    <w:rsid w:val="00AD422A"/>
    <w:rsid w:val="00AD45CE"/>
    <w:rsid w:val="00AD4AF7"/>
    <w:rsid w:val="00AE0070"/>
    <w:rsid w:val="00AE1103"/>
    <w:rsid w:val="00AE15E8"/>
    <w:rsid w:val="00AE1886"/>
    <w:rsid w:val="00AE3B99"/>
    <w:rsid w:val="00AE3C32"/>
    <w:rsid w:val="00AE5044"/>
    <w:rsid w:val="00AE635A"/>
    <w:rsid w:val="00AF3FAC"/>
    <w:rsid w:val="00AF4ED3"/>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3FA6"/>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770"/>
    <w:rsid w:val="00BB78B2"/>
    <w:rsid w:val="00BB7D57"/>
    <w:rsid w:val="00BC056C"/>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3E90"/>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5C14"/>
    <w:rsid w:val="00C177D3"/>
    <w:rsid w:val="00C1788E"/>
    <w:rsid w:val="00C20188"/>
    <w:rsid w:val="00C206F8"/>
    <w:rsid w:val="00C21960"/>
    <w:rsid w:val="00C2260B"/>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A01"/>
    <w:rsid w:val="00C55D0C"/>
    <w:rsid w:val="00C61969"/>
    <w:rsid w:val="00C62A47"/>
    <w:rsid w:val="00C63087"/>
    <w:rsid w:val="00C634DC"/>
    <w:rsid w:val="00C64595"/>
    <w:rsid w:val="00C6494E"/>
    <w:rsid w:val="00C64A0F"/>
    <w:rsid w:val="00C65EB1"/>
    <w:rsid w:val="00C664D9"/>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47F5"/>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390E"/>
    <w:rsid w:val="00D74876"/>
    <w:rsid w:val="00D75471"/>
    <w:rsid w:val="00D75D57"/>
    <w:rsid w:val="00D764A2"/>
    <w:rsid w:val="00D76A0B"/>
    <w:rsid w:val="00D7795E"/>
    <w:rsid w:val="00D82A36"/>
    <w:rsid w:val="00D9032B"/>
    <w:rsid w:val="00D90456"/>
    <w:rsid w:val="00D90771"/>
    <w:rsid w:val="00D90D89"/>
    <w:rsid w:val="00D90F55"/>
    <w:rsid w:val="00D91855"/>
    <w:rsid w:val="00D9296E"/>
    <w:rsid w:val="00D94280"/>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17FA5"/>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07"/>
    <w:rsid w:val="00E90BB7"/>
    <w:rsid w:val="00E92CF3"/>
    <w:rsid w:val="00E9342A"/>
    <w:rsid w:val="00E94075"/>
    <w:rsid w:val="00E94A0E"/>
    <w:rsid w:val="00E95835"/>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C7BBA"/>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37B"/>
    <w:rsid w:val="00F1551F"/>
    <w:rsid w:val="00F20B73"/>
    <w:rsid w:val="00F20CBD"/>
    <w:rsid w:val="00F21308"/>
    <w:rsid w:val="00F217C0"/>
    <w:rsid w:val="00F21A54"/>
    <w:rsid w:val="00F22291"/>
    <w:rsid w:val="00F2240F"/>
    <w:rsid w:val="00F2316B"/>
    <w:rsid w:val="00F25500"/>
    <w:rsid w:val="00F26399"/>
    <w:rsid w:val="00F268B6"/>
    <w:rsid w:val="00F26F49"/>
    <w:rsid w:val="00F274AA"/>
    <w:rsid w:val="00F27C49"/>
    <w:rsid w:val="00F30931"/>
    <w:rsid w:val="00F31E80"/>
    <w:rsid w:val="00F32D94"/>
    <w:rsid w:val="00F331C8"/>
    <w:rsid w:val="00F3446B"/>
    <w:rsid w:val="00F3557A"/>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09D5"/>
    <w:rsid w:val="00FA1242"/>
    <w:rsid w:val="00FA2303"/>
    <w:rsid w:val="00FA3F98"/>
    <w:rsid w:val="00FA4E63"/>
    <w:rsid w:val="00FA548C"/>
    <w:rsid w:val="00FA5B6C"/>
    <w:rsid w:val="00FA6E76"/>
    <w:rsid w:val="00FA7479"/>
    <w:rsid w:val="00FB02B6"/>
    <w:rsid w:val="00FB23E4"/>
    <w:rsid w:val="00FB3BB2"/>
    <w:rsid w:val="00FB62F5"/>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5FA7"/>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0D7DD7"/>
    <w:rsid w:val="01126A09"/>
    <w:rsid w:val="011428D2"/>
    <w:rsid w:val="011557B2"/>
    <w:rsid w:val="011729C2"/>
    <w:rsid w:val="01272A80"/>
    <w:rsid w:val="0138518F"/>
    <w:rsid w:val="014B2063"/>
    <w:rsid w:val="01626374"/>
    <w:rsid w:val="018210DA"/>
    <w:rsid w:val="018A58CB"/>
    <w:rsid w:val="019B3634"/>
    <w:rsid w:val="019E081A"/>
    <w:rsid w:val="01A6243B"/>
    <w:rsid w:val="01A975FA"/>
    <w:rsid w:val="01B17AD3"/>
    <w:rsid w:val="01B36A06"/>
    <w:rsid w:val="01B91D0C"/>
    <w:rsid w:val="01CD4796"/>
    <w:rsid w:val="01D17993"/>
    <w:rsid w:val="01D6466C"/>
    <w:rsid w:val="01EA0118"/>
    <w:rsid w:val="01FB2325"/>
    <w:rsid w:val="01FD42EF"/>
    <w:rsid w:val="01FF1E15"/>
    <w:rsid w:val="01FF3414"/>
    <w:rsid w:val="02025461"/>
    <w:rsid w:val="020B4B2E"/>
    <w:rsid w:val="02203B3A"/>
    <w:rsid w:val="02276623"/>
    <w:rsid w:val="02305C5A"/>
    <w:rsid w:val="023A275E"/>
    <w:rsid w:val="024834EF"/>
    <w:rsid w:val="024C396F"/>
    <w:rsid w:val="024F1E56"/>
    <w:rsid w:val="02552565"/>
    <w:rsid w:val="025D4D8E"/>
    <w:rsid w:val="02714272"/>
    <w:rsid w:val="028A3101"/>
    <w:rsid w:val="02B00FDF"/>
    <w:rsid w:val="02B2121B"/>
    <w:rsid w:val="02E32BEB"/>
    <w:rsid w:val="02E806FA"/>
    <w:rsid w:val="02EC325F"/>
    <w:rsid w:val="02EE5F03"/>
    <w:rsid w:val="02F17FDC"/>
    <w:rsid w:val="02FE031F"/>
    <w:rsid w:val="030435CA"/>
    <w:rsid w:val="03082CE7"/>
    <w:rsid w:val="031156F8"/>
    <w:rsid w:val="031F6D59"/>
    <w:rsid w:val="032338E1"/>
    <w:rsid w:val="032731BA"/>
    <w:rsid w:val="034003D5"/>
    <w:rsid w:val="034512CF"/>
    <w:rsid w:val="034A3564"/>
    <w:rsid w:val="034B4BE6"/>
    <w:rsid w:val="03545598"/>
    <w:rsid w:val="0369718D"/>
    <w:rsid w:val="036D416B"/>
    <w:rsid w:val="036E7F6D"/>
    <w:rsid w:val="03766107"/>
    <w:rsid w:val="037800D1"/>
    <w:rsid w:val="037B07B2"/>
    <w:rsid w:val="037E6D6A"/>
    <w:rsid w:val="039C6BC9"/>
    <w:rsid w:val="03A91F09"/>
    <w:rsid w:val="03AE0DBB"/>
    <w:rsid w:val="03C42215"/>
    <w:rsid w:val="03D06AB2"/>
    <w:rsid w:val="03E43EA8"/>
    <w:rsid w:val="03F238EF"/>
    <w:rsid w:val="03F24DC6"/>
    <w:rsid w:val="03F509F2"/>
    <w:rsid w:val="03FE70CA"/>
    <w:rsid w:val="04051E5E"/>
    <w:rsid w:val="04082AD7"/>
    <w:rsid w:val="040D2EE7"/>
    <w:rsid w:val="04363EEC"/>
    <w:rsid w:val="04390B08"/>
    <w:rsid w:val="044D0E2E"/>
    <w:rsid w:val="04695C6C"/>
    <w:rsid w:val="047D1717"/>
    <w:rsid w:val="048148EC"/>
    <w:rsid w:val="0495114C"/>
    <w:rsid w:val="04A6649B"/>
    <w:rsid w:val="04B564EB"/>
    <w:rsid w:val="04C17655"/>
    <w:rsid w:val="04C532BF"/>
    <w:rsid w:val="04D10807"/>
    <w:rsid w:val="04D1088D"/>
    <w:rsid w:val="04D8694E"/>
    <w:rsid w:val="04D93F64"/>
    <w:rsid w:val="04E04D8A"/>
    <w:rsid w:val="04E561AF"/>
    <w:rsid w:val="04E968FD"/>
    <w:rsid w:val="04ED064B"/>
    <w:rsid w:val="050B287F"/>
    <w:rsid w:val="05103C33"/>
    <w:rsid w:val="05120DCD"/>
    <w:rsid w:val="051D27AC"/>
    <w:rsid w:val="051F457C"/>
    <w:rsid w:val="05216546"/>
    <w:rsid w:val="052727D2"/>
    <w:rsid w:val="053955AF"/>
    <w:rsid w:val="0541626C"/>
    <w:rsid w:val="05512F6C"/>
    <w:rsid w:val="056702C8"/>
    <w:rsid w:val="056F2E0E"/>
    <w:rsid w:val="057523EE"/>
    <w:rsid w:val="057D43FA"/>
    <w:rsid w:val="058D2943"/>
    <w:rsid w:val="059102CD"/>
    <w:rsid w:val="059451B2"/>
    <w:rsid w:val="05946D18"/>
    <w:rsid w:val="059E6D9A"/>
    <w:rsid w:val="05B06E5E"/>
    <w:rsid w:val="05C15431"/>
    <w:rsid w:val="05CF55BC"/>
    <w:rsid w:val="05F57FEF"/>
    <w:rsid w:val="06024233"/>
    <w:rsid w:val="060F2573"/>
    <w:rsid w:val="0619721E"/>
    <w:rsid w:val="06382080"/>
    <w:rsid w:val="063858F6"/>
    <w:rsid w:val="066E7569"/>
    <w:rsid w:val="06856661"/>
    <w:rsid w:val="06861D91"/>
    <w:rsid w:val="069A22C5"/>
    <w:rsid w:val="06A21D17"/>
    <w:rsid w:val="06A719C5"/>
    <w:rsid w:val="06A765D7"/>
    <w:rsid w:val="06B17456"/>
    <w:rsid w:val="06B32B01"/>
    <w:rsid w:val="06B45C87"/>
    <w:rsid w:val="06B73083"/>
    <w:rsid w:val="06BA469C"/>
    <w:rsid w:val="06C059F0"/>
    <w:rsid w:val="06C4642D"/>
    <w:rsid w:val="06CA5A71"/>
    <w:rsid w:val="06D84272"/>
    <w:rsid w:val="06DA3CF9"/>
    <w:rsid w:val="06E710CA"/>
    <w:rsid w:val="06EB6E0C"/>
    <w:rsid w:val="06F53549"/>
    <w:rsid w:val="06F807E9"/>
    <w:rsid w:val="06FB1C97"/>
    <w:rsid w:val="070C28DE"/>
    <w:rsid w:val="07280E5C"/>
    <w:rsid w:val="073C31C4"/>
    <w:rsid w:val="07456322"/>
    <w:rsid w:val="07487DBA"/>
    <w:rsid w:val="076170CE"/>
    <w:rsid w:val="07891F7A"/>
    <w:rsid w:val="07907A6C"/>
    <w:rsid w:val="07923111"/>
    <w:rsid w:val="079408E9"/>
    <w:rsid w:val="079C1EB4"/>
    <w:rsid w:val="07A1571D"/>
    <w:rsid w:val="07BD5C46"/>
    <w:rsid w:val="07CD3169"/>
    <w:rsid w:val="07D24151"/>
    <w:rsid w:val="07E73546"/>
    <w:rsid w:val="07EB22D1"/>
    <w:rsid w:val="07F05125"/>
    <w:rsid w:val="08003304"/>
    <w:rsid w:val="080658E6"/>
    <w:rsid w:val="08067789"/>
    <w:rsid w:val="081163FE"/>
    <w:rsid w:val="0825330C"/>
    <w:rsid w:val="084A1F11"/>
    <w:rsid w:val="084E4E5E"/>
    <w:rsid w:val="084F33CB"/>
    <w:rsid w:val="08500CCB"/>
    <w:rsid w:val="08563EF9"/>
    <w:rsid w:val="08585DDB"/>
    <w:rsid w:val="085C4738"/>
    <w:rsid w:val="086B2D25"/>
    <w:rsid w:val="0882554E"/>
    <w:rsid w:val="089C6650"/>
    <w:rsid w:val="089E3E17"/>
    <w:rsid w:val="08BD20E2"/>
    <w:rsid w:val="08C173D5"/>
    <w:rsid w:val="08F23686"/>
    <w:rsid w:val="08F56451"/>
    <w:rsid w:val="08FA2F86"/>
    <w:rsid w:val="08FC6C67"/>
    <w:rsid w:val="090175E7"/>
    <w:rsid w:val="090436C1"/>
    <w:rsid w:val="09047D11"/>
    <w:rsid w:val="090B7225"/>
    <w:rsid w:val="09166F09"/>
    <w:rsid w:val="09176653"/>
    <w:rsid w:val="092C1016"/>
    <w:rsid w:val="093449A2"/>
    <w:rsid w:val="09493552"/>
    <w:rsid w:val="094A4E24"/>
    <w:rsid w:val="094A5C8C"/>
    <w:rsid w:val="094C4A0E"/>
    <w:rsid w:val="095A5B83"/>
    <w:rsid w:val="0965293E"/>
    <w:rsid w:val="09664E6D"/>
    <w:rsid w:val="09776735"/>
    <w:rsid w:val="09787818"/>
    <w:rsid w:val="097C1E98"/>
    <w:rsid w:val="098340CC"/>
    <w:rsid w:val="0989722B"/>
    <w:rsid w:val="099B68C7"/>
    <w:rsid w:val="09B023D6"/>
    <w:rsid w:val="09B02E2E"/>
    <w:rsid w:val="09B763F1"/>
    <w:rsid w:val="09BF66C0"/>
    <w:rsid w:val="09CA7929"/>
    <w:rsid w:val="09D136C7"/>
    <w:rsid w:val="09DB46F3"/>
    <w:rsid w:val="09DF5ED2"/>
    <w:rsid w:val="09E1272E"/>
    <w:rsid w:val="09F91840"/>
    <w:rsid w:val="0A002BCE"/>
    <w:rsid w:val="0A085E4A"/>
    <w:rsid w:val="0A0F18B5"/>
    <w:rsid w:val="0A111F7C"/>
    <w:rsid w:val="0A1C1A19"/>
    <w:rsid w:val="0A344626"/>
    <w:rsid w:val="0A481C84"/>
    <w:rsid w:val="0A4843DF"/>
    <w:rsid w:val="0A56119C"/>
    <w:rsid w:val="0A6A1286"/>
    <w:rsid w:val="0A7361E8"/>
    <w:rsid w:val="0A7553ED"/>
    <w:rsid w:val="0A8A7BC6"/>
    <w:rsid w:val="0A8E519B"/>
    <w:rsid w:val="0A911A78"/>
    <w:rsid w:val="0A917D7D"/>
    <w:rsid w:val="0A951569"/>
    <w:rsid w:val="0A957D67"/>
    <w:rsid w:val="0AA35975"/>
    <w:rsid w:val="0AA96BA7"/>
    <w:rsid w:val="0AB13EC9"/>
    <w:rsid w:val="0AB25522"/>
    <w:rsid w:val="0AC91212"/>
    <w:rsid w:val="0ACC4688"/>
    <w:rsid w:val="0AD52896"/>
    <w:rsid w:val="0AD61B81"/>
    <w:rsid w:val="0ADC1380"/>
    <w:rsid w:val="0AE47E42"/>
    <w:rsid w:val="0AEE4495"/>
    <w:rsid w:val="0AF866A2"/>
    <w:rsid w:val="0B0F2344"/>
    <w:rsid w:val="0B1732BF"/>
    <w:rsid w:val="0B262E7E"/>
    <w:rsid w:val="0B317342"/>
    <w:rsid w:val="0B321B7D"/>
    <w:rsid w:val="0B422D73"/>
    <w:rsid w:val="0B542BA5"/>
    <w:rsid w:val="0B60746C"/>
    <w:rsid w:val="0B666A61"/>
    <w:rsid w:val="0B772A1C"/>
    <w:rsid w:val="0B7F63DF"/>
    <w:rsid w:val="0B8E420A"/>
    <w:rsid w:val="0B8E5FB8"/>
    <w:rsid w:val="0B911FE2"/>
    <w:rsid w:val="0BA8453D"/>
    <w:rsid w:val="0BA94BA0"/>
    <w:rsid w:val="0BAF665A"/>
    <w:rsid w:val="0BB7550F"/>
    <w:rsid w:val="0BC31119"/>
    <w:rsid w:val="0BC814CA"/>
    <w:rsid w:val="0BC93881"/>
    <w:rsid w:val="0BDB4C3A"/>
    <w:rsid w:val="0BDC3B36"/>
    <w:rsid w:val="0BE502CE"/>
    <w:rsid w:val="0BE5635A"/>
    <w:rsid w:val="0BEA58E4"/>
    <w:rsid w:val="0C024517"/>
    <w:rsid w:val="0C0C564E"/>
    <w:rsid w:val="0C0F534B"/>
    <w:rsid w:val="0C115D6F"/>
    <w:rsid w:val="0C121766"/>
    <w:rsid w:val="0C1650FD"/>
    <w:rsid w:val="0C16688B"/>
    <w:rsid w:val="0C1B3CF0"/>
    <w:rsid w:val="0C1F3FC7"/>
    <w:rsid w:val="0C232BA4"/>
    <w:rsid w:val="0C34090D"/>
    <w:rsid w:val="0C3D753B"/>
    <w:rsid w:val="0C5C2458"/>
    <w:rsid w:val="0C7D772A"/>
    <w:rsid w:val="0C803008"/>
    <w:rsid w:val="0C8542F1"/>
    <w:rsid w:val="0C88211D"/>
    <w:rsid w:val="0CD21ED4"/>
    <w:rsid w:val="0CDD0FA5"/>
    <w:rsid w:val="0CE75980"/>
    <w:rsid w:val="0CEB4D54"/>
    <w:rsid w:val="0CF32576"/>
    <w:rsid w:val="0CF41FDB"/>
    <w:rsid w:val="0CF9617A"/>
    <w:rsid w:val="0D1129FD"/>
    <w:rsid w:val="0D130277"/>
    <w:rsid w:val="0D15073F"/>
    <w:rsid w:val="0D2B0A9A"/>
    <w:rsid w:val="0D335069"/>
    <w:rsid w:val="0D47792E"/>
    <w:rsid w:val="0D4F3536"/>
    <w:rsid w:val="0D535138"/>
    <w:rsid w:val="0D701E19"/>
    <w:rsid w:val="0D795F58"/>
    <w:rsid w:val="0D7A5BE2"/>
    <w:rsid w:val="0D821B4C"/>
    <w:rsid w:val="0D867729"/>
    <w:rsid w:val="0D97603C"/>
    <w:rsid w:val="0DA75B8A"/>
    <w:rsid w:val="0DA87805"/>
    <w:rsid w:val="0DAD6BC9"/>
    <w:rsid w:val="0DAE649D"/>
    <w:rsid w:val="0DB02C93"/>
    <w:rsid w:val="0DB65261"/>
    <w:rsid w:val="0DBC0E93"/>
    <w:rsid w:val="0DC2502E"/>
    <w:rsid w:val="0DC33667"/>
    <w:rsid w:val="0DE85E53"/>
    <w:rsid w:val="0DED416A"/>
    <w:rsid w:val="0E030797"/>
    <w:rsid w:val="0E3C7F4D"/>
    <w:rsid w:val="0E437538"/>
    <w:rsid w:val="0E5911AE"/>
    <w:rsid w:val="0E62057A"/>
    <w:rsid w:val="0E715E49"/>
    <w:rsid w:val="0E763D1A"/>
    <w:rsid w:val="0E7B2823"/>
    <w:rsid w:val="0E9665F4"/>
    <w:rsid w:val="0E966D0C"/>
    <w:rsid w:val="0EAA4EB7"/>
    <w:rsid w:val="0EB0554D"/>
    <w:rsid w:val="0EB126E9"/>
    <w:rsid w:val="0EBE4486"/>
    <w:rsid w:val="0EC31D58"/>
    <w:rsid w:val="0EC47E38"/>
    <w:rsid w:val="0ECC12D1"/>
    <w:rsid w:val="0EDB1514"/>
    <w:rsid w:val="0EE02FCE"/>
    <w:rsid w:val="0EEC0897"/>
    <w:rsid w:val="0EF03085"/>
    <w:rsid w:val="0EF16F8A"/>
    <w:rsid w:val="0F0E792B"/>
    <w:rsid w:val="0F144A26"/>
    <w:rsid w:val="0F205179"/>
    <w:rsid w:val="0F276507"/>
    <w:rsid w:val="0F2B0C29"/>
    <w:rsid w:val="0F365AF8"/>
    <w:rsid w:val="0F447CBE"/>
    <w:rsid w:val="0F4C2412"/>
    <w:rsid w:val="0F64150A"/>
    <w:rsid w:val="0F652341"/>
    <w:rsid w:val="0F78713B"/>
    <w:rsid w:val="0F8926C1"/>
    <w:rsid w:val="0F895414"/>
    <w:rsid w:val="0F916077"/>
    <w:rsid w:val="0F9E75F8"/>
    <w:rsid w:val="0FA83AEC"/>
    <w:rsid w:val="0FB87AA7"/>
    <w:rsid w:val="0FBA737B"/>
    <w:rsid w:val="0FC11AFA"/>
    <w:rsid w:val="0FC510C5"/>
    <w:rsid w:val="0FC770AD"/>
    <w:rsid w:val="0FC87FB8"/>
    <w:rsid w:val="0FD540C6"/>
    <w:rsid w:val="0FDC721A"/>
    <w:rsid w:val="0FEA7C9C"/>
    <w:rsid w:val="0FFA025E"/>
    <w:rsid w:val="10060813"/>
    <w:rsid w:val="10061EB8"/>
    <w:rsid w:val="101E19B6"/>
    <w:rsid w:val="10216CFF"/>
    <w:rsid w:val="102559E9"/>
    <w:rsid w:val="10256796"/>
    <w:rsid w:val="10287496"/>
    <w:rsid w:val="102B0279"/>
    <w:rsid w:val="103C1EC8"/>
    <w:rsid w:val="10534F50"/>
    <w:rsid w:val="105855AB"/>
    <w:rsid w:val="105E1A3D"/>
    <w:rsid w:val="10637472"/>
    <w:rsid w:val="10731E18"/>
    <w:rsid w:val="107446C0"/>
    <w:rsid w:val="1086368C"/>
    <w:rsid w:val="108F405E"/>
    <w:rsid w:val="109D078F"/>
    <w:rsid w:val="109E7852"/>
    <w:rsid w:val="10A8365F"/>
    <w:rsid w:val="10B4201D"/>
    <w:rsid w:val="10B73B84"/>
    <w:rsid w:val="10C8073D"/>
    <w:rsid w:val="10C82F4E"/>
    <w:rsid w:val="10CF4A53"/>
    <w:rsid w:val="10D0776E"/>
    <w:rsid w:val="10D4446D"/>
    <w:rsid w:val="10D95F27"/>
    <w:rsid w:val="10EF0108"/>
    <w:rsid w:val="10EF56FD"/>
    <w:rsid w:val="10F62635"/>
    <w:rsid w:val="10F74FC2"/>
    <w:rsid w:val="10F844D1"/>
    <w:rsid w:val="1110186D"/>
    <w:rsid w:val="11146EB1"/>
    <w:rsid w:val="11231660"/>
    <w:rsid w:val="113D64B6"/>
    <w:rsid w:val="11457119"/>
    <w:rsid w:val="114E708E"/>
    <w:rsid w:val="115B4E23"/>
    <w:rsid w:val="115B5A86"/>
    <w:rsid w:val="115D1DA6"/>
    <w:rsid w:val="115D4462"/>
    <w:rsid w:val="116457F1"/>
    <w:rsid w:val="117169C2"/>
    <w:rsid w:val="11757DC9"/>
    <w:rsid w:val="117711F5"/>
    <w:rsid w:val="11805C0F"/>
    <w:rsid w:val="11983840"/>
    <w:rsid w:val="119A7465"/>
    <w:rsid w:val="11A275C1"/>
    <w:rsid w:val="11AB70D0"/>
    <w:rsid w:val="11B662E1"/>
    <w:rsid w:val="11B76014"/>
    <w:rsid w:val="11BA4A4A"/>
    <w:rsid w:val="11D34725"/>
    <w:rsid w:val="11D53C86"/>
    <w:rsid w:val="11EA1D1F"/>
    <w:rsid w:val="11ED7E0F"/>
    <w:rsid w:val="11FF497A"/>
    <w:rsid w:val="120B2110"/>
    <w:rsid w:val="12103BCB"/>
    <w:rsid w:val="12106784"/>
    <w:rsid w:val="121216F1"/>
    <w:rsid w:val="12192A7F"/>
    <w:rsid w:val="122512F6"/>
    <w:rsid w:val="12290202"/>
    <w:rsid w:val="12293685"/>
    <w:rsid w:val="124342E7"/>
    <w:rsid w:val="12494D8E"/>
    <w:rsid w:val="124D097B"/>
    <w:rsid w:val="12514AF4"/>
    <w:rsid w:val="125177A0"/>
    <w:rsid w:val="126302AC"/>
    <w:rsid w:val="126E56A8"/>
    <w:rsid w:val="127415E0"/>
    <w:rsid w:val="127500BF"/>
    <w:rsid w:val="12790E2D"/>
    <w:rsid w:val="1279351E"/>
    <w:rsid w:val="128B537C"/>
    <w:rsid w:val="12AC38F3"/>
    <w:rsid w:val="12B0412F"/>
    <w:rsid w:val="12D12D85"/>
    <w:rsid w:val="12D24757"/>
    <w:rsid w:val="12D92CED"/>
    <w:rsid w:val="12E03E9B"/>
    <w:rsid w:val="12E71ABD"/>
    <w:rsid w:val="12E844A3"/>
    <w:rsid w:val="12F157AA"/>
    <w:rsid w:val="12F40DF6"/>
    <w:rsid w:val="12F8668D"/>
    <w:rsid w:val="12FA3A33"/>
    <w:rsid w:val="130152C1"/>
    <w:rsid w:val="13033AD5"/>
    <w:rsid w:val="13117BFA"/>
    <w:rsid w:val="1312127D"/>
    <w:rsid w:val="131673A1"/>
    <w:rsid w:val="131C75ED"/>
    <w:rsid w:val="133F3C27"/>
    <w:rsid w:val="13421FD0"/>
    <w:rsid w:val="134E4840"/>
    <w:rsid w:val="13587D14"/>
    <w:rsid w:val="135B70C7"/>
    <w:rsid w:val="13625F4D"/>
    <w:rsid w:val="136A1343"/>
    <w:rsid w:val="136B6F2A"/>
    <w:rsid w:val="1378132E"/>
    <w:rsid w:val="13854A5E"/>
    <w:rsid w:val="13877AAA"/>
    <w:rsid w:val="138D331A"/>
    <w:rsid w:val="13916E35"/>
    <w:rsid w:val="13B14921"/>
    <w:rsid w:val="13B22621"/>
    <w:rsid w:val="13B919E1"/>
    <w:rsid w:val="13C62793"/>
    <w:rsid w:val="13D3349F"/>
    <w:rsid w:val="13DD60F3"/>
    <w:rsid w:val="13F70688"/>
    <w:rsid w:val="13FF3637"/>
    <w:rsid w:val="1409109F"/>
    <w:rsid w:val="140B63F8"/>
    <w:rsid w:val="14191ADB"/>
    <w:rsid w:val="142B3F97"/>
    <w:rsid w:val="142E36E8"/>
    <w:rsid w:val="14302302"/>
    <w:rsid w:val="14382F65"/>
    <w:rsid w:val="14445DAD"/>
    <w:rsid w:val="14564EA2"/>
    <w:rsid w:val="14616CA9"/>
    <w:rsid w:val="14754DDE"/>
    <w:rsid w:val="1476355A"/>
    <w:rsid w:val="14810258"/>
    <w:rsid w:val="149C734C"/>
    <w:rsid w:val="149F4D92"/>
    <w:rsid w:val="14A62F63"/>
    <w:rsid w:val="14A821D5"/>
    <w:rsid w:val="14B16A0A"/>
    <w:rsid w:val="14B333A7"/>
    <w:rsid w:val="14B922F8"/>
    <w:rsid w:val="14C1531F"/>
    <w:rsid w:val="14D013EF"/>
    <w:rsid w:val="14D37DF5"/>
    <w:rsid w:val="14D73CC7"/>
    <w:rsid w:val="14E42A85"/>
    <w:rsid w:val="14E835ED"/>
    <w:rsid w:val="14EA1422"/>
    <w:rsid w:val="14F84E87"/>
    <w:rsid w:val="14FB2910"/>
    <w:rsid w:val="15034C7C"/>
    <w:rsid w:val="1506268B"/>
    <w:rsid w:val="15063063"/>
    <w:rsid w:val="15121A08"/>
    <w:rsid w:val="15127C5A"/>
    <w:rsid w:val="15272F18"/>
    <w:rsid w:val="153D13FE"/>
    <w:rsid w:val="15424668"/>
    <w:rsid w:val="15455939"/>
    <w:rsid w:val="154776F1"/>
    <w:rsid w:val="15482C41"/>
    <w:rsid w:val="155D7127"/>
    <w:rsid w:val="15657D89"/>
    <w:rsid w:val="158A3C94"/>
    <w:rsid w:val="158D7EB9"/>
    <w:rsid w:val="1596226E"/>
    <w:rsid w:val="15974250"/>
    <w:rsid w:val="159A0CB4"/>
    <w:rsid w:val="159E1662"/>
    <w:rsid w:val="15AC3C0A"/>
    <w:rsid w:val="15C211E6"/>
    <w:rsid w:val="15C50828"/>
    <w:rsid w:val="15CE1DD3"/>
    <w:rsid w:val="15D35531"/>
    <w:rsid w:val="15D911DF"/>
    <w:rsid w:val="15DA4B83"/>
    <w:rsid w:val="15E73DB6"/>
    <w:rsid w:val="15EA008C"/>
    <w:rsid w:val="15EC7E26"/>
    <w:rsid w:val="15ED5A58"/>
    <w:rsid w:val="15F52D8A"/>
    <w:rsid w:val="15F64E85"/>
    <w:rsid w:val="161A1E21"/>
    <w:rsid w:val="162C6CB2"/>
    <w:rsid w:val="16304A0D"/>
    <w:rsid w:val="163568A5"/>
    <w:rsid w:val="16453DB2"/>
    <w:rsid w:val="16486D7D"/>
    <w:rsid w:val="165027E8"/>
    <w:rsid w:val="165D1F8F"/>
    <w:rsid w:val="16604583"/>
    <w:rsid w:val="166E068F"/>
    <w:rsid w:val="16777ECD"/>
    <w:rsid w:val="169052DA"/>
    <w:rsid w:val="169A1CB5"/>
    <w:rsid w:val="169E4336"/>
    <w:rsid w:val="16A62408"/>
    <w:rsid w:val="16AF7627"/>
    <w:rsid w:val="16B30809"/>
    <w:rsid w:val="16C0378E"/>
    <w:rsid w:val="16C1304D"/>
    <w:rsid w:val="16D0256B"/>
    <w:rsid w:val="170D23EB"/>
    <w:rsid w:val="170F61FF"/>
    <w:rsid w:val="171040E0"/>
    <w:rsid w:val="17195B93"/>
    <w:rsid w:val="171A7C5A"/>
    <w:rsid w:val="17212B98"/>
    <w:rsid w:val="17214184"/>
    <w:rsid w:val="17247D2A"/>
    <w:rsid w:val="1729134E"/>
    <w:rsid w:val="172B2E75"/>
    <w:rsid w:val="172C78F9"/>
    <w:rsid w:val="1732013F"/>
    <w:rsid w:val="17324FA7"/>
    <w:rsid w:val="1735378C"/>
    <w:rsid w:val="173B7A3B"/>
    <w:rsid w:val="173C0FBE"/>
    <w:rsid w:val="174340FA"/>
    <w:rsid w:val="175C0C2C"/>
    <w:rsid w:val="175D4AE9"/>
    <w:rsid w:val="176C5A76"/>
    <w:rsid w:val="17732C32"/>
    <w:rsid w:val="178E625D"/>
    <w:rsid w:val="1793556C"/>
    <w:rsid w:val="179675D7"/>
    <w:rsid w:val="179C4A76"/>
    <w:rsid w:val="17AA0427"/>
    <w:rsid w:val="17C6385E"/>
    <w:rsid w:val="17C646BB"/>
    <w:rsid w:val="17D22FC7"/>
    <w:rsid w:val="17E21B65"/>
    <w:rsid w:val="17EC44B9"/>
    <w:rsid w:val="17FC2CB3"/>
    <w:rsid w:val="18063F79"/>
    <w:rsid w:val="180B47A6"/>
    <w:rsid w:val="180C273E"/>
    <w:rsid w:val="18132377"/>
    <w:rsid w:val="181D1C4C"/>
    <w:rsid w:val="182201B4"/>
    <w:rsid w:val="182C6276"/>
    <w:rsid w:val="18381785"/>
    <w:rsid w:val="18412583"/>
    <w:rsid w:val="18416B0B"/>
    <w:rsid w:val="18420655"/>
    <w:rsid w:val="184246B9"/>
    <w:rsid w:val="184F055A"/>
    <w:rsid w:val="18575D65"/>
    <w:rsid w:val="185A544F"/>
    <w:rsid w:val="18653FBE"/>
    <w:rsid w:val="18664544"/>
    <w:rsid w:val="18694749"/>
    <w:rsid w:val="186C0A17"/>
    <w:rsid w:val="186F023A"/>
    <w:rsid w:val="18711A73"/>
    <w:rsid w:val="1884144D"/>
    <w:rsid w:val="188761F2"/>
    <w:rsid w:val="18892107"/>
    <w:rsid w:val="188931D2"/>
    <w:rsid w:val="188932F1"/>
    <w:rsid w:val="188B5D59"/>
    <w:rsid w:val="189A5F49"/>
    <w:rsid w:val="18A312F5"/>
    <w:rsid w:val="18A60DE5"/>
    <w:rsid w:val="18AA4093"/>
    <w:rsid w:val="18B03A11"/>
    <w:rsid w:val="18B76B4E"/>
    <w:rsid w:val="18C1177B"/>
    <w:rsid w:val="18C179CD"/>
    <w:rsid w:val="18C3639C"/>
    <w:rsid w:val="18CB43A7"/>
    <w:rsid w:val="18CE20EA"/>
    <w:rsid w:val="18D655F1"/>
    <w:rsid w:val="18D86AC4"/>
    <w:rsid w:val="18DE7568"/>
    <w:rsid w:val="18E4469E"/>
    <w:rsid w:val="18E87F50"/>
    <w:rsid w:val="18ED6702"/>
    <w:rsid w:val="18F23216"/>
    <w:rsid w:val="18FD4947"/>
    <w:rsid w:val="190C1BE7"/>
    <w:rsid w:val="19237B90"/>
    <w:rsid w:val="193F5973"/>
    <w:rsid w:val="19442A4D"/>
    <w:rsid w:val="194567F2"/>
    <w:rsid w:val="19462782"/>
    <w:rsid w:val="19492AEA"/>
    <w:rsid w:val="194D3AC9"/>
    <w:rsid w:val="19510D51"/>
    <w:rsid w:val="195425EF"/>
    <w:rsid w:val="19581A1A"/>
    <w:rsid w:val="19671723"/>
    <w:rsid w:val="19685F9C"/>
    <w:rsid w:val="19965BB4"/>
    <w:rsid w:val="199B7E1F"/>
    <w:rsid w:val="19AF33FF"/>
    <w:rsid w:val="19AF3CC9"/>
    <w:rsid w:val="19CC03D7"/>
    <w:rsid w:val="19D21398"/>
    <w:rsid w:val="19D96C4F"/>
    <w:rsid w:val="19DF14AD"/>
    <w:rsid w:val="19E81A6C"/>
    <w:rsid w:val="19EA2F53"/>
    <w:rsid w:val="19EB3205"/>
    <w:rsid w:val="19EF4EF7"/>
    <w:rsid w:val="19F12F16"/>
    <w:rsid w:val="19F418BE"/>
    <w:rsid w:val="1A0462E3"/>
    <w:rsid w:val="1A085D3A"/>
    <w:rsid w:val="1A115AEE"/>
    <w:rsid w:val="1A116732"/>
    <w:rsid w:val="1A167102"/>
    <w:rsid w:val="1A1B30B1"/>
    <w:rsid w:val="1A223D60"/>
    <w:rsid w:val="1A2608AF"/>
    <w:rsid w:val="1A2624E4"/>
    <w:rsid w:val="1A3E2171"/>
    <w:rsid w:val="1A420699"/>
    <w:rsid w:val="1A475CB0"/>
    <w:rsid w:val="1A4B33AE"/>
    <w:rsid w:val="1A4C5819"/>
    <w:rsid w:val="1A5C140E"/>
    <w:rsid w:val="1A6D0D11"/>
    <w:rsid w:val="1A74392E"/>
    <w:rsid w:val="1A7C168D"/>
    <w:rsid w:val="1A7F18ED"/>
    <w:rsid w:val="1A807F7F"/>
    <w:rsid w:val="1A8970DF"/>
    <w:rsid w:val="1A8A4B95"/>
    <w:rsid w:val="1A9224D0"/>
    <w:rsid w:val="1AA24B49"/>
    <w:rsid w:val="1AA977E8"/>
    <w:rsid w:val="1AB01C29"/>
    <w:rsid w:val="1AC06D68"/>
    <w:rsid w:val="1ACA5713"/>
    <w:rsid w:val="1AED27E2"/>
    <w:rsid w:val="1AF8344E"/>
    <w:rsid w:val="1AFD11C6"/>
    <w:rsid w:val="1AFD138A"/>
    <w:rsid w:val="1B0F0EC3"/>
    <w:rsid w:val="1B1153AE"/>
    <w:rsid w:val="1B1D4C62"/>
    <w:rsid w:val="1B206AFE"/>
    <w:rsid w:val="1B2C77EE"/>
    <w:rsid w:val="1B2E7BE8"/>
    <w:rsid w:val="1B3404EA"/>
    <w:rsid w:val="1B431208"/>
    <w:rsid w:val="1B43291B"/>
    <w:rsid w:val="1B446693"/>
    <w:rsid w:val="1B50155F"/>
    <w:rsid w:val="1B505038"/>
    <w:rsid w:val="1B5B5EB7"/>
    <w:rsid w:val="1B651A0F"/>
    <w:rsid w:val="1B7178E4"/>
    <w:rsid w:val="1B7A6B26"/>
    <w:rsid w:val="1B8D5D0B"/>
    <w:rsid w:val="1B98342C"/>
    <w:rsid w:val="1B990926"/>
    <w:rsid w:val="1BC021BE"/>
    <w:rsid w:val="1BD14BE0"/>
    <w:rsid w:val="1BD7136C"/>
    <w:rsid w:val="1BE6757E"/>
    <w:rsid w:val="1BED3EC4"/>
    <w:rsid w:val="1BEF0C63"/>
    <w:rsid w:val="1BF132C5"/>
    <w:rsid w:val="1BF377A4"/>
    <w:rsid w:val="1C005643"/>
    <w:rsid w:val="1C025AD8"/>
    <w:rsid w:val="1C0A3439"/>
    <w:rsid w:val="1C141D47"/>
    <w:rsid w:val="1C1B51CB"/>
    <w:rsid w:val="1C270694"/>
    <w:rsid w:val="1C3103F6"/>
    <w:rsid w:val="1C4155A7"/>
    <w:rsid w:val="1C444B9D"/>
    <w:rsid w:val="1C473D5E"/>
    <w:rsid w:val="1C4A5F2B"/>
    <w:rsid w:val="1C531F97"/>
    <w:rsid w:val="1C5A7E43"/>
    <w:rsid w:val="1C7237A6"/>
    <w:rsid w:val="1C7550F6"/>
    <w:rsid w:val="1C787B9A"/>
    <w:rsid w:val="1C7D1864"/>
    <w:rsid w:val="1C906479"/>
    <w:rsid w:val="1C986C96"/>
    <w:rsid w:val="1CA65FA4"/>
    <w:rsid w:val="1CAC44F0"/>
    <w:rsid w:val="1CB65C58"/>
    <w:rsid w:val="1CB662A6"/>
    <w:rsid w:val="1CBD29F9"/>
    <w:rsid w:val="1CC23D13"/>
    <w:rsid w:val="1CD557F5"/>
    <w:rsid w:val="1CEA3F89"/>
    <w:rsid w:val="1CF05B1D"/>
    <w:rsid w:val="1CF115B3"/>
    <w:rsid w:val="1CF6133D"/>
    <w:rsid w:val="1CFE4D5B"/>
    <w:rsid w:val="1CFF635B"/>
    <w:rsid w:val="1D0820A6"/>
    <w:rsid w:val="1D1125A5"/>
    <w:rsid w:val="1D136646"/>
    <w:rsid w:val="1D2D1720"/>
    <w:rsid w:val="1D3838DC"/>
    <w:rsid w:val="1D385D84"/>
    <w:rsid w:val="1D3C3AC6"/>
    <w:rsid w:val="1D3E4175"/>
    <w:rsid w:val="1D4666F2"/>
    <w:rsid w:val="1D4760D1"/>
    <w:rsid w:val="1D551D12"/>
    <w:rsid w:val="1D5D664C"/>
    <w:rsid w:val="1D5E2780"/>
    <w:rsid w:val="1D631052"/>
    <w:rsid w:val="1D65301C"/>
    <w:rsid w:val="1D65543B"/>
    <w:rsid w:val="1D6E0650"/>
    <w:rsid w:val="1D721295"/>
    <w:rsid w:val="1D79243E"/>
    <w:rsid w:val="1D882964"/>
    <w:rsid w:val="1D927B8A"/>
    <w:rsid w:val="1D9C6AC0"/>
    <w:rsid w:val="1DA577ED"/>
    <w:rsid w:val="1DAF4298"/>
    <w:rsid w:val="1DBA49EB"/>
    <w:rsid w:val="1DBA69FC"/>
    <w:rsid w:val="1DC13FCB"/>
    <w:rsid w:val="1DCE1031"/>
    <w:rsid w:val="1DD67A76"/>
    <w:rsid w:val="1DF3112A"/>
    <w:rsid w:val="1DF4614E"/>
    <w:rsid w:val="1DF747CB"/>
    <w:rsid w:val="1E0823F2"/>
    <w:rsid w:val="1E0948A8"/>
    <w:rsid w:val="1E222CBC"/>
    <w:rsid w:val="1E260E83"/>
    <w:rsid w:val="1E2701AC"/>
    <w:rsid w:val="1E276399"/>
    <w:rsid w:val="1E2D1660"/>
    <w:rsid w:val="1E3A3CAF"/>
    <w:rsid w:val="1E4720E7"/>
    <w:rsid w:val="1E4B0FF8"/>
    <w:rsid w:val="1E4D69E5"/>
    <w:rsid w:val="1E592A0F"/>
    <w:rsid w:val="1E5D4E56"/>
    <w:rsid w:val="1E6257AE"/>
    <w:rsid w:val="1E7A374E"/>
    <w:rsid w:val="1E7C1C53"/>
    <w:rsid w:val="1E82439B"/>
    <w:rsid w:val="1E8902AB"/>
    <w:rsid w:val="1E924AE7"/>
    <w:rsid w:val="1E9B2A6E"/>
    <w:rsid w:val="1E9D13D4"/>
    <w:rsid w:val="1EAE6E23"/>
    <w:rsid w:val="1EC8336D"/>
    <w:rsid w:val="1ECE5416"/>
    <w:rsid w:val="1ED41ADC"/>
    <w:rsid w:val="1ED815CC"/>
    <w:rsid w:val="1EDA3FAB"/>
    <w:rsid w:val="1EDE0799"/>
    <w:rsid w:val="1EE477A0"/>
    <w:rsid w:val="1EEB7816"/>
    <w:rsid w:val="1EEE2B9E"/>
    <w:rsid w:val="1EF17ACF"/>
    <w:rsid w:val="1EF46FC2"/>
    <w:rsid w:val="1F0B69A1"/>
    <w:rsid w:val="1F0D396C"/>
    <w:rsid w:val="1F1C16B0"/>
    <w:rsid w:val="1F2B163E"/>
    <w:rsid w:val="1F2D3133"/>
    <w:rsid w:val="1F3D59A5"/>
    <w:rsid w:val="1F4257E9"/>
    <w:rsid w:val="1F49368D"/>
    <w:rsid w:val="1F4A0F65"/>
    <w:rsid w:val="1F4F1725"/>
    <w:rsid w:val="1F5844BB"/>
    <w:rsid w:val="1F5C3EEB"/>
    <w:rsid w:val="1F6850E2"/>
    <w:rsid w:val="1F6C3A98"/>
    <w:rsid w:val="1F6E0D89"/>
    <w:rsid w:val="1F7D25DA"/>
    <w:rsid w:val="1F8A78EA"/>
    <w:rsid w:val="1FA63BE5"/>
    <w:rsid w:val="1FB3239E"/>
    <w:rsid w:val="1FBB0D34"/>
    <w:rsid w:val="1FBB3299"/>
    <w:rsid w:val="1FC624D8"/>
    <w:rsid w:val="1FC649E7"/>
    <w:rsid w:val="1FCD0DC2"/>
    <w:rsid w:val="1FDC30F1"/>
    <w:rsid w:val="1FE00A4B"/>
    <w:rsid w:val="1FE8712A"/>
    <w:rsid w:val="1FFE2851"/>
    <w:rsid w:val="20120B0E"/>
    <w:rsid w:val="20185B25"/>
    <w:rsid w:val="203171E6"/>
    <w:rsid w:val="204F3B10"/>
    <w:rsid w:val="20505BEE"/>
    <w:rsid w:val="205138AB"/>
    <w:rsid w:val="20585FA5"/>
    <w:rsid w:val="20645AF5"/>
    <w:rsid w:val="20683984"/>
    <w:rsid w:val="207F1198"/>
    <w:rsid w:val="207F2AC0"/>
    <w:rsid w:val="2087794C"/>
    <w:rsid w:val="20900334"/>
    <w:rsid w:val="209459C7"/>
    <w:rsid w:val="20990CA7"/>
    <w:rsid w:val="20C242E2"/>
    <w:rsid w:val="20CC0941"/>
    <w:rsid w:val="20CE712B"/>
    <w:rsid w:val="20D128F2"/>
    <w:rsid w:val="20E51308"/>
    <w:rsid w:val="20E718F9"/>
    <w:rsid w:val="20EA3839"/>
    <w:rsid w:val="21091931"/>
    <w:rsid w:val="211803A6"/>
    <w:rsid w:val="21260D15"/>
    <w:rsid w:val="21397684"/>
    <w:rsid w:val="213E1A2D"/>
    <w:rsid w:val="213E2EA1"/>
    <w:rsid w:val="213F5933"/>
    <w:rsid w:val="216929AF"/>
    <w:rsid w:val="216F0F77"/>
    <w:rsid w:val="21731A80"/>
    <w:rsid w:val="217336E6"/>
    <w:rsid w:val="21751354"/>
    <w:rsid w:val="2177629A"/>
    <w:rsid w:val="217D645B"/>
    <w:rsid w:val="2194799D"/>
    <w:rsid w:val="219C2D85"/>
    <w:rsid w:val="21A8172A"/>
    <w:rsid w:val="21B909B9"/>
    <w:rsid w:val="21BA2AC2"/>
    <w:rsid w:val="21CF0722"/>
    <w:rsid w:val="21D7527D"/>
    <w:rsid w:val="21E21C0E"/>
    <w:rsid w:val="21E53673"/>
    <w:rsid w:val="21F34D3B"/>
    <w:rsid w:val="21F5141A"/>
    <w:rsid w:val="21FB74E7"/>
    <w:rsid w:val="21FF22A6"/>
    <w:rsid w:val="220A23E4"/>
    <w:rsid w:val="221B574F"/>
    <w:rsid w:val="223175B2"/>
    <w:rsid w:val="223A312F"/>
    <w:rsid w:val="22433200"/>
    <w:rsid w:val="22456066"/>
    <w:rsid w:val="224810E7"/>
    <w:rsid w:val="224D7B7A"/>
    <w:rsid w:val="225059CB"/>
    <w:rsid w:val="225B679C"/>
    <w:rsid w:val="225C42C2"/>
    <w:rsid w:val="22674818"/>
    <w:rsid w:val="226A3A35"/>
    <w:rsid w:val="226B2F8C"/>
    <w:rsid w:val="229413BA"/>
    <w:rsid w:val="22A86252"/>
    <w:rsid w:val="22AA4925"/>
    <w:rsid w:val="22AE0FC2"/>
    <w:rsid w:val="22BC02B2"/>
    <w:rsid w:val="22C0677F"/>
    <w:rsid w:val="22C92F2C"/>
    <w:rsid w:val="22CB6964"/>
    <w:rsid w:val="22D36C7A"/>
    <w:rsid w:val="22DE5F28"/>
    <w:rsid w:val="22E505A2"/>
    <w:rsid w:val="22E8177C"/>
    <w:rsid w:val="22EC5646"/>
    <w:rsid w:val="22FD7853"/>
    <w:rsid w:val="230501E9"/>
    <w:rsid w:val="230C10D0"/>
    <w:rsid w:val="230D3FEF"/>
    <w:rsid w:val="23107AAF"/>
    <w:rsid w:val="231150AD"/>
    <w:rsid w:val="231E149A"/>
    <w:rsid w:val="231E35E8"/>
    <w:rsid w:val="231F6668"/>
    <w:rsid w:val="23353491"/>
    <w:rsid w:val="23362282"/>
    <w:rsid w:val="233712B9"/>
    <w:rsid w:val="233A0AA7"/>
    <w:rsid w:val="233E248C"/>
    <w:rsid w:val="23425BAE"/>
    <w:rsid w:val="23476D20"/>
    <w:rsid w:val="234D19E9"/>
    <w:rsid w:val="234F0B1A"/>
    <w:rsid w:val="2372597F"/>
    <w:rsid w:val="2374166C"/>
    <w:rsid w:val="23807611"/>
    <w:rsid w:val="238920BB"/>
    <w:rsid w:val="2398757C"/>
    <w:rsid w:val="23BA65CF"/>
    <w:rsid w:val="23BE276C"/>
    <w:rsid w:val="23D76713"/>
    <w:rsid w:val="23DD042B"/>
    <w:rsid w:val="23DE58D7"/>
    <w:rsid w:val="23DE7685"/>
    <w:rsid w:val="23E12AA8"/>
    <w:rsid w:val="23E31FBB"/>
    <w:rsid w:val="2411090E"/>
    <w:rsid w:val="241E5333"/>
    <w:rsid w:val="24206146"/>
    <w:rsid w:val="24223E87"/>
    <w:rsid w:val="242A0B1C"/>
    <w:rsid w:val="24341609"/>
    <w:rsid w:val="2435126F"/>
    <w:rsid w:val="243C316D"/>
    <w:rsid w:val="243F6497"/>
    <w:rsid w:val="24417C14"/>
    <w:rsid w:val="24421B74"/>
    <w:rsid w:val="244301A5"/>
    <w:rsid w:val="2443357E"/>
    <w:rsid w:val="24457B3A"/>
    <w:rsid w:val="244731BA"/>
    <w:rsid w:val="245060A9"/>
    <w:rsid w:val="24506626"/>
    <w:rsid w:val="24883A94"/>
    <w:rsid w:val="24905AE4"/>
    <w:rsid w:val="24972910"/>
    <w:rsid w:val="249E6E2F"/>
    <w:rsid w:val="24B6415E"/>
    <w:rsid w:val="24BB79C6"/>
    <w:rsid w:val="24C46FB6"/>
    <w:rsid w:val="24E231A5"/>
    <w:rsid w:val="24E72569"/>
    <w:rsid w:val="24E85880"/>
    <w:rsid w:val="250332B8"/>
    <w:rsid w:val="25074187"/>
    <w:rsid w:val="25331BC4"/>
    <w:rsid w:val="25334437"/>
    <w:rsid w:val="25373650"/>
    <w:rsid w:val="253B0B07"/>
    <w:rsid w:val="25481BC4"/>
    <w:rsid w:val="254E083A"/>
    <w:rsid w:val="255143D2"/>
    <w:rsid w:val="2558601D"/>
    <w:rsid w:val="25665B84"/>
    <w:rsid w:val="25675C98"/>
    <w:rsid w:val="257E68CB"/>
    <w:rsid w:val="25846F80"/>
    <w:rsid w:val="25897AC4"/>
    <w:rsid w:val="258A1146"/>
    <w:rsid w:val="25956469"/>
    <w:rsid w:val="25AB7A3A"/>
    <w:rsid w:val="25BE07F9"/>
    <w:rsid w:val="25BF40E0"/>
    <w:rsid w:val="25CB47A5"/>
    <w:rsid w:val="25D1653F"/>
    <w:rsid w:val="25D725DE"/>
    <w:rsid w:val="25E1345C"/>
    <w:rsid w:val="25E83EE0"/>
    <w:rsid w:val="26087016"/>
    <w:rsid w:val="260E7FC9"/>
    <w:rsid w:val="26123616"/>
    <w:rsid w:val="26127ABA"/>
    <w:rsid w:val="263A491A"/>
    <w:rsid w:val="263F60E8"/>
    <w:rsid w:val="264A205F"/>
    <w:rsid w:val="26553635"/>
    <w:rsid w:val="265754CC"/>
    <w:rsid w:val="26605B6C"/>
    <w:rsid w:val="2668592C"/>
    <w:rsid w:val="26704790"/>
    <w:rsid w:val="26775BC8"/>
    <w:rsid w:val="26786A4D"/>
    <w:rsid w:val="267C5DB6"/>
    <w:rsid w:val="268222D7"/>
    <w:rsid w:val="26831D16"/>
    <w:rsid w:val="268A76AC"/>
    <w:rsid w:val="26920BFA"/>
    <w:rsid w:val="269D5F7D"/>
    <w:rsid w:val="269F1F0F"/>
    <w:rsid w:val="26A128C9"/>
    <w:rsid w:val="26AA1AA0"/>
    <w:rsid w:val="26BF4BE2"/>
    <w:rsid w:val="26DC3C24"/>
    <w:rsid w:val="26E059FE"/>
    <w:rsid w:val="26F52842"/>
    <w:rsid w:val="26F92A28"/>
    <w:rsid w:val="26FB0253"/>
    <w:rsid w:val="270A569F"/>
    <w:rsid w:val="271055CA"/>
    <w:rsid w:val="27164841"/>
    <w:rsid w:val="272022CB"/>
    <w:rsid w:val="272835E1"/>
    <w:rsid w:val="27363334"/>
    <w:rsid w:val="273F4CB5"/>
    <w:rsid w:val="27460068"/>
    <w:rsid w:val="2753161C"/>
    <w:rsid w:val="27587347"/>
    <w:rsid w:val="27590D31"/>
    <w:rsid w:val="276A0622"/>
    <w:rsid w:val="276E2ACE"/>
    <w:rsid w:val="276F6846"/>
    <w:rsid w:val="27840065"/>
    <w:rsid w:val="2786250D"/>
    <w:rsid w:val="27886D81"/>
    <w:rsid w:val="27A44741"/>
    <w:rsid w:val="27B46C51"/>
    <w:rsid w:val="27B84691"/>
    <w:rsid w:val="27C052F3"/>
    <w:rsid w:val="27C54369"/>
    <w:rsid w:val="27C546B8"/>
    <w:rsid w:val="27D112AE"/>
    <w:rsid w:val="27D43231"/>
    <w:rsid w:val="27D515C1"/>
    <w:rsid w:val="27E86D24"/>
    <w:rsid w:val="27EA0B9B"/>
    <w:rsid w:val="281109E5"/>
    <w:rsid w:val="2811449B"/>
    <w:rsid w:val="284C7F3C"/>
    <w:rsid w:val="285511EC"/>
    <w:rsid w:val="28587946"/>
    <w:rsid w:val="285D2747"/>
    <w:rsid w:val="28795BCE"/>
    <w:rsid w:val="28954F2A"/>
    <w:rsid w:val="28961F1D"/>
    <w:rsid w:val="28965D63"/>
    <w:rsid w:val="28A864B3"/>
    <w:rsid w:val="28B70B59"/>
    <w:rsid w:val="28BC587F"/>
    <w:rsid w:val="28C66939"/>
    <w:rsid w:val="28CD1A76"/>
    <w:rsid w:val="28D63020"/>
    <w:rsid w:val="28E10711"/>
    <w:rsid w:val="290477A4"/>
    <w:rsid w:val="29121862"/>
    <w:rsid w:val="29142C02"/>
    <w:rsid w:val="2918110F"/>
    <w:rsid w:val="2919237C"/>
    <w:rsid w:val="292D5839"/>
    <w:rsid w:val="2932291D"/>
    <w:rsid w:val="293E19A3"/>
    <w:rsid w:val="293E274E"/>
    <w:rsid w:val="29497550"/>
    <w:rsid w:val="295647E3"/>
    <w:rsid w:val="29594084"/>
    <w:rsid w:val="29832529"/>
    <w:rsid w:val="298D3BAC"/>
    <w:rsid w:val="298E3718"/>
    <w:rsid w:val="29975973"/>
    <w:rsid w:val="29986A8C"/>
    <w:rsid w:val="299F78B6"/>
    <w:rsid w:val="29A44ECD"/>
    <w:rsid w:val="29C72C3A"/>
    <w:rsid w:val="29DE4C12"/>
    <w:rsid w:val="29E71FFB"/>
    <w:rsid w:val="29EB48A9"/>
    <w:rsid w:val="29EC5D17"/>
    <w:rsid w:val="29ED1066"/>
    <w:rsid w:val="29F14929"/>
    <w:rsid w:val="2A0529D7"/>
    <w:rsid w:val="2A0D6D35"/>
    <w:rsid w:val="2A0E0598"/>
    <w:rsid w:val="2A102562"/>
    <w:rsid w:val="2A17737B"/>
    <w:rsid w:val="2A184A92"/>
    <w:rsid w:val="2A191357"/>
    <w:rsid w:val="2A1D4C7F"/>
    <w:rsid w:val="2A2008D8"/>
    <w:rsid w:val="2A214516"/>
    <w:rsid w:val="2A30159D"/>
    <w:rsid w:val="2A430052"/>
    <w:rsid w:val="2A584D21"/>
    <w:rsid w:val="2A59022D"/>
    <w:rsid w:val="2A616F93"/>
    <w:rsid w:val="2A64367C"/>
    <w:rsid w:val="2A663F31"/>
    <w:rsid w:val="2A6910D3"/>
    <w:rsid w:val="2A6B0855"/>
    <w:rsid w:val="2A6B54EF"/>
    <w:rsid w:val="2A6D1762"/>
    <w:rsid w:val="2A7725E1"/>
    <w:rsid w:val="2A814048"/>
    <w:rsid w:val="2A845808"/>
    <w:rsid w:val="2A923A78"/>
    <w:rsid w:val="2A9807F2"/>
    <w:rsid w:val="2A9C4B34"/>
    <w:rsid w:val="2AA11980"/>
    <w:rsid w:val="2AA83702"/>
    <w:rsid w:val="2ABC3F27"/>
    <w:rsid w:val="2AD00E55"/>
    <w:rsid w:val="2AD27817"/>
    <w:rsid w:val="2AED6291"/>
    <w:rsid w:val="2B134799"/>
    <w:rsid w:val="2B20653D"/>
    <w:rsid w:val="2B266F08"/>
    <w:rsid w:val="2B44352B"/>
    <w:rsid w:val="2B487ADA"/>
    <w:rsid w:val="2B512E32"/>
    <w:rsid w:val="2B587219"/>
    <w:rsid w:val="2B5C5333"/>
    <w:rsid w:val="2B5D17F7"/>
    <w:rsid w:val="2B601926"/>
    <w:rsid w:val="2B6835F0"/>
    <w:rsid w:val="2B876854"/>
    <w:rsid w:val="2B8D23FE"/>
    <w:rsid w:val="2B8F74B6"/>
    <w:rsid w:val="2B940739"/>
    <w:rsid w:val="2B954674"/>
    <w:rsid w:val="2BAB173B"/>
    <w:rsid w:val="2BD355F5"/>
    <w:rsid w:val="2BD4136D"/>
    <w:rsid w:val="2BF043F9"/>
    <w:rsid w:val="2BF95ED1"/>
    <w:rsid w:val="2BFF1356"/>
    <w:rsid w:val="2C090ED9"/>
    <w:rsid w:val="2C1D00E0"/>
    <w:rsid w:val="2C2F0132"/>
    <w:rsid w:val="2C372028"/>
    <w:rsid w:val="2C3F012B"/>
    <w:rsid w:val="2C4A1889"/>
    <w:rsid w:val="2C4F0DE2"/>
    <w:rsid w:val="2C5405D1"/>
    <w:rsid w:val="2C612E7B"/>
    <w:rsid w:val="2C6927E2"/>
    <w:rsid w:val="2C7C3EDF"/>
    <w:rsid w:val="2C7E2E47"/>
    <w:rsid w:val="2C7F1DCF"/>
    <w:rsid w:val="2C9A590A"/>
    <w:rsid w:val="2CA759EA"/>
    <w:rsid w:val="2CB10CA8"/>
    <w:rsid w:val="2CB90C8F"/>
    <w:rsid w:val="2CC43190"/>
    <w:rsid w:val="2CD02224"/>
    <w:rsid w:val="2CDA515E"/>
    <w:rsid w:val="2CEE645F"/>
    <w:rsid w:val="2CFB12A7"/>
    <w:rsid w:val="2D0227BC"/>
    <w:rsid w:val="2D054168"/>
    <w:rsid w:val="2D104627"/>
    <w:rsid w:val="2D11433C"/>
    <w:rsid w:val="2D1B3340"/>
    <w:rsid w:val="2D2233D4"/>
    <w:rsid w:val="2D3E2F42"/>
    <w:rsid w:val="2D4B4822"/>
    <w:rsid w:val="2D535EA7"/>
    <w:rsid w:val="2D5F5D06"/>
    <w:rsid w:val="2D6821F4"/>
    <w:rsid w:val="2D6B4743"/>
    <w:rsid w:val="2D8044D3"/>
    <w:rsid w:val="2D880661"/>
    <w:rsid w:val="2D960FD0"/>
    <w:rsid w:val="2D972170"/>
    <w:rsid w:val="2DA12813"/>
    <w:rsid w:val="2DA74F8B"/>
    <w:rsid w:val="2DD7792D"/>
    <w:rsid w:val="2DD815E9"/>
    <w:rsid w:val="2DE53099"/>
    <w:rsid w:val="2DE84A63"/>
    <w:rsid w:val="2DEB621C"/>
    <w:rsid w:val="2DFB1A3C"/>
    <w:rsid w:val="2E0B7261"/>
    <w:rsid w:val="2E0E0B66"/>
    <w:rsid w:val="2E1D2F05"/>
    <w:rsid w:val="2E22169E"/>
    <w:rsid w:val="2E227F20"/>
    <w:rsid w:val="2E231110"/>
    <w:rsid w:val="2E25064B"/>
    <w:rsid w:val="2E276EBF"/>
    <w:rsid w:val="2E2D1BFC"/>
    <w:rsid w:val="2E2D476E"/>
    <w:rsid w:val="2E3365DA"/>
    <w:rsid w:val="2E350E71"/>
    <w:rsid w:val="2E3660F5"/>
    <w:rsid w:val="2E3B56D4"/>
    <w:rsid w:val="2E415370"/>
    <w:rsid w:val="2E514EF7"/>
    <w:rsid w:val="2E5E6D03"/>
    <w:rsid w:val="2E5F1912"/>
    <w:rsid w:val="2E68632E"/>
    <w:rsid w:val="2E6B483B"/>
    <w:rsid w:val="2E7701B7"/>
    <w:rsid w:val="2E811F00"/>
    <w:rsid w:val="2E823EE8"/>
    <w:rsid w:val="2E930EF9"/>
    <w:rsid w:val="2EAB0AAB"/>
    <w:rsid w:val="2EB140C2"/>
    <w:rsid w:val="2EB57F44"/>
    <w:rsid w:val="2ED10DA9"/>
    <w:rsid w:val="2ED15B5F"/>
    <w:rsid w:val="2ED75950"/>
    <w:rsid w:val="2EDA6C9B"/>
    <w:rsid w:val="2EE221E3"/>
    <w:rsid w:val="2EF05F56"/>
    <w:rsid w:val="2EF907F4"/>
    <w:rsid w:val="2F0127CC"/>
    <w:rsid w:val="2F20460E"/>
    <w:rsid w:val="2F234777"/>
    <w:rsid w:val="2F4405B8"/>
    <w:rsid w:val="2F4777A0"/>
    <w:rsid w:val="2F5E6E7B"/>
    <w:rsid w:val="2F7305E4"/>
    <w:rsid w:val="2F7B6A53"/>
    <w:rsid w:val="2F803204"/>
    <w:rsid w:val="2F8E746E"/>
    <w:rsid w:val="2F9C03F4"/>
    <w:rsid w:val="2F9F5447"/>
    <w:rsid w:val="2FAC4ADB"/>
    <w:rsid w:val="2FB07EC0"/>
    <w:rsid w:val="2FB3060A"/>
    <w:rsid w:val="2FCE5B1E"/>
    <w:rsid w:val="2FD91648"/>
    <w:rsid w:val="2FDE7753"/>
    <w:rsid w:val="2FE853E7"/>
    <w:rsid w:val="2FEE50F3"/>
    <w:rsid w:val="2FEF0361"/>
    <w:rsid w:val="2FF614EE"/>
    <w:rsid w:val="2FF81ACE"/>
    <w:rsid w:val="2FFE2E5D"/>
    <w:rsid w:val="301574EF"/>
    <w:rsid w:val="30436A9A"/>
    <w:rsid w:val="304402DB"/>
    <w:rsid w:val="304C34A3"/>
    <w:rsid w:val="30565EA8"/>
    <w:rsid w:val="30611B3E"/>
    <w:rsid w:val="306959DD"/>
    <w:rsid w:val="306B04F2"/>
    <w:rsid w:val="307216B2"/>
    <w:rsid w:val="30944F83"/>
    <w:rsid w:val="30A048EF"/>
    <w:rsid w:val="30A21987"/>
    <w:rsid w:val="30AD0B0B"/>
    <w:rsid w:val="30AD5BBE"/>
    <w:rsid w:val="30AD61C5"/>
    <w:rsid w:val="30B12B1F"/>
    <w:rsid w:val="30B13F77"/>
    <w:rsid w:val="30C24052"/>
    <w:rsid w:val="30DA2523"/>
    <w:rsid w:val="30DA5678"/>
    <w:rsid w:val="30DF67EA"/>
    <w:rsid w:val="30E01C54"/>
    <w:rsid w:val="30EF0056"/>
    <w:rsid w:val="30F4506C"/>
    <w:rsid w:val="30FA7AC8"/>
    <w:rsid w:val="310C51EE"/>
    <w:rsid w:val="31140E1D"/>
    <w:rsid w:val="312C4A57"/>
    <w:rsid w:val="312E593C"/>
    <w:rsid w:val="314555C5"/>
    <w:rsid w:val="31496359"/>
    <w:rsid w:val="314A5691"/>
    <w:rsid w:val="31562D29"/>
    <w:rsid w:val="316D52EA"/>
    <w:rsid w:val="31741628"/>
    <w:rsid w:val="31785216"/>
    <w:rsid w:val="31944A9C"/>
    <w:rsid w:val="31C525D3"/>
    <w:rsid w:val="31D23848"/>
    <w:rsid w:val="320539CB"/>
    <w:rsid w:val="32096215"/>
    <w:rsid w:val="320E5953"/>
    <w:rsid w:val="321B1AA4"/>
    <w:rsid w:val="3228345A"/>
    <w:rsid w:val="322E5409"/>
    <w:rsid w:val="323954D8"/>
    <w:rsid w:val="323B2882"/>
    <w:rsid w:val="323C5A5D"/>
    <w:rsid w:val="323D7B71"/>
    <w:rsid w:val="3248318A"/>
    <w:rsid w:val="32495C16"/>
    <w:rsid w:val="324B1ED4"/>
    <w:rsid w:val="324B5172"/>
    <w:rsid w:val="324F79A0"/>
    <w:rsid w:val="32582CF8"/>
    <w:rsid w:val="325925CC"/>
    <w:rsid w:val="325C38FB"/>
    <w:rsid w:val="326C7130"/>
    <w:rsid w:val="326E34C5"/>
    <w:rsid w:val="32733F54"/>
    <w:rsid w:val="328161FB"/>
    <w:rsid w:val="32846556"/>
    <w:rsid w:val="32963820"/>
    <w:rsid w:val="329655CE"/>
    <w:rsid w:val="32B617CD"/>
    <w:rsid w:val="32BC3287"/>
    <w:rsid w:val="32CA5214"/>
    <w:rsid w:val="32CE7409"/>
    <w:rsid w:val="32D3237F"/>
    <w:rsid w:val="32D61E6F"/>
    <w:rsid w:val="32D644BE"/>
    <w:rsid w:val="32E0684A"/>
    <w:rsid w:val="32EB591A"/>
    <w:rsid w:val="32F22ABF"/>
    <w:rsid w:val="32F72511"/>
    <w:rsid w:val="32FF0147"/>
    <w:rsid w:val="332A6465"/>
    <w:rsid w:val="33314EDB"/>
    <w:rsid w:val="3344327C"/>
    <w:rsid w:val="3350577D"/>
    <w:rsid w:val="335675DB"/>
    <w:rsid w:val="33567C45"/>
    <w:rsid w:val="33583C35"/>
    <w:rsid w:val="335C6433"/>
    <w:rsid w:val="33686F6B"/>
    <w:rsid w:val="33726212"/>
    <w:rsid w:val="33753436"/>
    <w:rsid w:val="337F7232"/>
    <w:rsid w:val="338036E9"/>
    <w:rsid w:val="338D4C23"/>
    <w:rsid w:val="339252DF"/>
    <w:rsid w:val="3393661B"/>
    <w:rsid w:val="33941379"/>
    <w:rsid w:val="33945FB2"/>
    <w:rsid w:val="33970F14"/>
    <w:rsid w:val="339A2E9C"/>
    <w:rsid w:val="33A93C7C"/>
    <w:rsid w:val="33AD5AC9"/>
    <w:rsid w:val="33AE1321"/>
    <w:rsid w:val="33B201E6"/>
    <w:rsid w:val="33C339DB"/>
    <w:rsid w:val="33CB3314"/>
    <w:rsid w:val="33D90146"/>
    <w:rsid w:val="33DA1999"/>
    <w:rsid w:val="33E660E2"/>
    <w:rsid w:val="33F94067"/>
    <w:rsid w:val="33FA5C92"/>
    <w:rsid w:val="33FD7321"/>
    <w:rsid w:val="34012F1B"/>
    <w:rsid w:val="34052A0C"/>
    <w:rsid w:val="340547BA"/>
    <w:rsid w:val="340C5B48"/>
    <w:rsid w:val="341669C7"/>
    <w:rsid w:val="341C2288"/>
    <w:rsid w:val="341F37EA"/>
    <w:rsid w:val="343D03F7"/>
    <w:rsid w:val="34485A7E"/>
    <w:rsid w:val="34512F0D"/>
    <w:rsid w:val="345B1B40"/>
    <w:rsid w:val="345D2848"/>
    <w:rsid w:val="346425D6"/>
    <w:rsid w:val="346B28D6"/>
    <w:rsid w:val="346F3383"/>
    <w:rsid w:val="347656B7"/>
    <w:rsid w:val="348F7181"/>
    <w:rsid w:val="34913452"/>
    <w:rsid w:val="34951FE2"/>
    <w:rsid w:val="34BC5D53"/>
    <w:rsid w:val="34CB0A62"/>
    <w:rsid w:val="34CE1050"/>
    <w:rsid w:val="34CE72A2"/>
    <w:rsid w:val="34D42007"/>
    <w:rsid w:val="34DF500B"/>
    <w:rsid w:val="34E14FC2"/>
    <w:rsid w:val="34E72111"/>
    <w:rsid w:val="34FB40E9"/>
    <w:rsid w:val="34FC06A8"/>
    <w:rsid w:val="34FF38FF"/>
    <w:rsid w:val="35006F50"/>
    <w:rsid w:val="35070986"/>
    <w:rsid w:val="350D601C"/>
    <w:rsid w:val="35155F52"/>
    <w:rsid w:val="351764EE"/>
    <w:rsid w:val="35337248"/>
    <w:rsid w:val="353412E7"/>
    <w:rsid w:val="3538296D"/>
    <w:rsid w:val="353B0B1D"/>
    <w:rsid w:val="353F5AA9"/>
    <w:rsid w:val="354155DB"/>
    <w:rsid w:val="35424BEE"/>
    <w:rsid w:val="35574B92"/>
    <w:rsid w:val="3558300F"/>
    <w:rsid w:val="355C372E"/>
    <w:rsid w:val="356A456C"/>
    <w:rsid w:val="35700359"/>
    <w:rsid w:val="35765D46"/>
    <w:rsid w:val="357E0CC8"/>
    <w:rsid w:val="357E7649"/>
    <w:rsid w:val="358E243E"/>
    <w:rsid w:val="35942299"/>
    <w:rsid w:val="359C1008"/>
    <w:rsid w:val="35A2045C"/>
    <w:rsid w:val="35B932C7"/>
    <w:rsid w:val="35D51966"/>
    <w:rsid w:val="35D97CAC"/>
    <w:rsid w:val="35F4580E"/>
    <w:rsid w:val="35F76384"/>
    <w:rsid w:val="361D6083"/>
    <w:rsid w:val="363160E8"/>
    <w:rsid w:val="36393C40"/>
    <w:rsid w:val="364714D4"/>
    <w:rsid w:val="364A608C"/>
    <w:rsid w:val="364C21A1"/>
    <w:rsid w:val="364D2448"/>
    <w:rsid w:val="3656754F"/>
    <w:rsid w:val="365C268B"/>
    <w:rsid w:val="3667613B"/>
    <w:rsid w:val="366E398E"/>
    <w:rsid w:val="36A7267E"/>
    <w:rsid w:val="36AD218E"/>
    <w:rsid w:val="36C02DE4"/>
    <w:rsid w:val="36C46063"/>
    <w:rsid w:val="36C546D4"/>
    <w:rsid w:val="36E0506A"/>
    <w:rsid w:val="36E75E9F"/>
    <w:rsid w:val="36EF0964"/>
    <w:rsid w:val="36F823B4"/>
    <w:rsid w:val="36FA12C5"/>
    <w:rsid w:val="370276D6"/>
    <w:rsid w:val="370361D2"/>
    <w:rsid w:val="37233C62"/>
    <w:rsid w:val="372E0D47"/>
    <w:rsid w:val="373C1E47"/>
    <w:rsid w:val="373C4996"/>
    <w:rsid w:val="37481063"/>
    <w:rsid w:val="374F291D"/>
    <w:rsid w:val="37603B4D"/>
    <w:rsid w:val="376A382C"/>
    <w:rsid w:val="376F784C"/>
    <w:rsid w:val="37753AFC"/>
    <w:rsid w:val="377D0B0B"/>
    <w:rsid w:val="37806682"/>
    <w:rsid w:val="37806D52"/>
    <w:rsid w:val="37816E64"/>
    <w:rsid w:val="378E1F56"/>
    <w:rsid w:val="37921E9C"/>
    <w:rsid w:val="379E4B3A"/>
    <w:rsid w:val="37AE31C5"/>
    <w:rsid w:val="37CB6075"/>
    <w:rsid w:val="37D270A9"/>
    <w:rsid w:val="37E7226A"/>
    <w:rsid w:val="37E977FD"/>
    <w:rsid w:val="37EB26AA"/>
    <w:rsid w:val="37ED65C5"/>
    <w:rsid w:val="37FB44BE"/>
    <w:rsid w:val="37FE3B62"/>
    <w:rsid w:val="3807365F"/>
    <w:rsid w:val="380A49B1"/>
    <w:rsid w:val="38117B8B"/>
    <w:rsid w:val="383F28D9"/>
    <w:rsid w:val="38481119"/>
    <w:rsid w:val="38593326"/>
    <w:rsid w:val="385C2E16"/>
    <w:rsid w:val="38687780"/>
    <w:rsid w:val="38841206"/>
    <w:rsid w:val="38842B21"/>
    <w:rsid w:val="388A0F0C"/>
    <w:rsid w:val="38B22A36"/>
    <w:rsid w:val="38B7004D"/>
    <w:rsid w:val="38B842AB"/>
    <w:rsid w:val="38D34E86"/>
    <w:rsid w:val="38DB01DF"/>
    <w:rsid w:val="38E21299"/>
    <w:rsid w:val="38E44581"/>
    <w:rsid w:val="38E82A6A"/>
    <w:rsid w:val="38E91841"/>
    <w:rsid w:val="38ED5E93"/>
    <w:rsid w:val="390031DA"/>
    <w:rsid w:val="39006B5D"/>
    <w:rsid w:val="390B4877"/>
    <w:rsid w:val="39194863"/>
    <w:rsid w:val="392F1F08"/>
    <w:rsid w:val="395512B4"/>
    <w:rsid w:val="395C1320"/>
    <w:rsid w:val="396956BD"/>
    <w:rsid w:val="39745EB7"/>
    <w:rsid w:val="39775E88"/>
    <w:rsid w:val="397C3770"/>
    <w:rsid w:val="39830407"/>
    <w:rsid w:val="398E2379"/>
    <w:rsid w:val="39904FFE"/>
    <w:rsid w:val="39930ABA"/>
    <w:rsid w:val="39967A4F"/>
    <w:rsid w:val="399A706C"/>
    <w:rsid w:val="39AA21F8"/>
    <w:rsid w:val="39B373A8"/>
    <w:rsid w:val="39B9597A"/>
    <w:rsid w:val="39D2513E"/>
    <w:rsid w:val="39D32535"/>
    <w:rsid w:val="39E76710"/>
    <w:rsid w:val="39F66885"/>
    <w:rsid w:val="39FC665F"/>
    <w:rsid w:val="3A0E05C5"/>
    <w:rsid w:val="3A173289"/>
    <w:rsid w:val="3A2002B9"/>
    <w:rsid w:val="3A3404B8"/>
    <w:rsid w:val="3A3C2EFF"/>
    <w:rsid w:val="3A5969D7"/>
    <w:rsid w:val="3A60099C"/>
    <w:rsid w:val="3A613026"/>
    <w:rsid w:val="3A706705"/>
    <w:rsid w:val="3A7D0EFD"/>
    <w:rsid w:val="3A885777"/>
    <w:rsid w:val="3A9744D5"/>
    <w:rsid w:val="3A98147F"/>
    <w:rsid w:val="3A9E14C4"/>
    <w:rsid w:val="3AA8258A"/>
    <w:rsid w:val="3AB00351"/>
    <w:rsid w:val="3AB02FA5"/>
    <w:rsid w:val="3AB72314"/>
    <w:rsid w:val="3ACE455A"/>
    <w:rsid w:val="3AD219DA"/>
    <w:rsid w:val="3AE01E70"/>
    <w:rsid w:val="3AE369C3"/>
    <w:rsid w:val="3AEE244B"/>
    <w:rsid w:val="3B0532F1"/>
    <w:rsid w:val="3B0C083F"/>
    <w:rsid w:val="3B163750"/>
    <w:rsid w:val="3B1D4ADF"/>
    <w:rsid w:val="3B1E031B"/>
    <w:rsid w:val="3B21427F"/>
    <w:rsid w:val="3B285155"/>
    <w:rsid w:val="3B2A360B"/>
    <w:rsid w:val="3B365BA1"/>
    <w:rsid w:val="3B3A7D13"/>
    <w:rsid w:val="3B3C43AA"/>
    <w:rsid w:val="3B472B34"/>
    <w:rsid w:val="3B512977"/>
    <w:rsid w:val="3B567FF1"/>
    <w:rsid w:val="3B6B3A9C"/>
    <w:rsid w:val="3B7558E0"/>
    <w:rsid w:val="3B812228"/>
    <w:rsid w:val="3B895CD0"/>
    <w:rsid w:val="3B8D55CF"/>
    <w:rsid w:val="3BA3301A"/>
    <w:rsid w:val="3BA57768"/>
    <w:rsid w:val="3BA9287D"/>
    <w:rsid w:val="3BAB4D14"/>
    <w:rsid w:val="3BAF5DD3"/>
    <w:rsid w:val="3BC35686"/>
    <w:rsid w:val="3BCD723F"/>
    <w:rsid w:val="3BE92C13"/>
    <w:rsid w:val="3BEA51F5"/>
    <w:rsid w:val="3C1A63FE"/>
    <w:rsid w:val="3C237ED3"/>
    <w:rsid w:val="3C2A1B75"/>
    <w:rsid w:val="3C3025F0"/>
    <w:rsid w:val="3C455744"/>
    <w:rsid w:val="3C591B47"/>
    <w:rsid w:val="3C59458E"/>
    <w:rsid w:val="3C5B4AA8"/>
    <w:rsid w:val="3C6A70E9"/>
    <w:rsid w:val="3C87185B"/>
    <w:rsid w:val="3C8869AF"/>
    <w:rsid w:val="3C8C4461"/>
    <w:rsid w:val="3C974C4E"/>
    <w:rsid w:val="3CBC1F12"/>
    <w:rsid w:val="3CBD1D89"/>
    <w:rsid w:val="3CD21E1A"/>
    <w:rsid w:val="3CD5186E"/>
    <w:rsid w:val="3CDD2030"/>
    <w:rsid w:val="3CE06D42"/>
    <w:rsid w:val="3CE942B0"/>
    <w:rsid w:val="3CE961BA"/>
    <w:rsid w:val="3CEB09D4"/>
    <w:rsid w:val="3CEB77D4"/>
    <w:rsid w:val="3CEC6557"/>
    <w:rsid w:val="3CF278A5"/>
    <w:rsid w:val="3CF47E52"/>
    <w:rsid w:val="3D001E69"/>
    <w:rsid w:val="3D037D04"/>
    <w:rsid w:val="3D040AF0"/>
    <w:rsid w:val="3D193084"/>
    <w:rsid w:val="3D1E4B3E"/>
    <w:rsid w:val="3D276DB1"/>
    <w:rsid w:val="3D3D4FC4"/>
    <w:rsid w:val="3D497C25"/>
    <w:rsid w:val="3D4E71D1"/>
    <w:rsid w:val="3D526936"/>
    <w:rsid w:val="3D5C0FE1"/>
    <w:rsid w:val="3D671505"/>
    <w:rsid w:val="3D734E8A"/>
    <w:rsid w:val="3D76077E"/>
    <w:rsid w:val="3D7F1047"/>
    <w:rsid w:val="3D822756"/>
    <w:rsid w:val="3D88564C"/>
    <w:rsid w:val="3D892C59"/>
    <w:rsid w:val="3D9B618F"/>
    <w:rsid w:val="3DBE1EF0"/>
    <w:rsid w:val="3DC079A3"/>
    <w:rsid w:val="3DF064DB"/>
    <w:rsid w:val="3DF71617"/>
    <w:rsid w:val="3E104487"/>
    <w:rsid w:val="3E1324DF"/>
    <w:rsid w:val="3E157CEF"/>
    <w:rsid w:val="3E1D0952"/>
    <w:rsid w:val="3E1D4BEC"/>
    <w:rsid w:val="3E1D7988"/>
    <w:rsid w:val="3E2640C3"/>
    <w:rsid w:val="3E2829A7"/>
    <w:rsid w:val="3E3D28CD"/>
    <w:rsid w:val="3E490C82"/>
    <w:rsid w:val="3E524A9F"/>
    <w:rsid w:val="3E5766DA"/>
    <w:rsid w:val="3E7940F2"/>
    <w:rsid w:val="3E7C7AA0"/>
    <w:rsid w:val="3E9458BA"/>
    <w:rsid w:val="3E946E66"/>
    <w:rsid w:val="3EA846BF"/>
    <w:rsid w:val="3EAD5738"/>
    <w:rsid w:val="3EB574CC"/>
    <w:rsid w:val="3ED6747E"/>
    <w:rsid w:val="3EDD089F"/>
    <w:rsid w:val="3EDF565D"/>
    <w:rsid w:val="3EEC1489"/>
    <w:rsid w:val="3EF42816"/>
    <w:rsid w:val="3EFE3805"/>
    <w:rsid w:val="3F054809"/>
    <w:rsid w:val="3F067638"/>
    <w:rsid w:val="3F0B4C4E"/>
    <w:rsid w:val="3F0C07B4"/>
    <w:rsid w:val="3F152A8D"/>
    <w:rsid w:val="3F156330"/>
    <w:rsid w:val="3F1E57E0"/>
    <w:rsid w:val="3F280936"/>
    <w:rsid w:val="3F394231"/>
    <w:rsid w:val="3F394E34"/>
    <w:rsid w:val="3F3A12F5"/>
    <w:rsid w:val="3F406EC0"/>
    <w:rsid w:val="3F474868"/>
    <w:rsid w:val="3F577280"/>
    <w:rsid w:val="3F5C0D92"/>
    <w:rsid w:val="3F5F19E8"/>
    <w:rsid w:val="3F69191C"/>
    <w:rsid w:val="3F8213B4"/>
    <w:rsid w:val="3F892368"/>
    <w:rsid w:val="3F8F3AD1"/>
    <w:rsid w:val="3F937B2C"/>
    <w:rsid w:val="3F945386"/>
    <w:rsid w:val="3F9E2D74"/>
    <w:rsid w:val="3FA21419"/>
    <w:rsid w:val="3FA532F5"/>
    <w:rsid w:val="3FA869D1"/>
    <w:rsid w:val="3FCB1064"/>
    <w:rsid w:val="3FD37A21"/>
    <w:rsid w:val="3FD528D1"/>
    <w:rsid w:val="3FD6525C"/>
    <w:rsid w:val="3FEA3008"/>
    <w:rsid w:val="3FEC2CD2"/>
    <w:rsid w:val="3FEF7A43"/>
    <w:rsid w:val="3FF72BDD"/>
    <w:rsid w:val="400C1023"/>
    <w:rsid w:val="401C35B7"/>
    <w:rsid w:val="40273D0A"/>
    <w:rsid w:val="40385F17"/>
    <w:rsid w:val="40391D8F"/>
    <w:rsid w:val="404A5FA7"/>
    <w:rsid w:val="40624D42"/>
    <w:rsid w:val="40770E48"/>
    <w:rsid w:val="407B0539"/>
    <w:rsid w:val="407F2D00"/>
    <w:rsid w:val="408B4299"/>
    <w:rsid w:val="408E08DA"/>
    <w:rsid w:val="409107DD"/>
    <w:rsid w:val="40A231E3"/>
    <w:rsid w:val="40AF6026"/>
    <w:rsid w:val="40BC6B48"/>
    <w:rsid w:val="40C33CDC"/>
    <w:rsid w:val="40C477AB"/>
    <w:rsid w:val="40D979B2"/>
    <w:rsid w:val="40DC68A2"/>
    <w:rsid w:val="40DE01D9"/>
    <w:rsid w:val="40E4749D"/>
    <w:rsid w:val="40E816EB"/>
    <w:rsid w:val="40ED0A97"/>
    <w:rsid w:val="40F73215"/>
    <w:rsid w:val="41021F4C"/>
    <w:rsid w:val="4113523C"/>
    <w:rsid w:val="411B73DB"/>
    <w:rsid w:val="41226D31"/>
    <w:rsid w:val="4125450C"/>
    <w:rsid w:val="412C5A7C"/>
    <w:rsid w:val="41356D0B"/>
    <w:rsid w:val="414A1C82"/>
    <w:rsid w:val="41541EFC"/>
    <w:rsid w:val="415C122C"/>
    <w:rsid w:val="415D7063"/>
    <w:rsid w:val="41794ED2"/>
    <w:rsid w:val="41843829"/>
    <w:rsid w:val="418737DA"/>
    <w:rsid w:val="41923F97"/>
    <w:rsid w:val="4192681F"/>
    <w:rsid w:val="41957385"/>
    <w:rsid w:val="4197220E"/>
    <w:rsid w:val="41973F00"/>
    <w:rsid w:val="41A21103"/>
    <w:rsid w:val="41A536F9"/>
    <w:rsid w:val="41A75102"/>
    <w:rsid w:val="41B27E8F"/>
    <w:rsid w:val="41B94E35"/>
    <w:rsid w:val="41C41EBD"/>
    <w:rsid w:val="41CE2008"/>
    <w:rsid w:val="41D854BE"/>
    <w:rsid w:val="41E061A4"/>
    <w:rsid w:val="41E73751"/>
    <w:rsid w:val="41F07DF9"/>
    <w:rsid w:val="41F303BE"/>
    <w:rsid w:val="420328B9"/>
    <w:rsid w:val="420633EF"/>
    <w:rsid w:val="42064152"/>
    <w:rsid w:val="420E2E45"/>
    <w:rsid w:val="42112457"/>
    <w:rsid w:val="421B164C"/>
    <w:rsid w:val="42361EDD"/>
    <w:rsid w:val="42367C31"/>
    <w:rsid w:val="4245163E"/>
    <w:rsid w:val="425C6C61"/>
    <w:rsid w:val="42672AE3"/>
    <w:rsid w:val="426F38B9"/>
    <w:rsid w:val="42707E27"/>
    <w:rsid w:val="4280312D"/>
    <w:rsid w:val="428072A5"/>
    <w:rsid w:val="42823509"/>
    <w:rsid w:val="428B4B8D"/>
    <w:rsid w:val="428E4856"/>
    <w:rsid w:val="4295155E"/>
    <w:rsid w:val="429F4C44"/>
    <w:rsid w:val="42A27C1E"/>
    <w:rsid w:val="42AD5D08"/>
    <w:rsid w:val="42B2644E"/>
    <w:rsid w:val="42B51F06"/>
    <w:rsid w:val="42B86E9B"/>
    <w:rsid w:val="42CA5FA0"/>
    <w:rsid w:val="42E421CA"/>
    <w:rsid w:val="42F36125"/>
    <w:rsid w:val="43056584"/>
    <w:rsid w:val="43204077"/>
    <w:rsid w:val="43287DFF"/>
    <w:rsid w:val="432A2749"/>
    <w:rsid w:val="43336BD6"/>
    <w:rsid w:val="43382DA2"/>
    <w:rsid w:val="43452E25"/>
    <w:rsid w:val="43686B13"/>
    <w:rsid w:val="437004DF"/>
    <w:rsid w:val="43717A0B"/>
    <w:rsid w:val="43A63197"/>
    <w:rsid w:val="43A67007"/>
    <w:rsid w:val="43B330A8"/>
    <w:rsid w:val="43B6162D"/>
    <w:rsid w:val="43B66E45"/>
    <w:rsid w:val="43BD1647"/>
    <w:rsid w:val="43C024AB"/>
    <w:rsid w:val="43DD3CFC"/>
    <w:rsid w:val="43E443EC"/>
    <w:rsid w:val="43E721D3"/>
    <w:rsid w:val="43E816B6"/>
    <w:rsid w:val="43E845B0"/>
    <w:rsid w:val="43EF30CA"/>
    <w:rsid w:val="43F54197"/>
    <w:rsid w:val="43F81C45"/>
    <w:rsid w:val="440E57F4"/>
    <w:rsid w:val="4413082D"/>
    <w:rsid w:val="44150A49"/>
    <w:rsid w:val="44206155"/>
    <w:rsid w:val="442C18EF"/>
    <w:rsid w:val="44385320"/>
    <w:rsid w:val="444609F6"/>
    <w:rsid w:val="445D79D7"/>
    <w:rsid w:val="446A2412"/>
    <w:rsid w:val="446D2DC8"/>
    <w:rsid w:val="44725AF2"/>
    <w:rsid w:val="449A4B87"/>
    <w:rsid w:val="44BE5822"/>
    <w:rsid w:val="44D631F8"/>
    <w:rsid w:val="44E663D7"/>
    <w:rsid w:val="44E95A32"/>
    <w:rsid w:val="44F16CB1"/>
    <w:rsid w:val="44F47946"/>
    <w:rsid w:val="44FD4B3A"/>
    <w:rsid w:val="450027BB"/>
    <w:rsid w:val="4504286C"/>
    <w:rsid w:val="450E4321"/>
    <w:rsid w:val="450F5023"/>
    <w:rsid w:val="451C5E07"/>
    <w:rsid w:val="4521341D"/>
    <w:rsid w:val="452837C5"/>
    <w:rsid w:val="453F5652"/>
    <w:rsid w:val="4550785F"/>
    <w:rsid w:val="45575D01"/>
    <w:rsid w:val="455D1FCD"/>
    <w:rsid w:val="455F6FCB"/>
    <w:rsid w:val="456F6ED9"/>
    <w:rsid w:val="457D0FE9"/>
    <w:rsid w:val="45844238"/>
    <w:rsid w:val="458B4DE9"/>
    <w:rsid w:val="45916115"/>
    <w:rsid w:val="45930D13"/>
    <w:rsid w:val="459E3078"/>
    <w:rsid w:val="45A02A9B"/>
    <w:rsid w:val="45C71DDB"/>
    <w:rsid w:val="45D60AB8"/>
    <w:rsid w:val="45D60EF0"/>
    <w:rsid w:val="45D93CF8"/>
    <w:rsid w:val="45DA5C79"/>
    <w:rsid w:val="45DC5E7A"/>
    <w:rsid w:val="45DD1762"/>
    <w:rsid w:val="45E22BAD"/>
    <w:rsid w:val="45F33346"/>
    <w:rsid w:val="45F8591F"/>
    <w:rsid w:val="46026DAB"/>
    <w:rsid w:val="460945D1"/>
    <w:rsid w:val="46195EA3"/>
    <w:rsid w:val="46466103"/>
    <w:rsid w:val="464E28BD"/>
    <w:rsid w:val="465308E2"/>
    <w:rsid w:val="465A0CE8"/>
    <w:rsid w:val="465A6BE7"/>
    <w:rsid w:val="465E7D59"/>
    <w:rsid w:val="46636835"/>
    <w:rsid w:val="46733DB2"/>
    <w:rsid w:val="46773555"/>
    <w:rsid w:val="467A1037"/>
    <w:rsid w:val="469A6FE4"/>
    <w:rsid w:val="469D0882"/>
    <w:rsid w:val="46A00FD7"/>
    <w:rsid w:val="46A07194"/>
    <w:rsid w:val="46AA0D46"/>
    <w:rsid w:val="46AE4DD2"/>
    <w:rsid w:val="46B0002B"/>
    <w:rsid w:val="46B95A90"/>
    <w:rsid w:val="46BA1434"/>
    <w:rsid w:val="46BA4959"/>
    <w:rsid w:val="46C01BE2"/>
    <w:rsid w:val="46CA6F93"/>
    <w:rsid w:val="46D15EB0"/>
    <w:rsid w:val="46D82400"/>
    <w:rsid w:val="46E65FF8"/>
    <w:rsid w:val="46EE5581"/>
    <w:rsid w:val="46EF0EC3"/>
    <w:rsid w:val="472965B9"/>
    <w:rsid w:val="47460F19"/>
    <w:rsid w:val="47487957"/>
    <w:rsid w:val="474B45FC"/>
    <w:rsid w:val="4753743E"/>
    <w:rsid w:val="4765490F"/>
    <w:rsid w:val="47705BB8"/>
    <w:rsid w:val="47721D0E"/>
    <w:rsid w:val="47775DDF"/>
    <w:rsid w:val="47777325"/>
    <w:rsid w:val="47891D40"/>
    <w:rsid w:val="479372AB"/>
    <w:rsid w:val="47D106AF"/>
    <w:rsid w:val="47D71A31"/>
    <w:rsid w:val="47E04A28"/>
    <w:rsid w:val="47E825CC"/>
    <w:rsid w:val="47EE76F2"/>
    <w:rsid w:val="47FF4255"/>
    <w:rsid w:val="48117993"/>
    <w:rsid w:val="48162150"/>
    <w:rsid w:val="48167AE8"/>
    <w:rsid w:val="48286871"/>
    <w:rsid w:val="482A3CF7"/>
    <w:rsid w:val="482C6361"/>
    <w:rsid w:val="483A0950"/>
    <w:rsid w:val="483B3434"/>
    <w:rsid w:val="483C1325"/>
    <w:rsid w:val="486A2CD3"/>
    <w:rsid w:val="48777F4D"/>
    <w:rsid w:val="48842E86"/>
    <w:rsid w:val="488779FB"/>
    <w:rsid w:val="48A00B3C"/>
    <w:rsid w:val="48A42FAD"/>
    <w:rsid w:val="48A926E3"/>
    <w:rsid w:val="48BE13B5"/>
    <w:rsid w:val="48CB07F4"/>
    <w:rsid w:val="48CB5A6F"/>
    <w:rsid w:val="48CD5A56"/>
    <w:rsid w:val="48D1071F"/>
    <w:rsid w:val="48D32BDC"/>
    <w:rsid w:val="48E22EC4"/>
    <w:rsid w:val="48FA6D19"/>
    <w:rsid w:val="48FD1ECC"/>
    <w:rsid w:val="4914489A"/>
    <w:rsid w:val="49184DB0"/>
    <w:rsid w:val="4924528A"/>
    <w:rsid w:val="492E0689"/>
    <w:rsid w:val="492E435B"/>
    <w:rsid w:val="493039E2"/>
    <w:rsid w:val="493059DD"/>
    <w:rsid w:val="4947077A"/>
    <w:rsid w:val="494805CB"/>
    <w:rsid w:val="495938AA"/>
    <w:rsid w:val="495B08F6"/>
    <w:rsid w:val="49782884"/>
    <w:rsid w:val="498A016F"/>
    <w:rsid w:val="499F6F4E"/>
    <w:rsid w:val="49A04CC0"/>
    <w:rsid w:val="49A061BE"/>
    <w:rsid w:val="49A27D5F"/>
    <w:rsid w:val="49A36CE7"/>
    <w:rsid w:val="49A4245E"/>
    <w:rsid w:val="49AD4CB7"/>
    <w:rsid w:val="49B1684A"/>
    <w:rsid w:val="49B80145"/>
    <w:rsid w:val="49E55156"/>
    <w:rsid w:val="49E553FD"/>
    <w:rsid w:val="49E5749A"/>
    <w:rsid w:val="49F37F0C"/>
    <w:rsid w:val="49F44C5D"/>
    <w:rsid w:val="49FE6B2E"/>
    <w:rsid w:val="4A041731"/>
    <w:rsid w:val="4A05330E"/>
    <w:rsid w:val="4A0C3094"/>
    <w:rsid w:val="4A1264D9"/>
    <w:rsid w:val="4A17094B"/>
    <w:rsid w:val="4A1D0657"/>
    <w:rsid w:val="4A282B58"/>
    <w:rsid w:val="4A2E2C6A"/>
    <w:rsid w:val="4A3367AF"/>
    <w:rsid w:val="4A370F44"/>
    <w:rsid w:val="4A631DE2"/>
    <w:rsid w:val="4A772AFC"/>
    <w:rsid w:val="4AA85A47"/>
    <w:rsid w:val="4AB942B8"/>
    <w:rsid w:val="4ABB1C1E"/>
    <w:rsid w:val="4AC62A9D"/>
    <w:rsid w:val="4ADA20A4"/>
    <w:rsid w:val="4AFD3522"/>
    <w:rsid w:val="4B0132F2"/>
    <w:rsid w:val="4B03691D"/>
    <w:rsid w:val="4B04271D"/>
    <w:rsid w:val="4B0D06CC"/>
    <w:rsid w:val="4B19367E"/>
    <w:rsid w:val="4B294DDA"/>
    <w:rsid w:val="4B2A05A0"/>
    <w:rsid w:val="4B3A23F9"/>
    <w:rsid w:val="4B3C47BA"/>
    <w:rsid w:val="4B44006C"/>
    <w:rsid w:val="4B4627DA"/>
    <w:rsid w:val="4B4E5D5E"/>
    <w:rsid w:val="4B6D42AC"/>
    <w:rsid w:val="4B716E2D"/>
    <w:rsid w:val="4B7F49FA"/>
    <w:rsid w:val="4B863B11"/>
    <w:rsid w:val="4B94369C"/>
    <w:rsid w:val="4BAD1567"/>
    <w:rsid w:val="4BAE5327"/>
    <w:rsid w:val="4BAF2889"/>
    <w:rsid w:val="4BB67896"/>
    <w:rsid w:val="4BCF3F9F"/>
    <w:rsid w:val="4BE736C7"/>
    <w:rsid w:val="4BFB556E"/>
    <w:rsid w:val="4C027114"/>
    <w:rsid w:val="4C1E3C30"/>
    <w:rsid w:val="4C271CF5"/>
    <w:rsid w:val="4C547C35"/>
    <w:rsid w:val="4C6C1422"/>
    <w:rsid w:val="4C885B30"/>
    <w:rsid w:val="4CA35AB2"/>
    <w:rsid w:val="4CA5064C"/>
    <w:rsid w:val="4CA77574"/>
    <w:rsid w:val="4CAA1DFE"/>
    <w:rsid w:val="4CAF6824"/>
    <w:rsid w:val="4CB46925"/>
    <w:rsid w:val="4CBD7ED0"/>
    <w:rsid w:val="4CBF59F6"/>
    <w:rsid w:val="4CCE2BC8"/>
    <w:rsid w:val="4CD15548"/>
    <w:rsid w:val="4CD35265"/>
    <w:rsid w:val="4CF15365"/>
    <w:rsid w:val="4CF561A9"/>
    <w:rsid w:val="4D0C12F6"/>
    <w:rsid w:val="4D134C44"/>
    <w:rsid w:val="4D1D08AF"/>
    <w:rsid w:val="4D2A6BE7"/>
    <w:rsid w:val="4D2E0486"/>
    <w:rsid w:val="4D2F118D"/>
    <w:rsid w:val="4D4574CF"/>
    <w:rsid w:val="4D494DA1"/>
    <w:rsid w:val="4D4A75C7"/>
    <w:rsid w:val="4D4C7C7F"/>
    <w:rsid w:val="4D4D23A2"/>
    <w:rsid w:val="4D5048A0"/>
    <w:rsid w:val="4D6245D3"/>
    <w:rsid w:val="4D637E12"/>
    <w:rsid w:val="4D6F0718"/>
    <w:rsid w:val="4D767213"/>
    <w:rsid w:val="4D8E53C8"/>
    <w:rsid w:val="4D92314C"/>
    <w:rsid w:val="4DB50A61"/>
    <w:rsid w:val="4DB528BE"/>
    <w:rsid w:val="4DBF35A7"/>
    <w:rsid w:val="4DCF4913"/>
    <w:rsid w:val="4DD57BC2"/>
    <w:rsid w:val="4DDC6812"/>
    <w:rsid w:val="4DDE2990"/>
    <w:rsid w:val="4DE4148C"/>
    <w:rsid w:val="4DED2BA0"/>
    <w:rsid w:val="4DEE2014"/>
    <w:rsid w:val="4DF416CF"/>
    <w:rsid w:val="4E094A4F"/>
    <w:rsid w:val="4E0C563A"/>
    <w:rsid w:val="4E231FB4"/>
    <w:rsid w:val="4E261AA5"/>
    <w:rsid w:val="4E384E18"/>
    <w:rsid w:val="4E3C59C3"/>
    <w:rsid w:val="4E45017D"/>
    <w:rsid w:val="4E45105E"/>
    <w:rsid w:val="4E4F4B57"/>
    <w:rsid w:val="4E505B47"/>
    <w:rsid w:val="4E5C7274"/>
    <w:rsid w:val="4E6435B5"/>
    <w:rsid w:val="4E665B07"/>
    <w:rsid w:val="4E6A2BCE"/>
    <w:rsid w:val="4E7229C4"/>
    <w:rsid w:val="4E765BA1"/>
    <w:rsid w:val="4E791BD4"/>
    <w:rsid w:val="4E796078"/>
    <w:rsid w:val="4E7A455F"/>
    <w:rsid w:val="4E804E51"/>
    <w:rsid w:val="4E8A2209"/>
    <w:rsid w:val="4E8C43AF"/>
    <w:rsid w:val="4E922C96"/>
    <w:rsid w:val="4E96735F"/>
    <w:rsid w:val="4E9C79A7"/>
    <w:rsid w:val="4E9D7347"/>
    <w:rsid w:val="4EBE1CDD"/>
    <w:rsid w:val="4EC418FE"/>
    <w:rsid w:val="4ED24B8F"/>
    <w:rsid w:val="4EF23C29"/>
    <w:rsid w:val="4EF94AC3"/>
    <w:rsid w:val="4EFB6A8D"/>
    <w:rsid w:val="4EFE38D4"/>
    <w:rsid w:val="4EFE5390"/>
    <w:rsid w:val="4F020FC7"/>
    <w:rsid w:val="4F177F55"/>
    <w:rsid w:val="4F1E54F7"/>
    <w:rsid w:val="4F351C75"/>
    <w:rsid w:val="4F3C40D8"/>
    <w:rsid w:val="4F5166AD"/>
    <w:rsid w:val="4F55619D"/>
    <w:rsid w:val="4F560168"/>
    <w:rsid w:val="4F5B752C"/>
    <w:rsid w:val="4F5D14F6"/>
    <w:rsid w:val="4F64497A"/>
    <w:rsid w:val="4F75448F"/>
    <w:rsid w:val="4F7F321A"/>
    <w:rsid w:val="4F7F55E4"/>
    <w:rsid w:val="4F912EA4"/>
    <w:rsid w:val="4F922E97"/>
    <w:rsid w:val="4FAC0CFF"/>
    <w:rsid w:val="4FBC4E36"/>
    <w:rsid w:val="4FCB63AC"/>
    <w:rsid w:val="4FD318AB"/>
    <w:rsid w:val="4FD37111"/>
    <w:rsid w:val="4FF11BF7"/>
    <w:rsid w:val="500A342C"/>
    <w:rsid w:val="50212CBE"/>
    <w:rsid w:val="50263C1D"/>
    <w:rsid w:val="502D4CAC"/>
    <w:rsid w:val="503C55AF"/>
    <w:rsid w:val="503C735D"/>
    <w:rsid w:val="503E4782"/>
    <w:rsid w:val="505D33F6"/>
    <w:rsid w:val="506373B6"/>
    <w:rsid w:val="506955AD"/>
    <w:rsid w:val="50784E34"/>
    <w:rsid w:val="507F11F7"/>
    <w:rsid w:val="50811214"/>
    <w:rsid w:val="50862061"/>
    <w:rsid w:val="508C2093"/>
    <w:rsid w:val="508C2401"/>
    <w:rsid w:val="509251CF"/>
    <w:rsid w:val="50942CF5"/>
    <w:rsid w:val="509E5922"/>
    <w:rsid w:val="50B41030"/>
    <w:rsid w:val="50B60EBE"/>
    <w:rsid w:val="50B61C88"/>
    <w:rsid w:val="50CF3D2E"/>
    <w:rsid w:val="50EA7200"/>
    <w:rsid w:val="50F814D6"/>
    <w:rsid w:val="51090BCB"/>
    <w:rsid w:val="510A78C7"/>
    <w:rsid w:val="511A2A84"/>
    <w:rsid w:val="511E4826"/>
    <w:rsid w:val="512325FD"/>
    <w:rsid w:val="512548F2"/>
    <w:rsid w:val="512879D2"/>
    <w:rsid w:val="512F31D9"/>
    <w:rsid w:val="512F6EC2"/>
    <w:rsid w:val="513D0E6F"/>
    <w:rsid w:val="51491D32"/>
    <w:rsid w:val="514C4457"/>
    <w:rsid w:val="514E10F6"/>
    <w:rsid w:val="516923D4"/>
    <w:rsid w:val="517A013D"/>
    <w:rsid w:val="517A6384"/>
    <w:rsid w:val="51861680"/>
    <w:rsid w:val="518F0BFA"/>
    <w:rsid w:val="519252C5"/>
    <w:rsid w:val="51937C01"/>
    <w:rsid w:val="51A77ED8"/>
    <w:rsid w:val="51AC22C1"/>
    <w:rsid w:val="51AF03DA"/>
    <w:rsid w:val="51B05DB2"/>
    <w:rsid w:val="51C4517F"/>
    <w:rsid w:val="51C759C9"/>
    <w:rsid w:val="51CC4711"/>
    <w:rsid w:val="51FE2432"/>
    <w:rsid w:val="52056DFB"/>
    <w:rsid w:val="52082D3C"/>
    <w:rsid w:val="520E552E"/>
    <w:rsid w:val="522054E1"/>
    <w:rsid w:val="52222EB5"/>
    <w:rsid w:val="522522FC"/>
    <w:rsid w:val="52321763"/>
    <w:rsid w:val="523839E3"/>
    <w:rsid w:val="523C53F3"/>
    <w:rsid w:val="523F23C8"/>
    <w:rsid w:val="52432AF7"/>
    <w:rsid w:val="52432C25"/>
    <w:rsid w:val="52505342"/>
    <w:rsid w:val="526112FD"/>
    <w:rsid w:val="52690536"/>
    <w:rsid w:val="52691F60"/>
    <w:rsid w:val="529B31C7"/>
    <w:rsid w:val="52A13B73"/>
    <w:rsid w:val="52A24537"/>
    <w:rsid w:val="52AF02BB"/>
    <w:rsid w:val="52B551A5"/>
    <w:rsid w:val="52BC4786"/>
    <w:rsid w:val="52C11544"/>
    <w:rsid w:val="52C8312A"/>
    <w:rsid w:val="52ED6FB1"/>
    <w:rsid w:val="52FB049E"/>
    <w:rsid w:val="52FC6541"/>
    <w:rsid w:val="53016F33"/>
    <w:rsid w:val="53065675"/>
    <w:rsid w:val="530909D3"/>
    <w:rsid w:val="531E0F9C"/>
    <w:rsid w:val="532E7431"/>
    <w:rsid w:val="533146A8"/>
    <w:rsid w:val="533802B0"/>
    <w:rsid w:val="534015B5"/>
    <w:rsid w:val="534F0BAB"/>
    <w:rsid w:val="536F0699"/>
    <w:rsid w:val="53784B50"/>
    <w:rsid w:val="537A08C9"/>
    <w:rsid w:val="538B4884"/>
    <w:rsid w:val="539D57F6"/>
    <w:rsid w:val="53A671DE"/>
    <w:rsid w:val="53A67491"/>
    <w:rsid w:val="53AB6CD4"/>
    <w:rsid w:val="53B06C4C"/>
    <w:rsid w:val="53D8114B"/>
    <w:rsid w:val="53DD0E57"/>
    <w:rsid w:val="53E36D11"/>
    <w:rsid w:val="53E67D0C"/>
    <w:rsid w:val="53F54A09"/>
    <w:rsid w:val="53FC0A7A"/>
    <w:rsid w:val="540627A3"/>
    <w:rsid w:val="54163097"/>
    <w:rsid w:val="54270D01"/>
    <w:rsid w:val="54320E86"/>
    <w:rsid w:val="543D5452"/>
    <w:rsid w:val="544E5B1C"/>
    <w:rsid w:val="544F7544"/>
    <w:rsid w:val="545D3F1C"/>
    <w:rsid w:val="54646E83"/>
    <w:rsid w:val="546B4490"/>
    <w:rsid w:val="546C6168"/>
    <w:rsid w:val="546C7AF6"/>
    <w:rsid w:val="54753AA5"/>
    <w:rsid w:val="54790A35"/>
    <w:rsid w:val="54830907"/>
    <w:rsid w:val="548904F9"/>
    <w:rsid w:val="548E3F00"/>
    <w:rsid w:val="549C12AE"/>
    <w:rsid w:val="54A85484"/>
    <w:rsid w:val="54AF4787"/>
    <w:rsid w:val="54B24092"/>
    <w:rsid w:val="54BC146D"/>
    <w:rsid w:val="54C0055D"/>
    <w:rsid w:val="54CC2D3C"/>
    <w:rsid w:val="54CC31B5"/>
    <w:rsid w:val="54E816BF"/>
    <w:rsid w:val="54EC025D"/>
    <w:rsid w:val="54F53A05"/>
    <w:rsid w:val="54F55D2D"/>
    <w:rsid w:val="54FB30FF"/>
    <w:rsid w:val="550A2531"/>
    <w:rsid w:val="550C72B7"/>
    <w:rsid w:val="55194D4A"/>
    <w:rsid w:val="55321795"/>
    <w:rsid w:val="553920BD"/>
    <w:rsid w:val="5540344C"/>
    <w:rsid w:val="55436A98"/>
    <w:rsid w:val="554B168C"/>
    <w:rsid w:val="554F368F"/>
    <w:rsid w:val="55553E18"/>
    <w:rsid w:val="55560EC1"/>
    <w:rsid w:val="55582AEC"/>
    <w:rsid w:val="55595E36"/>
    <w:rsid w:val="555F38B9"/>
    <w:rsid w:val="55633C1C"/>
    <w:rsid w:val="55651104"/>
    <w:rsid w:val="556825AC"/>
    <w:rsid w:val="5576055B"/>
    <w:rsid w:val="557E12E2"/>
    <w:rsid w:val="558A6472"/>
    <w:rsid w:val="558C043F"/>
    <w:rsid w:val="559546F9"/>
    <w:rsid w:val="55987C5B"/>
    <w:rsid w:val="559D264C"/>
    <w:rsid w:val="55A20309"/>
    <w:rsid w:val="55A501C4"/>
    <w:rsid w:val="55BD0154"/>
    <w:rsid w:val="55CA22BB"/>
    <w:rsid w:val="55D85898"/>
    <w:rsid w:val="55DE1EDB"/>
    <w:rsid w:val="55E87B1A"/>
    <w:rsid w:val="55EE2EA8"/>
    <w:rsid w:val="55F54744"/>
    <w:rsid w:val="56001A88"/>
    <w:rsid w:val="56010B19"/>
    <w:rsid w:val="56222B52"/>
    <w:rsid w:val="56292132"/>
    <w:rsid w:val="56382375"/>
    <w:rsid w:val="564505A1"/>
    <w:rsid w:val="564A6B43"/>
    <w:rsid w:val="56552F27"/>
    <w:rsid w:val="565F394E"/>
    <w:rsid w:val="56630139"/>
    <w:rsid w:val="56813FE0"/>
    <w:rsid w:val="5689497F"/>
    <w:rsid w:val="56896AA6"/>
    <w:rsid w:val="568A6C6F"/>
    <w:rsid w:val="569B2050"/>
    <w:rsid w:val="56A83D23"/>
    <w:rsid w:val="56C21867"/>
    <w:rsid w:val="56C6483E"/>
    <w:rsid w:val="56C67981"/>
    <w:rsid w:val="56CC60F5"/>
    <w:rsid w:val="5700148F"/>
    <w:rsid w:val="57084AE0"/>
    <w:rsid w:val="57122BC6"/>
    <w:rsid w:val="57164A47"/>
    <w:rsid w:val="571701DC"/>
    <w:rsid w:val="571C3D6B"/>
    <w:rsid w:val="571C73D5"/>
    <w:rsid w:val="571F452A"/>
    <w:rsid w:val="571F7891"/>
    <w:rsid w:val="572343A9"/>
    <w:rsid w:val="5756180B"/>
    <w:rsid w:val="57580F21"/>
    <w:rsid w:val="5762159B"/>
    <w:rsid w:val="57895F9E"/>
    <w:rsid w:val="579502BF"/>
    <w:rsid w:val="579509C7"/>
    <w:rsid w:val="579D553A"/>
    <w:rsid w:val="57A6691E"/>
    <w:rsid w:val="57A973C0"/>
    <w:rsid w:val="57AD0391"/>
    <w:rsid w:val="57AD7AE7"/>
    <w:rsid w:val="57B57363"/>
    <w:rsid w:val="57B62CE2"/>
    <w:rsid w:val="57B92419"/>
    <w:rsid w:val="57BA5086"/>
    <w:rsid w:val="57CB50E3"/>
    <w:rsid w:val="57CF0AB7"/>
    <w:rsid w:val="57E2382A"/>
    <w:rsid w:val="57E43CE6"/>
    <w:rsid w:val="57E82E50"/>
    <w:rsid w:val="58067046"/>
    <w:rsid w:val="581667FF"/>
    <w:rsid w:val="582346FA"/>
    <w:rsid w:val="58277A16"/>
    <w:rsid w:val="58310E71"/>
    <w:rsid w:val="58437985"/>
    <w:rsid w:val="58691999"/>
    <w:rsid w:val="587D6765"/>
    <w:rsid w:val="58AC6EEA"/>
    <w:rsid w:val="58B57CAD"/>
    <w:rsid w:val="58B648B3"/>
    <w:rsid w:val="58BF03D7"/>
    <w:rsid w:val="58C06DD0"/>
    <w:rsid w:val="58CB5722"/>
    <w:rsid w:val="58D13E39"/>
    <w:rsid w:val="58DC5815"/>
    <w:rsid w:val="58E35531"/>
    <w:rsid w:val="58E5035E"/>
    <w:rsid w:val="590734FB"/>
    <w:rsid w:val="590B1FC3"/>
    <w:rsid w:val="59140AF1"/>
    <w:rsid w:val="591907F4"/>
    <w:rsid w:val="5919537B"/>
    <w:rsid w:val="591C7D2C"/>
    <w:rsid w:val="59243F9D"/>
    <w:rsid w:val="593836A9"/>
    <w:rsid w:val="593926CF"/>
    <w:rsid w:val="593D36AC"/>
    <w:rsid w:val="594B0F85"/>
    <w:rsid w:val="59511904"/>
    <w:rsid w:val="59516274"/>
    <w:rsid w:val="59567793"/>
    <w:rsid w:val="595A43BE"/>
    <w:rsid w:val="596A28E3"/>
    <w:rsid w:val="59981AA8"/>
    <w:rsid w:val="599C3269"/>
    <w:rsid w:val="599C5376"/>
    <w:rsid w:val="59B55C94"/>
    <w:rsid w:val="59B83EF9"/>
    <w:rsid w:val="59D61290"/>
    <w:rsid w:val="59DF6694"/>
    <w:rsid w:val="59F14D15"/>
    <w:rsid w:val="5A0E69B6"/>
    <w:rsid w:val="5A0F3E83"/>
    <w:rsid w:val="5A1361DB"/>
    <w:rsid w:val="5A167109"/>
    <w:rsid w:val="5A2151EA"/>
    <w:rsid w:val="5A250E62"/>
    <w:rsid w:val="5A4451B4"/>
    <w:rsid w:val="5A492DA3"/>
    <w:rsid w:val="5A5534F6"/>
    <w:rsid w:val="5A7476F4"/>
    <w:rsid w:val="5A791130"/>
    <w:rsid w:val="5A960290"/>
    <w:rsid w:val="5ADC2449"/>
    <w:rsid w:val="5AEE75AA"/>
    <w:rsid w:val="5AF83BB7"/>
    <w:rsid w:val="5AFB40DB"/>
    <w:rsid w:val="5B0A6270"/>
    <w:rsid w:val="5B106892"/>
    <w:rsid w:val="5B1A59B8"/>
    <w:rsid w:val="5B1F58B2"/>
    <w:rsid w:val="5B2630E4"/>
    <w:rsid w:val="5B264E92"/>
    <w:rsid w:val="5B2822B8"/>
    <w:rsid w:val="5B3741D3"/>
    <w:rsid w:val="5B392E17"/>
    <w:rsid w:val="5B3A093D"/>
    <w:rsid w:val="5B4A4C11"/>
    <w:rsid w:val="5B5C6B06"/>
    <w:rsid w:val="5B620CD4"/>
    <w:rsid w:val="5B7223C1"/>
    <w:rsid w:val="5B7E082A"/>
    <w:rsid w:val="5B7E6A7C"/>
    <w:rsid w:val="5B8147BE"/>
    <w:rsid w:val="5B881776"/>
    <w:rsid w:val="5B8A5692"/>
    <w:rsid w:val="5B8C30E2"/>
    <w:rsid w:val="5B9B5880"/>
    <w:rsid w:val="5BA145C5"/>
    <w:rsid w:val="5BAD71F7"/>
    <w:rsid w:val="5BAF4E87"/>
    <w:rsid w:val="5BB57706"/>
    <w:rsid w:val="5BB67DB2"/>
    <w:rsid w:val="5BC01246"/>
    <w:rsid w:val="5BFF530E"/>
    <w:rsid w:val="5C043425"/>
    <w:rsid w:val="5C076A71"/>
    <w:rsid w:val="5C27111B"/>
    <w:rsid w:val="5C2D0EE9"/>
    <w:rsid w:val="5C37730D"/>
    <w:rsid w:val="5C3B2BBF"/>
    <w:rsid w:val="5C4E46A0"/>
    <w:rsid w:val="5C6519EA"/>
    <w:rsid w:val="5C6A19F9"/>
    <w:rsid w:val="5C6B2683"/>
    <w:rsid w:val="5C6E089F"/>
    <w:rsid w:val="5C6E1208"/>
    <w:rsid w:val="5C73646F"/>
    <w:rsid w:val="5C786063"/>
    <w:rsid w:val="5C7C6288"/>
    <w:rsid w:val="5C841E70"/>
    <w:rsid w:val="5CB151DB"/>
    <w:rsid w:val="5CB80C32"/>
    <w:rsid w:val="5CC975BB"/>
    <w:rsid w:val="5CD25402"/>
    <w:rsid w:val="5CDD3394"/>
    <w:rsid w:val="5CE449B3"/>
    <w:rsid w:val="5CE768A3"/>
    <w:rsid w:val="5CFA0384"/>
    <w:rsid w:val="5CFD7258"/>
    <w:rsid w:val="5D2C7548"/>
    <w:rsid w:val="5D3970FE"/>
    <w:rsid w:val="5D4351CF"/>
    <w:rsid w:val="5D5B189F"/>
    <w:rsid w:val="5D6E5126"/>
    <w:rsid w:val="5D6F2B20"/>
    <w:rsid w:val="5D721AD1"/>
    <w:rsid w:val="5D7869AF"/>
    <w:rsid w:val="5D833E1E"/>
    <w:rsid w:val="5D891708"/>
    <w:rsid w:val="5D9F2CDA"/>
    <w:rsid w:val="5DA149C0"/>
    <w:rsid w:val="5DA17EA4"/>
    <w:rsid w:val="5DA54794"/>
    <w:rsid w:val="5DA830AD"/>
    <w:rsid w:val="5DBC7815"/>
    <w:rsid w:val="5DDE2503"/>
    <w:rsid w:val="5DE54B90"/>
    <w:rsid w:val="5DE64A71"/>
    <w:rsid w:val="5DE64B7D"/>
    <w:rsid w:val="5DE76A35"/>
    <w:rsid w:val="5DEA664B"/>
    <w:rsid w:val="5DEE5638"/>
    <w:rsid w:val="5E08142B"/>
    <w:rsid w:val="5E0A7679"/>
    <w:rsid w:val="5E1307EB"/>
    <w:rsid w:val="5E145476"/>
    <w:rsid w:val="5E1B6804"/>
    <w:rsid w:val="5E1E26A0"/>
    <w:rsid w:val="5E253B1C"/>
    <w:rsid w:val="5E254310"/>
    <w:rsid w:val="5E34491B"/>
    <w:rsid w:val="5E3653EC"/>
    <w:rsid w:val="5E4F64AE"/>
    <w:rsid w:val="5E510478"/>
    <w:rsid w:val="5E52592E"/>
    <w:rsid w:val="5E5D7F21"/>
    <w:rsid w:val="5E5E21D2"/>
    <w:rsid w:val="5E6918B8"/>
    <w:rsid w:val="5E761F81"/>
    <w:rsid w:val="5E92366A"/>
    <w:rsid w:val="5E951F15"/>
    <w:rsid w:val="5E99597B"/>
    <w:rsid w:val="5E9B16F3"/>
    <w:rsid w:val="5E9E02C7"/>
    <w:rsid w:val="5EA31E7B"/>
    <w:rsid w:val="5EA552F2"/>
    <w:rsid w:val="5EB915BA"/>
    <w:rsid w:val="5EBC0561"/>
    <w:rsid w:val="5ED0552E"/>
    <w:rsid w:val="5EE43A05"/>
    <w:rsid w:val="5EF145DA"/>
    <w:rsid w:val="5F182D44"/>
    <w:rsid w:val="5F2003BF"/>
    <w:rsid w:val="5F2E07B9"/>
    <w:rsid w:val="5F2E19E7"/>
    <w:rsid w:val="5F311F0D"/>
    <w:rsid w:val="5F3215AC"/>
    <w:rsid w:val="5F363C46"/>
    <w:rsid w:val="5F376D86"/>
    <w:rsid w:val="5F3D09FC"/>
    <w:rsid w:val="5F406DC8"/>
    <w:rsid w:val="5F4E2C09"/>
    <w:rsid w:val="5F713B8C"/>
    <w:rsid w:val="5F794BFA"/>
    <w:rsid w:val="5F7E1A8C"/>
    <w:rsid w:val="5F8B5DFF"/>
    <w:rsid w:val="5F9920D6"/>
    <w:rsid w:val="5FA052BD"/>
    <w:rsid w:val="5FB52C88"/>
    <w:rsid w:val="5FC20614"/>
    <w:rsid w:val="5FCA2AC0"/>
    <w:rsid w:val="5FCA7D1D"/>
    <w:rsid w:val="5FCC305F"/>
    <w:rsid w:val="5FE0450C"/>
    <w:rsid w:val="5FEE2397"/>
    <w:rsid w:val="60011A2A"/>
    <w:rsid w:val="60042075"/>
    <w:rsid w:val="600D6620"/>
    <w:rsid w:val="600E5B62"/>
    <w:rsid w:val="602D3ADF"/>
    <w:rsid w:val="60430294"/>
    <w:rsid w:val="60477D84"/>
    <w:rsid w:val="60571300"/>
    <w:rsid w:val="60634492"/>
    <w:rsid w:val="606E520D"/>
    <w:rsid w:val="60740B95"/>
    <w:rsid w:val="60747697"/>
    <w:rsid w:val="607641C6"/>
    <w:rsid w:val="607D01A8"/>
    <w:rsid w:val="60814B98"/>
    <w:rsid w:val="608647FB"/>
    <w:rsid w:val="608742EA"/>
    <w:rsid w:val="60885CA7"/>
    <w:rsid w:val="6096704D"/>
    <w:rsid w:val="60B13450"/>
    <w:rsid w:val="60B506D1"/>
    <w:rsid w:val="60BC5C6D"/>
    <w:rsid w:val="60C50CA9"/>
    <w:rsid w:val="60CB69E6"/>
    <w:rsid w:val="60D03445"/>
    <w:rsid w:val="60D33784"/>
    <w:rsid w:val="60D45790"/>
    <w:rsid w:val="60D96503"/>
    <w:rsid w:val="60EC35BF"/>
    <w:rsid w:val="610120A5"/>
    <w:rsid w:val="6105554A"/>
    <w:rsid w:val="610E43FE"/>
    <w:rsid w:val="61102184"/>
    <w:rsid w:val="61123C94"/>
    <w:rsid w:val="611F26AD"/>
    <w:rsid w:val="612B4734"/>
    <w:rsid w:val="613A1697"/>
    <w:rsid w:val="613E1D7A"/>
    <w:rsid w:val="61711018"/>
    <w:rsid w:val="617664BD"/>
    <w:rsid w:val="617754B8"/>
    <w:rsid w:val="617B37A0"/>
    <w:rsid w:val="617F2857"/>
    <w:rsid w:val="61826A36"/>
    <w:rsid w:val="61843050"/>
    <w:rsid w:val="61864830"/>
    <w:rsid w:val="619A276D"/>
    <w:rsid w:val="619C7C5C"/>
    <w:rsid w:val="61AA41D8"/>
    <w:rsid w:val="61AB534D"/>
    <w:rsid w:val="61B4420E"/>
    <w:rsid w:val="61BB06B6"/>
    <w:rsid w:val="61C45773"/>
    <w:rsid w:val="61CF5DA0"/>
    <w:rsid w:val="61D373F6"/>
    <w:rsid w:val="61F77588"/>
    <w:rsid w:val="61FA5617"/>
    <w:rsid w:val="61FB0E26"/>
    <w:rsid w:val="61FE220F"/>
    <w:rsid w:val="61FF4886"/>
    <w:rsid w:val="6204625D"/>
    <w:rsid w:val="62077F67"/>
    <w:rsid w:val="623C4F9B"/>
    <w:rsid w:val="623E3C23"/>
    <w:rsid w:val="62443A91"/>
    <w:rsid w:val="6246644C"/>
    <w:rsid w:val="624E31D0"/>
    <w:rsid w:val="624E7090"/>
    <w:rsid w:val="627363E3"/>
    <w:rsid w:val="62754788"/>
    <w:rsid w:val="627703DF"/>
    <w:rsid w:val="62786AC1"/>
    <w:rsid w:val="6283706E"/>
    <w:rsid w:val="62863C5E"/>
    <w:rsid w:val="628A21AA"/>
    <w:rsid w:val="62997E89"/>
    <w:rsid w:val="62B9483E"/>
    <w:rsid w:val="62BA1CC2"/>
    <w:rsid w:val="62BE5AC4"/>
    <w:rsid w:val="62C03E1E"/>
    <w:rsid w:val="62C06CDE"/>
    <w:rsid w:val="62C14866"/>
    <w:rsid w:val="62D548D4"/>
    <w:rsid w:val="62D653F0"/>
    <w:rsid w:val="62D90A3C"/>
    <w:rsid w:val="62E21FE6"/>
    <w:rsid w:val="63057B5A"/>
    <w:rsid w:val="630652D7"/>
    <w:rsid w:val="630C0E11"/>
    <w:rsid w:val="632D66D7"/>
    <w:rsid w:val="632E0D88"/>
    <w:rsid w:val="63462575"/>
    <w:rsid w:val="634D2A92"/>
    <w:rsid w:val="634E04C4"/>
    <w:rsid w:val="635348C2"/>
    <w:rsid w:val="63676048"/>
    <w:rsid w:val="63706578"/>
    <w:rsid w:val="637A5594"/>
    <w:rsid w:val="637F25EE"/>
    <w:rsid w:val="63807109"/>
    <w:rsid w:val="63941556"/>
    <w:rsid w:val="63B079EF"/>
    <w:rsid w:val="63B84AB3"/>
    <w:rsid w:val="63BF5E84"/>
    <w:rsid w:val="63C31359"/>
    <w:rsid w:val="63D211A0"/>
    <w:rsid w:val="63D31079"/>
    <w:rsid w:val="63DD630A"/>
    <w:rsid w:val="63EB3254"/>
    <w:rsid w:val="641205E0"/>
    <w:rsid w:val="64122501"/>
    <w:rsid w:val="641A130C"/>
    <w:rsid w:val="641B2B1B"/>
    <w:rsid w:val="6432186F"/>
    <w:rsid w:val="64346872"/>
    <w:rsid w:val="64364712"/>
    <w:rsid w:val="644F0FB6"/>
    <w:rsid w:val="644F5CEA"/>
    <w:rsid w:val="645171A5"/>
    <w:rsid w:val="645B3DFE"/>
    <w:rsid w:val="646D1DA4"/>
    <w:rsid w:val="646E4F44"/>
    <w:rsid w:val="646F086E"/>
    <w:rsid w:val="647125C2"/>
    <w:rsid w:val="648275DD"/>
    <w:rsid w:val="649B001C"/>
    <w:rsid w:val="649F1D56"/>
    <w:rsid w:val="64A22938"/>
    <w:rsid w:val="64A26B90"/>
    <w:rsid w:val="64A532CB"/>
    <w:rsid w:val="64AB6568"/>
    <w:rsid w:val="64C30E6C"/>
    <w:rsid w:val="64C9520C"/>
    <w:rsid w:val="64CF659A"/>
    <w:rsid w:val="64DB1ED4"/>
    <w:rsid w:val="64DE5BE0"/>
    <w:rsid w:val="64E02555"/>
    <w:rsid w:val="64E04304"/>
    <w:rsid w:val="64E82BC8"/>
    <w:rsid w:val="64F1206D"/>
    <w:rsid w:val="64FD4EB5"/>
    <w:rsid w:val="65093FB7"/>
    <w:rsid w:val="651D015B"/>
    <w:rsid w:val="651D10B4"/>
    <w:rsid w:val="651E4EB0"/>
    <w:rsid w:val="6520139B"/>
    <w:rsid w:val="652354C5"/>
    <w:rsid w:val="6524339F"/>
    <w:rsid w:val="653308D7"/>
    <w:rsid w:val="65336B29"/>
    <w:rsid w:val="653603C7"/>
    <w:rsid w:val="6536083C"/>
    <w:rsid w:val="65472B37"/>
    <w:rsid w:val="65532DA0"/>
    <w:rsid w:val="656614E0"/>
    <w:rsid w:val="656A6EA9"/>
    <w:rsid w:val="657D7DA4"/>
    <w:rsid w:val="657E5DC6"/>
    <w:rsid w:val="658037A3"/>
    <w:rsid w:val="658630FD"/>
    <w:rsid w:val="6589120E"/>
    <w:rsid w:val="65A76305"/>
    <w:rsid w:val="65A85BB9"/>
    <w:rsid w:val="65AD581B"/>
    <w:rsid w:val="65B03A98"/>
    <w:rsid w:val="65C3160F"/>
    <w:rsid w:val="65CE6852"/>
    <w:rsid w:val="65D774B5"/>
    <w:rsid w:val="65D9709C"/>
    <w:rsid w:val="65FC6F1B"/>
    <w:rsid w:val="660954C9"/>
    <w:rsid w:val="661318A7"/>
    <w:rsid w:val="662C6A34"/>
    <w:rsid w:val="662F071E"/>
    <w:rsid w:val="66383CCB"/>
    <w:rsid w:val="664277CD"/>
    <w:rsid w:val="664D250F"/>
    <w:rsid w:val="665A00E6"/>
    <w:rsid w:val="665B5ADC"/>
    <w:rsid w:val="665F56FC"/>
    <w:rsid w:val="66632596"/>
    <w:rsid w:val="66633CE5"/>
    <w:rsid w:val="66661E87"/>
    <w:rsid w:val="668F4233"/>
    <w:rsid w:val="66A31275"/>
    <w:rsid w:val="66C51A03"/>
    <w:rsid w:val="66CA768E"/>
    <w:rsid w:val="66CF4630"/>
    <w:rsid w:val="66DE0D17"/>
    <w:rsid w:val="66E55C01"/>
    <w:rsid w:val="671309C0"/>
    <w:rsid w:val="671543CB"/>
    <w:rsid w:val="671E7669"/>
    <w:rsid w:val="673B7F17"/>
    <w:rsid w:val="673F069D"/>
    <w:rsid w:val="674A63AC"/>
    <w:rsid w:val="674D37A6"/>
    <w:rsid w:val="67505C57"/>
    <w:rsid w:val="675157D2"/>
    <w:rsid w:val="675F31A6"/>
    <w:rsid w:val="676E57FB"/>
    <w:rsid w:val="67706D64"/>
    <w:rsid w:val="67786A75"/>
    <w:rsid w:val="677C4AF0"/>
    <w:rsid w:val="677C5A1E"/>
    <w:rsid w:val="67957627"/>
    <w:rsid w:val="679D028A"/>
    <w:rsid w:val="67A22C39"/>
    <w:rsid w:val="67A30805"/>
    <w:rsid w:val="67A36CA4"/>
    <w:rsid w:val="67A61834"/>
    <w:rsid w:val="67B32D00"/>
    <w:rsid w:val="67C16F6A"/>
    <w:rsid w:val="67C432B5"/>
    <w:rsid w:val="67CA2EA5"/>
    <w:rsid w:val="67CA3576"/>
    <w:rsid w:val="67CC0B6F"/>
    <w:rsid w:val="67CE0D8B"/>
    <w:rsid w:val="67EC354F"/>
    <w:rsid w:val="67F7506B"/>
    <w:rsid w:val="67F97C80"/>
    <w:rsid w:val="6805216C"/>
    <w:rsid w:val="680B20F1"/>
    <w:rsid w:val="680B2C8B"/>
    <w:rsid w:val="68245CC5"/>
    <w:rsid w:val="682F3BFD"/>
    <w:rsid w:val="68324E76"/>
    <w:rsid w:val="683F147E"/>
    <w:rsid w:val="685F19E3"/>
    <w:rsid w:val="68614624"/>
    <w:rsid w:val="6863778B"/>
    <w:rsid w:val="68673870"/>
    <w:rsid w:val="686A0AB4"/>
    <w:rsid w:val="6870599E"/>
    <w:rsid w:val="68751724"/>
    <w:rsid w:val="68755B25"/>
    <w:rsid w:val="688E263F"/>
    <w:rsid w:val="689768A9"/>
    <w:rsid w:val="689A6033"/>
    <w:rsid w:val="68A529E0"/>
    <w:rsid w:val="68B95597"/>
    <w:rsid w:val="68BC5A6B"/>
    <w:rsid w:val="68C53F3C"/>
    <w:rsid w:val="68CE3CAD"/>
    <w:rsid w:val="68EC626C"/>
    <w:rsid w:val="68ED3493"/>
    <w:rsid w:val="690422F9"/>
    <w:rsid w:val="691427CE"/>
    <w:rsid w:val="69216C99"/>
    <w:rsid w:val="69232A11"/>
    <w:rsid w:val="692B3EEB"/>
    <w:rsid w:val="692B6F85"/>
    <w:rsid w:val="69511659"/>
    <w:rsid w:val="695F01B3"/>
    <w:rsid w:val="69652819"/>
    <w:rsid w:val="69740E9C"/>
    <w:rsid w:val="69765236"/>
    <w:rsid w:val="697B3A54"/>
    <w:rsid w:val="698509F2"/>
    <w:rsid w:val="698B3B86"/>
    <w:rsid w:val="699368CC"/>
    <w:rsid w:val="699464E8"/>
    <w:rsid w:val="6998164F"/>
    <w:rsid w:val="699C4BB2"/>
    <w:rsid w:val="69A14E6A"/>
    <w:rsid w:val="69AE49D0"/>
    <w:rsid w:val="69C82FD4"/>
    <w:rsid w:val="69CE5022"/>
    <w:rsid w:val="69D63186"/>
    <w:rsid w:val="69E472B3"/>
    <w:rsid w:val="69E64B04"/>
    <w:rsid w:val="69F661AE"/>
    <w:rsid w:val="69F76F06"/>
    <w:rsid w:val="69F95788"/>
    <w:rsid w:val="6A061866"/>
    <w:rsid w:val="6A111A69"/>
    <w:rsid w:val="6A150627"/>
    <w:rsid w:val="6A246A40"/>
    <w:rsid w:val="6A2548CD"/>
    <w:rsid w:val="6A3912BA"/>
    <w:rsid w:val="6A394390"/>
    <w:rsid w:val="6A3B3C33"/>
    <w:rsid w:val="6A3D46F4"/>
    <w:rsid w:val="6A476285"/>
    <w:rsid w:val="6A492459"/>
    <w:rsid w:val="6A575068"/>
    <w:rsid w:val="6A6A21F1"/>
    <w:rsid w:val="6A6C3CC7"/>
    <w:rsid w:val="6A7A66EF"/>
    <w:rsid w:val="6A7F636D"/>
    <w:rsid w:val="6A8A1AFB"/>
    <w:rsid w:val="6A9E67F3"/>
    <w:rsid w:val="6AA10091"/>
    <w:rsid w:val="6ABF2745"/>
    <w:rsid w:val="6AC052DF"/>
    <w:rsid w:val="6AD12814"/>
    <w:rsid w:val="6ADB7A47"/>
    <w:rsid w:val="6AE253BB"/>
    <w:rsid w:val="6AE44704"/>
    <w:rsid w:val="6AF16CA1"/>
    <w:rsid w:val="6AF1726A"/>
    <w:rsid w:val="6B056872"/>
    <w:rsid w:val="6B0A346D"/>
    <w:rsid w:val="6B147755"/>
    <w:rsid w:val="6B1C2F58"/>
    <w:rsid w:val="6B2253AA"/>
    <w:rsid w:val="6B261B6A"/>
    <w:rsid w:val="6B287CE9"/>
    <w:rsid w:val="6B32518D"/>
    <w:rsid w:val="6B465884"/>
    <w:rsid w:val="6B4C0889"/>
    <w:rsid w:val="6B601CFA"/>
    <w:rsid w:val="6B621F16"/>
    <w:rsid w:val="6B74167C"/>
    <w:rsid w:val="6B895EC1"/>
    <w:rsid w:val="6B8C3BE7"/>
    <w:rsid w:val="6B8D3D19"/>
    <w:rsid w:val="6B8F0B40"/>
    <w:rsid w:val="6B936732"/>
    <w:rsid w:val="6B936945"/>
    <w:rsid w:val="6B9F1C3E"/>
    <w:rsid w:val="6BA02A3F"/>
    <w:rsid w:val="6BA633A5"/>
    <w:rsid w:val="6BC229B5"/>
    <w:rsid w:val="6BC26511"/>
    <w:rsid w:val="6BC64C77"/>
    <w:rsid w:val="6BC66E8F"/>
    <w:rsid w:val="6BC71DA5"/>
    <w:rsid w:val="6BCE135A"/>
    <w:rsid w:val="6BE33E86"/>
    <w:rsid w:val="6BE65741"/>
    <w:rsid w:val="6BF47849"/>
    <w:rsid w:val="6BFD7803"/>
    <w:rsid w:val="6C0B0056"/>
    <w:rsid w:val="6C1B3E73"/>
    <w:rsid w:val="6C4B6506"/>
    <w:rsid w:val="6C591140"/>
    <w:rsid w:val="6C73344A"/>
    <w:rsid w:val="6C7546AC"/>
    <w:rsid w:val="6C7F2654"/>
    <w:rsid w:val="6C8031E6"/>
    <w:rsid w:val="6C8C60E1"/>
    <w:rsid w:val="6C8F7779"/>
    <w:rsid w:val="6C953C26"/>
    <w:rsid w:val="6C9D0D2C"/>
    <w:rsid w:val="6CD52274"/>
    <w:rsid w:val="6CDC1854"/>
    <w:rsid w:val="6CF628CD"/>
    <w:rsid w:val="6CFC50C6"/>
    <w:rsid w:val="6D1024A0"/>
    <w:rsid w:val="6D192AA9"/>
    <w:rsid w:val="6D1A5002"/>
    <w:rsid w:val="6D372F2F"/>
    <w:rsid w:val="6D435C50"/>
    <w:rsid w:val="6D4C602D"/>
    <w:rsid w:val="6D613BD6"/>
    <w:rsid w:val="6D662106"/>
    <w:rsid w:val="6D792DBA"/>
    <w:rsid w:val="6D8406BF"/>
    <w:rsid w:val="6D84290A"/>
    <w:rsid w:val="6D8A5D00"/>
    <w:rsid w:val="6D943BF5"/>
    <w:rsid w:val="6D9F66CF"/>
    <w:rsid w:val="6DA343EE"/>
    <w:rsid w:val="6DA4704F"/>
    <w:rsid w:val="6DA472EF"/>
    <w:rsid w:val="6DA8604A"/>
    <w:rsid w:val="6DAC1227"/>
    <w:rsid w:val="6DB306A7"/>
    <w:rsid w:val="6DC54EB8"/>
    <w:rsid w:val="6DDA26B2"/>
    <w:rsid w:val="6DDF442E"/>
    <w:rsid w:val="6DE2733E"/>
    <w:rsid w:val="6DFD138C"/>
    <w:rsid w:val="6E030AA0"/>
    <w:rsid w:val="6E071901"/>
    <w:rsid w:val="6E0728D3"/>
    <w:rsid w:val="6E294AE8"/>
    <w:rsid w:val="6E32177C"/>
    <w:rsid w:val="6E3851B0"/>
    <w:rsid w:val="6E441637"/>
    <w:rsid w:val="6E511782"/>
    <w:rsid w:val="6E760525"/>
    <w:rsid w:val="6E8F004B"/>
    <w:rsid w:val="6E923C64"/>
    <w:rsid w:val="6EAC7DB2"/>
    <w:rsid w:val="6EB365E5"/>
    <w:rsid w:val="6EBE1783"/>
    <w:rsid w:val="6EDE1C6A"/>
    <w:rsid w:val="6EDE673D"/>
    <w:rsid w:val="6EE60768"/>
    <w:rsid w:val="6EF410D7"/>
    <w:rsid w:val="6EF92F92"/>
    <w:rsid w:val="6F003164"/>
    <w:rsid w:val="6F01585D"/>
    <w:rsid w:val="6F0A3A7C"/>
    <w:rsid w:val="6F1C1A5D"/>
    <w:rsid w:val="6F283E95"/>
    <w:rsid w:val="6F2B2066"/>
    <w:rsid w:val="6F2E7812"/>
    <w:rsid w:val="6F3632F9"/>
    <w:rsid w:val="6F497D22"/>
    <w:rsid w:val="6F585DD6"/>
    <w:rsid w:val="6F6F4C02"/>
    <w:rsid w:val="6F6F69B0"/>
    <w:rsid w:val="6F73310F"/>
    <w:rsid w:val="6F832748"/>
    <w:rsid w:val="6F8C57B4"/>
    <w:rsid w:val="6FB1521A"/>
    <w:rsid w:val="6FB624A5"/>
    <w:rsid w:val="6FC84312"/>
    <w:rsid w:val="6FC85E76"/>
    <w:rsid w:val="6FD664F7"/>
    <w:rsid w:val="6FD874F0"/>
    <w:rsid w:val="6FEA24DA"/>
    <w:rsid w:val="6FEB1546"/>
    <w:rsid w:val="6FF15617"/>
    <w:rsid w:val="6FF36EF2"/>
    <w:rsid w:val="6FF946C8"/>
    <w:rsid w:val="6FF97857"/>
    <w:rsid w:val="6FFB0457"/>
    <w:rsid w:val="701200B7"/>
    <w:rsid w:val="70334479"/>
    <w:rsid w:val="7052453A"/>
    <w:rsid w:val="70525EAD"/>
    <w:rsid w:val="706031F7"/>
    <w:rsid w:val="70657C44"/>
    <w:rsid w:val="706933FF"/>
    <w:rsid w:val="706A5BC3"/>
    <w:rsid w:val="70763D6E"/>
    <w:rsid w:val="707D6FDF"/>
    <w:rsid w:val="70824DD6"/>
    <w:rsid w:val="708C17E3"/>
    <w:rsid w:val="70931E99"/>
    <w:rsid w:val="70972D4C"/>
    <w:rsid w:val="70B91B22"/>
    <w:rsid w:val="70D171F6"/>
    <w:rsid w:val="70D750AF"/>
    <w:rsid w:val="70DA7C73"/>
    <w:rsid w:val="70DF571C"/>
    <w:rsid w:val="70F25AEA"/>
    <w:rsid w:val="70F80C27"/>
    <w:rsid w:val="70FA17E5"/>
    <w:rsid w:val="70FF5B11"/>
    <w:rsid w:val="7102107D"/>
    <w:rsid w:val="71096990"/>
    <w:rsid w:val="710D19AF"/>
    <w:rsid w:val="711C57DD"/>
    <w:rsid w:val="711E68DF"/>
    <w:rsid w:val="714459EF"/>
    <w:rsid w:val="71466F47"/>
    <w:rsid w:val="71526589"/>
    <w:rsid w:val="71650526"/>
    <w:rsid w:val="717069FD"/>
    <w:rsid w:val="717209D9"/>
    <w:rsid w:val="71737474"/>
    <w:rsid w:val="71756E20"/>
    <w:rsid w:val="71785BF6"/>
    <w:rsid w:val="717C1858"/>
    <w:rsid w:val="718A1515"/>
    <w:rsid w:val="71A63DB4"/>
    <w:rsid w:val="71B0505E"/>
    <w:rsid w:val="71B22C2F"/>
    <w:rsid w:val="71CE7119"/>
    <w:rsid w:val="71D00F20"/>
    <w:rsid w:val="71D60F68"/>
    <w:rsid w:val="71DA1B12"/>
    <w:rsid w:val="71E97922"/>
    <w:rsid w:val="71EC078C"/>
    <w:rsid w:val="71EE0134"/>
    <w:rsid w:val="71F94DA8"/>
    <w:rsid w:val="72053AAD"/>
    <w:rsid w:val="7212699F"/>
    <w:rsid w:val="721455EC"/>
    <w:rsid w:val="722A44FE"/>
    <w:rsid w:val="723034E9"/>
    <w:rsid w:val="724C0C12"/>
    <w:rsid w:val="72526028"/>
    <w:rsid w:val="72555A55"/>
    <w:rsid w:val="72586C7B"/>
    <w:rsid w:val="725B321B"/>
    <w:rsid w:val="72712A3F"/>
    <w:rsid w:val="72797CB1"/>
    <w:rsid w:val="72982221"/>
    <w:rsid w:val="7298573F"/>
    <w:rsid w:val="729B7ABC"/>
    <w:rsid w:val="72AA4D7A"/>
    <w:rsid w:val="72BD03A7"/>
    <w:rsid w:val="72C14665"/>
    <w:rsid w:val="72CE3768"/>
    <w:rsid w:val="72D57D9B"/>
    <w:rsid w:val="72D65B7D"/>
    <w:rsid w:val="73086358"/>
    <w:rsid w:val="7321122E"/>
    <w:rsid w:val="7330362D"/>
    <w:rsid w:val="73337EEF"/>
    <w:rsid w:val="733851B2"/>
    <w:rsid w:val="733B500C"/>
    <w:rsid w:val="733F6699"/>
    <w:rsid w:val="736A6938"/>
    <w:rsid w:val="73800B33"/>
    <w:rsid w:val="7381115D"/>
    <w:rsid w:val="73823E35"/>
    <w:rsid w:val="738B680C"/>
    <w:rsid w:val="73A330CC"/>
    <w:rsid w:val="73A57998"/>
    <w:rsid w:val="73B057E9"/>
    <w:rsid w:val="73B52DFF"/>
    <w:rsid w:val="73BD18DC"/>
    <w:rsid w:val="73CF5C6F"/>
    <w:rsid w:val="73D72D76"/>
    <w:rsid w:val="73E31228"/>
    <w:rsid w:val="73E546AB"/>
    <w:rsid w:val="73E97DEE"/>
    <w:rsid w:val="73EB217A"/>
    <w:rsid w:val="73EB6821"/>
    <w:rsid w:val="73ED2FA1"/>
    <w:rsid w:val="73FE47A6"/>
    <w:rsid w:val="740706A3"/>
    <w:rsid w:val="74071D72"/>
    <w:rsid w:val="74086509"/>
    <w:rsid w:val="74192C1B"/>
    <w:rsid w:val="741C4C2C"/>
    <w:rsid w:val="74252773"/>
    <w:rsid w:val="74323B10"/>
    <w:rsid w:val="744321B9"/>
    <w:rsid w:val="7443665D"/>
    <w:rsid w:val="744F0B5E"/>
    <w:rsid w:val="745733FB"/>
    <w:rsid w:val="747800B5"/>
    <w:rsid w:val="74780C58"/>
    <w:rsid w:val="747E0B22"/>
    <w:rsid w:val="74891470"/>
    <w:rsid w:val="748D1D1C"/>
    <w:rsid w:val="748F06DB"/>
    <w:rsid w:val="74901CCE"/>
    <w:rsid w:val="749633D5"/>
    <w:rsid w:val="749B449C"/>
    <w:rsid w:val="74B0608F"/>
    <w:rsid w:val="74B17058"/>
    <w:rsid w:val="74B51309"/>
    <w:rsid w:val="74E858C7"/>
    <w:rsid w:val="75047B9A"/>
    <w:rsid w:val="75185747"/>
    <w:rsid w:val="75196DE5"/>
    <w:rsid w:val="751D1A96"/>
    <w:rsid w:val="751F12E0"/>
    <w:rsid w:val="7521181E"/>
    <w:rsid w:val="752804BE"/>
    <w:rsid w:val="7531117B"/>
    <w:rsid w:val="75562A5E"/>
    <w:rsid w:val="756264EB"/>
    <w:rsid w:val="757E1B70"/>
    <w:rsid w:val="75871421"/>
    <w:rsid w:val="758E41ED"/>
    <w:rsid w:val="75976C60"/>
    <w:rsid w:val="759C7DD3"/>
    <w:rsid w:val="75A35ED5"/>
    <w:rsid w:val="75A52DA7"/>
    <w:rsid w:val="75A94A3C"/>
    <w:rsid w:val="75B50420"/>
    <w:rsid w:val="75B51EB3"/>
    <w:rsid w:val="75B540B1"/>
    <w:rsid w:val="75BB4E6B"/>
    <w:rsid w:val="75D14529"/>
    <w:rsid w:val="75D719B2"/>
    <w:rsid w:val="75DA62B7"/>
    <w:rsid w:val="75E36C9A"/>
    <w:rsid w:val="75EB0D5A"/>
    <w:rsid w:val="75EB1E37"/>
    <w:rsid w:val="75F96FD3"/>
    <w:rsid w:val="76037E52"/>
    <w:rsid w:val="7614205F"/>
    <w:rsid w:val="76161FE7"/>
    <w:rsid w:val="7616399E"/>
    <w:rsid w:val="76177D7F"/>
    <w:rsid w:val="761B33ED"/>
    <w:rsid w:val="761E6A3A"/>
    <w:rsid w:val="76451F3C"/>
    <w:rsid w:val="765A4445"/>
    <w:rsid w:val="76631F78"/>
    <w:rsid w:val="76665235"/>
    <w:rsid w:val="76776E9C"/>
    <w:rsid w:val="767F07C9"/>
    <w:rsid w:val="769F4581"/>
    <w:rsid w:val="76AB2C13"/>
    <w:rsid w:val="76B1227C"/>
    <w:rsid w:val="76B4114C"/>
    <w:rsid w:val="76BF2EA4"/>
    <w:rsid w:val="76BF646F"/>
    <w:rsid w:val="76D06FF3"/>
    <w:rsid w:val="76D31F1A"/>
    <w:rsid w:val="76DA7E70"/>
    <w:rsid w:val="76E01F41"/>
    <w:rsid w:val="76E41A31"/>
    <w:rsid w:val="76E70869"/>
    <w:rsid w:val="76E854DF"/>
    <w:rsid w:val="76FA4CC1"/>
    <w:rsid w:val="77185B7F"/>
    <w:rsid w:val="771A2274"/>
    <w:rsid w:val="771A35DE"/>
    <w:rsid w:val="77215189"/>
    <w:rsid w:val="772462D2"/>
    <w:rsid w:val="77285D96"/>
    <w:rsid w:val="77316C41"/>
    <w:rsid w:val="77414905"/>
    <w:rsid w:val="774310DC"/>
    <w:rsid w:val="7763329E"/>
    <w:rsid w:val="776369E5"/>
    <w:rsid w:val="776963DA"/>
    <w:rsid w:val="77701517"/>
    <w:rsid w:val="777165EE"/>
    <w:rsid w:val="777D19B6"/>
    <w:rsid w:val="778A6C6E"/>
    <w:rsid w:val="77975688"/>
    <w:rsid w:val="77981885"/>
    <w:rsid w:val="77B5498B"/>
    <w:rsid w:val="77B55001"/>
    <w:rsid w:val="77C3048F"/>
    <w:rsid w:val="77CE6299"/>
    <w:rsid w:val="77D91431"/>
    <w:rsid w:val="77F04406"/>
    <w:rsid w:val="78063C29"/>
    <w:rsid w:val="781420EA"/>
    <w:rsid w:val="781A04E8"/>
    <w:rsid w:val="78225ACD"/>
    <w:rsid w:val="78252301"/>
    <w:rsid w:val="785E4EE7"/>
    <w:rsid w:val="786C3FC5"/>
    <w:rsid w:val="78751649"/>
    <w:rsid w:val="787F0A7E"/>
    <w:rsid w:val="78A65595"/>
    <w:rsid w:val="78A771BA"/>
    <w:rsid w:val="78B74E51"/>
    <w:rsid w:val="78BE62B2"/>
    <w:rsid w:val="78DA57B9"/>
    <w:rsid w:val="78DA7590"/>
    <w:rsid w:val="78DD498A"/>
    <w:rsid w:val="78DE0702"/>
    <w:rsid w:val="78E36648"/>
    <w:rsid w:val="78EB76CE"/>
    <w:rsid w:val="78FE2B52"/>
    <w:rsid w:val="79116D2A"/>
    <w:rsid w:val="791F7AC8"/>
    <w:rsid w:val="7925066A"/>
    <w:rsid w:val="792C0369"/>
    <w:rsid w:val="792C76C0"/>
    <w:rsid w:val="7931393D"/>
    <w:rsid w:val="793579AF"/>
    <w:rsid w:val="795204D7"/>
    <w:rsid w:val="79542A76"/>
    <w:rsid w:val="795D1F6F"/>
    <w:rsid w:val="796C3F60"/>
    <w:rsid w:val="797856D2"/>
    <w:rsid w:val="79791F2A"/>
    <w:rsid w:val="79842B92"/>
    <w:rsid w:val="79907C4E"/>
    <w:rsid w:val="79927E6B"/>
    <w:rsid w:val="79981665"/>
    <w:rsid w:val="799D05BD"/>
    <w:rsid w:val="79AE27CB"/>
    <w:rsid w:val="79B02BFF"/>
    <w:rsid w:val="79B5128A"/>
    <w:rsid w:val="79B61120"/>
    <w:rsid w:val="79BB3FE5"/>
    <w:rsid w:val="79BF6786"/>
    <w:rsid w:val="79F25E0C"/>
    <w:rsid w:val="79FE5C33"/>
    <w:rsid w:val="7A0615F6"/>
    <w:rsid w:val="7A0B5527"/>
    <w:rsid w:val="7A16135A"/>
    <w:rsid w:val="7A167146"/>
    <w:rsid w:val="7A1C2659"/>
    <w:rsid w:val="7A322289"/>
    <w:rsid w:val="7A323B65"/>
    <w:rsid w:val="7A3516E7"/>
    <w:rsid w:val="7A481DF0"/>
    <w:rsid w:val="7A4A42A1"/>
    <w:rsid w:val="7A6835EA"/>
    <w:rsid w:val="7A6C06BC"/>
    <w:rsid w:val="7A7154BC"/>
    <w:rsid w:val="7A7728CB"/>
    <w:rsid w:val="7A7E219D"/>
    <w:rsid w:val="7A84375F"/>
    <w:rsid w:val="7A953818"/>
    <w:rsid w:val="7A957BAA"/>
    <w:rsid w:val="7A967D81"/>
    <w:rsid w:val="7A9A0337"/>
    <w:rsid w:val="7AA9197D"/>
    <w:rsid w:val="7AAD2A82"/>
    <w:rsid w:val="7AB14634"/>
    <w:rsid w:val="7AB61975"/>
    <w:rsid w:val="7ACF6AF1"/>
    <w:rsid w:val="7AD16771"/>
    <w:rsid w:val="7AE704B1"/>
    <w:rsid w:val="7AEB45F7"/>
    <w:rsid w:val="7AF05925"/>
    <w:rsid w:val="7B00756F"/>
    <w:rsid w:val="7B205CC3"/>
    <w:rsid w:val="7B354F51"/>
    <w:rsid w:val="7B3E51CB"/>
    <w:rsid w:val="7B461F16"/>
    <w:rsid w:val="7B4B600C"/>
    <w:rsid w:val="7B5D6256"/>
    <w:rsid w:val="7B5E74BF"/>
    <w:rsid w:val="7B7A2964"/>
    <w:rsid w:val="7B7D7853"/>
    <w:rsid w:val="7B841A35"/>
    <w:rsid w:val="7B9422A9"/>
    <w:rsid w:val="7B9A08EC"/>
    <w:rsid w:val="7BA93249"/>
    <w:rsid w:val="7BB61AD4"/>
    <w:rsid w:val="7BBA497F"/>
    <w:rsid w:val="7BBD74D2"/>
    <w:rsid w:val="7BC86046"/>
    <w:rsid w:val="7BCF49EB"/>
    <w:rsid w:val="7BD1454E"/>
    <w:rsid w:val="7BDF25A2"/>
    <w:rsid w:val="7BED2FF3"/>
    <w:rsid w:val="7BEF49C3"/>
    <w:rsid w:val="7C1879B2"/>
    <w:rsid w:val="7C36019A"/>
    <w:rsid w:val="7C365845"/>
    <w:rsid w:val="7C3C26C0"/>
    <w:rsid w:val="7C407FC0"/>
    <w:rsid w:val="7C4453CC"/>
    <w:rsid w:val="7C5238E1"/>
    <w:rsid w:val="7C60493E"/>
    <w:rsid w:val="7C7F7D49"/>
    <w:rsid w:val="7C923CDE"/>
    <w:rsid w:val="7CAA28A7"/>
    <w:rsid w:val="7CAE09CB"/>
    <w:rsid w:val="7CB8291D"/>
    <w:rsid w:val="7CD03434"/>
    <w:rsid w:val="7CD07BCF"/>
    <w:rsid w:val="7CD97874"/>
    <w:rsid w:val="7CDB291A"/>
    <w:rsid w:val="7CDC2679"/>
    <w:rsid w:val="7D086B79"/>
    <w:rsid w:val="7D0A1409"/>
    <w:rsid w:val="7D11554A"/>
    <w:rsid w:val="7D120891"/>
    <w:rsid w:val="7D12131F"/>
    <w:rsid w:val="7D175464"/>
    <w:rsid w:val="7D25327D"/>
    <w:rsid w:val="7D273E72"/>
    <w:rsid w:val="7D300BC9"/>
    <w:rsid w:val="7D3134F6"/>
    <w:rsid w:val="7D3905FD"/>
    <w:rsid w:val="7D464F9C"/>
    <w:rsid w:val="7D4C2883"/>
    <w:rsid w:val="7D52346D"/>
    <w:rsid w:val="7D54159C"/>
    <w:rsid w:val="7D574DCF"/>
    <w:rsid w:val="7D5D318E"/>
    <w:rsid w:val="7D66553F"/>
    <w:rsid w:val="7D757F5A"/>
    <w:rsid w:val="7D7D4B56"/>
    <w:rsid w:val="7D882FD3"/>
    <w:rsid w:val="7D8B7BCC"/>
    <w:rsid w:val="7D8D3ECD"/>
    <w:rsid w:val="7D9826BC"/>
    <w:rsid w:val="7D9F5F0B"/>
    <w:rsid w:val="7DC10E09"/>
    <w:rsid w:val="7DCB6E8A"/>
    <w:rsid w:val="7DD50326"/>
    <w:rsid w:val="7DD52D89"/>
    <w:rsid w:val="7DDE3550"/>
    <w:rsid w:val="7DE20FA2"/>
    <w:rsid w:val="7DE25BC5"/>
    <w:rsid w:val="7DF06F0E"/>
    <w:rsid w:val="7DFD162B"/>
    <w:rsid w:val="7DFE03FA"/>
    <w:rsid w:val="7E046CD4"/>
    <w:rsid w:val="7E094473"/>
    <w:rsid w:val="7E2B6198"/>
    <w:rsid w:val="7E310E70"/>
    <w:rsid w:val="7E374E0C"/>
    <w:rsid w:val="7E411639"/>
    <w:rsid w:val="7E474539"/>
    <w:rsid w:val="7E63122D"/>
    <w:rsid w:val="7E706E61"/>
    <w:rsid w:val="7E71191C"/>
    <w:rsid w:val="7E737A61"/>
    <w:rsid w:val="7E7C2E97"/>
    <w:rsid w:val="7E7D54BB"/>
    <w:rsid w:val="7E7F519B"/>
    <w:rsid w:val="7E896F3F"/>
    <w:rsid w:val="7E8A476F"/>
    <w:rsid w:val="7EAC7030"/>
    <w:rsid w:val="7EAD12A3"/>
    <w:rsid w:val="7EBB42CC"/>
    <w:rsid w:val="7EC35D90"/>
    <w:rsid w:val="7ECE0404"/>
    <w:rsid w:val="7ED30FF3"/>
    <w:rsid w:val="7EDF6D52"/>
    <w:rsid w:val="7EE54599"/>
    <w:rsid w:val="7EF04C31"/>
    <w:rsid w:val="7EF0504B"/>
    <w:rsid w:val="7EFB5F07"/>
    <w:rsid w:val="7EFE4F4F"/>
    <w:rsid w:val="7F090B97"/>
    <w:rsid w:val="7F0C19DE"/>
    <w:rsid w:val="7F1447AA"/>
    <w:rsid w:val="7F25708B"/>
    <w:rsid w:val="7F264BB1"/>
    <w:rsid w:val="7F2A46A1"/>
    <w:rsid w:val="7F2C6836"/>
    <w:rsid w:val="7F343527"/>
    <w:rsid w:val="7F3639D1"/>
    <w:rsid w:val="7F431B5D"/>
    <w:rsid w:val="7F543ECF"/>
    <w:rsid w:val="7F89761A"/>
    <w:rsid w:val="7FA06711"/>
    <w:rsid w:val="7FB977D3"/>
    <w:rsid w:val="7FBA3C77"/>
    <w:rsid w:val="7FC306CA"/>
    <w:rsid w:val="7FC468A4"/>
    <w:rsid w:val="7FD1331A"/>
    <w:rsid w:val="7FD42EB2"/>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0"/>
    <w:pPr>
      <w:keepNext/>
      <w:keepLines/>
      <w:spacing w:line="578" w:lineRule="auto"/>
      <w:outlineLvl w:val="0"/>
    </w:pPr>
    <w:rPr>
      <w:b/>
      <w:bCs/>
      <w:kern w:val="44"/>
      <w:sz w:val="44"/>
      <w:szCs w:val="44"/>
    </w:rPr>
  </w:style>
  <w:style w:type="paragraph" w:styleId="3">
    <w:name w:val="heading 2"/>
    <w:basedOn w:val="1"/>
    <w:next w:val="1"/>
    <w:link w:val="57"/>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91"/>
    <w:qFormat/>
    <w:uiPriority w:val="0"/>
    <w:pPr>
      <w:keepNext/>
      <w:keepLines/>
      <w:spacing w:line="416" w:lineRule="auto"/>
      <w:outlineLvl w:val="2"/>
    </w:pPr>
    <w:rPr>
      <w:b/>
      <w:bCs/>
      <w:sz w:val="32"/>
      <w:szCs w:val="32"/>
    </w:rPr>
  </w:style>
  <w:style w:type="paragraph" w:styleId="5">
    <w:name w:val="heading 4"/>
    <w:basedOn w:val="1"/>
    <w:next w:val="1"/>
    <w:link w:val="98"/>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line="372" w:lineRule="auto"/>
      <w:outlineLvl w:val="4"/>
    </w:pPr>
    <w:rPr>
      <w:b/>
      <w:sz w:val="28"/>
    </w:rPr>
  </w:style>
  <w:style w:type="paragraph" w:styleId="7">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8">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9">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2520" w:leftChars="1200"/>
    </w:pPr>
    <w:rPr>
      <w:rFonts w:ascii="Calibri" w:hAnsi="Calibri"/>
      <w:szCs w:val="22"/>
    </w:rPr>
  </w:style>
  <w:style w:type="paragraph" w:styleId="11">
    <w:name w:val="Normal Indent"/>
    <w:basedOn w:val="1"/>
    <w:qFormat/>
    <w:uiPriority w:val="0"/>
    <w:pPr>
      <w:ind w:firstLine="420" w:firstLineChars="200"/>
    </w:pPr>
  </w:style>
  <w:style w:type="paragraph" w:styleId="12">
    <w:name w:val="List Bullet"/>
    <w:basedOn w:val="1"/>
    <w:qFormat/>
    <w:uiPriority w:val="0"/>
    <w:pPr>
      <w:numPr>
        <w:ilvl w:val="0"/>
        <w:numId w:val="2"/>
      </w:numPr>
      <w:tabs>
        <w:tab w:val="left" w:pos="360"/>
      </w:tabs>
    </w:pPr>
  </w:style>
  <w:style w:type="paragraph" w:styleId="13">
    <w:name w:val="Document Map"/>
    <w:basedOn w:val="1"/>
    <w:qFormat/>
    <w:uiPriority w:val="0"/>
    <w:pPr>
      <w:shd w:val="clear" w:color="auto" w:fill="000080"/>
    </w:pPr>
  </w:style>
  <w:style w:type="paragraph" w:styleId="14">
    <w:name w:val="annotation text"/>
    <w:basedOn w:val="1"/>
    <w:link w:val="92"/>
    <w:qFormat/>
    <w:uiPriority w:val="0"/>
    <w:pPr>
      <w:jc w:val="left"/>
    </w:pPr>
  </w:style>
  <w:style w:type="paragraph" w:styleId="15">
    <w:name w:val="Body Text 3"/>
    <w:basedOn w:val="1"/>
    <w:link w:val="93"/>
    <w:qFormat/>
    <w:uiPriority w:val="0"/>
    <w:rPr>
      <w:rFonts w:ascii="宋体"/>
      <w:sz w:val="24"/>
    </w:rPr>
  </w:style>
  <w:style w:type="paragraph" w:styleId="16">
    <w:name w:val="Body Text"/>
    <w:basedOn w:val="1"/>
    <w:link w:val="95"/>
    <w:qFormat/>
    <w:uiPriority w:val="0"/>
  </w:style>
  <w:style w:type="paragraph" w:styleId="17">
    <w:name w:val="Body Text Indent"/>
    <w:basedOn w:val="1"/>
    <w:qFormat/>
    <w:uiPriority w:val="0"/>
    <w:pPr>
      <w:adjustRightInd w:val="0"/>
      <w:spacing w:after="120" w:line="420" w:lineRule="atLeast"/>
      <w:ind w:left="420" w:firstLine="454"/>
    </w:pPr>
    <w:rPr>
      <w:kern w:val="0"/>
      <w:szCs w:val="20"/>
    </w:rPr>
  </w:style>
  <w:style w:type="paragraph" w:styleId="18">
    <w:name w:val="index 4"/>
    <w:basedOn w:val="1"/>
    <w:next w:val="1"/>
    <w:qFormat/>
    <w:uiPriority w:val="0"/>
    <w:pPr>
      <w:ind w:left="600" w:leftChars="600"/>
    </w:pPr>
  </w:style>
  <w:style w:type="paragraph" w:styleId="19">
    <w:name w:val="toc 5"/>
    <w:basedOn w:val="1"/>
    <w:next w:val="1"/>
    <w:link w:val="88"/>
    <w:qFormat/>
    <w:uiPriority w:val="39"/>
    <w:pPr>
      <w:ind w:left="1680" w:leftChars="800"/>
    </w:pPr>
    <w:rPr>
      <w:kern w:val="0"/>
      <w:sz w:val="20"/>
      <w:szCs w:val="22"/>
    </w:rPr>
  </w:style>
  <w:style w:type="paragraph" w:styleId="20">
    <w:name w:val="toc 3"/>
    <w:basedOn w:val="1"/>
    <w:next w:val="1"/>
    <w:qFormat/>
    <w:uiPriority w:val="39"/>
    <w:pPr>
      <w:ind w:left="840" w:leftChars="400"/>
    </w:pPr>
  </w:style>
  <w:style w:type="paragraph" w:styleId="21">
    <w:name w:val="Plain Text"/>
    <w:basedOn w:val="1"/>
    <w:qFormat/>
    <w:uiPriority w:val="0"/>
    <w:rPr>
      <w:rFonts w:ascii="宋体" w:hAnsi="Courier New"/>
      <w:szCs w:val="20"/>
    </w:rPr>
  </w:style>
  <w:style w:type="paragraph" w:styleId="22">
    <w:name w:val="toc 8"/>
    <w:basedOn w:val="1"/>
    <w:next w:val="1"/>
    <w:qFormat/>
    <w:uiPriority w:val="39"/>
    <w:pPr>
      <w:ind w:left="2940" w:leftChars="1400"/>
    </w:pPr>
    <w:rPr>
      <w:rFonts w:ascii="Calibri" w:hAnsi="Calibri"/>
      <w:szCs w:val="22"/>
    </w:rPr>
  </w:style>
  <w:style w:type="paragraph" w:styleId="23">
    <w:name w:val="index 3"/>
    <w:basedOn w:val="1"/>
    <w:next w:val="1"/>
    <w:qFormat/>
    <w:uiPriority w:val="0"/>
    <w:pPr>
      <w:ind w:left="400" w:leftChars="400"/>
    </w:pPr>
  </w:style>
  <w:style w:type="paragraph" w:styleId="24">
    <w:name w:val="Date"/>
    <w:basedOn w:val="1"/>
    <w:next w:val="1"/>
    <w:qFormat/>
    <w:uiPriority w:val="0"/>
    <w:pPr>
      <w:ind w:left="100" w:leftChars="2500"/>
    </w:pPr>
  </w:style>
  <w:style w:type="paragraph" w:styleId="25">
    <w:name w:val="endnote text"/>
    <w:basedOn w:val="1"/>
    <w:qFormat/>
    <w:uiPriority w:val="0"/>
    <w:pPr>
      <w:snapToGrid w:val="0"/>
      <w:jc w:val="left"/>
    </w:pPr>
  </w:style>
  <w:style w:type="paragraph" w:styleId="26">
    <w:name w:val="Balloon Text"/>
    <w:basedOn w:val="1"/>
    <w:qFormat/>
    <w:uiPriority w:val="0"/>
    <w:rPr>
      <w:sz w:val="18"/>
      <w:szCs w:val="18"/>
    </w:rPr>
  </w:style>
  <w:style w:type="paragraph" w:styleId="27">
    <w:name w:val="footer"/>
    <w:basedOn w:val="1"/>
    <w:link w:val="100"/>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9"/>
    <w:qFormat/>
    <w:uiPriority w:val="0"/>
    <w:pPr>
      <w:snapToGrid w:val="0"/>
      <w:jc w:val="left"/>
    </w:pPr>
    <w:rPr>
      <w:sz w:val="18"/>
      <w:szCs w:val="18"/>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style>
  <w:style w:type="paragraph" w:styleId="35">
    <w:name w:val="toc 9"/>
    <w:basedOn w:val="1"/>
    <w:next w:val="1"/>
    <w:qFormat/>
    <w:uiPriority w:val="39"/>
    <w:pPr>
      <w:ind w:left="3360" w:leftChars="1600"/>
    </w:pPr>
    <w:rPr>
      <w:rFonts w:ascii="Calibri" w:hAnsi="Calibri"/>
      <w:szCs w:val="22"/>
    </w:rPr>
  </w:style>
  <w:style w:type="paragraph" w:styleId="36">
    <w:name w:val="Body Text 2"/>
    <w:basedOn w:val="1"/>
    <w:next w:val="16"/>
    <w:qFormat/>
    <w:uiPriority w:val="0"/>
    <w:pPr>
      <w:spacing w:line="500" w:lineRule="exact"/>
    </w:pPr>
  </w:style>
  <w:style w:type="paragraph" w:styleId="37">
    <w:name w:val="Normal (Web)"/>
    <w:basedOn w:val="1"/>
    <w:qFormat/>
    <w:uiPriority w:val="0"/>
    <w:rPr>
      <w:sz w:val="24"/>
    </w:rPr>
  </w:style>
  <w:style w:type="paragraph" w:styleId="38">
    <w:name w:val="index 1"/>
    <w:basedOn w:val="1"/>
    <w:next w:val="1"/>
    <w:qFormat/>
    <w:uiPriority w:val="0"/>
  </w:style>
  <w:style w:type="paragraph" w:styleId="39">
    <w:name w:val="index 2"/>
    <w:basedOn w:val="1"/>
    <w:next w:val="1"/>
    <w:qFormat/>
    <w:uiPriority w:val="0"/>
    <w:pPr>
      <w:ind w:left="200" w:leftChars="200"/>
    </w:pPr>
  </w:style>
  <w:style w:type="paragraph" w:styleId="40">
    <w:name w:val="Title"/>
    <w:basedOn w:val="1"/>
    <w:qFormat/>
    <w:uiPriority w:val="0"/>
    <w:pPr>
      <w:adjustRightInd w:val="0"/>
      <w:spacing w:line="420" w:lineRule="atLeast"/>
      <w:jc w:val="center"/>
      <w:outlineLvl w:val="0"/>
    </w:pPr>
    <w:rPr>
      <w:rFonts w:ascii="Arial" w:hAnsi="Arial"/>
      <w:b/>
      <w:kern w:val="0"/>
      <w:sz w:val="32"/>
      <w:szCs w:val="20"/>
    </w:rPr>
  </w:style>
  <w:style w:type="paragraph" w:styleId="41">
    <w:name w:val="annotation subject"/>
    <w:basedOn w:val="14"/>
    <w:next w:val="14"/>
    <w:link w:val="97"/>
    <w:qFormat/>
    <w:uiPriority w:val="0"/>
    <w:rPr>
      <w:b/>
      <w:bCs/>
    </w:rPr>
  </w:style>
  <w:style w:type="paragraph" w:styleId="42">
    <w:name w:val="Body Text First Indent 2"/>
    <w:basedOn w:val="17"/>
    <w:qFormat/>
    <w:uiPriority w:val="0"/>
    <w:pPr>
      <w:ind w:left="0" w:firstLine="960" w:firstLineChars="200"/>
    </w:pPr>
    <w:rPr>
      <w:sz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rPr>
  </w:style>
  <w:style w:type="character" w:styleId="47">
    <w:name w:val="endnote reference"/>
    <w:basedOn w:val="45"/>
    <w:qFormat/>
    <w:uiPriority w:val="0"/>
    <w:rPr>
      <w:vertAlign w:val="superscript"/>
    </w:rPr>
  </w:style>
  <w:style w:type="character" w:styleId="48">
    <w:name w:val="page number"/>
    <w:basedOn w:val="45"/>
    <w:qFormat/>
    <w:uiPriority w:val="0"/>
  </w:style>
  <w:style w:type="character" w:styleId="49">
    <w:name w:val="FollowedHyperlink"/>
    <w:basedOn w:val="45"/>
    <w:qFormat/>
    <w:uiPriority w:val="0"/>
    <w:rPr>
      <w:color w:val="333333"/>
      <w:sz w:val="18"/>
      <w:szCs w:val="18"/>
      <w:u w:val="single"/>
    </w:rPr>
  </w:style>
  <w:style w:type="character" w:styleId="50">
    <w:name w:val="Hyperlink"/>
    <w:basedOn w:val="45"/>
    <w:qFormat/>
    <w:uiPriority w:val="99"/>
    <w:rPr>
      <w:color w:val="333333"/>
      <w:sz w:val="18"/>
      <w:szCs w:val="18"/>
      <w:u w:val="single"/>
    </w:rPr>
  </w:style>
  <w:style w:type="character" w:styleId="51">
    <w:name w:val="annotation reference"/>
    <w:basedOn w:val="45"/>
    <w:qFormat/>
    <w:uiPriority w:val="0"/>
    <w:rPr>
      <w:sz w:val="21"/>
      <w:szCs w:val="21"/>
    </w:rPr>
  </w:style>
  <w:style w:type="character" w:styleId="52">
    <w:name w:val="footnote reference"/>
    <w:basedOn w:val="45"/>
    <w:qFormat/>
    <w:uiPriority w:val="0"/>
    <w:rPr>
      <w:vertAlign w:val="superscript"/>
    </w:rPr>
  </w:style>
  <w:style w:type="paragraph" w:customStyle="1" w:styleId="53">
    <w:name w:val="正文正"/>
    <w:basedOn w:val="1"/>
    <w:qFormat/>
    <w:uiPriority w:val="99"/>
    <w:pPr>
      <w:spacing w:line="560" w:lineRule="exact"/>
      <w:ind w:firstLine="561"/>
    </w:pPr>
    <w:rPr>
      <w:rFonts w:ascii="Calibri" w:hAnsi="Calibri" w:cs="Calibri"/>
      <w:sz w:val="28"/>
      <w:szCs w:val="28"/>
    </w:rPr>
  </w:style>
  <w:style w:type="paragraph" w:customStyle="1" w:styleId="54">
    <w:name w:val="Normal Indent1"/>
    <w:basedOn w:val="1"/>
    <w:qFormat/>
    <w:uiPriority w:val="0"/>
    <w:pPr>
      <w:widowControl/>
      <w:spacing w:line="360" w:lineRule="auto"/>
      <w:ind w:firstLine="420"/>
      <w:jc w:val="left"/>
    </w:pPr>
    <w:rPr>
      <w:rFonts w:ascii="宋体"/>
      <w:kern w:val="0"/>
      <w:sz w:val="20"/>
      <w:szCs w:val="20"/>
    </w:rPr>
  </w:style>
  <w:style w:type="paragraph" w:customStyle="1" w:styleId="55">
    <w:name w:val="样式 宋体 行距: 1.5 倍行距"/>
    <w:basedOn w:val="56"/>
    <w:qFormat/>
    <w:uiPriority w:val="0"/>
    <w:pPr>
      <w:jc w:val="center"/>
    </w:pPr>
    <w:rPr>
      <w:b/>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4"/>
      <w:lang w:val="en-US" w:eastAsia="zh-CN" w:bidi="ar-SA"/>
    </w:rPr>
  </w:style>
  <w:style w:type="character" w:customStyle="1" w:styleId="57">
    <w:name w:val="标题 2 字符"/>
    <w:basedOn w:val="45"/>
    <w:link w:val="3"/>
    <w:qFormat/>
    <w:uiPriority w:val="0"/>
    <w:rPr>
      <w:rFonts w:ascii="Arial" w:hAnsi="Arial" w:eastAsia="黑体"/>
      <w:b/>
      <w:bCs/>
      <w:kern w:val="2"/>
      <w:sz w:val="32"/>
      <w:szCs w:val="32"/>
      <w:lang w:val="en-US" w:eastAsia="zh-CN" w:bidi="ar-SA"/>
    </w:rPr>
  </w:style>
  <w:style w:type="paragraph" w:customStyle="1" w:styleId="58">
    <w:name w:val="表格内容"/>
    <w:basedOn w:val="59"/>
    <w:qFormat/>
    <w:uiPriority w:val="0"/>
    <w:pPr>
      <w:ind w:firstLine="0" w:firstLineChars="0"/>
      <w:jc w:val="center"/>
    </w:pPr>
  </w:style>
  <w:style w:type="paragraph" w:customStyle="1" w:styleId="59">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60">
    <w:name w:val="条款正文"/>
    <w:basedOn w:val="59"/>
    <w:qFormat/>
    <w:uiPriority w:val="0"/>
    <w:pPr>
      <w:ind w:firstLine="0" w:firstLineChars="0"/>
    </w:pPr>
  </w:style>
  <w:style w:type="paragraph" w:customStyle="1" w:styleId="61">
    <w:name w:val="_Style 52"/>
    <w:basedOn w:val="1"/>
    <w:qFormat/>
    <w:uiPriority w:val="0"/>
    <w:pPr>
      <w:pBdr>
        <w:bottom w:val="single" w:color="auto" w:sz="6" w:space="1"/>
      </w:pBdr>
      <w:jc w:val="center"/>
    </w:pPr>
    <w:rPr>
      <w:rFonts w:ascii="Arial"/>
      <w:vanish/>
      <w:sz w:val="16"/>
    </w:rPr>
  </w:style>
  <w:style w:type="paragraph" w:customStyle="1" w:styleId="6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文本_0"/>
    <w:basedOn w:val="64"/>
    <w:qFormat/>
    <w:uiPriority w:val="0"/>
    <w:pPr>
      <w:spacing w:after="120"/>
    </w:pPr>
  </w:style>
  <w:style w:type="paragraph" w:customStyle="1" w:styleId="6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op_mapdots_left"/>
    <w:basedOn w:val="1"/>
    <w:qFormat/>
    <w:uiPriority w:val="0"/>
    <w:pPr>
      <w:jc w:val="left"/>
    </w:pPr>
    <w:rPr>
      <w:kern w:val="0"/>
    </w:rPr>
  </w:style>
  <w:style w:type="paragraph" w:customStyle="1" w:styleId="6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7">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8">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6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标题1、"/>
    <w:basedOn w:val="3"/>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1">
    <w:name w:val="_Style 63"/>
    <w:basedOn w:val="1"/>
    <w:qFormat/>
    <w:uiPriority w:val="0"/>
    <w:pPr>
      <w:pBdr>
        <w:top w:val="single" w:color="auto" w:sz="6" w:space="1"/>
      </w:pBdr>
      <w:jc w:val="center"/>
    </w:pPr>
    <w:rPr>
      <w:rFonts w:ascii="Arial"/>
      <w:vanish/>
      <w:sz w:val="16"/>
    </w:rPr>
  </w:style>
  <w:style w:type="paragraph" w:customStyle="1" w:styleId="72">
    <w:name w:val="标题1.1"/>
    <w:basedOn w:val="59"/>
    <w:qFormat/>
    <w:uiPriority w:val="0"/>
    <w:pPr>
      <w:numPr>
        <w:ilvl w:val="2"/>
        <w:numId w:val="3"/>
      </w:numPr>
      <w:ind w:firstLine="0" w:firstLineChars="0"/>
      <w:outlineLvl w:val="2"/>
    </w:pPr>
    <w:rPr>
      <w:b/>
    </w:rPr>
  </w:style>
  <w:style w:type="paragraph" w:customStyle="1" w:styleId="73">
    <w:name w:val="TOC 标题1"/>
    <w:basedOn w:val="2"/>
    <w:qFormat/>
    <w:uiPriority w:val="39"/>
    <w:pPr>
      <w:widowControl/>
      <w:spacing w:before="480" w:line="276" w:lineRule="auto"/>
      <w:jc w:val="left"/>
      <w:outlineLvl w:val="9"/>
    </w:pPr>
    <w:rPr>
      <w:rFonts w:ascii="Cambria" w:hAnsi="Cambria"/>
      <w:color w:val="365F91"/>
      <w:kern w:val="0"/>
      <w:sz w:val="28"/>
      <w:szCs w:val="28"/>
    </w:rPr>
  </w:style>
  <w:style w:type="paragraph" w:customStyle="1" w:styleId="74">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5">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6">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7">
    <w:name w:val="Char"/>
    <w:basedOn w:val="13"/>
    <w:qFormat/>
    <w:uiPriority w:val="0"/>
    <w:rPr>
      <w:rFonts w:ascii="Tahoma" w:hAnsi="Tahoma"/>
      <w:sz w:val="24"/>
    </w:rPr>
  </w:style>
  <w:style w:type="paragraph" w:customStyle="1" w:styleId="78">
    <w:name w:val="列出段落1"/>
    <w:basedOn w:val="1"/>
    <w:qFormat/>
    <w:uiPriority w:val="1"/>
    <w:pPr>
      <w:ind w:left="424" w:firstLine="480"/>
    </w:pPr>
    <w:rPr>
      <w:rFonts w:ascii="宋体" w:hAnsi="宋体" w:cs="宋体"/>
      <w:lang w:val="zh-CN" w:bidi="zh-CN"/>
    </w:rPr>
  </w:style>
  <w:style w:type="paragraph" w:customStyle="1" w:styleId="79">
    <w:name w:val="样式 标题 2 + Times New Roman 四号 非加粗 段前: 5 磅 段后: 0 磅 行距: 固定值 20..."/>
    <w:basedOn w:val="3"/>
    <w:link w:val="86"/>
    <w:qFormat/>
    <w:uiPriority w:val="0"/>
    <w:pPr>
      <w:spacing w:line="400" w:lineRule="exact"/>
    </w:pPr>
    <w:rPr>
      <w:rFonts w:ascii="Times New Roman" w:hAnsi="Times New Roman" w:eastAsia="宋体"/>
      <w:kern w:val="0"/>
      <w:sz w:val="28"/>
      <w:szCs w:val="20"/>
    </w:rPr>
  </w:style>
  <w:style w:type="paragraph" w:customStyle="1" w:styleId="80">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Table Paragraph"/>
    <w:basedOn w:val="1"/>
    <w:qFormat/>
    <w:uiPriority w:val="1"/>
  </w:style>
  <w:style w:type="paragraph" w:customStyle="1" w:styleId="82">
    <w:name w:val="p0"/>
    <w:basedOn w:val="1"/>
    <w:qFormat/>
    <w:uiPriority w:val="0"/>
    <w:pPr>
      <w:widowControl/>
    </w:pPr>
    <w:rPr>
      <w:rFonts w:ascii="Calibri" w:hAnsi="Calibri" w:cs="宋体"/>
      <w:kern w:val="0"/>
      <w:szCs w:val="21"/>
    </w:rPr>
  </w:style>
  <w:style w:type="paragraph" w:customStyle="1" w:styleId="8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p16"/>
    <w:basedOn w:val="1"/>
    <w:qFormat/>
    <w:uiPriority w:val="0"/>
    <w:pPr>
      <w:widowControl/>
    </w:pPr>
    <w:rPr>
      <w:kern w:val="0"/>
      <w:szCs w:val="21"/>
    </w:rPr>
  </w:style>
  <w:style w:type="paragraph" w:customStyle="1" w:styleId="8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6">
    <w:name w:val="样式 标题 2 + Times New Roman 四号 非加粗 段前: 5 磅 段后: 0 磅 行距: 固定值 20... Char"/>
    <w:link w:val="79"/>
    <w:qFormat/>
    <w:uiPriority w:val="0"/>
    <w:rPr>
      <w:rFonts w:ascii="Times New Roman" w:hAnsi="Times New Roman" w:cs="宋体"/>
      <w:b/>
      <w:bCs/>
      <w:sz w:val="28"/>
      <w:szCs w:val="20"/>
    </w:rPr>
  </w:style>
  <w:style w:type="character" w:customStyle="1" w:styleId="87">
    <w:name w:val="标题 1 字符"/>
    <w:link w:val="2"/>
    <w:qFormat/>
    <w:uiPriority w:val="0"/>
    <w:rPr>
      <w:b/>
      <w:bCs/>
      <w:kern w:val="44"/>
      <w:sz w:val="44"/>
      <w:szCs w:val="44"/>
    </w:rPr>
  </w:style>
  <w:style w:type="character" w:customStyle="1" w:styleId="88">
    <w:name w:val="TOC 5 字符"/>
    <w:link w:val="19"/>
    <w:qFormat/>
    <w:uiPriority w:val="39"/>
    <w:rPr>
      <w:rFonts w:ascii="Calibri" w:hAnsi="Calibri" w:eastAsia="宋体" w:cs="Times New Roman"/>
      <w:szCs w:val="22"/>
    </w:rPr>
  </w:style>
  <w:style w:type="character" w:customStyle="1" w:styleId="89">
    <w:name w:val="副标题 字符"/>
    <w:basedOn w:val="45"/>
    <w:link w:val="31"/>
    <w:qFormat/>
    <w:uiPriority w:val="0"/>
    <w:rPr>
      <w:rFonts w:ascii="Cambria" w:hAnsi="Cambria" w:cs="Times New Roman"/>
      <w:b/>
      <w:bCs/>
      <w:kern w:val="28"/>
      <w:sz w:val="32"/>
      <w:szCs w:val="32"/>
    </w:rPr>
  </w:style>
  <w:style w:type="character" w:customStyle="1" w:styleId="90">
    <w:name w:val="hover37"/>
    <w:basedOn w:val="45"/>
    <w:qFormat/>
    <w:uiPriority w:val="0"/>
  </w:style>
  <w:style w:type="character" w:customStyle="1" w:styleId="91">
    <w:name w:val="标题 3 字符"/>
    <w:basedOn w:val="45"/>
    <w:link w:val="4"/>
    <w:qFormat/>
    <w:uiPriority w:val="0"/>
    <w:rPr>
      <w:rFonts w:eastAsia="宋体"/>
      <w:b/>
      <w:bCs/>
      <w:kern w:val="2"/>
      <w:sz w:val="32"/>
      <w:szCs w:val="32"/>
      <w:lang w:val="en-US" w:eastAsia="zh-CN" w:bidi="ar-SA"/>
    </w:rPr>
  </w:style>
  <w:style w:type="character" w:customStyle="1" w:styleId="92">
    <w:name w:val="批注文字 字符"/>
    <w:basedOn w:val="45"/>
    <w:link w:val="14"/>
    <w:qFormat/>
    <w:uiPriority w:val="0"/>
    <w:rPr>
      <w:kern w:val="2"/>
      <w:sz w:val="21"/>
      <w:szCs w:val="24"/>
    </w:rPr>
  </w:style>
  <w:style w:type="character" w:customStyle="1" w:styleId="93">
    <w:name w:val="正文文本 3 字符"/>
    <w:basedOn w:val="45"/>
    <w:link w:val="15"/>
    <w:qFormat/>
    <w:uiPriority w:val="0"/>
    <w:rPr>
      <w:rFonts w:ascii="宋体" w:eastAsia="宋体"/>
      <w:kern w:val="2"/>
      <w:sz w:val="24"/>
      <w:lang w:val="en-US" w:eastAsia="zh-CN" w:bidi="ar-SA"/>
    </w:rPr>
  </w:style>
  <w:style w:type="character" w:customStyle="1" w:styleId="94">
    <w:name w:val="style2"/>
    <w:basedOn w:val="45"/>
    <w:qFormat/>
    <w:uiPriority w:val="0"/>
  </w:style>
  <w:style w:type="character" w:customStyle="1" w:styleId="95">
    <w:name w:val="正文文本 字符"/>
    <w:basedOn w:val="45"/>
    <w:link w:val="16"/>
    <w:qFormat/>
    <w:uiPriority w:val="0"/>
    <w:rPr>
      <w:rFonts w:eastAsia="宋体"/>
      <w:kern w:val="2"/>
      <w:sz w:val="21"/>
      <w:szCs w:val="24"/>
      <w:lang w:val="en-US" w:eastAsia="zh-CN" w:bidi="ar-SA"/>
    </w:rPr>
  </w:style>
  <w:style w:type="character" w:customStyle="1" w:styleId="96">
    <w:name w:val="Char Char17"/>
    <w:basedOn w:val="45"/>
    <w:qFormat/>
    <w:uiPriority w:val="0"/>
    <w:rPr>
      <w:rFonts w:ascii="Times New Roman" w:hAnsi="Times New Roman" w:eastAsia="宋体" w:cs="Times New Roman"/>
      <w:b/>
      <w:bCs/>
      <w:kern w:val="44"/>
      <w:sz w:val="44"/>
      <w:szCs w:val="44"/>
    </w:rPr>
  </w:style>
  <w:style w:type="character" w:customStyle="1" w:styleId="97">
    <w:name w:val="批注主题 字符"/>
    <w:basedOn w:val="92"/>
    <w:link w:val="41"/>
    <w:qFormat/>
    <w:uiPriority w:val="0"/>
    <w:rPr>
      <w:kern w:val="2"/>
      <w:sz w:val="21"/>
      <w:szCs w:val="24"/>
    </w:rPr>
  </w:style>
  <w:style w:type="character" w:customStyle="1" w:styleId="98">
    <w:name w:val="标题 4 字符"/>
    <w:basedOn w:val="45"/>
    <w:link w:val="5"/>
    <w:qFormat/>
    <w:uiPriority w:val="0"/>
    <w:rPr>
      <w:rFonts w:ascii="Arial" w:hAnsi="Arial" w:eastAsia="黑体"/>
      <w:b/>
      <w:bCs/>
      <w:kern w:val="2"/>
      <w:sz w:val="28"/>
      <w:szCs w:val="28"/>
      <w:lang w:val="en-US" w:eastAsia="zh-CN" w:bidi="ar-SA"/>
    </w:rPr>
  </w:style>
  <w:style w:type="character" w:customStyle="1" w:styleId="99">
    <w:name w:val="脚注文本 字符"/>
    <w:basedOn w:val="45"/>
    <w:link w:val="32"/>
    <w:qFormat/>
    <w:uiPriority w:val="0"/>
    <w:rPr>
      <w:kern w:val="2"/>
      <w:sz w:val="18"/>
      <w:szCs w:val="18"/>
    </w:rPr>
  </w:style>
  <w:style w:type="character" w:customStyle="1" w:styleId="100">
    <w:name w:val="页脚 字符"/>
    <w:basedOn w:val="45"/>
    <w:link w:val="27"/>
    <w:qFormat/>
    <w:uiPriority w:val="0"/>
    <w:rPr>
      <w:kern w:val="2"/>
      <w:sz w:val="18"/>
      <w:szCs w:val="18"/>
    </w:rPr>
  </w:style>
  <w:style w:type="character" w:customStyle="1" w:styleId="101">
    <w:name w:val="页码1"/>
    <w:basedOn w:val="45"/>
    <w:qFormat/>
    <w:uiPriority w:val="0"/>
  </w:style>
  <w:style w:type="character" w:customStyle="1" w:styleId="102">
    <w:name w:val="hover"/>
    <w:basedOn w:val="45"/>
    <w:qFormat/>
    <w:uiPriority w:val="0"/>
  </w:style>
  <w:style w:type="paragraph" w:customStyle="1" w:styleId="103">
    <w:name w:val="标题 1 New"/>
    <w:basedOn w:val="69"/>
    <w:link w:val="104"/>
    <w:qFormat/>
    <w:uiPriority w:val="0"/>
    <w:pPr>
      <w:keepNext/>
      <w:keepLines/>
      <w:spacing w:line="578" w:lineRule="auto"/>
      <w:outlineLvl w:val="0"/>
    </w:pPr>
    <w:rPr>
      <w:b/>
      <w:bCs/>
      <w:kern w:val="44"/>
      <w:sz w:val="44"/>
      <w:szCs w:val="44"/>
    </w:rPr>
  </w:style>
  <w:style w:type="character" w:customStyle="1" w:styleId="104">
    <w:name w:val="标题 1 Char Char New"/>
    <w:link w:val="103"/>
    <w:qFormat/>
    <w:uiPriority w:val="0"/>
    <w:rPr>
      <w:rFonts w:ascii="Times New Roman" w:hAnsi="Times New Roman"/>
      <w:b/>
      <w:bCs/>
      <w:kern w:val="44"/>
      <w:sz w:val="44"/>
      <w:szCs w:val="44"/>
    </w:rPr>
  </w:style>
  <w:style w:type="paragraph" w:customStyle="1" w:styleId="105">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9">
    <w:name w:val="hover38"/>
    <w:basedOn w:val="45"/>
    <w:qFormat/>
    <w:uiPriority w:val="0"/>
  </w:style>
  <w:style w:type="paragraph" w:customStyle="1" w:styleId="110">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11">
    <w:name w:val="样式4"/>
    <w:basedOn w:val="1"/>
    <w:qFormat/>
    <w:uiPriority w:val="0"/>
    <w:pPr>
      <w:spacing w:line="360" w:lineRule="auto"/>
      <w:jc w:val="center"/>
    </w:pPr>
    <w:rPr>
      <w:rFonts w:ascii="宋体" w:hAnsi="宋体"/>
      <w:sz w:val="24"/>
    </w:rPr>
  </w:style>
  <w:style w:type="paragraph" w:customStyle="1" w:styleId="112">
    <w:name w:val="正文文本 New"/>
    <w:basedOn w:val="85"/>
    <w:qFormat/>
    <w:uiPriority w:val="0"/>
    <w:pPr>
      <w:spacing w:after="120"/>
    </w:pPr>
  </w:style>
  <w:style w:type="paragraph" w:customStyle="1" w:styleId="113">
    <w:name w:val="列出段落2"/>
    <w:basedOn w:val="1"/>
    <w:unhideWhenUsed/>
    <w:qFormat/>
    <w:uiPriority w:val="99"/>
    <w:pPr>
      <w:ind w:firstLine="420" w:firstLineChars="200"/>
    </w:pPr>
  </w:style>
  <w:style w:type="character" w:customStyle="1" w:styleId="114">
    <w:name w:val="NormalCharacter"/>
    <w:semiHidden/>
    <w:qFormat/>
    <w:uiPriority w:val="0"/>
  </w:style>
  <w:style w:type="paragraph" w:customStyle="1" w:styleId="115">
    <w:name w:val="列出段落3"/>
    <w:basedOn w:val="1"/>
    <w:qFormat/>
    <w:uiPriority w:val="1"/>
    <w:pPr>
      <w:ind w:left="424" w:firstLine="480"/>
    </w:pPr>
    <w:rPr>
      <w:rFonts w:ascii="宋体" w:hAnsi="宋体" w:cs="宋体"/>
      <w:lang w:val="zh-CN" w:bidi="zh-CN"/>
    </w:rPr>
  </w:style>
  <w:style w:type="paragraph" w:customStyle="1" w:styleId="116">
    <w:name w:val="Table Text"/>
    <w:basedOn w:val="1"/>
    <w:semiHidden/>
    <w:qFormat/>
    <w:uiPriority w:val="0"/>
    <w:rPr>
      <w:rFonts w:ascii="宋体" w:hAnsi="宋体" w:cs="宋体"/>
      <w:szCs w:val="21"/>
      <w:lang w:eastAsia="en-US"/>
    </w:rPr>
  </w:style>
  <w:style w:type="table" w:customStyle="1" w:styleId="117">
    <w:name w:val="Table Normal"/>
    <w:semiHidden/>
    <w:unhideWhenUsed/>
    <w:qFormat/>
    <w:uiPriority w:val="0"/>
    <w:tblPr>
      <w:tblCellMar>
        <w:top w:w="0" w:type="dxa"/>
        <w:left w:w="0" w:type="dxa"/>
        <w:bottom w:w="0" w:type="dxa"/>
        <w:right w:w="0" w:type="dxa"/>
      </w:tblCellMar>
    </w:tblPr>
  </w:style>
  <w:style w:type="character" w:customStyle="1" w:styleId="118">
    <w:name w:val="正文文本 (2) + 10 pt37"/>
    <w:qFormat/>
    <w:uiPriority w:val="99"/>
    <w:rPr>
      <w:rFonts w:ascii="MingLiU" w:eastAsia="MingLiU" w:cs="MingLiU"/>
      <w:spacing w:val="0"/>
      <w:sz w:val="20"/>
      <w:szCs w:val="20"/>
      <w:u w:val="none"/>
    </w:rPr>
  </w:style>
  <w:style w:type="paragraph" w:styleId="119">
    <w:name w:val="List Paragraph"/>
    <w:basedOn w:val="1"/>
    <w:qFormat/>
    <w:uiPriority w:val="1"/>
    <w:pPr>
      <w:ind w:left="398" w:firstLine="480"/>
    </w:pPr>
    <w:rPr>
      <w:rFonts w:ascii="宋体" w:hAnsi="宋体" w:cs="宋体"/>
    </w:rPr>
  </w:style>
  <w:style w:type="character" w:customStyle="1" w:styleId="120">
    <w:name w:val="15"/>
    <w:basedOn w:val="45"/>
    <w:qFormat/>
    <w:uiPriority w:val="0"/>
    <w:rPr>
      <w:rFonts w:hint="default" w:ascii="Calibri" w:hAnsi="Calibri" w:cs="Times New Roman"/>
      <w:vertAlign w:val="superscript"/>
    </w:rPr>
  </w:style>
  <w:style w:type="paragraph" w:customStyle="1" w:styleId="1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8208</Words>
  <Characters>8663</Characters>
  <Lines>2834</Lines>
  <Paragraphs>3457</Paragraphs>
  <TotalTime>0</TotalTime>
  <ScaleCrop>false</ScaleCrop>
  <LinksUpToDate>false</LinksUpToDate>
  <CharactersWithSpaces>8793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Administrator</dc:creator>
  <cp:lastModifiedBy>50</cp:lastModifiedBy>
  <cp:lastPrinted>2025-04-22T13:17:00Z</cp:lastPrinted>
  <dcterms:modified xsi:type="dcterms:W3CDTF">2025-06-05T06:25:36Z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B9AEF2CEEB594ECABD6D58E9247EB829_13</vt:lpwstr>
  </property>
  <property fmtid="{D5CDD505-2E9C-101B-9397-08002B2CF9AE}" pid="4" name="KSOTemplateDocerSaveRecord">
    <vt:lpwstr>eyJoZGlkIjoiZDJmN2Y4ZGUyZWQ4OTBjMjlhYjE1MjBmMWM0YjVkNjYiLCJ1c2VySWQiOiI0MDcxODM0MTYifQ==</vt:lpwstr>
  </property>
</Properties>
</file>