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7DE11">
      <w:pPr>
        <w:wordWrap w:val="0"/>
        <w:spacing w:line="360" w:lineRule="auto"/>
        <w:rPr>
          <w:rFonts w:ascii="宋体" w:hAnsi="宋体" w:eastAsia="宋体" w:cs="宋体"/>
          <w:b/>
          <w:color w:val="auto"/>
          <w:sz w:val="48"/>
          <w:szCs w:val="48"/>
          <w:highlight w:val="none"/>
          <w:lang w:bidi="ar"/>
        </w:rPr>
      </w:pPr>
    </w:p>
    <w:p w14:paraId="1445ED13">
      <w:pPr>
        <w:wordWrap w:val="0"/>
        <w:spacing w:line="360" w:lineRule="auto"/>
        <w:rPr>
          <w:rFonts w:ascii="宋体" w:hAnsi="宋体" w:eastAsia="宋体" w:cs="宋体"/>
          <w:b/>
          <w:color w:val="auto"/>
          <w:sz w:val="48"/>
          <w:szCs w:val="48"/>
          <w:highlight w:val="none"/>
          <w:lang w:bidi="ar"/>
        </w:rPr>
      </w:pPr>
    </w:p>
    <w:p w14:paraId="318F3007">
      <w:pPr>
        <w:wordWrap w:val="0"/>
        <w:spacing w:line="360" w:lineRule="auto"/>
        <w:jc w:val="center"/>
        <w:rPr>
          <w:rFonts w:hint="eastAsia" w:ascii="宋体" w:hAnsi="宋体" w:eastAsia="宋体" w:cs="宋体"/>
          <w:b/>
          <w:color w:val="auto"/>
          <w:spacing w:val="40"/>
          <w:sz w:val="44"/>
          <w:szCs w:val="44"/>
          <w:highlight w:val="none"/>
          <w:lang w:eastAsia="zh-CN"/>
        </w:rPr>
      </w:pPr>
      <w:r>
        <w:rPr>
          <w:rFonts w:hint="eastAsia" w:ascii="宋体" w:hAnsi="宋体" w:eastAsia="宋体" w:cs="宋体"/>
          <w:b/>
          <w:color w:val="auto"/>
          <w:sz w:val="48"/>
          <w:szCs w:val="48"/>
          <w:highlight w:val="none"/>
          <w:lang w:eastAsia="zh-CN" w:bidi="ar"/>
        </w:rPr>
        <w:t>广州市花都区新华街田美区域排水管网更新改造工程勘察初步设计</w:t>
      </w:r>
    </w:p>
    <w:p w14:paraId="5D325C86">
      <w:pPr>
        <w:wordWrap w:val="0"/>
        <w:spacing w:line="360" w:lineRule="auto"/>
        <w:jc w:val="center"/>
        <w:rPr>
          <w:rFonts w:ascii="宋体" w:hAnsi="宋体" w:eastAsia="宋体" w:cs="宋体"/>
          <w:color w:val="auto"/>
          <w:sz w:val="36"/>
          <w:szCs w:val="36"/>
          <w:highlight w:val="none"/>
          <w:u w:val="single"/>
          <w:lang w:bidi="ar"/>
        </w:rPr>
      </w:pPr>
    </w:p>
    <w:p w14:paraId="5BCCA4DA">
      <w:pPr>
        <w:wordWrap w:val="0"/>
        <w:spacing w:line="360" w:lineRule="auto"/>
        <w:jc w:val="center"/>
        <w:rPr>
          <w:rFonts w:ascii="宋体" w:hAnsi="宋体" w:eastAsia="宋体" w:cs="宋体"/>
          <w:color w:val="auto"/>
          <w:sz w:val="36"/>
          <w:szCs w:val="36"/>
          <w:highlight w:val="none"/>
          <w:u w:val="single"/>
          <w:lang w:bidi="ar"/>
        </w:rPr>
      </w:pPr>
    </w:p>
    <w:p w14:paraId="54DD2C37">
      <w:pPr>
        <w:wordWrap w:val="0"/>
        <w:spacing w:line="360" w:lineRule="auto"/>
        <w:jc w:val="center"/>
        <w:rPr>
          <w:rFonts w:ascii="宋体" w:hAnsi="宋体" w:eastAsia="宋体" w:cs="宋体"/>
          <w:color w:val="auto"/>
          <w:sz w:val="36"/>
          <w:szCs w:val="36"/>
          <w:highlight w:val="none"/>
          <w:u w:val="single"/>
        </w:rPr>
      </w:pPr>
    </w:p>
    <w:p w14:paraId="43F61ED6">
      <w:pPr>
        <w:wordWrap w:val="0"/>
        <w:spacing w:line="360" w:lineRule="auto"/>
        <w:jc w:val="center"/>
        <w:rPr>
          <w:rFonts w:ascii="宋体" w:hAnsi="宋体" w:eastAsia="宋体" w:cs="宋体"/>
          <w:b/>
          <w:color w:val="auto"/>
          <w:spacing w:val="26"/>
          <w:sz w:val="110"/>
          <w:szCs w:val="110"/>
          <w:highlight w:val="none"/>
        </w:rPr>
      </w:pPr>
      <w:r>
        <w:rPr>
          <w:rFonts w:hint="eastAsia" w:ascii="宋体" w:hAnsi="宋体" w:eastAsia="宋体" w:cs="宋体"/>
          <w:b/>
          <w:color w:val="auto"/>
          <w:spacing w:val="26"/>
          <w:sz w:val="96"/>
          <w:szCs w:val="96"/>
          <w:highlight w:val="none"/>
          <w:lang w:bidi="ar"/>
        </w:rPr>
        <w:t>招标公告</w:t>
      </w:r>
    </w:p>
    <w:p w14:paraId="5409BDF3">
      <w:pPr>
        <w:wordWrap w:val="0"/>
        <w:spacing w:line="360" w:lineRule="auto"/>
        <w:rPr>
          <w:rFonts w:ascii="宋体" w:hAnsi="宋体" w:eastAsia="宋体" w:cs="宋体"/>
          <w:color w:val="auto"/>
          <w:sz w:val="32"/>
          <w:szCs w:val="32"/>
          <w:highlight w:val="none"/>
        </w:rPr>
      </w:pPr>
    </w:p>
    <w:p w14:paraId="14C8F4B0">
      <w:pPr>
        <w:wordWrap w:val="0"/>
        <w:spacing w:line="360" w:lineRule="auto"/>
        <w:rPr>
          <w:rFonts w:ascii="宋体" w:hAnsi="宋体" w:eastAsia="宋体" w:cs="宋体"/>
          <w:color w:val="auto"/>
          <w:sz w:val="52"/>
          <w:szCs w:val="52"/>
          <w:highlight w:val="none"/>
          <w:lang w:bidi="ar"/>
        </w:rPr>
      </w:pPr>
    </w:p>
    <w:p w14:paraId="7C5FBC81">
      <w:pPr>
        <w:wordWrap w:val="0"/>
        <w:spacing w:line="360" w:lineRule="auto"/>
        <w:rPr>
          <w:rFonts w:ascii="宋体" w:hAnsi="宋体" w:eastAsia="宋体" w:cs="宋体"/>
          <w:color w:val="auto"/>
          <w:sz w:val="52"/>
          <w:szCs w:val="52"/>
          <w:highlight w:val="none"/>
          <w:lang w:bidi="ar"/>
        </w:rPr>
      </w:pPr>
    </w:p>
    <w:p w14:paraId="7FCFA662">
      <w:pPr>
        <w:wordWrap w:val="0"/>
        <w:spacing w:line="360" w:lineRule="auto"/>
        <w:rPr>
          <w:rFonts w:ascii="宋体" w:hAnsi="宋体" w:eastAsia="宋体" w:cs="宋体"/>
          <w:color w:val="auto"/>
          <w:sz w:val="52"/>
          <w:szCs w:val="52"/>
          <w:highlight w:val="none"/>
          <w:lang w:bidi="ar"/>
        </w:rPr>
      </w:pPr>
    </w:p>
    <w:p w14:paraId="17A2F0CF">
      <w:pPr>
        <w:wordWrap w:val="0"/>
        <w:spacing w:line="360" w:lineRule="auto"/>
        <w:ind w:left="0" w:leftChars="0" w:firstLine="638" w:firstLineChars="120"/>
        <w:jc w:val="left"/>
        <w:rPr>
          <w:rFonts w:hint="eastAsia" w:ascii="宋体" w:hAnsi="宋体" w:eastAsia="宋体" w:cs="宋体"/>
          <w:color w:val="auto"/>
          <w:sz w:val="32"/>
          <w:szCs w:val="32"/>
          <w:highlight w:val="none"/>
          <w:u w:val="single"/>
          <w:lang w:eastAsia="zh-CN" w:bidi="ar"/>
        </w:rPr>
      </w:pPr>
      <w:r>
        <w:rPr>
          <w:rFonts w:hint="eastAsia" w:ascii="宋体" w:hAnsi="宋体" w:eastAsia="宋体" w:cs="宋体"/>
          <w:color w:val="auto"/>
          <w:spacing w:val="106"/>
          <w:kern w:val="0"/>
          <w:sz w:val="32"/>
          <w:szCs w:val="32"/>
          <w:highlight w:val="none"/>
          <w:fitText w:val="1920" w:id="1941011906"/>
          <w:lang w:bidi="ar"/>
        </w:rPr>
        <w:t>招标单</w:t>
      </w:r>
      <w:r>
        <w:rPr>
          <w:rFonts w:hint="eastAsia" w:ascii="宋体" w:hAnsi="宋体" w:eastAsia="宋体" w:cs="宋体"/>
          <w:color w:val="auto"/>
          <w:spacing w:val="2"/>
          <w:kern w:val="0"/>
          <w:sz w:val="32"/>
          <w:szCs w:val="32"/>
          <w:highlight w:val="none"/>
          <w:fitText w:val="1920" w:id="1941011906"/>
          <w:lang w:bidi="ar"/>
        </w:rPr>
        <w:t>位</w:t>
      </w:r>
      <w:r>
        <w:rPr>
          <w:rFonts w:hint="eastAsia" w:ascii="宋体" w:hAnsi="宋体" w:eastAsia="宋体" w:cs="宋体"/>
          <w:color w:val="auto"/>
          <w:sz w:val="32"/>
          <w:szCs w:val="32"/>
          <w:highlight w:val="none"/>
          <w:lang w:bidi="ar"/>
        </w:rPr>
        <w:t>：</w:t>
      </w:r>
      <w:r>
        <w:rPr>
          <w:rFonts w:hint="eastAsia" w:ascii="宋体" w:hAnsi="宋体" w:eastAsia="宋体" w:cs="宋体"/>
          <w:color w:val="auto"/>
          <w:sz w:val="32"/>
          <w:szCs w:val="32"/>
          <w:highlight w:val="none"/>
          <w:u w:val="none"/>
          <w:lang w:eastAsia="zh-CN" w:bidi="ar"/>
        </w:rPr>
        <w:t>广州市花都区人民政府新华街道办事处</w:t>
      </w:r>
    </w:p>
    <w:p w14:paraId="6AF44D00">
      <w:pPr>
        <w:wordWrap w:val="0"/>
        <w:spacing w:line="360" w:lineRule="auto"/>
        <w:ind w:firstLine="640" w:firstLineChars="200"/>
        <w:jc w:val="left"/>
        <w:rPr>
          <w:rFonts w:hint="eastAsia" w:ascii="宋体" w:hAnsi="宋体" w:eastAsia="宋体" w:cs="宋体"/>
          <w:color w:val="auto"/>
          <w:sz w:val="32"/>
          <w:szCs w:val="32"/>
          <w:highlight w:val="none"/>
          <w:u w:val="none"/>
          <w:lang w:eastAsia="zh-CN"/>
        </w:rPr>
      </w:pPr>
      <w:r>
        <w:rPr>
          <w:rFonts w:hint="eastAsia" w:ascii="宋体" w:hAnsi="宋体" w:eastAsia="宋体" w:cs="宋体"/>
          <w:color w:val="auto"/>
          <w:sz w:val="32"/>
          <w:szCs w:val="32"/>
          <w:highlight w:val="none"/>
          <w:lang w:bidi="ar"/>
        </w:rPr>
        <w:t>招标代理机构：</w:t>
      </w:r>
      <w:r>
        <w:rPr>
          <w:rFonts w:hint="eastAsia" w:ascii="宋体" w:hAnsi="宋体" w:eastAsia="宋体" w:cs="宋体"/>
          <w:color w:val="auto"/>
          <w:sz w:val="32"/>
          <w:szCs w:val="32"/>
          <w:highlight w:val="none"/>
          <w:u w:val="none"/>
          <w:lang w:eastAsia="zh-CN" w:bidi="ar"/>
        </w:rPr>
        <w:t>广东省国际工程咨询有限公司</w:t>
      </w:r>
    </w:p>
    <w:p w14:paraId="393ADCCE">
      <w:pPr>
        <w:wordWrap w:val="0"/>
        <w:spacing w:line="360" w:lineRule="auto"/>
        <w:ind w:left="0" w:leftChars="0" w:firstLine="640" w:firstLineChars="40"/>
        <w:jc w:val="left"/>
        <w:rPr>
          <w:rFonts w:hint="eastAsia" w:ascii="宋体" w:hAnsi="宋体" w:eastAsia="宋体" w:cs="宋体"/>
          <w:color w:val="auto"/>
          <w:sz w:val="32"/>
          <w:szCs w:val="32"/>
          <w:highlight w:val="none"/>
          <w:lang w:bidi="ar"/>
        </w:rPr>
      </w:pPr>
      <w:r>
        <w:rPr>
          <w:rFonts w:hint="eastAsia" w:ascii="宋体" w:hAnsi="宋体" w:eastAsia="宋体" w:cs="宋体"/>
          <w:color w:val="auto"/>
          <w:spacing w:val="640"/>
          <w:kern w:val="0"/>
          <w:sz w:val="32"/>
          <w:szCs w:val="32"/>
          <w:highlight w:val="none"/>
          <w:fitText w:val="1920" w:id="727480657"/>
          <w:lang w:bidi="ar"/>
        </w:rPr>
        <w:t>日</w:t>
      </w:r>
      <w:r>
        <w:rPr>
          <w:rFonts w:hint="eastAsia" w:ascii="宋体" w:hAnsi="宋体" w:eastAsia="宋体" w:cs="宋体"/>
          <w:color w:val="auto"/>
          <w:spacing w:val="0"/>
          <w:kern w:val="0"/>
          <w:sz w:val="32"/>
          <w:szCs w:val="32"/>
          <w:highlight w:val="none"/>
          <w:fitText w:val="1920" w:id="727480657"/>
          <w:lang w:bidi="ar"/>
        </w:rPr>
        <w:t>期</w:t>
      </w:r>
      <w:r>
        <w:rPr>
          <w:rFonts w:hint="eastAsia" w:ascii="宋体" w:hAnsi="宋体" w:eastAsia="宋体" w:cs="宋体"/>
          <w:color w:val="auto"/>
          <w:sz w:val="32"/>
          <w:szCs w:val="32"/>
          <w:highlight w:val="none"/>
          <w:lang w:bidi="ar"/>
        </w:rPr>
        <w:t>：2025年</w:t>
      </w:r>
      <w:r>
        <w:rPr>
          <w:rFonts w:hint="eastAsia" w:ascii="宋体" w:hAnsi="宋体" w:eastAsia="宋体" w:cs="宋体"/>
          <w:color w:val="auto"/>
          <w:sz w:val="32"/>
          <w:szCs w:val="32"/>
          <w:highlight w:val="none"/>
          <w:lang w:val="en-US" w:eastAsia="zh-CN" w:bidi="ar"/>
        </w:rPr>
        <w:t>5</w:t>
      </w:r>
      <w:r>
        <w:rPr>
          <w:rFonts w:hint="eastAsia" w:ascii="宋体" w:hAnsi="宋体" w:eastAsia="宋体" w:cs="宋体"/>
          <w:color w:val="auto"/>
          <w:sz w:val="32"/>
          <w:szCs w:val="32"/>
          <w:highlight w:val="none"/>
          <w:lang w:bidi="ar"/>
        </w:rPr>
        <w:t>月</w:t>
      </w:r>
    </w:p>
    <w:p w14:paraId="28E9B7CC">
      <w:pPr>
        <w:rPr>
          <w:rFonts w:hint="eastAsia" w:ascii="宋体" w:hAnsi="宋体" w:eastAsia="宋体" w:cs="Times New Roman"/>
          <w:b/>
          <w:color w:val="auto"/>
          <w:kern w:val="0"/>
          <w:position w:val="-5"/>
          <w:sz w:val="28"/>
          <w:szCs w:val="28"/>
          <w:highlight w:val="none"/>
        </w:rPr>
      </w:pPr>
      <w:r>
        <w:rPr>
          <w:rFonts w:hint="eastAsia" w:ascii="宋体" w:hAnsi="宋体" w:eastAsia="宋体" w:cs="Times New Roman"/>
          <w:b/>
          <w:color w:val="auto"/>
          <w:kern w:val="0"/>
          <w:position w:val="-5"/>
          <w:sz w:val="28"/>
          <w:szCs w:val="28"/>
          <w:highlight w:val="none"/>
        </w:rPr>
        <w:br w:type="page"/>
      </w:r>
    </w:p>
    <w:p w14:paraId="11F2D63D">
      <w:pPr>
        <w:autoSpaceDE w:val="0"/>
        <w:autoSpaceDN w:val="0"/>
        <w:spacing w:line="360" w:lineRule="auto"/>
        <w:ind w:right="-315" w:rightChars="-150"/>
        <w:jc w:val="center"/>
        <w:rPr>
          <w:rFonts w:hint="eastAsia" w:ascii="宋体" w:hAnsi="宋体" w:eastAsia="宋体" w:cs="Times New Roman"/>
          <w:b/>
          <w:color w:val="auto"/>
          <w:kern w:val="0"/>
          <w:position w:val="-5"/>
          <w:sz w:val="28"/>
          <w:szCs w:val="28"/>
          <w:highlight w:val="none"/>
        </w:rPr>
      </w:pPr>
      <w:r>
        <w:rPr>
          <w:rFonts w:hint="eastAsia" w:ascii="宋体" w:hAnsi="宋体" w:eastAsia="宋体" w:cs="Times New Roman"/>
          <w:b/>
          <w:color w:val="auto"/>
          <w:kern w:val="0"/>
          <w:position w:val="-5"/>
          <w:sz w:val="28"/>
          <w:szCs w:val="28"/>
          <w:highlight w:val="none"/>
        </w:rPr>
        <w:t>广州市花都区新华街</w:t>
      </w:r>
      <w:r>
        <w:rPr>
          <w:rFonts w:hint="eastAsia" w:ascii="宋体" w:hAnsi="宋体" w:eastAsia="宋体" w:cs="Times New Roman"/>
          <w:b/>
          <w:color w:val="auto"/>
          <w:kern w:val="0"/>
          <w:position w:val="-5"/>
          <w:sz w:val="28"/>
          <w:szCs w:val="28"/>
          <w:highlight w:val="none"/>
          <w:lang w:eastAsia="zh-CN"/>
        </w:rPr>
        <w:t>田美区域</w:t>
      </w:r>
      <w:r>
        <w:rPr>
          <w:rFonts w:hint="eastAsia" w:ascii="宋体" w:hAnsi="宋体" w:eastAsia="宋体" w:cs="Times New Roman"/>
          <w:b/>
          <w:color w:val="auto"/>
          <w:kern w:val="0"/>
          <w:position w:val="-5"/>
          <w:sz w:val="28"/>
          <w:szCs w:val="28"/>
          <w:highlight w:val="none"/>
        </w:rPr>
        <w:t>排水管网更新改造工程勘察初步设计</w:t>
      </w:r>
    </w:p>
    <w:p w14:paraId="1A551B0B">
      <w:pPr>
        <w:autoSpaceDE w:val="0"/>
        <w:autoSpaceDN w:val="0"/>
        <w:spacing w:line="360" w:lineRule="auto"/>
        <w:jc w:val="center"/>
        <w:rPr>
          <w:rFonts w:ascii="宋体" w:hAnsi="宋体" w:eastAsia="宋体" w:cs="Times New Roman"/>
          <w:b/>
          <w:color w:val="auto"/>
          <w:kern w:val="0"/>
          <w:position w:val="-5"/>
          <w:sz w:val="28"/>
          <w:szCs w:val="28"/>
          <w:highlight w:val="none"/>
          <w:u w:val="single"/>
        </w:rPr>
      </w:pPr>
      <w:r>
        <w:rPr>
          <w:rFonts w:hint="eastAsia" w:ascii="宋体" w:hAnsi="宋体" w:eastAsia="宋体" w:cs="Times New Roman"/>
          <w:b/>
          <w:color w:val="auto"/>
          <w:kern w:val="0"/>
          <w:position w:val="-5"/>
          <w:sz w:val="28"/>
          <w:szCs w:val="28"/>
          <w:highlight w:val="none"/>
        </w:rPr>
        <w:t>招标</w:t>
      </w:r>
      <w:r>
        <w:rPr>
          <w:rFonts w:hint="eastAsia" w:ascii="宋体" w:hAnsi="宋体" w:eastAsia="宋体" w:cs="Times New Roman"/>
          <w:b/>
          <w:color w:val="auto"/>
          <w:spacing w:val="-2"/>
          <w:kern w:val="0"/>
          <w:position w:val="-5"/>
          <w:sz w:val="28"/>
          <w:szCs w:val="28"/>
          <w:highlight w:val="none"/>
        </w:rPr>
        <w:t>公</w:t>
      </w:r>
      <w:r>
        <w:rPr>
          <w:rFonts w:hint="eastAsia" w:ascii="宋体" w:hAnsi="宋体" w:eastAsia="宋体" w:cs="Times New Roman"/>
          <w:b/>
          <w:color w:val="auto"/>
          <w:kern w:val="0"/>
          <w:position w:val="-5"/>
          <w:sz w:val="28"/>
          <w:szCs w:val="28"/>
          <w:highlight w:val="none"/>
        </w:rPr>
        <w:t>告</w:t>
      </w:r>
    </w:p>
    <w:p w14:paraId="4DFB3B0E">
      <w:pPr>
        <w:pStyle w:val="2"/>
        <w:rPr>
          <w:color w:val="auto"/>
          <w:highlight w:val="none"/>
        </w:rPr>
      </w:pPr>
      <w:bookmarkStart w:id="0" w:name="_Toc25072048"/>
      <w:r>
        <w:rPr>
          <w:rFonts w:hint="eastAsia"/>
          <w:color w:val="auto"/>
          <w:highlight w:val="none"/>
        </w:rPr>
        <w:t>1.</w:t>
      </w:r>
      <w:r>
        <w:rPr>
          <w:color w:val="auto"/>
          <w:highlight w:val="none"/>
        </w:rPr>
        <w:t xml:space="preserve"> </w:t>
      </w:r>
      <w:r>
        <w:rPr>
          <w:rFonts w:hint="eastAsia"/>
          <w:color w:val="auto"/>
          <w:highlight w:val="none"/>
        </w:rPr>
        <w:t>招标条件</w:t>
      </w:r>
      <w:bookmarkEnd w:id="0"/>
    </w:p>
    <w:p w14:paraId="3A155B8F">
      <w:pPr>
        <w:wordWrap w:val="0"/>
        <w:spacing w:line="360" w:lineRule="auto"/>
        <w:ind w:firstLine="482" w:firstLineChars="20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本招标项目</w:t>
      </w:r>
      <w:r>
        <w:rPr>
          <w:rFonts w:hint="eastAsia" w:ascii="宋体" w:hAnsi="宋体" w:eastAsia="宋体" w:cs="宋体"/>
          <w:color w:val="auto"/>
          <w:sz w:val="24"/>
          <w:szCs w:val="24"/>
          <w:highlight w:val="none"/>
          <w:u w:val="single"/>
          <w:lang w:eastAsia="zh-CN"/>
        </w:rPr>
        <w:t>广州市花都区新华街田美区域排水管网更新改造工程</w:t>
      </w:r>
      <w:r>
        <w:rPr>
          <w:rFonts w:hint="eastAsia" w:ascii="宋体" w:hAnsi="宋体" w:eastAsia="宋体" w:cs="宋体"/>
          <w:color w:val="auto"/>
          <w:sz w:val="24"/>
          <w:szCs w:val="24"/>
          <w:highlight w:val="none"/>
          <w:u w:val="single"/>
          <w:lang w:bidi="ar"/>
        </w:rPr>
        <w:t>（项目代码：</w:t>
      </w:r>
      <w:r>
        <w:rPr>
          <w:rFonts w:hint="eastAsia" w:ascii="宋体" w:hAnsi="宋体" w:eastAsia="宋体" w:cs="宋体"/>
          <w:color w:val="auto"/>
          <w:sz w:val="24"/>
          <w:szCs w:val="24"/>
          <w:highlight w:val="none"/>
          <w:u w:val="single"/>
          <w:lang w:eastAsia="zh-CN" w:bidi="ar"/>
        </w:rPr>
        <w:t>2502-440114-19-01-799067</w:t>
      </w:r>
      <w:r>
        <w:rPr>
          <w:rFonts w:hint="eastAsia" w:ascii="宋体" w:hAnsi="宋体" w:eastAsia="宋体" w:cs="宋体"/>
          <w:color w:val="auto"/>
          <w:sz w:val="24"/>
          <w:szCs w:val="24"/>
          <w:highlight w:val="none"/>
          <w:u w:val="single"/>
          <w:lang w:bidi="ar"/>
        </w:rPr>
        <w:t>）</w:t>
      </w:r>
      <w:r>
        <w:rPr>
          <w:rFonts w:hint="eastAsia" w:ascii="宋体" w:hAnsi="宋体" w:eastAsia="宋体" w:cs="宋体"/>
          <w:color w:val="auto"/>
          <w:sz w:val="24"/>
          <w:szCs w:val="24"/>
          <w:highlight w:val="none"/>
          <w:lang w:bidi="ar"/>
        </w:rPr>
        <w:t>已</w:t>
      </w:r>
      <w:r>
        <w:rPr>
          <w:rFonts w:hint="eastAsia" w:ascii="宋体" w:hAnsi="宋体" w:eastAsia="宋体" w:cs="宋体"/>
          <w:color w:val="auto"/>
          <w:sz w:val="24"/>
          <w:szCs w:val="24"/>
          <w:highlight w:val="none"/>
        </w:rPr>
        <w:t>批准建设，项目业主为</w:t>
      </w:r>
      <w:r>
        <w:rPr>
          <w:rFonts w:hint="eastAsia" w:ascii="宋体" w:hAnsi="宋体" w:eastAsia="宋体" w:cs="宋体"/>
          <w:color w:val="auto"/>
          <w:sz w:val="24"/>
          <w:szCs w:val="24"/>
          <w:highlight w:val="none"/>
          <w:u w:val="single"/>
          <w:lang w:eastAsia="zh-CN" w:bidi="ar"/>
        </w:rPr>
        <w:t>广州市花都区人民政府新华街道办事处</w:t>
      </w:r>
      <w:r>
        <w:rPr>
          <w:rFonts w:hint="eastAsia" w:ascii="宋体" w:hAnsi="宋体" w:eastAsia="宋体" w:cs="宋体"/>
          <w:color w:val="auto"/>
          <w:sz w:val="24"/>
          <w:szCs w:val="24"/>
          <w:highlight w:val="none"/>
        </w:rPr>
        <w:t>，建设资金为</w:t>
      </w:r>
      <w:r>
        <w:rPr>
          <w:rFonts w:hint="eastAsia" w:ascii="宋体" w:hAnsi="宋体" w:eastAsia="宋体" w:cs="宋体"/>
          <w:color w:val="auto"/>
          <w:sz w:val="24"/>
          <w:szCs w:val="24"/>
          <w:highlight w:val="none"/>
          <w:u w:val="single"/>
        </w:rPr>
        <w:t>区财政资金</w:t>
      </w:r>
      <w:r>
        <w:rPr>
          <w:rFonts w:hint="eastAsia" w:ascii="宋体" w:hAnsi="宋体" w:eastAsia="宋体" w:cs="宋体"/>
          <w:color w:val="auto"/>
          <w:sz w:val="24"/>
          <w:szCs w:val="24"/>
          <w:highlight w:val="none"/>
        </w:rPr>
        <w:t>，出资比例为</w:t>
      </w:r>
      <w:r>
        <w:rPr>
          <w:rFonts w:hint="eastAsia" w:ascii="宋体" w:hAnsi="宋体" w:eastAsia="宋体" w:cs="宋体"/>
          <w:color w:val="auto"/>
          <w:sz w:val="24"/>
          <w:szCs w:val="24"/>
          <w:highlight w:val="none"/>
          <w:u w:val="single"/>
        </w:rPr>
        <w:t>100%</w:t>
      </w:r>
      <w:r>
        <w:rPr>
          <w:rFonts w:hint="eastAsia" w:ascii="宋体" w:hAnsi="宋体" w:eastAsia="宋体" w:cs="宋体"/>
          <w:color w:val="auto"/>
          <w:sz w:val="24"/>
          <w:szCs w:val="24"/>
          <w:highlight w:val="none"/>
          <w:lang w:bidi="ar"/>
        </w:rPr>
        <w:t>，招标人为</w:t>
      </w:r>
      <w:r>
        <w:rPr>
          <w:rFonts w:hint="eastAsia" w:ascii="宋体" w:hAnsi="宋体" w:eastAsia="宋体" w:cs="宋体"/>
          <w:color w:val="auto"/>
          <w:sz w:val="24"/>
          <w:szCs w:val="24"/>
          <w:highlight w:val="none"/>
          <w:u w:val="single"/>
          <w:lang w:eastAsia="zh-CN" w:bidi="ar"/>
        </w:rPr>
        <w:t>广州市花都区人民政府新华街道办事处</w:t>
      </w:r>
      <w:r>
        <w:rPr>
          <w:rFonts w:hint="eastAsia" w:ascii="宋体" w:hAnsi="宋体" w:eastAsia="宋体" w:cs="宋体"/>
          <w:color w:val="auto"/>
          <w:sz w:val="24"/>
          <w:szCs w:val="24"/>
          <w:highlight w:val="none"/>
          <w:lang w:bidi="ar"/>
        </w:rPr>
        <w:t>。项目已具备招标条件，现对该项目的</w:t>
      </w:r>
      <w:r>
        <w:rPr>
          <w:rFonts w:hint="eastAsia" w:ascii="宋体" w:hAnsi="宋体" w:eastAsia="宋体" w:cs="宋体"/>
          <w:color w:val="auto"/>
          <w:sz w:val="24"/>
          <w:szCs w:val="24"/>
          <w:highlight w:val="none"/>
          <w:u w:val="single"/>
          <w:lang w:bidi="ar"/>
        </w:rPr>
        <w:t>勘察初步设计</w:t>
      </w:r>
      <w:r>
        <w:rPr>
          <w:rFonts w:hint="eastAsia" w:ascii="宋体" w:hAnsi="宋体" w:eastAsia="宋体" w:cs="宋体"/>
          <w:color w:val="auto"/>
          <w:sz w:val="24"/>
          <w:szCs w:val="24"/>
          <w:highlight w:val="none"/>
          <w:lang w:bidi="ar"/>
        </w:rPr>
        <w:t>进行公开招标。</w:t>
      </w:r>
    </w:p>
    <w:p w14:paraId="60663DC3">
      <w:pPr>
        <w:pStyle w:val="2"/>
        <w:rPr>
          <w:color w:val="auto"/>
          <w:highlight w:val="none"/>
          <w:lang w:bidi="ar"/>
        </w:rPr>
      </w:pPr>
      <w:bookmarkStart w:id="1" w:name="_Toc25072049"/>
      <w:r>
        <w:rPr>
          <w:rFonts w:hint="eastAsia"/>
          <w:color w:val="auto"/>
          <w:highlight w:val="none"/>
          <w:lang w:bidi="ar"/>
        </w:rPr>
        <w:t>2.</w:t>
      </w:r>
      <w:r>
        <w:rPr>
          <w:color w:val="auto"/>
          <w:highlight w:val="none"/>
          <w:lang w:bidi="ar"/>
        </w:rPr>
        <w:t xml:space="preserve"> </w:t>
      </w:r>
      <w:r>
        <w:rPr>
          <w:rFonts w:hint="eastAsia"/>
          <w:color w:val="auto"/>
          <w:highlight w:val="none"/>
          <w:lang w:bidi="ar"/>
        </w:rPr>
        <w:t>项目概况与招标范围</w:t>
      </w:r>
      <w:bookmarkEnd w:id="1"/>
    </w:p>
    <w:p w14:paraId="6719ABFE">
      <w:pPr>
        <w:wordWrap w:val="0"/>
        <w:spacing w:line="360" w:lineRule="auto"/>
        <w:ind w:firstLine="482" w:firstLineChars="20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bidi="ar"/>
        </w:rPr>
        <w:t>2.1 招标项目名称：</w:t>
      </w:r>
      <w:r>
        <w:rPr>
          <w:rFonts w:hint="eastAsia" w:ascii="宋体" w:hAnsi="宋体" w:eastAsia="宋体" w:cs="宋体"/>
          <w:color w:val="auto"/>
          <w:sz w:val="24"/>
          <w:szCs w:val="24"/>
          <w:highlight w:val="none"/>
          <w:u w:val="single"/>
          <w:lang w:eastAsia="zh-CN"/>
        </w:rPr>
        <w:t>广州市花都区新华街田美区域排水管网更新改造工程勘察初步设计</w:t>
      </w:r>
    </w:p>
    <w:p w14:paraId="5EE819D2">
      <w:pPr>
        <w:wordWrap w:val="0"/>
        <w:spacing w:line="360" w:lineRule="auto"/>
        <w:ind w:firstLine="482" w:firstLineChars="201"/>
        <w:rPr>
          <w:rFonts w:hint="eastAsia" w:ascii="宋体" w:hAnsi="宋体" w:eastAsia="宋体" w:cs="Times New Roman"/>
          <w:color w:val="auto"/>
          <w:sz w:val="24"/>
          <w:szCs w:val="24"/>
          <w:highlight w:val="none"/>
          <w:u w:val="single"/>
          <w:lang w:eastAsia="zh-CN"/>
        </w:rPr>
      </w:pPr>
      <w:r>
        <w:rPr>
          <w:rFonts w:hint="eastAsia" w:ascii="宋体" w:hAnsi="宋体" w:eastAsia="宋体" w:cs="宋体"/>
          <w:color w:val="auto"/>
          <w:sz w:val="24"/>
          <w:szCs w:val="24"/>
          <w:highlight w:val="none"/>
        </w:rPr>
        <w:t>2.2 建设地点：</w:t>
      </w:r>
      <w:r>
        <w:rPr>
          <w:rFonts w:hint="eastAsia" w:ascii="宋体" w:hAnsi="宋体" w:eastAsia="宋体" w:cs="宋体"/>
          <w:color w:val="auto"/>
          <w:sz w:val="24"/>
          <w:szCs w:val="24"/>
          <w:highlight w:val="none"/>
          <w:u w:val="single"/>
          <w:lang w:eastAsia="zh-CN"/>
        </w:rPr>
        <w:t>广州市花都区新华街</w:t>
      </w:r>
    </w:p>
    <w:p w14:paraId="3634EE62">
      <w:pPr>
        <w:wordWrap w:val="0"/>
        <w:spacing w:line="360" w:lineRule="auto"/>
        <w:ind w:firstLine="482" w:firstLineChars="201"/>
        <w:rPr>
          <w:rFonts w:hint="eastAsia" w:ascii="宋体" w:hAnsi="宋体" w:eastAsia="宋体" w:cs="宋体"/>
          <w:color w:val="auto"/>
          <w:sz w:val="24"/>
          <w:szCs w:val="24"/>
          <w:highlight w:val="none"/>
          <w:u w:val="single"/>
          <w:lang w:bidi="ar"/>
        </w:rPr>
      </w:pPr>
      <w:r>
        <w:rPr>
          <w:rFonts w:hint="eastAsia" w:ascii="宋体" w:hAnsi="宋体" w:eastAsia="宋体" w:cs="宋体"/>
          <w:color w:val="auto"/>
          <w:sz w:val="24"/>
          <w:szCs w:val="24"/>
          <w:highlight w:val="none"/>
          <w:lang w:bidi="ar"/>
        </w:rPr>
        <w:t>2.3 建设规模：</w:t>
      </w:r>
      <w:r>
        <w:rPr>
          <w:rFonts w:hint="eastAsia" w:ascii="宋体" w:hAnsi="宋体" w:eastAsia="宋体" w:cs="宋体"/>
          <w:color w:val="auto"/>
          <w:sz w:val="24"/>
          <w:szCs w:val="24"/>
          <w:highlight w:val="none"/>
          <w:u w:val="single"/>
          <w:lang w:bidi="ar"/>
        </w:rPr>
        <w:t>新建DN150~500雨水管道21.47km，新建DN150~400污水管道37.56km，改造新建立管179.81km，新建污水检查井2540座，新建雨水检查井760座，新建雨水收集口420座。估算总投资约为</w:t>
      </w:r>
      <w:r>
        <w:rPr>
          <w:rFonts w:hint="eastAsia" w:ascii="宋体" w:hAnsi="宋体" w:eastAsia="宋体" w:cs="宋体"/>
          <w:color w:val="auto"/>
          <w:sz w:val="24"/>
          <w:szCs w:val="24"/>
          <w:highlight w:val="none"/>
          <w:u w:val="single"/>
          <w:lang w:bidi="ar"/>
        </w:rPr>
        <w:t>16126.71</w:t>
      </w:r>
      <w:r>
        <w:rPr>
          <w:rFonts w:hint="eastAsia" w:ascii="宋体" w:hAnsi="宋体" w:eastAsia="宋体" w:cs="宋体"/>
          <w:color w:val="auto"/>
          <w:sz w:val="24"/>
          <w:szCs w:val="24"/>
          <w:highlight w:val="none"/>
          <w:u w:val="single"/>
          <w:lang w:bidi="ar"/>
        </w:rPr>
        <w:t>万元，其中工程费用约</w:t>
      </w:r>
      <w:r>
        <w:rPr>
          <w:rFonts w:hint="eastAsia" w:ascii="宋体" w:hAnsi="宋体" w:eastAsia="宋体" w:cs="宋体"/>
          <w:color w:val="auto"/>
          <w:sz w:val="24"/>
          <w:szCs w:val="24"/>
          <w:highlight w:val="none"/>
          <w:u w:val="single"/>
          <w:lang w:bidi="ar"/>
        </w:rPr>
        <w:t>12209.67</w:t>
      </w:r>
      <w:r>
        <w:rPr>
          <w:rFonts w:hint="eastAsia" w:ascii="宋体" w:hAnsi="宋体" w:eastAsia="宋体" w:cs="宋体"/>
          <w:color w:val="auto"/>
          <w:sz w:val="24"/>
          <w:szCs w:val="24"/>
          <w:highlight w:val="none"/>
          <w:u w:val="single"/>
          <w:lang w:bidi="ar"/>
        </w:rPr>
        <w:t>万元。最终以相关部门批复可研文件为准。</w:t>
      </w:r>
    </w:p>
    <w:p w14:paraId="27AA05A9">
      <w:pPr>
        <w:wordWrap w:val="0"/>
        <w:spacing w:line="360" w:lineRule="auto"/>
        <w:ind w:firstLine="482" w:firstLineChars="20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2.4 </w:t>
      </w:r>
      <w:r>
        <w:rPr>
          <w:rFonts w:hint="eastAsia" w:ascii="宋体" w:hAnsi="宋体" w:eastAsia="宋体" w:cs="宋体"/>
          <w:color w:val="auto"/>
          <w:sz w:val="24"/>
          <w:szCs w:val="24"/>
          <w:highlight w:val="none"/>
        </w:rPr>
        <w:t>勘察设计工期：</w:t>
      </w:r>
      <w:r>
        <w:rPr>
          <w:rFonts w:hint="eastAsia" w:ascii="宋体" w:hAnsi="宋体" w:eastAsia="宋体" w:cs="宋体"/>
          <w:color w:val="auto"/>
          <w:sz w:val="24"/>
          <w:szCs w:val="24"/>
          <w:highlight w:val="none"/>
          <w:u w:val="single"/>
        </w:rPr>
        <w:t>详见合同。</w:t>
      </w:r>
    </w:p>
    <w:p w14:paraId="0707DE86">
      <w:pPr>
        <w:wordWrap w:val="0"/>
        <w:spacing w:line="360" w:lineRule="auto"/>
        <w:ind w:firstLine="482" w:firstLineChars="20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2.5 </w:t>
      </w:r>
      <w:r>
        <w:rPr>
          <w:rFonts w:hint="eastAsia" w:ascii="宋体" w:hAnsi="宋体" w:eastAsia="宋体" w:cs="宋体"/>
          <w:color w:val="auto"/>
          <w:sz w:val="24"/>
          <w:szCs w:val="24"/>
          <w:highlight w:val="none"/>
        </w:rPr>
        <w:t>招标范围：</w:t>
      </w:r>
    </w:p>
    <w:p w14:paraId="3C019570">
      <w:pPr>
        <w:wordWrap w:val="0"/>
        <w:spacing w:line="360" w:lineRule="auto"/>
        <w:ind w:firstLine="482" w:firstLineChars="201"/>
        <w:rPr>
          <w:rFonts w:ascii="宋体" w:hAnsi="宋体" w:eastAsia="宋体" w:cs="宋体"/>
          <w:color w:val="auto"/>
          <w:kern w:val="0"/>
          <w:sz w:val="24"/>
          <w:szCs w:val="24"/>
          <w:highlight w:val="none"/>
          <w:u w:val="single"/>
          <w:shd w:val="clear" w:color="auto" w:fill="FFFFFF"/>
        </w:rPr>
      </w:pPr>
      <w:r>
        <w:rPr>
          <w:rFonts w:hint="eastAsia" w:ascii="宋体" w:hAnsi="宋体" w:eastAsia="宋体" w:cs="宋体"/>
          <w:color w:val="auto"/>
          <w:sz w:val="24"/>
          <w:szCs w:val="24"/>
          <w:highlight w:val="none"/>
          <w:shd w:val="clear" w:color="auto" w:fill="FFFFFF"/>
          <w:lang w:bidi="ar"/>
        </w:rPr>
        <w:t xml:space="preserve">2.5.1 </w:t>
      </w:r>
      <w:r>
        <w:rPr>
          <w:rFonts w:hint="eastAsia" w:ascii="宋体" w:hAnsi="宋体" w:eastAsia="宋体" w:cs="宋体"/>
          <w:b/>
          <w:color w:val="auto"/>
          <w:sz w:val="24"/>
          <w:szCs w:val="24"/>
          <w:highlight w:val="none"/>
          <w:shd w:val="clear" w:color="auto" w:fill="FFFFFF"/>
          <w:lang w:bidi="ar"/>
        </w:rPr>
        <w:t>标段划分</w:t>
      </w:r>
      <w:r>
        <w:rPr>
          <w:rFonts w:hint="eastAsia" w:ascii="宋体" w:hAnsi="宋体" w:eastAsia="宋体" w:cs="宋体"/>
          <w:color w:val="auto"/>
          <w:sz w:val="24"/>
          <w:szCs w:val="24"/>
          <w:highlight w:val="none"/>
          <w:shd w:val="clear" w:color="auto" w:fill="FFFFFF"/>
          <w:lang w:bidi="ar"/>
        </w:rPr>
        <w:t>：</w:t>
      </w:r>
      <w:r>
        <w:rPr>
          <w:rFonts w:hint="eastAsia" w:ascii="宋体" w:hAnsi="宋体" w:eastAsia="宋体" w:cs="宋体"/>
          <w:color w:val="auto"/>
          <w:kern w:val="0"/>
          <w:sz w:val="24"/>
          <w:szCs w:val="24"/>
          <w:highlight w:val="none"/>
          <w:u w:val="single"/>
          <w:shd w:val="clear" w:color="auto" w:fill="FFFFFF"/>
          <w:lang w:bidi="ar"/>
        </w:rPr>
        <w:t>本项目划分为</w:t>
      </w:r>
      <w:r>
        <w:rPr>
          <w:rFonts w:ascii="宋体" w:hAnsi="宋体" w:eastAsia="宋体" w:cs="宋体"/>
          <w:color w:val="auto"/>
          <w:kern w:val="0"/>
          <w:sz w:val="24"/>
          <w:szCs w:val="24"/>
          <w:highlight w:val="none"/>
          <w:u w:val="single"/>
          <w:shd w:val="clear" w:color="auto" w:fill="FFFFFF"/>
          <w:lang w:bidi="ar"/>
        </w:rPr>
        <w:t>1</w:t>
      </w:r>
      <w:r>
        <w:rPr>
          <w:rFonts w:hint="eastAsia" w:ascii="宋体" w:hAnsi="宋体" w:eastAsia="宋体" w:cs="宋体"/>
          <w:color w:val="auto"/>
          <w:kern w:val="0"/>
          <w:sz w:val="24"/>
          <w:szCs w:val="24"/>
          <w:highlight w:val="none"/>
          <w:u w:val="single"/>
          <w:shd w:val="clear" w:color="auto" w:fill="FFFFFF"/>
          <w:lang w:bidi="ar"/>
        </w:rPr>
        <w:t>个标段。</w:t>
      </w:r>
    </w:p>
    <w:p w14:paraId="23CEB930">
      <w:pPr>
        <w:widowControl/>
        <w:wordWrap w:val="0"/>
        <w:autoSpaceDE w:val="0"/>
        <w:autoSpaceDN w:val="0"/>
        <w:spacing w:line="360" w:lineRule="auto"/>
        <w:ind w:firstLine="482" w:firstLineChars="201"/>
        <w:textAlignment w:val="baseline"/>
        <w:rPr>
          <w:rFonts w:ascii="宋体" w:hAnsi="宋体" w:eastAsia="宋体" w:cs="微软雅黑"/>
          <w:color w:val="auto"/>
          <w:sz w:val="24"/>
          <w:szCs w:val="21"/>
          <w:highlight w:val="none"/>
          <w:u w:val="single"/>
        </w:rPr>
      </w:pPr>
      <w:r>
        <w:rPr>
          <w:rFonts w:hint="eastAsia" w:ascii="宋体" w:hAnsi="宋体" w:eastAsia="宋体" w:cs="宋体"/>
          <w:color w:val="auto"/>
          <w:sz w:val="24"/>
          <w:szCs w:val="24"/>
          <w:highlight w:val="none"/>
          <w:shd w:val="clear" w:color="auto" w:fill="FFFFFF"/>
          <w:lang w:bidi="ar"/>
        </w:rPr>
        <w:t>2.5.</w:t>
      </w:r>
      <w:r>
        <w:rPr>
          <w:rFonts w:hint="eastAsia" w:ascii="宋体" w:hAnsi="宋体" w:eastAsia="宋体" w:cs="宋体"/>
          <w:color w:val="auto"/>
          <w:kern w:val="0"/>
          <w:sz w:val="24"/>
          <w:szCs w:val="24"/>
          <w:highlight w:val="none"/>
          <w:shd w:val="clear" w:color="auto" w:fill="FFFFFF"/>
          <w:lang w:bidi="ar"/>
        </w:rPr>
        <w:t>2 招标内容：</w:t>
      </w:r>
      <w:r>
        <w:rPr>
          <w:rFonts w:hint="eastAsia" w:ascii="宋体" w:hAnsi="宋体" w:eastAsia="宋体" w:cs="宋体"/>
          <w:color w:val="auto"/>
          <w:kern w:val="0"/>
          <w:sz w:val="24"/>
          <w:szCs w:val="24"/>
          <w:highlight w:val="none"/>
          <w:u w:val="single"/>
          <w:shd w:val="clear" w:color="auto" w:fill="FFFFFF"/>
          <w:lang w:bidi="ar"/>
        </w:rPr>
        <w:t>岩土工程勘察（初勘和详勘）；工程测量（含地下管线测量、立管测量、排口测量、树木测量等）；摸查（含管线摸查、渠箱摸查、排口摸查、立管摸查等有必要的摸查探查工作）；完成勘察工作内容并提交工程勘察成果文件；方案设计（含交通疏解方案）、配合发包人办理国土规划、道路交通水务等报批手续、编制初步设计（含概算编制）并通过行政主管部门评审，配合施工图设计阶段设计工作。</w:t>
      </w:r>
    </w:p>
    <w:p w14:paraId="13F8D8E8">
      <w:pPr>
        <w:wordWrap w:val="0"/>
        <w:spacing w:line="360" w:lineRule="auto"/>
        <w:ind w:firstLine="482" w:firstLineChars="201"/>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shd w:val="clear" w:color="auto" w:fill="FFFFFF"/>
          <w:lang w:bidi="ar"/>
        </w:rPr>
        <w:t>2.5.</w:t>
      </w:r>
      <w:r>
        <w:rPr>
          <w:rFonts w:hint="eastAsia" w:ascii="宋体" w:hAnsi="宋体" w:eastAsia="宋体" w:cs="宋体"/>
          <w:color w:val="auto"/>
          <w:kern w:val="0"/>
          <w:sz w:val="24"/>
          <w:szCs w:val="24"/>
          <w:highlight w:val="none"/>
          <w:shd w:val="clear" w:color="auto" w:fill="FFFFFF"/>
          <w:lang w:bidi="ar"/>
        </w:rPr>
        <w:t xml:space="preserve">3 </w:t>
      </w:r>
      <w:r>
        <w:rPr>
          <w:rFonts w:hint="eastAsia" w:ascii="宋体" w:hAnsi="宋体" w:eastAsia="宋体" w:cs="宋体"/>
          <w:color w:val="auto"/>
          <w:sz w:val="24"/>
          <w:szCs w:val="24"/>
          <w:highlight w:val="none"/>
        </w:rPr>
        <w:t>最高投标限价：</w:t>
      </w:r>
      <w:r>
        <w:rPr>
          <w:rFonts w:hint="eastAsia" w:ascii="宋体" w:hAnsi="宋体" w:eastAsia="宋体" w:cs="宋体"/>
          <w:color w:val="auto"/>
          <w:sz w:val="24"/>
          <w:szCs w:val="24"/>
          <w:highlight w:val="none"/>
          <w:u w:val="single"/>
          <w:lang w:val="en-US" w:eastAsia="zh-CN" w:bidi="ar"/>
        </w:rPr>
        <w:t>1064.384万</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u w:val="single"/>
          <w:lang w:val="en-US" w:eastAsia="zh-CN"/>
        </w:rPr>
        <w:t>其中勘察费最高投标限价</w:t>
      </w:r>
      <w:r>
        <w:rPr>
          <w:rFonts w:hint="eastAsia" w:ascii="宋体" w:hAnsi="宋体" w:eastAsia="宋体" w:cs="宋体"/>
          <w:color w:val="auto"/>
          <w:sz w:val="24"/>
          <w:szCs w:val="24"/>
          <w:highlight w:val="none"/>
          <w:u w:val="single"/>
          <w:lang w:val="en-US" w:eastAsia="zh-CN" w:bidi="ar"/>
        </w:rPr>
        <w:t>904.80万元</w:t>
      </w:r>
      <w:r>
        <w:rPr>
          <w:rFonts w:hint="eastAsia" w:ascii="宋体" w:hAnsi="宋体" w:eastAsia="宋体" w:cs="宋体"/>
          <w:color w:val="auto"/>
          <w:sz w:val="24"/>
          <w:szCs w:val="24"/>
          <w:highlight w:val="none"/>
          <w:u w:val="single"/>
          <w:lang w:eastAsia="zh-CN"/>
        </w:rPr>
        <w:t>，设计费最高投标限价</w:t>
      </w:r>
      <w:r>
        <w:rPr>
          <w:rFonts w:hint="eastAsia" w:ascii="宋体" w:hAnsi="宋体" w:eastAsia="宋体" w:cs="宋体"/>
          <w:color w:val="auto"/>
          <w:sz w:val="24"/>
          <w:szCs w:val="24"/>
          <w:highlight w:val="none"/>
          <w:u w:val="single"/>
          <w:lang w:val="en-US" w:eastAsia="zh-CN" w:bidi="ar"/>
        </w:rPr>
        <w:t>159.584万</w:t>
      </w:r>
      <w:r>
        <w:rPr>
          <w:rFonts w:hint="eastAsia" w:ascii="宋体" w:hAnsi="宋体" w:eastAsia="宋体" w:cs="宋体"/>
          <w:color w:val="auto"/>
          <w:sz w:val="24"/>
          <w:szCs w:val="24"/>
          <w:highlight w:val="none"/>
          <w:u w:val="single"/>
        </w:rPr>
        <w:t>元</w:t>
      </w:r>
    </w:p>
    <w:p w14:paraId="6FAC3495">
      <w:pPr>
        <w:wordWrap w:val="0"/>
        <w:spacing w:line="360" w:lineRule="auto"/>
        <w:ind w:firstLine="422" w:firstLineChars="201"/>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注：投标报价由投标人根据招标文件要求以及企业自身情况填报。投标人未按要求报价或投标报价（含投标总报价、勘察费报价、设计费报价）超过上述相应最高投标限价的为无效标。</w:t>
      </w:r>
    </w:p>
    <w:p w14:paraId="24B69D47">
      <w:pPr>
        <w:wordWrap w:val="0"/>
        <w:spacing w:line="360" w:lineRule="auto"/>
        <w:ind w:firstLine="482" w:firstLineChars="2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 前期服务机构名称（可行性研究报告编制单位）：江门市科禹水利规划设计咨询有限公司。</w:t>
      </w:r>
    </w:p>
    <w:p w14:paraId="4CAA2494">
      <w:pPr>
        <w:wordWrap w:val="0"/>
        <w:spacing w:line="360" w:lineRule="auto"/>
        <w:ind w:firstLine="422" w:firstLineChars="201"/>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注：如果前期服务机构参加本次投标，应将本公告发布前最终完成的工作成果（含电子文件）在投标人获取招标文件的同时提供给所有投标人参考，否则前期参与的服务机构中标无效。</w:t>
      </w:r>
    </w:p>
    <w:p w14:paraId="1B943CFD">
      <w:pPr>
        <w:pStyle w:val="2"/>
        <w:rPr>
          <w:color w:val="auto"/>
          <w:highlight w:val="none"/>
          <w:lang w:bidi="ar"/>
        </w:rPr>
      </w:pPr>
      <w:bookmarkStart w:id="2" w:name="_Toc60344354"/>
      <w:r>
        <w:rPr>
          <w:rFonts w:hint="eastAsia"/>
          <w:color w:val="auto"/>
          <w:highlight w:val="none"/>
          <w:lang w:bidi="ar"/>
        </w:rPr>
        <w:t>3. 投标人资格要求</w:t>
      </w:r>
      <w:bookmarkEnd w:id="2"/>
    </w:p>
    <w:p w14:paraId="3CC9927D">
      <w:pPr>
        <w:wordWrap w:val="0"/>
        <w:autoSpaceDE w:val="0"/>
        <w:autoSpaceDN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 投标人参加投标的意思表达清楚，投标人代表被授权有效。</w:t>
      </w:r>
    </w:p>
    <w:p w14:paraId="1C05A1F3">
      <w:pPr>
        <w:wordWrap w:val="0"/>
        <w:autoSpaceDE w:val="0"/>
        <w:autoSpaceDN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 投标人是法人或其他组织，按国家法律经营。</w:t>
      </w:r>
    </w:p>
    <w:p w14:paraId="1F22A745">
      <w:pPr>
        <w:wordWrap w:val="0"/>
        <w:autoSpaceDE w:val="0"/>
        <w:autoSpaceDN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 投标人须具备建设行政主管部门颁发的以下</w:t>
      </w:r>
      <w:r>
        <w:rPr>
          <w:rFonts w:hint="eastAsia" w:ascii="宋体" w:hAnsi="宋体" w:eastAsia="宋体" w:cs="宋体"/>
          <w:b/>
          <w:bCs/>
          <w:color w:val="auto"/>
          <w:kern w:val="0"/>
          <w:sz w:val="24"/>
          <w:szCs w:val="24"/>
          <w:highlight w:val="none"/>
          <w:u w:val="single"/>
        </w:rPr>
        <w:t>（1）</w:t>
      </w:r>
      <w:r>
        <w:rPr>
          <w:rFonts w:hint="eastAsia" w:ascii="宋体" w:hAnsi="宋体" w:eastAsia="宋体" w:cs="宋体"/>
          <w:b/>
          <w:bCs/>
          <w:color w:val="auto"/>
          <w:kern w:val="0"/>
          <w:sz w:val="24"/>
          <w:szCs w:val="24"/>
          <w:highlight w:val="none"/>
          <w:u w:val="single"/>
          <w:lang w:val="en-US" w:eastAsia="zh-CN"/>
        </w:rPr>
        <w:t>和</w:t>
      </w:r>
      <w:r>
        <w:rPr>
          <w:rFonts w:hint="eastAsia" w:ascii="宋体" w:hAnsi="宋体" w:eastAsia="宋体" w:cs="宋体"/>
          <w:b/>
          <w:bCs/>
          <w:color w:val="auto"/>
          <w:kern w:val="0"/>
          <w:sz w:val="24"/>
          <w:szCs w:val="24"/>
          <w:highlight w:val="none"/>
          <w:u w:val="single"/>
        </w:rPr>
        <w:t>（2）</w:t>
      </w:r>
      <w:r>
        <w:rPr>
          <w:rFonts w:hint="eastAsia" w:ascii="宋体" w:hAnsi="宋体" w:eastAsia="宋体" w:cs="宋体"/>
          <w:color w:val="auto"/>
          <w:kern w:val="0"/>
          <w:sz w:val="24"/>
          <w:szCs w:val="24"/>
          <w:highlight w:val="none"/>
          <w:u w:val="single"/>
        </w:rPr>
        <w:t>项</w:t>
      </w:r>
      <w:r>
        <w:rPr>
          <w:rFonts w:hint="eastAsia" w:ascii="宋体" w:hAnsi="宋体" w:eastAsia="宋体" w:cs="宋体"/>
          <w:color w:val="auto"/>
          <w:kern w:val="0"/>
          <w:sz w:val="24"/>
          <w:szCs w:val="24"/>
          <w:highlight w:val="none"/>
        </w:rPr>
        <w:t>资质。</w:t>
      </w:r>
    </w:p>
    <w:p w14:paraId="4ACCA846">
      <w:pPr>
        <w:wordWrap w:val="0"/>
        <w:autoSpaceDE w:val="0"/>
        <w:autoSpaceDN w:val="0"/>
        <w:spacing w:line="360" w:lineRule="auto"/>
        <w:ind w:firstLine="484" w:firstLineChars="201"/>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（1）工程勘察资质：</w:t>
      </w:r>
      <w:r>
        <w:rPr>
          <w:rFonts w:hint="eastAsia" w:ascii="宋体" w:hAnsi="宋体" w:eastAsia="宋体" w:cs="宋体"/>
          <w:color w:val="auto"/>
          <w:kern w:val="0"/>
          <w:sz w:val="24"/>
          <w:szCs w:val="24"/>
          <w:highlight w:val="none"/>
        </w:rPr>
        <w:t>具有工程勘察综合甲级资质，或同时具有</w:t>
      </w:r>
      <w:r>
        <w:rPr>
          <w:rFonts w:hint="eastAsia" w:ascii="宋体" w:hAnsi="宋体" w:eastAsia="宋体" w:cs="宋体"/>
          <w:color w:val="auto"/>
          <w:kern w:val="0"/>
          <w:sz w:val="24"/>
          <w:szCs w:val="24"/>
          <w:highlight w:val="none"/>
          <w:lang w:val="en-US" w:eastAsia="zh-CN"/>
        </w:rPr>
        <w:t>①</w:t>
      </w:r>
      <w:r>
        <w:rPr>
          <w:rFonts w:hint="eastAsia" w:ascii="宋体" w:hAnsi="宋体" w:eastAsia="宋体" w:cs="宋体"/>
          <w:color w:val="auto"/>
          <w:kern w:val="0"/>
          <w:sz w:val="24"/>
          <w:szCs w:val="24"/>
          <w:highlight w:val="none"/>
        </w:rPr>
        <w:t>工程勘察专业类（岩土工程）乙级</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或以上</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资质和</w:t>
      </w:r>
      <w:r>
        <w:rPr>
          <w:rFonts w:hint="eastAsia" w:ascii="宋体" w:hAnsi="宋体" w:eastAsia="宋体" w:cs="宋体"/>
          <w:color w:val="auto"/>
          <w:kern w:val="0"/>
          <w:sz w:val="24"/>
          <w:szCs w:val="24"/>
          <w:highlight w:val="none"/>
          <w:lang w:val="en-US" w:eastAsia="zh-CN"/>
        </w:rPr>
        <w:t>②</w:t>
      </w:r>
      <w:r>
        <w:rPr>
          <w:rFonts w:hint="eastAsia" w:ascii="宋体" w:hAnsi="宋体" w:eastAsia="宋体" w:cs="宋体"/>
          <w:color w:val="auto"/>
          <w:kern w:val="0"/>
          <w:sz w:val="24"/>
          <w:szCs w:val="24"/>
          <w:highlight w:val="none"/>
        </w:rPr>
        <w:t>工程勘察专业类（工程测量）甲级资质，或同时具有</w:t>
      </w:r>
      <w:r>
        <w:rPr>
          <w:rFonts w:hint="eastAsia" w:ascii="宋体" w:hAnsi="宋体" w:eastAsia="宋体" w:cs="宋体"/>
          <w:color w:val="auto"/>
          <w:kern w:val="0"/>
          <w:sz w:val="24"/>
          <w:szCs w:val="24"/>
          <w:highlight w:val="none"/>
          <w:lang w:val="en-US" w:eastAsia="zh-CN"/>
        </w:rPr>
        <w:t>①</w:t>
      </w:r>
      <w:r>
        <w:rPr>
          <w:rFonts w:hint="eastAsia" w:ascii="宋体" w:hAnsi="宋体" w:eastAsia="宋体" w:cs="宋体"/>
          <w:color w:val="auto"/>
          <w:kern w:val="0"/>
          <w:sz w:val="24"/>
          <w:szCs w:val="24"/>
          <w:highlight w:val="none"/>
        </w:rPr>
        <w:t>工程勘察岩土工程（分项：岩土工程勘察）丙级</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或以上</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资质和</w:t>
      </w:r>
      <w:r>
        <w:rPr>
          <w:rFonts w:hint="eastAsia" w:ascii="宋体" w:hAnsi="宋体" w:eastAsia="宋体" w:cs="宋体"/>
          <w:color w:val="auto"/>
          <w:kern w:val="0"/>
          <w:sz w:val="24"/>
          <w:szCs w:val="24"/>
          <w:highlight w:val="none"/>
          <w:lang w:val="en-US" w:eastAsia="zh-CN"/>
        </w:rPr>
        <w:t>②</w:t>
      </w:r>
      <w:r>
        <w:rPr>
          <w:rFonts w:hint="eastAsia" w:ascii="宋体" w:hAnsi="宋体" w:eastAsia="宋体" w:cs="宋体"/>
          <w:color w:val="auto"/>
          <w:kern w:val="0"/>
          <w:sz w:val="24"/>
          <w:szCs w:val="24"/>
          <w:highlight w:val="none"/>
        </w:rPr>
        <w:t>工程勘察专业类（工程测量）甲级资质；香港企业参加投标的，须在广东省住房和城乡建设主管部门备案且备案的业务范围应符合本招标项目对工程勘察资质的要求。</w:t>
      </w:r>
    </w:p>
    <w:p w14:paraId="28605B00">
      <w:pPr>
        <w:wordWrap w:val="0"/>
        <w:autoSpaceDE w:val="0"/>
        <w:autoSpaceDN w:val="0"/>
        <w:spacing w:line="360" w:lineRule="auto"/>
        <w:ind w:firstLine="484" w:firstLineChars="201"/>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（2）工程设计资质：</w:t>
      </w:r>
      <w:r>
        <w:rPr>
          <w:rFonts w:hint="eastAsia" w:ascii="宋体" w:hAnsi="宋体" w:eastAsia="宋体" w:cs="宋体"/>
          <w:color w:val="auto"/>
          <w:kern w:val="0"/>
          <w:sz w:val="24"/>
          <w:szCs w:val="24"/>
          <w:highlight w:val="none"/>
        </w:rPr>
        <w:t>具有工程设计综合甲级资质，或工程设计（</w:t>
      </w:r>
      <w:r>
        <w:rPr>
          <w:rFonts w:hint="eastAsia" w:ascii="宋体" w:hAnsi="宋体" w:eastAsia="宋体" w:cs="宋体"/>
          <w:color w:val="auto"/>
          <w:kern w:val="0"/>
          <w:sz w:val="24"/>
          <w:szCs w:val="24"/>
          <w:highlight w:val="none"/>
          <w:lang w:val="en-US" w:eastAsia="zh-CN"/>
        </w:rPr>
        <w:t>市政</w:t>
      </w:r>
      <w:r>
        <w:rPr>
          <w:rFonts w:hint="eastAsia" w:ascii="宋体" w:hAnsi="宋体" w:eastAsia="宋体" w:cs="宋体"/>
          <w:color w:val="auto"/>
          <w:kern w:val="0"/>
          <w:sz w:val="24"/>
          <w:szCs w:val="24"/>
          <w:highlight w:val="none"/>
        </w:rPr>
        <w:t>行业）丙级</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或以上</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资质，或具有</w:t>
      </w:r>
      <w:r>
        <w:rPr>
          <w:rFonts w:hint="eastAsia" w:ascii="宋体" w:hAnsi="宋体" w:eastAsia="宋体" w:cs="宋体"/>
          <w:color w:val="auto"/>
          <w:kern w:val="0"/>
          <w:sz w:val="24"/>
          <w:szCs w:val="24"/>
          <w:highlight w:val="none"/>
          <w:lang w:val="en-US" w:eastAsia="zh-CN"/>
        </w:rPr>
        <w:t>工程设计</w:t>
      </w:r>
      <w:r>
        <w:rPr>
          <w:rFonts w:hint="eastAsia" w:ascii="宋体" w:hAnsi="宋体" w:eastAsia="宋体" w:cs="宋体"/>
          <w:color w:val="auto"/>
          <w:kern w:val="0"/>
          <w:sz w:val="24"/>
          <w:szCs w:val="24"/>
          <w:highlight w:val="none"/>
        </w:rPr>
        <w:t>市政行业（排水工程）专业丙级</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或以上</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资质；香港企业独立参加投标的，须在广东省住房和城乡建设主管部门备案且备案的业务范围应符合本招标项目对工程</w:t>
      </w:r>
      <w:r>
        <w:rPr>
          <w:rFonts w:hint="eastAsia" w:ascii="宋体" w:hAnsi="宋体" w:eastAsia="宋体" w:cs="宋体"/>
          <w:color w:val="auto"/>
          <w:kern w:val="0"/>
          <w:sz w:val="24"/>
          <w:szCs w:val="24"/>
          <w:highlight w:val="none"/>
          <w:lang w:val="en-US" w:eastAsia="zh-CN"/>
        </w:rPr>
        <w:t>设计</w:t>
      </w:r>
      <w:r>
        <w:rPr>
          <w:rFonts w:hint="eastAsia" w:ascii="宋体" w:hAnsi="宋体" w:eastAsia="宋体" w:cs="宋体"/>
          <w:color w:val="auto"/>
          <w:kern w:val="0"/>
          <w:sz w:val="24"/>
          <w:szCs w:val="24"/>
          <w:highlight w:val="none"/>
        </w:rPr>
        <w:t>资质的要求。</w:t>
      </w:r>
    </w:p>
    <w:p w14:paraId="0F77BA31">
      <w:pPr>
        <w:wordWrap w:val="0"/>
        <w:autoSpaceDE w:val="0"/>
        <w:autoSpaceDN w:val="0"/>
        <w:spacing w:line="360" w:lineRule="auto"/>
        <w:ind w:firstLine="422" w:firstLineChars="20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1"/>
          <w:szCs w:val="21"/>
          <w:highlight w:val="none"/>
        </w:rPr>
        <w:t>注：香港企业参加投标的，须已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2020〕1号）确定，工程勘察、工程设计企业资质证书有效期按《住房和城乡建设部办公厅关于做好建筑业“证照分离”改革衔接有关工作的通知》（建办市〔2021〕30号）执行、《住房城乡建设部建筑市场监管司关于建设工程企业资质延续有关事项的通知》（建司局函市〔2023〕116号）、《广东省住房和城乡建设厅关于建设工程企业资质延续有关事项的通知》（粤建许函〔2023〕820号）和《广东省住房和城乡建设厅关于做好有关建设工程企业资质证书换领工作的通知》（粤建许函〔2024〕124号）执行]。</w:t>
      </w:r>
    </w:p>
    <w:p w14:paraId="00D784E7">
      <w:pPr>
        <w:wordWrap w:val="0"/>
        <w:autoSpaceDE w:val="0"/>
        <w:autoSpaceDN w:val="0"/>
        <w:spacing w:line="360" w:lineRule="auto"/>
        <w:ind w:firstLine="482" w:firstLineChars="20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 投标人已在广州交易集团有限公司（广州公共资源交易中心）办理企业信息登记，本项目负责人是本企业在广州交易集团有限公司（广州公共资源交易中心）企业信息登记中的在册人员。</w:t>
      </w:r>
    </w:p>
    <w:p w14:paraId="3A9C5B3B">
      <w:pPr>
        <w:wordWrap w:val="0"/>
        <w:autoSpaceDE w:val="0"/>
        <w:autoSpaceDN w:val="0"/>
        <w:spacing w:line="360" w:lineRule="auto"/>
        <w:ind w:firstLine="482" w:firstLineChars="20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 投标人委派的项目负责人须具备注册公用设备工程师（给水排水），或给水排水相关专业工作10年以上的中级技术职称，或给水排水相关专业高级或以上技术职称。[须提供离投标截止时间最近的1个月</w:t>
      </w:r>
      <w:r>
        <w:rPr>
          <w:rFonts w:hint="eastAsia" w:ascii="宋体" w:hAnsi="宋体" w:eastAsia="宋体" w:cs="宋体"/>
          <w:color w:val="auto"/>
          <w:kern w:val="0"/>
          <w:sz w:val="24"/>
          <w:szCs w:val="24"/>
          <w:highlight w:val="none"/>
        </w:rPr>
        <w:t>（2025年</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rPr>
        <w:t>在本单位缴纳的社保证明文件]</w:t>
      </w:r>
    </w:p>
    <w:p w14:paraId="0C38B857">
      <w:pPr>
        <w:spacing w:line="360" w:lineRule="auto"/>
        <w:ind w:lef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w w:val="100"/>
          <w:sz w:val="21"/>
          <w:szCs w:val="21"/>
          <w:highlight w:val="none"/>
          <w:u w:val="none"/>
        </w:rPr>
        <w:t>注：若拟委派的项目负责人为香港专业人士，则须已在广东省住房和城乡建设主管部门备案且备案的业务范围相当于</w:t>
      </w:r>
      <w:r>
        <w:rPr>
          <w:rFonts w:hint="eastAsia" w:ascii="宋体" w:hAnsi="宋体" w:eastAsia="宋体" w:cs="宋体"/>
          <w:color w:val="auto"/>
          <w:w w:val="100"/>
          <w:sz w:val="21"/>
          <w:szCs w:val="21"/>
          <w:highlight w:val="none"/>
          <w:u w:val="single"/>
          <w:lang w:val="en-US" w:eastAsia="zh-CN"/>
        </w:rPr>
        <w:t>注册公用设备工程师（给水排水）</w:t>
      </w:r>
      <w:r>
        <w:rPr>
          <w:rFonts w:hint="eastAsia" w:ascii="宋体" w:hAnsi="宋体" w:eastAsia="宋体" w:cs="宋体"/>
          <w:color w:val="auto"/>
          <w:w w:val="100"/>
          <w:sz w:val="21"/>
          <w:szCs w:val="21"/>
          <w:highlight w:val="none"/>
          <w:u w:val="none"/>
        </w:rPr>
        <w:t>资格的香港专业人士[香港专业人士的备案业务范围依据《广东省住房和城乡建设厅关于印发香港工程建设咨询企业和专业人士在粤港澳大湾区内地城市开业执业试点管理暂行办法的通知》（粤建规范</w:t>
      </w:r>
      <w:r>
        <w:rPr>
          <w:rFonts w:hint="eastAsia" w:ascii="宋体" w:hAnsi="宋体" w:eastAsia="宋体" w:cs="宋体"/>
          <w:color w:val="auto"/>
          <w:w w:val="100"/>
          <w:sz w:val="21"/>
          <w:szCs w:val="21"/>
          <w:highlight w:val="none"/>
          <w:u w:val="none"/>
          <w:lang w:val="en-US" w:eastAsia="zh-CN"/>
        </w:rPr>
        <w:t>〔2020〕</w:t>
      </w:r>
      <w:r>
        <w:rPr>
          <w:rFonts w:hint="eastAsia" w:ascii="宋体" w:hAnsi="宋体" w:eastAsia="宋体" w:cs="宋体"/>
          <w:color w:val="auto"/>
          <w:w w:val="100"/>
          <w:sz w:val="21"/>
          <w:szCs w:val="21"/>
          <w:highlight w:val="none"/>
          <w:u w:val="none"/>
        </w:rPr>
        <w:t>1号）确定]。</w:t>
      </w:r>
    </w:p>
    <w:p w14:paraId="3F05B8C7">
      <w:pPr>
        <w:wordWrap w:val="0"/>
        <w:autoSpaceDE w:val="0"/>
        <w:autoSpaceDN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rPr>
        <w:t xml:space="preserve"> 投标申请人业绩要求（</w:t>
      </w:r>
      <w:r>
        <w:rPr>
          <w:rFonts w:hint="eastAsia" w:ascii="宋体" w:hAnsi="宋体" w:eastAsia="宋体"/>
          <w:color w:val="auto"/>
          <w:sz w:val="24"/>
          <w:szCs w:val="24"/>
          <w:highlight w:val="none"/>
        </w:rPr>
        <w:sym w:font="Wingdings 2" w:char="00A3"/>
      </w:r>
      <w:r>
        <w:rPr>
          <w:rFonts w:hint="eastAsia" w:ascii="宋体" w:hAnsi="宋体" w:eastAsia="宋体" w:cs="宋体"/>
          <w:color w:val="auto"/>
          <w:kern w:val="0"/>
          <w:sz w:val="24"/>
          <w:szCs w:val="24"/>
          <w:highlight w:val="none"/>
        </w:rPr>
        <w:t>需要/■不需要）。</w:t>
      </w:r>
    </w:p>
    <w:p w14:paraId="4716ED27">
      <w:pPr>
        <w:wordWrap w:val="0"/>
        <w:autoSpaceDE w:val="0"/>
        <w:autoSpaceDN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rPr>
        <w:t xml:space="preserve"> 关于联合体投标：</w:t>
      </w:r>
      <w:r>
        <w:rPr>
          <w:rFonts w:hint="eastAsia" w:ascii="宋体" w:hAnsi="宋体" w:eastAsia="宋体" w:cs="宋体"/>
          <w:color w:val="auto"/>
          <w:kern w:val="0"/>
          <w:sz w:val="24"/>
          <w:szCs w:val="24"/>
          <w:highlight w:val="none"/>
          <w:u w:val="none"/>
        </w:rPr>
        <w:t>本项目接受联合体投标。</w:t>
      </w:r>
    </w:p>
    <w:p w14:paraId="5594C8E8">
      <w:pPr>
        <w:wordWrap w:val="0"/>
        <w:autoSpaceDE w:val="0"/>
        <w:autoSpaceDN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如投标人组成联合体，应以</w:t>
      </w:r>
      <w:r>
        <w:rPr>
          <w:rFonts w:hint="eastAsia" w:ascii="宋体" w:hAnsi="宋体" w:eastAsia="宋体"/>
          <w:color w:val="auto"/>
          <w:sz w:val="24"/>
          <w:szCs w:val="24"/>
          <w:highlight w:val="none"/>
          <w:u w:val="single"/>
        </w:rPr>
        <w:t>具备相应设计资质且承接设计任务的一方</w:t>
      </w:r>
      <w:r>
        <w:rPr>
          <w:rFonts w:hint="eastAsia" w:ascii="宋体" w:hAnsi="宋体" w:eastAsia="宋体" w:cs="宋体"/>
          <w:color w:val="auto"/>
          <w:kern w:val="0"/>
          <w:sz w:val="24"/>
          <w:szCs w:val="24"/>
          <w:highlight w:val="none"/>
        </w:rPr>
        <w:t>为主办方，并签定联合体共同投标协议。投标人拟任本工程项目负责人应为主办方正式员工。联合体共同投标协议应明确约定各方拟承担的工作和责任。投标登记截止后联合体增减、更换成员的，其投标无效。</w:t>
      </w:r>
    </w:p>
    <w:p w14:paraId="51AC7477">
      <w:pPr>
        <w:wordWrap w:val="0"/>
        <w:autoSpaceDE w:val="0"/>
        <w:autoSpaceDN w:val="0"/>
        <w:spacing w:line="360" w:lineRule="auto"/>
        <w:ind w:firstLine="422" w:firstLineChars="20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①联合体各方签订联合体共同投标协议后，不得再以自己名义单独投标或加入其他联合体在同一标段中进行投标，如有违反，其投标和与此有关的联合体的投标将被拒绝。②联合体中标后，联合体各方应当共同与招标人签订合同，为履行合同向招标人承担连带责任。联合体主办方应被授权作为联合体各方的代表，向招标人承担责任和接受指令，并负责整个合同的全面履行。</w:t>
      </w:r>
    </w:p>
    <w:p w14:paraId="28733319">
      <w:pPr>
        <w:wordWrap w:val="0"/>
        <w:autoSpaceDE w:val="0"/>
        <w:autoSpaceDN w:val="0"/>
        <w:spacing w:line="360" w:lineRule="auto"/>
        <w:ind w:firstLine="482" w:firstLineChars="20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ascii="宋体" w:hAnsi="宋体" w:eastAsia="宋体" w:cs="宋体"/>
          <w:color w:val="auto"/>
          <w:kern w:val="0"/>
          <w:sz w:val="24"/>
          <w:szCs w:val="24"/>
          <w:highlight w:val="none"/>
        </w:rPr>
        <w:t>8</w:t>
      </w:r>
      <w:r>
        <w:rPr>
          <w:rFonts w:hint="eastAsia" w:ascii="宋体" w:hAnsi="宋体" w:eastAsia="宋体" w:cs="宋体"/>
          <w:color w:val="auto"/>
          <w:kern w:val="0"/>
          <w:sz w:val="24"/>
          <w:szCs w:val="24"/>
          <w:highlight w:val="none"/>
        </w:rPr>
        <w:t xml:space="preserve"> 投标人（含联合体各方）未被列入“在一定期限内依法取消参加依法必须进行招标的项目的投标资格”，具体名单以递交投标文件截止时间“信用广州”公布的“黑名单”为准。</w:t>
      </w:r>
    </w:p>
    <w:p w14:paraId="63BDF8BA">
      <w:pPr>
        <w:wordWrap w:val="0"/>
        <w:autoSpaceDE w:val="0"/>
        <w:autoSpaceDN w:val="0"/>
        <w:spacing w:line="360" w:lineRule="auto"/>
        <w:ind w:firstLine="422" w:firstLineChars="20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注：《全国失信惩戒措施清单基础清单》（2024版）。</w:t>
      </w:r>
    </w:p>
    <w:p w14:paraId="6E269016">
      <w:pPr>
        <w:wordWrap w:val="0"/>
        <w:autoSpaceDE w:val="0"/>
        <w:autoSpaceDN w:val="0"/>
        <w:spacing w:line="360" w:lineRule="auto"/>
        <w:ind w:firstLine="422" w:firstLineChars="201"/>
        <w:rPr>
          <w:rFonts w:hint="eastAsia" w:ascii="宋体" w:hAnsi="宋体" w:eastAsia="宋体" w:cs="宋体"/>
          <w:color w:val="auto"/>
          <w:kern w:val="0"/>
          <w:sz w:val="21"/>
          <w:szCs w:val="21"/>
          <w:highlight w:val="none"/>
        </w:rPr>
      </w:pPr>
    </w:p>
    <w:p w14:paraId="50ACAF64">
      <w:pPr>
        <w:pStyle w:val="2"/>
        <w:rPr>
          <w:color w:val="auto"/>
          <w:highlight w:val="none"/>
          <w:lang w:bidi="ar"/>
        </w:rPr>
      </w:pPr>
      <w:bookmarkStart w:id="3" w:name="_Toc60344355"/>
      <w:r>
        <w:rPr>
          <w:rFonts w:hint="eastAsia"/>
          <w:color w:val="auto"/>
          <w:highlight w:val="none"/>
          <w:lang w:bidi="ar"/>
        </w:rPr>
        <w:t>4. 技术成果经济补偿</w:t>
      </w:r>
      <w:bookmarkEnd w:id="3"/>
    </w:p>
    <w:p w14:paraId="0BD16FC4">
      <w:pPr>
        <w:wordWrap w:val="0"/>
        <w:autoSpaceDE w:val="0"/>
        <w:autoSpaceDN w:val="0"/>
        <w:spacing w:line="360" w:lineRule="auto"/>
        <w:ind w:right="142"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本次招标对未中标人投标文件中的技术成果</w:t>
      </w:r>
      <w:r>
        <w:rPr>
          <w:rFonts w:hint="eastAsia" w:ascii="宋体" w:hAnsi="宋体" w:eastAsia="宋体" w:cs="宋体"/>
          <w:b/>
          <w:bCs/>
          <w:color w:val="auto"/>
          <w:kern w:val="0"/>
          <w:sz w:val="24"/>
          <w:szCs w:val="24"/>
          <w:highlight w:val="none"/>
          <w:u w:val="single"/>
        </w:rPr>
        <w:t>不给予</w:t>
      </w:r>
      <w:r>
        <w:rPr>
          <w:rFonts w:hint="eastAsia" w:ascii="宋体" w:hAnsi="宋体" w:eastAsia="宋体" w:cs="宋体"/>
          <w:color w:val="auto"/>
          <w:kern w:val="0"/>
          <w:sz w:val="24"/>
          <w:szCs w:val="24"/>
          <w:highlight w:val="none"/>
        </w:rPr>
        <w:t>经济补偿。</w:t>
      </w:r>
    </w:p>
    <w:p w14:paraId="7CB95CE9">
      <w:pPr>
        <w:pStyle w:val="2"/>
        <w:rPr>
          <w:color w:val="auto"/>
          <w:highlight w:val="none"/>
          <w:lang w:bidi="ar"/>
        </w:rPr>
      </w:pPr>
      <w:bookmarkStart w:id="4" w:name="_Toc60344356"/>
      <w:r>
        <w:rPr>
          <w:rFonts w:hint="eastAsia"/>
          <w:color w:val="auto"/>
          <w:highlight w:val="none"/>
          <w:lang w:bidi="ar"/>
        </w:rPr>
        <w:t xml:space="preserve">5. </w:t>
      </w:r>
      <w:bookmarkEnd w:id="4"/>
      <w:r>
        <w:rPr>
          <w:rFonts w:hint="eastAsia"/>
          <w:color w:val="auto"/>
          <w:highlight w:val="none"/>
          <w:lang w:bidi="ar"/>
        </w:rPr>
        <w:t>招标文件的获取</w:t>
      </w:r>
    </w:p>
    <w:p w14:paraId="4AD7EB09">
      <w:pPr>
        <w:wordWrap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 发布招标公告的时间：</w:t>
      </w:r>
      <w:r>
        <w:rPr>
          <w:rFonts w:hint="eastAsia" w:ascii="宋体" w:hAnsi="宋体" w:eastAsia="宋体" w:cs="宋体"/>
          <w:color w:val="auto"/>
          <w:kern w:val="0"/>
          <w:sz w:val="24"/>
          <w:szCs w:val="24"/>
          <w:highlight w:val="none"/>
          <w:u w:val="single"/>
        </w:rPr>
        <w:t>2025</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lang w:val="en-US" w:eastAsia="zh-CN"/>
        </w:rPr>
        <w:t>06</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lang w:val="en-US" w:eastAsia="zh-CN"/>
        </w:rPr>
        <w:t>07</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u w:val="single"/>
          <w:lang w:val="en-US" w:eastAsia="zh-CN"/>
        </w:rPr>
        <w:t>00</w:t>
      </w:r>
      <w:r>
        <w:rPr>
          <w:rFonts w:hint="eastAsia" w:ascii="宋体" w:hAnsi="宋体" w:eastAsia="宋体" w:cs="宋体"/>
          <w:color w:val="auto"/>
          <w:kern w:val="0"/>
          <w:sz w:val="24"/>
          <w:szCs w:val="24"/>
          <w:highlight w:val="none"/>
        </w:rPr>
        <w:t>时</w:t>
      </w:r>
      <w:r>
        <w:rPr>
          <w:rFonts w:hint="eastAsia" w:ascii="宋体" w:hAnsi="宋体" w:eastAsia="宋体" w:cs="宋体"/>
          <w:color w:val="auto"/>
          <w:kern w:val="0"/>
          <w:sz w:val="24"/>
          <w:szCs w:val="24"/>
          <w:highlight w:val="none"/>
          <w:u w:val="single"/>
          <w:lang w:val="en-US" w:eastAsia="zh-CN"/>
        </w:rPr>
        <w:t>00</w:t>
      </w:r>
      <w:r>
        <w:rPr>
          <w:rFonts w:hint="eastAsia" w:ascii="宋体" w:hAnsi="宋体" w:eastAsia="宋体" w:cs="宋体"/>
          <w:color w:val="auto"/>
          <w:kern w:val="0"/>
          <w:sz w:val="24"/>
          <w:szCs w:val="24"/>
          <w:highlight w:val="none"/>
        </w:rPr>
        <w:t>分至</w:t>
      </w:r>
      <w:r>
        <w:rPr>
          <w:rFonts w:hint="eastAsia" w:ascii="宋体" w:hAnsi="宋体" w:eastAsia="宋体" w:cs="宋体"/>
          <w:color w:val="auto"/>
          <w:kern w:val="0"/>
          <w:sz w:val="24"/>
          <w:szCs w:val="24"/>
          <w:highlight w:val="none"/>
          <w:u w:val="single"/>
        </w:rPr>
        <w:t>2025</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lang w:val="en-US" w:eastAsia="zh-CN"/>
        </w:rPr>
        <w:t>06</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lang w:val="en-US" w:eastAsia="zh-CN"/>
        </w:rPr>
        <w:t>30</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u w:val="single"/>
          <w:lang w:val="en-US" w:eastAsia="zh-CN"/>
        </w:rPr>
        <w:t>10</w:t>
      </w:r>
      <w:r>
        <w:rPr>
          <w:rFonts w:hint="eastAsia" w:ascii="宋体" w:hAnsi="宋体" w:eastAsia="宋体" w:cs="宋体"/>
          <w:color w:val="auto"/>
          <w:kern w:val="0"/>
          <w:sz w:val="24"/>
          <w:szCs w:val="24"/>
          <w:highlight w:val="none"/>
        </w:rPr>
        <w:t>时</w:t>
      </w:r>
      <w:r>
        <w:rPr>
          <w:rFonts w:hint="eastAsia" w:ascii="宋体" w:hAnsi="宋体" w:eastAsia="宋体" w:cs="宋体"/>
          <w:color w:val="auto"/>
          <w:kern w:val="0"/>
          <w:sz w:val="24"/>
          <w:szCs w:val="24"/>
          <w:highlight w:val="none"/>
          <w:u w:val="single"/>
          <w:lang w:val="en-US" w:eastAsia="zh-CN"/>
        </w:rPr>
        <w:t>00</w:t>
      </w:r>
      <w:r>
        <w:rPr>
          <w:rFonts w:hint="eastAsia" w:ascii="宋体" w:hAnsi="宋体" w:eastAsia="宋体" w:cs="宋体"/>
          <w:color w:val="auto"/>
          <w:kern w:val="0"/>
          <w:sz w:val="24"/>
          <w:szCs w:val="24"/>
          <w:highlight w:val="none"/>
        </w:rPr>
        <w:t>分（北京时间，下同），凡有意参加投标者，请登录广州交易集团有限公司（广州公共资源交易中心）网站下载电子招标文件。</w:t>
      </w:r>
    </w:p>
    <w:p w14:paraId="5860A763">
      <w:pPr>
        <w:wordWrap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注：发布招标公告的时间为招标公告发出之日起至递交投标文件截止时间止。</w:t>
      </w:r>
    </w:p>
    <w:p w14:paraId="4389DAF5">
      <w:pPr>
        <w:wordWrap w:val="0"/>
        <w:spacing w:line="360" w:lineRule="auto"/>
        <w:ind w:firstLine="482" w:firstLineChars="201"/>
        <w:rPr>
          <w:rFonts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5.2 本项目招标文件随招标公告一并在广州交易集团有限公司（广州公共资源交易中心）网站交易平台发布。招标文件一经在交易平台发布，视为发出给投标人，招标文件由投标人自行在交易平台下载。</w:t>
      </w:r>
    </w:p>
    <w:p w14:paraId="1AA1D175">
      <w:pPr>
        <w:pStyle w:val="2"/>
        <w:rPr>
          <w:color w:val="auto"/>
          <w:highlight w:val="none"/>
          <w:lang w:bidi="ar"/>
        </w:rPr>
      </w:pPr>
      <w:bookmarkStart w:id="5" w:name="_Toc60344357"/>
      <w:r>
        <w:rPr>
          <w:rFonts w:hint="eastAsia"/>
          <w:color w:val="auto"/>
          <w:highlight w:val="none"/>
          <w:lang w:bidi="ar"/>
        </w:rPr>
        <w:t>6. 投标文件的递交、开标时间及办理投标登记手续</w:t>
      </w:r>
      <w:bookmarkEnd w:id="5"/>
    </w:p>
    <w:p w14:paraId="211137ED">
      <w:pPr>
        <w:wordWrap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 投标截止时间为</w:t>
      </w:r>
      <w:r>
        <w:rPr>
          <w:rFonts w:hint="eastAsia" w:ascii="宋体" w:hAnsi="宋体" w:eastAsia="宋体" w:cs="宋体"/>
          <w:color w:val="auto"/>
          <w:kern w:val="0"/>
          <w:sz w:val="24"/>
          <w:szCs w:val="24"/>
          <w:highlight w:val="none"/>
          <w:u w:val="single"/>
        </w:rPr>
        <w:t>2025</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lang w:val="en-US" w:eastAsia="zh-CN"/>
        </w:rPr>
        <w:t>06</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lang w:val="en-US" w:eastAsia="zh-CN"/>
        </w:rPr>
        <w:t>30</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u w:val="single"/>
          <w:lang w:val="en-US" w:eastAsia="zh-CN"/>
        </w:rPr>
        <w:t>10</w:t>
      </w:r>
      <w:r>
        <w:rPr>
          <w:rFonts w:hint="eastAsia" w:ascii="宋体" w:hAnsi="宋体" w:eastAsia="宋体" w:cs="宋体"/>
          <w:color w:val="auto"/>
          <w:kern w:val="0"/>
          <w:sz w:val="24"/>
          <w:szCs w:val="24"/>
          <w:highlight w:val="none"/>
        </w:rPr>
        <w:t>时</w:t>
      </w:r>
      <w:r>
        <w:rPr>
          <w:rFonts w:hint="eastAsia" w:ascii="宋体" w:hAnsi="宋体" w:eastAsia="宋体" w:cs="宋体"/>
          <w:color w:val="auto"/>
          <w:kern w:val="0"/>
          <w:sz w:val="24"/>
          <w:szCs w:val="24"/>
          <w:highlight w:val="none"/>
          <w:u w:val="single"/>
          <w:lang w:val="en-US" w:eastAsia="zh-CN"/>
        </w:rPr>
        <w:t>00</w:t>
      </w:r>
      <w:r>
        <w:rPr>
          <w:rFonts w:hint="eastAsia" w:ascii="宋体" w:hAnsi="宋体" w:eastAsia="宋体" w:cs="宋体"/>
          <w:color w:val="auto"/>
          <w:kern w:val="0"/>
          <w:sz w:val="24"/>
          <w:szCs w:val="24"/>
          <w:highlight w:val="none"/>
        </w:rPr>
        <w:t>分，投标人应在截止时间前通过广州交易集团有限公司（广州公共资源交易中心）网站交易平台递交电子投标文件。投标人完成电子投标文件上传后，交易平台即时向投标人发出递交回执通知。递交时间以递交回执通知载明的传输完成时间为准。</w:t>
      </w:r>
    </w:p>
    <w:p w14:paraId="2C9B49A7">
      <w:pPr>
        <w:wordWrap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在投标截止时间后</w:t>
      </w:r>
      <w:r>
        <w:rPr>
          <w:rFonts w:hint="eastAsia" w:ascii="宋体" w:hAnsi="宋体" w:eastAsia="宋体" w:cs="宋体"/>
          <w:b/>
          <w:bCs/>
          <w:color w:val="auto"/>
          <w:kern w:val="0"/>
          <w:sz w:val="24"/>
          <w:szCs w:val="24"/>
          <w:highlight w:val="none"/>
          <w:u w:val="single"/>
        </w:rPr>
        <w:t>1小时</w:t>
      </w:r>
      <w:r>
        <w:rPr>
          <w:rFonts w:hint="eastAsia" w:ascii="宋体" w:hAnsi="宋体" w:eastAsia="宋体" w:cs="宋体"/>
          <w:color w:val="auto"/>
          <w:kern w:val="0"/>
          <w:sz w:val="24"/>
          <w:szCs w:val="24"/>
          <w:highlight w:val="none"/>
        </w:rPr>
        <w:t>内，投标人通过广州交易集团有限公司（广州公共资源交易中心）网站对已递交的电子投标文件进行解密。</w:t>
      </w:r>
    </w:p>
    <w:p w14:paraId="5C655B3E">
      <w:pPr>
        <w:wordWrap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6.2 投标人应在递交投标文件截止时间前，登录广州交易集团有限公司（广州公共资源交易中心）网站交易平台办理网上投标登记手续；按照广州交易集团有限公司（广州公共资源交易中心）网站关于全流程电子化项目的相关指南进行操作。</w:t>
      </w:r>
    </w:p>
    <w:p w14:paraId="376A2F9E">
      <w:pPr>
        <w:wordWrap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6.3 开标开始时间：</w:t>
      </w:r>
      <w:bookmarkStart w:id="9" w:name="_GoBack"/>
      <w:r>
        <w:rPr>
          <w:rFonts w:hint="eastAsia" w:ascii="宋体" w:hAnsi="宋体" w:eastAsia="宋体" w:cs="宋体"/>
          <w:color w:val="auto"/>
          <w:kern w:val="0"/>
          <w:sz w:val="24"/>
          <w:szCs w:val="24"/>
          <w:highlight w:val="none"/>
          <w:u w:val="single"/>
        </w:rPr>
        <w:t>2025</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lang w:val="en-US" w:eastAsia="zh-CN"/>
        </w:rPr>
        <w:t>06</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lang w:val="en-US" w:eastAsia="zh-CN"/>
        </w:rPr>
        <w:t>30</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u w:val="single"/>
          <w:lang w:val="en-US" w:eastAsia="zh-CN"/>
        </w:rPr>
        <w:t>10</w:t>
      </w:r>
      <w:r>
        <w:rPr>
          <w:rFonts w:hint="eastAsia" w:ascii="宋体" w:hAnsi="宋体" w:eastAsia="宋体" w:cs="宋体"/>
          <w:color w:val="auto"/>
          <w:kern w:val="0"/>
          <w:sz w:val="24"/>
          <w:szCs w:val="24"/>
          <w:highlight w:val="none"/>
        </w:rPr>
        <w:t>时</w:t>
      </w:r>
      <w:r>
        <w:rPr>
          <w:rFonts w:hint="eastAsia" w:ascii="宋体" w:hAnsi="宋体" w:eastAsia="宋体" w:cs="宋体"/>
          <w:color w:val="auto"/>
          <w:kern w:val="0"/>
          <w:sz w:val="24"/>
          <w:szCs w:val="24"/>
          <w:highlight w:val="none"/>
          <w:u w:val="single"/>
          <w:lang w:val="en-US" w:eastAsia="zh-CN"/>
        </w:rPr>
        <w:t>00</w:t>
      </w:r>
      <w:r>
        <w:rPr>
          <w:rFonts w:hint="eastAsia" w:ascii="宋体" w:hAnsi="宋体" w:eastAsia="宋体" w:cs="宋体"/>
          <w:color w:val="auto"/>
          <w:kern w:val="0"/>
          <w:sz w:val="24"/>
          <w:szCs w:val="24"/>
          <w:highlight w:val="none"/>
        </w:rPr>
        <w:t>分</w:t>
      </w:r>
      <w:bookmarkEnd w:id="9"/>
      <w:r>
        <w:rPr>
          <w:rFonts w:hint="eastAsia" w:ascii="宋体" w:hAnsi="宋体" w:eastAsia="宋体" w:cs="宋体"/>
          <w:color w:val="auto"/>
          <w:kern w:val="0"/>
          <w:sz w:val="24"/>
          <w:szCs w:val="24"/>
          <w:highlight w:val="none"/>
        </w:rPr>
        <w:t>。</w:t>
      </w:r>
    </w:p>
    <w:p w14:paraId="7FB18EEB">
      <w:pPr>
        <w:wordWrap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6.4 递交投标文件截止时间与开标时间是否有变化，请密切留意招标答疑中的相关信息。递交投标文件截止时间后，开标时间因故推迟的，相关评标信息仍以原递交投标文件截止时间的信息为准。</w:t>
      </w:r>
    </w:p>
    <w:p w14:paraId="59C4DB5C">
      <w:pPr>
        <w:wordWrap w:val="0"/>
        <w:spacing w:line="360" w:lineRule="auto"/>
        <w:ind w:firstLine="482" w:firstLineChars="20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6.5 逾期送达的电子投标文件，广州交易集团有限公司（广州公共资源交易中心）网站交易平台将予以拒收。</w:t>
      </w:r>
    </w:p>
    <w:p w14:paraId="7EB62E0A">
      <w:pPr>
        <w:wordWrap w:val="0"/>
        <w:spacing w:line="360" w:lineRule="auto"/>
        <w:ind w:firstLine="482" w:firstLineChars="20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6.6 投标人应自行检查广州交易集团有限公司（广州公共资源交易中心）信息登记中的企业基础信息扫描件（包括企业资质证书、企业营业执照、项目负责人相关证书等），评标委员会对上述资料的审查将以递交投标文件截止时间在广州交易集团有限公司（广州公共资源交易中心）信息登记的信息为依据。投标人应及时维护其在广州交易集团有限公司（广州公共资源交易中心）信息登记的信息，确保各项信息在有效期内。如因投标单位资料缺失导致资格审查不通过，责任由投标单位自行承担。</w:t>
      </w:r>
    </w:p>
    <w:p w14:paraId="2E11328A">
      <w:pPr>
        <w:pStyle w:val="2"/>
        <w:rPr>
          <w:color w:val="auto"/>
          <w:highlight w:val="none"/>
          <w:lang w:bidi="ar"/>
        </w:rPr>
      </w:pPr>
      <w:bookmarkStart w:id="6" w:name="_Toc60344358"/>
      <w:r>
        <w:rPr>
          <w:rFonts w:hint="eastAsia"/>
          <w:color w:val="auto"/>
          <w:highlight w:val="none"/>
          <w:lang w:bidi="ar"/>
        </w:rPr>
        <w:t>7. 发布公告的媒介</w:t>
      </w:r>
      <w:bookmarkEnd w:id="6"/>
    </w:p>
    <w:p w14:paraId="6BBDB29A">
      <w:pPr>
        <w:wordWrap w:val="0"/>
        <w:spacing w:line="360" w:lineRule="auto"/>
        <w:ind w:firstLine="482" w:firstLineChars="2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告在广州交易集团有限公司（广州公共资源交易中心）（网址：http://www.gzggzy.cn）、广东省招标投标监管网（网址：http://zbtb.gd.gov.cn）和中国招标投标公共服务平台（网址：http://www.cebpubservice.com）发布，本公告的修改、补充，在上述网站发布。</w:t>
      </w:r>
    </w:p>
    <w:p w14:paraId="1AA97C95">
      <w:pPr>
        <w:pStyle w:val="2"/>
        <w:rPr>
          <w:color w:val="auto"/>
          <w:highlight w:val="none"/>
          <w:lang w:bidi="ar"/>
        </w:rPr>
      </w:pPr>
      <w:bookmarkStart w:id="7" w:name="_Toc60344359"/>
      <w:r>
        <w:rPr>
          <w:rFonts w:hint="eastAsia"/>
          <w:color w:val="auto"/>
          <w:highlight w:val="none"/>
          <w:lang w:bidi="ar"/>
        </w:rPr>
        <w:t xml:space="preserve">8. </w:t>
      </w:r>
      <w:bookmarkEnd w:id="7"/>
      <w:r>
        <w:rPr>
          <w:rFonts w:hint="eastAsia"/>
          <w:color w:val="auto"/>
          <w:highlight w:val="none"/>
          <w:lang w:bidi="ar"/>
        </w:rPr>
        <w:t>资格审查方式</w:t>
      </w:r>
    </w:p>
    <w:p w14:paraId="7297CF56">
      <w:pPr>
        <w:wordWrap w:val="0"/>
        <w:spacing w:line="360" w:lineRule="auto"/>
        <w:ind w:firstLine="482" w:firstLineChars="20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8.1 本工程采用资格后审方式，由评标委员会负责资格审查。</w:t>
      </w:r>
    </w:p>
    <w:p w14:paraId="3444F3A1">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8.2 资格审查结果将在广州交易集团有限公司（广州公共资源交易中心）网站和广东省招标投标监管网公示，公示时间不得少于3日，最后一天应为工作日。</w:t>
      </w:r>
    </w:p>
    <w:p w14:paraId="54433D6E">
      <w:pPr>
        <w:pStyle w:val="2"/>
        <w:rPr>
          <w:color w:val="auto"/>
          <w:highlight w:val="none"/>
          <w:lang w:bidi="ar"/>
        </w:rPr>
      </w:pPr>
      <w:bookmarkStart w:id="8" w:name="_Toc25072056"/>
      <w:r>
        <w:rPr>
          <w:rFonts w:hint="eastAsia"/>
          <w:color w:val="auto"/>
          <w:highlight w:val="none"/>
          <w:lang w:bidi="ar"/>
        </w:rPr>
        <w:t xml:space="preserve">9. </w:t>
      </w:r>
      <w:bookmarkEnd w:id="8"/>
      <w:r>
        <w:rPr>
          <w:rFonts w:hint="eastAsia"/>
          <w:color w:val="auto"/>
          <w:highlight w:val="none"/>
          <w:lang w:bidi="ar"/>
        </w:rPr>
        <w:t>疑问、异议、投诉处理</w:t>
      </w:r>
    </w:p>
    <w:p w14:paraId="56DE0F5D">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14:paraId="200049BD">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4619A12A">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6048A95D">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3BC50E9B">
      <w:pPr>
        <w:wordWrap w:val="0"/>
        <w:spacing w:line="360" w:lineRule="auto"/>
        <w:ind w:firstLine="420" w:firstLineChars="200"/>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4D563E97">
      <w:pPr>
        <w:pStyle w:val="2"/>
        <w:rPr>
          <w:color w:val="auto"/>
          <w:highlight w:val="none"/>
          <w:lang w:bidi="ar"/>
        </w:rPr>
      </w:pPr>
      <w:r>
        <w:rPr>
          <w:rFonts w:hint="eastAsia"/>
          <w:color w:val="auto"/>
          <w:highlight w:val="none"/>
          <w:lang w:bidi="ar"/>
        </w:rPr>
        <w:t>10. 投标人和中标候选人的重大变化告知义务</w:t>
      </w:r>
    </w:p>
    <w:p w14:paraId="2E087BE8">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00AC111C">
      <w:pPr>
        <w:pStyle w:val="2"/>
        <w:rPr>
          <w:color w:val="auto"/>
          <w:highlight w:val="none"/>
          <w:lang w:bidi="ar"/>
        </w:rPr>
      </w:pPr>
      <w:r>
        <w:rPr>
          <w:rFonts w:hint="eastAsia"/>
          <w:color w:val="auto"/>
          <w:highlight w:val="none"/>
          <w:lang w:bidi="ar"/>
        </w:rPr>
        <w:t>11. 联系方式</w:t>
      </w:r>
    </w:p>
    <w:p w14:paraId="32988BEA">
      <w:pPr>
        <w:wordWrap w:val="0"/>
        <w:spacing w:line="360" w:lineRule="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招标单位：</w:t>
      </w:r>
      <w:r>
        <w:rPr>
          <w:rFonts w:hint="eastAsia" w:ascii="宋体" w:hAnsi="宋体" w:eastAsia="宋体" w:cs="宋体"/>
          <w:color w:val="auto"/>
          <w:sz w:val="24"/>
          <w:szCs w:val="24"/>
          <w:highlight w:val="none"/>
          <w:u w:val="single"/>
          <w:lang w:eastAsia="zh-CN"/>
        </w:rPr>
        <w:t>广州市花都区人民政府新华街道办事处</w:t>
      </w:r>
    </w:p>
    <w:p w14:paraId="2353116A">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lang w:eastAsia="zh-CN"/>
        </w:rPr>
        <w:t>广州市花都区新华街建设路1号</w:t>
      </w:r>
    </w:p>
    <w:p w14:paraId="2342D7B3">
      <w:pPr>
        <w:wordWrap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徐工</w:t>
      </w:r>
    </w:p>
    <w:p w14:paraId="5659B116">
      <w:pPr>
        <w:wordWrap w:val="0"/>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lang w:eastAsia="zh-CN"/>
        </w:rPr>
        <w:t>020-86807633</w:t>
      </w:r>
    </w:p>
    <w:p w14:paraId="49EB88A3">
      <w:pPr>
        <w:wordWrap w:val="0"/>
        <w:spacing w:line="360" w:lineRule="auto"/>
        <w:rPr>
          <w:rFonts w:ascii="宋体" w:hAnsi="宋体" w:eastAsia="宋体" w:cs="宋体"/>
          <w:color w:val="auto"/>
          <w:sz w:val="24"/>
          <w:szCs w:val="24"/>
          <w:highlight w:val="none"/>
        </w:rPr>
      </w:pPr>
    </w:p>
    <w:p w14:paraId="6BE5A16A">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r>
        <w:rPr>
          <w:rFonts w:hint="eastAsia" w:ascii="宋体" w:hAnsi="宋体" w:eastAsia="宋体" w:cs="宋体"/>
          <w:color w:val="auto"/>
          <w:sz w:val="24"/>
          <w:szCs w:val="24"/>
          <w:highlight w:val="none"/>
          <w:u w:val="single"/>
          <w:lang w:eastAsia="zh-CN"/>
        </w:rPr>
        <w:t>广东省国际工程咨询有限公司</w:t>
      </w:r>
    </w:p>
    <w:p w14:paraId="636E554B">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lang w:eastAsia="zh-CN"/>
        </w:rPr>
        <w:t>广州市越秀区环市中路316号金鹰大厦10-11、13楼</w:t>
      </w:r>
    </w:p>
    <w:p w14:paraId="1ACB0CC5">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eastAsia="zh-CN"/>
        </w:rPr>
        <w:t>黄工</w:t>
      </w:r>
    </w:p>
    <w:p w14:paraId="7AB591F8">
      <w:pPr>
        <w:wordWrap w:val="0"/>
        <w:spacing w:line="360" w:lineRule="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lang w:eastAsia="zh-CN"/>
        </w:rPr>
        <w:t>020-33971613</w:t>
      </w:r>
    </w:p>
    <w:p w14:paraId="22ADBDF9">
      <w:pPr>
        <w:wordWrap w:val="0"/>
        <w:rPr>
          <w:rFonts w:ascii="宋体" w:hAnsi="宋体" w:eastAsia="宋体" w:cs="Times New Roman"/>
          <w:color w:val="auto"/>
          <w:szCs w:val="24"/>
          <w:highlight w:val="none"/>
        </w:rPr>
      </w:pPr>
    </w:p>
    <w:p w14:paraId="7E5DBC11">
      <w:pPr>
        <w:wordWrap w:val="0"/>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招标监督机构：</w:t>
      </w:r>
      <w:r>
        <w:rPr>
          <w:rFonts w:hint="eastAsia" w:ascii="宋体" w:hAnsi="宋体" w:eastAsia="宋体" w:cs="Times New Roman"/>
          <w:color w:val="auto"/>
          <w:sz w:val="24"/>
          <w:szCs w:val="24"/>
          <w:highlight w:val="none"/>
          <w:u w:val="single"/>
        </w:rPr>
        <w:t>广州市花都区建设工程招标和造价管理中心</w:t>
      </w:r>
    </w:p>
    <w:p w14:paraId="6D04C45F">
      <w:pPr>
        <w:wordWrap w:val="0"/>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广州市花都区公益路39号</w:t>
      </w:r>
    </w:p>
    <w:p w14:paraId="54509D4D">
      <w:pPr>
        <w:wordWrap w:val="0"/>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监督电话：</w:t>
      </w:r>
      <w:r>
        <w:rPr>
          <w:rFonts w:hint="eastAsia" w:ascii="宋体" w:hAnsi="宋体" w:eastAsia="宋体" w:cs="宋体"/>
          <w:color w:val="auto"/>
          <w:sz w:val="24"/>
          <w:szCs w:val="24"/>
          <w:highlight w:val="none"/>
          <w:u w:val="single"/>
        </w:rPr>
        <w:t>020-36897092</w:t>
      </w:r>
    </w:p>
    <w:sectPr>
      <w:footerReference r:id="rId3" w:type="default"/>
      <w:pgSz w:w="11906" w:h="16838"/>
      <w:pgMar w:top="1440" w:right="1803"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0298721"/>
      <w:docPartObj>
        <w:docPartGallery w:val="autotext"/>
      </w:docPartObj>
    </w:sdtPr>
    <w:sdtContent>
      <w:p w14:paraId="0C00CBDC">
        <w:pPr>
          <w:pStyle w:val="7"/>
          <w:jc w:val="center"/>
        </w:pPr>
        <w:r>
          <w:fldChar w:fldCharType="begin"/>
        </w:r>
        <w:r>
          <w:instrText xml:space="preserve">PAGE   \* MERGEFORMAT</w:instrText>
        </w:r>
        <w:r>
          <w:fldChar w:fldCharType="separate"/>
        </w:r>
        <w:r>
          <w:rPr>
            <w:lang w:val="zh-CN"/>
          </w:rPr>
          <w:t>7</w:t>
        </w:r>
        <w:r>
          <w:fldChar w:fldCharType="end"/>
        </w:r>
      </w:p>
    </w:sdtContent>
  </w:sdt>
  <w:p w14:paraId="15997617">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470"/>
    <w:rsid w:val="000227F6"/>
    <w:rsid w:val="00054697"/>
    <w:rsid w:val="00057DC1"/>
    <w:rsid w:val="0008198A"/>
    <w:rsid w:val="000A46CD"/>
    <w:rsid w:val="000B163A"/>
    <w:rsid w:val="000C2D5A"/>
    <w:rsid w:val="000C42BB"/>
    <w:rsid w:val="000C6B87"/>
    <w:rsid w:val="000E00E1"/>
    <w:rsid w:val="000E1995"/>
    <w:rsid w:val="000E3417"/>
    <w:rsid w:val="00124259"/>
    <w:rsid w:val="001A66A0"/>
    <w:rsid w:val="001D7C40"/>
    <w:rsid w:val="001E7B51"/>
    <w:rsid w:val="001F191F"/>
    <w:rsid w:val="00221988"/>
    <w:rsid w:val="00231213"/>
    <w:rsid w:val="00234EA9"/>
    <w:rsid w:val="00245E87"/>
    <w:rsid w:val="0024740E"/>
    <w:rsid w:val="00257BC5"/>
    <w:rsid w:val="002645C1"/>
    <w:rsid w:val="00274C0D"/>
    <w:rsid w:val="002919A4"/>
    <w:rsid w:val="00294619"/>
    <w:rsid w:val="002A1E0F"/>
    <w:rsid w:val="002A1E93"/>
    <w:rsid w:val="002B062F"/>
    <w:rsid w:val="002B0D1E"/>
    <w:rsid w:val="002F399A"/>
    <w:rsid w:val="002F502D"/>
    <w:rsid w:val="002F67A7"/>
    <w:rsid w:val="00313EF9"/>
    <w:rsid w:val="00326737"/>
    <w:rsid w:val="00330B87"/>
    <w:rsid w:val="003318F0"/>
    <w:rsid w:val="00341323"/>
    <w:rsid w:val="00347AF7"/>
    <w:rsid w:val="00351509"/>
    <w:rsid w:val="00362B9D"/>
    <w:rsid w:val="0036365E"/>
    <w:rsid w:val="00373015"/>
    <w:rsid w:val="003741AA"/>
    <w:rsid w:val="003769A6"/>
    <w:rsid w:val="00377882"/>
    <w:rsid w:val="00386B69"/>
    <w:rsid w:val="003A5A21"/>
    <w:rsid w:val="003B7F8E"/>
    <w:rsid w:val="003F2D75"/>
    <w:rsid w:val="00405470"/>
    <w:rsid w:val="00406E00"/>
    <w:rsid w:val="00430485"/>
    <w:rsid w:val="00436EB7"/>
    <w:rsid w:val="00437617"/>
    <w:rsid w:val="004469B2"/>
    <w:rsid w:val="00487DF9"/>
    <w:rsid w:val="00497CAE"/>
    <w:rsid w:val="004F4F34"/>
    <w:rsid w:val="005018B0"/>
    <w:rsid w:val="00531CCE"/>
    <w:rsid w:val="005465C1"/>
    <w:rsid w:val="0056771B"/>
    <w:rsid w:val="00577E3B"/>
    <w:rsid w:val="00591153"/>
    <w:rsid w:val="00591CAC"/>
    <w:rsid w:val="005A5152"/>
    <w:rsid w:val="005C339E"/>
    <w:rsid w:val="005D52AD"/>
    <w:rsid w:val="005D5469"/>
    <w:rsid w:val="005E01FA"/>
    <w:rsid w:val="005E4CAA"/>
    <w:rsid w:val="005F0F62"/>
    <w:rsid w:val="0060222E"/>
    <w:rsid w:val="00615D03"/>
    <w:rsid w:val="00634959"/>
    <w:rsid w:val="006470D0"/>
    <w:rsid w:val="00654917"/>
    <w:rsid w:val="00685544"/>
    <w:rsid w:val="00692808"/>
    <w:rsid w:val="006970E2"/>
    <w:rsid w:val="006A7227"/>
    <w:rsid w:val="006C22FC"/>
    <w:rsid w:val="00703D4B"/>
    <w:rsid w:val="00715D29"/>
    <w:rsid w:val="00751F96"/>
    <w:rsid w:val="00770DDD"/>
    <w:rsid w:val="00772CC7"/>
    <w:rsid w:val="00783405"/>
    <w:rsid w:val="007A3D11"/>
    <w:rsid w:val="007A4D74"/>
    <w:rsid w:val="007B0C08"/>
    <w:rsid w:val="007B33B2"/>
    <w:rsid w:val="007C40AC"/>
    <w:rsid w:val="007E109B"/>
    <w:rsid w:val="00806ADC"/>
    <w:rsid w:val="00810D44"/>
    <w:rsid w:val="00823606"/>
    <w:rsid w:val="00824EF1"/>
    <w:rsid w:val="0082732D"/>
    <w:rsid w:val="00844323"/>
    <w:rsid w:val="00846E00"/>
    <w:rsid w:val="00893145"/>
    <w:rsid w:val="008A4157"/>
    <w:rsid w:val="008B0A72"/>
    <w:rsid w:val="008B0F0F"/>
    <w:rsid w:val="008E2104"/>
    <w:rsid w:val="008F1BDE"/>
    <w:rsid w:val="00960368"/>
    <w:rsid w:val="00994381"/>
    <w:rsid w:val="00996BBE"/>
    <w:rsid w:val="009A2B80"/>
    <w:rsid w:val="009D4A99"/>
    <w:rsid w:val="009F33DB"/>
    <w:rsid w:val="00A126A3"/>
    <w:rsid w:val="00A2589E"/>
    <w:rsid w:val="00A3246F"/>
    <w:rsid w:val="00A32DB0"/>
    <w:rsid w:val="00A41569"/>
    <w:rsid w:val="00A621A2"/>
    <w:rsid w:val="00A64DE4"/>
    <w:rsid w:val="00A917C8"/>
    <w:rsid w:val="00A97645"/>
    <w:rsid w:val="00AA658A"/>
    <w:rsid w:val="00AA7097"/>
    <w:rsid w:val="00AE6CD3"/>
    <w:rsid w:val="00AF289A"/>
    <w:rsid w:val="00B04496"/>
    <w:rsid w:val="00B13B77"/>
    <w:rsid w:val="00B44157"/>
    <w:rsid w:val="00B614E8"/>
    <w:rsid w:val="00B6736A"/>
    <w:rsid w:val="00B7701B"/>
    <w:rsid w:val="00B95ECD"/>
    <w:rsid w:val="00BB2719"/>
    <w:rsid w:val="00BE3F42"/>
    <w:rsid w:val="00BF3FCA"/>
    <w:rsid w:val="00BF46D9"/>
    <w:rsid w:val="00C341F6"/>
    <w:rsid w:val="00C56AC2"/>
    <w:rsid w:val="00C57316"/>
    <w:rsid w:val="00C82873"/>
    <w:rsid w:val="00C90EF0"/>
    <w:rsid w:val="00C96978"/>
    <w:rsid w:val="00CB1988"/>
    <w:rsid w:val="00CC3CD8"/>
    <w:rsid w:val="00CC7C5A"/>
    <w:rsid w:val="00D10544"/>
    <w:rsid w:val="00D15060"/>
    <w:rsid w:val="00D60AF9"/>
    <w:rsid w:val="00D6415C"/>
    <w:rsid w:val="00D702C7"/>
    <w:rsid w:val="00DB01DE"/>
    <w:rsid w:val="00DC2B8C"/>
    <w:rsid w:val="00DE09C8"/>
    <w:rsid w:val="00DF78C4"/>
    <w:rsid w:val="00E330C3"/>
    <w:rsid w:val="00E43545"/>
    <w:rsid w:val="00E6464F"/>
    <w:rsid w:val="00E805DF"/>
    <w:rsid w:val="00E9534B"/>
    <w:rsid w:val="00EB5352"/>
    <w:rsid w:val="00EB6BE5"/>
    <w:rsid w:val="00EF53EC"/>
    <w:rsid w:val="00F439A1"/>
    <w:rsid w:val="00F52860"/>
    <w:rsid w:val="00F54AFC"/>
    <w:rsid w:val="00F56CCE"/>
    <w:rsid w:val="00F669AA"/>
    <w:rsid w:val="00F747DF"/>
    <w:rsid w:val="00F863F3"/>
    <w:rsid w:val="00F9598A"/>
    <w:rsid w:val="00FD0A12"/>
    <w:rsid w:val="00FD2A05"/>
    <w:rsid w:val="00FE01C6"/>
    <w:rsid w:val="00FF1B5B"/>
    <w:rsid w:val="00FF2804"/>
    <w:rsid w:val="00FF5947"/>
    <w:rsid w:val="00FF7309"/>
    <w:rsid w:val="028B144B"/>
    <w:rsid w:val="032A1114"/>
    <w:rsid w:val="04E83AB4"/>
    <w:rsid w:val="064047AA"/>
    <w:rsid w:val="06F7755F"/>
    <w:rsid w:val="07B611C8"/>
    <w:rsid w:val="07E37AE3"/>
    <w:rsid w:val="119F4BA6"/>
    <w:rsid w:val="11A92E82"/>
    <w:rsid w:val="12655CC4"/>
    <w:rsid w:val="13487252"/>
    <w:rsid w:val="15602773"/>
    <w:rsid w:val="17013AE2"/>
    <w:rsid w:val="19235F91"/>
    <w:rsid w:val="1AC55086"/>
    <w:rsid w:val="1B373F76"/>
    <w:rsid w:val="26751DF6"/>
    <w:rsid w:val="27D03B7F"/>
    <w:rsid w:val="29673C78"/>
    <w:rsid w:val="2D974A87"/>
    <w:rsid w:val="2FBD0A96"/>
    <w:rsid w:val="31B449A5"/>
    <w:rsid w:val="33B93FC7"/>
    <w:rsid w:val="34931DC5"/>
    <w:rsid w:val="35B93AAE"/>
    <w:rsid w:val="3ADE3FB6"/>
    <w:rsid w:val="3BCC3E0F"/>
    <w:rsid w:val="3BF13876"/>
    <w:rsid w:val="3CD32AA5"/>
    <w:rsid w:val="3E5F0F6A"/>
    <w:rsid w:val="401A783F"/>
    <w:rsid w:val="449C28B0"/>
    <w:rsid w:val="45053C25"/>
    <w:rsid w:val="45790B64"/>
    <w:rsid w:val="46A00372"/>
    <w:rsid w:val="47C46D47"/>
    <w:rsid w:val="4AF07F13"/>
    <w:rsid w:val="4AFA3B96"/>
    <w:rsid w:val="4B38326F"/>
    <w:rsid w:val="4BB26B7D"/>
    <w:rsid w:val="4F027E1C"/>
    <w:rsid w:val="50C25AB5"/>
    <w:rsid w:val="52304CA0"/>
    <w:rsid w:val="5741351C"/>
    <w:rsid w:val="58502B25"/>
    <w:rsid w:val="5A3966BC"/>
    <w:rsid w:val="5BAC2548"/>
    <w:rsid w:val="5CFD1C22"/>
    <w:rsid w:val="5F4D50E3"/>
    <w:rsid w:val="5F9A60EC"/>
    <w:rsid w:val="60C02942"/>
    <w:rsid w:val="63AE1B06"/>
    <w:rsid w:val="65F53DDF"/>
    <w:rsid w:val="664B12E5"/>
    <w:rsid w:val="67C972D1"/>
    <w:rsid w:val="6962178B"/>
    <w:rsid w:val="6E1C2A86"/>
    <w:rsid w:val="6FE27182"/>
    <w:rsid w:val="75C02056"/>
    <w:rsid w:val="7C42265A"/>
    <w:rsid w:val="7C431ED9"/>
    <w:rsid w:val="7C7750F6"/>
    <w:rsid w:val="7C8415C1"/>
    <w:rsid w:val="7FB13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wordWrap w:val="0"/>
      <w:spacing w:line="360" w:lineRule="auto"/>
      <w:outlineLvl w:val="0"/>
    </w:pPr>
    <w:rPr>
      <w:rFonts w:ascii="宋体" w:hAnsi="宋体" w:eastAsia="宋体" w:cs="Times New Roman"/>
      <w:b/>
      <w:bCs/>
      <w:kern w:val="44"/>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ody Text Indent"/>
    <w:basedOn w:val="1"/>
    <w:next w:val="5"/>
    <w:qFormat/>
    <w:uiPriority w:val="99"/>
    <w:pPr>
      <w:ind w:firstLine="600" w:firstLineChars="200"/>
    </w:pPr>
    <w:rPr>
      <w:rFonts w:ascii="宋体"/>
      <w:sz w:val="30"/>
      <w:szCs w:val="20"/>
    </w:rPr>
  </w:style>
  <w:style w:type="paragraph" w:styleId="5">
    <w:name w:val="envelope return"/>
    <w:basedOn w:val="1"/>
    <w:qFormat/>
    <w:uiPriority w:val="0"/>
    <w:pPr>
      <w:snapToGrid w:val="0"/>
    </w:pPr>
    <w:rPr>
      <w:rFonts w:ascii="Arial" w:hAnsi="Arial" w:cs="Arial"/>
    </w:rPr>
  </w:style>
  <w:style w:type="paragraph" w:styleId="6">
    <w:name w:val="Balloon Text"/>
    <w:basedOn w:val="1"/>
    <w:link w:val="21"/>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0"/>
    <w:semiHidden/>
    <w:unhideWhenUsed/>
    <w:qFormat/>
    <w:uiPriority w:val="99"/>
    <w:rPr>
      <w:b/>
      <w:bCs/>
    </w:rPr>
  </w:style>
  <w:style w:type="paragraph" w:styleId="10">
    <w:name w:val="Body Text First Indent 2"/>
    <w:basedOn w:val="4"/>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styleId="15">
    <w:name w:val="annotation reference"/>
    <w:basedOn w:val="13"/>
    <w:semiHidden/>
    <w:unhideWhenUsed/>
    <w:qFormat/>
    <w:uiPriority w:val="99"/>
    <w:rPr>
      <w:sz w:val="21"/>
      <w:szCs w:val="21"/>
    </w:rPr>
  </w:style>
  <w:style w:type="character" w:customStyle="1" w:styleId="16">
    <w:name w:val="页眉 字符"/>
    <w:basedOn w:val="13"/>
    <w:link w:val="8"/>
    <w:qFormat/>
    <w:uiPriority w:val="99"/>
    <w:rPr>
      <w:sz w:val="18"/>
      <w:szCs w:val="18"/>
    </w:rPr>
  </w:style>
  <w:style w:type="character" w:customStyle="1" w:styleId="17">
    <w:name w:val="页脚 字符"/>
    <w:basedOn w:val="13"/>
    <w:link w:val="7"/>
    <w:qFormat/>
    <w:uiPriority w:val="99"/>
    <w:rPr>
      <w:sz w:val="18"/>
      <w:szCs w:val="18"/>
    </w:rPr>
  </w:style>
  <w:style w:type="character" w:customStyle="1" w:styleId="18">
    <w:name w:val="标题 1 字符"/>
    <w:basedOn w:val="13"/>
    <w:link w:val="2"/>
    <w:qFormat/>
    <w:uiPriority w:val="9"/>
    <w:rPr>
      <w:rFonts w:ascii="宋体" w:hAnsi="宋体" w:eastAsia="宋体" w:cs="Times New Roman"/>
      <w:b/>
      <w:bCs/>
      <w:kern w:val="44"/>
      <w:sz w:val="28"/>
      <w:szCs w:val="28"/>
    </w:rPr>
  </w:style>
  <w:style w:type="character" w:customStyle="1" w:styleId="19">
    <w:name w:val="批注文字 字符"/>
    <w:basedOn w:val="13"/>
    <w:link w:val="3"/>
    <w:semiHidden/>
    <w:qFormat/>
    <w:uiPriority w:val="99"/>
  </w:style>
  <w:style w:type="character" w:customStyle="1" w:styleId="20">
    <w:name w:val="批注主题 字符"/>
    <w:basedOn w:val="19"/>
    <w:link w:val="9"/>
    <w:semiHidden/>
    <w:qFormat/>
    <w:uiPriority w:val="99"/>
    <w:rPr>
      <w:b/>
      <w:bCs/>
    </w:rPr>
  </w:style>
  <w:style w:type="character" w:customStyle="1" w:styleId="21">
    <w:name w:val="批注框文本 字符"/>
    <w:basedOn w:val="13"/>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4484</Words>
  <Characters>4821</Characters>
  <Lines>5</Lines>
  <Paragraphs>10</Paragraphs>
  <TotalTime>12</TotalTime>
  <ScaleCrop>false</ScaleCrop>
  <LinksUpToDate>false</LinksUpToDate>
  <CharactersWithSpaces>4910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2025-03-19T01:51:00Z</dcterms:created>
  <dc:creator>GHJL</dc:creator>
  <cp:lastModifiedBy>黄志轩</cp:lastModifiedBy>
  <dcterms:modified xsi:type="dcterms:W3CDTF">2025-06-06T02:28:44Z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eyJoZGlkIjoiNDA5YTE4OWE0ODhhZTc0MDliNmNmNDZjODMyOWQyYzMiLCJ1c2VySWQiOiIxNzg3NjIyMyJ9</vt:lpwstr>
  </property>
  <property fmtid="{D5CDD505-2E9C-101B-9397-08002B2CF9AE}" pid="3" name="KSOProductBuildVer">
    <vt:lpwstr>2052-12.1.0.21541</vt:lpwstr>
  </property>
  <property fmtid="{D5CDD505-2E9C-101B-9397-08002B2CF9AE}" pid="4" name="ICV">
    <vt:lpwstr>F6565F9F3E7E47AB93030D68396356CA_12</vt:lpwstr>
  </property>
</Properties>
</file>