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hint="eastAsia" w:ascii="宋体" w:hAnsi="宋体" w:cs="宋体"/>
          <w:b/>
          <w:bCs/>
          <w:spacing w:val="40"/>
          <w:sz w:val="44"/>
          <w:szCs w:val="44"/>
        </w:rPr>
      </w:pPr>
    </w:p>
    <w:p>
      <w:pPr>
        <w:spacing w:line="360" w:lineRule="auto"/>
        <w:rPr>
          <w:rFonts w:hint="eastAsia" w:ascii="宋体" w:hAnsi="宋体" w:cs="宋体"/>
          <w:b/>
          <w:bCs/>
          <w:spacing w:val="40"/>
          <w:sz w:val="44"/>
          <w:szCs w:val="44"/>
        </w:rPr>
      </w:pPr>
    </w:p>
    <w:p>
      <w:pPr>
        <w:spacing w:line="360" w:lineRule="auto"/>
        <w:jc w:val="center"/>
        <w:rPr>
          <w:rFonts w:hint="eastAsia" w:ascii="宋体" w:hAnsi="宋体" w:cs="宋体"/>
          <w:sz w:val="44"/>
          <w:szCs w:val="44"/>
          <w:u w:val="single"/>
        </w:rPr>
      </w:pPr>
      <w:r>
        <w:rPr>
          <w:rFonts w:hint="eastAsia" w:ascii="宋体" w:hAnsi="宋体" w:cs="宋体"/>
          <w:b/>
          <w:bCs/>
          <w:spacing w:val="-6"/>
          <w:sz w:val="44"/>
          <w:szCs w:val="44"/>
          <w:lang w:eastAsia="zh-CN"/>
        </w:rPr>
        <w:t>广州杂技团艺术综合楼装修工程</w:t>
      </w:r>
    </w:p>
    <w:p>
      <w:pPr>
        <w:spacing w:line="360" w:lineRule="auto"/>
        <w:rPr>
          <w:rFonts w:hint="eastAsia" w:ascii="宋体" w:hAnsi="宋体" w:cs="宋体"/>
          <w:b/>
          <w:bCs/>
          <w:spacing w:val="26"/>
          <w:sz w:val="110"/>
          <w:szCs w:val="110"/>
        </w:rPr>
      </w:pPr>
    </w:p>
    <w:p>
      <w:pPr>
        <w:pStyle w:val="7"/>
        <w:rPr>
          <w:rFonts w:hint="eastAsia" w:ascii="宋体" w:hAnsi="宋体" w:cs="宋体"/>
          <w:b/>
          <w:bCs/>
          <w:spacing w:val="26"/>
          <w:sz w:val="110"/>
          <w:szCs w:val="110"/>
        </w:rPr>
      </w:pPr>
    </w:p>
    <w:p>
      <w:pPr>
        <w:spacing w:line="360" w:lineRule="auto"/>
        <w:jc w:val="center"/>
        <w:rPr>
          <w:rFonts w:hint="eastAsia" w:ascii="宋体" w:hAnsi="宋体" w:cs="宋体"/>
          <w:b/>
          <w:bCs/>
          <w:spacing w:val="26"/>
          <w:sz w:val="110"/>
          <w:szCs w:val="110"/>
        </w:rPr>
      </w:pPr>
      <w:r>
        <w:rPr>
          <w:rFonts w:hint="eastAsia" w:ascii="宋体" w:hAnsi="宋体" w:cs="宋体"/>
          <w:b/>
          <w:bCs/>
          <w:spacing w:val="26"/>
          <w:sz w:val="110"/>
          <w:szCs w:val="110"/>
        </w:rPr>
        <w:t>招标文件</w:t>
      </w:r>
    </w:p>
    <w:p>
      <w:pPr>
        <w:spacing w:line="360" w:lineRule="auto"/>
        <w:jc w:val="center"/>
        <w:rPr>
          <w:rFonts w:hint="eastAsia" w:ascii="宋体" w:hAnsi="宋体" w:cs="宋体"/>
          <w:sz w:val="32"/>
        </w:rPr>
      </w:pPr>
    </w:p>
    <w:p>
      <w:pPr>
        <w:spacing w:line="360" w:lineRule="auto"/>
        <w:ind w:firstLine="2560" w:firstLineChars="800"/>
        <w:rPr>
          <w:rFonts w:hint="eastAsia" w:ascii="宋体" w:hAnsi="宋体" w:cs="宋体"/>
          <w:sz w:val="32"/>
        </w:rPr>
      </w:pPr>
    </w:p>
    <w:p>
      <w:pPr>
        <w:spacing w:line="360" w:lineRule="auto"/>
        <w:rPr>
          <w:rFonts w:hint="eastAsia" w:ascii="宋体" w:hAnsi="宋体" w:cs="宋体"/>
          <w:sz w:val="30"/>
          <w:szCs w:val="30"/>
        </w:rPr>
      </w:pPr>
    </w:p>
    <w:p>
      <w:pPr>
        <w:spacing w:line="360" w:lineRule="auto"/>
        <w:ind w:firstLine="900" w:firstLineChars="300"/>
        <w:rPr>
          <w:rFonts w:hint="eastAsia" w:ascii="宋体" w:hAnsi="宋体" w:cs="宋体"/>
          <w:sz w:val="30"/>
          <w:szCs w:val="30"/>
        </w:rPr>
      </w:pPr>
    </w:p>
    <w:p>
      <w:pPr>
        <w:pStyle w:val="12"/>
        <w:rPr>
          <w:rFonts w:hint="eastAsia" w:ascii="宋体" w:hAnsi="宋体" w:cs="宋体"/>
          <w:sz w:val="30"/>
          <w:szCs w:val="30"/>
        </w:rPr>
      </w:pPr>
    </w:p>
    <w:p>
      <w:pPr>
        <w:rPr>
          <w:rFonts w:hint="eastAsia"/>
        </w:rPr>
      </w:pPr>
    </w:p>
    <w:p>
      <w:pPr>
        <w:pStyle w:val="2"/>
        <w:rPr>
          <w:rFonts w:hint="eastAsia"/>
        </w:rPr>
      </w:pPr>
    </w:p>
    <w:p>
      <w:pPr>
        <w:pStyle w:val="2"/>
        <w:rPr>
          <w:rFonts w:hint="eastAsia"/>
        </w:rPr>
      </w:pPr>
    </w:p>
    <w:p>
      <w:pPr>
        <w:pStyle w:val="2"/>
        <w:rPr>
          <w:rFonts w:hint="eastAsia"/>
        </w:rPr>
      </w:pPr>
    </w:p>
    <w:p>
      <w:pPr>
        <w:spacing w:line="360" w:lineRule="auto"/>
        <w:ind w:firstLine="900" w:firstLineChars="300"/>
        <w:rPr>
          <w:rFonts w:hint="eastAsia" w:ascii="宋体" w:hAnsi="宋体" w:eastAsia="宋体" w:cs="宋体"/>
          <w:sz w:val="30"/>
          <w:szCs w:val="30"/>
          <w:u w:val="single"/>
          <w:lang w:eastAsia="zh-CN"/>
        </w:rPr>
      </w:pPr>
      <w:r>
        <w:rPr>
          <w:rFonts w:hint="eastAsia" w:ascii="宋体" w:hAnsi="宋体" w:cs="宋体"/>
          <w:sz w:val="30"/>
          <w:szCs w:val="30"/>
        </w:rPr>
        <w:t>招  标 单 位：</w:t>
      </w:r>
      <w:r>
        <w:rPr>
          <w:rFonts w:hint="eastAsia" w:ascii="宋体" w:hAnsi="宋体" w:cs="宋体"/>
          <w:sz w:val="30"/>
          <w:szCs w:val="30"/>
          <w:u w:val="single"/>
          <w:lang w:eastAsia="zh-CN"/>
        </w:rPr>
        <w:t>广州市文化广电旅游局</w:t>
      </w:r>
    </w:p>
    <w:p>
      <w:pPr>
        <w:spacing w:line="360" w:lineRule="auto"/>
        <w:ind w:firstLine="900" w:firstLineChars="300"/>
        <w:rPr>
          <w:rFonts w:hint="eastAsia" w:ascii="宋体" w:hAnsi="宋体" w:eastAsia="宋体" w:cs="宋体"/>
          <w:sz w:val="30"/>
          <w:szCs w:val="30"/>
          <w:lang w:eastAsia="zh-CN"/>
        </w:rPr>
      </w:pPr>
      <w:r>
        <w:rPr>
          <w:rFonts w:hint="eastAsia" w:ascii="宋体" w:hAnsi="宋体" w:cs="宋体"/>
          <w:sz w:val="30"/>
          <w:szCs w:val="30"/>
        </w:rPr>
        <w:t>招标代理单位：</w:t>
      </w:r>
      <w:r>
        <w:rPr>
          <w:rFonts w:hint="eastAsia" w:ascii="宋体" w:hAnsi="宋体" w:cs="宋体"/>
          <w:sz w:val="30"/>
          <w:szCs w:val="30"/>
          <w:u w:val="single"/>
          <w:lang w:eastAsia="zh-CN"/>
        </w:rPr>
        <w:t>广州高新工程顾问有限公司</w:t>
      </w:r>
    </w:p>
    <w:p>
      <w:pPr>
        <w:spacing w:line="360" w:lineRule="auto"/>
        <w:ind w:firstLine="900" w:firstLineChars="300"/>
        <w:rPr>
          <w:rFonts w:hint="eastAsia" w:ascii="宋体" w:hAnsi="宋体" w:cs="宋体"/>
          <w:sz w:val="30"/>
          <w:szCs w:val="30"/>
        </w:rPr>
      </w:pPr>
      <w:r>
        <w:rPr>
          <w:rFonts w:hint="eastAsia" w:ascii="宋体" w:hAnsi="宋体" w:cs="宋体"/>
          <w:sz w:val="30"/>
          <w:szCs w:val="30"/>
        </w:rPr>
        <w:t>日        期：2022年</w:t>
      </w:r>
      <w:r>
        <w:rPr>
          <w:rFonts w:hint="eastAsia" w:ascii="宋体" w:hAnsi="宋体" w:cs="宋体"/>
          <w:sz w:val="30"/>
          <w:szCs w:val="30"/>
          <w:lang w:val="en-US" w:eastAsia="zh-CN"/>
        </w:rPr>
        <w:t>11</w:t>
      </w:r>
      <w:r>
        <w:rPr>
          <w:rFonts w:hint="eastAsia" w:ascii="宋体" w:hAnsi="宋体" w:cs="宋体"/>
          <w:sz w:val="30"/>
          <w:szCs w:val="30"/>
        </w:rPr>
        <w:t>月</w:t>
      </w:r>
      <w:r>
        <w:rPr>
          <w:rFonts w:hint="eastAsia" w:ascii="宋体" w:hAnsi="宋体" w:cs="宋体"/>
          <w:sz w:val="30"/>
          <w:szCs w:val="30"/>
          <w:lang w:val="en-US" w:eastAsia="zh-CN"/>
        </w:rPr>
        <w:t>15</w:t>
      </w:r>
      <w:r>
        <w:rPr>
          <w:rFonts w:hint="eastAsia" w:ascii="宋体" w:hAnsi="宋体" w:cs="宋体"/>
          <w:sz w:val="30"/>
          <w:szCs w:val="30"/>
        </w:rPr>
        <w:t>日</w:t>
      </w:r>
    </w:p>
    <w:p>
      <w:pPr>
        <w:spacing w:line="360" w:lineRule="auto"/>
        <w:ind w:firstLine="900" w:firstLineChars="300"/>
        <w:jc w:val="center"/>
        <w:rPr>
          <w:rFonts w:hint="eastAsia" w:ascii="宋体" w:hAnsi="宋体" w:cs="宋体"/>
          <w:b/>
          <w:caps/>
          <w:kern w:val="0"/>
        </w:rPr>
      </w:pPr>
      <w:r>
        <w:rPr>
          <w:rFonts w:hint="eastAsia" w:ascii="宋体" w:hAnsi="宋体" w:cs="宋体"/>
          <w:sz w:val="30"/>
          <w:szCs w:val="30"/>
        </w:rPr>
        <w:br w:type="page"/>
      </w:r>
      <w:r>
        <w:rPr>
          <w:rStyle w:val="46"/>
          <w:rFonts w:hint="eastAsia" w:ascii="宋体" w:hAnsi="宋体" w:cs="宋体"/>
          <w:b/>
          <w:bCs/>
          <w:color w:val="auto"/>
          <w:sz w:val="30"/>
          <w:szCs w:val="30"/>
          <w:u w:val="none"/>
        </w:rPr>
        <w:t>目录</w:t>
      </w:r>
    </w:p>
    <w:p>
      <w:pPr>
        <w:pStyle w:val="29"/>
        <w:tabs>
          <w:tab w:val="right" w:leader="dot" w:pos="9070"/>
          <w:tab w:val="clear" w:pos="9060"/>
        </w:tabs>
      </w:pPr>
      <w:r>
        <w:rPr>
          <w:rFonts w:hint="eastAsia" w:cs="宋体"/>
        </w:rPr>
        <w:fldChar w:fldCharType="begin"/>
      </w:r>
      <w:r>
        <w:rPr>
          <w:rFonts w:hint="eastAsia" w:cs="宋体"/>
        </w:rPr>
        <w:instrText xml:space="preserve"> TOC \o "1-3" \h \z \u </w:instrText>
      </w:r>
      <w:r>
        <w:rPr>
          <w:rFonts w:hint="eastAsia" w:cs="宋体"/>
        </w:rPr>
        <w:fldChar w:fldCharType="separate"/>
      </w:r>
      <w:r>
        <w:fldChar w:fldCharType="begin"/>
      </w:r>
      <w:r>
        <w:instrText xml:space="preserve"> HYPERLINK \l "_Toc29999" </w:instrText>
      </w:r>
      <w:r>
        <w:fldChar w:fldCharType="separate"/>
      </w:r>
      <w:r>
        <w:rPr>
          <w:rFonts w:hint="eastAsia" w:cs="宋体"/>
        </w:rPr>
        <w:t>第一章  投标须知</w:t>
      </w:r>
      <w:r>
        <w:tab/>
      </w:r>
      <w:r>
        <w:fldChar w:fldCharType="begin"/>
      </w:r>
      <w:r>
        <w:instrText xml:space="preserve"> PAGEREF _Toc29999 \h </w:instrText>
      </w:r>
      <w:r>
        <w:fldChar w:fldCharType="separate"/>
      </w:r>
      <w:r>
        <w:t>3</w:t>
      </w:r>
      <w:r>
        <w:fldChar w:fldCharType="end"/>
      </w:r>
      <w:r>
        <w:fldChar w:fldCharType="end"/>
      </w:r>
    </w:p>
    <w:p>
      <w:pPr>
        <w:pStyle w:val="32"/>
        <w:tabs>
          <w:tab w:val="right" w:leader="dot" w:pos="9070"/>
          <w:tab w:val="clear" w:pos="9060"/>
        </w:tabs>
      </w:pPr>
      <w:r>
        <w:fldChar w:fldCharType="begin"/>
      </w:r>
      <w:r>
        <w:instrText xml:space="preserve"> HYPERLINK \l "_Toc3951" </w:instrText>
      </w:r>
      <w:r>
        <w:fldChar w:fldCharType="separate"/>
      </w:r>
      <w:r>
        <w:rPr>
          <w:rFonts w:hint="eastAsia" w:ascii="宋体" w:hAnsi="宋体" w:cs="宋体"/>
        </w:rPr>
        <w:t>一、投标须知前附表</w:t>
      </w:r>
      <w:r>
        <w:tab/>
      </w:r>
      <w:r>
        <w:fldChar w:fldCharType="begin"/>
      </w:r>
      <w:r>
        <w:instrText xml:space="preserve"> PAGEREF _Toc3951 \h </w:instrText>
      </w:r>
      <w:r>
        <w:fldChar w:fldCharType="separate"/>
      </w:r>
      <w:r>
        <w:t>3</w:t>
      </w:r>
      <w:r>
        <w:fldChar w:fldCharType="end"/>
      </w:r>
      <w:r>
        <w:fldChar w:fldCharType="end"/>
      </w:r>
    </w:p>
    <w:p>
      <w:pPr>
        <w:pStyle w:val="32"/>
        <w:tabs>
          <w:tab w:val="right" w:leader="dot" w:pos="9070"/>
          <w:tab w:val="clear" w:pos="9060"/>
        </w:tabs>
      </w:pPr>
      <w:r>
        <w:fldChar w:fldCharType="begin"/>
      </w:r>
      <w:r>
        <w:instrText xml:space="preserve"> HYPERLINK \l "_Toc12984" </w:instrText>
      </w:r>
      <w:r>
        <w:fldChar w:fldCharType="separate"/>
      </w:r>
      <w:r>
        <w:rPr>
          <w:rFonts w:hint="eastAsia" w:ascii="宋体" w:hAnsi="宋体" w:cs="宋体"/>
        </w:rPr>
        <w:t>二、投标须知修改表</w:t>
      </w:r>
      <w:r>
        <w:tab/>
      </w:r>
      <w:r>
        <w:fldChar w:fldCharType="begin"/>
      </w:r>
      <w:r>
        <w:instrText xml:space="preserve"> PAGEREF _Toc12984 \h </w:instrText>
      </w:r>
      <w:r>
        <w:fldChar w:fldCharType="separate"/>
      </w:r>
      <w:r>
        <w:t>8</w:t>
      </w:r>
      <w:r>
        <w:fldChar w:fldCharType="end"/>
      </w:r>
      <w:r>
        <w:fldChar w:fldCharType="end"/>
      </w:r>
    </w:p>
    <w:p>
      <w:pPr>
        <w:pStyle w:val="32"/>
        <w:tabs>
          <w:tab w:val="right" w:leader="dot" w:pos="9070"/>
          <w:tab w:val="clear" w:pos="9060"/>
        </w:tabs>
      </w:pPr>
      <w:r>
        <w:fldChar w:fldCharType="begin"/>
      </w:r>
      <w:r>
        <w:instrText xml:space="preserve"> HYPERLINK \l "_Toc24881" </w:instrText>
      </w:r>
      <w:r>
        <w:fldChar w:fldCharType="separate"/>
      </w:r>
      <w:r>
        <w:rPr>
          <w:rFonts w:hint="eastAsia" w:ascii="宋体" w:hAnsi="宋体" w:cs="宋体"/>
        </w:rPr>
        <w:t>三、投标须知通用条款</w:t>
      </w:r>
      <w:r>
        <w:tab/>
      </w:r>
      <w:r>
        <w:fldChar w:fldCharType="begin"/>
      </w:r>
      <w:r>
        <w:instrText xml:space="preserve"> PAGEREF _Toc24881 \h </w:instrText>
      </w:r>
      <w:r>
        <w:fldChar w:fldCharType="separate"/>
      </w:r>
      <w:r>
        <w:t>21</w:t>
      </w:r>
      <w:r>
        <w:fldChar w:fldCharType="end"/>
      </w:r>
      <w:r>
        <w:fldChar w:fldCharType="end"/>
      </w:r>
    </w:p>
    <w:p>
      <w:pPr>
        <w:pStyle w:val="22"/>
        <w:tabs>
          <w:tab w:val="right" w:leader="dot" w:pos="9070"/>
        </w:tabs>
        <w:ind w:left="840"/>
      </w:pPr>
      <w:r>
        <w:fldChar w:fldCharType="begin"/>
      </w:r>
      <w:r>
        <w:instrText xml:space="preserve"> HYPERLINK \l "_Toc373" </w:instrText>
      </w:r>
      <w:r>
        <w:fldChar w:fldCharType="separate"/>
      </w:r>
      <w:r>
        <w:rPr>
          <w:rFonts w:hint="eastAsia" w:cs="宋体"/>
        </w:rPr>
        <w:t>（一）总则</w:t>
      </w:r>
      <w:r>
        <w:tab/>
      </w:r>
      <w:r>
        <w:fldChar w:fldCharType="begin"/>
      </w:r>
      <w:r>
        <w:instrText xml:space="preserve"> PAGEREF _Toc373 \h </w:instrText>
      </w:r>
      <w:r>
        <w:fldChar w:fldCharType="separate"/>
      </w:r>
      <w:r>
        <w:t>21</w:t>
      </w:r>
      <w:r>
        <w:fldChar w:fldCharType="end"/>
      </w:r>
      <w:r>
        <w:fldChar w:fldCharType="end"/>
      </w:r>
    </w:p>
    <w:p>
      <w:pPr>
        <w:pStyle w:val="22"/>
        <w:tabs>
          <w:tab w:val="right" w:leader="dot" w:pos="9070"/>
        </w:tabs>
        <w:ind w:left="840"/>
      </w:pPr>
      <w:r>
        <w:fldChar w:fldCharType="begin"/>
      </w:r>
      <w:r>
        <w:instrText xml:space="preserve"> HYPERLINK \l "_Toc32651" </w:instrText>
      </w:r>
      <w:r>
        <w:fldChar w:fldCharType="separate"/>
      </w:r>
      <w:r>
        <w:rPr>
          <w:rFonts w:hint="eastAsia" w:cs="宋体"/>
        </w:rPr>
        <w:t>（二）招标文件</w:t>
      </w:r>
      <w:r>
        <w:tab/>
      </w:r>
      <w:r>
        <w:fldChar w:fldCharType="begin"/>
      </w:r>
      <w:r>
        <w:instrText xml:space="preserve"> PAGEREF _Toc32651 \h </w:instrText>
      </w:r>
      <w:r>
        <w:fldChar w:fldCharType="separate"/>
      </w:r>
      <w:r>
        <w:t>33</w:t>
      </w:r>
      <w:r>
        <w:fldChar w:fldCharType="end"/>
      </w:r>
      <w:r>
        <w:fldChar w:fldCharType="end"/>
      </w:r>
    </w:p>
    <w:p>
      <w:pPr>
        <w:pStyle w:val="22"/>
        <w:tabs>
          <w:tab w:val="right" w:leader="dot" w:pos="9070"/>
        </w:tabs>
        <w:ind w:left="840"/>
      </w:pPr>
      <w:r>
        <w:fldChar w:fldCharType="begin"/>
      </w:r>
      <w:r>
        <w:instrText xml:space="preserve"> HYPERLINK \l "_Toc728" </w:instrText>
      </w:r>
      <w:r>
        <w:fldChar w:fldCharType="separate"/>
      </w:r>
      <w:r>
        <w:rPr>
          <w:rFonts w:hint="eastAsia" w:cs="宋体"/>
        </w:rPr>
        <w:t>（三）投标文件的编制</w:t>
      </w:r>
      <w:r>
        <w:tab/>
      </w:r>
      <w:r>
        <w:fldChar w:fldCharType="begin"/>
      </w:r>
      <w:r>
        <w:instrText xml:space="preserve"> PAGEREF _Toc728 \h </w:instrText>
      </w:r>
      <w:r>
        <w:fldChar w:fldCharType="separate"/>
      </w:r>
      <w:r>
        <w:t>33</w:t>
      </w:r>
      <w:r>
        <w:fldChar w:fldCharType="end"/>
      </w:r>
      <w:r>
        <w:fldChar w:fldCharType="end"/>
      </w:r>
    </w:p>
    <w:p>
      <w:pPr>
        <w:pStyle w:val="22"/>
        <w:tabs>
          <w:tab w:val="right" w:leader="dot" w:pos="9070"/>
        </w:tabs>
        <w:ind w:left="840"/>
      </w:pPr>
      <w:r>
        <w:fldChar w:fldCharType="begin"/>
      </w:r>
      <w:r>
        <w:instrText xml:space="preserve"> HYPERLINK \l "_Toc29111" </w:instrText>
      </w:r>
      <w:r>
        <w:fldChar w:fldCharType="separate"/>
      </w:r>
      <w:r>
        <w:rPr>
          <w:rFonts w:hint="eastAsia" w:cs="宋体"/>
        </w:rPr>
        <w:t>（四）投标文件的提交</w:t>
      </w:r>
      <w:r>
        <w:tab/>
      </w:r>
      <w:r>
        <w:fldChar w:fldCharType="begin"/>
      </w:r>
      <w:r>
        <w:instrText xml:space="preserve"> PAGEREF _Toc29111 \h </w:instrText>
      </w:r>
      <w:r>
        <w:fldChar w:fldCharType="separate"/>
      </w:r>
      <w:r>
        <w:t>33</w:t>
      </w:r>
      <w:r>
        <w:fldChar w:fldCharType="end"/>
      </w:r>
      <w:r>
        <w:fldChar w:fldCharType="end"/>
      </w:r>
    </w:p>
    <w:p>
      <w:pPr>
        <w:pStyle w:val="22"/>
        <w:tabs>
          <w:tab w:val="right" w:leader="dot" w:pos="9070"/>
        </w:tabs>
        <w:ind w:left="840"/>
      </w:pPr>
      <w:r>
        <w:fldChar w:fldCharType="begin"/>
      </w:r>
      <w:r>
        <w:instrText xml:space="preserve"> HYPERLINK \l "_Toc9844" </w:instrText>
      </w:r>
      <w:r>
        <w:fldChar w:fldCharType="separate"/>
      </w:r>
      <w:r>
        <w:rPr>
          <w:rFonts w:hint="eastAsia" w:cs="宋体"/>
        </w:rPr>
        <w:t>（五）开标、评标、定标及合同签定</w:t>
      </w:r>
      <w:r>
        <w:tab/>
      </w:r>
      <w:r>
        <w:fldChar w:fldCharType="begin"/>
      </w:r>
      <w:r>
        <w:instrText xml:space="preserve"> PAGEREF _Toc9844 \h </w:instrText>
      </w:r>
      <w:r>
        <w:fldChar w:fldCharType="separate"/>
      </w:r>
      <w:r>
        <w:t>33</w:t>
      </w:r>
      <w:r>
        <w:fldChar w:fldCharType="end"/>
      </w:r>
      <w:r>
        <w:fldChar w:fldCharType="end"/>
      </w:r>
    </w:p>
    <w:p>
      <w:pPr>
        <w:pStyle w:val="29"/>
        <w:tabs>
          <w:tab w:val="right" w:leader="dot" w:pos="9070"/>
          <w:tab w:val="clear" w:pos="9060"/>
        </w:tabs>
      </w:pPr>
      <w:r>
        <w:fldChar w:fldCharType="begin"/>
      </w:r>
      <w:r>
        <w:instrText xml:space="preserve"> HYPERLINK \l "_Toc286" </w:instrText>
      </w:r>
      <w:r>
        <w:fldChar w:fldCharType="separate"/>
      </w:r>
      <w:r>
        <w:rPr>
          <w:rFonts w:hint="eastAsia" w:cs="宋体"/>
        </w:rPr>
        <w:t>第二章  开标、评标及定标办法</w:t>
      </w:r>
      <w:r>
        <w:tab/>
      </w:r>
      <w:r>
        <w:fldChar w:fldCharType="begin"/>
      </w:r>
      <w:r>
        <w:instrText xml:space="preserve"> PAGEREF _Toc286 \h </w:instrText>
      </w:r>
      <w:r>
        <w:fldChar w:fldCharType="separate"/>
      </w:r>
      <w:r>
        <w:t>34</w:t>
      </w:r>
      <w:r>
        <w:fldChar w:fldCharType="end"/>
      </w:r>
      <w:r>
        <w:fldChar w:fldCharType="end"/>
      </w:r>
    </w:p>
    <w:p>
      <w:pPr>
        <w:pStyle w:val="32"/>
        <w:tabs>
          <w:tab w:val="right" w:leader="dot" w:pos="9070"/>
          <w:tab w:val="clear" w:pos="9060"/>
        </w:tabs>
      </w:pPr>
      <w:r>
        <w:fldChar w:fldCharType="begin"/>
      </w:r>
      <w:r>
        <w:instrText xml:space="preserve"> HYPERLINK \l "_Toc20398" </w:instrText>
      </w:r>
      <w:r>
        <w:fldChar w:fldCharType="separate"/>
      </w:r>
      <w:r>
        <w:rPr>
          <w:rFonts w:hint="eastAsia" w:ascii="宋体" w:hAnsi="宋体" w:cs="宋体"/>
          <w:szCs w:val="28"/>
        </w:rPr>
        <w:t>一、</w:t>
      </w:r>
      <w:r>
        <w:rPr>
          <w:rFonts w:hint="eastAsia" w:ascii="宋体" w:hAnsi="宋体" w:cs="宋体"/>
        </w:rPr>
        <w:t>开标、评标及定标办法修改表</w:t>
      </w:r>
      <w:r>
        <w:tab/>
      </w:r>
      <w:r>
        <w:fldChar w:fldCharType="begin"/>
      </w:r>
      <w:r>
        <w:instrText xml:space="preserve"> PAGEREF _Toc20398 \h </w:instrText>
      </w:r>
      <w:r>
        <w:fldChar w:fldCharType="separate"/>
      </w:r>
      <w:r>
        <w:t>34</w:t>
      </w:r>
      <w:r>
        <w:fldChar w:fldCharType="end"/>
      </w:r>
      <w:r>
        <w:fldChar w:fldCharType="end"/>
      </w:r>
    </w:p>
    <w:p>
      <w:pPr>
        <w:pStyle w:val="32"/>
        <w:tabs>
          <w:tab w:val="right" w:leader="dot" w:pos="9070"/>
          <w:tab w:val="clear" w:pos="9060"/>
        </w:tabs>
      </w:pPr>
      <w:r>
        <w:fldChar w:fldCharType="begin"/>
      </w:r>
      <w:r>
        <w:instrText xml:space="preserve"> HYPERLINK \l "_Toc11460" </w:instrText>
      </w:r>
      <w:r>
        <w:fldChar w:fldCharType="separate"/>
      </w:r>
      <w:r>
        <w:rPr>
          <w:rFonts w:hint="eastAsia" w:ascii="宋体" w:hAnsi="宋体" w:cs="宋体"/>
        </w:rPr>
        <w:t>二、开标、评标及定标办法</w:t>
      </w:r>
      <w:r>
        <w:rPr>
          <w:rFonts w:hint="eastAsia" w:ascii="宋体" w:hAnsi="宋体" w:cs="宋体"/>
          <w:szCs w:val="30"/>
        </w:rPr>
        <w:t>通用条款</w:t>
      </w:r>
      <w:r>
        <w:tab/>
      </w:r>
      <w:r>
        <w:fldChar w:fldCharType="begin"/>
      </w:r>
      <w:r>
        <w:instrText xml:space="preserve"> PAGEREF _Toc11460 \h </w:instrText>
      </w:r>
      <w:r>
        <w:fldChar w:fldCharType="separate"/>
      </w:r>
      <w:r>
        <w:t>39</w:t>
      </w:r>
      <w:r>
        <w:fldChar w:fldCharType="end"/>
      </w:r>
      <w:r>
        <w:fldChar w:fldCharType="end"/>
      </w:r>
    </w:p>
    <w:p>
      <w:pPr>
        <w:pStyle w:val="22"/>
        <w:tabs>
          <w:tab w:val="right" w:leader="dot" w:pos="9070"/>
        </w:tabs>
        <w:ind w:left="840"/>
      </w:pPr>
      <w:r>
        <w:fldChar w:fldCharType="begin"/>
      </w:r>
      <w:r>
        <w:instrText xml:space="preserve"> HYPERLINK \l "_Toc19940" </w:instrText>
      </w:r>
      <w:r>
        <w:fldChar w:fldCharType="separate"/>
      </w:r>
      <w:r>
        <w:rPr>
          <w:rFonts w:hint="eastAsia" w:cs="宋体"/>
        </w:rPr>
        <w:t>（一）总则</w:t>
      </w:r>
      <w:r>
        <w:tab/>
      </w:r>
      <w:r>
        <w:fldChar w:fldCharType="begin"/>
      </w:r>
      <w:r>
        <w:instrText xml:space="preserve"> PAGEREF _Toc19940 \h </w:instrText>
      </w:r>
      <w:r>
        <w:fldChar w:fldCharType="separate"/>
      </w:r>
      <w:r>
        <w:t>39</w:t>
      </w:r>
      <w:r>
        <w:fldChar w:fldCharType="end"/>
      </w:r>
      <w:r>
        <w:fldChar w:fldCharType="end"/>
      </w:r>
    </w:p>
    <w:p>
      <w:pPr>
        <w:pStyle w:val="22"/>
        <w:tabs>
          <w:tab w:val="right" w:leader="dot" w:pos="9070"/>
        </w:tabs>
        <w:ind w:left="840"/>
      </w:pPr>
      <w:r>
        <w:fldChar w:fldCharType="begin"/>
      </w:r>
      <w:r>
        <w:instrText xml:space="preserve"> HYPERLINK \l "_Toc18768" </w:instrText>
      </w:r>
      <w:r>
        <w:fldChar w:fldCharType="separate"/>
      </w:r>
      <w:r>
        <w:rPr>
          <w:rFonts w:hint="eastAsia" w:ascii="宋体" w:hAnsi="宋体" w:cs="宋体"/>
          <w:szCs w:val="24"/>
        </w:rPr>
        <w:t>（二）开标评标办法程序和细则</w:t>
      </w:r>
      <w:r>
        <w:tab/>
      </w:r>
      <w:r>
        <w:fldChar w:fldCharType="begin"/>
      </w:r>
      <w:r>
        <w:instrText xml:space="preserve"> PAGEREF _Toc18768 \h </w:instrText>
      </w:r>
      <w:r>
        <w:fldChar w:fldCharType="separate"/>
      </w:r>
      <w:r>
        <w:t>41</w:t>
      </w:r>
      <w:r>
        <w:fldChar w:fldCharType="end"/>
      </w:r>
      <w:r>
        <w:fldChar w:fldCharType="end"/>
      </w:r>
    </w:p>
    <w:p>
      <w:pPr>
        <w:pStyle w:val="22"/>
        <w:tabs>
          <w:tab w:val="right" w:leader="dot" w:pos="9070"/>
        </w:tabs>
        <w:ind w:left="840"/>
      </w:pPr>
      <w:r>
        <w:fldChar w:fldCharType="begin"/>
      </w:r>
      <w:r>
        <w:instrText xml:space="preserve"> HYPERLINK \l "_Toc25301" </w:instrText>
      </w:r>
      <w:r>
        <w:fldChar w:fldCharType="separate"/>
      </w:r>
      <w:r>
        <w:rPr>
          <w:rFonts w:hint="eastAsia" w:ascii="宋体" w:hAnsi="宋体" w:cs="宋体"/>
          <w:szCs w:val="24"/>
        </w:rPr>
        <w:t>可选办法七（适合综合评分法四，技术标与经济标同时开启）</w:t>
      </w:r>
      <w:r>
        <w:tab/>
      </w:r>
      <w:r>
        <w:fldChar w:fldCharType="begin"/>
      </w:r>
      <w:r>
        <w:instrText xml:space="preserve"> PAGEREF _Toc25301 \h </w:instrText>
      </w:r>
      <w:r>
        <w:fldChar w:fldCharType="separate"/>
      </w:r>
      <w:r>
        <w:t>41</w:t>
      </w:r>
      <w:r>
        <w:fldChar w:fldCharType="end"/>
      </w:r>
      <w:r>
        <w:fldChar w:fldCharType="end"/>
      </w:r>
    </w:p>
    <w:p>
      <w:pPr>
        <w:pStyle w:val="29"/>
        <w:tabs>
          <w:tab w:val="right" w:leader="dot" w:pos="9070"/>
          <w:tab w:val="clear" w:pos="9060"/>
        </w:tabs>
      </w:pPr>
      <w:r>
        <w:fldChar w:fldCharType="begin"/>
      </w:r>
      <w:r>
        <w:instrText xml:space="preserve"> HYPERLINK \l "_Toc14934" </w:instrText>
      </w:r>
      <w:r>
        <w:fldChar w:fldCharType="separate"/>
      </w:r>
      <w:r>
        <w:rPr>
          <w:rFonts w:hint="eastAsia" w:cs="宋体"/>
        </w:rPr>
        <w:t>第三章  合同条款</w:t>
      </w:r>
      <w:r>
        <w:tab/>
      </w:r>
      <w:r>
        <w:fldChar w:fldCharType="begin"/>
      </w:r>
      <w:r>
        <w:instrText xml:space="preserve"> PAGEREF _Toc14934 \h </w:instrText>
      </w:r>
      <w:r>
        <w:fldChar w:fldCharType="separate"/>
      </w:r>
      <w:r>
        <w:t>57</w:t>
      </w:r>
      <w:r>
        <w:fldChar w:fldCharType="end"/>
      </w:r>
      <w:r>
        <w:fldChar w:fldCharType="end"/>
      </w:r>
    </w:p>
    <w:p>
      <w:pPr>
        <w:pStyle w:val="29"/>
        <w:tabs>
          <w:tab w:val="right" w:leader="dot" w:pos="9070"/>
          <w:tab w:val="clear" w:pos="9060"/>
        </w:tabs>
      </w:pPr>
      <w:r>
        <w:fldChar w:fldCharType="begin"/>
      </w:r>
      <w:r>
        <w:instrText xml:space="preserve"> HYPERLINK \l "_Toc12630" </w:instrText>
      </w:r>
      <w:r>
        <w:fldChar w:fldCharType="separate"/>
      </w:r>
      <w:r>
        <w:rPr>
          <w:rFonts w:hint="eastAsia" w:cs="宋体"/>
        </w:rPr>
        <w:t>第四章 投标文件格式</w:t>
      </w:r>
      <w:r>
        <w:tab/>
      </w:r>
      <w:r>
        <w:fldChar w:fldCharType="begin"/>
      </w:r>
      <w:r>
        <w:instrText xml:space="preserve"> PAGEREF _Toc12630 \h </w:instrText>
      </w:r>
      <w:r>
        <w:fldChar w:fldCharType="separate"/>
      </w:r>
      <w:r>
        <w:t>58</w:t>
      </w:r>
      <w:r>
        <w:fldChar w:fldCharType="end"/>
      </w:r>
      <w:r>
        <w:fldChar w:fldCharType="end"/>
      </w:r>
    </w:p>
    <w:p>
      <w:pPr>
        <w:pStyle w:val="32"/>
        <w:tabs>
          <w:tab w:val="right" w:leader="dot" w:pos="9070"/>
          <w:tab w:val="clear" w:pos="9060"/>
        </w:tabs>
      </w:pPr>
      <w:r>
        <w:fldChar w:fldCharType="begin"/>
      </w:r>
      <w:r>
        <w:instrText xml:space="preserve"> HYPERLINK \l "_Toc22202" </w:instrText>
      </w:r>
      <w:r>
        <w:fldChar w:fldCharType="separate"/>
      </w:r>
      <w:r>
        <w:rPr>
          <w:rFonts w:hint="eastAsia" w:ascii="宋体" w:hAnsi="宋体" w:cs="宋体"/>
        </w:rPr>
        <w:t>附件六：主要人员简历表</w:t>
      </w:r>
      <w:r>
        <w:tab/>
      </w:r>
      <w:r>
        <w:fldChar w:fldCharType="begin"/>
      </w:r>
      <w:r>
        <w:instrText xml:space="preserve"> PAGEREF _Toc22202 \h </w:instrText>
      </w:r>
      <w:r>
        <w:fldChar w:fldCharType="separate"/>
      </w:r>
      <w:r>
        <w:t>64</w:t>
      </w:r>
      <w:r>
        <w:fldChar w:fldCharType="end"/>
      </w:r>
      <w:r>
        <w:fldChar w:fldCharType="end"/>
      </w:r>
    </w:p>
    <w:p>
      <w:pPr>
        <w:pStyle w:val="32"/>
        <w:tabs>
          <w:tab w:val="right" w:leader="dot" w:pos="9070"/>
          <w:tab w:val="clear" w:pos="9060"/>
        </w:tabs>
      </w:pPr>
      <w:r>
        <w:fldChar w:fldCharType="begin"/>
      </w:r>
      <w:r>
        <w:instrText xml:space="preserve"> HYPERLINK \l "_Toc32404" </w:instrText>
      </w:r>
      <w:r>
        <w:fldChar w:fldCharType="separate"/>
      </w:r>
      <w:r>
        <w:rPr>
          <w:rFonts w:hint="eastAsia" w:ascii="宋体" w:hAnsi="宋体" w:cs="宋体"/>
        </w:rPr>
        <w:t>附件七：主要设备、材料拟选用品牌表</w:t>
      </w:r>
      <w:r>
        <w:tab/>
      </w:r>
      <w:r>
        <w:fldChar w:fldCharType="begin"/>
      </w:r>
      <w:r>
        <w:instrText xml:space="preserve"> PAGEREF _Toc32404 \h </w:instrText>
      </w:r>
      <w:r>
        <w:fldChar w:fldCharType="separate"/>
      </w:r>
      <w:r>
        <w:t>65</w:t>
      </w:r>
      <w:r>
        <w:fldChar w:fldCharType="end"/>
      </w:r>
      <w:r>
        <w:fldChar w:fldCharType="end"/>
      </w:r>
    </w:p>
    <w:p>
      <w:pPr>
        <w:pStyle w:val="29"/>
        <w:tabs>
          <w:tab w:val="right" w:leader="dot" w:pos="9070"/>
          <w:tab w:val="clear" w:pos="9060"/>
        </w:tabs>
      </w:pPr>
      <w:r>
        <w:fldChar w:fldCharType="begin"/>
      </w:r>
      <w:r>
        <w:instrText xml:space="preserve"> HYPERLINK \l "_Toc22889" </w:instrText>
      </w:r>
      <w:r>
        <w:fldChar w:fldCharType="separate"/>
      </w:r>
      <w:r>
        <w:rPr>
          <w:rFonts w:hint="eastAsia" w:cs="宋体"/>
        </w:rPr>
        <w:t xml:space="preserve">第五章  </w:t>
      </w:r>
      <w:r>
        <w:rPr>
          <w:rFonts w:hint="eastAsia" w:cs="宋体"/>
          <w:lang w:eastAsia="zh-CN"/>
        </w:rPr>
        <w:t>用户需求书</w:t>
      </w:r>
      <w:r>
        <w:tab/>
      </w:r>
      <w:r>
        <w:fldChar w:fldCharType="begin"/>
      </w:r>
      <w:r>
        <w:instrText xml:space="preserve"> PAGEREF _Toc22889 \h </w:instrText>
      </w:r>
      <w:r>
        <w:fldChar w:fldCharType="separate"/>
      </w:r>
      <w:r>
        <w:t>72</w:t>
      </w:r>
      <w:r>
        <w:fldChar w:fldCharType="end"/>
      </w:r>
      <w:r>
        <w:fldChar w:fldCharType="end"/>
      </w:r>
    </w:p>
    <w:p>
      <w:pPr>
        <w:pStyle w:val="29"/>
        <w:tabs>
          <w:tab w:val="right" w:leader="dot" w:pos="9070"/>
          <w:tab w:val="clear" w:pos="9060"/>
        </w:tabs>
      </w:pPr>
      <w:r>
        <w:fldChar w:fldCharType="begin"/>
      </w:r>
      <w:r>
        <w:instrText xml:space="preserve"> HYPERLINK \l "_Toc17006" </w:instrText>
      </w:r>
      <w:r>
        <w:fldChar w:fldCharType="separate"/>
      </w:r>
      <w:r>
        <w:rPr>
          <w:rFonts w:hint="eastAsia" w:cs="宋体"/>
        </w:rPr>
        <w:t>第六章  图纸及勘察资料</w:t>
      </w:r>
      <w:r>
        <w:tab/>
      </w:r>
      <w:r>
        <w:fldChar w:fldCharType="begin"/>
      </w:r>
      <w:r>
        <w:instrText xml:space="preserve"> PAGEREF _Toc17006 \h </w:instrText>
      </w:r>
      <w:r>
        <w:fldChar w:fldCharType="separate"/>
      </w:r>
      <w:r>
        <w:t>121</w:t>
      </w:r>
      <w:r>
        <w:fldChar w:fldCharType="end"/>
      </w:r>
      <w:r>
        <w:fldChar w:fldCharType="end"/>
      </w:r>
    </w:p>
    <w:p>
      <w:pPr>
        <w:pStyle w:val="29"/>
        <w:tabs>
          <w:tab w:val="right" w:leader="dot" w:pos="9070"/>
          <w:tab w:val="clear" w:pos="9060"/>
        </w:tabs>
      </w:pPr>
      <w:r>
        <w:fldChar w:fldCharType="begin"/>
      </w:r>
      <w:r>
        <w:instrText xml:space="preserve"> HYPERLINK \l "_Toc2247" </w:instrText>
      </w:r>
      <w:r>
        <w:fldChar w:fldCharType="separate"/>
      </w:r>
      <w:r>
        <w:rPr>
          <w:rFonts w:hint="eastAsia" w:cs="宋体"/>
        </w:rPr>
        <w:t>第七章  工程量清单</w:t>
      </w:r>
      <w:r>
        <w:tab/>
      </w:r>
      <w:r>
        <w:fldChar w:fldCharType="begin"/>
      </w:r>
      <w:r>
        <w:instrText xml:space="preserve"> PAGEREF _Toc2247 \h </w:instrText>
      </w:r>
      <w:r>
        <w:fldChar w:fldCharType="separate"/>
      </w:r>
      <w:r>
        <w:t>122</w:t>
      </w:r>
      <w:r>
        <w:fldChar w:fldCharType="end"/>
      </w:r>
      <w:r>
        <w:fldChar w:fldCharType="end"/>
      </w:r>
    </w:p>
    <w:p>
      <w:pPr>
        <w:pStyle w:val="29"/>
        <w:tabs>
          <w:tab w:val="right" w:leader="dot" w:pos="9070"/>
          <w:tab w:val="clear" w:pos="9060"/>
        </w:tabs>
      </w:pPr>
      <w:r>
        <w:fldChar w:fldCharType="begin"/>
      </w:r>
      <w:r>
        <w:instrText xml:space="preserve"> HYPERLINK \l "_Toc10163" </w:instrText>
      </w:r>
      <w:r>
        <w:fldChar w:fldCharType="separate"/>
      </w:r>
      <w:r>
        <w:rPr>
          <w:rFonts w:hint="eastAsia" w:cs="宋体"/>
        </w:rPr>
        <w:t>第八章  最高投标限价</w:t>
      </w:r>
      <w:r>
        <w:tab/>
      </w:r>
      <w:r>
        <w:fldChar w:fldCharType="begin"/>
      </w:r>
      <w:r>
        <w:instrText xml:space="preserve"> PAGEREF _Toc10163 \h </w:instrText>
      </w:r>
      <w:r>
        <w:fldChar w:fldCharType="separate"/>
      </w:r>
      <w:r>
        <w:t>123</w:t>
      </w:r>
      <w:r>
        <w:fldChar w:fldCharType="end"/>
      </w:r>
      <w:r>
        <w:fldChar w:fldCharType="end"/>
      </w:r>
    </w:p>
    <w:p>
      <w:pPr>
        <w:pStyle w:val="4"/>
        <w:rPr>
          <w:rFonts w:hint="eastAsia" w:ascii="宋体" w:hAnsi="宋体" w:cs="宋体"/>
        </w:rPr>
      </w:pPr>
      <w:r>
        <w:rPr>
          <w:rFonts w:hint="eastAsia" w:ascii="宋体" w:hAnsi="宋体" w:cs="宋体"/>
        </w:rPr>
        <w:fldChar w:fldCharType="end"/>
      </w:r>
    </w:p>
    <w:p>
      <w:pPr>
        <w:pStyle w:val="4"/>
        <w:rPr>
          <w:rFonts w:hint="eastAsia" w:ascii="宋体" w:hAnsi="宋体" w:cs="宋体"/>
        </w:rPr>
      </w:pPr>
    </w:p>
    <w:p>
      <w:pPr>
        <w:pStyle w:val="4"/>
        <w:rPr>
          <w:rFonts w:hint="eastAsia" w:ascii="宋体" w:hAnsi="宋体" w:cs="宋体"/>
        </w:rPr>
      </w:pPr>
    </w:p>
    <w:p>
      <w:pPr>
        <w:pStyle w:val="4"/>
        <w:rPr>
          <w:rFonts w:hint="eastAsia" w:ascii="宋体" w:hAnsi="宋体" w:cs="宋体"/>
        </w:rPr>
      </w:pPr>
      <w:r>
        <w:rPr>
          <w:rFonts w:hint="eastAsia" w:ascii="宋体" w:hAnsi="宋体" w:cs="宋体"/>
        </w:rPr>
        <w:br w:type="page"/>
      </w:r>
      <w:bookmarkStart w:id="0" w:name="_Toc29999"/>
      <w:r>
        <w:rPr>
          <w:rFonts w:hint="eastAsia" w:ascii="宋体" w:hAnsi="宋体" w:cs="宋体"/>
        </w:rPr>
        <w:t>第一章  投标须知</w:t>
      </w:r>
      <w:bookmarkEnd w:id="0"/>
    </w:p>
    <w:p>
      <w:pPr>
        <w:pStyle w:val="8"/>
        <w:rPr>
          <w:rFonts w:hint="eastAsia" w:ascii="宋体" w:hAnsi="宋体" w:cs="宋体"/>
          <w:color w:val="auto"/>
        </w:rPr>
      </w:pPr>
      <w:bookmarkStart w:id="1" w:name="_Toc3951"/>
      <w:r>
        <w:rPr>
          <w:rFonts w:hint="eastAsia" w:ascii="宋体" w:hAnsi="宋体" w:cs="宋体"/>
          <w:color w:val="auto"/>
        </w:rPr>
        <w:t>一、投标须知前附表</w:t>
      </w:r>
      <w:bookmarkEnd w:id="1"/>
    </w:p>
    <w:p>
      <w:pPr>
        <w:pStyle w:val="12"/>
        <w:spacing w:line="360" w:lineRule="auto"/>
        <w:ind w:firstLine="0"/>
        <w:rPr>
          <w:rFonts w:hint="eastAsia" w:ascii="宋体" w:hAnsi="宋体" w:cs="宋体"/>
          <w:b/>
          <w:sz w:val="24"/>
          <w:szCs w:val="24"/>
        </w:rPr>
      </w:pPr>
      <w:r>
        <w:rPr>
          <w:rFonts w:hint="eastAsia" w:ascii="宋体" w:hAnsi="宋体" w:cs="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87"/>
        <w:gridCol w:w="1713"/>
        <w:gridCol w:w="60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项目</w:t>
            </w:r>
          </w:p>
        </w:tc>
        <w:tc>
          <w:tcPr>
            <w:tcW w:w="887" w:type="dxa"/>
            <w:tcBorders>
              <w:top w:val="doub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条款号</w:t>
            </w:r>
          </w:p>
        </w:tc>
        <w:tc>
          <w:tcPr>
            <w:tcW w:w="1713" w:type="dxa"/>
            <w:tcBorders>
              <w:top w:val="double" w:color="auto" w:sz="4" w:space="0"/>
              <w:left w:val="single" w:color="auto" w:sz="4" w:space="0"/>
              <w:bottom w:val="single" w:color="auto" w:sz="4" w:space="0"/>
              <w:right w:val="single" w:color="auto" w:sz="4" w:space="0"/>
            </w:tcBorders>
            <w:vAlign w:val="center"/>
          </w:tcPr>
          <w:p>
            <w:pPr>
              <w:ind w:firstLine="458"/>
              <w:rPr>
                <w:rFonts w:hint="eastAsia" w:ascii="宋体" w:hAnsi="宋体" w:cs="宋体"/>
                <w:szCs w:val="21"/>
              </w:rPr>
            </w:pPr>
            <w:r>
              <w:rPr>
                <w:rFonts w:hint="eastAsia" w:ascii="宋体" w:hAnsi="宋体" w:cs="宋体"/>
                <w:szCs w:val="21"/>
              </w:rPr>
              <w:t>内容</w:t>
            </w:r>
          </w:p>
        </w:tc>
        <w:tc>
          <w:tcPr>
            <w:tcW w:w="6048" w:type="dxa"/>
            <w:tcBorders>
              <w:top w:val="double" w:color="auto" w:sz="4" w:space="0"/>
              <w:left w:val="single" w:color="auto" w:sz="4" w:space="0"/>
              <w:bottom w:val="single" w:color="auto" w:sz="4" w:space="0"/>
              <w:right w:val="double" w:color="auto" w:sz="4" w:space="0"/>
            </w:tcBorders>
            <w:vAlign w:val="center"/>
          </w:tcPr>
          <w:p>
            <w:pPr>
              <w:pStyle w:val="23"/>
              <w:ind w:firstLine="458"/>
              <w:jc w:val="center"/>
              <w:rPr>
                <w:rFonts w:hint="eastAsia" w:ascii="宋体" w:hAnsi="宋体" w:cs="宋体"/>
                <w:kern w:val="2"/>
                <w:sz w:val="21"/>
                <w:szCs w:val="21"/>
              </w:rPr>
            </w:pPr>
            <w:r>
              <w:rPr>
                <w:rFonts w:hint="eastAsia" w:ascii="宋体" w:hAnsi="宋体" w:cs="宋体"/>
                <w:kern w:val="2"/>
                <w:sz w:val="21"/>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1</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定义</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lang w:eastAsia="zh-CN"/>
              </w:rPr>
            </w:pPr>
            <w:r>
              <w:rPr>
                <w:rFonts w:hint="eastAsia" w:ascii="宋体" w:hAnsi="宋体" w:cs="宋体"/>
                <w:szCs w:val="21"/>
              </w:rPr>
              <w:t>招标人（即发包人）：</w:t>
            </w:r>
            <w:r>
              <w:rPr>
                <w:rFonts w:hint="eastAsia" w:ascii="宋体" w:hAnsi="宋体" w:cs="宋体"/>
                <w:szCs w:val="21"/>
                <w:u w:val="single"/>
                <w:lang w:eastAsia="zh-CN"/>
              </w:rPr>
              <w:t>广州市文化广电旅游局</w:t>
            </w:r>
          </w:p>
          <w:p>
            <w:pPr>
              <w:rPr>
                <w:rFonts w:hint="eastAsia" w:ascii="宋体" w:hAnsi="宋体" w:eastAsia="宋体" w:cs="宋体"/>
                <w:szCs w:val="21"/>
                <w:lang w:eastAsia="zh-CN"/>
              </w:rPr>
            </w:pPr>
            <w:r>
              <w:rPr>
                <w:rFonts w:hint="eastAsia" w:ascii="宋体" w:hAnsi="宋体" w:cs="宋体"/>
                <w:szCs w:val="21"/>
              </w:rPr>
              <w:t>招标代理：</w:t>
            </w:r>
            <w:r>
              <w:rPr>
                <w:rFonts w:hint="eastAsia" w:ascii="宋体" w:hAnsi="宋体" w:cs="宋体"/>
                <w:szCs w:val="21"/>
                <w:u w:val="single"/>
                <w:lang w:eastAsia="zh-CN"/>
              </w:rPr>
              <w:t>广州高新工程顾问有限公司</w:t>
            </w:r>
          </w:p>
          <w:p>
            <w:pPr>
              <w:rPr>
                <w:rFonts w:hint="default" w:ascii="宋体" w:hAnsi="宋体" w:eastAsia="宋体" w:cs="宋体"/>
                <w:szCs w:val="21"/>
                <w:highlight w:val="none"/>
                <w:lang w:val="en-US" w:eastAsia="zh-CN"/>
              </w:rPr>
            </w:pPr>
            <w:r>
              <w:rPr>
                <w:rFonts w:hint="eastAsia" w:ascii="宋体" w:hAnsi="宋体" w:cs="宋体"/>
                <w:szCs w:val="21"/>
                <w:highlight w:val="none"/>
              </w:rPr>
              <w:t>设计单位：</w:t>
            </w:r>
            <w:r>
              <w:rPr>
                <w:rFonts w:hint="eastAsia" w:ascii="宋体" w:hAnsi="宋体" w:cs="宋体"/>
                <w:szCs w:val="21"/>
                <w:highlight w:val="none"/>
                <w:u w:val="single"/>
                <w:lang w:val="en-US" w:eastAsia="zh-CN"/>
              </w:rPr>
              <w:t xml:space="preserve"> 广州市科城建筑设计有限公司 </w:t>
            </w:r>
          </w:p>
          <w:p>
            <w:pPr>
              <w:rPr>
                <w:rFonts w:ascii="宋体" w:hAnsi="宋体" w:cs="宋体"/>
                <w:szCs w:val="21"/>
              </w:rPr>
            </w:pPr>
            <w:r>
              <w:rPr>
                <w:rFonts w:hint="eastAsia" w:ascii="宋体" w:hAnsi="宋体" w:cs="宋体"/>
                <w:szCs w:val="21"/>
              </w:rPr>
              <w:t>监理单位：</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检测机构：</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工程名称</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u w:val="single"/>
              </w:rPr>
            </w:pPr>
            <w:r>
              <w:rPr>
                <w:rFonts w:hint="eastAsia" w:ascii="宋体" w:hAnsi="宋体" w:cs="宋体"/>
                <w:szCs w:val="21"/>
                <w:u w:val="single"/>
                <w:lang w:eastAsia="zh-CN"/>
              </w:rPr>
              <w:t>广州杂技团艺术综合楼装修工程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3</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建设地点</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u w:val="single"/>
              </w:rPr>
            </w:pPr>
            <w:r>
              <w:rPr>
                <w:rFonts w:hint="eastAsia" w:ascii="宋体" w:hAnsi="宋体" w:cs="宋体"/>
                <w:szCs w:val="21"/>
                <w:u w:val="single"/>
                <w:lang w:eastAsia="zh-CN"/>
              </w:rPr>
              <w:t>广州市天河区沙河顶新一街14号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4</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建设规模</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u w:val="single"/>
              </w:rPr>
            </w:pPr>
            <w:r>
              <w:rPr>
                <w:rFonts w:hint="eastAsia" w:ascii="宋体" w:hAnsi="宋体" w:cs="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5</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承包方式</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szCs w:val="21"/>
                <w:u w:val="single"/>
                <w:lang w:eastAsia="zh-CN"/>
              </w:rPr>
              <w:t>综合单价包干，工程量按实结算。根据所提供的采购文件、工程量清单、图纸等有关资料，结合工程现场实际情况、工程性质、工程特点等要求，包工、包料、包工期、包质量、包安全、包调试、包安装、包文明施工</w:t>
            </w:r>
            <w:r>
              <w:rPr>
                <w:rFonts w:hint="eastAsia" w:ascii="宋体" w:hAnsi="宋体" w:cs="宋体"/>
                <w:szCs w:val="21"/>
                <w:u w:val="single"/>
                <w:lang w:val="en-US" w:eastAsia="zh-CN"/>
              </w:rPr>
              <w:t>,</w:t>
            </w:r>
            <w:r>
              <w:rPr>
                <w:rFonts w:hint="eastAsia" w:ascii="宋体" w:hAnsi="宋体" w:cs="宋体"/>
                <w:szCs w:val="21"/>
                <w:u w:val="single"/>
                <w:lang w:eastAsia="zh-CN"/>
              </w:rPr>
              <w:t>达到规范验收要求。按投标报价的综合单价不变，并在中标总价范围内清单已有项目工程量按实结算</w:t>
            </w:r>
            <w:r>
              <w:rPr>
                <w:rFonts w:hint="eastAsia" w:ascii="宋体" w:hAnsi="宋体" w:cs="宋体"/>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6</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质量标准</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u w:val="single"/>
              </w:rPr>
            </w:pPr>
            <w:r>
              <w:rPr>
                <w:rFonts w:hint="eastAsia" w:ascii="宋体" w:hAnsi="宋体" w:cs="宋体"/>
                <w:szCs w:val="21"/>
                <w:u w:val="single"/>
              </w:rPr>
              <w:t>必须符合国家和行业现行质量验收标准（GB50300-2013建筑工程施工质量验收统一标准）和《工程施工质量验收规范》，达到合格工程质量标准。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7</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招标范围</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u w:val="single"/>
              </w:rPr>
            </w:pPr>
            <w:r>
              <w:rPr>
                <w:rFonts w:hint="eastAsia" w:ascii="宋体" w:hAnsi="宋体" w:cs="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9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8</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工期要求</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szCs w:val="21"/>
              </w:rPr>
              <w:t>工期由监理发出开工令之日起计算，至验收合格之日止，总工期</w:t>
            </w:r>
            <w:r>
              <w:rPr>
                <w:rFonts w:hint="eastAsia" w:ascii="宋体" w:hAnsi="宋体" w:cs="宋体"/>
                <w:szCs w:val="21"/>
                <w:lang w:val="en-US" w:eastAsia="zh-CN"/>
              </w:rPr>
              <w:t>13</w:t>
            </w:r>
            <w:r>
              <w:rPr>
                <w:rFonts w:hint="eastAsia" w:ascii="宋体" w:hAnsi="宋体" w:cs="宋体"/>
                <w:szCs w:val="21"/>
              </w:rPr>
              <w:t xml:space="preserve">0日历天。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9</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3.1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资金来源</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u w:val="single"/>
              </w:rPr>
            </w:pPr>
            <w:r>
              <w:rPr>
                <w:rFonts w:hint="eastAsia" w:ascii="宋体" w:hAnsi="宋体" w:cs="宋体"/>
                <w:szCs w:val="21"/>
                <w:u w:val="single"/>
                <w:lang w:eastAsia="zh-CN"/>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10</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4.1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投标人资质等级及项目负责人等级要求</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11</w:t>
            </w:r>
          </w:p>
        </w:tc>
        <w:tc>
          <w:tcPr>
            <w:tcW w:w="887"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资格审查方式</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12</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13.1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报价以及单价和总价计算方式</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szCs w:val="21"/>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13</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15.1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投标有效期</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u w:val="single"/>
              </w:rPr>
            </w:pPr>
            <w:r>
              <w:rPr>
                <w:rFonts w:hint="eastAsia" w:ascii="宋体" w:hAnsi="宋体" w:cs="宋体"/>
                <w:szCs w:val="21"/>
                <w:u w:val="single"/>
              </w:rPr>
              <w:t xml:space="preserve"> 90 </w:t>
            </w:r>
            <w:r>
              <w:rPr>
                <w:rFonts w:hint="eastAsia" w:ascii="宋体" w:hAnsi="宋体" w:cs="宋体"/>
                <w:szCs w:val="21"/>
              </w:rPr>
              <w:t>日历天。（从投标截止之日计起）</w:t>
            </w:r>
            <w:r>
              <w:rPr>
                <w:rFonts w:hint="eastAsia" w:ascii="宋体" w:hAnsi="宋体" w:cs="宋体"/>
                <w:szCs w:val="21"/>
                <w:u w:val="single"/>
              </w:rPr>
              <w:t>如出现异议或投诉超过90日历天的，则投标有效期自动延长至异议或投诉处理结束。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14</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16.1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投标保证金</w:t>
            </w:r>
          </w:p>
        </w:tc>
        <w:tc>
          <w:tcPr>
            <w:tcW w:w="6048" w:type="dxa"/>
            <w:tcBorders>
              <w:top w:val="single" w:color="auto" w:sz="4" w:space="0"/>
              <w:left w:val="single" w:color="auto" w:sz="4" w:space="0"/>
              <w:bottom w:val="single" w:color="auto" w:sz="4" w:space="0"/>
              <w:right w:val="double" w:color="auto" w:sz="4" w:space="0"/>
            </w:tcBorders>
            <w:vAlign w:val="center"/>
          </w:tcPr>
          <w:p>
            <w:r>
              <w:rPr>
                <w:rFonts w:hint="eastAsia"/>
              </w:rPr>
              <w:t>10万元人民币，缴纳时间在递交投标文件截止时间之前。</w:t>
            </w:r>
          </w:p>
          <w:p>
            <w:pPr>
              <w:pStyle w:val="19"/>
              <w:topLinePunct/>
              <w:spacing w:after="0"/>
              <w:rPr>
                <w:rFonts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u w:val="single"/>
                <w14:textFill>
                  <w14:solidFill>
                    <w14:schemeClr w14:val="tx1"/>
                  </w14:solidFill>
                </w14:textFill>
              </w:rPr>
              <w:t>投标保证金可采用现金、支票、投标保函、投标保证保险的形式，须在递交投标文件截止时间前完成缴纳。</w:t>
            </w:r>
          </w:p>
          <w:p>
            <w:pPr>
              <w:pStyle w:val="19"/>
              <w:topLinePunct/>
              <w:spacing w:after="0"/>
              <w:rPr>
                <w:rFonts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u w:val="single"/>
                <w14:textFill>
                  <w14:solidFill>
                    <w14:schemeClr w14:val="tx1"/>
                  </w14:solidFill>
                </w14:textFill>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pStyle w:val="19"/>
              <w:topLinePunct/>
              <w:spacing w:after="0"/>
              <w:ind w:firstLine="420" w:firstLineChars="200"/>
              <w:rPr>
                <w:rFonts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u w:val="single"/>
                <w14:textFill>
                  <w14:solidFill>
                    <w14:schemeClr w14:val="tx1"/>
                  </w14:solidFill>
                </w14:textFill>
              </w:rPr>
              <w:t>收款单位：广州交易集团有限公司</w:t>
            </w:r>
          </w:p>
          <w:p>
            <w:pPr>
              <w:pStyle w:val="19"/>
              <w:topLinePunct/>
              <w:spacing w:after="0"/>
              <w:ind w:firstLine="420" w:firstLineChars="200"/>
              <w:rPr>
                <w:rFonts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u w:val="single"/>
                <w14:textFill>
                  <w14:solidFill>
                    <w14:schemeClr w14:val="tx1"/>
                  </w14:solidFill>
                </w14:textFill>
              </w:rPr>
              <w:t>开户银行：中国建设银行广州天润路支行</w:t>
            </w:r>
          </w:p>
          <w:p>
            <w:pPr>
              <w:pStyle w:val="19"/>
              <w:topLinePunct/>
              <w:spacing w:after="0"/>
              <w:ind w:firstLine="420" w:firstLineChars="200"/>
              <w:rPr>
                <w:rFonts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u w:val="single"/>
                <w14:textFill>
                  <w14:solidFill>
                    <w14:schemeClr w14:val="tx1"/>
                  </w14:solidFill>
                </w14:textFill>
              </w:rPr>
              <w:t>银行账号：44001583404059333333</w:t>
            </w:r>
          </w:p>
          <w:p>
            <w:pPr>
              <w:pStyle w:val="19"/>
              <w:numPr>
                <w:ilvl w:val="0"/>
                <w:numId w:val="3"/>
              </w:numPr>
              <w:topLinePunct/>
              <w:spacing w:after="0"/>
              <w:rPr>
                <w:rFonts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u w:val="single"/>
                <w14:textFill>
                  <w14:solidFill>
                    <w14:schemeClr w14:val="tx1"/>
                  </w14:solidFill>
                </w14:textFill>
              </w:rPr>
              <w:t>如采用投标保函或投标保证保险的形式提交的，在开标前不得强制要求投标人提交纸质原件，由中标候选人在中标候选人公示前提交并在网上公示，但投标人应在投标文件中提交投标保函或投标保证保险扫描件并加盖投标人电子印章。</w:t>
            </w:r>
          </w:p>
          <w:p>
            <w:pPr>
              <w:pStyle w:val="2"/>
              <w:rPr>
                <w:rFonts w:hint="eastAsia"/>
              </w:rPr>
            </w:pPr>
            <w:r>
              <w:rPr>
                <w:rFonts w:hint="eastAsia" w:ascii="宋体" w:hAnsi="宋体" w:cs="宋体"/>
                <w:color w:val="000000" w:themeColor="text1"/>
                <w:spacing w:val="-2"/>
                <w:szCs w:val="21"/>
                <w:u w:val="single"/>
                <w14:textFill>
                  <w14:solidFill>
                    <w14:schemeClr w14:val="tx1"/>
                  </w14:solidFill>
                </w14:textFill>
              </w:rPr>
              <w:t>如采用非现金电子化形式递交投标保证金，按广州公共资源交易中心发布的《广州公共资源交易中心关于开通电子保函服务功能的通知》操作。详见：http://ggzy.gz.gov.cn/zxgg/822128.jhtml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ind w:firstLine="210" w:firstLineChars="100"/>
              <w:rPr>
                <w:rFonts w:hint="eastAsia" w:ascii="宋体" w:hAnsi="宋体" w:cs="宋体"/>
                <w:szCs w:val="21"/>
              </w:rPr>
            </w:pPr>
            <w:r>
              <w:rPr>
                <w:rFonts w:hint="eastAsia" w:ascii="宋体" w:hAnsi="宋体" w:cs="宋体"/>
                <w:szCs w:val="21"/>
              </w:rPr>
              <w:t>15</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5</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踏勘现场</w:t>
            </w:r>
          </w:p>
        </w:tc>
        <w:tc>
          <w:tcPr>
            <w:tcW w:w="6048" w:type="dxa"/>
            <w:tcBorders>
              <w:top w:val="single" w:color="auto" w:sz="4" w:space="0"/>
              <w:left w:val="single" w:color="auto" w:sz="4" w:space="0"/>
              <w:bottom w:val="single" w:color="auto" w:sz="4" w:space="0"/>
              <w:right w:val="double" w:color="auto" w:sz="4" w:space="0"/>
            </w:tcBorders>
            <w:vAlign w:val="center"/>
          </w:tcPr>
          <w:p>
            <w:pPr>
              <w:pStyle w:val="23"/>
              <w:rPr>
                <w:rFonts w:hint="eastAsia" w:ascii="宋体" w:hAnsi="宋体" w:cs="宋体"/>
                <w:kern w:val="2"/>
                <w:sz w:val="21"/>
                <w:szCs w:val="21"/>
              </w:rPr>
            </w:pPr>
            <w:r>
              <w:rPr>
                <w:rFonts w:hint="eastAsia" w:ascii="宋体" w:hAnsi="宋体" w:cs="宋体"/>
                <w:kern w:val="2"/>
                <w:sz w:val="21"/>
                <w:szCs w:val="21"/>
                <w:u w:val="single"/>
              </w:rPr>
              <w:t>招标人不集中组织，由投标人自行踏勘</w:t>
            </w:r>
            <w:r>
              <w:rPr>
                <w:rFonts w:hint="eastAsia" w:ascii="宋体" w:hAnsi="宋体" w:cs="宋体"/>
                <w:kern w:val="2"/>
                <w:sz w:val="21"/>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16</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8</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投标答疑</w:t>
            </w:r>
          </w:p>
        </w:tc>
        <w:tc>
          <w:tcPr>
            <w:tcW w:w="6048" w:type="dxa"/>
            <w:tcBorders>
              <w:top w:val="single" w:color="auto" w:sz="4" w:space="0"/>
              <w:left w:val="single" w:color="auto" w:sz="4" w:space="0"/>
              <w:bottom w:val="single" w:color="auto" w:sz="4" w:space="0"/>
              <w:right w:val="double" w:color="auto" w:sz="4" w:space="0"/>
            </w:tcBorders>
            <w:vAlign w:val="center"/>
          </w:tcPr>
          <w:p>
            <w:pPr>
              <w:ind w:left="-27" w:leftChars="-13" w:right="-59" w:rightChars="-2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疑问提交时间：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2022</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分前；</w:t>
            </w:r>
          </w:p>
          <w:p>
            <w:pPr>
              <w:ind w:left="-27" w:leftChars="-13" w:right="-59" w:rightChars="-28"/>
              <w:rPr>
                <w:rFonts w:ascii="宋体" w:hAnsi="宋体"/>
                <w:color w:val="000000" w:themeColor="text1"/>
                <w:spacing w:val="-2"/>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形式：</w:t>
            </w:r>
            <w:r>
              <w:rPr>
                <w:rFonts w:hint="eastAsia" w:ascii="宋体" w:hAnsi="宋体"/>
                <w:color w:val="000000" w:themeColor="text1"/>
                <w:spacing w:val="-2"/>
                <w:szCs w:val="21"/>
                <w14:textFill>
                  <w14:solidFill>
                    <w14:schemeClr w14:val="tx1"/>
                  </w14:solidFill>
                </w14:textFill>
              </w:rPr>
              <w:t>投标人的疑问通过</w:t>
            </w:r>
            <w:r>
              <w:rPr>
                <w:rFonts w:hint="eastAsia" w:ascii="宋体" w:hAnsi="宋体"/>
                <w:color w:val="000000" w:themeColor="text1"/>
                <w:spacing w:val="-2"/>
                <w:szCs w:val="21"/>
                <w:u w:val="single"/>
                <w14:textFill>
                  <w14:solidFill>
                    <w14:schemeClr w14:val="tx1"/>
                  </w14:solidFill>
                </w14:textFill>
              </w:rPr>
              <w:t>广州公共资源交易中心</w:t>
            </w:r>
            <w:r>
              <w:rPr>
                <w:rFonts w:hint="eastAsia" w:ascii="宋体" w:hAnsi="宋体"/>
                <w:color w:val="000000" w:themeColor="text1"/>
                <w:spacing w:val="-2"/>
                <w:szCs w:val="21"/>
                <w14:textFill>
                  <w14:solidFill>
                    <w14:schemeClr w14:val="tx1"/>
                  </w14:solidFill>
                </w14:textFill>
              </w:rPr>
              <w:t>交易平台提交。</w:t>
            </w:r>
          </w:p>
          <w:p>
            <w:pPr>
              <w:rPr>
                <w:rFonts w:hint="eastAsia" w:ascii="宋体" w:hAnsi="宋体" w:cs="宋体"/>
                <w:szCs w:val="21"/>
              </w:rPr>
            </w:pPr>
            <w:r>
              <w:rPr>
                <w:rFonts w:hint="eastAsia" w:ascii="宋体" w:hAnsi="宋体"/>
                <w:color w:val="000000" w:themeColor="text1"/>
                <w:spacing w:val="-2"/>
                <w:szCs w:val="21"/>
                <w14:textFill>
                  <w14:solidFill>
                    <w14:schemeClr w14:val="tx1"/>
                  </w14:solidFill>
                </w14:textFill>
              </w:rPr>
              <w:t>具体要求：按照交易平台关于全流程电子化项目的相关指南进行操作，详见：</w:t>
            </w:r>
            <w:r>
              <w:rPr>
                <w:rFonts w:hint="eastAsia" w:ascii="宋体" w:hAnsi="宋体"/>
                <w:color w:val="000000" w:themeColor="text1"/>
                <w:spacing w:val="-2"/>
                <w:szCs w:val="21"/>
                <w:u w:val="single"/>
                <w14:textFill>
                  <w14:solidFill>
                    <w14:schemeClr w14:val="tx1"/>
                  </w14:solidFill>
                </w14:textFill>
              </w:rPr>
              <w:t>广州公共资源交易中心网站</w:t>
            </w:r>
            <w:r>
              <w:rPr>
                <w:rFonts w:hint="eastAsia" w:ascii="宋体" w:hAnsi="宋体"/>
                <w:color w:val="000000" w:themeColor="text1"/>
                <w:spacing w:val="-2"/>
                <w:szCs w:val="21"/>
                <w14:textFill>
                  <w14:solidFill>
                    <w14:schemeClr w14:val="tx1"/>
                  </w14:solidFill>
                </w14:textFill>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17</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20.1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投标截止时间</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trike/>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18</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20.1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开标开始时间和地点</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szCs w:val="21"/>
              </w:rPr>
              <w:t>（技术标和经济标同时开标）</w:t>
            </w:r>
          </w:p>
          <w:p>
            <w:pPr>
              <w:rPr>
                <w:rFonts w:hint="eastAsia" w:ascii="宋体" w:hAnsi="宋体" w:cs="宋体"/>
                <w:szCs w:val="21"/>
                <w:u w:val="single"/>
              </w:rPr>
            </w:pPr>
            <w:r>
              <w:rPr>
                <w:rFonts w:hint="eastAsia" w:ascii="宋体" w:hAnsi="宋体" w:cs="宋体"/>
                <w:szCs w:val="21"/>
              </w:rPr>
              <w:t>1、开标开始时间：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分（与投标截止时间为同一时间），地点：</w:t>
            </w:r>
            <w:r>
              <w:rPr>
                <w:rFonts w:hint="eastAsia" w:ascii="宋体" w:hAnsi="宋体" w:cs="宋体"/>
                <w:szCs w:val="21"/>
                <w:u w:val="single"/>
              </w:rPr>
              <w:t>广州公共资源交易中心第  开标室。</w:t>
            </w:r>
          </w:p>
          <w:p>
            <w:pPr>
              <w:rPr>
                <w:rFonts w:hint="eastAsia" w:ascii="宋体" w:hAnsi="宋体" w:cs="宋体"/>
              </w:rPr>
            </w:pPr>
            <w:r>
              <w:rPr>
                <w:rFonts w:hint="eastAsia" w:ascii="宋体" w:hAnsi="宋体" w:cs="宋体"/>
                <w:szCs w:val="21"/>
              </w:rPr>
              <w:t>2、递交投标文件备用光盘时间：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分；递交地点：</w:t>
            </w:r>
            <w:r>
              <w:rPr>
                <w:rFonts w:hint="eastAsia" w:ascii="宋体" w:hAnsi="宋体" w:cs="宋体"/>
                <w:u w:val="single"/>
              </w:rPr>
              <w:t>广州公共资源交易中心第  开标室。</w:t>
            </w:r>
            <w:r>
              <w:rPr>
                <w:rFonts w:hint="eastAsia" w:ascii="宋体" w:hAnsi="宋体" w:cs="宋体"/>
              </w:rPr>
              <w:t>(建议安排在投标文件截止时间前15分钟至投标文件截止时间）</w:t>
            </w:r>
          </w:p>
          <w:p>
            <w:pPr>
              <w:rPr>
                <w:rFonts w:hint="eastAsia" w:ascii="宋体" w:hAnsi="宋体" w:cs="宋体"/>
                <w:szCs w:val="21"/>
              </w:rPr>
            </w:pPr>
            <w:r>
              <w:rPr>
                <w:rFonts w:hint="eastAsia" w:ascii="宋体" w:hAnsi="宋体" w:cs="宋体"/>
                <w:szCs w:val="21"/>
              </w:rPr>
              <w:t>3、</w:t>
            </w:r>
            <w:r>
              <w:rPr>
                <w:rFonts w:hint="eastAsia" w:ascii="宋体" w:hAnsi="宋体" w:cs="宋体"/>
                <w:szCs w:val="21"/>
                <w:u w:val="single"/>
              </w:rPr>
              <w:t>本项目不设置项目负责人签到环节。</w:t>
            </w:r>
          </w:p>
          <w:p>
            <w:pPr>
              <w:rPr>
                <w:rFonts w:hint="eastAsia" w:ascii="宋体" w:hAnsi="宋体" w:cs="宋体"/>
                <w:szCs w:val="21"/>
              </w:rPr>
            </w:pPr>
            <w:r>
              <w:rPr>
                <w:rFonts w:hint="eastAsia" w:ascii="宋体" w:hAnsi="宋体" w:cs="宋体"/>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19</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26</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1"/>
                <w:szCs w:val="21"/>
              </w:rPr>
            </w:pPr>
            <w:r>
              <w:rPr>
                <w:rFonts w:hint="eastAsia" w:ascii="宋体" w:hAnsi="宋体" w:cs="宋体"/>
                <w:sz w:val="21"/>
                <w:szCs w:val="21"/>
              </w:rPr>
              <w:t>开标评标办法</w:t>
            </w:r>
          </w:p>
        </w:tc>
        <w:tc>
          <w:tcPr>
            <w:tcW w:w="6048" w:type="dxa"/>
            <w:tcBorders>
              <w:top w:val="single" w:color="auto" w:sz="4" w:space="0"/>
              <w:left w:val="single" w:color="auto" w:sz="4" w:space="0"/>
              <w:bottom w:val="single" w:color="auto" w:sz="4" w:space="0"/>
              <w:right w:val="double" w:color="auto" w:sz="4" w:space="0"/>
            </w:tcBorders>
            <w:vAlign w:val="center"/>
          </w:tcPr>
          <w:p>
            <w:pPr>
              <w:pStyle w:val="6"/>
              <w:ind w:firstLine="0"/>
              <w:rPr>
                <w:rFonts w:ascii="宋体" w:hAnsi="宋体" w:cs="宋体"/>
                <w:sz w:val="21"/>
                <w:szCs w:val="21"/>
              </w:rPr>
            </w:pPr>
            <w:r>
              <w:rPr>
                <w:rFonts w:hint="eastAsia" w:ascii="宋体" w:hAnsi="宋体" w:cs="宋体"/>
                <w:sz w:val="21"/>
                <w:szCs w:val="21"/>
              </w:rPr>
              <w:t>方式一：选取方法</w:t>
            </w:r>
            <w:r>
              <w:rPr>
                <w:rFonts w:hint="eastAsia" w:ascii="宋体" w:hAnsi="宋体" w:cs="宋体"/>
                <w:sz w:val="21"/>
                <w:szCs w:val="21"/>
                <w:u w:val="single"/>
              </w:rPr>
              <w:t>七（综合评分法四，技术标与经济标同时开启）</w:t>
            </w:r>
            <w:r>
              <w:rPr>
                <w:rFonts w:hint="eastAsia" w:ascii="宋体" w:hAnsi="宋体" w:cs="宋体"/>
                <w:sz w:val="21"/>
                <w:szCs w:val="21"/>
              </w:rPr>
              <w:t>；</w:t>
            </w:r>
          </w:p>
          <w:p>
            <w:pPr>
              <w:pStyle w:val="6"/>
              <w:ind w:firstLine="0"/>
              <w:rPr>
                <w:rFonts w:hint="eastAsia" w:ascii="宋体" w:hAnsi="宋体" w:cs="宋体"/>
                <w:sz w:val="21"/>
                <w:szCs w:val="21"/>
              </w:rPr>
            </w:pPr>
            <w:r>
              <w:rPr>
                <w:rFonts w:hint="eastAsia" w:ascii="宋体" w:hAnsi="宋体" w:cs="宋体"/>
                <w:sz w:val="21"/>
                <w:szCs w:val="21"/>
              </w:rPr>
              <w:t>投标人总得分=技术得分（20分）＋经济得分（100分）×经济得分权重（80%）。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20</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29.1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1"/>
                <w:szCs w:val="21"/>
              </w:rPr>
            </w:pPr>
            <w:r>
              <w:rPr>
                <w:rFonts w:hint="eastAsia" w:ascii="宋体" w:hAnsi="宋体" w:cs="宋体"/>
                <w:sz w:val="21"/>
                <w:szCs w:val="21"/>
              </w:rPr>
              <w:t>履约担保</w:t>
            </w:r>
          </w:p>
        </w:tc>
        <w:tc>
          <w:tcPr>
            <w:tcW w:w="6048" w:type="dxa"/>
            <w:tcBorders>
              <w:top w:val="single" w:color="auto" w:sz="4" w:space="0"/>
              <w:left w:val="single" w:color="auto" w:sz="4" w:space="0"/>
              <w:bottom w:val="single" w:color="auto" w:sz="4" w:space="0"/>
              <w:right w:val="double" w:color="auto" w:sz="4" w:space="0"/>
            </w:tcBorders>
            <w:vAlign w:val="center"/>
          </w:tcPr>
          <w:p>
            <w:pPr>
              <w:pStyle w:val="6"/>
              <w:spacing w:after="0"/>
              <w:ind w:firstLine="0"/>
              <w:rPr>
                <w:rFonts w:hint="eastAsia" w:ascii="宋体" w:hAnsi="宋体" w:cs="宋体"/>
                <w:kern w:val="2"/>
                <w:sz w:val="21"/>
                <w:szCs w:val="21"/>
                <w:u w:val="single"/>
              </w:rPr>
            </w:pPr>
            <w:r>
              <w:rPr>
                <w:rFonts w:hint="eastAsia" w:ascii="宋体" w:hAnsi="宋体" w:cs="宋体"/>
                <w:sz w:val="21"/>
                <w:szCs w:val="21"/>
              </w:rPr>
              <w:t>方式一：</w:t>
            </w:r>
            <w:r>
              <w:rPr>
                <w:rFonts w:hint="eastAsia" w:ascii="宋体" w:hAnsi="宋体" w:cs="宋体"/>
                <w:color w:val="auto"/>
                <w:sz w:val="21"/>
                <w:szCs w:val="21"/>
              </w:rPr>
              <w:t>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8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21</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最高投标限价</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highlight w:val="none"/>
              </w:rPr>
            </w:pPr>
            <w:r>
              <w:rPr>
                <w:rFonts w:hint="eastAsia"/>
                <w:highlight w:val="none"/>
              </w:rPr>
              <w:t>本项目最高投标限价为人民币</w:t>
            </w:r>
            <w:r>
              <w:rPr>
                <w:rFonts w:hint="eastAsia"/>
                <w:highlight w:val="none"/>
                <w:u w:val="single"/>
                <w:lang w:val="en-US" w:eastAsia="zh-CN"/>
              </w:rPr>
              <w:t>7602723.92</w:t>
            </w:r>
            <w:r>
              <w:rPr>
                <w:rFonts w:hint="eastAsia"/>
                <w:highlight w:val="none"/>
              </w:rPr>
              <w:t>元。</w:t>
            </w:r>
          </w:p>
          <w:p>
            <w:pPr>
              <w:pStyle w:val="7"/>
              <w:rPr>
                <w:rFonts w:hint="eastAsia"/>
                <w:highlight w:val="none"/>
              </w:rPr>
            </w:pPr>
            <w:r>
              <w:rPr>
                <w:rFonts w:hint="eastAsia" w:ascii="宋体" w:hAnsi="宋体"/>
                <w:b/>
                <w:bCs/>
                <w:color w:val="auto"/>
                <w:szCs w:val="21"/>
                <w:highlight w:val="none"/>
              </w:rPr>
              <w:t>本项目实行双限价，即：投标人的投标总报价</w:t>
            </w:r>
            <w:r>
              <w:rPr>
                <w:rFonts w:hint="eastAsia" w:ascii="宋体" w:hAnsi="宋体"/>
                <w:b/>
                <w:bCs/>
                <w:color w:val="auto"/>
                <w:szCs w:val="21"/>
                <w:highlight w:val="none"/>
                <w:lang w:eastAsia="zh-CN"/>
              </w:rPr>
              <w:t>不能超过招标人公布的</w:t>
            </w:r>
            <w:r>
              <w:rPr>
                <w:rFonts w:hint="eastAsia" w:ascii="宋体" w:hAnsi="宋体"/>
                <w:b/>
                <w:bCs/>
                <w:color w:val="auto"/>
                <w:szCs w:val="21"/>
                <w:highlight w:val="none"/>
              </w:rPr>
              <w:t>最高投标限价及投标人的投标综合单价不能超过招标人公布的综合单价最高投标限价，具体详见最高投标限价公布函及工程量清单，</w:t>
            </w:r>
            <w:r>
              <w:rPr>
                <w:rFonts w:hint="eastAsia" w:ascii="宋体" w:hAnsi="宋体"/>
                <w:b/>
                <w:bCs/>
                <w:color w:val="auto"/>
                <w:szCs w:val="21"/>
                <w:highlight w:val="none"/>
                <w:u w:val="single"/>
              </w:rPr>
              <w:t>投标人的投标总报价超过招标人公布的最高投标限价或分部分项综合单价超过分部分项综合单价限价的投标文件将被拒绝</w:t>
            </w:r>
            <w:r>
              <w:rPr>
                <w:rFonts w:hint="eastAsia" w:ascii="宋体" w:hAnsi="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22</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非竞争费用</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highlight w:val="none"/>
              </w:rPr>
            </w:pPr>
            <w:r>
              <w:rPr>
                <w:rFonts w:hint="eastAsia" w:ascii="宋体" w:hAnsi="宋体" w:cs="宋体"/>
                <w:szCs w:val="21"/>
                <w:highlight w:val="none"/>
              </w:rPr>
              <w:t>本项目绿色施工安全防护措施费为</w:t>
            </w:r>
            <w:r>
              <w:rPr>
                <w:rFonts w:hint="eastAsia" w:ascii="宋体" w:hAnsi="宋体" w:cs="宋体"/>
                <w:szCs w:val="21"/>
                <w:highlight w:val="none"/>
                <w:u w:val="single"/>
                <w:lang w:val="en-US" w:eastAsia="zh-CN"/>
              </w:rPr>
              <w:t>341989.92</w:t>
            </w:r>
            <w:r>
              <w:rPr>
                <w:rFonts w:hint="eastAsia" w:ascii="宋体" w:hAnsi="宋体" w:cs="宋体"/>
                <w:szCs w:val="21"/>
                <w:highlight w:val="none"/>
              </w:rPr>
              <w:t>元，暂列金额为</w:t>
            </w:r>
            <w:r>
              <w:rPr>
                <w:rFonts w:hint="eastAsia" w:ascii="宋体" w:hAnsi="宋体" w:cs="宋体"/>
                <w:szCs w:val="21"/>
                <w:highlight w:val="none"/>
                <w:u w:val="single"/>
                <w:lang w:val="en-US" w:eastAsia="zh-CN"/>
              </w:rPr>
              <w:t>589542.54</w:t>
            </w:r>
            <w:r>
              <w:rPr>
                <w:rFonts w:hint="eastAsia" w:ascii="宋体" w:hAnsi="宋体" w:cs="宋体"/>
                <w:szCs w:val="21"/>
                <w:highlight w:val="none"/>
              </w:rPr>
              <w:t>元，暂估价为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23</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pStyle w:val="6"/>
              <w:ind w:firstLine="0"/>
              <w:rPr>
                <w:rFonts w:hint="eastAsia" w:ascii="宋体" w:hAnsi="宋体" w:cs="宋体"/>
                <w:kern w:val="2"/>
                <w:sz w:val="21"/>
                <w:szCs w:val="21"/>
              </w:rPr>
            </w:pPr>
            <w:r>
              <w:rPr>
                <w:rFonts w:hint="eastAsia" w:ascii="宋体" w:hAnsi="宋体" w:cs="宋体"/>
                <w:kern w:val="2"/>
                <w:sz w:val="21"/>
                <w:szCs w:val="21"/>
              </w:rPr>
              <w:t>保修期</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szCs w:val="21"/>
              </w:rPr>
              <w:t>按照《建设工程质量管理条例》规定，工程质量保修期：</w:t>
            </w:r>
          </w:p>
          <w:p>
            <w:pPr>
              <w:rPr>
                <w:rFonts w:hint="eastAsia" w:ascii="宋体" w:hAnsi="宋体" w:cs="宋体"/>
                <w:szCs w:val="21"/>
              </w:rPr>
            </w:pPr>
            <w:r>
              <w:rPr>
                <w:rFonts w:hint="eastAsia" w:ascii="宋体" w:hAnsi="宋体" w:cs="宋体"/>
                <w:szCs w:val="21"/>
              </w:rPr>
              <w:t>（1）屋面防水工程、有防水要求的卫生间、房间和外墙面的防渗漏工程为5年；</w:t>
            </w:r>
          </w:p>
          <w:p>
            <w:pPr>
              <w:rPr>
                <w:rFonts w:hint="eastAsia" w:ascii="宋体" w:hAnsi="宋体" w:cs="宋体"/>
                <w:szCs w:val="21"/>
              </w:rPr>
            </w:pPr>
            <w:r>
              <w:rPr>
                <w:rFonts w:hint="eastAsia" w:ascii="宋体" w:hAnsi="宋体" w:cs="宋体"/>
                <w:szCs w:val="21"/>
              </w:rPr>
              <w:t>（2）电气管线工程、给排水管道工程、设备安装工程为2年；</w:t>
            </w:r>
          </w:p>
          <w:p>
            <w:pPr>
              <w:rPr>
                <w:rFonts w:hint="eastAsia" w:ascii="宋体" w:hAnsi="宋体" w:eastAsia="宋体" w:cs="宋体"/>
                <w:szCs w:val="21"/>
                <w:lang w:eastAsia="zh-CN"/>
              </w:rPr>
            </w:pPr>
            <w:r>
              <w:rPr>
                <w:rFonts w:hint="eastAsia" w:ascii="宋体" w:hAnsi="宋体" w:cs="宋体"/>
                <w:szCs w:val="21"/>
              </w:rPr>
              <w:t>（3）装饰装修工程为2年</w:t>
            </w:r>
            <w:r>
              <w:rPr>
                <w:rFonts w:hint="eastAsia" w:ascii="宋体" w:hAnsi="宋体" w:cs="宋体"/>
                <w:szCs w:val="21"/>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24</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计算评标参考价的等分点值</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25</w:t>
            </w:r>
          </w:p>
        </w:tc>
        <w:tc>
          <w:tcPr>
            <w:tcW w:w="887"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进入第二阶段评审的家数</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26</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工程成本警戒价</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color w:val="auto"/>
                <w:szCs w:val="21"/>
                <w:highlight w:val="none"/>
              </w:rPr>
              <w:t>工程成本警戒价为</w:t>
            </w:r>
            <w:r>
              <w:rPr>
                <w:rFonts w:hint="eastAsia" w:ascii="宋体" w:hAnsi="宋体" w:cs="宋体"/>
                <w:color w:val="auto"/>
                <w:szCs w:val="21"/>
                <w:highlight w:val="none"/>
                <w:u w:val="single"/>
                <w:lang w:val="en-US" w:eastAsia="zh-CN"/>
              </w:rPr>
              <w:t>7146560.48</w:t>
            </w:r>
            <w:r>
              <w:rPr>
                <w:rFonts w:hint="eastAsia" w:ascii="宋体" w:hAnsi="宋体" w:cs="宋体"/>
                <w:color w:val="auto"/>
                <w:szCs w:val="21"/>
                <w:highlight w:val="none"/>
              </w:rPr>
              <w:t>元（按最高投标限价的</w:t>
            </w:r>
            <w:r>
              <w:rPr>
                <w:rFonts w:hint="default" w:ascii="宋体" w:hAnsi="宋体" w:cs="宋体"/>
                <w:color w:val="auto"/>
                <w:szCs w:val="21"/>
                <w:highlight w:val="none"/>
                <w:u w:val="single"/>
              </w:rPr>
              <w:t>9</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w:t>
            </w:r>
            <w:r>
              <w:rPr>
                <w:rFonts w:hint="eastAsia" w:ascii="宋体" w:hAnsi="宋体" w:cs="宋体"/>
                <w:color w:val="auto"/>
                <w:szCs w:val="21"/>
              </w:rPr>
              <w:t>。</w:t>
            </w:r>
            <w:r>
              <w:rPr>
                <w:rFonts w:hint="eastAsia" w:ascii="宋体" w:hAnsi="宋体" w:cs="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hint="eastAsia" w:ascii="宋体" w:hAnsi="宋体" w:cs="宋体"/>
                <w:szCs w:val="21"/>
                <w:u w:val="single"/>
              </w:rPr>
            </w:pPr>
            <w:r>
              <w:rPr>
                <w:rFonts w:hint="eastAsia" w:ascii="宋体" w:hAnsi="宋体" w:cs="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27</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第一阶段各分值的权重</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28</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评标委员会人数</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29</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企业综合诚信评价分数</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30</w:t>
            </w:r>
          </w:p>
        </w:tc>
        <w:tc>
          <w:tcPr>
            <w:tcW w:w="887"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第二阶段投标人名次的排序方法（适用于办法一、办法二）</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31</w:t>
            </w:r>
          </w:p>
        </w:tc>
        <w:tc>
          <w:tcPr>
            <w:tcW w:w="887"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经济分相同情况下的排序方法（适用于办法三、办法四）</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32</w:t>
            </w:r>
          </w:p>
        </w:tc>
        <w:tc>
          <w:tcPr>
            <w:tcW w:w="887"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第二阶段投标人名次的排序方法（适用于办法五、办法六）</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33</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13.4、13.5.2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合同价款的调整办法</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u w:val="single"/>
              </w:rPr>
            </w:pPr>
            <w:r>
              <w:rPr>
                <w:rFonts w:hint="eastAsia" w:ascii="宋体" w:hAnsi="宋体" w:cs="宋体"/>
                <w:bCs/>
                <w:szCs w:val="21"/>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34</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kern w:val="0"/>
                <w:szCs w:val="21"/>
                <w:lang w:val="zh-CN"/>
              </w:rPr>
              <w:t>建设工程质量检测管理办法</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kern w:val="0"/>
                <w:szCs w:val="21"/>
              </w:rPr>
            </w:pPr>
            <w:r>
              <w:rPr>
                <w:rFonts w:hint="eastAsia" w:ascii="宋体" w:hAnsi="宋体" w:cs="宋体"/>
                <w:kern w:val="0"/>
                <w:szCs w:val="21"/>
                <w:lang w:val="zh-CN"/>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35</w:t>
            </w:r>
          </w:p>
        </w:tc>
        <w:tc>
          <w:tcPr>
            <w:tcW w:w="8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kern w:val="0"/>
                <w:szCs w:val="21"/>
                <w:lang w:val="zh-CN"/>
              </w:rPr>
            </w:pPr>
            <w:r>
              <w:rPr>
                <w:rFonts w:hint="eastAsia" w:ascii="宋体" w:hAnsi="宋体" w:cs="宋体"/>
                <w:kern w:val="0"/>
                <w:szCs w:val="21"/>
                <w:lang w:val="zh-CN"/>
              </w:rPr>
              <w:t>分包</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kern w:val="0"/>
                <w:szCs w:val="21"/>
                <w:lang w:val="zh-CN"/>
              </w:rPr>
            </w:pPr>
            <w:r>
              <w:rPr>
                <w:rFonts w:hint="eastAsia" w:ascii="宋体" w:hAnsi="宋体" w:cs="宋体"/>
                <w:kern w:val="0"/>
                <w:szCs w:val="21"/>
                <w:lang w:val="zh-CN"/>
              </w:rPr>
              <w:t>■不允许；</w:t>
            </w:r>
          </w:p>
          <w:p>
            <w:pPr>
              <w:rPr>
                <w:rFonts w:hint="eastAsia" w:ascii="宋体" w:hAnsi="宋体" w:cs="宋体"/>
                <w:kern w:val="0"/>
                <w:szCs w:val="21"/>
              </w:rPr>
            </w:pPr>
            <w:r>
              <w:rPr>
                <w:rFonts w:hint="eastAsia" w:ascii="宋体" w:hAnsi="宋体" w:cs="宋体"/>
                <w:kern w:val="0"/>
                <w:szCs w:val="21"/>
                <w:lang w:val="zh-CN"/>
              </w:rPr>
              <w:t>□允许：分包内容要要求：</w:t>
            </w:r>
            <w:r>
              <w:rPr>
                <w:rFonts w:hint="eastAsia" w:ascii="宋体" w:hAnsi="宋体" w:cs="宋体"/>
                <w:kern w:val="0"/>
                <w:szCs w:val="21"/>
              </w:rPr>
              <w:t>/</w:t>
            </w:r>
          </w:p>
          <w:p>
            <w:pPr>
              <w:rPr>
                <w:rFonts w:hint="eastAsia" w:ascii="宋体" w:hAnsi="宋体" w:cs="宋体"/>
                <w:kern w:val="0"/>
                <w:szCs w:val="21"/>
              </w:rPr>
            </w:pPr>
            <w:r>
              <w:rPr>
                <w:rFonts w:hint="eastAsia" w:ascii="宋体" w:hAnsi="宋体" w:cs="宋体"/>
                <w:kern w:val="0"/>
                <w:szCs w:val="21"/>
                <w:lang w:val="zh-CN"/>
              </w:rPr>
              <w:t xml:space="preserve">        分包金额要求：</w:t>
            </w:r>
            <w:r>
              <w:rPr>
                <w:rFonts w:hint="eastAsia" w:ascii="宋体" w:hAnsi="宋体" w:cs="宋体"/>
                <w:kern w:val="0"/>
                <w:szCs w:val="21"/>
              </w:rPr>
              <w:t>/</w:t>
            </w:r>
          </w:p>
          <w:p>
            <w:pPr>
              <w:rPr>
                <w:rFonts w:hint="eastAsia" w:ascii="宋体" w:hAnsi="宋体" w:cs="宋体"/>
                <w:kern w:val="0"/>
                <w:szCs w:val="21"/>
              </w:rPr>
            </w:pPr>
            <w:r>
              <w:rPr>
                <w:rFonts w:hint="eastAsia" w:ascii="宋体" w:hAnsi="宋体" w:cs="宋体"/>
                <w:kern w:val="0"/>
                <w:szCs w:val="21"/>
                <w:lang w:val="zh-CN"/>
              </w:rPr>
              <w:t xml:space="preserve">        对分包人的资质要求：</w:t>
            </w:r>
            <w:r>
              <w:rPr>
                <w:rFonts w:hint="eastAsia" w:ascii="宋体" w:hAnsi="宋体" w:cs="宋体"/>
                <w:kern w:val="0"/>
                <w:szCs w:val="21"/>
              </w:rPr>
              <w:t>/</w:t>
            </w:r>
          </w:p>
          <w:p>
            <w:pPr>
              <w:rPr>
                <w:rFonts w:hint="eastAsia" w:ascii="宋体" w:hAnsi="宋体" w:cs="宋体"/>
                <w:kern w:val="0"/>
                <w:szCs w:val="21"/>
              </w:rPr>
            </w:pPr>
            <w:r>
              <w:rPr>
                <w:rFonts w:hint="eastAsia" w:ascii="宋体" w:hAnsi="宋体" w:cs="宋体"/>
                <w:kern w:val="0"/>
                <w:szCs w:val="21"/>
                <w:lang w:val="zh-CN"/>
              </w:rPr>
              <w:t xml:space="preserve">        对分包人的其他要求：</w:t>
            </w:r>
            <w:r>
              <w:rPr>
                <w:rFonts w:hint="eastAsia" w:ascii="宋体" w:hAnsi="宋体" w:cs="宋体"/>
                <w:kern w:val="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36</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电子招标投标解密失败及突发情况的补救</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szCs w:val="21"/>
              </w:rPr>
            </w:pPr>
            <w:r>
              <w:rPr>
                <w:rFonts w:hint="eastAsia" w:ascii="宋体" w:hAnsi="宋体" w:cs="宋体"/>
                <w:szCs w:val="21"/>
              </w:rPr>
              <w:t>1、按照交易平台关于全流程电子化项目的相关指南进行操作。详见：</w:t>
            </w:r>
            <w:r>
              <w:rPr>
                <w:rFonts w:hint="eastAsia" w:ascii="宋体" w:hAnsi="宋体" w:cs="宋体"/>
                <w:szCs w:val="21"/>
                <w:u w:val="single"/>
              </w:rPr>
              <w:t>【房建市政】【交易系统】【投标人】全流程电子化交易系统操作手册</w:t>
            </w:r>
            <w:r>
              <w:rPr>
                <w:rFonts w:hint="eastAsia" w:ascii="宋体" w:hAnsi="宋体" w:cs="宋体"/>
                <w:szCs w:val="21"/>
              </w:rPr>
              <w:t xml:space="preserve">。  </w:t>
            </w:r>
          </w:p>
          <w:p>
            <w:pPr>
              <w:rPr>
                <w:rFonts w:hint="eastAsia" w:ascii="宋体" w:hAnsi="宋体" w:cs="宋体"/>
                <w:szCs w:val="21"/>
              </w:rPr>
            </w:pPr>
            <w:r>
              <w:rPr>
                <w:rFonts w:hint="eastAsia" w:ascii="宋体" w:hAnsi="宋体" w:cs="宋体"/>
                <w:szCs w:val="21"/>
              </w:rPr>
              <w:t>2、提交投标文件光盘备用</w:t>
            </w:r>
          </w:p>
          <w:p>
            <w:pPr>
              <w:rPr>
                <w:rFonts w:hint="eastAsia" w:ascii="宋体" w:hAnsi="宋体" w:cs="宋体"/>
                <w:szCs w:val="21"/>
              </w:rPr>
            </w:pPr>
            <w:r>
              <w:rPr>
                <w:rFonts w:hint="eastAsia" w:ascii="宋体" w:hAnsi="宋体" w:cs="宋体"/>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hint="eastAsia" w:ascii="宋体" w:hAnsi="宋体" w:cs="宋体"/>
                <w:szCs w:val="21"/>
              </w:rPr>
            </w:pPr>
            <w:r>
              <w:rPr>
                <w:rFonts w:hint="eastAsia" w:ascii="宋体" w:hAnsi="宋体" w:cs="宋体"/>
                <w:szCs w:val="21"/>
              </w:rPr>
              <w:t xml:space="preserve"> 3、补救方案</w:t>
            </w:r>
          </w:p>
          <w:p>
            <w:pPr>
              <w:rPr>
                <w:rFonts w:hint="eastAsia" w:ascii="宋体" w:hAnsi="宋体" w:cs="宋体"/>
                <w:szCs w:val="21"/>
              </w:rPr>
            </w:pPr>
            <w:r>
              <w:rPr>
                <w:rFonts w:hint="eastAsia" w:ascii="宋体" w:hAnsi="宋体" w:cs="宋体"/>
                <w:szCs w:val="21"/>
              </w:rPr>
              <w:t>（1）投标文件解密失败的补救方案：</w:t>
            </w:r>
          </w:p>
          <w:p>
            <w:pPr>
              <w:rPr>
                <w:rFonts w:hint="eastAsia" w:ascii="宋体" w:hAnsi="宋体" w:cs="宋体"/>
                <w:szCs w:val="21"/>
              </w:rPr>
            </w:pPr>
            <w:r>
              <w:rPr>
                <w:rFonts w:hint="eastAsia" w:ascii="宋体" w:hAnsi="宋体" w:cs="宋体"/>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hint="eastAsia" w:ascii="宋体" w:hAnsi="宋体" w:cs="宋体"/>
                <w:szCs w:val="21"/>
              </w:rPr>
            </w:pPr>
            <w:r>
              <w:rPr>
                <w:rFonts w:hint="eastAsia" w:ascii="宋体" w:hAnsi="宋体" w:cs="宋体"/>
                <w:szCs w:val="21"/>
              </w:rPr>
              <w:t>（2）评标时突发情况的补救方案</w:t>
            </w:r>
          </w:p>
          <w:p>
            <w:pPr>
              <w:rPr>
                <w:rFonts w:hint="eastAsia" w:ascii="宋体" w:hAnsi="宋体" w:cs="宋体"/>
                <w:szCs w:val="21"/>
              </w:rPr>
            </w:pPr>
            <w:r>
              <w:rPr>
                <w:rFonts w:hint="eastAsia" w:ascii="宋体" w:hAnsi="宋体" w:cs="宋体"/>
                <w:szCs w:val="21"/>
              </w:rPr>
              <w:t>若遇不可抗力发生（指网络瘫痪、服务器损坏、交易系统故障短期无法恢复等因素），由评标委员会开启投标人递交的全部投标文件光盘，并按光盘内容进行评审。</w:t>
            </w:r>
          </w:p>
          <w:p>
            <w:pPr>
              <w:rPr>
                <w:rFonts w:hint="eastAsia" w:ascii="宋体" w:hAnsi="宋体" w:cs="宋体"/>
                <w:szCs w:val="21"/>
              </w:rPr>
            </w:pPr>
            <w:r>
              <w:rPr>
                <w:rFonts w:hint="eastAsia" w:ascii="宋体" w:hAnsi="宋体" w:cs="宋体"/>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37</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szCs w:val="21"/>
              </w:rPr>
              <w:t>各分值的权重</w:t>
            </w:r>
          </w:p>
        </w:tc>
        <w:tc>
          <w:tcPr>
            <w:tcW w:w="6048"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cs="宋体"/>
                <w:szCs w:val="21"/>
                <w:lang w:val="en-US"/>
              </w:rPr>
            </w:pPr>
            <w:r>
              <w:rPr>
                <w:rFonts w:hint="eastAsia" w:ascii="宋体" w:hAnsi="宋体" w:cs="宋体"/>
                <w:b w:val="0"/>
                <w:bCs w:val="0"/>
                <w:szCs w:val="21"/>
                <w:u w:val="single"/>
              </w:rPr>
              <w:t>投标人总得分=技术得分（20分）＋经济得分（100分）×经济得分权重（80%）</w:t>
            </w:r>
          </w:p>
        </w:tc>
      </w:tr>
    </w:tbl>
    <w:p>
      <w:pPr>
        <w:spacing w:line="480" w:lineRule="auto"/>
        <w:rPr>
          <w:rFonts w:hint="eastAsia" w:ascii="宋体" w:hAnsi="宋体" w:cs="宋体"/>
          <w:sz w:val="24"/>
        </w:rPr>
      </w:pPr>
      <w:r>
        <w:rPr>
          <w:rFonts w:hint="eastAsia" w:ascii="宋体" w:hAnsi="宋体" w:cs="宋体"/>
          <w:sz w:val="24"/>
        </w:rPr>
        <w:t>注：企业</w:t>
      </w:r>
      <w:r>
        <w:rPr>
          <w:rFonts w:hint="eastAsia" w:ascii="宋体" w:hAnsi="宋体" w:cs="宋体"/>
          <w:kern w:val="0"/>
          <w:sz w:val="24"/>
        </w:rPr>
        <w:t>综合诚信评价得分即</w:t>
      </w:r>
      <w:r>
        <w:rPr>
          <w:rFonts w:hint="eastAsia" w:ascii="宋体" w:hAnsi="宋体" w:cs="宋体"/>
          <w:sz w:val="24"/>
        </w:rPr>
        <w:t>企业</w:t>
      </w:r>
      <w:r>
        <w:rPr>
          <w:rFonts w:hint="eastAsia" w:ascii="宋体" w:hAnsi="宋体" w:cs="宋体"/>
          <w:kern w:val="0"/>
          <w:sz w:val="24"/>
        </w:rPr>
        <w:t>综合诚信评价60日诚信分，以下同。</w:t>
      </w:r>
    </w:p>
    <w:p>
      <w:pPr>
        <w:pStyle w:val="8"/>
        <w:rPr>
          <w:rFonts w:hint="eastAsia" w:ascii="宋体" w:hAnsi="宋体" w:cs="宋体"/>
          <w:color w:val="auto"/>
        </w:rPr>
      </w:pPr>
      <w:r>
        <w:rPr>
          <w:rFonts w:hint="eastAsia" w:ascii="宋体" w:hAnsi="宋体" w:cs="宋体"/>
          <w:color w:val="auto"/>
        </w:rPr>
        <w:br w:type="page"/>
      </w:r>
      <w:bookmarkStart w:id="2" w:name="_Toc12984"/>
      <w:r>
        <w:rPr>
          <w:rFonts w:hint="eastAsia" w:ascii="宋体" w:hAnsi="宋体" w:cs="宋体"/>
          <w:color w:val="auto"/>
        </w:rPr>
        <w:t>二、投标须知修改表</w:t>
      </w:r>
      <w:bookmarkEnd w:id="2"/>
    </w:p>
    <w:p>
      <w:pPr>
        <w:pStyle w:val="6"/>
        <w:spacing w:line="360" w:lineRule="auto"/>
        <w:rPr>
          <w:rFonts w:hint="eastAsia" w:ascii="宋体" w:hAnsi="宋体" w:cs="宋体"/>
          <w:b/>
          <w:szCs w:val="21"/>
        </w:rPr>
      </w:pPr>
      <w:r>
        <w:rPr>
          <w:rFonts w:hint="eastAsia" w:ascii="宋体" w:hAnsi="宋体" w:cs="宋体"/>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fldChar w:fldCharType="begin"/>
      </w:r>
      <w:r>
        <w:instrText xml:space="preserve"> HYPERLINK "http://www.gzcc.gov.cn/）下载查阅" </w:instrText>
      </w:r>
      <w:r>
        <w:fldChar w:fldCharType="separate"/>
      </w:r>
      <w:r>
        <w:rPr>
          <w:rFonts w:hint="eastAsia" w:ascii="宋体" w:hAnsi="宋体" w:cs="宋体"/>
          <w:b/>
        </w:rPr>
        <w:t>http://www.gzcc.gov.cn/）下载查阅</w:t>
      </w:r>
      <w:r>
        <w:rPr>
          <w:rFonts w:hint="eastAsia" w:ascii="宋体" w:hAnsi="宋体" w:cs="宋体"/>
          <w:b/>
        </w:rPr>
        <w:fldChar w:fldCharType="end"/>
      </w:r>
      <w:r>
        <w:rPr>
          <w:rFonts w:hint="eastAsia" w:ascii="宋体" w:hAnsi="宋体" w:cs="宋体"/>
          <w:b/>
          <w:szCs w:val="21"/>
        </w:rPr>
        <w:t>。</w:t>
      </w:r>
    </w:p>
    <w:p>
      <w:pPr>
        <w:tabs>
          <w:tab w:val="left" w:pos="5620"/>
        </w:tabs>
        <w:spacing w:line="360" w:lineRule="auto"/>
        <w:ind w:firstLine="540" w:firstLineChars="224"/>
        <w:rPr>
          <w:rFonts w:hint="eastAsia" w:ascii="宋体" w:hAnsi="宋体" w:cs="宋体"/>
          <w:b/>
          <w:sz w:val="24"/>
          <w:szCs w:val="24"/>
        </w:rPr>
      </w:pPr>
      <w:r>
        <w:rPr>
          <w:rFonts w:hint="eastAsia" w:ascii="宋体" w:hAnsi="宋体" w:cs="宋体"/>
          <w:b/>
          <w:sz w:val="24"/>
          <w:szCs w:val="24"/>
        </w:rPr>
        <w:t>条款号：2.5                    修改类型：增加</w:t>
      </w:r>
    </w:p>
    <w:p>
      <w:pPr>
        <w:pBdr>
          <w:bottom w:val="single" w:color="auto" w:sz="6" w:space="1"/>
        </w:pBdr>
        <w:spacing w:line="360" w:lineRule="auto"/>
        <w:ind w:firstLine="472" w:firstLineChars="196"/>
        <w:rPr>
          <w:rFonts w:hint="eastAsia"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2.5</w:t>
      </w:r>
      <w:r>
        <w:rPr>
          <w:rFonts w:hint="eastAsia" w:ascii="宋体" w:hAnsi="宋体" w:cs="宋体"/>
          <w:sz w:val="24"/>
          <w:szCs w:val="24"/>
          <w:u w:val="single"/>
        </w:rPr>
        <w:t>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cs="宋体"/>
          <w:kern w:val="0"/>
          <w:sz w:val="24"/>
          <w:szCs w:val="24"/>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检工作。</w:t>
      </w:r>
    </w:p>
    <w:p>
      <w:pPr>
        <w:tabs>
          <w:tab w:val="left" w:pos="5620"/>
        </w:tabs>
        <w:spacing w:line="360" w:lineRule="auto"/>
        <w:ind w:firstLine="540" w:firstLineChars="224"/>
        <w:rPr>
          <w:rFonts w:hint="eastAsia" w:ascii="宋体" w:hAnsi="宋体" w:cs="宋体"/>
          <w:b/>
          <w:sz w:val="24"/>
          <w:szCs w:val="24"/>
        </w:rPr>
      </w:pPr>
      <w:r>
        <w:rPr>
          <w:rFonts w:hint="eastAsia" w:ascii="宋体" w:hAnsi="宋体" w:cs="宋体"/>
          <w:b/>
          <w:sz w:val="24"/>
          <w:szCs w:val="24"/>
        </w:rPr>
        <w:t>条款号：5.1                     修改类型：修改</w:t>
      </w:r>
    </w:p>
    <w:p>
      <w:pPr>
        <w:tabs>
          <w:tab w:val="left" w:pos="5620"/>
        </w:tabs>
        <w:spacing w:line="360" w:lineRule="auto"/>
        <w:ind w:firstLine="540" w:firstLineChars="224"/>
        <w:rPr>
          <w:rFonts w:hint="eastAsia" w:ascii="宋体" w:hAnsi="宋体" w:cs="宋体"/>
          <w:sz w:val="24"/>
          <w:szCs w:val="24"/>
        </w:rPr>
      </w:pPr>
      <w:r>
        <w:rPr>
          <w:rFonts w:hint="eastAsia" w:ascii="宋体" w:hAnsi="宋体" w:cs="宋体"/>
          <w:b/>
          <w:sz w:val="24"/>
          <w:szCs w:val="24"/>
        </w:rPr>
        <w:t>原文：5</w:t>
      </w:r>
      <w:r>
        <w:rPr>
          <w:rFonts w:hint="eastAsia" w:ascii="宋体" w:hAnsi="宋体" w:cs="宋体"/>
          <w:sz w:val="24"/>
          <w:szCs w:val="24"/>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4" w:space="1"/>
        </w:pBdr>
        <w:spacing w:line="360" w:lineRule="auto"/>
        <w:ind w:firstLine="482" w:firstLineChars="200"/>
        <w:rPr>
          <w:rFonts w:hint="eastAsia" w:ascii="宋体" w:hAnsi="宋体" w:cs="宋体"/>
          <w:sz w:val="24"/>
          <w:szCs w:val="24"/>
          <w:u w:val="single"/>
        </w:rPr>
      </w:pPr>
      <w:r>
        <w:rPr>
          <w:rFonts w:hint="eastAsia" w:ascii="宋体" w:hAnsi="宋体" w:cs="宋体"/>
          <w:b/>
          <w:sz w:val="24"/>
          <w:szCs w:val="24"/>
        </w:rPr>
        <w:t>现文：</w:t>
      </w:r>
      <w:r>
        <w:rPr>
          <w:rFonts w:hint="eastAsia" w:ascii="宋体" w:hAnsi="宋体" w:cs="宋体"/>
          <w:sz w:val="24"/>
          <w:szCs w:val="24"/>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sz w:val="24"/>
          <w:szCs w:val="24"/>
          <w:u w:val="single"/>
        </w:rPr>
        <w:t>投标人不进行踏勘的，视为已孰知现场条件，自行承担相关风险。</w:t>
      </w:r>
      <w:r>
        <w:rPr>
          <w:rFonts w:hint="eastAsia" w:ascii="宋体" w:hAnsi="宋体" w:cs="宋体"/>
          <w:sz w:val="24"/>
          <w:szCs w:val="24"/>
        </w:rPr>
        <w:t>一旦中标，这种考察即被认为其结果已在中标文件中得到充分反映。考察现场的费用由投标人自己承担。</w:t>
      </w:r>
    </w:p>
    <w:p>
      <w:pPr>
        <w:tabs>
          <w:tab w:val="left" w:pos="5620"/>
        </w:tabs>
        <w:spacing w:line="360" w:lineRule="auto"/>
        <w:ind w:firstLine="540" w:firstLineChars="224"/>
        <w:rPr>
          <w:rFonts w:hint="eastAsia" w:ascii="宋体" w:hAnsi="宋体" w:cs="宋体"/>
          <w:b/>
          <w:sz w:val="24"/>
          <w:szCs w:val="24"/>
        </w:rPr>
      </w:pPr>
      <w:r>
        <w:rPr>
          <w:rFonts w:hint="eastAsia" w:ascii="宋体" w:hAnsi="宋体" w:cs="宋体"/>
          <w:b/>
          <w:sz w:val="24"/>
          <w:szCs w:val="24"/>
        </w:rPr>
        <w:t xml:space="preserve">条款号： </w:t>
      </w:r>
      <w:r>
        <w:rPr>
          <w:rFonts w:hint="eastAsia" w:ascii="宋体" w:hAnsi="宋体" w:cs="宋体"/>
          <w:sz w:val="24"/>
          <w:szCs w:val="24"/>
        </w:rPr>
        <w:t>7.1</w:t>
      </w:r>
      <w:r>
        <w:rPr>
          <w:rFonts w:hint="eastAsia" w:ascii="宋体" w:hAnsi="宋体" w:cs="宋体"/>
          <w:b/>
          <w:sz w:val="24"/>
          <w:szCs w:val="24"/>
        </w:rPr>
        <w:t xml:space="preserve">            修改类型：修改</w:t>
      </w:r>
      <w:r>
        <w:rPr>
          <w:rFonts w:hint="eastAsia" w:ascii="宋体" w:hAnsi="宋体" w:cs="宋体"/>
          <w:b/>
          <w:sz w:val="24"/>
          <w:szCs w:val="24"/>
        </w:rPr>
        <w:tab/>
      </w:r>
    </w:p>
    <w:p>
      <w:pPr>
        <w:spacing w:line="360" w:lineRule="auto"/>
        <w:ind w:firstLine="482" w:firstLineChars="200"/>
        <w:rPr>
          <w:rFonts w:hint="eastAsia" w:ascii="宋体" w:hAnsi="宋体" w:cs="宋体"/>
          <w:sz w:val="24"/>
          <w:szCs w:val="24"/>
        </w:rPr>
      </w:pPr>
      <w:r>
        <w:rPr>
          <w:rFonts w:hint="eastAsia" w:ascii="宋体" w:hAnsi="宋体" w:cs="宋体"/>
          <w:b/>
          <w:sz w:val="24"/>
          <w:szCs w:val="24"/>
        </w:rPr>
        <w:t>原文：</w:t>
      </w:r>
      <w:r>
        <w:rPr>
          <w:rFonts w:hint="eastAsia" w:ascii="宋体" w:hAnsi="宋体" w:cs="宋体"/>
          <w:bCs/>
          <w:sz w:val="24"/>
          <w:szCs w:val="24"/>
        </w:rPr>
        <w:t>7.1</w:t>
      </w:r>
      <w:r>
        <w:rPr>
          <w:rFonts w:hint="eastAsia" w:ascii="宋体" w:hAnsi="宋体" w:cs="宋体"/>
          <w:sz w:val="24"/>
          <w:szCs w:val="24"/>
        </w:rPr>
        <w:t>本招标文件包括下列文件，以及所有按本须知第8条发出的招标答疑会会议纪要和按本须知第9条发出的澄清或修改：</w:t>
      </w:r>
    </w:p>
    <w:p>
      <w:pPr>
        <w:pStyle w:val="6"/>
        <w:spacing w:after="0" w:line="360" w:lineRule="auto"/>
        <w:ind w:left="-2" w:firstLine="480" w:firstLineChars="200"/>
        <w:rPr>
          <w:rFonts w:hint="eastAsia" w:ascii="宋体" w:hAnsi="宋体" w:cs="宋体"/>
          <w:sz w:val="24"/>
          <w:szCs w:val="24"/>
        </w:rPr>
      </w:pPr>
      <w:r>
        <w:rPr>
          <w:rFonts w:hint="eastAsia" w:ascii="宋体" w:hAnsi="宋体" w:cs="宋体"/>
          <w:bCs/>
          <w:sz w:val="24"/>
          <w:szCs w:val="24"/>
        </w:rPr>
        <w:t xml:space="preserve">第一章  </w:t>
      </w:r>
      <w:r>
        <w:rPr>
          <w:rFonts w:hint="eastAsia" w:ascii="宋体" w:hAnsi="宋体" w:cs="宋体"/>
          <w:sz w:val="24"/>
          <w:szCs w:val="24"/>
        </w:rPr>
        <w:t>投标须知</w:t>
      </w:r>
    </w:p>
    <w:p>
      <w:pPr>
        <w:pStyle w:val="6"/>
        <w:spacing w:after="0" w:line="360" w:lineRule="auto"/>
        <w:ind w:left="-2" w:firstLine="480" w:firstLineChars="200"/>
        <w:rPr>
          <w:rFonts w:hint="eastAsia" w:ascii="宋体" w:hAnsi="宋体" w:cs="宋体"/>
          <w:sz w:val="24"/>
          <w:szCs w:val="24"/>
        </w:rPr>
      </w:pPr>
      <w:r>
        <w:rPr>
          <w:rFonts w:hint="eastAsia" w:ascii="宋体" w:hAnsi="宋体" w:cs="宋体"/>
          <w:bCs/>
          <w:sz w:val="24"/>
          <w:szCs w:val="24"/>
        </w:rPr>
        <w:t xml:space="preserve">第二章  </w:t>
      </w:r>
      <w:r>
        <w:rPr>
          <w:rFonts w:hint="eastAsia" w:ascii="宋体" w:hAnsi="宋体" w:cs="宋体"/>
          <w:sz w:val="24"/>
          <w:szCs w:val="24"/>
        </w:rPr>
        <w:t>开标、评标及定标办法</w:t>
      </w:r>
    </w:p>
    <w:p>
      <w:pPr>
        <w:pStyle w:val="6"/>
        <w:spacing w:after="0" w:line="360" w:lineRule="auto"/>
        <w:ind w:left="-2" w:firstLine="480" w:firstLineChars="200"/>
        <w:rPr>
          <w:rFonts w:hint="eastAsia" w:ascii="宋体" w:hAnsi="宋体" w:cs="宋体"/>
          <w:sz w:val="24"/>
          <w:szCs w:val="24"/>
        </w:rPr>
      </w:pPr>
      <w:r>
        <w:rPr>
          <w:rFonts w:hint="eastAsia" w:ascii="宋体" w:hAnsi="宋体" w:cs="宋体"/>
          <w:sz w:val="24"/>
          <w:szCs w:val="24"/>
        </w:rPr>
        <w:t>第三章  合同条款</w:t>
      </w:r>
    </w:p>
    <w:p>
      <w:pPr>
        <w:pStyle w:val="6"/>
        <w:spacing w:after="0" w:line="360" w:lineRule="auto"/>
        <w:ind w:firstLine="480" w:firstLineChars="200"/>
        <w:rPr>
          <w:rFonts w:hint="eastAsia" w:ascii="宋体" w:hAnsi="宋体" w:cs="宋体"/>
          <w:sz w:val="24"/>
          <w:szCs w:val="24"/>
        </w:rPr>
      </w:pPr>
      <w:r>
        <w:rPr>
          <w:rFonts w:hint="eastAsia" w:ascii="宋体" w:hAnsi="宋体" w:cs="宋体"/>
          <w:bCs/>
          <w:sz w:val="24"/>
          <w:szCs w:val="24"/>
        </w:rPr>
        <w:t xml:space="preserve">第四章  </w:t>
      </w:r>
      <w:r>
        <w:rPr>
          <w:rFonts w:hint="eastAsia" w:ascii="宋体" w:hAnsi="宋体" w:cs="宋体"/>
          <w:sz w:val="24"/>
          <w:szCs w:val="24"/>
        </w:rPr>
        <w:t>投标文件格式</w:t>
      </w:r>
    </w:p>
    <w:p>
      <w:pPr>
        <w:pStyle w:val="6"/>
        <w:spacing w:after="0" w:line="360" w:lineRule="auto"/>
        <w:ind w:left="-2" w:firstLine="480" w:firstLineChars="200"/>
        <w:rPr>
          <w:rFonts w:hint="eastAsia" w:ascii="宋体" w:hAnsi="宋体" w:cs="宋体"/>
          <w:sz w:val="24"/>
          <w:szCs w:val="24"/>
        </w:rPr>
      </w:pPr>
      <w:r>
        <w:rPr>
          <w:rFonts w:hint="eastAsia" w:ascii="宋体" w:hAnsi="宋体" w:cs="宋体"/>
          <w:bCs/>
          <w:sz w:val="24"/>
          <w:szCs w:val="24"/>
        </w:rPr>
        <w:t xml:space="preserve">第五章  </w:t>
      </w:r>
      <w:r>
        <w:rPr>
          <w:rFonts w:hint="eastAsia" w:ascii="宋体" w:hAnsi="宋体" w:cs="宋体"/>
          <w:sz w:val="24"/>
          <w:szCs w:val="24"/>
        </w:rPr>
        <w:t>技术条件（工程建设标准）（另册）</w:t>
      </w:r>
    </w:p>
    <w:p>
      <w:pPr>
        <w:pStyle w:val="6"/>
        <w:spacing w:after="0" w:line="360" w:lineRule="auto"/>
        <w:ind w:left="-2" w:firstLine="480" w:firstLineChars="200"/>
        <w:rPr>
          <w:rFonts w:hint="eastAsia" w:ascii="宋体" w:hAnsi="宋体" w:cs="宋体"/>
          <w:sz w:val="24"/>
          <w:szCs w:val="24"/>
        </w:rPr>
      </w:pPr>
      <w:r>
        <w:rPr>
          <w:rFonts w:hint="eastAsia" w:ascii="宋体" w:hAnsi="宋体" w:cs="宋体"/>
          <w:bCs/>
          <w:sz w:val="24"/>
          <w:szCs w:val="24"/>
        </w:rPr>
        <w:t xml:space="preserve">第六章  </w:t>
      </w:r>
      <w:r>
        <w:rPr>
          <w:rFonts w:hint="eastAsia" w:ascii="宋体" w:hAnsi="宋体" w:cs="宋体"/>
          <w:sz w:val="24"/>
          <w:szCs w:val="24"/>
        </w:rPr>
        <w:t>图纸及勘察资料（另册）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第七章  招标工程量清单（另册）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第八章  最高投标限价</w:t>
      </w:r>
    </w:p>
    <w:p>
      <w:pPr>
        <w:spacing w:line="360" w:lineRule="auto"/>
        <w:ind w:firstLine="482" w:firstLineChars="200"/>
        <w:rPr>
          <w:rFonts w:hint="eastAsia"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7.1</w:t>
      </w:r>
      <w:r>
        <w:rPr>
          <w:rFonts w:hint="eastAsia" w:ascii="宋体" w:hAnsi="宋体" w:cs="宋体"/>
          <w:sz w:val="24"/>
          <w:szCs w:val="24"/>
        </w:rPr>
        <w:t>本招标文件包括下列文件，以及所有按本须知第8条发出的招标答疑会会议纪要和按本须知第9条发出的澄清或修改：</w:t>
      </w:r>
    </w:p>
    <w:p>
      <w:pPr>
        <w:pStyle w:val="6"/>
        <w:spacing w:after="0" w:line="360" w:lineRule="auto"/>
        <w:ind w:left="-2" w:firstLine="480" w:firstLineChars="200"/>
        <w:rPr>
          <w:rFonts w:hint="eastAsia" w:ascii="宋体" w:hAnsi="宋体" w:cs="宋体"/>
          <w:sz w:val="24"/>
          <w:szCs w:val="24"/>
        </w:rPr>
      </w:pPr>
      <w:r>
        <w:rPr>
          <w:rFonts w:hint="eastAsia" w:ascii="宋体" w:hAnsi="宋体" w:cs="宋体"/>
          <w:bCs/>
          <w:sz w:val="24"/>
          <w:szCs w:val="24"/>
        </w:rPr>
        <w:t xml:space="preserve">第一章  </w:t>
      </w:r>
      <w:r>
        <w:rPr>
          <w:rFonts w:hint="eastAsia" w:ascii="宋体" w:hAnsi="宋体" w:cs="宋体"/>
          <w:sz w:val="24"/>
          <w:szCs w:val="24"/>
        </w:rPr>
        <w:t>投标须知</w:t>
      </w:r>
    </w:p>
    <w:p>
      <w:pPr>
        <w:pStyle w:val="6"/>
        <w:spacing w:after="0" w:line="360" w:lineRule="auto"/>
        <w:ind w:left="-2" w:firstLine="480" w:firstLineChars="200"/>
        <w:rPr>
          <w:rFonts w:hint="eastAsia" w:ascii="宋体" w:hAnsi="宋体" w:cs="宋体"/>
          <w:sz w:val="24"/>
          <w:szCs w:val="24"/>
        </w:rPr>
      </w:pPr>
      <w:r>
        <w:rPr>
          <w:rFonts w:hint="eastAsia" w:ascii="宋体" w:hAnsi="宋体" w:cs="宋体"/>
          <w:bCs/>
          <w:sz w:val="24"/>
          <w:szCs w:val="24"/>
        </w:rPr>
        <w:t xml:space="preserve">第二章  </w:t>
      </w:r>
      <w:r>
        <w:rPr>
          <w:rFonts w:hint="eastAsia" w:ascii="宋体" w:hAnsi="宋体" w:cs="宋体"/>
          <w:sz w:val="24"/>
          <w:szCs w:val="24"/>
        </w:rPr>
        <w:t>开标、评标及定标办法</w:t>
      </w:r>
    </w:p>
    <w:p>
      <w:pPr>
        <w:pStyle w:val="6"/>
        <w:spacing w:after="0" w:line="360" w:lineRule="auto"/>
        <w:ind w:left="-2" w:firstLine="480" w:firstLineChars="200"/>
        <w:rPr>
          <w:rFonts w:hint="eastAsia" w:ascii="宋体" w:hAnsi="宋体" w:cs="宋体"/>
          <w:sz w:val="24"/>
          <w:szCs w:val="24"/>
          <w:u w:val="single"/>
        </w:rPr>
      </w:pPr>
      <w:r>
        <w:rPr>
          <w:rFonts w:hint="eastAsia" w:ascii="宋体" w:hAnsi="宋体" w:cs="宋体"/>
          <w:sz w:val="24"/>
          <w:szCs w:val="24"/>
          <w:u w:val="single"/>
        </w:rPr>
        <w:t>第三章  合同条款（另册）</w:t>
      </w:r>
    </w:p>
    <w:p>
      <w:pPr>
        <w:pStyle w:val="6"/>
        <w:spacing w:after="0" w:line="360" w:lineRule="auto"/>
        <w:ind w:firstLine="480" w:firstLineChars="200"/>
        <w:rPr>
          <w:rFonts w:hint="eastAsia" w:ascii="宋体" w:hAnsi="宋体" w:cs="宋体"/>
          <w:sz w:val="24"/>
          <w:szCs w:val="24"/>
        </w:rPr>
      </w:pPr>
      <w:r>
        <w:rPr>
          <w:rFonts w:hint="eastAsia" w:ascii="宋体" w:hAnsi="宋体" w:cs="宋体"/>
          <w:bCs/>
          <w:sz w:val="24"/>
          <w:szCs w:val="24"/>
        </w:rPr>
        <w:t xml:space="preserve">第四章  </w:t>
      </w:r>
      <w:r>
        <w:rPr>
          <w:rFonts w:hint="eastAsia" w:ascii="宋体" w:hAnsi="宋体" w:cs="宋体"/>
          <w:sz w:val="24"/>
          <w:szCs w:val="24"/>
        </w:rPr>
        <w:t>投标文件格式</w:t>
      </w:r>
    </w:p>
    <w:p>
      <w:pPr>
        <w:pStyle w:val="6"/>
        <w:spacing w:after="0" w:line="360" w:lineRule="auto"/>
        <w:ind w:left="-2" w:firstLine="480" w:firstLineChars="200"/>
        <w:rPr>
          <w:rFonts w:hint="eastAsia" w:ascii="宋体" w:hAnsi="宋体" w:cs="宋体"/>
          <w:sz w:val="24"/>
          <w:szCs w:val="24"/>
        </w:rPr>
      </w:pPr>
      <w:r>
        <w:rPr>
          <w:rFonts w:hint="eastAsia" w:ascii="宋体" w:hAnsi="宋体" w:cs="宋体"/>
          <w:bCs/>
          <w:sz w:val="24"/>
          <w:szCs w:val="24"/>
        </w:rPr>
        <w:t xml:space="preserve">第五章  </w:t>
      </w:r>
      <w:r>
        <w:rPr>
          <w:rFonts w:hint="eastAsia" w:ascii="宋体" w:hAnsi="宋体" w:cs="宋体"/>
          <w:sz w:val="24"/>
          <w:szCs w:val="24"/>
        </w:rPr>
        <w:t>技术条件（工程建设标准）（另册）</w:t>
      </w:r>
    </w:p>
    <w:p>
      <w:pPr>
        <w:pStyle w:val="6"/>
        <w:spacing w:after="0" w:line="360" w:lineRule="auto"/>
        <w:ind w:left="-2" w:firstLine="480" w:firstLineChars="200"/>
        <w:rPr>
          <w:rFonts w:hint="eastAsia" w:ascii="宋体" w:hAnsi="宋体" w:cs="宋体"/>
          <w:sz w:val="24"/>
          <w:szCs w:val="24"/>
        </w:rPr>
      </w:pPr>
      <w:r>
        <w:rPr>
          <w:rFonts w:hint="eastAsia" w:ascii="宋体" w:hAnsi="宋体" w:cs="宋体"/>
          <w:bCs/>
          <w:sz w:val="24"/>
          <w:szCs w:val="24"/>
        </w:rPr>
        <w:t xml:space="preserve">第六章  </w:t>
      </w:r>
      <w:r>
        <w:rPr>
          <w:rFonts w:hint="eastAsia" w:ascii="宋体" w:hAnsi="宋体" w:cs="宋体"/>
          <w:sz w:val="24"/>
          <w:szCs w:val="24"/>
        </w:rPr>
        <w:t>图纸及勘察资料（另册）</w:t>
      </w:r>
    </w:p>
    <w:p>
      <w:pPr>
        <w:pStyle w:val="6"/>
        <w:spacing w:after="0" w:line="360" w:lineRule="auto"/>
        <w:ind w:left="-2" w:firstLine="480" w:firstLineChars="200"/>
        <w:rPr>
          <w:rFonts w:hint="eastAsia" w:ascii="宋体" w:hAnsi="宋体" w:cs="宋体"/>
          <w:sz w:val="24"/>
          <w:szCs w:val="24"/>
        </w:rPr>
      </w:pPr>
      <w:r>
        <w:rPr>
          <w:rFonts w:hint="eastAsia" w:ascii="宋体" w:hAnsi="宋体" w:cs="宋体"/>
          <w:bCs/>
          <w:sz w:val="24"/>
          <w:szCs w:val="24"/>
        </w:rPr>
        <w:t>第七章  招标</w:t>
      </w:r>
      <w:r>
        <w:rPr>
          <w:rFonts w:hint="eastAsia" w:ascii="宋体" w:hAnsi="宋体" w:cs="宋体"/>
          <w:sz w:val="24"/>
          <w:szCs w:val="24"/>
        </w:rPr>
        <w:t xml:space="preserve">工程量清单（另册） </w:t>
      </w:r>
    </w:p>
    <w:p>
      <w:pPr>
        <w:pBdr>
          <w:bottom w:val="single" w:color="auto" w:sz="6" w:space="1"/>
        </w:pBdr>
        <w:spacing w:line="360" w:lineRule="auto"/>
        <w:ind w:firstLine="480" w:firstLineChars="200"/>
        <w:rPr>
          <w:rFonts w:hint="eastAsia" w:ascii="宋体" w:hAnsi="宋体" w:cs="宋体"/>
          <w:sz w:val="24"/>
          <w:szCs w:val="24"/>
        </w:rPr>
      </w:pPr>
      <w:r>
        <w:rPr>
          <w:rFonts w:hint="eastAsia" w:ascii="宋体" w:hAnsi="宋体" w:cs="宋体"/>
          <w:sz w:val="24"/>
          <w:szCs w:val="24"/>
        </w:rPr>
        <w:t>第八章  最高投标限价</w:t>
      </w:r>
    </w:p>
    <w:p>
      <w:pPr>
        <w:spacing w:line="36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8.1         </w:t>
      </w:r>
      <w:r>
        <w:rPr>
          <w:rFonts w:hint="eastAsia" w:ascii="宋体" w:hAnsi="宋体" w:cs="宋体"/>
          <w:b/>
          <w:sz w:val="24"/>
          <w:szCs w:val="24"/>
        </w:rPr>
        <w:t>修改类型：修改</w:t>
      </w:r>
    </w:p>
    <w:p>
      <w:pPr>
        <w:pStyle w:val="6"/>
        <w:spacing w:after="0" w:line="360" w:lineRule="auto"/>
        <w:ind w:firstLine="482" w:firstLineChars="20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8.1 投标人若对招标文件（包括招标图纸）中有疑问，可以书面形式通过</w:t>
      </w:r>
      <w:r>
        <w:rPr>
          <w:rFonts w:hint="eastAsia" w:ascii="宋体" w:hAnsi="宋体" w:cs="宋体"/>
          <w:sz w:val="24"/>
          <w:szCs w:val="24"/>
          <w:u w:val="single"/>
        </w:rPr>
        <w:t xml:space="preserve">        </w:t>
      </w:r>
      <w:r>
        <w:rPr>
          <w:rFonts w:hint="eastAsia" w:ascii="宋体" w:hAnsi="宋体" w:cs="宋体"/>
          <w:sz w:val="24"/>
          <w:szCs w:val="24"/>
        </w:rPr>
        <w:t>交易平台提交给招标人或招标代理人，提交形式见本须知前附表第16项。</w:t>
      </w:r>
    </w:p>
    <w:p>
      <w:pPr>
        <w:pBdr>
          <w:bottom w:val="single" w:color="auto" w:sz="6" w:space="1"/>
        </w:pBdr>
        <w:spacing w:line="360" w:lineRule="auto"/>
        <w:ind w:firstLine="472" w:firstLineChars="196"/>
        <w:rPr>
          <w:rFonts w:hint="eastAsia" w:ascii="宋体" w:hAnsi="宋体" w:cs="宋体"/>
          <w:sz w:val="24"/>
          <w:szCs w:val="24"/>
          <w:u w:val="single"/>
        </w:rPr>
      </w:pPr>
      <w:r>
        <w:rPr>
          <w:rFonts w:hint="eastAsia" w:ascii="宋体" w:hAnsi="宋体" w:cs="宋体"/>
          <w:b/>
          <w:sz w:val="24"/>
          <w:szCs w:val="24"/>
        </w:rPr>
        <w:t>现文：</w:t>
      </w:r>
      <w:r>
        <w:rPr>
          <w:rFonts w:hint="eastAsia" w:ascii="宋体" w:hAnsi="宋体" w:cs="宋体"/>
          <w:sz w:val="24"/>
          <w:szCs w:val="24"/>
        </w:rPr>
        <w:t xml:space="preserve">8.1 </w:t>
      </w:r>
      <w:r>
        <w:rPr>
          <w:rFonts w:hint="eastAsia" w:ascii="宋体" w:hAnsi="宋体" w:cs="宋体"/>
          <w:sz w:val="24"/>
          <w:szCs w:val="24"/>
          <w:u w:val="single"/>
        </w:rPr>
        <w:t>招标答疑采用网上答疑方式进行。投标人若对招标文件（包括招标图纸、工程量清单、招标控制价、合同条款）有疑问的，可在投标须知前附表16项规定的时间内通过广州公共资源交易中心交易平台凭密码进入提问区域将问题提交给招标人或招标代理人，提交问题时一律不得署名。网上答疑的操作指南为：登陆广州公共资源交易中心网站→进入“项目招标答疑”专区→通过项目编号或名称找到所需的项目→在上述的答疑时间内点击“提问” →输入密码（密码为：123456）进入到提问区域→提出问题(提问一律不得署名)以及查看所有的问题。</w:t>
      </w:r>
    </w:p>
    <w:p>
      <w:pPr>
        <w:spacing w:line="36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8.2</w:t>
      </w:r>
      <w:r>
        <w:rPr>
          <w:rFonts w:hint="eastAsia" w:ascii="宋体" w:hAnsi="宋体" w:cs="宋体"/>
          <w:b/>
          <w:sz w:val="24"/>
          <w:szCs w:val="24"/>
        </w:rPr>
        <w:t xml:space="preserve">             修改类型：修改</w:t>
      </w:r>
    </w:p>
    <w:p>
      <w:pPr>
        <w:pStyle w:val="6"/>
        <w:spacing w:after="0" w:line="360" w:lineRule="auto"/>
        <w:ind w:firstLine="482" w:firstLineChars="20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8.2招标答疑会会议纪要将在提交投标文件截止时间15日前在</w:t>
      </w:r>
      <w:r>
        <w:rPr>
          <w:rFonts w:hint="eastAsia" w:ascii="宋体" w:hAnsi="宋体" w:cs="宋体"/>
          <w:sz w:val="24"/>
          <w:szCs w:val="24"/>
          <w:u w:val="single"/>
        </w:rPr>
        <w:t xml:space="preserve">        </w:t>
      </w:r>
      <w:r>
        <w:rPr>
          <w:rFonts w:hint="eastAsia" w:ascii="宋体" w:hAnsi="宋体" w:cs="宋体"/>
          <w:sz w:val="24"/>
          <w:szCs w:val="24"/>
        </w:rPr>
        <w:t>交易平台 “项目答疑纪要”专区公开发布。答疑纪要一经在</w:t>
      </w:r>
      <w:r>
        <w:rPr>
          <w:rFonts w:hint="eastAsia" w:ascii="宋体" w:hAnsi="宋体" w:cs="宋体"/>
          <w:sz w:val="24"/>
          <w:szCs w:val="24"/>
          <w:u w:val="single"/>
        </w:rPr>
        <w:t xml:space="preserve">        </w:t>
      </w:r>
      <w:r>
        <w:rPr>
          <w:rFonts w:hint="eastAsia" w:ascii="宋体" w:hAnsi="宋体" w:cs="宋体"/>
          <w:sz w:val="24"/>
          <w:szCs w:val="24"/>
        </w:rPr>
        <w:t>交易平台发布，视作已发放给所有投标人。</w:t>
      </w:r>
    </w:p>
    <w:p>
      <w:pPr>
        <w:pBdr>
          <w:bottom w:val="single" w:color="auto" w:sz="6" w:space="1"/>
        </w:pBdr>
        <w:spacing w:line="360" w:lineRule="auto"/>
        <w:ind w:firstLine="472" w:firstLineChars="196"/>
        <w:rPr>
          <w:rFonts w:hint="eastAsia"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8.2招标答疑会会议纪要将在提交投标文件截止时间15日前在</w:t>
      </w:r>
      <w:r>
        <w:rPr>
          <w:rFonts w:hint="eastAsia" w:ascii="宋体" w:hAnsi="宋体" w:cs="宋体"/>
          <w:sz w:val="24"/>
          <w:szCs w:val="24"/>
          <w:u w:val="single"/>
        </w:rPr>
        <w:t>广州公共资源交易中心</w:t>
      </w:r>
      <w:r>
        <w:rPr>
          <w:rFonts w:hint="eastAsia" w:ascii="宋体" w:hAnsi="宋体" w:cs="宋体"/>
          <w:sz w:val="24"/>
          <w:szCs w:val="24"/>
        </w:rPr>
        <w:t>交易平台 “项目答疑纪要”专区公开发布。答疑纪要一经在</w:t>
      </w:r>
      <w:r>
        <w:rPr>
          <w:rFonts w:hint="eastAsia" w:ascii="宋体" w:hAnsi="宋体" w:cs="宋体"/>
          <w:sz w:val="24"/>
          <w:szCs w:val="24"/>
          <w:u w:val="single"/>
        </w:rPr>
        <w:t>广州公共资源交易中心</w:t>
      </w:r>
      <w:r>
        <w:rPr>
          <w:rFonts w:hint="eastAsia" w:ascii="宋体" w:hAnsi="宋体" w:cs="宋体"/>
          <w:sz w:val="24"/>
          <w:szCs w:val="24"/>
        </w:rPr>
        <w:t>交易平台发布，视作已发放给所有投标人。</w:t>
      </w:r>
    </w:p>
    <w:p>
      <w:pPr>
        <w:spacing w:line="36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9.2</w:t>
      </w:r>
      <w:r>
        <w:rPr>
          <w:rFonts w:hint="eastAsia" w:ascii="宋体" w:hAnsi="宋体" w:cs="宋体"/>
          <w:b/>
          <w:sz w:val="24"/>
          <w:szCs w:val="24"/>
        </w:rPr>
        <w:t xml:space="preserve">             修改类型：修改</w:t>
      </w:r>
    </w:p>
    <w:p>
      <w:pPr>
        <w:pStyle w:val="6"/>
        <w:spacing w:after="0" w:line="360" w:lineRule="auto"/>
        <w:ind w:firstLine="482" w:firstLineChars="20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9.2招标文件的澄清或修改将在</w:t>
      </w:r>
      <w:r>
        <w:rPr>
          <w:rFonts w:hint="eastAsia" w:ascii="宋体" w:hAnsi="宋体" w:cs="宋体"/>
          <w:sz w:val="24"/>
          <w:szCs w:val="24"/>
          <w:u w:val="single"/>
        </w:rPr>
        <w:t xml:space="preserve">        </w:t>
      </w:r>
      <w:r>
        <w:rPr>
          <w:rFonts w:hint="eastAsia" w:ascii="宋体" w:hAnsi="宋体" w:cs="宋体"/>
          <w:sz w:val="24"/>
          <w:szCs w:val="24"/>
        </w:rPr>
        <w:t>交易平台“项目答疑纪要”专区公开发布。答疑纪要一经在</w:t>
      </w:r>
      <w:r>
        <w:rPr>
          <w:rFonts w:hint="eastAsia" w:ascii="宋体" w:hAnsi="宋体" w:cs="宋体"/>
          <w:sz w:val="24"/>
          <w:szCs w:val="24"/>
          <w:u w:val="single"/>
        </w:rPr>
        <w:t xml:space="preserve">        </w:t>
      </w:r>
      <w:r>
        <w:rPr>
          <w:rFonts w:hint="eastAsia" w:ascii="宋体" w:hAnsi="宋体" w:cs="宋体"/>
          <w:sz w:val="24"/>
          <w:szCs w:val="24"/>
        </w:rPr>
        <w:t>交易平台发布，视作已发放给所有投标人，以</w:t>
      </w:r>
      <w:r>
        <w:rPr>
          <w:rFonts w:hint="eastAsia" w:ascii="宋体" w:hAnsi="宋体" w:cs="宋体"/>
          <w:sz w:val="24"/>
          <w:szCs w:val="24"/>
          <w:u w:val="single"/>
        </w:rPr>
        <w:t xml:space="preserve">        </w:t>
      </w:r>
      <w:r>
        <w:rPr>
          <w:rFonts w:hint="eastAsia" w:ascii="宋体" w:hAnsi="宋体" w:cs="宋体"/>
          <w:sz w:val="24"/>
          <w:szCs w:val="24"/>
        </w:rPr>
        <w:t>交易平台上网发布时间作为送达时间。</w:t>
      </w:r>
    </w:p>
    <w:p>
      <w:pPr>
        <w:pBdr>
          <w:bottom w:val="single" w:color="auto" w:sz="6" w:space="1"/>
        </w:pBdr>
        <w:spacing w:line="360" w:lineRule="auto"/>
        <w:ind w:firstLine="472" w:firstLineChars="196"/>
        <w:rPr>
          <w:rFonts w:hint="eastAsia"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9.2招标文件的澄清或修改将在</w:t>
      </w:r>
      <w:r>
        <w:rPr>
          <w:rFonts w:hint="eastAsia" w:ascii="宋体" w:hAnsi="宋体" w:cs="宋体"/>
          <w:sz w:val="24"/>
          <w:szCs w:val="24"/>
          <w:u w:val="single"/>
        </w:rPr>
        <w:t>广州公共资源交易中心</w:t>
      </w:r>
      <w:r>
        <w:rPr>
          <w:rFonts w:hint="eastAsia" w:ascii="宋体" w:hAnsi="宋体" w:cs="宋体"/>
          <w:sz w:val="24"/>
          <w:szCs w:val="24"/>
        </w:rPr>
        <w:t>交易平台“项目答疑纪要”专区公开发布。答疑纪要一经在</w:t>
      </w:r>
      <w:r>
        <w:rPr>
          <w:rFonts w:hint="eastAsia" w:ascii="宋体" w:hAnsi="宋体" w:cs="宋体"/>
          <w:sz w:val="24"/>
          <w:szCs w:val="24"/>
          <w:u w:val="single"/>
        </w:rPr>
        <w:t>广州公共资源交易中心</w:t>
      </w:r>
      <w:r>
        <w:rPr>
          <w:rFonts w:hint="eastAsia" w:ascii="宋体" w:hAnsi="宋体" w:cs="宋体"/>
          <w:sz w:val="24"/>
          <w:szCs w:val="24"/>
        </w:rPr>
        <w:t>交易平台发布，视作已发放给所有投标人，以</w:t>
      </w:r>
      <w:r>
        <w:rPr>
          <w:rFonts w:hint="eastAsia" w:ascii="宋体" w:hAnsi="宋体" w:cs="宋体"/>
          <w:sz w:val="24"/>
          <w:szCs w:val="24"/>
          <w:u w:val="single"/>
        </w:rPr>
        <w:t>广州公共资源交易中心</w:t>
      </w:r>
      <w:r>
        <w:rPr>
          <w:rFonts w:hint="eastAsia" w:ascii="宋体" w:hAnsi="宋体" w:cs="宋体"/>
          <w:sz w:val="24"/>
          <w:szCs w:val="24"/>
        </w:rPr>
        <w:t>交易平台上网发布时间作为送达时间。</w:t>
      </w:r>
    </w:p>
    <w:p>
      <w:pPr>
        <w:spacing w:line="36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9.4             </w:t>
      </w:r>
      <w:r>
        <w:rPr>
          <w:rFonts w:hint="eastAsia" w:ascii="宋体" w:hAnsi="宋体" w:cs="宋体"/>
          <w:b/>
          <w:sz w:val="24"/>
          <w:szCs w:val="24"/>
        </w:rPr>
        <w:t>修改类型：修改</w:t>
      </w:r>
    </w:p>
    <w:p>
      <w:pPr>
        <w:pBdr>
          <w:bottom w:val="single" w:color="auto" w:sz="6" w:space="1"/>
        </w:pBdr>
        <w:spacing w:line="360" w:lineRule="auto"/>
        <w:ind w:firstLine="602" w:firstLineChars="25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602" w:firstLineChars="250"/>
        <w:rPr>
          <w:rFonts w:hint="eastAsia"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9.4招标文件的澄清或修改均</w:t>
      </w:r>
      <w:r>
        <w:rPr>
          <w:rFonts w:hint="eastAsia" w:ascii="宋体" w:hAnsi="宋体" w:cs="宋体"/>
          <w:sz w:val="24"/>
          <w:szCs w:val="24"/>
          <w:u w:val="single"/>
        </w:rPr>
        <w:t>在广州公共资源交易中心网站“网上答疑”专区公开发布。</w:t>
      </w:r>
      <w:r>
        <w:rPr>
          <w:rFonts w:hint="eastAsia" w:ascii="宋体" w:hAnsi="宋体" w:cs="宋体"/>
          <w:sz w:val="24"/>
          <w:szCs w:val="24"/>
        </w:rPr>
        <w:t>当招标文件的澄清、修改、补充等在同一内容的表述不一致时，以最后发出的文件为准。</w:t>
      </w:r>
    </w:p>
    <w:p>
      <w:pPr>
        <w:spacing w:line="480" w:lineRule="auto"/>
        <w:ind w:firstLine="540" w:firstLineChars="224"/>
        <w:rPr>
          <w:rFonts w:ascii="宋体" w:hAnsi="宋体" w:cs="宋体"/>
          <w:b/>
          <w:sz w:val="24"/>
          <w:szCs w:val="24"/>
        </w:rPr>
      </w:pPr>
      <w:r>
        <w:rPr>
          <w:rFonts w:hint="eastAsia" w:ascii="宋体" w:hAnsi="宋体" w:cs="宋体"/>
          <w:b/>
          <w:sz w:val="24"/>
          <w:szCs w:val="24"/>
        </w:rPr>
        <w:t xml:space="preserve">条款号： </w:t>
      </w:r>
      <w:r>
        <w:rPr>
          <w:rFonts w:hint="eastAsia" w:ascii="宋体" w:hAnsi="宋体" w:cs="宋体"/>
          <w:bCs/>
          <w:sz w:val="24"/>
          <w:szCs w:val="24"/>
        </w:rPr>
        <w:t>11.2</w:t>
      </w:r>
      <w:r>
        <w:rPr>
          <w:rFonts w:hint="eastAsia" w:ascii="宋体" w:hAnsi="宋体" w:cs="宋体"/>
          <w:b/>
          <w:sz w:val="24"/>
          <w:szCs w:val="24"/>
        </w:rPr>
        <w:t xml:space="preserve">            修改类型：修改</w:t>
      </w:r>
    </w:p>
    <w:p>
      <w:pPr>
        <w:pStyle w:val="6"/>
        <w:rPr>
          <w:rFonts w:ascii="宋体" w:hAnsi="宋体"/>
          <w:bCs/>
          <w:sz w:val="24"/>
        </w:rPr>
      </w:pPr>
      <w:r>
        <w:rPr>
          <w:rFonts w:hint="eastAsia" w:ascii="宋体" w:hAnsi="宋体" w:cs="宋体"/>
          <w:b/>
          <w:sz w:val="24"/>
          <w:szCs w:val="24"/>
        </w:rPr>
        <w:t>原文：</w:t>
      </w:r>
      <w:r>
        <w:rPr>
          <w:rFonts w:ascii="宋体" w:hAnsi="宋体"/>
          <w:bCs/>
          <w:sz w:val="24"/>
        </w:rPr>
        <w:t>11.2</w:t>
      </w:r>
      <w:r>
        <w:rPr>
          <w:rFonts w:hint="eastAsia" w:ascii="宋体" w:hAnsi="宋体"/>
          <w:bCs/>
          <w:sz w:val="24"/>
        </w:rPr>
        <w:t>投标文件技术标部分主要包括下列内容</w:t>
      </w:r>
      <w:r>
        <w:rPr>
          <w:rFonts w:ascii="宋体" w:hAnsi="宋体"/>
          <w:bCs/>
          <w:sz w:val="24"/>
        </w:rPr>
        <w:t>:</w:t>
      </w:r>
    </w:p>
    <w:p>
      <w:pPr>
        <w:spacing w:line="360" w:lineRule="auto"/>
        <w:ind w:firstLine="480" w:firstLineChars="200"/>
        <w:rPr>
          <w:rFonts w:ascii="宋体"/>
          <w:bCs/>
          <w:sz w:val="24"/>
        </w:rPr>
      </w:pPr>
      <w:r>
        <w:rPr>
          <w:rFonts w:hint="eastAsia" w:ascii="宋体"/>
          <w:bCs/>
          <w:sz w:val="24"/>
        </w:rPr>
        <w:t>11.2.1 技术投标文件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bCs/>
          <w:sz w:val="24"/>
        </w:rPr>
        <w:t>；</w:t>
      </w:r>
    </w:p>
    <w:p>
      <w:pPr>
        <w:spacing w:line="360" w:lineRule="auto"/>
        <w:ind w:firstLine="480" w:firstLineChars="200"/>
        <w:rPr>
          <w:rFonts w:ascii="宋体"/>
          <w:bCs/>
          <w:sz w:val="24"/>
        </w:rPr>
      </w:pPr>
      <w:r>
        <w:rPr>
          <w:rFonts w:hint="eastAsia" w:ascii="宋体"/>
          <w:bCs/>
          <w:sz w:val="24"/>
        </w:rPr>
        <w:t>11.2.2 资格审查文件：</w:t>
      </w:r>
    </w:p>
    <w:p>
      <w:pPr>
        <w:spacing w:line="360" w:lineRule="auto"/>
        <w:ind w:firstLine="480" w:firstLineChars="200"/>
        <w:rPr>
          <w:rFonts w:ascii="宋体"/>
          <w:bCs/>
          <w:sz w:val="24"/>
        </w:rPr>
      </w:pPr>
      <w:r>
        <w:rPr>
          <w:rFonts w:hint="eastAsia" w:ascii="宋体"/>
          <w:bCs/>
          <w:sz w:val="24"/>
        </w:rPr>
        <w:t xml:space="preserve">（1）投标人声明； </w:t>
      </w:r>
    </w:p>
    <w:p>
      <w:pPr>
        <w:spacing w:line="360" w:lineRule="auto"/>
        <w:ind w:firstLine="480" w:firstLineChars="200"/>
        <w:rPr>
          <w:rFonts w:ascii="宋体"/>
          <w:bCs/>
          <w:sz w:val="24"/>
        </w:rPr>
      </w:pPr>
      <w:r>
        <w:rPr>
          <w:rFonts w:hint="eastAsia" w:ascii="宋体"/>
          <w:bCs/>
          <w:sz w:val="24"/>
        </w:rPr>
        <w:t>（2）法定代表人证明书、法定代表人签字或盖章的本投标文件授权委托证明书；</w:t>
      </w:r>
    </w:p>
    <w:p>
      <w:pPr>
        <w:spacing w:line="360" w:lineRule="auto"/>
        <w:ind w:firstLine="480" w:firstLineChars="200"/>
        <w:rPr>
          <w:rFonts w:ascii="宋体"/>
          <w:bCs/>
          <w:sz w:val="24"/>
        </w:rPr>
      </w:pPr>
      <w:r>
        <w:rPr>
          <w:rFonts w:hint="eastAsia" w:ascii="宋体"/>
          <w:bCs/>
          <w:sz w:val="24"/>
        </w:rPr>
        <w:t>（3）企业营业执照（取自平台内上传件）；</w:t>
      </w:r>
    </w:p>
    <w:p>
      <w:pPr>
        <w:spacing w:line="360" w:lineRule="auto"/>
        <w:ind w:firstLine="480" w:firstLineChars="200"/>
        <w:rPr>
          <w:rFonts w:ascii="宋体"/>
          <w:bCs/>
          <w:sz w:val="24"/>
        </w:rPr>
      </w:pPr>
      <w:r>
        <w:rPr>
          <w:rFonts w:hint="eastAsia" w:ascii="宋体"/>
          <w:bCs/>
          <w:sz w:val="24"/>
        </w:rPr>
        <w:t>（4）企业资质证书（取自平台内上传件）；</w:t>
      </w:r>
    </w:p>
    <w:p>
      <w:pPr>
        <w:spacing w:line="360" w:lineRule="auto"/>
        <w:ind w:firstLine="480" w:firstLineChars="200"/>
        <w:rPr>
          <w:rFonts w:ascii="宋体"/>
          <w:bCs/>
          <w:sz w:val="24"/>
        </w:rPr>
      </w:pPr>
      <w:r>
        <w:rPr>
          <w:rFonts w:hint="eastAsia" w:ascii="宋体"/>
          <w:bCs/>
          <w:sz w:val="24"/>
        </w:rPr>
        <w:t>（5）建筑施工企业安全生产许可证（取自平台内上传件）；</w:t>
      </w:r>
    </w:p>
    <w:p>
      <w:pPr>
        <w:spacing w:line="360" w:lineRule="auto"/>
        <w:ind w:firstLine="480" w:firstLineChars="200"/>
        <w:rPr>
          <w:rFonts w:ascii="宋体" w:hAnsi="宋体"/>
          <w:bCs/>
          <w:sz w:val="24"/>
          <w:szCs w:val="24"/>
        </w:rPr>
      </w:pPr>
      <w:r>
        <w:rPr>
          <w:rFonts w:hint="eastAsia" w:ascii="宋体"/>
          <w:bCs/>
          <w:sz w:val="24"/>
        </w:rPr>
        <w:t>（6）</w:t>
      </w:r>
      <w:r>
        <w:rPr>
          <w:rFonts w:hint="eastAsia" w:ascii="宋体" w:hAnsi="宋体"/>
          <w:bCs/>
          <w:sz w:val="24"/>
          <w:szCs w:val="24"/>
        </w:rPr>
        <w:t>项目负责人（按网上投标登记时选择拟投标的项目负责人）</w:t>
      </w:r>
    </w:p>
    <w:p>
      <w:pPr>
        <w:spacing w:line="360" w:lineRule="auto"/>
        <w:ind w:firstLine="480" w:firstLineChars="200"/>
        <w:rPr>
          <w:rFonts w:ascii="宋体" w:hAnsi="宋体"/>
          <w:bCs/>
          <w:sz w:val="24"/>
          <w:szCs w:val="24"/>
        </w:rPr>
      </w:pPr>
      <w:r>
        <w:rPr>
          <w:rFonts w:hint="eastAsia" w:ascii="宋体" w:hAnsi="宋体"/>
          <w:bCs/>
          <w:sz w:val="24"/>
          <w:szCs w:val="24"/>
        </w:rPr>
        <w:t>（7）专职安全员（按网上投标登记时选择拟投标的专职安全员）</w:t>
      </w:r>
    </w:p>
    <w:p>
      <w:pPr>
        <w:spacing w:line="360" w:lineRule="auto"/>
        <w:ind w:firstLine="480" w:firstLineChars="200"/>
        <w:rPr>
          <w:rFonts w:ascii="宋体"/>
          <w:bCs/>
          <w:sz w:val="24"/>
        </w:rPr>
      </w:pPr>
      <w:r>
        <w:rPr>
          <w:rFonts w:hint="eastAsia" w:ascii="宋体"/>
          <w:bCs/>
          <w:sz w:val="24"/>
        </w:rPr>
        <w:t>（8）拟委托技术负责人的相关证书、资料（具体要求由招标人明确）</w:t>
      </w:r>
    </w:p>
    <w:p>
      <w:pPr>
        <w:spacing w:line="360" w:lineRule="auto"/>
        <w:ind w:firstLine="480" w:firstLineChars="200"/>
        <w:rPr>
          <w:rFonts w:ascii="宋体"/>
          <w:bCs/>
          <w:sz w:val="24"/>
        </w:rPr>
      </w:pPr>
      <w:r>
        <w:rPr>
          <w:rFonts w:hint="eastAsia" w:ascii="宋体"/>
          <w:bCs/>
          <w:sz w:val="24"/>
        </w:rPr>
        <w:t xml:space="preserve">（9）拟委派项目负责人的建造师注册证书或小型项目负责人相关证明（取自平台内上传件）； </w:t>
      </w:r>
    </w:p>
    <w:p>
      <w:pPr>
        <w:spacing w:line="360" w:lineRule="auto"/>
        <w:ind w:firstLine="480" w:firstLineChars="200"/>
        <w:rPr>
          <w:rFonts w:ascii="宋体"/>
          <w:bCs/>
          <w:sz w:val="24"/>
        </w:rPr>
      </w:pPr>
      <w:r>
        <w:rPr>
          <w:rFonts w:hint="eastAsia" w:ascii="宋体"/>
          <w:bCs/>
          <w:sz w:val="24"/>
        </w:rPr>
        <w:t>（10）项目负责人安全培训考核合格证明或在有效期内的安全考核合格证书（B类）或建筑施工企业项目负责人安全生产考核合格证书（取自平台内上传件）</w:t>
      </w:r>
      <w:r>
        <w:rPr>
          <w:rFonts w:hint="eastAsia" w:ascii="宋体"/>
          <w:bCs/>
          <w:sz w:val="24"/>
          <w:szCs w:val="24"/>
        </w:rPr>
        <w:t>；</w:t>
      </w:r>
    </w:p>
    <w:p>
      <w:pPr>
        <w:spacing w:line="360" w:lineRule="auto"/>
        <w:ind w:firstLine="480" w:firstLineChars="200"/>
        <w:rPr>
          <w:rFonts w:ascii="宋体"/>
          <w:bCs/>
          <w:sz w:val="24"/>
          <w:szCs w:val="24"/>
        </w:rPr>
      </w:pPr>
      <w:r>
        <w:rPr>
          <w:rFonts w:hint="eastAsia" w:ascii="宋体"/>
          <w:bCs/>
          <w:sz w:val="24"/>
        </w:rPr>
        <w:t>（11）专职安全员须具有在有效期内的安全考核合格证书（C类）或建筑施工企业专职安全生产管理人员安全生产考核合格证书</w:t>
      </w:r>
      <w:r>
        <w:rPr>
          <w:rFonts w:hint="eastAsia" w:ascii="宋体"/>
          <w:bCs/>
          <w:sz w:val="24"/>
          <w:szCs w:val="24"/>
        </w:rPr>
        <w:t>（取自平台内上传件）；</w:t>
      </w:r>
    </w:p>
    <w:p>
      <w:pPr>
        <w:spacing w:line="360" w:lineRule="auto"/>
        <w:ind w:firstLine="480" w:firstLineChars="200"/>
        <w:rPr>
          <w:rFonts w:ascii="宋体"/>
          <w:bCs/>
          <w:sz w:val="24"/>
          <w:szCs w:val="24"/>
        </w:rPr>
      </w:pPr>
      <w:r>
        <w:rPr>
          <w:rFonts w:hint="eastAsia" w:ascii="宋体"/>
          <w:bCs/>
          <w:sz w:val="24"/>
          <w:szCs w:val="24"/>
        </w:rPr>
        <w:t>（12）</w:t>
      </w:r>
      <w:r>
        <w:rPr>
          <w:rFonts w:hint="eastAsia" w:ascii="宋体" w:hAnsi="宋体"/>
          <w:bCs/>
          <w:sz w:val="24"/>
          <w:szCs w:val="24"/>
        </w:rPr>
        <w:t>用于资格审查的业绩（设置业绩要求时选择此项，投标人</w:t>
      </w:r>
      <w:r>
        <w:rPr>
          <w:rFonts w:hint="eastAsia" w:ascii="宋体" w:hAnsi="宋体"/>
          <w:sz w:val="24"/>
        </w:rPr>
        <w:t>须提供类似工程业绩的项目名称及项目编号，具体格式由招标人自定</w:t>
      </w:r>
      <w:r>
        <w:rPr>
          <w:rFonts w:hint="eastAsia" w:ascii="宋体" w:hAnsi="宋体"/>
          <w:bCs/>
          <w:sz w:val="24"/>
          <w:szCs w:val="24"/>
        </w:rPr>
        <w:t>）；</w:t>
      </w:r>
    </w:p>
    <w:p>
      <w:pPr>
        <w:spacing w:line="360" w:lineRule="auto"/>
        <w:ind w:firstLine="480" w:firstLineChars="200"/>
        <w:rPr>
          <w:rFonts w:ascii="宋体"/>
          <w:bCs/>
          <w:sz w:val="24"/>
        </w:rPr>
      </w:pPr>
      <w:r>
        <w:rPr>
          <w:rFonts w:hint="eastAsia" w:ascii="宋体"/>
          <w:bCs/>
          <w:sz w:val="24"/>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rPr>
      </w:pPr>
      <w:r>
        <w:rPr>
          <w:rFonts w:hint="eastAsia" w:ascii="宋体" w:hAnsi="宋体"/>
          <w:bCs/>
          <w:sz w:val="24"/>
          <w:szCs w:val="24"/>
        </w:rPr>
        <w:t>（14）列明主办单位的联合体工作协议（采用联合体投标时需递交，投标人拟任本工程项目负责人应为联合体主办方信用档案中的在册人员，</w:t>
      </w:r>
      <w:r>
        <w:rPr>
          <w:rFonts w:hint="eastAsia" w:ascii="宋体" w:hAnsi="宋体"/>
          <w:sz w:val="24"/>
          <w:szCs w:val="24"/>
        </w:rPr>
        <w:t>联合体工作协议应明确约定各方拟承担的工作和责任</w:t>
      </w:r>
      <w:r>
        <w:rPr>
          <w:rFonts w:hint="eastAsia" w:ascii="宋体" w:hAnsi="宋体"/>
          <w:bCs/>
          <w:sz w:val="24"/>
          <w:szCs w:val="24"/>
        </w:rPr>
        <w:t xml:space="preserve">）； </w:t>
      </w:r>
    </w:p>
    <w:p>
      <w:pPr>
        <w:spacing w:line="360" w:lineRule="auto"/>
        <w:ind w:firstLine="480" w:firstLineChars="200"/>
        <w:rPr>
          <w:rFonts w:ascii="宋体"/>
          <w:bCs/>
          <w:sz w:val="24"/>
        </w:rPr>
      </w:pPr>
      <w:r>
        <w:rPr>
          <w:rFonts w:hint="eastAsia" w:ascii="宋体" w:hAnsi="宋体"/>
          <w:bCs/>
          <w:sz w:val="24"/>
          <w:szCs w:val="24"/>
        </w:rPr>
        <w:t>（15）</w:t>
      </w:r>
      <w:r>
        <w:rPr>
          <w:rFonts w:hint="eastAsia" w:ascii="宋体" w:hAnsi="宋体"/>
          <w:sz w:val="24"/>
          <w:szCs w:val="24"/>
        </w:rPr>
        <w:t>投标人具有在广州地区可使用适合本工程的机械设备的证明文件（</w:t>
      </w:r>
      <w:r>
        <w:rPr>
          <w:rFonts w:hint="eastAsia" w:ascii="宋体" w:hAnsi="宋体"/>
          <w:sz w:val="24"/>
        </w:rPr>
        <w:t>提供沥青摊铺机自有发票或权属证明及设备现场全貌彩照（彩照须能反映其规格型号）</w:t>
      </w:r>
      <w:r>
        <w:rPr>
          <w:rFonts w:hint="eastAsia" w:ascii="宋体" w:hAnsi="宋体"/>
          <w:sz w:val="24"/>
          <w:szCs w:val="24"/>
        </w:rPr>
        <w:t>）。（含有市政道路面层沥青摊铺且沥青摊铺占预计发包价50%或以上的大、中修市政公用工程需提供该项内容的证明文件）。</w:t>
      </w:r>
    </w:p>
    <w:p>
      <w:pPr>
        <w:tabs>
          <w:tab w:val="left" w:pos="1125"/>
        </w:tabs>
        <w:spacing w:line="360" w:lineRule="auto"/>
        <w:ind w:firstLine="482" w:firstLineChars="200"/>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11.2投标文件技术标部分主要包括下列内容:</w:t>
      </w:r>
    </w:p>
    <w:p>
      <w:pPr>
        <w:spacing w:line="360" w:lineRule="auto"/>
        <w:ind w:firstLine="480" w:firstLineChars="200"/>
        <w:rPr>
          <w:rFonts w:ascii="宋体" w:hAnsi="宋体" w:cs="宋体"/>
          <w:sz w:val="24"/>
          <w:szCs w:val="24"/>
        </w:rPr>
      </w:pPr>
      <w:r>
        <w:rPr>
          <w:rFonts w:hint="eastAsia" w:ascii="宋体" w:hAnsi="宋体" w:cs="宋体"/>
          <w:sz w:val="24"/>
          <w:szCs w:val="24"/>
        </w:rPr>
        <w:t>11.2.1</w:t>
      </w:r>
      <w:r>
        <w:rPr>
          <w:rFonts w:hint="eastAsia" w:ascii="宋体" w:hAnsi="宋体" w:cs="宋体"/>
          <w:bCs/>
          <w:sz w:val="24"/>
          <w:szCs w:val="24"/>
        </w:rPr>
        <w:t>技术投标文件(按招标文件的要求填写)；</w:t>
      </w:r>
    </w:p>
    <w:p>
      <w:pPr>
        <w:spacing w:line="360" w:lineRule="auto"/>
        <w:ind w:firstLine="480" w:firstLineChars="200"/>
        <w:rPr>
          <w:rFonts w:ascii="宋体" w:hAnsi="宋体" w:cs="宋体"/>
          <w:sz w:val="24"/>
          <w:szCs w:val="24"/>
        </w:rPr>
      </w:pPr>
      <w:r>
        <w:rPr>
          <w:rFonts w:hint="eastAsia" w:ascii="宋体" w:hAnsi="宋体" w:cs="宋体"/>
          <w:sz w:val="24"/>
          <w:szCs w:val="24"/>
        </w:rPr>
        <w:t>11.2.2 资格审查文件：</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（1）投标人声明； </w:t>
      </w:r>
    </w:p>
    <w:p>
      <w:pPr>
        <w:spacing w:line="360" w:lineRule="auto"/>
        <w:ind w:firstLine="480" w:firstLineChars="200"/>
        <w:rPr>
          <w:rFonts w:ascii="宋体" w:hAnsi="宋体" w:cs="宋体"/>
          <w:sz w:val="24"/>
          <w:szCs w:val="24"/>
        </w:rPr>
      </w:pPr>
      <w:r>
        <w:rPr>
          <w:rFonts w:hint="eastAsia" w:ascii="宋体" w:hAnsi="宋体" w:cs="宋体"/>
          <w:sz w:val="24"/>
          <w:szCs w:val="24"/>
        </w:rPr>
        <w:t>（2）法定代表人证明书、法定代表人签字或盖章的本投标文件授权委托证明书；</w:t>
      </w:r>
    </w:p>
    <w:p>
      <w:pPr>
        <w:spacing w:line="360" w:lineRule="auto"/>
        <w:ind w:firstLine="480" w:firstLineChars="200"/>
        <w:rPr>
          <w:rFonts w:ascii="宋体" w:hAnsi="宋体" w:cs="宋体"/>
          <w:sz w:val="24"/>
          <w:szCs w:val="24"/>
        </w:rPr>
      </w:pPr>
      <w:r>
        <w:rPr>
          <w:rFonts w:hint="eastAsia" w:ascii="宋体" w:hAnsi="宋体" w:cs="宋体"/>
          <w:sz w:val="24"/>
          <w:szCs w:val="24"/>
        </w:rPr>
        <w:t>（3）企业营业执照（取自平台内上传件）；</w:t>
      </w:r>
    </w:p>
    <w:p>
      <w:pPr>
        <w:spacing w:line="360" w:lineRule="auto"/>
        <w:ind w:firstLine="480" w:firstLineChars="200"/>
        <w:rPr>
          <w:rFonts w:ascii="宋体" w:hAnsi="宋体" w:cs="宋体"/>
          <w:sz w:val="24"/>
          <w:szCs w:val="24"/>
        </w:rPr>
      </w:pPr>
      <w:r>
        <w:rPr>
          <w:rFonts w:hint="eastAsia" w:ascii="宋体" w:hAnsi="宋体" w:cs="宋体"/>
          <w:sz w:val="24"/>
          <w:szCs w:val="24"/>
        </w:rPr>
        <w:t>（4）企业资质证书（取自平台内上传件）；</w:t>
      </w:r>
    </w:p>
    <w:p>
      <w:pPr>
        <w:spacing w:line="360" w:lineRule="auto"/>
        <w:ind w:firstLine="480" w:firstLineChars="200"/>
        <w:rPr>
          <w:rFonts w:ascii="宋体" w:hAnsi="宋体" w:cs="宋体"/>
          <w:sz w:val="24"/>
          <w:szCs w:val="24"/>
        </w:rPr>
      </w:pPr>
      <w:r>
        <w:rPr>
          <w:rFonts w:hint="eastAsia" w:ascii="宋体" w:hAnsi="宋体" w:cs="宋体"/>
          <w:sz w:val="24"/>
          <w:szCs w:val="24"/>
        </w:rPr>
        <w:t>（5）建筑施工企业安全生产许可证（取自平台内上传件）；</w:t>
      </w:r>
    </w:p>
    <w:p>
      <w:pPr>
        <w:spacing w:line="360" w:lineRule="auto"/>
        <w:ind w:firstLine="480" w:firstLineChars="200"/>
        <w:rPr>
          <w:rFonts w:ascii="宋体" w:hAnsi="宋体" w:cs="宋体"/>
          <w:sz w:val="24"/>
          <w:szCs w:val="24"/>
        </w:rPr>
      </w:pPr>
      <w:r>
        <w:rPr>
          <w:rFonts w:hint="eastAsia" w:ascii="宋体" w:hAnsi="宋体" w:cs="宋体"/>
          <w:sz w:val="24"/>
          <w:szCs w:val="24"/>
        </w:rPr>
        <w:t>（6）项目负责人（按网上投标登记时选择拟投标的项目负责人）；</w:t>
      </w:r>
    </w:p>
    <w:p>
      <w:pPr>
        <w:spacing w:line="360" w:lineRule="auto"/>
        <w:ind w:firstLine="480" w:firstLineChars="200"/>
        <w:rPr>
          <w:rFonts w:ascii="宋体" w:hAnsi="宋体" w:cs="宋体"/>
          <w:sz w:val="24"/>
          <w:szCs w:val="24"/>
        </w:rPr>
      </w:pPr>
      <w:r>
        <w:rPr>
          <w:rFonts w:hint="eastAsia" w:ascii="宋体" w:hAnsi="宋体" w:cs="宋体"/>
          <w:sz w:val="24"/>
          <w:szCs w:val="24"/>
        </w:rPr>
        <w:t>（7）专职安全员（按网上投标登记时选择拟投标的专职安全员）；</w:t>
      </w:r>
    </w:p>
    <w:p>
      <w:pPr>
        <w:spacing w:line="360" w:lineRule="auto"/>
        <w:ind w:firstLine="480" w:firstLineChars="200"/>
        <w:rPr>
          <w:rFonts w:ascii="宋体" w:hAnsi="宋体" w:cs="宋体"/>
          <w:sz w:val="24"/>
          <w:szCs w:val="24"/>
        </w:rPr>
      </w:pPr>
      <w:r>
        <w:rPr>
          <w:rFonts w:hint="eastAsia" w:ascii="宋体" w:hAnsi="宋体" w:cs="宋体"/>
          <w:sz w:val="24"/>
          <w:szCs w:val="24"/>
        </w:rPr>
        <w:t>（8）拟委托技术负责人的职称证书；</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（9）拟委派项目负责人的建造师注册证书（取自平台内上传件）； </w:t>
      </w:r>
    </w:p>
    <w:p>
      <w:pPr>
        <w:spacing w:line="360" w:lineRule="auto"/>
        <w:ind w:firstLine="480" w:firstLineChars="200"/>
        <w:rPr>
          <w:rFonts w:ascii="宋体" w:hAnsi="宋体" w:cs="宋体"/>
          <w:sz w:val="24"/>
          <w:szCs w:val="24"/>
        </w:rPr>
      </w:pPr>
      <w:r>
        <w:rPr>
          <w:rFonts w:hint="eastAsia" w:ascii="宋体" w:hAnsi="宋体" w:cs="宋体"/>
          <w:sz w:val="24"/>
          <w:szCs w:val="24"/>
        </w:rPr>
        <w:t>（10）项目负责人安全培训考核合格证明或在有效期内的安全考核合格证书（B类）或建筑施工企业项目负责人安全生产考核合格证书（取自平台内上传件）；</w:t>
      </w:r>
    </w:p>
    <w:p>
      <w:pPr>
        <w:spacing w:line="360" w:lineRule="auto"/>
        <w:ind w:firstLine="480" w:firstLineChars="200"/>
        <w:rPr>
          <w:rFonts w:ascii="宋体" w:hAnsi="宋体" w:cs="宋体"/>
          <w:sz w:val="24"/>
          <w:szCs w:val="24"/>
        </w:rPr>
      </w:pPr>
      <w:r>
        <w:rPr>
          <w:rFonts w:hint="eastAsia" w:ascii="宋体" w:hAnsi="宋体" w:cs="宋体"/>
          <w:sz w:val="24"/>
          <w:szCs w:val="24"/>
        </w:rPr>
        <w:t>（11）专职安全员须具有在有效期内的安全考核合格证书（C类）或建筑施工企业专职安全生产管理人员安全生产考核合格证书</w:t>
      </w:r>
      <w:r>
        <w:rPr>
          <w:rFonts w:hint="eastAsia" w:ascii="宋体"/>
          <w:bCs/>
          <w:sz w:val="24"/>
          <w:lang w:eastAsia="zh-CN"/>
        </w:rPr>
        <w:t>（</w:t>
      </w:r>
      <w:r>
        <w:rPr>
          <w:rFonts w:hint="eastAsia" w:ascii="宋体"/>
          <w:bCs/>
          <w:sz w:val="24"/>
          <w:lang w:val="en-US" w:eastAsia="zh-CN"/>
        </w:rPr>
        <w:t>C3类</w:t>
      </w:r>
      <w:r>
        <w:rPr>
          <w:rFonts w:hint="eastAsia" w:ascii="宋体"/>
          <w:bCs/>
          <w:sz w:val="24"/>
          <w:lang w:eastAsia="zh-CN"/>
        </w:rPr>
        <w:t>）</w:t>
      </w:r>
      <w:r>
        <w:rPr>
          <w:rFonts w:hint="eastAsia" w:ascii="宋体" w:hAnsi="宋体" w:cs="宋体"/>
          <w:sz w:val="24"/>
          <w:szCs w:val="24"/>
        </w:rPr>
        <w:t>（取自平台内上传件）；</w:t>
      </w:r>
    </w:p>
    <w:p>
      <w:pPr>
        <w:spacing w:line="360" w:lineRule="auto"/>
        <w:ind w:firstLine="480" w:firstLineChars="200"/>
        <w:rPr>
          <w:rFonts w:ascii="宋体" w:hAnsi="宋体" w:cs="宋体"/>
          <w:sz w:val="24"/>
          <w:szCs w:val="24"/>
        </w:rPr>
      </w:pPr>
      <w:r>
        <w:rPr>
          <w:rFonts w:hint="eastAsia" w:ascii="宋体" w:hAnsi="宋体" w:cs="宋体"/>
          <w:sz w:val="24"/>
          <w:szCs w:val="24"/>
        </w:rPr>
        <w:t>（12）资格审查前，投标人须在广州市住房和城乡建设局建立企业信用档案，拟担任本工程项目负责人、专职安全员须是本企业信用档案中的在册人员。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cs="宋体"/>
          <w:sz w:val="24"/>
          <w:szCs w:val="24"/>
        </w:rPr>
      </w:pPr>
      <w:r>
        <w:rPr>
          <w:rFonts w:hint="eastAsia" w:ascii="宋体" w:hAnsi="宋体" w:cs="宋体"/>
          <w:sz w:val="24"/>
          <w:szCs w:val="24"/>
        </w:rPr>
        <w:t>11.2.3按照招标文件要求填写的《参与编制技术标投标文件人员名单》。</w:t>
      </w:r>
    </w:p>
    <w:p>
      <w:pPr>
        <w:spacing w:line="360" w:lineRule="auto"/>
        <w:ind w:firstLine="480" w:firstLineChars="200"/>
        <w:rPr>
          <w:rFonts w:ascii="宋体" w:hAnsi="宋体" w:cs="宋体"/>
          <w:sz w:val="24"/>
          <w:szCs w:val="24"/>
        </w:rPr>
      </w:pPr>
      <w:r>
        <w:rPr>
          <w:rFonts w:hint="eastAsia" w:ascii="宋体" w:hAnsi="宋体" w:cs="宋体"/>
          <w:sz w:val="24"/>
          <w:szCs w:val="24"/>
        </w:rPr>
        <w:t>11.2.4技术标评分证明材料：</w:t>
      </w:r>
    </w:p>
    <w:p>
      <w:pPr>
        <w:pBdr>
          <w:bottom w:val="single" w:color="auto" w:sz="6" w:space="1"/>
        </w:pBdr>
        <w:spacing w:line="360" w:lineRule="auto"/>
        <w:ind w:firstLine="480" w:firstLineChars="200"/>
        <w:rPr>
          <w:rFonts w:ascii="宋体" w:hAnsi="宋体" w:cs="宋体"/>
          <w:sz w:val="24"/>
          <w:szCs w:val="24"/>
        </w:rPr>
      </w:pPr>
      <w:r>
        <w:rPr>
          <w:rFonts w:hint="eastAsia" w:ascii="宋体" w:hAnsi="宋体" w:cs="宋体"/>
          <w:sz w:val="24"/>
          <w:szCs w:val="24"/>
        </w:rPr>
        <w:t>11.2.5其他投标人认为应该提供的资料。</w:t>
      </w:r>
    </w:p>
    <w:p>
      <w:pPr>
        <w:spacing w:line="360" w:lineRule="auto"/>
        <w:ind w:firstLine="482" w:firstLineChars="200"/>
        <w:rPr>
          <w:rFonts w:hint="eastAsia" w:ascii="宋体" w:hAnsi="宋体" w:cs="宋体"/>
          <w:sz w:val="24"/>
          <w:szCs w:val="24"/>
        </w:rPr>
      </w:pPr>
      <w:r>
        <w:rPr>
          <w:rFonts w:hint="eastAsia" w:ascii="宋体" w:hAnsi="宋体" w:cs="宋体"/>
          <w:b/>
          <w:bCs/>
          <w:sz w:val="24"/>
        </w:rPr>
        <w:t>条款号：  11.3               修改类型：修改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11.3 经济部分投标文件主要包括下列内容：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11.3.1 经济投标文件(按招标文件的要求填写)。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（1）投标总价封面、扉页；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（2）总说明；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（3）工程项目投标报价汇总表；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（4）单项工程投标报价汇总表；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（5）单位工程投标报价汇总表；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（6）分部分项工程清单与计价表；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（7）单价措施项目清单与计价表；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（8）总价措施项目清单与计价表；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（9）综合单价分析表；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（10）其他项目清单与计价汇总表；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（11）暂列金额明细表；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（12）材料（工程设备）暂估价明细表；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（13）专业工程暂估价明细表；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（14）计日工表；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（15）总承包服务计价表；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（16）规费和税金项目计价表；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（17）人工、主要材料和设备一览表。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11.3.3按照招标文件要求填写的《参与编制经济标投标文件人员名单》。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82" w:firstLineChars="200"/>
        <w:rPr>
          <w:rFonts w:hint="eastAsia"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 xml:space="preserve">11.3 </w:t>
      </w:r>
      <w:r>
        <w:rPr>
          <w:rFonts w:hint="eastAsia" w:ascii="宋体" w:hAnsi="宋体" w:cs="宋体"/>
          <w:b/>
          <w:bCs/>
          <w:sz w:val="24"/>
          <w:szCs w:val="24"/>
          <w:u w:val="single"/>
        </w:rPr>
        <w:t>经济部分投标文件</w:t>
      </w:r>
      <w:r>
        <w:rPr>
          <w:rFonts w:hint="eastAsia" w:ascii="宋体" w:hAnsi="宋体" w:cs="宋体"/>
          <w:bCs/>
          <w:sz w:val="24"/>
          <w:szCs w:val="24"/>
        </w:rPr>
        <w:t>主要包括下列内容:</w:t>
      </w:r>
    </w:p>
    <w:p>
      <w:pPr>
        <w:pBdr>
          <w:bottom w:val="single" w:color="auto" w:sz="6" w:space="1"/>
        </w:pBdr>
        <w:adjustRightIn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 xml:space="preserve">11.3.1 </w:t>
      </w:r>
      <w:r>
        <w:rPr>
          <w:rFonts w:hint="eastAsia" w:ascii="宋体" w:hAnsi="宋体" w:cs="宋体"/>
          <w:sz w:val="24"/>
          <w:szCs w:val="24"/>
          <w:u w:val="single"/>
        </w:rPr>
        <w:t>经济投标文件（按招标文件的要求填写）。</w:t>
      </w:r>
    </w:p>
    <w:p>
      <w:pPr>
        <w:pBdr>
          <w:bottom w:val="single" w:color="auto" w:sz="6" w:space="1"/>
        </w:pBdr>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sz w:val="24"/>
          <w:szCs w:val="24"/>
          <w:u w:val="single"/>
        </w:rPr>
        <w:t>（投标报价的工程量清单的组成、格式等由广州公共资源交易中心的投标文件管理软件自动生成）</w:t>
      </w:r>
    </w:p>
    <w:p>
      <w:pPr>
        <w:pBdr>
          <w:bottom w:val="single" w:color="auto" w:sz="6" w:space="1"/>
        </w:pBdr>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11.3.3按照招标文件要求填写的《参与编制经济标投标文件人员名单》。</w:t>
      </w:r>
    </w:p>
    <w:p>
      <w:pPr>
        <w:pBdr>
          <w:bottom w:val="single" w:color="auto" w:sz="6" w:space="1"/>
        </w:pBdr>
        <w:adjustRightIn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11.3.4 《对投标文件编制的承诺》(按招标文件附件的要求填写)。</w:t>
      </w:r>
    </w:p>
    <w:p>
      <w:pPr>
        <w:pBdr>
          <w:bottom w:val="single" w:color="auto" w:sz="6" w:space="1"/>
        </w:pBdr>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11.3.5 若投标人的投标报价低于工程成本警戒价的，投标人还须提供详细的施工组织设计、单价、措施性费用、单价分析表、主要材料价格表、投标人成本分析供评标委员会评审。</w:t>
      </w:r>
    </w:p>
    <w:p>
      <w:pPr>
        <w:spacing w:line="360" w:lineRule="auto"/>
        <w:ind w:firstLine="482" w:firstLineChars="200"/>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12.2       </w:t>
      </w:r>
      <w:r>
        <w:rPr>
          <w:rFonts w:hint="eastAsia" w:ascii="宋体" w:hAnsi="宋体" w:cs="宋体"/>
          <w:b/>
          <w:sz w:val="24"/>
          <w:szCs w:val="24"/>
        </w:rPr>
        <w:t>修改类型：修改</w:t>
      </w:r>
    </w:p>
    <w:p>
      <w:pPr>
        <w:pStyle w:val="6"/>
        <w:spacing w:after="0" w:line="360" w:lineRule="auto"/>
        <w:ind w:firstLine="482" w:firstLineChars="200"/>
        <w:rPr>
          <w:rFonts w:hint="eastAsia" w:ascii="宋体" w:hAnsi="宋体" w:cs="宋体"/>
          <w:sz w:val="24"/>
          <w:szCs w:val="24"/>
        </w:rPr>
      </w:pPr>
      <w:r>
        <w:rPr>
          <w:rFonts w:hint="eastAsia" w:ascii="宋体" w:hAnsi="宋体" w:cs="宋体"/>
          <w:b/>
          <w:bCs/>
          <w:sz w:val="24"/>
          <w:szCs w:val="24"/>
        </w:rPr>
        <w:t>原文：</w:t>
      </w:r>
      <w:r>
        <w:rPr>
          <w:rFonts w:hint="eastAsia" w:ascii="宋体" w:hAnsi="宋体"/>
          <w:sz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w:t>
      </w:r>
    </w:p>
    <w:p>
      <w:pPr>
        <w:pBdr>
          <w:bottom w:val="single" w:color="auto" w:sz="6" w:space="1"/>
        </w:pBdr>
        <w:spacing w:line="360" w:lineRule="auto"/>
        <w:ind w:firstLine="472" w:firstLineChars="196"/>
        <w:rPr>
          <w:rFonts w:hint="eastAsia" w:ascii="宋体" w:hAnsi="宋体" w:cs="宋体"/>
          <w:b/>
          <w:sz w:val="24"/>
          <w:szCs w:val="24"/>
        </w:rPr>
      </w:pPr>
      <w:r>
        <w:rPr>
          <w:rFonts w:hint="eastAsia" w:ascii="宋体" w:hAnsi="宋体" w:cs="宋体"/>
          <w:b/>
          <w:bCs/>
          <w:sz w:val="24"/>
          <w:szCs w:val="24"/>
        </w:rPr>
        <w:t>现文：</w:t>
      </w:r>
      <w:r>
        <w:rPr>
          <w:rFonts w:hint="eastAsia" w:ascii="宋体" w:hAnsi="宋体" w:cs="宋体"/>
          <w:sz w:val="24"/>
          <w:szCs w:val="24"/>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szCs w:val="24"/>
          <w:u w:val="single"/>
        </w:rPr>
        <w:t>广州公共资源交易中心网站。</w:t>
      </w:r>
    </w:p>
    <w:p>
      <w:pPr>
        <w:spacing w:line="360" w:lineRule="auto"/>
        <w:ind w:firstLine="482" w:firstLineChars="200"/>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12.3       </w:t>
      </w:r>
      <w:r>
        <w:rPr>
          <w:rFonts w:hint="eastAsia" w:ascii="宋体" w:hAnsi="宋体" w:cs="宋体"/>
          <w:b/>
          <w:sz w:val="24"/>
          <w:szCs w:val="24"/>
        </w:rPr>
        <w:t>修改类型：修改</w:t>
      </w:r>
    </w:p>
    <w:p>
      <w:pPr>
        <w:pStyle w:val="12"/>
        <w:spacing w:line="360" w:lineRule="auto"/>
        <w:ind w:firstLine="482" w:firstLineChars="20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 xml:space="preserve">12.3 </w:t>
      </w:r>
      <w:r>
        <w:rPr>
          <w:rFonts w:hint="eastAsia" w:ascii="宋体" w:hAnsi="宋体" w:cs="宋体"/>
          <w:bCs/>
          <w:sz w:val="24"/>
          <w:szCs w:val="24"/>
        </w:rPr>
        <w:t>投标文件应按</w:t>
      </w:r>
      <w:r>
        <w:rPr>
          <w:rFonts w:hint="eastAsia" w:ascii="宋体" w:hAnsi="宋体" w:cs="宋体"/>
          <w:sz w:val="24"/>
          <w:szCs w:val="24"/>
        </w:rPr>
        <w:t>照交易平台关于全流程电子化项目的相关指南进行编制，详见：</w:t>
      </w:r>
      <w:r>
        <w:rPr>
          <w:rFonts w:hint="eastAsia" w:ascii="宋体" w:hAnsi="宋体" w:cs="宋体"/>
          <w:sz w:val="24"/>
          <w:szCs w:val="24"/>
          <w:u w:val="single"/>
        </w:rPr>
        <w:t xml:space="preserve">            </w:t>
      </w:r>
      <w:r>
        <w:rPr>
          <w:rFonts w:hint="eastAsia" w:ascii="宋体" w:hAnsi="宋体" w:cs="宋体"/>
          <w:sz w:val="24"/>
          <w:szCs w:val="24"/>
        </w:rPr>
        <w:t>。</w:t>
      </w:r>
    </w:p>
    <w:p>
      <w:pPr>
        <w:pBdr>
          <w:bottom w:val="single" w:color="auto" w:sz="6" w:space="1"/>
        </w:pBdr>
        <w:spacing w:line="360" w:lineRule="auto"/>
        <w:ind w:firstLine="472" w:firstLineChars="196"/>
        <w:rPr>
          <w:rFonts w:hint="eastAsia" w:ascii="宋体" w:hAnsi="宋体" w:cs="宋体"/>
          <w:b/>
          <w:sz w:val="24"/>
          <w:szCs w:val="24"/>
        </w:rPr>
      </w:pPr>
      <w:r>
        <w:rPr>
          <w:rFonts w:hint="eastAsia" w:ascii="宋体" w:hAnsi="宋体" w:cs="宋体"/>
          <w:b/>
          <w:bCs/>
          <w:sz w:val="24"/>
          <w:szCs w:val="24"/>
        </w:rPr>
        <w:t>现文：</w:t>
      </w:r>
      <w:r>
        <w:rPr>
          <w:rFonts w:hint="eastAsia" w:ascii="宋体" w:hAnsi="宋体" w:cs="宋体"/>
          <w:sz w:val="24"/>
          <w:szCs w:val="24"/>
        </w:rPr>
        <w:t xml:space="preserve">12.3 </w:t>
      </w:r>
      <w:r>
        <w:rPr>
          <w:rFonts w:hint="eastAsia" w:ascii="宋体" w:hAnsi="宋体" w:cs="宋体"/>
          <w:bCs/>
          <w:sz w:val="24"/>
          <w:szCs w:val="24"/>
        </w:rPr>
        <w:t>投标文件应按</w:t>
      </w:r>
      <w:r>
        <w:rPr>
          <w:rFonts w:hint="eastAsia" w:ascii="宋体" w:hAnsi="宋体" w:cs="宋体"/>
          <w:sz w:val="24"/>
          <w:szCs w:val="24"/>
        </w:rPr>
        <w:t>照交易平台关于全流程电子化项目的相关指南进行编制，详见：</w:t>
      </w:r>
      <w:r>
        <w:rPr>
          <w:rFonts w:hint="eastAsia" w:ascii="宋体" w:hAnsi="宋体" w:cs="宋体"/>
          <w:sz w:val="24"/>
          <w:szCs w:val="24"/>
          <w:u w:val="single"/>
        </w:rPr>
        <w:t>广州公共资源交易中心网站。</w:t>
      </w:r>
    </w:p>
    <w:p>
      <w:pPr>
        <w:spacing w:line="360" w:lineRule="auto"/>
        <w:ind w:firstLine="540" w:firstLineChars="224"/>
        <w:rPr>
          <w:rFonts w:ascii="宋体" w:hAnsi="宋体" w:cs="宋体"/>
          <w:b/>
          <w:sz w:val="24"/>
          <w:szCs w:val="24"/>
        </w:rPr>
      </w:pPr>
      <w:r>
        <w:rPr>
          <w:rFonts w:hint="eastAsia" w:ascii="宋体" w:hAnsi="宋体" w:cs="宋体"/>
          <w:b/>
          <w:sz w:val="24"/>
          <w:szCs w:val="24"/>
        </w:rPr>
        <w:t>条款号：13.1              修改类型：修改</w:t>
      </w:r>
    </w:p>
    <w:p>
      <w:pPr>
        <w:pBdr>
          <w:bottom w:val="single" w:color="auto" w:sz="6" w:space="1"/>
        </w:pBdr>
        <w:spacing w:line="360" w:lineRule="auto"/>
        <w:ind w:firstLine="602" w:firstLineChars="25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13.1 本工程的投标报价采用投标须知前附表第12项所规定的方式。投标报价（含单价及总价）精确到“分”。</w:t>
      </w:r>
    </w:p>
    <w:p>
      <w:pPr>
        <w:pBdr>
          <w:bottom w:val="single" w:color="auto" w:sz="6" w:space="1"/>
        </w:pBdr>
        <w:spacing w:line="360" w:lineRule="auto"/>
        <w:ind w:firstLine="602" w:firstLineChars="250"/>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本工程的投标报价采用投标须知前附表第12项所规定的方式。</w:t>
      </w:r>
      <w:r>
        <w:rPr>
          <w:rFonts w:hint="eastAsia" w:ascii="宋体" w:hAnsi="宋体" w:cs="宋体"/>
          <w:sz w:val="24"/>
          <w:szCs w:val="24"/>
          <w:u w:val="single"/>
        </w:rPr>
        <w:t>投标文件中的大写金额和小写金额不一致的，以大写金额为准，</w:t>
      </w:r>
      <w:r>
        <w:rPr>
          <w:rFonts w:hint="eastAsia" w:ascii="宋体" w:hAnsi="宋体" w:cs="宋体"/>
          <w:sz w:val="24"/>
          <w:szCs w:val="24"/>
        </w:rPr>
        <w:t>投标报价（含单价及总价）精确到“分”。</w:t>
      </w:r>
    </w:p>
    <w:p>
      <w:pPr>
        <w:spacing w:line="360" w:lineRule="auto"/>
        <w:ind w:firstLine="472" w:firstLineChars="224"/>
        <w:rPr>
          <w:rFonts w:ascii="宋体" w:hAnsi="宋体" w:cs="宋体"/>
          <w:b/>
          <w:szCs w:val="21"/>
        </w:rPr>
      </w:pPr>
      <w:r>
        <w:rPr>
          <w:rFonts w:hint="eastAsia" w:ascii="宋体" w:hAnsi="宋体" w:cs="宋体"/>
          <w:b/>
          <w:szCs w:val="21"/>
        </w:rPr>
        <w:t>条款号：13.4              修改类型：修改</w:t>
      </w:r>
    </w:p>
    <w:p>
      <w:pPr>
        <w:pBdr>
          <w:bottom w:val="single" w:color="auto" w:sz="6" w:space="1"/>
        </w:pBdr>
        <w:spacing w:line="360" w:lineRule="auto"/>
        <w:ind w:firstLine="602" w:firstLineChars="25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602" w:firstLineChars="250"/>
        <w:rPr>
          <w:rFonts w:ascii="宋体" w:hAnsi="宋体" w:cs="宋体"/>
          <w:sz w:val="24"/>
          <w:szCs w:val="24"/>
          <w:u w:val="single"/>
        </w:rPr>
      </w:pPr>
      <w:r>
        <w:rPr>
          <w:rFonts w:hint="eastAsia" w:ascii="宋体" w:hAnsi="宋体" w:cs="宋体"/>
          <w:b/>
          <w:sz w:val="24"/>
          <w:szCs w:val="24"/>
        </w:rPr>
        <w:t>现文：</w:t>
      </w:r>
      <w:r>
        <w:rPr>
          <w:rFonts w:hint="eastAsia" w:ascii="宋体" w:hAnsi="宋体" w:cs="宋体"/>
          <w:sz w:val="24"/>
          <w:szCs w:val="24"/>
        </w:rPr>
        <w:t>13.4</w:t>
      </w:r>
      <w:r>
        <w:rPr>
          <w:rFonts w:hint="eastAsia" w:ascii="宋体" w:hAnsi="宋体" w:cs="宋体"/>
          <w:sz w:val="24"/>
          <w:szCs w:val="24"/>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w:t>
      </w:r>
    </w:p>
    <w:p>
      <w:pPr>
        <w:spacing w:line="360" w:lineRule="auto"/>
        <w:ind w:firstLine="482" w:firstLineChars="200"/>
        <w:rPr>
          <w:rFonts w:ascii="宋体" w:hAnsi="宋体" w:cs="宋体"/>
          <w:b/>
          <w:sz w:val="24"/>
          <w:szCs w:val="24"/>
        </w:rPr>
      </w:pPr>
      <w:r>
        <w:rPr>
          <w:rFonts w:hint="eastAsia" w:ascii="宋体" w:hAnsi="宋体" w:cs="宋体"/>
          <w:b/>
          <w:sz w:val="24"/>
          <w:szCs w:val="24"/>
        </w:rPr>
        <w:t>条款号：13.5  13.5.1  13.5.2  13.5.3  13.5.4          修改类型：修改</w:t>
      </w:r>
    </w:p>
    <w:p>
      <w:pPr>
        <w:pStyle w:val="6"/>
        <w:pBdr>
          <w:bottom w:val="single" w:color="auto" w:sz="6" w:space="1"/>
        </w:pBdr>
        <w:spacing w:after="0" w:line="360" w:lineRule="auto"/>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13.5工程项目实施期间……，中标后双方协商约定。</w:t>
      </w:r>
    </w:p>
    <w:p>
      <w:pPr>
        <w:pBdr>
          <w:bottom w:val="single" w:color="auto" w:sz="6" w:space="1"/>
        </w:pBdr>
        <w:spacing w:line="360" w:lineRule="auto"/>
        <w:ind w:firstLine="602" w:firstLineChars="250"/>
        <w:rPr>
          <w:rFonts w:ascii="宋体" w:hAnsi="宋体" w:cs="宋体"/>
          <w:sz w:val="24"/>
          <w:szCs w:val="24"/>
          <w:u w:val="single"/>
        </w:rPr>
      </w:pPr>
      <w:r>
        <w:rPr>
          <w:rFonts w:hint="eastAsia" w:ascii="宋体" w:hAnsi="宋体" w:cs="宋体"/>
          <w:b/>
          <w:sz w:val="24"/>
          <w:szCs w:val="24"/>
        </w:rPr>
        <w:t>现文：</w:t>
      </w:r>
      <w:r>
        <w:rPr>
          <w:rFonts w:hint="eastAsia" w:ascii="宋体" w:hAnsi="宋体" w:cs="宋体"/>
          <w:sz w:val="24"/>
          <w:szCs w:val="24"/>
        </w:rPr>
        <w:t>13.5</w:t>
      </w:r>
      <w:r>
        <w:rPr>
          <w:rFonts w:hint="eastAsia" w:ascii="宋体" w:hAnsi="宋体" w:cs="宋体"/>
          <w:sz w:val="24"/>
          <w:szCs w:val="24"/>
          <w:u w:val="single"/>
        </w:rPr>
        <w:t>变更结算方式按招标文件及施工合同相关规定执行。</w:t>
      </w:r>
    </w:p>
    <w:p>
      <w:pPr>
        <w:spacing w:line="480" w:lineRule="auto"/>
        <w:ind w:firstLine="540" w:firstLineChars="224"/>
        <w:rPr>
          <w:rFonts w:ascii="宋体" w:hAnsi="宋体" w:cs="宋体"/>
          <w:b/>
          <w:sz w:val="24"/>
          <w:szCs w:val="24"/>
        </w:rPr>
      </w:pPr>
      <w:r>
        <w:rPr>
          <w:rFonts w:hint="eastAsia" w:ascii="宋体" w:hAnsi="宋体" w:cs="宋体"/>
          <w:b/>
          <w:sz w:val="24"/>
          <w:szCs w:val="24"/>
        </w:rPr>
        <w:t>条款号：</w:t>
      </w:r>
      <w:r>
        <w:rPr>
          <w:rFonts w:hint="eastAsia" w:ascii="宋体" w:hAnsi="宋体" w:cs="宋体"/>
          <w:bCs/>
          <w:sz w:val="24"/>
          <w:szCs w:val="24"/>
        </w:rPr>
        <w:t xml:space="preserve">13.9 </w:t>
      </w:r>
      <w:r>
        <w:rPr>
          <w:rFonts w:hint="eastAsia" w:ascii="宋体" w:hAnsi="宋体" w:cs="宋体"/>
          <w:b/>
          <w:sz w:val="24"/>
          <w:szCs w:val="24"/>
        </w:rPr>
        <w:t xml:space="preserve">            修改类型：删除</w:t>
      </w:r>
    </w:p>
    <w:p>
      <w:pPr>
        <w:pBdr>
          <w:bottom w:val="single" w:color="auto" w:sz="6" w:space="1"/>
        </w:pBdr>
        <w:spacing w:line="360" w:lineRule="auto"/>
        <w:ind w:firstLine="602" w:firstLineChars="250"/>
        <w:rPr>
          <w:rFonts w:ascii="宋体" w:hAnsi="宋体" w:cs="宋体"/>
          <w:sz w:val="24"/>
          <w:szCs w:val="24"/>
          <w:u w:val="single"/>
        </w:rPr>
      </w:pPr>
      <w:r>
        <w:rPr>
          <w:rFonts w:hint="eastAsia" w:ascii="宋体" w:hAnsi="宋体" w:cs="宋体"/>
          <w:b/>
          <w:sz w:val="24"/>
          <w:szCs w:val="24"/>
        </w:rPr>
        <w:t>原文：</w:t>
      </w:r>
      <w:r>
        <w:rPr>
          <w:rFonts w:hint="eastAsia" w:ascii="宋体" w:hAnsi="宋体" w:cs="宋体"/>
          <w:bCs/>
          <w:sz w:val="24"/>
          <w:szCs w:val="24"/>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spacing w:line="480" w:lineRule="auto"/>
        <w:ind w:firstLine="540" w:firstLineChars="224"/>
        <w:rPr>
          <w:b/>
          <w:sz w:val="24"/>
          <w:szCs w:val="24"/>
        </w:rPr>
      </w:pPr>
      <w:r>
        <w:rPr>
          <w:b/>
          <w:sz w:val="24"/>
          <w:szCs w:val="24"/>
        </w:rPr>
        <w:t>条款号：16.1-16.7                 修改类型：修改</w:t>
      </w:r>
    </w:p>
    <w:p>
      <w:pPr>
        <w:spacing w:line="360" w:lineRule="auto"/>
        <w:ind w:firstLine="482" w:firstLineChars="200"/>
        <w:rPr>
          <w:rFonts w:ascii="宋体" w:hAnsi="宋体"/>
          <w:sz w:val="24"/>
        </w:rPr>
      </w:pPr>
      <w:r>
        <w:rPr>
          <w:b/>
          <w:sz w:val="24"/>
          <w:szCs w:val="24"/>
        </w:rPr>
        <w:t>原文：</w:t>
      </w:r>
      <w:r>
        <w:rPr>
          <w:rFonts w:ascii="宋体" w:hAnsi="宋体"/>
          <w:sz w:val="24"/>
        </w:rPr>
        <w:t>16.1</w:t>
      </w:r>
      <w:r>
        <w:rPr>
          <w:rFonts w:hint="eastAsia" w:ascii="宋体" w:hAnsi="宋体"/>
          <w:sz w:val="24"/>
        </w:rPr>
        <w:t>投标人应按投标须知前附表第</w:t>
      </w:r>
      <w:r>
        <w:rPr>
          <w:rFonts w:ascii="宋体" w:hAnsi="宋体"/>
          <w:sz w:val="24"/>
        </w:rPr>
        <w:t>14</w:t>
      </w:r>
      <w:r>
        <w:rPr>
          <w:rFonts w:hint="eastAsia" w:ascii="宋体" w:hAnsi="宋体"/>
          <w:sz w:val="24"/>
        </w:rPr>
        <w:t>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pPr>
        <w:spacing w:line="360" w:lineRule="auto"/>
        <w:ind w:firstLine="480" w:firstLineChars="200"/>
        <w:rPr>
          <w:rFonts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rPr>
      </w:pPr>
      <w:r>
        <w:rPr>
          <w:rFonts w:hint="eastAsia" w:ascii="宋体" w:hAnsi="宋体"/>
          <w:sz w:val="24"/>
        </w:rPr>
        <w:t>16.3投标保证金应依据法律法规的相关规定退还。</w:t>
      </w:r>
    </w:p>
    <w:p>
      <w:pPr>
        <w:spacing w:line="360" w:lineRule="auto"/>
        <w:ind w:firstLine="480" w:firstLineChars="200"/>
        <w:rPr>
          <w:rFonts w:ascii="宋体" w:hAnsi="宋体"/>
          <w:sz w:val="24"/>
        </w:rPr>
      </w:pPr>
      <w:r>
        <w:rPr>
          <w:rFonts w:hint="eastAsia" w:ascii="宋体" w:hAnsi="宋体"/>
          <w:sz w:val="24"/>
        </w:rPr>
        <w:t>16.4如有下列情况之一的，招标人可以不予退还投标保证金（是否退还投标保证金由招标人在招标文件中规定）：</w:t>
      </w:r>
    </w:p>
    <w:p>
      <w:pPr>
        <w:spacing w:line="360" w:lineRule="auto"/>
        <w:ind w:firstLine="480" w:firstLineChars="200"/>
        <w:rPr>
          <w:rFonts w:ascii="宋体" w:hAnsi="宋体"/>
          <w:sz w:val="24"/>
        </w:rPr>
      </w:pPr>
      <w:r>
        <w:rPr>
          <w:rFonts w:hint="eastAsia" w:ascii="宋体" w:hAnsi="宋体"/>
          <w:sz w:val="24"/>
        </w:rPr>
        <w:t>16.4.1因投标人原因造成投标文件未解密的；</w:t>
      </w:r>
    </w:p>
    <w:p>
      <w:pPr>
        <w:spacing w:line="360" w:lineRule="auto"/>
        <w:ind w:firstLine="480" w:firstLineChars="200"/>
        <w:rPr>
          <w:rFonts w:ascii="宋体" w:hAnsi="宋体"/>
          <w:sz w:val="24"/>
        </w:rPr>
      </w:pPr>
      <w:r>
        <w:rPr>
          <w:rFonts w:hint="eastAsia" w:ascii="宋体" w:hAnsi="宋体"/>
          <w:sz w:val="24"/>
        </w:rPr>
        <w:t>16.4.2投标人在投标有效期内撤销投标文件；</w:t>
      </w:r>
    </w:p>
    <w:p>
      <w:pPr>
        <w:spacing w:line="360" w:lineRule="auto"/>
        <w:ind w:firstLine="480" w:firstLineChars="200"/>
        <w:rPr>
          <w:rFonts w:ascii="宋体" w:hAnsi="宋体"/>
          <w:sz w:val="24"/>
        </w:rPr>
      </w:pPr>
      <w:r>
        <w:rPr>
          <w:rFonts w:hint="eastAsia" w:ascii="宋体" w:hAnsi="宋体"/>
          <w:sz w:val="24"/>
        </w:rPr>
        <w:t>16.4.3中标人未能在规定期限内按要求提交履约担保；</w:t>
      </w:r>
    </w:p>
    <w:p>
      <w:pPr>
        <w:spacing w:line="360" w:lineRule="auto"/>
        <w:ind w:firstLine="480" w:firstLineChars="200"/>
        <w:rPr>
          <w:rFonts w:ascii="宋体" w:hAnsi="宋体"/>
          <w:sz w:val="24"/>
        </w:rPr>
      </w:pPr>
      <w:r>
        <w:rPr>
          <w:rFonts w:hint="eastAsia" w:ascii="宋体" w:hAnsi="宋体"/>
          <w:sz w:val="24"/>
        </w:rPr>
        <w:t>16.4.4中标人未能在规定期限内签署合同协议。</w:t>
      </w:r>
    </w:p>
    <w:p>
      <w:pPr>
        <w:spacing w:line="360" w:lineRule="auto"/>
        <w:ind w:firstLine="480" w:firstLineChars="200"/>
        <w:rPr>
          <w:rFonts w:ascii="宋体" w:hAnsi="宋体"/>
          <w:sz w:val="24"/>
        </w:rPr>
      </w:pPr>
      <w:r>
        <w:rPr>
          <w:rFonts w:hint="eastAsia" w:ascii="宋体" w:hAnsi="宋体"/>
          <w:sz w:val="24"/>
        </w:rPr>
        <w:t>16.5投标人如存在下列情况之一的，将被拒绝在一定时期内参与招标人后续工程投标（拒绝时限需在招标文件中明确）：</w:t>
      </w:r>
    </w:p>
    <w:p>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16.5.3按招标文件要求免于提供投标保证金的投标人存在16.4条款所列情形的。</w:t>
      </w:r>
    </w:p>
    <w:p>
      <w:pPr>
        <w:spacing w:line="360" w:lineRule="auto"/>
        <w:ind w:firstLine="480" w:firstLineChars="200"/>
        <w:rPr>
          <w:rFonts w:ascii="宋体"/>
          <w:sz w:val="24"/>
        </w:rPr>
      </w:pPr>
      <w:r>
        <w:rPr>
          <w:rFonts w:hint="eastAsia" w:ascii="宋体" w:hAnsi="宋体"/>
          <w:sz w:val="24"/>
        </w:rPr>
        <w:t>注：16.5.3款由招标人二选一，需在招标文件中明确。</w:t>
      </w:r>
    </w:p>
    <w:p>
      <w:pPr>
        <w:pBdr>
          <w:bottom w:val="single" w:color="auto" w:sz="6" w:space="1"/>
        </w:pBdr>
        <w:spacing w:line="360" w:lineRule="auto"/>
        <w:ind w:firstLine="602" w:firstLineChars="250"/>
        <w:rPr>
          <w:bCs/>
          <w:sz w:val="24"/>
          <w:szCs w:val="24"/>
        </w:rPr>
      </w:pPr>
      <w:r>
        <w:rPr>
          <w:b/>
          <w:sz w:val="24"/>
          <w:szCs w:val="24"/>
        </w:rPr>
        <w:t>现文：</w:t>
      </w:r>
      <w:r>
        <w:rPr>
          <w:bCs/>
          <w:sz w:val="24"/>
          <w:szCs w:val="24"/>
        </w:rPr>
        <w:t>16.1投标人应按投标须知前附表第14项所述金额和时间递交投标保证金。招标人应当允许投标人自主选择现金、银行保函、保证保险、专业工程担保公司担保等方式缴纳投标保证金。</w:t>
      </w:r>
    </w:p>
    <w:p>
      <w:pPr>
        <w:pBdr>
          <w:bottom w:val="single" w:color="auto" w:sz="6" w:space="1"/>
        </w:pBdr>
        <w:spacing w:line="360" w:lineRule="auto"/>
        <w:ind w:firstLine="600" w:firstLineChars="250"/>
        <w:rPr>
          <w:bCs/>
          <w:sz w:val="24"/>
          <w:szCs w:val="24"/>
        </w:rPr>
      </w:pPr>
      <w:r>
        <w:rPr>
          <w:bCs/>
          <w:sz w:val="24"/>
          <w:szCs w:val="24"/>
        </w:rPr>
        <w:t>16.1.1 采用现金或者支票形式提交的，投标保证金须从投标人的银行基本账户转出。</w:t>
      </w:r>
    </w:p>
    <w:p>
      <w:pPr>
        <w:pBdr>
          <w:bottom w:val="single" w:color="auto" w:sz="6" w:space="1"/>
        </w:pBdr>
        <w:spacing w:line="360" w:lineRule="auto"/>
        <w:ind w:firstLine="600" w:firstLineChars="250"/>
        <w:rPr>
          <w:bCs/>
          <w:sz w:val="24"/>
          <w:szCs w:val="24"/>
        </w:rPr>
      </w:pPr>
      <w:r>
        <w:rPr>
          <w:bCs/>
          <w:sz w:val="24"/>
          <w:szCs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600" w:firstLineChars="250"/>
        <w:rPr>
          <w:bCs/>
          <w:sz w:val="24"/>
          <w:szCs w:val="24"/>
        </w:rPr>
      </w:pPr>
      <w:r>
        <w:rPr>
          <w:bCs/>
          <w:sz w:val="24"/>
          <w:szCs w:val="24"/>
        </w:rPr>
        <w:t>16.1.3 采用电子形式的保函、担保或保证保险提交投标保证金的，应在招标文件中明确电子递交途径。</w:t>
      </w:r>
    </w:p>
    <w:p>
      <w:pPr>
        <w:pBdr>
          <w:bottom w:val="single" w:color="auto" w:sz="6" w:space="1"/>
        </w:pBdr>
        <w:spacing w:line="360" w:lineRule="auto"/>
        <w:ind w:firstLine="600" w:firstLineChars="250"/>
        <w:rPr>
          <w:bCs/>
          <w:sz w:val="24"/>
          <w:szCs w:val="24"/>
        </w:rPr>
      </w:pPr>
      <w:r>
        <w:rPr>
          <w:bCs/>
          <w:sz w:val="24"/>
          <w:szCs w:val="24"/>
        </w:rPr>
        <w:t>16.2开标时投标人没有按要求提供投标保证金的，其投标文件将被否决；未按招标文件要求提交符合免予提供投标保证金相关证明材料，且未提交投标保证金的投标人，视为未按要求提供投标保证金。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6" w:space="1"/>
        </w:pBdr>
        <w:spacing w:line="360" w:lineRule="auto"/>
        <w:ind w:firstLine="600" w:firstLineChars="250"/>
        <w:rPr>
          <w:bCs/>
          <w:sz w:val="24"/>
          <w:szCs w:val="24"/>
        </w:rPr>
      </w:pPr>
      <w:r>
        <w:rPr>
          <w:bCs/>
          <w:sz w:val="24"/>
          <w:szCs w:val="24"/>
        </w:rPr>
        <w:t>16.3投标保证金应依据法律法规的相关规定退还。</w:t>
      </w:r>
    </w:p>
    <w:p>
      <w:pPr>
        <w:pBdr>
          <w:bottom w:val="single" w:color="auto" w:sz="6" w:space="1"/>
        </w:pBdr>
        <w:spacing w:line="360" w:lineRule="auto"/>
        <w:ind w:firstLine="600" w:firstLineChars="250"/>
        <w:rPr>
          <w:bCs/>
          <w:sz w:val="24"/>
          <w:szCs w:val="24"/>
        </w:rPr>
      </w:pPr>
      <w:r>
        <w:rPr>
          <w:bCs/>
          <w:sz w:val="24"/>
          <w:szCs w:val="24"/>
        </w:rPr>
        <w:t>16.4如有下列情况之一的，招标人</w:t>
      </w:r>
      <w:r>
        <w:rPr>
          <w:rFonts w:hint="eastAsia"/>
          <w:bCs/>
          <w:sz w:val="24"/>
          <w:szCs w:val="24"/>
        </w:rPr>
        <w:t>将不予退还投标保证金</w:t>
      </w:r>
      <w:r>
        <w:rPr>
          <w:bCs/>
          <w:sz w:val="24"/>
          <w:szCs w:val="24"/>
        </w:rPr>
        <w:t>：</w:t>
      </w:r>
    </w:p>
    <w:p>
      <w:pPr>
        <w:pBdr>
          <w:bottom w:val="single" w:color="auto" w:sz="6" w:space="1"/>
        </w:pBdr>
        <w:spacing w:line="360" w:lineRule="auto"/>
        <w:ind w:firstLine="600" w:firstLineChars="250"/>
        <w:rPr>
          <w:bCs/>
          <w:sz w:val="24"/>
          <w:szCs w:val="24"/>
        </w:rPr>
      </w:pPr>
      <w:r>
        <w:rPr>
          <w:bCs/>
          <w:sz w:val="24"/>
          <w:szCs w:val="24"/>
        </w:rPr>
        <w:t>16.4.1因投标人原因造成投标文件未解密的；</w:t>
      </w:r>
    </w:p>
    <w:p>
      <w:pPr>
        <w:pBdr>
          <w:bottom w:val="single" w:color="auto" w:sz="6" w:space="1"/>
        </w:pBdr>
        <w:spacing w:line="360" w:lineRule="auto"/>
        <w:ind w:firstLine="600" w:firstLineChars="250"/>
        <w:rPr>
          <w:bCs/>
          <w:sz w:val="24"/>
          <w:szCs w:val="24"/>
        </w:rPr>
      </w:pPr>
      <w:r>
        <w:rPr>
          <w:bCs/>
          <w:sz w:val="24"/>
          <w:szCs w:val="24"/>
        </w:rPr>
        <w:t>16.4.2投标人在投标有效期内撤销投标文件；</w:t>
      </w:r>
    </w:p>
    <w:p>
      <w:pPr>
        <w:pBdr>
          <w:bottom w:val="single" w:color="auto" w:sz="6" w:space="1"/>
        </w:pBdr>
        <w:spacing w:line="360" w:lineRule="auto"/>
        <w:ind w:firstLine="600" w:firstLineChars="250"/>
        <w:rPr>
          <w:bCs/>
          <w:sz w:val="24"/>
          <w:szCs w:val="24"/>
        </w:rPr>
      </w:pPr>
      <w:r>
        <w:rPr>
          <w:bCs/>
          <w:sz w:val="24"/>
          <w:szCs w:val="24"/>
        </w:rPr>
        <w:t>16.4.3中标人未能在规定期限内按要求提交履约担保；</w:t>
      </w:r>
    </w:p>
    <w:p>
      <w:pPr>
        <w:pBdr>
          <w:bottom w:val="single" w:color="auto" w:sz="6" w:space="1"/>
        </w:pBdr>
        <w:spacing w:line="360" w:lineRule="auto"/>
        <w:ind w:firstLine="600" w:firstLineChars="250"/>
        <w:rPr>
          <w:bCs/>
          <w:sz w:val="24"/>
          <w:szCs w:val="24"/>
        </w:rPr>
      </w:pPr>
      <w:r>
        <w:rPr>
          <w:bCs/>
          <w:sz w:val="24"/>
          <w:szCs w:val="24"/>
        </w:rPr>
        <w:t>16.4.4中标人未能在规定期限内签署合同协议。</w:t>
      </w:r>
    </w:p>
    <w:p>
      <w:pPr>
        <w:pBdr>
          <w:bottom w:val="single" w:color="auto" w:sz="6" w:space="1"/>
        </w:pBdr>
        <w:spacing w:line="360" w:lineRule="auto"/>
        <w:ind w:firstLine="600" w:firstLineChars="250"/>
        <w:rPr>
          <w:bCs/>
          <w:sz w:val="24"/>
          <w:szCs w:val="24"/>
        </w:rPr>
      </w:pPr>
      <w:r>
        <w:rPr>
          <w:bCs/>
          <w:sz w:val="24"/>
          <w:szCs w:val="24"/>
        </w:rPr>
        <w:t>16.5投标人如存在下列情况之一的，将被拒绝在一定时期内参与招标人后续工程投标（拒绝时限</w:t>
      </w:r>
      <w:r>
        <w:rPr>
          <w:rFonts w:hint="eastAsia"/>
          <w:bCs/>
          <w:sz w:val="24"/>
          <w:szCs w:val="24"/>
        </w:rPr>
        <w:t>为</w:t>
      </w:r>
      <w:r>
        <w:rPr>
          <w:rFonts w:hint="eastAsia"/>
          <w:bCs/>
          <w:sz w:val="24"/>
          <w:szCs w:val="24"/>
          <w:u w:val="single"/>
        </w:rPr>
        <w:t>180</w:t>
      </w:r>
      <w:r>
        <w:rPr>
          <w:rFonts w:hint="eastAsia"/>
          <w:bCs/>
          <w:sz w:val="24"/>
          <w:szCs w:val="24"/>
        </w:rPr>
        <w:t>日历天</w:t>
      </w:r>
      <w:r>
        <w:rPr>
          <w:bCs/>
          <w:sz w:val="24"/>
          <w:szCs w:val="24"/>
        </w:rPr>
        <w:t>）：</w:t>
      </w:r>
    </w:p>
    <w:p>
      <w:pPr>
        <w:pBdr>
          <w:bottom w:val="single" w:color="auto" w:sz="6" w:space="1"/>
        </w:pBdr>
        <w:spacing w:line="360" w:lineRule="auto"/>
        <w:ind w:firstLine="600" w:firstLineChars="250"/>
        <w:rPr>
          <w:bCs/>
          <w:sz w:val="24"/>
          <w:szCs w:val="24"/>
        </w:rPr>
      </w:pPr>
      <w:r>
        <w:rPr>
          <w:bCs/>
          <w:sz w:val="24"/>
          <w:szCs w:val="24"/>
        </w:rPr>
        <w:t>16.5.1投标人存在16.4条款所列情形且投标人提交的保函、担保或保证保险无法兑付的；</w:t>
      </w:r>
    </w:p>
    <w:p>
      <w:pPr>
        <w:pBdr>
          <w:bottom w:val="single" w:color="auto" w:sz="6" w:space="1"/>
        </w:pBdr>
        <w:spacing w:line="360" w:lineRule="auto"/>
        <w:ind w:firstLine="600" w:firstLineChars="250"/>
        <w:rPr>
          <w:bCs/>
          <w:sz w:val="24"/>
          <w:szCs w:val="24"/>
        </w:rPr>
      </w:pPr>
      <w:r>
        <w:rPr>
          <w:bCs/>
          <w:sz w:val="24"/>
          <w:szCs w:val="24"/>
        </w:rPr>
        <w:t>16.5.2采用非电子形式提交投标保证金的投标人存在16.4条款所列情形，且未按招标人要求补交银行保函、专业工程担保公司担保或保证保险原件的；</w:t>
      </w:r>
    </w:p>
    <w:p>
      <w:pPr>
        <w:spacing w:line="36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17.1</w:t>
      </w:r>
      <w:r>
        <w:rPr>
          <w:rFonts w:hint="eastAsia" w:ascii="宋体" w:hAnsi="宋体" w:cs="宋体"/>
          <w:b/>
          <w:sz w:val="24"/>
          <w:szCs w:val="24"/>
        </w:rPr>
        <w:t xml:space="preserve">            修改类型：修改</w:t>
      </w:r>
    </w:p>
    <w:p>
      <w:pPr>
        <w:spacing w:line="360" w:lineRule="auto"/>
        <w:ind w:firstLine="482" w:firstLineChars="200"/>
        <w:rPr>
          <w:rFonts w:hint="eastAsia" w:ascii="宋体" w:hAnsi="宋体" w:cs="宋体"/>
          <w:sz w:val="24"/>
          <w:szCs w:val="24"/>
        </w:rPr>
      </w:pPr>
      <w:r>
        <w:rPr>
          <w:rFonts w:hint="eastAsia" w:ascii="宋体" w:hAnsi="宋体" w:cs="宋体"/>
          <w:b/>
          <w:sz w:val="24"/>
          <w:szCs w:val="24"/>
        </w:rPr>
        <w:t>原文：</w:t>
      </w:r>
      <w:r>
        <w:rPr>
          <w:rFonts w:hint="eastAsia" w:ascii="宋体" w:hAnsi="宋体"/>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u w:val="single"/>
        </w:rPr>
        <w:t xml:space="preserve">            </w:t>
      </w:r>
      <w:r>
        <w:rPr>
          <w:rFonts w:hint="eastAsia" w:ascii="宋体" w:hAnsi="宋体"/>
          <w:sz w:val="24"/>
        </w:rPr>
        <w:t>。</w:t>
      </w:r>
    </w:p>
    <w:p>
      <w:pPr>
        <w:pBdr>
          <w:bottom w:val="single" w:color="auto" w:sz="6" w:space="1"/>
        </w:pBdr>
        <w:spacing w:line="360" w:lineRule="auto"/>
        <w:ind w:firstLine="602" w:firstLineChars="250"/>
        <w:rPr>
          <w:rFonts w:hint="eastAsia"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szCs w:val="24"/>
          <w:u w:val="single"/>
        </w:rPr>
        <w:t>广州公共资源交易中心网站</w:t>
      </w:r>
      <w:r>
        <w:rPr>
          <w:rFonts w:hint="eastAsia" w:ascii="宋体" w:hAnsi="宋体" w:cs="宋体"/>
          <w:sz w:val="24"/>
          <w:szCs w:val="24"/>
        </w:rPr>
        <w:t>。</w:t>
      </w:r>
    </w:p>
    <w:p>
      <w:pPr>
        <w:spacing w:line="36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18、19</w:t>
      </w:r>
      <w:r>
        <w:rPr>
          <w:rFonts w:hint="eastAsia" w:ascii="宋体" w:hAnsi="宋体" w:cs="宋体"/>
          <w:b/>
          <w:sz w:val="24"/>
          <w:szCs w:val="24"/>
        </w:rPr>
        <w:t xml:space="preserve">             修改类型：修改</w:t>
      </w:r>
    </w:p>
    <w:p>
      <w:pPr>
        <w:spacing w:line="360" w:lineRule="auto"/>
        <w:ind w:firstLine="482" w:firstLineChars="200"/>
        <w:rPr>
          <w:rFonts w:hint="eastAsia" w:ascii="宋体" w:hAnsi="宋体" w:cs="宋体"/>
          <w:b/>
          <w:bCs/>
          <w:sz w:val="24"/>
          <w:szCs w:val="24"/>
        </w:rPr>
      </w:pPr>
      <w:r>
        <w:rPr>
          <w:rFonts w:hint="eastAsia" w:ascii="宋体" w:hAnsi="宋体" w:cs="宋体"/>
          <w:b/>
          <w:sz w:val="24"/>
          <w:szCs w:val="24"/>
        </w:rPr>
        <w:t>原文：</w:t>
      </w:r>
      <w:r>
        <w:rPr>
          <w:rFonts w:hint="eastAsia" w:ascii="宋体" w:hAnsi="宋体" w:cs="宋体"/>
          <w:b/>
          <w:bCs/>
          <w:sz w:val="24"/>
          <w:szCs w:val="24"/>
        </w:rPr>
        <w:t>18．</w:t>
      </w:r>
      <w:r>
        <w:rPr>
          <w:rFonts w:hint="eastAsia" w:ascii="宋体" w:hAnsi="宋体" w:cs="宋体"/>
          <w:b/>
          <w:sz w:val="24"/>
          <w:szCs w:val="24"/>
        </w:rPr>
        <w:t>投标文件的密封和标记</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18.1递交的电子投标文件（不含备用光盘）必须进行加密。按照交易平台关于</w:t>
      </w:r>
      <w:r>
        <w:rPr>
          <w:rFonts w:hint="eastAsia" w:ascii="宋体" w:hAnsi="宋体" w:cs="宋体"/>
          <w:sz w:val="24"/>
          <w:szCs w:val="24"/>
        </w:rPr>
        <w:t>全流程电子化项目的相关指南进行操作。详见： 。</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18.2 未按要求加密的投标文件，</w:t>
      </w:r>
      <w:r>
        <w:rPr>
          <w:rFonts w:hint="eastAsia" w:ascii="宋体" w:hAnsi="宋体" w:cs="宋体"/>
          <w:sz w:val="24"/>
          <w:szCs w:val="24"/>
        </w:rPr>
        <w:t>交易平台</w:t>
      </w:r>
      <w:r>
        <w:rPr>
          <w:rFonts w:hint="eastAsia" w:ascii="宋体" w:hAnsi="宋体" w:cs="宋体"/>
          <w:bCs/>
          <w:sz w:val="24"/>
          <w:szCs w:val="24"/>
        </w:rPr>
        <w:t>将予以拒收。</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19．投标文件的递交和接收</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19.1投标人通过</w:t>
      </w:r>
      <w:r>
        <w:rPr>
          <w:rFonts w:hint="eastAsia" w:ascii="宋体" w:hAnsi="宋体" w:cs="宋体"/>
          <w:sz w:val="24"/>
          <w:szCs w:val="24"/>
        </w:rPr>
        <w:t>交易平台递交电子投标文件。</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19.2投标人完成电子</w:t>
      </w:r>
      <w:r>
        <w:rPr>
          <w:rFonts w:hint="eastAsia" w:ascii="宋体" w:hAnsi="宋体" w:cs="宋体"/>
          <w:sz w:val="24"/>
          <w:szCs w:val="24"/>
        </w:rPr>
        <w:t>投标文件</w:t>
      </w:r>
      <w:r>
        <w:rPr>
          <w:rFonts w:hint="eastAsia" w:ascii="宋体" w:hAnsi="宋体" w:cs="宋体"/>
          <w:bCs/>
          <w:sz w:val="24"/>
          <w:szCs w:val="24"/>
        </w:rPr>
        <w:t>上传后，</w:t>
      </w:r>
      <w:r>
        <w:rPr>
          <w:rFonts w:hint="eastAsia" w:ascii="宋体" w:hAnsi="宋体" w:cs="宋体"/>
          <w:sz w:val="24"/>
          <w:szCs w:val="24"/>
        </w:rPr>
        <w:t>交易平台即时向投标人发出递交回执通知。递交时间以递交回执通知载明的传输完成时间为准。</w:t>
      </w:r>
    </w:p>
    <w:p>
      <w:pPr>
        <w:spacing w:line="360" w:lineRule="auto"/>
        <w:ind w:firstLine="480" w:firstLineChars="200"/>
        <w:rPr>
          <w:rFonts w:hint="eastAsia" w:ascii="宋体" w:hAnsi="宋体" w:cs="宋体"/>
          <w:sz w:val="24"/>
          <w:szCs w:val="24"/>
        </w:rPr>
      </w:pPr>
      <w:r>
        <w:rPr>
          <w:rFonts w:hint="eastAsia" w:ascii="宋体" w:hAnsi="宋体" w:cs="宋体"/>
          <w:bCs/>
          <w:sz w:val="24"/>
          <w:szCs w:val="24"/>
        </w:rPr>
        <w:t>19.3逾期送达的电子投标文件，</w:t>
      </w:r>
      <w:r>
        <w:rPr>
          <w:rFonts w:hint="eastAsia" w:ascii="宋体" w:hAnsi="宋体" w:cs="宋体"/>
          <w:sz w:val="24"/>
          <w:szCs w:val="24"/>
        </w:rPr>
        <w:t>交易平台将予以拒收。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19.4 投标截止前，招标人拒绝接收符合条件的投标文件，投标人可向招标投标监督机构投诉。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19.5如技术标和经济标先后分别开启，交易平台将按招标文件规定的时间分别开启技术标和经济标。</w:t>
      </w:r>
    </w:p>
    <w:p>
      <w:pPr>
        <w:spacing w:line="360" w:lineRule="auto"/>
        <w:ind w:firstLine="480" w:firstLineChars="200"/>
        <w:rPr>
          <w:rFonts w:hint="eastAsia" w:ascii="宋体" w:hAnsi="宋体" w:cs="宋体"/>
          <w:bCs/>
          <w:sz w:val="24"/>
          <w:szCs w:val="24"/>
          <w:u w:val="single"/>
        </w:rPr>
      </w:pPr>
      <w:r>
        <w:rPr>
          <w:rFonts w:hint="eastAsia" w:ascii="宋体" w:hAnsi="宋体" w:cs="宋体"/>
          <w:sz w:val="24"/>
          <w:szCs w:val="24"/>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6"/>
        <w:spacing w:after="0" w:line="360" w:lineRule="auto"/>
        <w:ind w:firstLine="482" w:firstLineChars="200"/>
        <w:rPr>
          <w:rFonts w:hint="eastAsia" w:ascii="宋体" w:hAnsi="宋体" w:cs="宋体"/>
          <w:b/>
          <w:bCs/>
          <w:sz w:val="24"/>
          <w:szCs w:val="24"/>
        </w:rPr>
      </w:pPr>
      <w:r>
        <w:rPr>
          <w:rFonts w:hint="eastAsia" w:ascii="宋体" w:hAnsi="宋体" w:cs="宋体"/>
          <w:b/>
          <w:sz w:val="24"/>
          <w:szCs w:val="24"/>
        </w:rPr>
        <w:t>现文：</w:t>
      </w:r>
      <w:r>
        <w:rPr>
          <w:rFonts w:hint="eastAsia" w:ascii="宋体" w:hAnsi="宋体" w:cs="宋体"/>
          <w:b/>
          <w:bCs/>
          <w:sz w:val="24"/>
          <w:szCs w:val="24"/>
        </w:rPr>
        <w:t>18．</w:t>
      </w:r>
      <w:r>
        <w:rPr>
          <w:rFonts w:hint="eastAsia" w:ascii="宋体" w:hAnsi="宋体" w:cs="宋体"/>
          <w:b/>
          <w:sz w:val="24"/>
          <w:szCs w:val="24"/>
        </w:rPr>
        <w:t>投标文件的密封和标记</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18.1递交的电子投标文件（不含备用光盘）必须进行加密。按照交易平台关于</w:t>
      </w:r>
      <w:r>
        <w:rPr>
          <w:rFonts w:hint="eastAsia" w:ascii="宋体" w:hAnsi="宋体" w:cs="宋体"/>
          <w:sz w:val="24"/>
          <w:szCs w:val="24"/>
        </w:rPr>
        <w:t>全流程电子化项目的相关指南进行操作。详见：</w:t>
      </w:r>
      <w:r>
        <w:rPr>
          <w:rFonts w:hint="eastAsia" w:ascii="宋体" w:hAnsi="宋体" w:cs="宋体"/>
          <w:sz w:val="24"/>
          <w:szCs w:val="24"/>
          <w:u w:val="single"/>
        </w:rPr>
        <w:t>广州公共资源交易中心网站</w:t>
      </w:r>
      <w:r>
        <w:rPr>
          <w:rFonts w:hint="eastAsia" w:ascii="宋体" w:hAnsi="宋体" w:cs="宋体"/>
          <w:sz w:val="24"/>
          <w:szCs w:val="24"/>
        </w:rPr>
        <w:t xml:space="preserve">  。</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18.2 未按要求加密的投标文件，</w:t>
      </w:r>
      <w:r>
        <w:rPr>
          <w:rFonts w:hint="eastAsia" w:ascii="宋体" w:hAnsi="宋体" w:cs="宋体"/>
          <w:sz w:val="24"/>
          <w:szCs w:val="24"/>
          <w:u w:val="single"/>
        </w:rPr>
        <w:t>广州公共资源交易中心</w:t>
      </w:r>
      <w:r>
        <w:rPr>
          <w:rFonts w:hint="eastAsia" w:ascii="宋体" w:hAnsi="宋体" w:cs="宋体"/>
          <w:sz w:val="24"/>
          <w:szCs w:val="24"/>
        </w:rPr>
        <w:t>交易平台</w:t>
      </w:r>
      <w:r>
        <w:rPr>
          <w:rFonts w:hint="eastAsia" w:ascii="宋体" w:hAnsi="宋体" w:cs="宋体"/>
          <w:bCs/>
          <w:sz w:val="24"/>
          <w:szCs w:val="24"/>
        </w:rPr>
        <w:t>将予以拒收。</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19．投标文件的递交和接收</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19.1投标人通过</w:t>
      </w:r>
      <w:r>
        <w:rPr>
          <w:rFonts w:hint="eastAsia" w:ascii="宋体" w:hAnsi="宋体" w:cs="宋体"/>
          <w:sz w:val="24"/>
          <w:szCs w:val="24"/>
          <w:u w:val="single"/>
        </w:rPr>
        <w:t>广州公共资源交易中心</w:t>
      </w:r>
      <w:r>
        <w:rPr>
          <w:rFonts w:hint="eastAsia" w:ascii="宋体" w:hAnsi="宋体" w:cs="宋体"/>
          <w:sz w:val="24"/>
          <w:szCs w:val="24"/>
        </w:rPr>
        <w:t>交易平台递交电子投标文件。</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19.2投标人完成电子</w:t>
      </w:r>
      <w:r>
        <w:rPr>
          <w:rFonts w:hint="eastAsia" w:ascii="宋体" w:hAnsi="宋体" w:cs="宋体"/>
          <w:sz w:val="24"/>
          <w:szCs w:val="24"/>
        </w:rPr>
        <w:t>投标文件</w:t>
      </w:r>
      <w:r>
        <w:rPr>
          <w:rFonts w:hint="eastAsia" w:ascii="宋体" w:hAnsi="宋体" w:cs="宋体"/>
          <w:bCs/>
          <w:sz w:val="24"/>
          <w:szCs w:val="24"/>
        </w:rPr>
        <w:t>上传后，</w:t>
      </w:r>
      <w:r>
        <w:rPr>
          <w:rFonts w:hint="eastAsia" w:ascii="宋体" w:hAnsi="宋体" w:cs="宋体"/>
          <w:sz w:val="24"/>
          <w:szCs w:val="24"/>
          <w:u w:val="single"/>
        </w:rPr>
        <w:t>广州公共资源交易中心</w:t>
      </w:r>
      <w:r>
        <w:rPr>
          <w:rFonts w:hint="eastAsia" w:ascii="宋体" w:hAnsi="宋体" w:cs="宋体"/>
          <w:sz w:val="24"/>
          <w:szCs w:val="24"/>
        </w:rPr>
        <w:t>交易平台即时向投标人发出递交回执通知。递交时间以递交回执通知载明的传输完成时间为准。</w:t>
      </w:r>
    </w:p>
    <w:p>
      <w:pPr>
        <w:spacing w:line="360" w:lineRule="auto"/>
        <w:ind w:firstLine="480" w:firstLineChars="200"/>
        <w:rPr>
          <w:rFonts w:hint="eastAsia" w:ascii="宋体" w:hAnsi="宋体" w:cs="宋体"/>
          <w:sz w:val="24"/>
          <w:szCs w:val="24"/>
        </w:rPr>
      </w:pPr>
      <w:r>
        <w:rPr>
          <w:rFonts w:hint="eastAsia" w:ascii="宋体" w:hAnsi="宋体" w:cs="宋体"/>
          <w:bCs/>
          <w:sz w:val="24"/>
          <w:szCs w:val="24"/>
        </w:rPr>
        <w:t>19.3逾期送达的电子投标文件，</w:t>
      </w:r>
      <w:r>
        <w:rPr>
          <w:rFonts w:hint="eastAsia" w:ascii="宋体" w:hAnsi="宋体" w:cs="宋体"/>
          <w:sz w:val="24"/>
          <w:szCs w:val="24"/>
          <w:u w:val="single"/>
        </w:rPr>
        <w:t>广州公共资源交易中心</w:t>
      </w:r>
      <w:r>
        <w:rPr>
          <w:rFonts w:hint="eastAsia" w:ascii="宋体" w:hAnsi="宋体" w:cs="宋体"/>
          <w:sz w:val="24"/>
          <w:szCs w:val="24"/>
        </w:rPr>
        <w:t>交易平台将予以拒收。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19.4 投标截止前，招标人拒绝接收符合条件的投标文件，投标人可向招标投标监督机构投诉。</w:t>
      </w:r>
    </w:p>
    <w:p>
      <w:pPr>
        <w:pBdr>
          <w:bottom w:val="single" w:color="auto" w:sz="6" w:space="1"/>
        </w:pBdr>
        <w:spacing w:line="360" w:lineRule="auto"/>
        <w:ind w:firstLine="480" w:firstLineChars="200"/>
        <w:rPr>
          <w:rFonts w:hint="eastAsia" w:ascii="宋体" w:hAnsi="宋体" w:cs="宋体"/>
          <w:sz w:val="24"/>
          <w:szCs w:val="24"/>
        </w:rPr>
      </w:pPr>
      <w:r>
        <w:rPr>
          <w:rFonts w:hint="eastAsia" w:ascii="宋体" w:hAnsi="宋体" w:cs="宋体"/>
          <w:sz w:val="24"/>
          <w:szCs w:val="24"/>
        </w:rPr>
        <w:t>19.5技术标和经济标同时开启，广州公共资源交易中心交易平台将按招标文件规定的时间同时开启技术标和经济标。</w:t>
      </w:r>
    </w:p>
    <w:p>
      <w:pPr>
        <w:adjustRightInd w:val="0"/>
        <w:spacing w:line="360" w:lineRule="auto"/>
        <w:ind w:firstLine="537" w:firstLineChars="223"/>
        <w:rPr>
          <w:rFonts w:hint="eastAsia" w:ascii="宋体" w:hAnsi="宋体" w:cs="宋体"/>
          <w:b/>
          <w:sz w:val="24"/>
          <w:szCs w:val="24"/>
        </w:rPr>
      </w:pPr>
      <w:r>
        <w:rPr>
          <w:rFonts w:hint="eastAsia" w:ascii="宋体" w:hAnsi="宋体" w:cs="宋体"/>
          <w:b/>
          <w:sz w:val="24"/>
          <w:szCs w:val="24"/>
        </w:rPr>
        <w:t>条款号：20.3             修改类型：修改</w:t>
      </w:r>
    </w:p>
    <w:p>
      <w:pPr>
        <w:adjustRightInd w:val="0"/>
        <w:spacing w:line="360" w:lineRule="auto"/>
        <w:ind w:firstLine="540" w:firstLineChars="224"/>
        <w:rPr>
          <w:rFonts w:hint="eastAsia" w:ascii="宋体" w:hAnsi="宋体" w:cs="宋体"/>
          <w:b/>
          <w:sz w:val="24"/>
          <w:szCs w:val="24"/>
        </w:rPr>
      </w:pPr>
      <w:r>
        <w:rPr>
          <w:rFonts w:hint="eastAsia" w:ascii="宋体" w:hAnsi="宋体" w:cs="宋体"/>
          <w:b/>
          <w:bCs/>
          <w:sz w:val="24"/>
          <w:szCs w:val="24"/>
        </w:rPr>
        <w:t>原文：</w:t>
      </w:r>
      <w:r>
        <w:rPr>
          <w:rFonts w:hint="eastAsia" w:ascii="宋体" w:hAnsi="宋体" w:cs="宋体"/>
          <w:sz w:val="24"/>
          <w:szCs w:val="24"/>
        </w:rPr>
        <w:t>20.3 到投标截止时间止，招标人收到的投标文件少于3家的，招标人将重新组织招标（当N个标段同时招标且不允许兼中时，若有效投标单位不足N+4家，则重新组织招标）。</w:t>
      </w:r>
    </w:p>
    <w:p>
      <w:pPr>
        <w:pBdr>
          <w:bottom w:val="single" w:color="auto" w:sz="6" w:space="1"/>
        </w:pBdr>
        <w:adjustRightInd w:val="0"/>
        <w:spacing w:line="360" w:lineRule="auto"/>
        <w:ind w:firstLine="602" w:firstLineChars="250"/>
        <w:rPr>
          <w:rFonts w:hint="eastAsia" w:ascii="宋体" w:hAnsi="宋体" w:cs="宋体"/>
          <w:b/>
          <w:sz w:val="24"/>
          <w:szCs w:val="24"/>
        </w:rPr>
      </w:pPr>
      <w:r>
        <w:rPr>
          <w:rFonts w:hint="eastAsia" w:ascii="宋体" w:hAnsi="宋体" w:cs="宋体"/>
          <w:b/>
          <w:bCs/>
          <w:sz w:val="24"/>
          <w:szCs w:val="24"/>
        </w:rPr>
        <w:t>现文：</w:t>
      </w:r>
      <w:r>
        <w:rPr>
          <w:rFonts w:hint="eastAsia" w:ascii="宋体" w:hAnsi="宋体" w:cs="宋体"/>
          <w:sz w:val="24"/>
          <w:szCs w:val="24"/>
        </w:rPr>
        <w:t>20.3 到投标截止时间止，招标人收到的投标文件少于</w:t>
      </w:r>
      <w:r>
        <w:rPr>
          <w:rFonts w:hint="eastAsia" w:ascii="宋体" w:hAnsi="宋体" w:cs="宋体"/>
          <w:sz w:val="24"/>
          <w:szCs w:val="24"/>
          <w:u w:val="single"/>
        </w:rPr>
        <w:t>3家</w:t>
      </w:r>
      <w:r>
        <w:rPr>
          <w:rFonts w:hint="eastAsia" w:ascii="宋体" w:hAnsi="宋体" w:cs="宋体"/>
          <w:sz w:val="24"/>
          <w:szCs w:val="24"/>
        </w:rPr>
        <w:t>的，招标人将重新组织招标。</w:t>
      </w:r>
    </w:p>
    <w:p>
      <w:pPr>
        <w:spacing w:line="36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21.1</w:t>
      </w:r>
      <w:r>
        <w:rPr>
          <w:rFonts w:hint="eastAsia" w:ascii="宋体" w:hAnsi="宋体" w:cs="宋体"/>
          <w:b/>
          <w:sz w:val="24"/>
          <w:szCs w:val="24"/>
        </w:rPr>
        <w:t xml:space="preserve">             修改类型：修改</w:t>
      </w:r>
    </w:p>
    <w:p>
      <w:pPr>
        <w:spacing w:line="360" w:lineRule="auto"/>
        <w:ind w:firstLine="482" w:firstLineChars="200"/>
        <w:rPr>
          <w:rFonts w:hint="eastAsia" w:ascii="宋体" w:hAnsi="宋体" w:cs="宋体"/>
          <w:bCs/>
          <w:sz w:val="24"/>
          <w:szCs w:val="24"/>
          <w:u w:val="single"/>
        </w:rPr>
      </w:pPr>
      <w:r>
        <w:rPr>
          <w:rFonts w:hint="eastAsia" w:ascii="宋体" w:hAnsi="宋体" w:cs="宋体"/>
          <w:b/>
          <w:sz w:val="24"/>
          <w:szCs w:val="24"/>
        </w:rPr>
        <w:t>原文：</w:t>
      </w:r>
      <w:r>
        <w:rPr>
          <w:rFonts w:hint="eastAsia" w:ascii="宋体" w:hAnsi="宋体" w:cs="宋体"/>
          <w:sz w:val="24"/>
          <w:szCs w:val="24"/>
        </w:rPr>
        <w:t>21.1 本须知前附表第17项规定的投标截止时间</w:t>
      </w:r>
      <w:r>
        <w:rPr>
          <w:rFonts w:hint="eastAsia" w:ascii="宋体" w:hAnsi="宋体" w:cs="宋体"/>
          <w:bCs/>
          <w:sz w:val="24"/>
          <w:szCs w:val="24"/>
        </w:rPr>
        <w:t>后送达的电子投标文件，</w:t>
      </w:r>
      <w:r>
        <w:rPr>
          <w:rFonts w:hint="eastAsia" w:ascii="宋体" w:hAnsi="宋体" w:cs="宋体"/>
          <w:sz w:val="24"/>
          <w:szCs w:val="24"/>
        </w:rPr>
        <w:t>交易平台将予以拒收。</w:t>
      </w:r>
    </w:p>
    <w:p>
      <w:pPr>
        <w:pBdr>
          <w:bottom w:val="single" w:color="auto" w:sz="6" w:space="1"/>
        </w:pBdr>
        <w:spacing w:line="360" w:lineRule="auto"/>
        <w:ind w:firstLine="482" w:firstLineChars="200"/>
        <w:rPr>
          <w:rFonts w:hint="eastAsia"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21.1 本须知前附表第17项规定的投标截止时间</w:t>
      </w:r>
      <w:r>
        <w:rPr>
          <w:rFonts w:hint="eastAsia" w:ascii="宋体" w:hAnsi="宋体" w:cs="宋体"/>
          <w:bCs/>
          <w:sz w:val="24"/>
          <w:szCs w:val="24"/>
        </w:rPr>
        <w:t>后送达的电子投标文件，</w:t>
      </w:r>
      <w:r>
        <w:rPr>
          <w:rFonts w:hint="eastAsia" w:ascii="宋体" w:hAnsi="宋体" w:cs="宋体"/>
          <w:sz w:val="24"/>
          <w:szCs w:val="24"/>
          <w:u w:val="single"/>
        </w:rPr>
        <w:t>广州公共资源交易中心</w:t>
      </w:r>
      <w:r>
        <w:rPr>
          <w:rFonts w:hint="eastAsia" w:ascii="宋体" w:hAnsi="宋体" w:cs="宋体"/>
          <w:sz w:val="24"/>
          <w:szCs w:val="24"/>
        </w:rPr>
        <w:t>交易平台将予以拒收。</w:t>
      </w:r>
    </w:p>
    <w:p>
      <w:pPr>
        <w:spacing w:line="360" w:lineRule="auto"/>
        <w:ind w:firstLine="482" w:firstLineChars="200"/>
        <w:rPr>
          <w:rFonts w:hint="eastAsia" w:ascii="宋体" w:hAnsi="宋体" w:cs="宋体"/>
          <w:b/>
          <w:sz w:val="24"/>
          <w:szCs w:val="24"/>
        </w:rPr>
      </w:pPr>
      <w:r>
        <w:rPr>
          <w:rFonts w:hint="eastAsia" w:ascii="宋体" w:hAnsi="宋体" w:cs="宋体"/>
          <w:b/>
          <w:sz w:val="24"/>
          <w:szCs w:val="24"/>
        </w:rPr>
        <w:t>条款号：27.1          修改类型：修改</w:t>
      </w:r>
    </w:p>
    <w:p>
      <w:pPr>
        <w:pBdr>
          <w:bottom w:val="single" w:color="auto" w:sz="6" w:space="1"/>
        </w:pBdr>
        <w:spacing w:line="360" w:lineRule="auto"/>
        <w:ind w:firstLine="602" w:firstLineChars="250"/>
        <w:rPr>
          <w:rFonts w:hint="eastAsia"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27.1招标人将在交易平台、广东省招标投标监管网和中国招标投标公共服务平台公示中标候选人，公示期为三天。</w:t>
      </w:r>
    </w:p>
    <w:p>
      <w:pPr>
        <w:pBdr>
          <w:bottom w:val="single" w:color="auto" w:sz="6" w:space="1"/>
        </w:pBdr>
        <w:spacing w:line="360" w:lineRule="auto"/>
        <w:ind w:firstLine="602" w:firstLineChars="250"/>
        <w:rPr>
          <w:rFonts w:hint="eastAsia"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27.1招标人将在</w:t>
      </w:r>
      <w:r>
        <w:rPr>
          <w:rFonts w:hint="eastAsia" w:ascii="宋体" w:hAnsi="宋体" w:cs="宋体"/>
          <w:sz w:val="24"/>
          <w:szCs w:val="24"/>
          <w:u w:val="single"/>
        </w:rPr>
        <w:t>广州公共资源交易中心</w:t>
      </w:r>
      <w:r>
        <w:rPr>
          <w:rFonts w:hint="eastAsia" w:ascii="宋体" w:hAnsi="宋体" w:cs="宋体"/>
          <w:sz w:val="24"/>
          <w:szCs w:val="24"/>
        </w:rPr>
        <w:t>交易平台、广东省招标投标监管网和中国招标投标公共服务平台公示中标候选人，公示期为三天。</w:t>
      </w:r>
    </w:p>
    <w:p>
      <w:pPr>
        <w:spacing w:line="36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27.4</w:t>
      </w:r>
      <w:r>
        <w:rPr>
          <w:rFonts w:hint="eastAsia" w:ascii="宋体" w:hAnsi="宋体" w:cs="宋体"/>
          <w:b/>
          <w:sz w:val="24"/>
          <w:szCs w:val="24"/>
        </w:rPr>
        <w:t xml:space="preserve">            修改类型：修改</w:t>
      </w:r>
    </w:p>
    <w:p>
      <w:pPr>
        <w:spacing w:line="360" w:lineRule="auto"/>
        <w:ind w:firstLine="482" w:firstLineChars="200"/>
        <w:rPr>
          <w:rFonts w:hint="eastAsia" w:ascii="宋体" w:hAnsi="宋体" w:cs="宋体"/>
          <w:bCs/>
          <w:sz w:val="24"/>
          <w:szCs w:val="24"/>
          <w:u w:val="single"/>
        </w:rPr>
      </w:pPr>
      <w:r>
        <w:rPr>
          <w:rFonts w:hint="eastAsia" w:ascii="宋体" w:hAnsi="宋体" w:cs="宋体"/>
          <w:b/>
          <w:sz w:val="24"/>
          <w:szCs w:val="24"/>
        </w:rPr>
        <w:t>原文：</w:t>
      </w:r>
      <w:r>
        <w:rPr>
          <w:rFonts w:hint="eastAsia" w:ascii="宋体" w:hAnsi="宋体" w:cs="宋体"/>
          <w:sz w:val="24"/>
          <w:szCs w:val="24"/>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82" w:firstLineChars="200"/>
        <w:rPr>
          <w:rFonts w:hint="eastAsia"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27.4在产生中标候选人后，招标人将中标候选人的投标文件商务部分文件的所有内容（包括人员、业绩、奖项等资料）在</w:t>
      </w:r>
      <w:r>
        <w:rPr>
          <w:rFonts w:hint="eastAsia" w:ascii="宋体" w:hAnsi="宋体" w:cs="宋体"/>
          <w:kern w:val="0"/>
          <w:sz w:val="24"/>
          <w:szCs w:val="24"/>
          <w:u w:val="single"/>
        </w:rPr>
        <w:t>广州公共资源交易中心</w:t>
      </w:r>
      <w:r>
        <w:rPr>
          <w:rFonts w:hint="eastAsia" w:ascii="宋体" w:hAnsi="宋体" w:cs="宋体"/>
          <w:sz w:val="24"/>
          <w:szCs w:val="24"/>
        </w:rPr>
        <w:t>交易平台和广东省招标投标监管网公开。</w:t>
      </w:r>
    </w:p>
    <w:p>
      <w:pPr>
        <w:spacing w:line="360" w:lineRule="auto"/>
        <w:ind w:firstLine="482" w:firstLineChars="200"/>
        <w:rPr>
          <w:rFonts w:ascii="宋体" w:hAnsi="宋体" w:cs="宋体"/>
          <w:b/>
          <w:sz w:val="24"/>
          <w:szCs w:val="24"/>
        </w:rPr>
      </w:pPr>
      <w:r>
        <w:rPr>
          <w:rFonts w:hint="eastAsia" w:ascii="宋体" w:hAnsi="宋体" w:cs="宋体"/>
          <w:b/>
          <w:sz w:val="24"/>
          <w:szCs w:val="24"/>
        </w:rPr>
        <w:t>条款号：29.1  29.2         修改类型：修改</w:t>
      </w:r>
    </w:p>
    <w:p>
      <w:pPr>
        <w:pBdr>
          <w:bottom w:val="single" w:color="auto" w:sz="6" w:space="1"/>
        </w:pBdr>
        <w:spacing w:line="360" w:lineRule="auto"/>
        <w:ind w:firstLine="602" w:firstLineChars="250"/>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29.1 在收到中标通知书后的15日内，中标人应按本须知前附表第20项的规定向招标人提交履约担保；如果中标人的履约担保是以银行保函的形式提供，则该银行保函应由在中国注册且营业地点在广州行政辖区内的银行开具。</w:t>
      </w:r>
    </w:p>
    <w:p>
      <w:pPr>
        <w:pBdr>
          <w:bottom w:val="single" w:color="auto" w:sz="6" w:space="1"/>
        </w:pBdr>
        <w:spacing w:line="360" w:lineRule="auto"/>
        <w:ind w:firstLine="600" w:firstLineChars="250"/>
        <w:rPr>
          <w:rFonts w:ascii="宋体" w:hAnsi="宋体" w:cs="宋体"/>
          <w:sz w:val="24"/>
          <w:szCs w:val="24"/>
        </w:rPr>
      </w:pPr>
      <w:r>
        <w:rPr>
          <w:rFonts w:hint="eastAsia" w:ascii="宋体" w:hAnsi="宋体" w:cs="宋体"/>
          <w:sz w:val="24"/>
          <w:szCs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602" w:firstLineChars="250"/>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29.1在签订合同后5个工作日内，中标人应按本须知前附表第20项的规定向招标人提交履约担保；</w:t>
      </w:r>
    </w:p>
    <w:p>
      <w:pPr>
        <w:pBdr>
          <w:bottom w:val="single" w:color="auto" w:sz="6" w:space="1"/>
        </w:pBdr>
        <w:spacing w:line="360" w:lineRule="auto"/>
        <w:ind w:firstLine="600" w:firstLineChars="250"/>
        <w:rPr>
          <w:rFonts w:ascii="宋体" w:hAnsi="宋体" w:cs="宋体"/>
          <w:b/>
          <w:sz w:val="24"/>
          <w:szCs w:val="24"/>
        </w:rPr>
      </w:pPr>
      <w:r>
        <w:rPr>
          <w:rFonts w:hint="eastAsia" w:ascii="宋体" w:hAnsi="宋体" w:cs="宋体"/>
          <w:sz w:val="24"/>
          <w:szCs w:val="24"/>
        </w:rPr>
        <w:t>29.2中标人未按上款的规定提交履约担保，招标人有权解除合同并拒绝支付相应工程款项，且中标人依法承担相应法律责任。原中标人给招标人造成损失的，还应当予以赔偿。原中标人有异议的，按合同纠纷条款执行。</w:t>
      </w:r>
    </w:p>
    <w:p>
      <w:pPr>
        <w:spacing w:line="480" w:lineRule="auto"/>
        <w:ind w:firstLine="540" w:firstLineChars="224"/>
        <w:rPr>
          <w:rFonts w:hint="eastAsia" w:ascii="宋体" w:hAnsi="宋体" w:cs="宋体"/>
          <w:b/>
          <w:sz w:val="24"/>
          <w:szCs w:val="24"/>
        </w:rPr>
      </w:pPr>
      <w:r>
        <w:rPr>
          <w:rFonts w:hint="eastAsia" w:ascii="宋体" w:hAnsi="宋体" w:cs="宋体"/>
          <w:b/>
          <w:sz w:val="24"/>
          <w:szCs w:val="24"/>
        </w:rPr>
        <w:t>条款号：29.3            修改类型：增加</w:t>
      </w:r>
    </w:p>
    <w:p>
      <w:pPr>
        <w:pBdr>
          <w:bottom w:val="single" w:color="auto" w:sz="6" w:space="1"/>
        </w:pBdr>
        <w:tabs>
          <w:tab w:val="left" w:pos="1620"/>
        </w:tabs>
        <w:spacing w:line="360" w:lineRule="auto"/>
        <w:ind w:firstLine="602" w:firstLineChars="250"/>
        <w:rPr>
          <w:rFonts w:hint="eastAsia"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中</w:t>
      </w:r>
      <w:r>
        <w:rPr>
          <w:rFonts w:hint="eastAsia" w:ascii="宋体" w:hAnsi="宋体" w:cs="宋体"/>
          <w:sz w:val="24"/>
          <w:szCs w:val="24"/>
        </w:rPr>
        <w:t>标单位在本项目结束中标公示后3天内，须提供与递交投标文件电子标书内容一致且每页加盖单位公章的纸质文件四套（一正一副）及电子文件一套（不用生成投标书）；包括用Microsoft Excel软件或广州公共资源交易中心提供的投标书制作软件制作的工程量清单报价表和单价分析表，用Microsoft Excel软件或广州公共资源交易中心提供的投标书制作软件制作的经济投标文件其它部分。电子文件介质使用CD-R光盘，所有电子文件不能采用压缩处理）给招标人。</w:t>
      </w:r>
    </w:p>
    <w:p>
      <w:pPr>
        <w:spacing w:line="360" w:lineRule="auto"/>
        <w:ind w:firstLine="482" w:firstLineChars="200"/>
        <w:rPr>
          <w:rFonts w:ascii="宋体" w:hAnsi="宋体" w:cs="宋体"/>
          <w:b/>
          <w:sz w:val="24"/>
          <w:szCs w:val="24"/>
        </w:rPr>
      </w:pPr>
      <w:r>
        <w:rPr>
          <w:rFonts w:hint="eastAsia" w:ascii="宋体" w:hAnsi="宋体" w:cs="宋体"/>
          <w:b/>
          <w:sz w:val="24"/>
          <w:szCs w:val="24"/>
        </w:rPr>
        <w:t>条款号：33.         修改类型：修改</w:t>
      </w:r>
    </w:p>
    <w:p>
      <w:pPr>
        <w:pBdr>
          <w:bottom w:val="single" w:color="auto" w:sz="6" w:space="1"/>
        </w:pBdr>
        <w:spacing w:line="360" w:lineRule="auto"/>
        <w:ind w:firstLine="602" w:firstLineChars="250"/>
        <w:rPr>
          <w:rFonts w:hint="eastAsia" w:ascii="宋体" w:hAnsi="宋体" w:cs="宋体"/>
          <w:b/>
          <w:sz w:val="24"/>
          <w:szCs w:val="24"/>
          <w:lang w:val="en-US" w:eastAsia="zh-CN"/>
        </w:rPr>
      </w:pPr>
      <w:r>
        <w:rPr>
          <w:rFonts w:hint="eastAsia" w:ascii="宋体" w:hAnsi="宋体" w:cs="宋体"/>
          <w:b/>
          <w:sz w:val="24"/>
          <w:szCs w:val="24"/>
        </w:rPr>
        <w:t>原文：</w:t>
      </w:r>
      <w:r>
        <w:rPr>
          <w:rFonts w:hint="eastAsia" w:ascii="宋体" w:hAnsi="宋体" w:cs="宋体"/>
          <w:b/>
          <w:sz w:val="24"/>
          <w:szCs w:val="24"/>
          <w:lang w:val="en-US" w:eastAsia="zh-CN"/>
        </w:rPr>
        <w:t>33.投标人信誉的要求</w:t>
      </w:r>
    </w:p>
    <w:p>
      <w:pPr>
        <w:pBdr>
          <w:bottom w:val="single" w:color="auto" w:sz="6" w:space="1"/>
        </w:pBdr>
        <w:spacing w:line="360" w:lineRule="auto"/>
        <w:ind w:firstLine="600" w:firstLineChars="250"/>
        <w:rPr>
          <w:rFonts w:hint="eastAsia" w:ascii="宋体" w:hAnsi="宋体" w:cs="宋体"/>
          <w:b w:val="0"/>
          <w:bCs/>
          <w:sz w:val="24"/>
          <w:szCs w:val="24"/>
        </w:rPr>
      </w:pPr>
      <w:r>
        <w:rPr>
          <w:rFonts w:hint="eastAsia" w:ascii="宋体" w:hAnsi="宋体" w:cs="宋体"/>
          <w:b w:val="0"/>
          <w:bCs/>
          <w:sz w:val="24"/>
          <w:szCs w:val="24"/>
        </w:rPr>
        <w:t>存在下列情形之一的，招标人可以限制其投标（需在招标文件中明确评定方法）</w:t>
      </w:r>
    </w:p>
    <w:p>
      <w:pPr>
        <w:pBdr>
          <w:bottom w:val="single" w:color="auto" w:sz="6" w:space="1"/>
        </w:pBdr>
        <w:spacing w:line="360" w:lineRule="auto"/>
        <w:ind w:firstLine="600" w:firstLineChars="250"/>
        <w:rPr>
          <w:rFonts w:hint="eastAsia" w:ascii="宋体" w:hAnsi="宋体" w:cs="宋体"/>
          <w:b w:val="0"/>
          <w:bCs/>
          <w:sz w:val="24"/>
          <w:szCs w:val="24"/>
        </w:rPr>
      </w:pPr>
      <w:r>
        <w:rPr>
          <w:rFonts w:hint="eastAsia" w:ascii="宋体" w:hAnsi="宋体" w:cs="宋体"/>
          <w:b w:val="0"/>
          <w:bCs/>
          <w:sz w:val="24"/>
          <w:szCs w:val="24"/>
        </w:rPr>
        <w:t>（1）被住房城乡建设行政主管部门在全国建筑市场监管一体化工作平台列入建筑市场主体“黑名单”；</w:t>
      </w:r>
    </w:p>
    <w:p>
      <w:pPr>
        <w:pBdr>
          <w:bottom w:val="single" w:color="auto" w:sz="6" w:space="1"/>
        </w:pBdr>
        <w:spacing w:line="360" w:lineRule="auto"/>
        <w:ind w:firstLine="600" w:firstLineChars="250"/>
        <w:rPr>
          <w:rFonts w:ascii="宋体" w:hAnsi="宋体" w:cs="宋体"/>
          <w:bCs/>
          <w:sz w:val="24"/>
          <w:szCs w:val="24"/>
        </w:rPr>
      </w:pPr>
      <w:r>
        <w:rPr>
          <w:rFonts w:hint="eastAsia" w:ascii="宋体" w:hAnsi="宋体" w:cs="宋体"/>
          <w:b w:val="0"/>
          <w:bCs/>
          <w:sz w:val="24"/>
          <w:szCs w:val="24"/>
        </w:rPr>
        <w:t>（2）被发改委、人力资源社会保障、质检总局等有关部门、单位在“信用中国”网站中列入联合惩戒失信黑名单</w:t>
      </w:r>
      <w:r>
        <w:rPr>
          <w:rFonts w:hint="eastAsia" w:ascii="宋体" w:hAnsi="宋体" w:cs="宋体"/>
          <w:bCs/>
          <w:sz w:val="24"/>
          <w:szCs w:val="24"/>
        </w:rPr>
        <w:t>。</w:t>
      </w:r>
    </w:p>
    <w:p>
      <w:pPr>
        <w:pBdr>
          <w:bottom w:val="single" w:color="auto" w:sz="6" w:space="1"/>
        </w:pBdr>
        <w:spacing w:line="360" w:lineRule="auto"/>
        <w:ind w:firstLine="602" w:firstLineChars="250"/>
        <w:rPr>
          <w:rFonts w:hint="eastAsia" w:ascii="宋体" w:hAnsi="宋体" w:cs="宋体"/>
          <w:b/>
          <w:sz w:val="24"/>
          <w:szCs w:val="24"/>
          <w:lang w:val="en-US" w:eastAsia="zh-CN"/>
        </w:rPr>
      </w:pPr>
      <w:r>
        <w:rPr>
          <w:rFonts w:hint="eastAsia" w:ascii="宋体" w:hAnsi="宋体" w:cs="宋体"/>
          <w:b/>
          <w:sz w:val="24"/>
          <w:szCs w:val="24"/>
        </w:rPr>
        <w:t>现文：</w:t>
      </w:r>
      <w:r>
        <w:rPr>
          <w:rFonts w:hint="eastAsia" w:ascii="宋体" w:hAnsi="宋体" w:cs="宋体"/>
          <w:b/>
          <w:sz w:val="24"/>
          <w:szCs w:val="24"/>
          <w:lang w:val="en-US" w:eastAsia="zh-CN"/>
        </w:rPr>
        <w:t>33.投标人信誉的要求</w:t>
      </w:r>
    </w:p>
    <w:p>
      <w:pPr>
        <w:pBdr>
          <w:bottom w:val="single" w:color="auto" w:sz="6" w:space="1"/>
        </w:pBdr>
        <w:spacing w:line="360" w:lineRule="auto"/>
        <w:ind w:firstLine="600" w:firstLineChars="250"/>
        <w:rPr>
          <w:rFonts w:hint="eastAsia" w:ascii="宋体" w:hAnsi="宋体" w:cs="宋体"/>
          <w:b w:val="0"/>
          <w:bCs/>
          <w:sz w:val="24"/>
          <w:szCs w:val="24"/>
        </w:rPr>
      </w:pPr>
      <w:r>
        <w:rPr>
          <w:rFonts w:hint="eastAsia" w:ascii="宋体" w:hAnsi="宋体" w:cs="宋体"/>
          <w:b w:val="0"/>
          <w:bCs/>
          <w:sz w:val="24"/>
          <w:szCs w:val="24"/>
        </w:rPr>
        <w:t>存在下列情形之一的，招标人可以限制其投标</w:t>
      </w:r>
      <w:r>
        <w:rPr>
          <w:rFonts w:hint="eastAsia" w:ascii="宋体" w:hAnsi="宋体" w:cs="宋体"/>
          <w:b/>
          <w:bCs w:val="0"/>
          <w:sz w:val="24"/>
          <w:szCs w:val="24"/>
          <w:u w:val="single"/>
        </w:rPr>
        <w:t>（按照《投标人声明》评审）</w:t>
      </w:r>
    </w:p>
    <w:p>
      <w:pPr>
        <w:pBdr>
          <w:bottom w:val="single" w:color="auto" w:sz="6" w:space="1"/>
        </w:pBdr>
        <w:spacing w:line="360" w:lineRule="auto"/>
        <w:ind w:firstLine="600" w:firstLineChars="250"/>
        <w:rPr>
          <w:rFonts w:hint="eastAsia" w:ascii="宋体" w:hAnsi="宋体" w:cs="宋体"/>
          <w:b w:val="0"/>
          <w:bCs/>
          <w:sz w:val="24"/>
          <w:szCs w:val="24"/>
        </w:rPr>
      </w:pPr>
      <w:r>
        <w:rPr>
          <w:rFonts w:hint="eastAsia" w:ascii="宋体" w:hAnsi="宋体" w:cs="宋体"/>
          <w:b w:val="0"/>
          <w:bCs/>
          <w:sz w:val="24"/>
          <w:szCs w:val="24"/>
        </w:rPr>
        <w:t>（1）被住房城乡建设行政主管部门在全国建筑市场监管一体化工作平台列入建筑市场主体“黑名单”；</w:t>
      </w:r>
    </w:p>
    <w:p>
      <w:pPr>
        <w:pBdr>
          <w:bottom w:val="single" w:color="auto" w:sz="6" w:space="1"/>
        </w:pBdr>
        <w:spacing w:line="360" w:lineRule="auto"/>
        <w:ind w:firstLine="600" w:firstLineChars="250"/>
        <w:rPr>
          <w:rFonts w:ascii="宋体" w:hAnsi="宋体" w:cs="宋体"/>
          <w:b/>
          <w:sz w:val="24"/>
          <w:szCs w:val="24"/>
        </w:rPr>
      </w:pPr>
      <w:r>
        <w:rPr>
          <w:rFonts w:hint="eastAsia" w:ascii="宋体" w:hAnsi="宋体" w:cs="宋体"/>
          <w:b w:val="0"/>
          <w:bCs/>
          <w:sz w:val="24"/>
          <w:szCs w:val="24"/>
        </w:rPr>
        <w:t>（2）被发改委、人力资源社会保障、质检总局等有关部门、单位在“信用中国”网站中列入联合惩戒失信黑名单。</w:t>
      </w:r>
    </w:p>
    <w:p>
      <w:pPr>
        <w:spacing w:line="360" w:lineRule="auto"/>
        <w:ind w:firstLine="241" w:firstLineChars="100"/>
        <w:rPr>
          <w:rFonts w:hint="eastAsia" w:ascii="宋体" w:hAnsi="宋体" w:cs="宋体"/>
          <w:b/>
          <w:sz w:val="24"/>
          <w:szCs w:val="24"/>
        </w:rPr>
      </w:pPr>
      <w:r>
        <w:rPr>
          <w:rFonts w:hint="eastAsia" w:ascii="宋体" w:hAnsi="宋体" w:cs="宋体"/>
          <w:b/>
          <w:sz w:val="24"/>
          <w:szCs w:val="24"/>
        </w:rPr>
        <w:t>注：以上修改，仅限于本范本中有可供选择条款的情形。</w:t>
      </w:r>
    </w:p>
    <w:p>
      <w:pPr>
        <w:spacing w:line="360" w:lineRule="auto"/>
        <w:rPr>
          <w:rFonts w:hint="eastAsia" w:ascii="宋体" w:hAnsi="宋体" w:cs="宋体"/>
          <w:sz w:val="24"/>
          <w:szCs w:val="24"/>
        </w:rPr>
      </w:pPr>
      <w:r>
        <w:rPr>
          <w:rFonts w:hint="eastAsia" w:ascii="宋体" w:hAnsi="宋体" w:cs="宋体"/>
          <w:b/>
          <w:sz w:val="24"/>
          <w:szCs w:val="24"/>
        </w:rPr>
        <w:t>（以下无正文）</w:t>
      </w:r>
    </w:p>
    <w:p>
      <w:pPr>
        <w:pStyle w:val="12"/>
        <w:spacing w:line="360" w:lineRule="auto"/>
        <w:ind w:firstLine="482" w:firstLineChars="200"/>
        <w:rPr>
          <w:rFonts w:hint="eastAsia" w:ascii="宋体" w:hAnsi="宋体" w:cs="宋体"/>
          <w:b/>
          <w:bCs/>
          <w:sz w:val="24"/>
          <w:szCs w:val="24"/>
        </w:rPr>
        <w:sectPr>
          <w:footerReference r:id="rId7" w:type="first"/>
          <w:headerReference r:id="rId3" w:type="default"/>
          <w:footerReference r:id="rId5" w:type="default"/>
          <w:headerReference r:id="rId4" w:type="even"/>
          <w:footerReference r:id="rId6" w:type="even"/>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cols w:space="720" w:num="1"/>
          <w:titlePg/>
          <w:docGrid w:type="lines" w:linePitch="312" w:charSpace="0"/>
        </w:sectPr>
      </w:pPr>
    </w:p>
    <w:p>
      <w:pPr>
        <w:pStyle w:val="8"/>
        <w:rPr>
          <w:rFonts w:hint="eastAsia" w:ascii="宋体" w:hAnsi="宋体" w:cs="宋体"/>
          <w:color w:val="auto"/>
        </w:rPr>
      </w:pPr>
      <w:bookmarkStart w:id="3" w:name="_Toc24881"/>
      <w:r>
        <w:rPr>
          <w:rFonts w:hint="eastAsia" w:ascii="宋体" w:hAnsi="宋体" w:cs="宋体"/>
          <w:color w:val="auto"/>
        </w:rPr>
        <w:t>三、投标须知通用条款</w:t>
      </w:r>
      <w:bookmarkEnd w:id="3"/>
    </w:p>
    <w:p>
      <w:pPr>
        <w:pStyle w:val="9"/>
        <w:spacing w:before="156" w:after="156"/>
      </w:pPr>
      <w:bookmarkStart w:id="4" w:name="_Toc21525493"/>
      <w:bookmarkStart w:id="5" w:name="_Toc2272549"/>
      <w:bookmarkStart w:id="6" w:name="_Toc373"/>
      <w:r>
        <w:rPr>
          <w:rFonts w:hint="eastAsia"/>
        </w:rPr>
        <w:t>（一）总则</w:t>
      </w:r>
      <w:bookmarkEnd w:id="4"/>
      <w:bookmarkEnd w:id="5"/>
    </w:p>
    <w:p>
      <w:pPr>
        <w:pStyle w:val="6"/>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pPr>
        <w:pStyle w:val="6"/>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6"/>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6"/>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pPr>
        <w:pStyle w:val="6"/>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6"/>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6"/>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6"/>
        <w:spacing w:after="0"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9"/>
        <w:spacing w:before="156" w:after="156"/>
      </w:pPr>
      <w:bookmarkStart w:id="7" w:name="_Toc21525494"/>
      <w:bookmarkStart w:id="8" w:name="_Toc2272550"/>
      <w:r>
        <w:rPr>
          <w:rFonts w:hint="eastAsia"/>
        </w:rPr>
        <w:t>（二）招标文件</w:t>
      </w:r>
      <w:bookmarkEnd w:id="7"/>
      <w:bookmarkEnd w:id="8"/>
    </w:p>
    <w:p>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pPr>
        <w:pStyle w:val="6"/>
        <w:spacing w:after="0" w:line="360" w:lineRule="auto"/>
        <w:ind w:left="-2" w:firstLine="480" w:firstLineChars="200"/>
        <w:rPr>
          <w:rFonts w:ascii="宋体"/>
          <w:sz w:val="24"/>
        </w:rPr>
      </w:pPr>
      <w:r>
        <w:rPr>
          <w:rFonts w:hint="eastAsia" w:ascii="宋体" w:hAnsi="宋体"/>
          <w:bCs/>
          <w:sz w:val="24"/>
        </w:rPr>
        <w:t>第一章</w:t>
      </w:r>
      <w:r>
        <w:rPr>
          <w:rFonts w:ascii="宋体" w:hAnsi="宋体"/>
          <w:bCs/>
          <w:sz w:val="24"/>
        </w:rPr>
        <w:t xml:space="preserve">  </w:t>
      </w:r>
      <w:r>
        <w:rPr>
          <w:rFonts w:hint="eastAsia" w:ascii="宋体" w:hAnsi="宋体"/>
          <w:sz w:val="24"/>
        </w:rPr>
        <w:t>投标须知</w:t>
      </w:r>
    </w:p>
    <w:p>
      <w:pPr>
        <w:pStyle w:val="6"/>
        <w:spacing w:after="0" w:line="360" w:lineRule="auto"/>
        <w:ind w:left="-2" w:firstLine="480" w:firstLineChars="200"/>
        <w:rPr>
          <w:rFonts w:ascii="宋体"/>
          <w:sz w:val="24"/>
        </w:rPr>
      </w:pPr>
      <w:r>
        <w:rPr>
          <w:rFonts w:hint="eastAsia" w:ascii="宋体" w:hAnsi="宋体"/>
          <w:bCs/>
          <w:sz w:val="24"/>
        </w:rPr>
        <w:t>第二章</w:t>
      </w:r>
      <w:r>
        <w:rPr>
          <w:rFonts w:ascii="宋体" w:hAnsi="宋体"/>
          <w:bCs/>
          <w:sz w:val="24"/>
        </w:rPr>
        <w:t xml:space="preserve">  </w:t>
      </w:r>
      <w:r>
        <w:rPr>
          <w:rFonts w:hint="eastAsia" w:ascii="宋体" w:hAnsi="宋体"/>
          <w:sz w:val="24"/>
        </w:rPr>
        <w:t>开标、评标及定标办法</w:t>
      </w:r>
    </w:p>
    <w:p>
      <w:pPr>
        <w:pStyle w:val="6"/>
        <w:spacing w:after="0" w:line="360" w:lineRule="auto"/>
        <w:ind w:firstLine="480" w:firstLineChars="200"/>
        <w:rPr>
          <w:rFonts w:ascii="宋体"/>
          <w:sz w:val="24"/>
        </w:rPr>
      </w:pPr>
      <w:r>
        <w:rPr>
          <w:rFonts w:hint="eastAsia" w:ascii="宋体" w:hAnsi="宋体"/>
          <w:sz w:val="24"/>
        </w:rPr>
        <w:t>第三章</w:t>
      </w:r>
      <w:r>
        <w:rPr>
          <w:rFonts w:ascii="宋体" w:hAnsi="宋体"/>
          <w:sz w:val="24"/>
        </w:rPr>
        <w:t xml:space="preserve">  </w:t>
      </w:r>
      <w:r>
        <w:rPr>
          <w:rFonts w:hint="eastAsia" w:ascii="宋体" w:hAnsi="宋体"/>
          <w:sz w:val="24"/>
        </w:rPr>
        <w:t>合同条款</w:t>
      </w:r>
    </w:p>
    <w:p>
      <w:pPr>
        <w:pStyle w:val="6"/>
        <w:spacing w:after="0" w:line="360" w:lineRule="auto"/>
        <w:ind w:firstLine="480" w:firstLineChars="200"/>
        <w:rPr>
          <w:rFonts w:ascii="宋体"/>
          <w:sz w:val="24"/>
        </w:rPr>
      </w:pPr>
      <w:r>
        <w:rPr>
          <w:rFonts w:hint="eastAsia" w:ascii="宋体" w:hAnsi="宋体"/>
          <w:bCs/>
          <w:sz w:val="24"/>
        </w:rPr>
        <w:t>第四章</w:t>
      </w:r>
      <w:r>
        <w:rPr>
          <w:rFonts w:ascii="宋体" w:hAnsi="宋体"/>
          <w:bCs/>
          <w:sz w:val="24"/>
        </w:rPr>
        <w:t xml:space="preserve">  </w:t>
      </w:r>
      <w:r>
        <w:rPr>
          <w:rFonts w:hint="eastAsia" w:ascii="宋体" w:hAnsi="宋体"/>
          <w:sz w:val="24"/>
        </w:rPr>
        <w:t>投标文件格式</w:t>
      </w:r>
    </w:p>
    <w:p>
      <w:pPr>
        <w:pStyle w:val="6"/>
        <w:spacing w:after="0" w:line="360" w:lineRule="auto"/>
        <w:ind w:left="-2" w:firstLine="480" w:firstLineChars="200"/>
        <w:rPr>
          <w:rFonts w:ascii="宋体"/>
          <w:sz w:val="24"/>
        </w:rPr>
      </w:pPr>
      <w:r>
        <w:rPr>
          <w:rFonts w:hint="eastAsia" w:ascii="宋体" w:hAnsi="宋体"/>
          <w:bCs/>
          <w:sz w:val="24"/>
        </w:rPr>
        <w:t>第五章</w:t>
      </w:r>
      <w:r>
        <w:rPr>
          <w:rFonts w:ascii="宋体" w:hAnsi="宋体"/>
          <w:bCs/>
          <w:sz w:val="24"/>
        </w:rPr>
        <w:t xml:space="preserve">  </w:t>
      </w:r>
      <w:r>
        <w:rPr>
          <w:rFonts w:hint="eastAsia" w:ascii="宋体" w:hAnsi="宋体"/>
          <w:sz w:val="24"/>
        </w:rPr>
        <w:t>技术条件（工程建设标准）（另册）</w:t>
      </w:r>
    </w:p>
    <w:p>
      <w:pPr>
        <w:pStyle w:val="6"/>
        <w:spacing w:after="0" w:line="360" w:lineRule="auto"/>
        <w:ind w:left="-2" w:firstLine="480" w:firstLineChars="200"/>
        <w:rPr>
          <w:rFonts w:ascii="宋体"/>
          <w:sz w:val="24"/>
        </w:rPr>
      </w:pPr>
      <w:r>
        <w:rPr>
          <w:rFonts w:hint="eastAsia" w:ascii="宋体" w:hAnsi="宋体"/>
          <w:bCs/>
          <w:sz w:val="24"/>
        </w:rPr>
        <w:t>第六章</w:t>
      </w:r>
      <w:r>
        <w:rPr>
          <w:rFonts w:ascii="宋体" w:hAnsi="宋体"/>
          <w:bCs/>
          <w:sz w:val="24"/>
        </w:rPr>
        <w:t xml:space="preserve">  </w:t>
      </w:r>
      <w:r>
        <w:rPr>
          <w:rFonts w:hint="eastAsia" w:ascii="宋体" w:hAnsi="宋体"/>
          <w:sz w:val="24"/>
        </w:rPr>
        <w:t>图纸及勘察资料（另册）</w:t>
      </w:r>
    </w:p>
    <w:p>
      <w:pPr>
        <w:pStyle w:val="6"/>
        <w:spacing w:after="0" w:line="360" w:lineRule="auto"/>
        <w:ind w:left="-2" w:firstLine="480" w:firstLineChars="200"/>
        <w:rPr>
          <w:rFonts w:ascii="宋体"/>
          <w:sz w:val="24"/>
        </w:rPr>
      </w:pPr>
      <w:r>
        <w:rPr>
          <w:rFonts w:hint="eastAsia" w:ascii="宋体" w:hAnsi="宋体"/>
          <w:bCs/>
          <w:sz w:val="24"/>
        </w:rPr>
        <w:t>第七章</w:t>
      </w:r>
      <w:r>
        <w:rPr>
          <w:rFonts w:ascii="宋体" w:hAnsi="宋体"/>
          <w:bCs/>
          <w:sz w:val="24"/>
        </w:rPr>
        <w:t xml:space="preserve">  </w:t>
      </w:r>
      <w:r>
        <w:rPr>
          <w:rFonts w:hint="eastAsia" w:ascii="宋体" w:hAnsi="宋体"/>
          <w:bCs/>
          <w:sz w:val="24"/>
        </w:rPr>
        <w:t>招标</w:t>
      </w:r>
      <w:r>
        <w:rPr>
          <w:rFonts w:hint="eastAsia" w:ascii="宋体" w:hAnsi="宋体"/>
          <w:sz w:val="24"/>
        </w:rPr>
        <w:t>工程量清单（另册）</w:t>
      </w:r>
    </w:p>
    <w:p>
      <w:pPr>
        <w:pStyle w:val="6"/>
        <w:spacing w:after="0" w:line="360" w:lineRule="auto"/>
        <w:ind w:left="-2" w:firstLine="480" w:firstLineChars="200"/>
        <w:rPr>
          <w:rFonts w:ascii="宋体"/>
          <w:sz w:val="24"/>
        </w:rPr>
      </w:pPr>
      <w:r>
        <w:rPr>
          <w:rFonts w:hint="eastAsia" w:ascii="宋体" w:hAnsi="宋体"/>
          <w:sz w:val="24"/>
        </w:rPr>
        <w:t>第八章</w:t>
      </w:r>
      <w:r>
        <w:rPr>
          <w:rFonts w:ascii="宋体" w:hAnsi="宋体"/>
          <w:sz w:val="24"/>
        </w:rPr>
        <w:t xml:space="preserve">  </w:t>
      </w:r>
      <w:r>
        <w:rPr>
          <w:rFonts w:hint="eastAsia" w:ascii="宋体" w:hAnsi="宋体"/>
          <w:sz w:val="24"/>
        </w:rPr>
        <w:t>最高投标限价</w:t>
      </w:r>
    </w:p>
    <w:p>
      <w:pPr>
        <w:pStyle w:val="6"/>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6"/>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6"/>
        <w:spacing w:after="0" w:line="360" w:lineRule="auto"/>
        <w:ind w:firstLine="482" w:firstLineChars="200"/>
        <w:rPr>
          <w:rFonts w:ascii="宋体"/>
          <w:b/>
          <w:bCs/>
          <w:sz w:val="24"/>
        </w:rPr>
      </w:pPr>
      <w:r>
        <w:rPr>
          <w:rFonts w:ascii="宋体" w:hAnsi="宋体"/>
          <w:b/>
          <w:bCs/>
          <w:sz w:val="24"/>
        </w:rPr>
        <w:t>8</w:t>
      </w:r>
      <w:r>
        <w:rPr>
          <w:rFonts w:hint="eastAsia" w:ascii="宋体" w:hAnsi="宋体"/>
          <w:b/>
          <w:bCs/>
          <w:sz w:val="24"/>
        </w:rPr>
        <w:t>．招标答疑</w:t>
      </w:r>
    </w:p>
    <w:p>
      <w:pPr>
        <w:pStyle w:val="6"/>
        <w:spacing w:after="0" w:line="360" w:lineRule="auto"/>
        <w:ind w:firstLine="480" w:firstLineChars="20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sz w:val="24"/>
          <w:szCs w:val="24"/>
          <w:u w:val="single"/>
        </w:rPr>
        <w:t xml:space="preserve">        </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w:t>
      </w:r>
      <w:r>
        <w:rPr>
          <w:rFonts w:ascii="宋体" w:hAnsi="宋体"/>
          <w:sz w:val="24"/>
        </w:rPr>
        <w:t>16</w:t>
      </w:r>
      <w:r>
        <w:rPr>
          <w:rFonts w:hint="eastAsia" w:ascii="宋体" w:hAnsi="宋体"/>
          <w:sz w:val="24"/>
        </w:rPr>
        <w:t>项。</w:t>
      </w:r>
    </w:p>
    <w:p>
      <w:pPr>
        <w:pStyle w:val="6"/>
        <w:spacing w:after="0" w:line="360" w:lineRule="auto"/>
        <w:ind w:firstLine="480" w:firstLineChars="200"/>
        <w:rPr>
          <w:rFonts w:ascii="宋体"/>
          <w:sz w:val="24"/>
        </w:rPr>
      </w:pPr>
      <w:r>
        <w:rPr>
          <w:rFonts w:ascii="宋体" w:hAnsi="宋体"/>
          <w:sz w:val="24"/>
        </w:rPr>
        <w:t>8.2</w:t>
      </w:r>
      <w:r>
        <w:rPr>
          <w:rFonts w:hint="eastAsia" w:ascii="宋体"/>
          <w:sz w:val="24"/>
        </w:rPr>
        <w:t>招标答疑会会议纪要将在提交投标文件截止时间15日前在</w:t>
      </w:r>
      <w:r>
        <w:rPr>
          <w:sz w:val="24"/>
          <w:szCs w:val="24"/>
          <w:u w:val="single"/>
        </w:rPr>
        <w:t xml:space="preserve">        </w:t>
      </w:r>
      <w:r>
        <w:rPr>
          <w:rFonts w:hint="eastAsia" w:ascii="宋体" w:hAnsi="宋体"/>
          <w:sz w:val="24"/>
          <w:szCs w:val="24"/>
        </w:rPr>
        <w:t>交易平台</w:t>
      </w:r>
      <w:r>
        <w:rPr>
          <w:rFonts w:hint="eastAsia" w:ascii="宋体"/>
          <w:sz w:val="24"/>
        </w:rPr>
        <w:t xml:space="preserve"> “项目答疑纪要”专区公开发布。答疑纪要一经在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w:t>
      </w:r>
    </w:p>
    <w:p>
      <w:pPr>
        <w:pStyle w:val="6"/>
        <w:spacing w:after="0"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pPr>
        <w:pStyle w:val="6"/>
        <w:spacing w:after="0" w:line="360" w:lineRule="auto"/>
        <w:ind w:firstLine="480" w:firstLineChars="200"/>
        <w:rPr>
          <w:rFonts w:ascii="宋体"/>
          <w:sz w:val="24"/>
        </w:rPr>
      </w:pPr>
      <w:r>
        <w:rPr>
          <w:rFonts w:ascii="宋体" w:hAnsi="宋体"/>
          <w:sz w:val="24"/>
        </w:rPr>
        <w:t>8.4</w:t>
      </w:r>
      <w:r>
        <w:rPr>
          <w:rFonts w:hint="eastAsia" w:ascii="宋体" w:hAnsi="宋体"/>
          <w:sz w:val="24"/>
        </w:rPr>
        <w:t>若招标答疑会会议纪要与招标文件有矛盾，以答疑会议纪要最后发出的书面形式的文件为准。</w:t>
      </w:r>
    </w:p>
    <w:p>
      <w:pPr>
        <w:pStyle w:val="6"/>
        <w:spacing w:after="0" w:line="360" w:lineRule="auto"/>
        <w:ind w:firstLine="482" w:firstLineChars="200"/>
        <w:rPr>
          <w:rFonts w:ascii="宋体"/>
          <w:b/>
          <w:bCs/>
          <w:sz w:val="24"/>
        </w:rPr>
      </w:pPr>
      <w:r>
        <w:rPr>
          <w:rFonts w:ascii="宋体" w:hAnsi="宋体"/>
          <w:b/>
          <w:bCs/>
          <w:sz w:val="24"/>
        </w:rPr>
        <w:t>9.</w:t>
      </w:r>
      <w:r>
        <w:rPr>
          <w:rFonts w:hint="eastAsia" w:ascii="宋体" w:hAnsi="宋体"/>
          <w:b/>
          <w:bCs/>
          <w:sz w:val="24"/>
        </w:rPr>
        <w:t>招标文件的澄清与修改</w:t>
      </w:r>
    </w:p>
    <w:p>
      <w:pPr>
        <w:pStyle w:val="6"/>
        <w:spacing w:after="0"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pPr>
        <w:pStyle w:val="6"/>
        <w:spacing w:after="0" w:line="360" w:lineRule="auto"/>
        <w:ind w:firstLine="480" w:firstLineChars="200"/>
        <w:rPr>
          <w:rFonts w:ascii="宋体"/>
          <w:sz w:val="24"/>
        </w:rPr>
      </w:pPr>
      <w:r>
        <w:rPr>
          <w:rFonts w:ascii="宋体" w:hAnsi="宋体"/>
          <w:sz w:val="24"/>
        </w:rPr>
        <w:t>9.2</w:t>
      </w:r>
      <w:r>
        <w:rPr>
          <w:rFonts w:hint="eastAsia" w:ascii="宋体"/>
          <w:sz w:val="24"/>
        </w:rPr>
        <w:t>招标文件的澄清或修改将在</w:t>
      </w:r>
      <w:r>
        <w:rPr>
          <w:sz w:val="24"/>
          <w:szCs w:val="24"/>
          <w:u w:val="single"/>
        </w:rPr>
        <w:t xml:space="preserve">        </w:t>
      </w:r>
      <w:r>
        <w:rPr>
          <w:rFonts w:hint="eastAsia" w:ascii="宋体" w:hAnsi="宋体"/>
          <w:sz w:val="24"/>
          <w:szCs w:val="24"/>
        </w:rPr>
        <w:t>交易平台</w:t>
      </w:r>
      <w:r>
        <w:rPr>
          <w:rFonts w:hint="eastAsia" w:ascii="宋体"/>
          <w:sz w:val="24"/>
        </w:rPr>
        <w:t>“项目答疑纪要”专区公开发布。答疑纪要一经在</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发布，视作已发放给所有投标人，以</w:t>
      </w:r>
      <w:r>
        <w:rPr>
          <w:sz w:val="24"/>
          <w:szCs w:val="24"/>
          <w:u w:val="single"/>
        </w:rPr>
        <w:t xml:space="preserve">        </w:t>
      </w:r>
      <w:r>
        <w:rPr>
          <w:rFonts w:hint="eastAsia" w:ascii="宋体" w:hAnsi="宋体"/>
          <w:sz w:val="24"/>
          <w:szCs w:val="24"/>
        </w:rPr>
        <w:t>交易平台</w:t>
      </w:r>
      <w:r>
        <w:rPr>
          <w:rFonts w:hint="eastAsia" w:ascii="宋体"/>
          <w:sz w:val="24"/>
        </w:rPr>
        <w:t>上网发布时间作为送达时间。</w:t>
      </w:r>
    </w:p>
    <w:p>
      <w:pPr>
        <w:pStyle w:val="6"/>
        <w:spacing w:after="0"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pPr>
        <w:pStyle w:val="6"/>
        <w:spacing w:after="0" w:line="360" w:lineRule="auto"/>
        <w:ind w:firstLine="480" w:firstLineChars="200"/>
        <w:rPr>
          <w:rFonts w:ascii="宋体"/>
          <w:sz w:val="24"/>
        </w:rPr>
      </w:pPr>
      <w:r>
        <w:rPr>
          <w:rFonts w:ascii="宋体" w:hAnsi="宋体"/>
          <w:sz w:val="24"/>
        </w:rPr>
        <w:t>9.4</w:t>
      </w:r>
      <w:r>
        <w:rPr>
          <w:rFonts w:hint="eastAsia" w:ascii="宋体" w:hAnsi="宋体"/>
          <w:sz w:val="24"/>
        </w:rPr>
        <w:t>招标文件的澄清或修改均以书面形式明确的内容为准。当招标文件的澄清、修改、补充等在同一内容的表述不一致时，以最后发出的书面形式的文件为准。</w:t>
      </w:r>
    </w:p>
    <w:p>
      <w:pPr>
        <w:pStyle w:val="6"/>
        <w:spacing w:after="0"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9"/>
        <w:spacing w:before="156" w:after="156"/>
      </w:pPr>
      <w:bookmarkStart w:id="9" w:name="_Toc2272551"/>
      <w:bookmarkStart w:id="10" w:name="_Toc21525495"/>
      <w:r>
        <w:rPr>
          <w:rFonts w:hint="eastAsia"/>
        </w:rPr>
        <w:t>（三）投标文件的编制</w:t>
      </w:r>
      <w:bookmarkEnd w:id="9"/>
      <w:bookmarkEnd w:id="10"/>
    </w:p>
    <w:p>
      <w:pPr>
        <w:pStyle w:val="6"/>
        <w:spacing w:after="0" w:line="360" w:lineRule="auto"/>
        <w:ind w:firstLine="482" w:firstLineChars="200"/>
        <w:rPr>
          <w:rFonts w:ascii="宋体"/>
          <w:b/>
          <w:bCs/>
          <w:sz w:val="24"/>
        </w:rPr>
      </w:pPr>
      <w:r>
        <w:rPr>
          <w:rFonts w:ascii="宋体" w:hAnsi="宋体"/>
          <w:b/>
          <w:bCs/>
          <w:sz w:val="24"/>
        </w:rPr>
        <w:t>10</w:t>
      </w:r>
      <w:r>
        <w:rPr>
          <w:rFonts w:hint="eastAsia" w:ascii="宋体" w:hAnsi="宋体"/>
          <w:b/>
          <w:bCs/>
          <w:sz w:val="24"/>
        </w:rPr>
        <w:t>．投标文件的语言及度量衡单位</w:t>
      </w:r>
    </w:p>
    <w:p>
      <w:pPr>
        <w:pStyle w:val="6"/>
        <w:spacing w:after="0"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pPr>
        <w:pStyle w:val="6"/>
        <w:spacing w:after="0"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pPr>
        <w:pStyle w:val="6"/>
        <w:spacing w:after="0" w:line="360" w:lineRule="auto"/>
        <w:ind w:firstLine="482" w:firstLineChars="200"/>
        <w:rPr>
          <w:rFonts w:ascii="宋体"/>
          <w:b/>
          <w:bCs/>
          <w:sz w:val="24"/>
        </w:rPr>
      </w:pPr>
      <w:r>
        <w:rPr>
          <w:rFonts w:ascii="宋体" w:hAnsi="宋体"/>
          <w:b/>
          <w:bCs/>
          <w:sz w:val="24"/>
        </w:rPr>
        <w:t>11</w:t>
      </w:r>
      <w:r>
        <w:rPr>
          <w:rFonts w:hint="eastAsia" w:ascii="宋体" w:hAnsi="宋体"/>
          <w:b/>
          <w:bCs/>
          <w:sz w:val="24"/>
        </w:rPr>
        <w:t>．投标文件的组成</w:t>
      </w:r>
    </w:p>
    <w:p>
      <w:pPr>
        <w:pStyle w:val="6"/>
        <w:spacing w:after="0" w:line="360" w:lineRule="auto"/>
        <w:ind w:firstLine="480" w:firstLineChars="200"/>
        <w:rPr>
          <w:rFonts w:ascii="宋体"/>
          <w:b/>
          <w:sz w:val="24"/>
        </w:rPr>
      </w:pPr>
      <w:r>
        <w:rPr>
          <w:rFonts w:ascii="宋体" w:hAnsi="宋体"/>
          <w:sz w:val="24"/>
        </w:rPr>
        <w:t xml:space="preserve">11.1 </w:t>
      </w:r>
      <w:r>
        <w:rPr>
          <w:rFonts w:hint="eastAsia" w:ascii="宋体" w:hAnsi="宋体"/>
          <w:sz w:val="24"/>
        </w:rPr>
        <w:t>投标文件由技术部分（含资格审查文件）和经济部分二部分投标文件组成</w:t>
      </w:r>
      <w:r>
        <w:rPr>
          <w:rFonts w:hint="eastAsia" w:ascii="宋体" w:hAnsi="宋体"/>
          <w:b/>
          <w:sz w:val="24"/>
        </w:rPr>
        <w:t>。</w:t>
      </w:r>
    </w:p>
    <w:p>
      <w:pPr>
        <w:spacing w:line="360" w:lineRule="auto"/>
        <w:ind w:firstLine="480" w:firstLineChars="200"/>
        <w:rPr>
          <w:rFonts w:ascii="宋体" w:hAnsi="宋体"/>
          <w:bCs/>
          <w:sz w:val="24"/>
        </w:rPr>
      </w:pPr>
      <w:r>
        <w:rPr>
          <w:rFonts w:ascii="宋体" w:hAnsi="宋体"/>
          <w:bCs/>
          <w:sz w:val="24"/>
        </w:rPr>
        <w:t>11.2</w:t>
      </w:r>
      <w:r>
        <w:rPr>
          <w:rFonts w:hint="eastAsia" w:ascii="宋体" w:hAnsi="宋体"/>
          <w:bCs/>
          <w:sz w:val="24"/>
        </w:rPr>
        <w:t>投标文件技术标部分主要包括下列内容</w:t>
      </w:r>
      <w:r>
        <w:rPr>
          <w:rFonts w:ascii="宋体" w:hAnsi="宋体"/>
          <w:bCs/>
          <w:sz w:val="24"/>
        </w:rPr>
        <w:t>:</w:t>
      </w:r>
    </w:p>
    <w:p>
      <w:pPr>
        <w:spacing w:line="360" w:lineRule="auto"/>
        <w:ind w:firstLine="480" w:firstLineChars="200"/>
        <w:rPr>
          <w:rFonts w:ascii="宋体"/>
          <w:bCs/>
          <w:sz w:val="24"/>
        </w:rPr>
      </w:pPr>
      <w:r>
        <w:rPr>
          <w:rFonts w:hint="eastAsia" w:ascii="宋体"/>
          <w:bCs/>
          <w:sz w:val="24"/>
        </w:rPr>
        <w:t>11.2.1 技术投标文件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bCs/>
          <w:sz w:val="24"/>
        </w:rPr>
        <w:t>；</w:t>
      </w:r>
    </w:p>
    <w:p>
      <w:pPr>
        <w:spacing w:line="360" w:lineRule="auto"/>
        <w:ind w:firstLine="480" w:firstLineChars="200"/>
        <w:rPr>
          <w:rFonts w:ascii="宋体"/>
          <w:bCs/>
          <w:sz w:val="24"/>
        </w:rPr>
      </w:pPr>
      <w:r>
        <w:rPr>
          <w:rFonts w:hint="eastAsia" w:ascii="宋体"/>
          <w:bCs/>
          <w:sz w:val="24"/>
        </w:rPr>
        <w:t>11.2.2 资格审查文件：</w:t>
      </w:r>
    </w:p>
    <w:p>
      <w:pPr>
        <w:spacing w:line="360" w:lineRule="auto"/>
        <w:ind w:firstLine="480" w:firstLineChars="200"/>
        <w:rPr>
          <w:rFonts w:ascii="宋体"/>
          <w:bCs/>
          <w:sz w:val="24"/>
        </w:rPr>
      </w:pPr>
      <w:r>
        <w:rPr>
          <w:rFonts w:hint="eastAsia" w:ascii="宋体"/>
          <w:bCs/>
          <w:sz w:val="24"/>
        </w:rPr>
        <w:t xml:space="preserve">（1）投标人声明； </w:t>
      </w:r>
    </w:p>
    <w:p>
      <w:pPr>
        <w:spacing w:line="360" w:lineRule="auto"/>
        <w:ind w:firstLine="480" w:firstLineChars="200"/>
        <w:rPr>
          <w:rFonts w:ascii="宋体"/>
          <w:bCs/>
          <w:sz w:val="24"/>
        </w:rPr>
      </w:pPr>
      <w:r>
        <w:rPr>
          <w:rFonts w:hint="eastAsia" w:ascii="宋体"/>
          <w:bCs/>
          <w:sz w:val="24"/>
        </w:rPr>
        <w:t>（2）法定代表人证明书、法定代表人签字或盖章的本投标文件授权委托证明书；</w:t>
      </w:r>
    </w:p>
    <w:p>
      <w:pPr>
        <w:spacing w:line="360" w:lineRule="auto"/>
        <w:ind w:firstLine="480" w:firstLineChars="200"/>
        <w:rPr>
          <w:rFonts w:ascii="宋体"/>
          <w:bCs/>
          <w:sz w:val="24"/>
        </w:rPr>
      </w:pPr>
      <w:r>
        <w:rPr>
          <w:rFonts w:hint="eastAsia" w:ascii="宋体"/>
          <w:bCs/>
          <w:sz w:val="24"/>
        </w:rPr>
        <w:t>（3）企业营业执照（取自平台内上传件）；</w:t>
      </w:r>
    </w:p>
    <w:p>
      <w:pPr>
        <w:spacing w:line="360" w:lineRule="auto"/>
        <w:ind w:firstLine="480" w:firstLineChars="200"/>
        <w:rPr>
          <w:rFonts w:ascii="宋体"/>
          <w:bCs/>
          <w:sz w:val="24"/>
        </w:rPr>
      </w:pPr>
      <w:r>
        <w:rPr>
          <w:rFonts w:hint="eastAsia" w:ascii="宋体"/>
          <w:bCs/>
          <w:sz w:val="24"/>
        </w:rPr>
        <w:t>（4）企业资质证书（取自平台内上传件）；</w:t>
      </w:r>
    </w:p>
    <w:p>
      <w:pPr>
        <w:spacing w:line="360" w:lineRule="auto"/>
        <w:ind w:firstLine="480" w:firstLineChars="200"/>
        <w:rPr>
          <w:rFonts w:ascii="宋体"/>
          <w:bCs/>
          <w:sz w:val="24"/>
        </w:rPr>
      </w:pPr>
      <w:r>
        <w:rPr>
          <w:rFonts w:hint="eastAsia" w:ascii="宋体"/>
          <w:bCs/>
          <w:sz w:val="24"/>
        </w:rPr>
        <w:t>（5）建筑施工企业安全生产许可证（取自平台内上传件）；</w:t>
      </w:r>
    </w:p>
    <w:p>
      <w:pPr>
        <w:spacing w:line="360" w:lineRule="auto"/>
        <w:ind w:firstLine="480" w:firstLineChars="200"/>
        <w:rPr>
          <w:rFonts w:ascii="宋体" w:hAnsi="宋体"/>
          <w:bCs/>
          <w:sz w:val="24"/>
          <w:szCs w:val="24"/>
        </w:rPr>
      </w:pPr>
      <w:r>
        <w:rPr>
          <w:rFonts w:hint="eastAsia" w:ascii="宋体"/>
          <w:bCs/>
          <w:sz w:val="24"/>
        </w:rPr>
        <w:t>（6）</w:t>
      </w:r>
      <w:r>
        <w:rPr>
          <w:rFonts w:hint="eastAsia" w:ascii="宋体" w:hAnsi="宋体"/>
          <w:bCs/>
          <w:sz w:val="24"/>
          <w:szCs w:val="24"/>
        </w:rPr>
        <w:t>项目负责人（按网上投标登记时选择拟投标的项目负责人）</w:t>
      </w:r>
    </w:p>
    <w:p>
      <w:pPr>
        <w:spacing w:line="360" w:lineRule="auto"/>
        <w:ind w:firstLine="480" w:firstLineChars="200"/>
        <w:rPr>
          <w:rFonts w:ascii="宋体" w:hAnsi="宋体"/>
          <w:bCs/>
          <w:sz w:val="24"/>
          <w:szCs w:val="24"/>
        </w:rPr>
      </w:pPr>
      <w:r>
        <w:rPr>
          <w:rFonts w:hint="eastAsia" w:ascii="宋体" w:hAnsi="宋体"/>
          <w:bCs/>
          <w:sz w:val="24"/>
          <w:szCs w:val="24"/>
        </w:rPr>
        <w:t>（7）专职安全员（按网上投标登记时选择拟投标的专职安全员）</w:t>
      </w:r>
    </w:p>
    <w:p>
      <w:pPr>
        <w:spacing w:line="360" w:lineRule="auto"/>
        <w:ind w:firstLine="480" w:firstLineChars="200"/>
        <w:rPr>
          <w:rFonts w:ascii="宋体"/>
          <w:bCs/>
          <w:sz w:val="24"/>
        </w:rPr>
      </w:pPr>
      <w:r>
        <w:rPr>
          <w:rFonts w:hint="eastAsia" w:ascii="宋体"/>
          <w:bCs/>
          <w:sz w:val="24"/>
        </w:rPr>
        <w:t>（8）拟委托技术负责人的相关证书、资料（具体要求由招标人明确）</w:t>
      </w:r>
    </w:p>
    <w:p>
      <w:pPr>
        <w:spacing w:line="360" w:lineRule="auto"/>
        <w:ind w:firstLine="480" w:firstLineChars="200"/>
        <w:rPr>
          <w:rFonts w:ascii="宋体"/>
          <w:bCs/>
          <w:sz w:val="24"/>
        </w:rPr>
      </w:pPr>
      <w:r>
        <w:rPr>
          <w:rFonts w:hint="eastAsia" w:ascii="宋体"/>
          <w:bCs/>
          <w:sz w:val="24"/>
        </w:rPr>
        <w:t xml:space="preserve">（9）拟委派项目负责人的建造师注册证书或小型项目负责人相关证明（取自平台内上传件）； </w:t>
      </w:r>
    </w:p>
    <w:p>
      <w:pPr>
        <w:spacing w:line="360" w:lineRule="auto"/>
        <w:ind w:firstLine="480" w:firstLineChars="200"/>
        <w:rPr>
          <w:rFonts w:ascii="宋体"/>
          <w:bCs/>
          <w:sz w:val="24"/>
        </w:rPr>
      </w:pPr>
      <w:r>
        <w:rPr>
          <w:rFonts w:hint="eastAsia" w:ascii="宋体"/>
          <w:bCs/>
          <w:sz w:val="24"/>
        </w:rPr>
        <w:t>（10）项目负责人安全培训考核合格证明或在有效期内的安全考核合格证书（B类）或建筑施工企业项目负责人安全生产考核合格证书（取自平台内上传件）</w:t>
      </w:r>
      <w:r>
        <w:rPr>
          <w:rFonts w:hint="eastAsia" w:ascii="宋体"/>
          <w:bCs/>
          <w:sz w:val="24"/>
          <w:szCs w:val="24"/>
        </w:rPr>
        <w:t>；</w:t>
      </w:r>
    </w:p>
    <w:p>
      <w:pPr>
        <w:spacing w:line="360" w:lineRule="auto"/>
        <w:ind w:firstLine="480" w:firstLineChars="200"/>
        <w:rPr>
          <w:rFonts w:ascii="宋体"/>
          <w:bCs/>
          <w:sz w:val="24"/>
          <w:szCs w:val="24"/>
        </w:rPr>
      </w:pPr>
      <w:r>
        <w:rPr>
          <w:rFonts w:hint="eastAsia" w:ascii="宋体"/>
          <w:bCs/>
          <w:sz w:val="24"/>
        </w:rPr>
        <w:t>（11）专职安全员须具有在有效期内的安全考核合格证书（C类）或建筑施工企业专职安全生产管理人员安全生产考核合格证书</w:t>
      </w:r>
      <w:r>
        <w:rPr>
          <w:rFonts w:hint="eastAsia" w:ascii="宋体"/>
          <w:bCs/>
          <w:sz w:val="24"/>
          <w:szCs w:val="24"/>
        </w:rPr>
        <w:t>（取自平台内上传件）；</w:t>
      </w:r>
    </w:p>
    <w:p>
      <w:pPr>
        <w:spacing w:line="360" w:lineRule="auto"/>
        <w:ind w:firstLine="480" w:firstLineChars="200"/>
        <w:rPr>
          <w:rFonts w:ascii="宋体"/>
          <w:bCs/>
          <w:sz w:val="24"/>
          <w:szCs w:val="24"/>
        </w:rPr>
      </w:pPr>
      <w:r>
        <w:rPr>
          <w:rFonts w:hint="eastAsia" w:ascii="宋体"/>
          <w:bCs/>
          <w:sz w:val="24"/>
          <w:szCs w:val="24"/>
        </w:rPr>
        <w:t>（12）</w:t>
      </w:r>
      <w:r>
        <w:rPr>
          <w:rFonts w:hint="eastAsia" w:ascii="宋体" w:hAnsi="宋体"/>
          <w:bCs/>
          <w:sz w:val="24"/>
          <w:szCs w:val="24"/>
        </w:rPr>
        <w:t>用于资格审查的业绩（设置业绩要求时选择此项，投标人</w:t>
      </w:r>
      <w:r>
        <w:rPr>
          <w:rFonts w:hint="eastAsia" w:ascii="宋体" w:hAnsi="宋体"/>
          <w:sz w:val="24"/>
        </w:rPr>
        <w:t>须提供类似工程业绩的项目名称及项目编号，具体格式由招标人自定</w:t>
      </w:r>
      <w:r>
        <w:rPr>
          <w:rFonts w:hint="eastAsia" w:ascii="宋体" w:hAnsi="宋体"/>
          <w:bCs/>
          <w:sz w:val="24"/>
          <w:szCs w:val="24"/>
        </w:rPr>
        <w:t>）；</w:t>
      </w:r>
    </w:p>
    <w:p>
      <w:pPr>
        <w:spacing w:line="360" w:lineRule="auto"/>
        <w:ind w:firstLine="480" w:firstLineChars="200"/>
        <w:rPr>
          <w:rFonts w:ascii="宋体"/>
          <w:bCs/>
          <w:sz w:val="24"/>
        </w:rPr>
      </w:pPr>
      <w:r>
        <w:rPr>
          <w:rFonts w:hint="eastAsia" w:ascii="宋体"/>
          <w:bCs/>
          <w:sz w:val="24"/>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rPr>
      </w:pPr>
      <w:r>
        <w:rPr>
          <w:rFonts w:hint="eastAsia" w:ascii="宋体" w:hAnsi="宋体"/>
          <w:bCs/>
          <w:sz w:val="24"/>
          <w:szCs w:val="24"/>
        </w:rPr>
        <w:t>（14）列明主办单位的联合体工作协议（采用联合体投标时需递交，投标人拟任本工程项目负责人应为联合体主办方信用档案中的在册人员，</w:t>
      </w:r>
      <w:r>
        <w:rPr>
          <w:rFonts w:hint="eastAsia" w:ascii="宋体" w:hAnsi="宋体"/>
          <w:sz w:val="24"/>
          <w:szCs w:val="24"/>
        </w:rPr>
        <w:t>联合体工作协议应明确约定各方拟承担的工作和责任</w:t>
      </w:r>
      <w:r>
        <w:rPr>
          <w:rFonts w:hint="eastAsia" w:ascii="宋体" w:hAnsi="宋体"/>
          <w:bCs/>
          <w:sz w:val="24"/>
          <w:szCs w:val="24"/>
        </w:rPr>
        <w:t xml:space="preserve">）； </w:t>
      </w:r>
    </w:p>
    <w:p>
      <w:pPr>
        <w:spacing w:line="360" w:lineRule="auto"/>
        <w:ind w:firstLine="480" w:firstLineChars="200"/>
        <w:rPr>
          <w:rFonts w:ascii="宋体"/>
          <w:bCs/>
          <w:sz w:val="24"/>
        </w:rPr>
      </w:pPr>
      <w:r>
        <w:rPr>
          <w:rFonts w:hint="eastAsia" w:ascii="宋体" w:hAnsi="宋体"/>
          <w:bCs/>
          <w:sz w:val="24"/>
          <w:szCs w:val="24"/>
        </w:rPr>
        <w:t>（15）</w:t>
      </w:r>
      <w:r>
        <w:rPr>
          <w:rFonts w:hint="eastAsia" w:ascii="宋体" w:hAnsi="宋体"/>
          <w:sz w:val="24"/>
          <w:szCs w:val="24"/>
        </w:rPr>
        <w:t>投标人具有在广州地区可使用适合本工程的机械设备的证明文件（</w:t>
      </w:r>
      <w:r>
        <w:rPr>
          <w:rFonts w:hint="eastAsia" w:ascii="宋体" w:hAnsi="宋体"/>
          <w:sz w:val="24"/>
        </w:rPr>
        <w:t>提供沥青摊铺机自有发票或权属证明及设备现场全貌彩照（彩照须能反映其规格型号）</w:t>
      </w:r>
      <w:r>
        <w:rPr>
          <w:rFonts w:hint="eastAsia" w:ascii="宋体" w:hAnsi="宋体"/>
          <w:sz w:val="24"/>
          <w:szCs w:val="24"/>
        </w:rPr>
        <w:t>）。（含有市政道路面层沥青摊铺且沥青摊铺占预计发包价50%或以上的大、中修市政公用工程需提供该项内容的证明文件）。</w:t>
      </w:r>
    </w:p>
    <w:p>
      <w:pPr>
        <w:spacing w:line="360" w:lineRule="auto"/>
        <w:ind w:firstLine="480" w:firstLineChars="200"/>
        <w:rPr>
          <w:rFonts w:ascii="宋体"/>
          <w:sz w:val="24"/>
        </w:rPr>
      </w:pPr>
      <w:r>
        <w:rPr>
          <w:rFonts w:ascii="宋体" w:hAnsi="宋体"/>
          <w:sz w:val="24"/>
        </w:rPr>
        <w:t>11.2.3</w:t>
      </w:r>
      <w:r>
        <w:rPr>
          <w:rFonts w:hint="eastAsia" w:ascii="宋体" w:hAnsi="宋体"/>
          <w:sz w:val="24"/>
        </w:rPr>
        <w:t>项目管理机构配备。</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）投标人应列出该项目工程的施工组织机构构成和画出机构框架图及其负责人；</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）其他辅助说明资料。</w:t>
      </w:r>
    </w:p>
    <w:p>
      <w:pPr>
        <w:spacing w:line="360" w:lineRule="auto"/>
        <w:ind w:firstLine="480" w:firstLineChars="200"/>
        <w:rPr>
          <w:rFonts w:ascii="宋体"/>
          <w:sz w:val="24"/>
        </w:rPr>
      </w:pPr>
      <w:r>
        <w:rPr>
          <w:rFonts w:ascii="宋体" w:hAnsi="宋体"/>
          <w:sz w:val="24"/>
        </w:rPr>
        <w:t>11.2.4</w:t>
      </w:r>
      <w:r>
        <w:rPr>
          <w:rFonts w:hint="eastAsia" w:ascii="宋体" w:hAnsi="宋体"/>
          <w:sz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sz w:val="24"/>
        </w:rPr>
      </w:pPr>
      <w:r>
        <w:rPr>
          <w:rFonts w:ascii="宋体" w:hAnsi="宋体"/>
          <w:sz w:val="24"/>
        </w:rPr>
        <w:t>11.2.5</w:t>
      </w:r>
      <w:r>
        <w:rPr>
          <w:rFonts w:hint="eastAsia" w:ascii="宋体" w:hAnsi="宋体"/>
          <w:sz w:val="24"/>
        </w:rPr>
        <w:t>施工组织设计或施工方案。</w:t>
      </w:r>
    </w:p>
    <w:p>
      <w:pPr>
        <w:tabs>
          <w:tab w:val="left" w:pos="1125"/>
        </w:tabs>
        <w:spacing w:line="360" w:lineRule="auto"/>
        <w:ind w:firstLine="480" w:firstLineChars="200"/>
        <w:rPr>
          <w:rFonts w:ascii="宋体"/>
          <w:sz w:val="24"/>
        </w:rPr>
      </w:pPr>
      <w:r>
        <w:rPr>
          <w:rFonts w:ascii="宋体" w:hAnsi="宋体"/>
          <w:sz w:val="24"/>
        </w:rPr>
        <w:t>11.2.</w:t>
      </w:r>
      <w:r>
        <w:rPr>
          <w:rFonts w:hint="eastAsia" w:ascii="宋体" w:hAnsi="宋体"/>
          <w:sz w:val="24"/>
        </w:rPr>
        <w:t>6按照</w:t>
      </w:r>
      <w:r>
        <w:rPr>
          <w:rFonts w:hint="eastAsia" w:ascii="宋体" w:hAnsi="宋体"/>
          <w:bCs/>
          <w:sz w:val="24"/>
        </w:rPr>
        <w:t>招标文件要求</w:t>
      </w:r>
      <w:r>
        <w:rPr>
          <w:rFonts w:hint="eastAsia" w:ascii="宋体" w:hAnsi="宋体"/>
          <w:sz w:val="24"/>
        </w:rPr>
        <w:t>填写的《参与编制技术标投标文件人员名单》。</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sz w:val="24"/>
        </w:rPr>
        <w:t>。</w:t>
      </w:r>
    </w:p>
    <w:p>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r>
        <w:rPr>
          <w:rFonts w:ascii="宋体"/>
          <w:sz w:val="24"/>
        </w:rPr>
        <w:t xml:space="preserve"> </w:t>
      </w:r>
    </w:p>
    <w:p>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pPr>
        <w:spacing w:line="360" w:lineRule="auto"/>
        <w:ind w:firstLine="566" w:firstLineChars="236"/>
        <w:rPr>
          <w:rFonts w:ascii="宋体"/>
          <w:sz w:val="24"/>
          <w:szCs w:val="24"/>
        </w:rPr>
      </w:pPr>
      <w:r>
        <w:rPr>
          <w:rFonts w:hint="eastAsia" w:ascii="宋体" w:hAnsi="宋体"/>
          <w:sz w:val="24"/>
          <w:szCs w:val="24"/>
        </w:rPr>
        <w:t>（3）工程项目投标报价汇总表；</w:t>
      </w:r>
    </w:p>
    <w:p>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pPr>
        <w:spacing w:line="360" w:lineRule="auto"/>
        <w:ind w:firstLine="566" w:firstLineChars="236"/>
        <w:rPr>
          <w:rFonts w:ascii="宋体"/>
          <w:sz w:val="24"/>
          <w:szCs w:val="24"/>
        </w:rPr>
      </w:pPr>
      <w:r>
        <w:rPr>
          <w:rFonts w:hint="eastAsia" w:ascii="宋体" w:hAnsi="宋体"/>
          <w:sz w:val="24"/>
          <w:szCs w:val="24"/>
        </w:rPr>
        <w:t>（5）单位工程投标报价汇总表；</w:t>
      </w:r>
    </w:p>
    <w:p>
      <w:pPr>
        <w:spacing w:line="360" w:lineRule="auto"/>
        <w:ind w:firstLine="566" w:firstLineChars="236"/>
        <w:rPr>
          <w:rFonts w:ascii="宋体"/>
          <w:sz w:val="24"/>
          <w:szCs w:val="24"/>
        </w:rPr>
      </w:pPr>
      <w:r>
        <w:rPr>
          <w:rFonts w:hint="eastAsia" w:ascii="宋体" w:hAnsi="宋体"/>
          <w:sz w:val="24"/>
          <w:szCs w:val="24"/>
        </w:rPr>
        <w:t>（6）分部分项工程清单与计价表；</w:t>
      </w:r>
    </w:p>
    <w:p>
      <w:pPr>
        <w:spacing w:line="360" w:lineRule="auto"/>
        <w:ind w:firstLine="566" w:firstLineChars="236"/>
        <w:rPr>
          <w:rFonts w:ascii="宋体"/>
          <w:sz w:val="24"/>
          <w:szCs w:val="24"/>
        </w:rPr>
      </w:pPr>
      <w:r>
        <w:rPr>
          <w:rFonts w:hint="eastAsia" w:ascii="宋体" w:hAnsi="宋体"/>
          <w:sz w:val="24"/>
          <w:szCs w:val="24"/>
        </w:rPr>
        <w:t>（7）单价措施项目清单与计价表；</w:t>
      </w:r>
    </w:p>
    <w:p>
      <w:pPr>
        <w:spacing w:line="360" w:lineRule="auto"/>
        <w:ind w:firstLine="566" w:firstLineChars="236"/>
        <w:rPr>
          <w:rFonts w:ascii="宋体"/>
          <w:sz w:val="24"/>
          <w:szCs w:val="24"/>
        </w:rPr>
      </w:pPr>
      <w:r>
        <w:rPr>
          <w:rFonts w:hint="eastAsia" w:ascii="宋体" w:hAnsi="宋体"/>
          <w:sz w:val="24"/>
          <w:szCs w:val="24"/>
        </w:rPr>
        <w:t>（8）总价措施项目清单与计价表；</w:t>
      </w:r>
    </w:p>
    <w:p>
      <w:pPr>
        <w:spacing w:line="360" w:lineRule="auto"/>
        <w:ind w:firstLine="566" w:firstLineChars="236"/>
        <w:rPr>
          <w:rFonts w:ascii="宋体"/>
          <w:sz w:val="24"/>
          <w:szCs w:val="24"/>
        </w:rPr>
      </w:pPr>
      <w:r>
        <w:rPr>
          <w:rFonts w:hint="eastAsia" w:ascii="宋体" w:hAnsi="宋体"/>
          <w:sz w:val="24"/>
          <w:szCs w:val="24"/>
        </w:rPr>
        <w:t>（9）综合单价分析表；</w:t>
      </w:r>
    </w:p>
    <w:p>
      <w:pPr>
        <w:spacing w:line="360" w:lineRule="auto"/>
        <w:ind w:firstLine="566" w:firstLineChars="236"/>
        <w:rPr>
          <w:rFonts w:ascii="宋体"/>
          <w:sz w:val="24"/>
          <w:szCs w:val="24"/>
        </w:rPr>
      </w:pPr>
      <w:r>
        <w:rPr>
          <w:rFonts w:hint="eastAsia" w:ascii="宋体" w:hAnsi="宋体"/>
          <w:sz w:val="24"/>
          <w:szCs w:val="24"/>
        </w:rPr>
        <w:t>（10）其他项目清单与计价汇总表；</w:t>
      </w:r>
    </w:p>
    <w:p>
      <w:pPr>
        <w:spacing w:line="360" w:lineRule="auto"/>
        <w:ind w:firstLine="566" w:firstLineChars="236"/>
        <w:rPr>
          <w:rFonts w:ascii="宋体"/>
          <w:sz w:val="24"/>
          <w:szCs w:val="24"/>
        </w:rPr>
      </w:pPr>
      <w:r>
        <w:rPr>
          <w:rFonts w:hint="eastAsia" w:ascii="宋体" w:hAnsi="宋体"/>
          <w:sz w:val="24"/>
          <w:szCs w:val="24"/>
        </w:rPr>
        <w:t>（11）暂列金额明细表；</w:t>
      </w:r>
    </w:p>
    <w:p>
      <w:pPr>
        <w:spacing w:line="360" w:lineRule="auto"/>
        <w:ind w:firstLine="566" w:firstLineChars="236"/>
        <w:rPr>
          <w:rFonts w:ascii="宋体"/>
          <w:sz w:val="24"/>
          <w:szCs w:val="24"/>
        </w:rPr>
      </w:pPr>
      <w:r>
        <w:rPr>
          <w:rFonts w:hint="eastAsia" w:ascii="宋体" w:hAnsi="宋体"/>
          <w:sz w:val="24"/>
          <w:szCs w:val="24"/>
        </w:rPr>
        <w:t>（12）材料（工程设备）暂估价明细表；</w:t>
      </w:r>
    </w:p>
    <w:p>
      <w:pPr>
        <w:spacing w:line="360" w:lineRule="auto"/>
        <w:ind w:firstLine="566" w:firstLineChars="236"/>
        <w:rPr>
          <w:rFonts w:ascii="宋体"/>
          <w:sz w:val="24"/>
          <w:szCs w:val="24"/>
        </w:rPr>
      </w:pPr>
      <w:r>
        <w:rPr>
          <w:rFonts w:hint="eastAsia" w:ascii="宋体" w:hAnsi="宋体"/>
          <w:sz w:val="24"/>
          <w:szCs w:val="24"/>
        </w:rPr>
        <w:t>（13）专业工程暂估价明细表；</w:t>
      </w:r>
    </w:p>
    <w:p>
      <w:pPr>
        <w:spacing w:line="360" w:lineRule="auto"/>
        <w:ind w:firstLine="566" w:firstLineChars="236"/>
        <w:rPr>
          <w:rFonts w:ascii="宋体"/>
          <w:sz w:val="24"/>
          <w:szCs w:val="24"/>
        </w:rPr>
      </w:pPr>
      <w:r>
        <w:rPr>
          <w:rFonts w:hint="eastAsia" w:ascii="宋体" w:hAnsi="宋体"/>
          <w:sz w:val="24"/>
          <w:szCs w:val="24"/>
        </w:rPr>
        <w:t>（14）计日工表；</w:t>
      </w:r>
    </w:p>
    <w:p>
      <w:pPr>
        <w:spacing w:line="360" w:lineRule="auto"/>
        <w:ind w:firstLine="566" w:firstLineChars="236"/>
        <w:rPr>
          <w:rFonts w:ascii="宋体"/>
          <w:sz w:val="24"/>
          <w:szCs w:val="24"/>
        </w:rPr>
      </w:pPr>
      <w:r>
        <w:rPr>
          <w:rFonts w:hint="eastAsia" w:ascii="宋体" w:hAnsi="宋体"/>
          <w:sz w:val="24"/>
          <w:szCs w:val="24"/>
        </w:rPr>
        <w:t>（15）总承包服务计价表；</w:t>
      </w:r>
    </w:p>
    <w:p>
      <w:pPr>
        <w:spacing w:line="360" w:lineRule="auto"/>
        <w:ind w:firstLine="566" w:firstLineChars="236"/>
        <w:rPr>
          <w:rFonts w:ascii="宋体"/>
          <w:sz w:val="24"/>
          <w:szCs w:val="24"/>
        </w:rPr>
      </w:pPr>
      <w:r>
        <w:rPr>
          <w:rFonts w:hint="eastAsia" w:ascii="宋体" w:hAnsi="宋体"/>
          <w:sz w:val="24"/>
          <w:szCs w:val="24"/>
        </w:rPr>
        <w:t>（16）规费和税金项目计价表；</w:t>
      </w:r>
    </w:p>
    <w:p>
      <w:pPr>
        <w:spacing w:line="360" w:lineRule="auto"/>
        <w:ind w:firstLine="480" w:firstLineChars="200"/>
        <w:rPr>
          <w:rFonts w:ascii="宋体"/>
          <w:sz w:val="24"/>
        </w:rPr>
      </w:pPr>
      <w:r>
        <w:rPr>
          <w:rFonts w:hint="eastAsia" w:ascii="宋体" w:hAnsi="宋体"/>
          <w:sz w:val="24"/>
          <w:szCs w:val="24"/>
        </w:rPr>
        <w:t xml:space="preserve"> （17）人工、主要材料和设备一览表</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pPr>
        <w:pStyle w:val="6"/>
        <w:spacing w:after="0" w:line="360" w:lineRule="auto"/>
        <w:ind w:firstLine="482" w:firstLineChars="200"/>
        <w:rPr>
          <w:rFonts w:ascii="宋体"/>
          <w:b/>
          <w:bCs/>
          <w:sz w:val="24"/>
        </w:rPr>
      </w:pPr>
      <w:r>
        <w:rPr>
          <w:rFonts w:ascii="宋体" w:hAnsi="宋体"/>
          <w:b/>
          <w:bCs/>
          <w:sz w:val="24"/>
        </w:rPr>
        <w:t>12</w:t>
      </w:r>
      <w:r>
        <w:rPr>
          <w:rFonts w:hint="eastAsia" w:ascii="宋体" w:hAnsi="宋体"/>
          <w:b/>
          <w:bCs/>
          <w:sz w:val="24"/>
        </w:rPr>
        <w:t>．投标文件格式</w:t>
      </w:r>
    </w:p>
    <w:p>
      <w:pPr>
        <w:pStyle w:val="6"/>
        <w:spacing w:after="0"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pPr>
        <w:pStyle w:val="6"/>
        <w:spacing w:after="0" w:line="360" w:lineRule="auto"/>
        <w:ind w:firstLine="480" w:firstLineChars="200"/>
        <w:rPr>
          <w:rFonts w:ascii="宋体" w:hAnsi="宋体"/>
          <w:sz w:val="24"/>
        </w:rPr>
      </w:pPr>
      <w:r>
        <w:rPr>
          <w:rFonts w:hint="eastAsia" w:ascii="宋体" w:hAnsi="宋体"/>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p>
    <w:p>
      <w:pPr>
        <w:pStyle w:val="6"/>
        <w:spacing w:after="0" w:line="360" w:lineRule="auto"/>
        <w:ind w:firstLine="480" w:firstLineChars="200"/>
        <w:rPr>
          <w:rFonts w:ascii="宋体" w:hAnsi="宋体"/>
          <w:sz w:val="24"/>
        </w:rPr>
      </w:pPr>
      <w:r>
        <w:rPr>
          <w:rFonts w:hint="eastAsia" w:ascii="宋体" w:hAnsi="宋体"/>
          <w:sz w:val="24"/>
        </w:rPr>
        <w:t xml:space="preserve">12.3 </w:t>
      </w:r>
      <w:r>
        <w:rPr>
          <w:rFonts w:hint="eastAsia" w:ascii="宋体" w:hAnsi="宋体"/>
          <w:bCs/>
          <w:sz w:val="24"/>
          <w:szCs w:val="24"/>
        </w:rPr>
        <w:t>投标文件应按</w:t>
      </w:r>
      <w:r>
        <w:rPr>
          <w:rFonts w:hint="eastAsia" w:ascii="宋体" w:hAnsi="宋体"/>
          <w:sz w:val="24"/>
        </w:rPr>
        <w:t>照交易平台关于全流程电子化项目的相关指南进行编制，详见：</w:t>
      </w:r>
      <w:r>
        <w:rPr>
          <w:sz w:val="24"/>
          <w:szCs w:val="24"/>
          <w:u w:val="single"/>
        </w:rPr>
        <w:t xml:space="preserve">       </w:t>
      </w:r>
      <w:r>
        <w:rPr>
          <w:rFonts w:hint="eastAsia"/>
          <w:sz w:val="24"/>
          <w:szCs w:val="24"/>
          <w:u w:val="single"/>
        </w:rPr>
        <w:t xml:space="preserve">     </w:t>
      </w:r>
      <w:r>
        <w:rPr>
          <w:rFonts w:hint="eastAsia" w:ascii="宋体" w:hAnsi="宋体"/>
          <w:sz w:val="24"/>
        </w:rPr>
        <w:t xml:space="preserve">。               </w:t>
      </w:r>
    </w:p>
    <w:p>
      <w:pPr>
        <w:pStyle w:val="6"/>
        <w:spacing w:after="0" w:line="360" w:lineRule="auto"/>
        <w:ind w:firstLine="0"/>
        <w:rPr>
          <w:rFonts w:ascii="宋体" w:hAnsi="宋体"/>
          <w:sz w:val="24"/>
        </w:rPr>
      </w:pPr>
      <w:r>
        <w:rPr>
          <w:rFonts w:hint="eastAsia" w:ascii="宋体" w:hAnsi="宋体"/>
          <w:bCs/>
          <w:sz w:val="24"/>
          <w:szCs w:val="24"/>
        </w:rPr>
        <w:t>如不按上述要求编制引起系统无法检索、读取相关信息的，其后果由投标人承担。</w:t>
      </w:r>
    </w:p>
    <w:p>
      <w:pPr>
        <w:pStyle w:val="6"/>
        <w:spacing w:after="0" w:line="360" w:lineRule="auto"/>
        <w:ind w:firstLine="482" w:firstLineChars="200"/>
        <w:rPr>
          <w:rFonts w:ascii="宋体"/>
          <w:b/>
          <w:bCs/>
          <w:sz w:val="24"/>
        </w:rPr>
      </w:pPr>
      <w:r>
        <w:rPr>
          <w:rFonts w:ascii="宋体" w:hAnsi="宋体"/>
          <w:b/>
          <w:bCs/>
          <w:sz w:val="24"/>
        </w:rPr>
        <w:t>13</w:t>
      </w:r>
      <w:r>
        <w:rPr>
          <w:rFonts w:hint="eastAsia" w:ascii="宋体" w:hAnsi="宋体"/>
          <w:b/>
          <w:bCs/>
          <w:sz w:val="24"/>
        </w:rPr>
        <w:t>．投标报价及造价承包和变更结算方式</w:t>
      </w:r>
    </w:p>
    <w:p>
      <w:pPr>
        <w:pStyle w:val="6"/>
        <w:spacing w:after="0" w:line="360" w:lineRule="auto"/>
        <w:ind w:firstLine="480" w:firstLineChars="200"/>
        <w:rPr>
          <w:rFonts w:ascii="宋体"/>
          <w:sz w:val="24"/>
        </w:rPr>
      </w:pPr>
      <w:r>
        <w:rPr>
          <w:rFonts w:ascii="宋体" w:hAnsi="宋体"/>
          <w:sz w:val="24"/>
        </w:rPr>
        <w:t xml:space="preserve">13.1 </w:t>
      </w:r>
      <w:r>
        <w:rPr>
          <w:rFonts w:hint="eastAsia" w:ascii="宋体" w:hAnsi="宋体"/>
          <w:sz w:val="24"/>
        </w:rPr>
        <w:t>本工程的投标报价采用投标须知前附表第</w:t>
      </w:r>
      <w:r>
        <w:rPr>
          <w:rFonts w:ascii="宋体" w:hAnsi="宋体"/>
          <w:sz w:val="24"/>
        </w:rPr>
        <w:t>12</w:t>
      </w:r>
      <w:r>
        <w:rPr>
          <w:rFonts w:hint="eastAsia" w:ascii="宋体" w:hAnsi="宋体"/>
          <w:sz w:val="24"/>
        </w:rPr>
        <w:t>项所规定的方式。投标报价（含单价及总价）精确到“分”。</w:t>
      </w:r>
    </w:p>
    <w:p>
      <w:pPr>
        <w:pStyle w:val="6"/>
        <w:spacing w:after="0"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6"/>
        <w:spacing w:after="0"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6"/>
        <w:spacing w:after="0" w:line="360" w:lineRule="auto"/>
        <w:ind w:firstLine="480" w:firstLineChars="200"/>
        <w:rPr>
          <w:rFonts w:ascii="宋体"/>
          <w:sz w:val="24"/>
        </w:rPr>
      </w:pPr>
      <w:r>
        <w:rPr>
          <w:rFonts w:ascii="宋体" w:hAnsi="宋体"/>
          <w:sz w:val="24"/>
        </w:rPr>
        <w:t>13.4</w:t>
      </w:r>
      <w:r>
        <w:rPr>
          <w:rFonts w:hint="eastAsia" w:ascii="宋体" w:hAnsi="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6"/>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6"/>
        <w:spacing w:after="0"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pPr>
        <w:pStyle w:val="6"/>
        <w:spacing w:after="0"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6"/>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ascii="宋体" w:hAnsi="宋体"/>
          <w:sz w:val="24"/>
          <w:szCs w:val="24"/>
        </w:rPr>
        <w:t xml:space="preserve"> </w:t>
      </w:r>
      <w:r>
        <w:rPr>
          <w:rFonts w:hint="eastAsia" w:ascii="宋体" w:hAnsi="宋体"/>
          <w:sz w:val="24"/>
          <w:szCs w:val="24"/>
        </w:rPr>
        <w:t>最高投标限价</w:t>
      </w:r>
      <w:r>
        <w:rPr>
          <w:rFonts w:hint="eastAsia" w:ascii="宋体" w:hAnsi="宋体"/>
          <w:sz w:val="24"/>
        </w:rPr>
        <w:t>）。</w:t>
      </w:r>
    </w:p>
    <w:p>
      <w:pPr>
        <w:pStyle w:val="6"/>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6"/>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6"/>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6"/>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6"/>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6"/>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6"/>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6"/>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6"/>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6"/>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6"/>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6"/>
        <w:spacing w:after="0"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6"/>
        <w:spacing w:after="0"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pPr>
        <w:pStyle w:val="6"/>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6"/>
        <w:spacing w:after="0"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pPr>
        <w:pStyle w:val="6"/>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6"/>
        <w:spacing w:after="0"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pPr>
        <w:pStyle w:val="6"/>
        <w:spacing w:after="0" w:line="360" w:lineRule="auto"/>
        <w:ind w:firstLine="482" w:firstLineChars="200"/>
        <w:rPr>
          <w:rFonts w:ascii="宋体"/>
          <w:b/>
          <w:bCs/>
          <w:sz w:val="24"/>
        </w:rPr>
      </w:pPr>
      <w:r>
        <w:rPr>
          <w:rFonts w:ascii="宋体" w:hAnsi="宋体"/>
          <w:b/>
          <w:bCs/>
          <w:sz w:val="24"/>
        </w:rPr>
        <w:t>16</w:t>
      </w:r>
      <w:r>
        <w:rPr>
          <w:rFonts w:hint="eastAsia" w:ascii="宋体" w:hAnsi="宋体"/>
          <w:b/>
          <w:bCs/>
          <w:sz w:val="24"/>
        </w:rPr>
        <w:t>．投标保证金</w:t>
      </w:r>
    </w:p>
    <w:p>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w:t>
      </w:r>
      <w:r>
        <w:rPr>
          <w:rFonts w:ascii="宋体" w:hAnsi="宋体"/>
          <w:sz w:val="24"/>
        </w:rPr>
        <w:t>14</w:t>
      </w:r>
      <w:r>
        <w:rPr>
          <w:rFonts w:hint="eastAsia" w:ascii="宋体" w:hAnsi="宋体"/>
          <w:sz w:val="24"/>
        </w:rPr>
        <w:t>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pPr>
        <w:spacing w:line="360" w:lineRule="auto"/>
        <w:ind w:firstLine="480" w:firstLineChars="200"/>
        <w:rPr>
          <w:rFonts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rPr>
      </w:pPr>
      <w:r>
        <w:rPr>
          <w:rFonts w:hint="eastAsia" w:ascii="宋体" w:hAnsi="宋体"/>
          <w:sz w:val="24"/>
        </w:rPr>
        <w:t>16.3投标保证金应依据法律法规的相关规定退还。</w:t>
      </w:r>
    </w:p>
    <w:p>
      <w:pPr>
        <w:spacing w:line="360" w:lineRule="auto"/>
        <w:ind w:firstLine="480" w:firstLineChars="200"/>
        <w:rPr>
          <w:rFonts w:ascii="宋体" w:hAnsi="宋体"/>
          <w:sz w:val="24"/>
        </w:rPr>
      </w:pPr>
      <w:r>
        <w:rPr>
          <w:rFonts w:hint="eastAsia" w:ascii="宋体" w:hAnsi="宋体"/>
          <w:sz w:val="24"/>
        </w:rPr>
        <w:t>16.4如有下列情况之一的，招标人可以不予退还投标保证金（是否退还投标保证金由招标人在招标文件中规定）：</w:t>
      </w:r>
    </w:p>
    <w:p>
      <w:pPr>
        <w:spacing w:line="360" w:lineRule="auto"/>
        <w:ind w:firstLine="480" w:firstLineChars="200"/>
        <w:rPr>
          <w:rFonts w:ascii="宋体" w:hAnsi="宋体"/>
          <w:sz w:val="24"/>
        </w:rPr>
      </w:pPr>
      <w:r>
        <w:rPr>
          <w:rFonts w:hint="eastAsia" w:ascii="宋体" w:hAnsi="宋体"/>
          <w:sz w:val="24"/>
        </w:rPr>
        <w:t>16.4.1因投标人原因造成投标文件未解密的；</w:t>
      </w:r>
    </w:p>
    <w:p>
      <w:pPr>
        <w:spacing w:line="360" w:lineRule="auto"/>
        <w:ind w:firstLine="480" w:firstLineChars="200"/>
        <w:rPr>
          <w:rFonts w:ascii="宋体" w:hAnsi="宋体"/>
          <w:sz w:val="24"/>
        </w:rPr>
      </w:pPr>
      <w:r>
        <w:rPr>
          <w:rFonts w:hint="eastAsia" w:ascii="宋体" w:hAnsi="宋体"/>
          <w:sz w:val="24"/>
        </w:rPr>
        <w:t>16.4.2投标人在投标有效期内撤销投标文件；</w:t>
      </w:r>
    </w:p>
    <w:p>
      <w:pPr>
        <w:spacing w:line="360" w:lineRule="auto"/>
        <w:ind w:firstLine="480" w:firstLineChars="200"/>
        <w:rPr>
          <w:rFonts w:ascii="宋体" w:hAnsi="宋体"/>
          <w:sz w:val="24"/>
        </w:rPr>
      </w:pPr>
      <w:r>
        <w:rPr>
          <w:rFonts w:hint="eastAsia" w:ascii="宋体" w:hAnsi="宋体"/>
          <w:sz w:val="24"/>
        </w:rPr>
        <w:t>16.4.3中标人未能在规定期限内按要求提交履约担保；</w:t>
      </w:r>
    </w:p>
    <w:p>
      <w:pPr>
        <w:spacing w:line="360" w:lineRule="auto"/>
        <w:ind w:firstLine="480" w:firstLineChars="200"/>
        <w:rPr>
          <w:rFonts w:ascii="宋体" w:hAnsi="宋体"/>
          <w:sz w:val="24"/>
        </w:rPr>
      </w:pPr>
      <w:r>
        <w:rPr>
          <w:rFonts w:hint="eastAsia" w:ascii="宋体" w:hAnsi="宋体"/>
          <w:sz w:val="24"/>
        </w:rPr>
        <w:t>16.4.4中标人未能在规定期限内签署合同协议。</w:t>
      </w:r>
    </w:p>
    <w:p>
      <w:pPr>
        <w:spacing w:line="360" w:lineRule="auto"/>
        <w:ind w:firstLine="480" w:firstLineChars="200"/>
        <w:rPr>
          <w:rFonts w:ascii="宋体" w:hAnsi="宋体"/>
          <w:sz w:val="24"/>
        </w:rPr>
      </w:pPr>
      <w:r>
        <w:rPr>
          <w:rFonts w:hint="eastAsia" w:ascii="宋体" w:hAnsi="宋体"/>
          <w:sz w:val="24"/>
        </w:rPr>
        <w:t>16.5投标人如存在下列情况之一的，将被拒绝在一定时期内参与招标人后续工程投标（拒绝时限需在招标文件中明确）：</w:t>
      </w:r>
    </w:p>
    <w:p>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16.5.3按招标文件要求免于提供投标保证金的投标人存在16.4条款所列情形的。</w:t>
      </w:r>
    </w:p>
    <w:p>
      <w:pPr>
        <w:spacing w:line="360" w:lineRule="auto"/>
        <w:ind w:firstLine="480" w:firstLineChars="200"/>
        <w:rPr>
          <w:rFonts w:ascii="宋体"/>
          <w:sz w:val="24"/>
        </w:rPr>
      </w:pPr>
      <w:r>
        <w:rPr>
          <w:rFonts w:hint="eastAsia" w:ascii="宋体" w:hAnsi="宋体"/>
          <w:sz w:val="24"/>
        </w:rPr>
        <w:t>注：16.5.3款由招标人二选一，需在招标文件中明确。</w:t>
      </w:r>
    </w:p>
    <w:p>
      <w:pPr>
        <w:pStyle w:val="6"/>
        <w:spacing w:after="0" w:line="360" w:lineRule="auto"/>
        <w:ind w:firstLine="482" w:firstLineChars="200"/>
        <w:rPr>
          <w:rFonts w:ascii="宋体"/>
          <w:b/>
          <w:bCs/>
          <w:sz w:val="24"/>
        </w:rPr>
      </w:pPr>
      <w:r>
        <w:rPr>
          <w:rFonts w:ascii="宋体" w:hAnsi="宋体"/>
          <w:b/>
          <w:bCs/>
          <w:sz w:val="24"/>
        </w:rPr>
        <w:t>17</w:t>
      </w:r>
      <w:r>
        <w:rPr>
          <w:rFonts w:hint="eastAsia" w:ascii="宋体" w:hAnsi="宋体"/>
          <w:b/>
          <w:bCs/>
          <w:sz w:val="24"/>
        </w:rPr>
        <w:t>．投标文件的签署</w:t>
      </w:r>
    </w:p>
    <w:p>
      <w:pPr>
        <w:spacing w:line="360" w:lineRule="auto"/>
        <w:ind w:firstLine="480" w:firstLineChars="200"/>
        <w:rPr>
          <w:rFonts w:ascii="宋体" w:hAnsi="宋体"/>
          <w:sz w:val="24"/>
        </w:rPr>
      </w:pPr>
      <w:r>
        <w:rPr>
          <w:rFonts w:ascii="宋体" w:hAnsi="宋体"/>
          <w:sz w:val="24"/>
        </w:rPr>
        <w:t>17.1</w:t>
      </w:r>
      <w:r>
        <w:rPr>
          <w:rFonts w:hint="eastAsia" w:ascii="宋体" w:hAnsi="宋体"/>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u w:val="single"/>
        </w:rPr>
        <w:t xml:space="preserve">            </w:t>
      </w:r>
      <w:r>
        <w:rPr>
          <w:rFonts w:hint="eastAsia" w:ascii="宋体" w:hAnsi="宋体"/>
          <w:sz w:val="24"/>
        </w:rPr>
        <w:t xml:space="preserve"> 。</w:t>
      </w:r>
    </w:p>
    <w:p>
      <w:pPr>
        <w:pStyle w:val="9"/>
        <w:spacing w:before="156" w:after="156"/>
      </w:pPr>
      <w:bookmarkStart w:id="11" w:name="_Toc2272552"/>
      <w:bookmarkStart w:id="12" w:name="_Toc21525496"/>
      <w:r>
        <w:rPr>
          <w:rFonts w:hint="eastAsia"/>
        </w:rPr>
        <w:t>（四）投标文件的提交</w:t>
      </w:r>
      <w:bookmarkEnd w:id="11"/>
      <w:bookmarkEnd w:id="12"/>
    </w:p>
    <w:p>
      <w:pPr>
        <w:pStyle w:val="6"/>
        <w:spacing w:after="0" w:line="360" w:lineRule="auto"/>
        <w:ind w:firstLine="482" w:firstLineChars="200"/>
        <w:rPr>
          <w:rFonts w:ascii="宋体"/>
          <w:b/>
          <w:bCs/>
          <w:sz w:val="24"/>
        </w:rPr>
      </w:pPr>
      <w:r>
        <w:rPr>
          <w:rFonts w:ascii="宋体" w:hAnsi="宋体"/>
          <w:b/>
          <w:bCs/>
          <w:sz w:val="24"/>
        </w:rPr>
        <w:t>18</w:t>
      </w:r>
      <w:r>
        <w:rPr>
          <w:rFonts w:hint="eastAsia" w:ascii="宋体" w:hAnsi="宋体"/>
          <w:b/>
          <w:bCs/>
          <w:sz w:val="24"/>
        </w:rPr>
        <w:t>．</w:t>
      </w:r>
      <w:r>
        <w:rPr>
          <w:rFonts w:hint="eastAsia"/>
          <w:b/>
          <w:sz w:val="24"/>
          <w:szCs w:val="24"/>
        </w:rPr>
        <w:t>投标文件的密封和标记</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ascii="宋体"/>
          <w:bCs/>
          <w:sz w:val="24"/>
        </w:rPr>
        <w:t xml:space="preserve"> </w:t>
      </w:r>
      <w:r>
        <w:rPr>
          <w:rFonts w:hint="eastAsia" w:ascii="宋体"/>
          <w:bCs/>
          <w:sz w:val="24"/>
        </w:rPr>
        <w:t>未按要求加密的投标文件，</w:t>
      </w:r>
      <w:r>
        <w:rPr>
          <w:sz w:val="24"/>
          <w:szCs w:val="24"/>
          <w:u w:val="single"/>
        </w:rPr>
        <w:t xml:space="preserve">        </w:t>
      </w:r>
      <w:r>
        <w:rPr>
          <w:rFonts w:hint="eastAsia" w:ascii="宋体" w:hAnsi="宋体"/>
          <w:sz w:val="24"/>
          <w:szCs w:val="24"/>
        </w:rPr>
        <w:t>交易平台</w:t>
      </w:r>
      <w:r>
        <w:rPr>
          <w:rFonts w:hint="eastAsia" w:ascii="宋体"/>
          <w:bCs/>
          <w:sz w:val="24"/>
        </w:rPr>
        <w:t>将予以拒收。</w:t>
      </w:r>
    </w:p>
    <w:p>
      <w:pPr>
        <w:spacing w:line="360" w:lineRule="auto"/>
        <w:ind w:firstLine="482" w:firstLineChars="200"/>
        <w:rPr>
          <w:rFonts w:ascii="宋体"/>
          <w:b/>
          <w:bCs/>
          <w:sz w:val="24"/>
        </w:rPr>
      </w:pPr>
      <w:r>
        <w:rPr>
          <w:rFonts w:ascii="宋体" w:hAnsi="宋体"/>
          <w:b/>
          <w:bCs/>
          <w:sz w:val="24"/>
        </w:rPr>
        <w:t>19</w:t>
      </w:r>
      <w:r>
        <w:rPr>
          <w:rFonts w:hint="eastAsia" w:ascii="宋体" w:hAnsi="宋体"/>
          <w:b/>
          <w:bCs/>
          <w:sz w:val="24"/>
        </w:rPr>
        <w:t>．投标文件的递交和接收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sz w:val="24"/>
          <w:szCs w:val="24"/>
          <w:u w:val="single"/>
        </w:rPr>
        <w:t xml:space="preserve">        </w:t>
      </w:r>
      <w:r>
        <w:rPr>
          <w:rFonts w:hint="eastAsia" w:ascii="宋体" w:hAnsi="宋体"/>
          <w:sz w:val="24"/>
          <w:szCs w:val="24"/>
        </w:rPr>
        <w:t>交易平台</w:t>
      </w:r>
      <w:r>
        <w:rPr>
          <w:rFonts w:hint="eastAsia" w:ascii="宋体" w:hAnsi="宋体"/>
          <w:sz w:val="24"/>
        </w:rPr>
        <w:t>递交电子投标文件。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sz w:val="24"/>
          <w:szCs w:val="24"/>
          <w:u w:val="single"/>
        </w:rPr>
        <w:t xml:space="preserve">        </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ascii="宋体" w:hAnsi="宋体"/>
          <w:sz w:val="24"/>
        </w:rPr>
        <w:t xml:space="preserve"> </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pPr>
        <w:spacing w:line="360" w:lineRule="auto"/>
        <w:ind w:firstLine="480" w:firstLineChars="200"/>
        <w:rPr>
          <w:rFonts w:ascii="宋体" w:hAnsi="宋体"/>
          <w:sz w:val="24"/>
        </w:rPr>
      </w:pPr>
      <w:r>
        <w:rPr>
          <w:rFonts w:ascii="宋体" w:hAnsi="宋体"/>
          <w:sz w:val="24"/>
        </w:rPr>
        <w:t>19.</w:t>
      </w:r>
      <w:r>
        <w:rPr>
          <w:rFonts w:hint="eastAsia" w:ascii="宋体" w:hAnsi="宋体"/>
          <w:sz w:val="24"/>
        </w:rPr>
        <w:t>5如技术标和经济标先后分别开启，</w:t>
      </w:r>
      <w:r>
        <w:rPr>
          <w:sz w:val="24"/>
          <w:szCs w:val="24"/>
          <w:u w:val="single"/>
        </w:rPr>
        <w:t xml:space="preserve">        </w:t>
      </w:r>
      <w:r>
        <w:rPr>
          <w:rFonts w:hint="eastAsia" w:ascii="宋体" w:hAnsi="宋体"/>
          <w:sz w:val="24"/>
          <w:szCs w:val="24"/>
        </w:rPr>
        <w:t>交易平台</w:t>
      </w:r>
      <w:r>
        <w:rPr>
          <w:rFonts w:hint="eastAsia" w:ascii="宋体" w:hAnsi="宋体"/>
          <w:sz w:val="24"/>
        </w:rPr>
        <w:t>将按招标文件规定的时间分别开启技术标和经济标。</w:t>
      </w:r>
    </w:p>
    <w:p>
      <w:pPr>
        <w:spacing w:line="360" w:lineRule="auto"/>
        <w:ind w:firstLine="480" w:firstLineChars="200"/>
        <w:rPr>
          <w:rFonts w:ascii="宋体"/>
          <w:sz w:val="24"/>
        </w:rPr>
      </w:pPr>
      <w:r>
        <w:rPr>
          <w:rFonts w:ascii="宋体" w:hAnsi="宋体"/>
          <w:sz w:val="24"/>
          <w:szCs w:val="24"/>
        </w:rPr>
        <w:t>19.6</w:t>
      </w:r>
      <w:r>
        <w:rPr>
          <w:rFonts w:hint="eastAsia" w:ascii="宋体" w:hAnsi="宋体"/>
          <w:sz w:val="24"/>
          <w:szCs w:val="24"/>
        </w:rPr>
        <w:t>在规定的时间内，项目负责人须到自助签到。按照交易平台有关项目负责人自助签到流程进行操作。项目负责人凡未凭身份证按时到达指定地点签到的，</w:t>
      </w:r>
      <w:r>
        <w:rPr>
          <w:rFonts w:hint="eastAsia" w:ascii="宋体" w:hAnsi="宋体"/>
          <w:sz w:val="24"/>
        </w:rPr>
        <w:t>该投标文件将不能参与资格审查和评标</w:t>
      </w:r>
      <w:r>
        <w:rPr>
          <w:rFonts w:hint="eastAsia" w:ascii="宋体" w:hAnsi="宋体"/>
          <w:sz w:val="24"/>
          <w:szCs w:val="24"/>
        </w:rPr>
        <w:t>（选择性条款）。</w:t>
      </w:r>
    </w:p>
    <w:p>
      <w:pPr>
        <w:spacing w:line="360" w:lineRule="auto"/>
        <w:ind w:firstLine="482" w:firstLineChars="200"/>
        <w:rPr>
          <w:rFonts w:ascii="宋体"/>
          <w:b/>
          <w:bCs/>
          <w:sz w:val="24"/>
        </w:rPr>
      </w:pPr>
      <w:r>
        <w:rPr>
          <w:rFonts w:ascii="宋体" w:hAnsi="宋体"/>
          <w:b/>
          <w:bCs/>
          <w:sz w:val="24"/>
        </w:rPr>
        <w:t>20</w:t>
      </w:r>
      <w:r>
        <w:rPr>
          <w:rFonts w:hint="eastAsia" w:ascii="宋体" w:hAnsi="宋体"/>
          <w:b/>
          <w:bCs/>
          <w:sz w:val="24"/>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spacing w:line="360" w:lineRule="auto"/>
        <w:ind w:firstLine="482" w:firstLineChars="200"/>
        <w:rPr>
          <w:rFonts w:ascii="宋体"/>
          <w:b/>
          <w:bCs/>
          <w:sz w:val="24"/>
        </w:rPr>
      </w:pPr>
      <w:r>
        <w:rPr>
          <w:rFonts w:ascii="宋体" w:hAnsi="宋体"/>
          <w:b/>
          <w:bCs/>
          <w:sz w:val="24"/>
        </w:rPr>
        <w:t>21</w:t>
      </w:r>
      <w:r>
        <w:rPr>
          <w:rFonts w:hint="eastAsia" w:ascii="宋体" w:hAnsi="宋体"/>
          <w:b/>
          <w:bCs/>
          <w:sz w:val="24"/>
        </w:rPr>
        <w:t>．迟交的投标文件</w:t>
      </w:r>
    </w:p>
    <w:p>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pPr>
        <w:spacing w:line="360" w:lineRule="auto"/>
        <w:ind w:firstLine="482" w:firstLineChars="200"/>
        <w:rPr>
          <w:rFonts w:ascii="宋体"/>
          <w:b/>
          <w:bCs/>
          <w:sz w:val="24"/>
        </w:rPr>
      </w:pPr>
      <w:r>
        <w:rPr>
          <w:rFonts w:ascii="宋体" w:hAnsi="宋体"/>
          <w:b/>
          <w:bCs/>
          <w:sz w:val="24"/>
        </w:rPr>
        <w:t>22</w:t>
      </w:r>
      <w:r>
        <w:rPr>
          <w:rFonts w:hint="eastAsia" w:ascii="宋体" w:hAnsi="宋体"/>
          <w:b/>
          <w:bCs/>
          <w:sz w:val="24"/>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w:t>
      </w:r>
      <w:r>
        <w:rPr>
          <w:rFonts w:ascii="宋体" w:hAnsi="宋体"/>
          <w:sz w:val="24"/>
        </w:rPr>
        <w:t xml:space="preserve"> </w:t>
      </w:r>
      <w:r>
        <w:rPr>
          <w:rFonts w:hint="eastAsia" w:ascii="宋体" w:hAnsi="宋体"/>
          <w:sz w:val="24"/>
        </w:rPr>
        <w:t>在投标截止时间之后，投标人不得补充、修改和更换投标文件。</w:t>
      </w:r>
    </w:p>
    <w:p>
      <w:pPr>
        <w:pStyle w:val="9"/>
        <w:spacing w:before="156" w:after="156"/>
      </w:pPr>
      <w:bookmarkStart w:id="13" w:name="_Toc21525497"/>
      <w:bookmarkStart w:id="14" w:name="_Toc2272553"/>
      <w:r>
        <w:rPr>
          <w:rFonts w:hint="eastAsia"/>
        </w:rPr>
        <w:t>（五）开标、评标、定标及合同签定</w:t>
      </w:r>
      <w:bookmarkEnd w:id="13"/>
      <w:bookmarkEnd w:id="14"/>
    </w:p>
    <w:p>
      <w:pPr>
        <w:spacing w:line="360" w:lineRule="auto"/>
        <w:ind w:firstLine="482" w:firstLineChars="200"/>
        <w:rPr>
          <w:rFonts w:ascii="宋体"/>
          <w:b/>
          <w:bCs/>
          <w:sz w:val="24"/>
        </w:rPr>
      </w:pPr>
      <w:r>
        <w:rPr>
          <w:rFonts w:ascii="宋体" w:hAnsi="宋体"/>
          <w:b/>
          <w:bCs/>
          <w:sz w:val="24"/>
        </w:rPr>
        <w:t>23</w:t>
      </w:r>
      <w:r>
        <w:rPr>
          <w:rFonts w:hint="eastAsia" w:ascii="宋体" w:hAnsi="宋体"/>
          <w:b/>
          <w:bCs/>
          <w:sz w:val="24"/>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spacing w:line="360" w:lineRule="auto"/>
        <w:ind w:firstLine="482" w:firstLineChars="200"/>
        <w:rPr>
          <w:rFonts w:ascii="宋体"/>
          <w:b/>
          <w:bCs/>
          <w:sz w:val="24"/>
        </w:rPr>
      </w:pPr>
      <w:r>
        <w:rPr>
          <w:rFonts w:ascii="宋体" w:hAnsi="宋体"/>
          <w:b/>
          <w:bCs/>
          <w:sz w:val="24"/>
        </w:rPr>
        <w:t>24</w:t>
      </w:r>
      <w:r>
        <w:rPr>
          <w:rFonts w:hint="eastAsia" w:ascii="宋体" w:hAnsi="宋体"/>
          <w:b/>
          <w:bCs/>
          <w:sz w:val="24"/>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27</w:t>
      </w:r>
      <w:r>
        <w:rPr>
          <w:rFonts w:hint="eastAsia" w:ascii="宋体" w:hAnsi="宋体"/>
          <w:b/>
          <w:bCs/>
          <w:sz w:val="24"/>
        </w:rPr>
        <w:t>．中标通知书</w:t>
      </w:r>
    </w:p>
    <w:p>
      <w:pPr>
        <w:spacing w:line="360" w:lineRule="auto"/>
        <w:ind w:firstLine="480" w:firstLineChars="200"/>
        <w:rPr>
          <w:rFonts w:ascii="宋体"/>
          <w:sz w:val="24"/>
        </w:rPr>
      </w:pPr>
      <w:r>
        <w:rPr>
          <w:rFonts w:ascii="宋体" w:hAnsi="宋体"/>
          <w:sz w:val="24"/>
        </w:rPr>
        <w:t>27.1</w:t>
      </w:r>
      <w:r>
        <w:rPr>
          <w:rFonts w:hint="eastAsia" w:ascii="宋体" w:hAnsi="宋体"/>
          <w:sz w:val="24"/>
        </w:rPr>
        <w:t>招标人将在</w:t>
      </w:r>
      <w:r>
        <w:rPr>
          <w:sz w:val="24"/>
          <w:szCs w:val="24"/>
          <w:u w:val="single"/>
        </w:rPr>
        <w:t xml:space="preserve">        </w:t>
      </w:r>
      <w:r>
        <w:rPr>
          <w:rFonts w:hint="eastAsia" w:ascii="宋体" w:hAnsi="宋体"/>
          <w:sz w:val="24"/>
          <w:szCs w:val="24"/>
        </w:rPr>
        <w:t>交易平台</w:t>
      </w:r>
      <w:r>
        <w:rPr>
          <w:rFonts w:hint="eastAsia" w:ascii="宋体" w:hAnsi="宋体"/>
          <w:sz w:val="24"/>
        </w:rPr>
        <w:t>、广东省招标投标监管网和中国招标投标公共服务平台公示中标候选人，公示期为三天。</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27.4在产生中标候选人后，招标人将中标候选人的投标文件商务部分文件的所有内容（包括报价清单、人员、业绩、奖项等资料）在</w:t>
      </w:r>
      <w:r>
        <w:rPr>
          <w:sz w:val="24"/>
          <w:szCs w:val="24"/>
          <w:u w:val="single"/>
        </w:rPr>
        <w:t xml:space="preserve">        </w:t>
      </w:r>
      <w:r>
        <w:rPr>
          <w:rFonts w:hint="eastAsia" w:ascii="宋体" w:hAnsi="宋体"/>
          <w:sz w:val="24"/>
          <w:szCs w:val="24"/>
        </w:rPr>
        <w:t>交易平台和广东省招标投标监管网</w:t>
      </w:r>
      <w:r>
        <w:rPr>
          <w:rFonts w:hint="eastAsia" w:ascii="宋体" w:hAnsi="宋体"/>
          <w:sz w:val="24"/>
        </w:rPr>
        <w:t>公开。</w:t>
      </w:r>
    </w:p>
    <w:p>
      <w:pPr>
        <w:spacing w:line="360" w:lineRule="auto"/>
        <w:ind w:firstLine="482" w:firstLineChars="200"/>
        <w:rPr>
          <w:rFonts w:ascii="宋体"/>
          <w:b/>
          <w:bCs/>
          <w:sz w:val="24"/>
        </w:rPr>
      </w:pPr>
      <w:r>
        <w:rPr>
          <w:rFonts w:ascii="宋体" w:hAnsi="宋体"/>
          <w:b/>
          <w:bCs/>
          <w:sz w:val="24"/>
        </w:rPr>
        <w:t>28</w:t>
      </w:r>
      <w:r>
        <w:rPr>
          <w:rFonts w:hint="eastAsia" w:ascii="宋体" w:hAnsi="宋体"/>
          <w:b/>
          <w:bCs/>
          <w:sz w:val="24"/>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pPr>
        <w:spacing w:line="360" w:lineRule="auto"/>
        <w:ind w:firstLine="482" w:firstLineChars="200"/>
        <w:rPr>
          <w:rFonts w:ascii="宋体"/>
          <w:b/>
          <w:bCs/>
          <w:sz w:val="24"/>
        </w:rPr>
      </w:pPr>
      <w:r>
        <w:rPr>
          <w:rFonts w:ascii="宋体" w:hAnsi="宋体"/>
          <w:b/>
          <w:bCs/>
          <w:sz w:val="24"/>
        </w:rPr>
        <w:t>29</w:t>
      </w:r>
      <w:r>
        <w:rPr>
          <w:rFonts w:hint="eastAsia" w:ascii="宋体" w:hAnsi="宋体"/>
          <w:b/>
          <w:bCs/>
          <w:sz w:val="24"/>
        </w:rPr>
        <w:t>．履约担保</w:t>
      </w:r>
    </w:p>
    <w:p>
      <w:pPr>
        <w:snapToGrid w:val="0"/>
        <w:spacing w:line="360" w:lineRule="auto"/>
        <w:ind w:firstLine="480" w:firstLineChars="200"/>
        <w:rPr>
          <w:rFonts w:ascii="宋体"/>
          <w:sz w:val="24"/>
        </w:rPr>
      </w:pPr>
      <w:r>
        <w:rPr>
          <w:rFonts w:ascii="宋体" w:hAnsi="宋体"/>
          <w:sz w:val="24"/>
        </w:rPr>
        <w:t xml:space="preserve">29.1 </w:t>
      </w:r>
      <w:r>
        <w:rPr>
          <w:rFonts w:hint="eastAsia" w:ascii="宋体" w:hAnsi="宋体"/>
          <w:sz w:val="24"/>
        </w:rPr>
        <w:t>在收到中标通知书后的</w:t>
      </w:r>
      <w:r>
        <w:rPr>
          <w:rFonts w:ascii="宋体" w:hAnsi="宋体"/>
          <w:b/>
          <w:sz w:val="24"/>
        </w:rPr>
        <w:t>15</w:t>
      </w:r>
      <w:r>
        <w:rPr>
          <w:rFonts w:hint="eastAsia" w:ascii="宋体" w:hAnsi="宋体"/>
          <w:b/>
          <w:sz w:val="24"/>
        </w:rPr>
        <w:t>日</w:t>
      </w:r>
      <w:r>
        <w:rPr>
          <w:rFonts w:hint="eastAsia" w:ascii="宋体" w:hAnsi="宋体"/>
          <w:sz w:val="24"/>
        </w:rPr>
        <w:t>内，中标人应按本须知前附表第</w:t>
      </w:r>
      <w:r>
        <w:rPr>
          <w:rFonts w:ascii="宋体" w:hAnsi="宋体"/>
          <w:sz w:val="24"/>
        </w:rPr>
        <w:t>2</w:t>
      </w:r>
      <w:r>
        <w:rPr>
          <w:rFonts w:hint="eastAsia" w:ascii="宋体" w:hAnsi="宋体"/>
          <w:sz w:val="24"/>
        </w:rPr>
        <w:t>0项的规定向招标人提交履约担保。</w:t>
      </w:r>
    </w:p>
    <w:p>
      <w:pPr>
        <w:snapToGrid w:val="0"/>
        <w:spacing w:line="360" w:lineRule="auto"/>
        <w:ind w:firstLine="480" w:firstLineChars="200"/>
        <w:rPr>
          <w:rFonts w:ascii="宋体"/>
          <w:sz w:val="24"/>
        </w:rPr>
      </w:pPr>
      <w:r>
        <w:rPr>
          <w:rFonts w:ascii="宋体" w:hAnsi="宋体"/>
          <w:sz w:val="24"/>
        </w:rPr>
        <w:t>29.2</w:t>
      </w:r>
      <w:r>
        <w:rPr>
          <w:rFonts w:hint="eastAsia" w:ascii="宋体" w:hAnsi="宋体"/>
          <w:sz w:val="24"/>
        </w:rPr>
        <w:t>中标通知书发出之日起</w:t>
      </w:r>
      <w:r>
        <w:rPr>
          <w:rFonts w:ascii="宋体" w:hAnsi="宋体"/>
          <w:sz w:val="24"/>
        </w:rPr>
        <w:t>15</w:t>
      </w:r>
      <w:r>
        <w:rPr>
          <w:rFonts w:hint="eastAsia" w:ascii="宋体" w:hAnsi="宋体"/>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sz w:val="24"/>
        </w:rPr>
      </w:pPr>
      <w:r>
        <w:rPr>
          <w:rFonts w:ascii="宋体" w:hAnsi="宋体"/>
          <w:b/>
          <w:bCs/>
          <w:sz w:val="24"/>
        </w:rPr>
        <w:t>30</w:t>
      </w:r>
      <w:r>
        <w:rPr>
          <w:rFonts w:hint="eastAsia" w:ascii="宋体" w:hAnsi="宋体"/>
          <w:b/>
          <w:bCs/>
          <w:sz w:val="24"/>
        </w:rPr>
        <w:t>．合同生效</w:t>
      </w:r>
    </w:p>
    <w:p>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pPr>
        <w:spacing w:line="360" w:lineRule="auto"/>
        <w:ind w:firstLine="482" w:firstLineChars="200"/>
        <w:rPr>
          <w:rFonts w:ascii="宋体"/>
          <w:b/>
          <w:bCs/>
          <w:sz w:val="24"/>
        </w:rPr>
      </w:pPr>
      <w:r>
        <w:rPr>
          <w:rFonts w:ascii="宋体" w:hAnsi="宋体"/>
          <w:b/>
          <w:bCs/>
          <w:sz w:val="24"/>
        </w:rPr>
        <w:t>31</w:t>
      </w:r>
      <w:r>
        <w:rPr>
          <w:rFonts w:hint="eastAsia" w:ascii="宋体" w:hAnsi="宋体"/>
          <w:b/>
          <w:bCs/>
          <w:sz w:val="24"/>
        </w:rPr>
        <w:t>．其它费用</w:t>
      </w:r>
    </w:p>
    <w:p>
      <w:pPr>
        <w:pStyle w:val="6"/>
        <w:spacing w:after="0" w:line="360" w:lineRule="auto"/>
        <w:ind w:firstLine="482" w:firstLineChars="200"/>
        <w:rPr>
          <w:rFonts w:ascii="宋体"/>
          <w:b/>
          <w:bCs/>
          <w:sz w:val="24"/>
        </w:rPr>
      </w:pPr>
      <w:r>
        <w:rPr>
          <w:rFonts w:ascii="宋体" w:hAnsi="宋体"/>
          <w:b/>
          <w:bCs/>
          <w:sz w:val="24"/>
        </w:rPr>
        <w:t>32</w:t>
      </w:r>
      <w:r>
        <w:rPr>
          <w:rFonts w:hint="eastAsia" w:ascii="宋体" w:hAnsi="宋体"/>
          <w:b/>
          <w:bCs/>
          <w:sz w:val="24"/>
        </w:rPr>
        <w:t>．腐败与欺诈行为</w:t>
      </w:r>
    </w:p>
    <w:p>
      <w:pPr>
        <w:pStyle w:val="6"/>
        <w:spacing w:after="0"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pPr>
        <w:pStyle w:val="6"/>
        <w:spacing w:after="0"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pPr>
        <w:pStyle w:val="6"/>
        <w:spacing w:after="0"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pPr>
        <w:pStyle w:val="6"/>
        <w:spacing w:after="0"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6"/>
        <w:spacing w:after="0" w:line="360" w:lineRule="auto"/>
        <w:ind w:firstLine="480" w:firstLineChars="200"/>
        <w:rPr>
          <w:rFonts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pPr>
        <w:pStyle w:val="6"/>
        <w:spacing w:after="0" w:line="360" w:lineRule="auto"/>
        <w:ind w:firstLine="480" w:firstLineChars="200"/>
        <w:rPr>
          <w:rFonts w:ascii="宋体"/>
          <w:sz w:val="24"/>
        </w:rPr>
      </w:pPr>
      <w:r>
        <w:rPr>
          <w:rFonts w:hint="eastAsia" w:ascii="宋体"/>
          <w:sz w:val="24"/>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rFonts w:ascii="宋体" w:hAnsi="宋体"/>
          <w:b/>
          <w:sz w:val="24"/>
        </w:rPr>
      </w:pPr>
      <w:r>
        <w:rPr>
          <w:rFonts w:hint="eastAsia" w:ascii="宋体"/>
          <w:b/>
          <w:sz w:val="24"/>
        </w:rPr>
        <w:t>33.</w:t>
      </w:r>
      <w:r>
        <w:rPr>
          <w:rFonts w:hint="eastAsia" w:ascii="宋体" w:hAnsi="宋体"/>
          <w:b/>
          <w:sz w:val="24"/>
        </w:rPr>
        <w:t xml:space="preserve"> 投标人信誉的要求</w:t>
      </w:r>
    </w:p>
    <w:p>
      <w:pPr>
        <w:spacing w:line="480" w:lineRule="auto"/>
        <w:ind w:firstLine="537" w:firstLineChars="224"/>
        <w:rPr>
          <w:rFonts w:ascii="宋体" w:hAnsi="宋体"/>
          <w:sz w:val="24"/>
        </w:rPr>
      </w:pPr>
      <w:r>
        <w:rPr>
          <w:rFonts w:hint="eastAsia" w:ascii="宋体" w:hAnsi="宋体"/>
          <w:sz w:val="24"/>
        </w:rPr>
        <w:t>存在下列情形之一的，招标人可以限制其投标（需在招标文件中明确评定方法）</w:t>
      </w:r>
    </w:p>
    <w:p>
      <w:pPr>
        <w:spacing w:line="480" w:lineRule="auto"/>
        <w:ind w:firstLine="537" w:firstLineChars="224"/>
        <w:rPr>
          <w:rFonts w:ascii="宋体" w:hAnsi="宋体"/>
          <w:sz w:val="24"/>
        </w:rPr>
      </w:pPr>
      <w:r>
        <w:rPr>
          <w:rFonts w:hint="eastAsia" w:ascii="宋体" w:hAnsi="宋体"/>
          <w:sz w:val="24"/>
        </w:rPr>
        <w:t>（1）被住房城乡建设行政主管部门在全国建筑市场监管一体化工作平台列入建筑市场主体“黑名单”；</w:t>
      </w:r>
    </w:p>
    <w:p>
      <w:pPr>
        <w:pStyle w:val="6"/>
        <w:spacing w:after="0" w:line="360" w:lineRule="auto"/>
        <w:ind w:firstLine="480" w:firstLineChars="200"/>
        <w:rPr>
          <w:rFonts w:ascii="宋体"/>
          <w:sz w:val="24"/>
        </w:rPr>
      </w:pPr>
      <w:r>
        <w:rPr>
          <w:rFonts w:hint="eastAsia" w:ascii="宋体" w:hAnsi="宋体"/>
          <w:sz w:val="24"/>
        </w:rPr>
        <w:t>（2）被发改委、人力资源社会保障、质检总局等有关部门、单位在“信用中国”网站中列入联合惩戒失信黑名单。</w:t>
      </w:r>
      <w:bookmarkEnd w:id="6"/>
    </w:p>
    <w:p>
      <w:pPr>
        <w:pStyle w:val="4"/>
        <w:rPr>
          <w:rFonts w:hint="eastAsia" w:ascii="宋体" w:hAnsi="宋体" w:cs="宋体"/>
        </w:rPr>
      </w:pPr>
      <w:r>
        <w:rPr>
          <w:rFonts w:hint="eastAsia" w:ascii="宋体" w:hAnsi="宋体" w:cs="宋体"/>
          <w:sz w:val="24"/>
        </w:rPr>
        <w:br w:type="page"/>
      </w:r>
      <w:bookmarkStart w:id="15" w:name="_Toc286"/>
      <w:r>
        <w:rPr>
          <w:rFonts w:hint="eastAsia" w:ascii="宋体" w:hAnsi="宋体" w:cs="宋体"/>
        </w:rPr>
        <w:t>第二章  开标、评标及定标办法</w:t>
      </w:r>
      <w:bookmarkEnd w:id="15"/>
    </w:p>
    <w:p>
      <w:pPr>
        <w:pStyle w:val="8"/>
        <w:rPr>
          <w:rFonts w:hint="eastAsia" w:ascii="宋体" w:hAnsi="宋体" w:cs="宋体"/>
          <w:color w:val="auto"/>
        </w:rPr>
      </w:pPr>
      <w:bookmarkStart w:id="16" w:name="_Toc20398"/>
      <w:r>
        <w:rPr>
          <w:rFonts w:hint="eastAsia" w:ascii="宋体" w:hAnsi="宋体" w:cs="宋体"/>
          <w:color w:val="auto"/>
          <w:sz w:val="28"/>
          <w:szCs w:val="28"/>
        </w:rPr>
        <w:t>一、</w:t>
      </w:r>
      <w:r>
        <w:rPr>
          <w:rFonts w:hint="eastAsia" w:ascii="宋体" w:hAnsi="宋体" w:cs="宋体"/>
          <w:color w:val="auto"/>
        </w:rPr>
        <w:t>开标、评标及定标办法修改表</w:t>
      </w:r>
      <w:bookmarkEnd w:id="16"/>
    </w:p>
    <w:p>
      <w:pPr>
        <w:pStyle w:val="6"/>
        <w:spacing w:after="0" w:line="360" w:lineRule="auto"/>
        <w:rPr>
          <w:rFonts w:hint="eastAsia" w:ascii="宋体" w:hAnsi="宋体" w:cs="宋体"/>
          <w:b/>
          <w:szCs w:val="21"/>
        </w:rPr>
      </w:pPr>
      <w:r>
        <w:rPr>
          <w:rFonts w:hint="eastAsia" w:ascii="宋体" w:hAnsi="宋体" w:cs="宋体"/>
          <w:b/>
          <w:szCs w:val="21"/>
        </w:rPr>
        <w:t>声明：本</w:t>
      </w:r>
      <w:r>
        <w:rPr>
          <w:rFonts w:hint="eastAsia" w:ascii="宋体" w:hAnsi="宋体" w:cs="宋体"/>
          <w:b/>
        </w:rPr>
        <w:t>开标、评标及定标办法使用GZZB2018-3招标文件范本的开标、评标及定标办法通用条款，与该通用条款不同之处，均在本表中列明，并以现文为准，原</w:t>
      </w:r>
      <w:r>
        <w:rPr>
          <w:rFonts w:hint="eastAsia" w:ascii="宋体" w:hAnsi="宋体" w:cs="宋体"/>
          <w:b/>
          <w:szCs w:val="21"/>
        </w:rPr>
        <w:t>文不再有效。本招标文件中不再转录</w:t>
      </w:r>
      <w:r>
        <w:rPr>
          <w:rFonts w:hint="eastAsia" w:ascii="宋体" w:hAnsi="宋体" w:cs="宋体"/>
          <w:b/>
        </w:rPr>
        <w:t>开标、评标及定标办法</w:t>
      </w:r>
      <w:r>
        <w:rPr>
          <w:rFonts w:hint="eastAsia" w:ascii="宋体" w:hAnsi="宋体" w:cs="宋体"/>
          <w:b/>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46"/>
          <w:rFonts w:hint="eastAsia" w:ascii="宋体" w:hAnsi="宋体" w:cs="宋体"/>
          <w:b/>
          <w:color w:val="auto"/>
          <w:szCs w:val="21"/>
        </w:rPr>
        <w:t>http://www.gzcc.gov.cn/）下载GZZB2018-3</w:t>
      </w:r>
      <w:r>
        <w:rPr>
          <w:rStyle w:val="46"/>
          <w:rFonts w:hint="eastAsia" w:ascii="宋体" w:hAnsi="宋体" w:cs="宋体"/>
          <w:b/>
          <w:color w:val="auto"/>
          <w:szCs w:val="21"/>
        </w:rPr>
        <w:fldChar w:fldCharType="end"/>
      </w:r>
      <w:r>
        <w:rPr>
          <w:rFonts w:hint="eastAsia" w:ascii="宋体" w:hAnsi="宋体" w:cs="宋体"/>
          <w:b/>
          <w:szCs w:val="21"/>
        </w:rPr>
        <w:t>范本查阅。</w:t>
      </w:r>
    </w:p>
    <w:p>
      <w:pPr>
        <w:spacing w:line="360" w:lineRule="auto"/>
        <w:ind w:firstLine="540" w:firstLineChars="224"/>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36.1            </w:t>
      </w:r>
      <w:r>
        <w:rPr>
          <w:rFonts w:hint="eastAsia" w:ascii="宋体" w:hAnsi="宋体" w:cs="宋体"/>
          <w:b/>
          <w:sz w:val="24"/>
          <w:szCs w:val="24"/>
        </w:rPr>
        <w:t>修改类型：修改</w:t>
      </w:r>
    </w:p>
    <w:p>
      <w:pPr>
        <w:spacing w:line="360" w:lineRule="auto"/>
        <w:ind w:firstLine="540" w:firstLineChars="224"/>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82" w:firstLineChars="200"/>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 w:val="24"/>
          <w:szCs w:val="24"/>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540" w:firstLineChars="224"/>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36.3                </w:t>
      </w:r>
      <w:r>
        <w:rPr>
          <w:rFonts w:hint="eastAsia" w:ascii="宋体" w:hAnsi="宋体" w:cs="宋体"/>
          <w:b/>
          <w:sz w:val="24"/>
          <w:szCs w:val="24"/>
        </w:rPr>
        <w:t>修改类型：删除</w:t>
      </w:r>
    </w:p>
    <w:p>
      <w:pPr>
        <w:pBdr>
          <w:bottom w:val="single" w:color="auto" w:sz="6" w:space="1"/>
        </w:pBdr>
        <w:spacing w:line="360" w:lineRule="auto"/>
        <w:ind w:firstLine="482" w:firstLineChars="200"/>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540" w:firstLineChars="224"/>
        <w:rPr>
          <w:rFonts w:ascii="宋体" w:hAnsi="宋体" w:cs="宋体"/>
          <w:b/>
          <w:sz w:val="24"/>
          <w:szCs w:val="24"/>
        </w:rPr>
      </w:pPr>
      <w:r>
        <w:rPr>
          <w:rFonts w:hint="eastAsia" w:ascii="宋体" w:hAnsi="宋体" w:cs="宋体"/>
          <w:b/>
          <w:sz w:val="24"/>
          <w:szCs w:val="24"/>
        </w:rPr>
        <w:t>条款号：36.4                修改类型：修改</w:t>
      </w:r>
    </w:p>
    <w:p>
      <w:pPr>
        <w:spacing w:line="360" w:lineRule="auto"/>
        <w:ind w:firstLine="482" w:firstLineChars="200"/>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540" w:firstLineChars="224"/>
        <w:rPr>
          <w:rFonts w:ascii="宋体" w:hAnsi="宋体" w:cs="宋体"/>
          <w:bCs/>
          <w:sz w:val="24"/>
          <w:szCs w:val="24"/>
        </w:rPr>
      </w:pPr>
      <w:r>
        <w:rPr>
          <w:rFonts w:hint="eastAsia" w:ascii="宋体" w:hAnsi="宋体" w:cs="宋体"/>
          <w:b/>
          <w:sz w:val="24"/>
          <w:szCs w:val="24"/>
        </w:rPr>
        <w:t>现文：</w:t>
      </w:r>
      <w:r>
        <w:rPr>
          <w:rFonts w:hint="eastAsia" w:ascii="宋体" w:hAnsi="宋体" w:cs="宋体"/>
          <w:bCs/>
          <w:sz w:val="24"/>
          <w:szCs w:val="24"/>
        </w:rPr>
        <w:t>36.4若递交投标文件的投标人不足3家，则重新组织招标。</w:t>
      </w:r>
    </w:p>
    <w:p>
      <w:pPr>
        <w:spacing w:line="360" w:lineRule="auto"/>
        <w:ind w:firstLine="540" w:firstLineChars="224"/>
        <w:rPr>
          <w:rFonts w:ascii="宋体" w:hAnsi="宋体" w:cs="宋体"/>
          <w:b/>
          <w:sz w:val="24"/>
          <w:szCs w:val="24"/>
        </w:rPr>
      </w:pPr>
      <w:r>
        <w:rPr>
          <w:rFonts w:hint="eastAsia" w:ascii="宋体" w:hAnsi="宋体" w:cs="宋体"/>
          <w:b/>
          <w:sz w:val="24"/>
          <w:szCs w:val="24"/>
        </w:rPr>
        <w:t>条款号：</w:t>
      </w:r>
      <w:r>
        <w:rPr>
          <w:rFonts w:hint="eastAsia" w:ascii="宋体" w:hAnsi="宋体" w:cs="宋体"/>
          <w:bCs/>
          <w:sz w:val="24"/>
          <w:szCs w:val="24"/>
        </w:rPr>
        <w:t xml:space="preserve">36.5.1              </w:t>
      </w:r>
      <w:r>
        <w:rPr>
          <w:rFonts w:hint="eastAsia" w:ascii="宋体" w:hAnsi="宋体" w:cs="宋体"/>
          <w:b/>
          <w:sz w:val="24"/>
          <w:szCs w:val="24"/>
        </w:rPr>
        <w:t>修改类型：修改</w:t>
      </w:r>
    </w:p>
    <w:p>
      <w:pPr>
        <w:spacing w:line="360" w:lineRule="auto"/>
        <w:ind w:firstLine="482" w:firstLineChars="200"/>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602" w:firstLineChars="250"/>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36.5.1在投标截止时间后半小时内，投标人通过</w:t>
      </w:r>
      <w:r>
        <w:rPr>
          <w:rFonts w:hint="eastAsia" w:ascii="宋体" w:hAnsi="宋体" w:cs="宋体"/>
          <w:sz w:val="24"/>
          <w:szCs w:val="24"/>
          <w:u w:val="single"/>
        </w:rPr>
        <w:t>广州公共资源交易中心</w:t>
      </w:r>
      <w:r>
        <w:rPr>
          <w:rFonts w:hint="eastAsia" w:ascii="宋体" w:hAnsi="宋体" w:cs="宋体"/>
          <w:sz w:val="24"/>
          <w:szCs w:val="24"/>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Style w:val="35"/>
        <w:widowControl/>
        <w:spacing w:line="360" w:lineRule="auto"/>
        <w:ind w:firstLine="482" w:firstLineChars="200"/>
        <w:rPr>
          <w:rFonts w:ascii="宋体" w:hAnsi="宋体" w:cs="宋体"/>
          <w:b/>
          <w:bCs/>
          <w:szCs w:val="24"/>
          <w:shd w:val="clear" w:color="auto" w:fill="FFFFFF"/>
        </w:rPr>
      </w:pPr>
      <w:r>
        <w:rPr>
          <w:rFonts w:hint="eastAsia" w:ascii="宋体" w:hAnsi="宋体" w:cs="宋体"/>
          <w:b/>
          <w:bCs/>
          <w:szCs w:val="24"/>
          <w:shd w:val="clear" w:color="auto" w:fill="FFFFFF"/>
        </w:rPr>
        <w:t>条款号：39.3                   修改类型：修改</w:t>
      </w:r>
    </w:p>
    <w:p>
      <w:pPr>
        <w:widowControl/>
        <w:spacing w:line="360" w:lineRule="auto"/>
        <w:ind w:firstLine="472" w:firstLineChars="196"/>
        <w:jc w:val="left"/>
        <w:rPr>
          <w:rFonts w:ascii="宋体" w:hAnsi="宋体" w:cs="宋体"/>
          <w:sz w:val="24"/>
          <w:szCs w:val="24"/>
          <w:shd w:val="clear" w:color="auto" w:fill="FFFFFF"/>
        </w:rPr>
      </w:pPr>
      <w:r>
        <w:rPr>
          <w:rFonts w:hint="eastAsia" w:ascii="宋体" w:hAnsi="宋体" w:cs="宋体"/>
          <w:b/>
          <w:kern w:val="0"/>
          <w:sz w:val="24"/>
          <w:szCs w:val="24"/>
          <w:shd w:val="clear" w:color="auto" w:fill="FFFFFF"/>
        </w:rPr>
        <w:t>原文：</w:t>
      </w:r>
      <w:r>
        <w:rPr>
          <w:rFonts w:hint="eastAsia" w:ascii="宋体" w:hAnsi="宋体" w:cs="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82" w:firstLineChars="200"/>
        <w:rPr>
          <w:rFonts w:ascii="宋体" w:hAnsi="宋体" w:cs="宋体"/>
          <w:b/>
          <w:sz w:val="24"/>
          <w:szCs w:val="24"/>
        </w:rPr>
      </w:pPr>
      <w:r>
        <w:rPr>
          <w:rFonts w:hint="eastAsia" w:ascii="宋体" w:hAnsi="宋体" w:cs="宋体"/>
          <w:b/>
          <w:sz w:val="24"/>
          <w:szCs w:val="24"/>
          <w:shd w:val="clear" w:color="auto" w:fill="FFFFFF"/>
        </w:rPr>
        <w:t>现文：</w:t>
      </w:r>
      <w:r>
        <w:rPr>
          <w:rFonts w:hint="eastAsia" w:ascii="宋体" w:hAnsi="宋体" w:cs="宋体"/>
          <w:sz w:val="24"/>
          <w:szCs w:val="24"/>
        </w:rPr>
        <w:t>排名第一的中标候选人放弃中标、或因不可抗力提出不能履行合同，或者招标文件规定应当提交履约担保而在规定的期限内未能提交的，</w:t>
      </w:r>
      <w:r>
        <w:rPr>
          <w:rFonts w:hint="eastAsia" w:ascii="宋体" w:hAnsi="宋体" w:cs="宋体"/>
          <w:b/>
          <w:bCs/>
          <w:sz w:val="24"/>
          <w:szCs w:val="24"/>
          <w:u w:val="single"/>
          <w:shd w:val="clear" w:color="auto" w:fill="FFFFFF"/>
        </w:rPr>
        <w:t>或经核查发现委派的项目负责人已在其他在建项目中担任施工单位项目负责人的，</w:t>
      </w:r>
      <w:r>
        <w:rPr>
          <w:rFonts w:hint="eastAsia" w:ascii="宋体" w:hAnsi="宋体" w:cs="宋体"/>
          <w:sz w:val="24"/>
          <w:szCs w:val="24"/>
          <w:u w:val="single"/>
        </w:rPr>
        <w:t>招标人可以确定排名第二的中标候选人为中标人。</w:t>
      </w:r>
    </w:p>
    <w:p>
      <w:pPr>
        <w:pStyle w:val="35"/>
        <w:widowControl/>
        <w:spacing w:line="360" w:lineRule="auto"/>
        <w:ind w:firstLine="482" w:firstLineChars="200"/>
        <w:rPr>
          <w:rFonts w:ascii="宋体" w:hAnsi="宋体" w:cs="宋体"/>
          <w:b/>
          <w:bCs/>
          <w:szCs w:val="24"/>
          <w:shd w:val="clear" w:color="auto" w:fill="FFFFFF"/>
        </w:rPr>
      </w:pPr>
      <w:r>
        <w:rPr>
          <w:rFonts w:hint="eastAsia" w:ascii="宋体" w:hAnsi="宋体" w:cs="宋体"/>
          <w:b/>
          <w:bCs/>
          <w:szCs w:val="24"/>
          <w:shd w:val="clear" w:color="auto" w:fill="FFFFFF"/>
        </w:rPr>
        <w:t>条款号：（二）开标评标办法程序和细则      修改类型：删除</w:t>
      </w:r>
    </w:p>
    <w:p>
      <w:pPr>
        <w:pBdr>
          <w:bottom w:val="single" w:color="auto" w:sz="6" w:space="1"/>
        </w:pBdr>
        <w:spacing w:line="360" w:lineRule="auto"/>
        <w:ind w:firstLine="482" w:firstLineChars="200"/>
        <w:rPr>
          <w:rFonts w:ascii="宋体" w:hAnsi="宋体" w:cs="宋体"/>
          <w:b/>
          <w:sz w:val="24"/>
          <w:szCs w:val="24"/>
        </w:rPr>
      </w:pPr>
      <w:r>
        <w:rPr>
          <w:rFonts w:hint="eastAsia" w:ascii="宋体" w:hAnsi="宋体" w:cs="宋体"/>
          <w:b/>
          <w:bCs/>
          <w:sz w:val="24"/>
          <w:szCs w:val="24"/>
          <w:shd w:val="clear" w:color="auto" w:fill="FFFFFF"/>
        </w:rPr>
        <w:t>原文：</w:t>
      </w:r>
      <w:r>
        <w:rPr>
          <w:rFonts w:hint="eastAsia" w:ascii="宋体" w:hAnsi="宋体" w:cs="宋体"/>
          <w:sz w:val="24"/>
          <w:szCs w:val="24"/>
          <w:shd w:val="clear" w:color="auto" w:fill="FFFFFF"/>
        </w:rPr>
        <w:t>注：以下八种评标办法所述企业综合诚信评价分数即投标截止当日广州市住房和城乡建设局网站上公布的企业综合诚信评价60日诚信分。</w:t>
      </w:r>
    </w:p>
    <w:p>
      <w:pPr>
        <w:spacing w:line="360" w:lineRule="auto"/>
        <w:ind w:firstLine="540" w:firstLineChars="224"/>
        <w:rPr>
          <w:rFonts w:ascii="宋体" w:hAnsi="宋体" w:cs="宋体"/>
          <w:b/>
          <w:sz w:val="24"/>
          <w:szCs w:val="24"/>
        </w:rPr>
      </w:pPr>
      <w:r>
        <w:rPr>
          <w:rFonts w:hint="eastAsia" w:ascii="宋体" w:hAnsi="宋体" w:cs="宋体"/>
          <w:b/>
          <w:sz w:val="24"/>
          <w:szCs w:val="24"/>
        </w:rPr>
        <w:t>条款号： 评标办法        修改类型：删除</w:t>
      </w:r>
    </w:p>
    <w:p>
      <w:pPr>
        <w:pBdr>
          <w:bottom w:val="single" w:color="auto" w:sz="6" w:space="1"/>
        </w:pBdr>
        <w:spacing w:line="360" w:lineRule="auto"/>
        <w:ind w:firstLine="602" w:firstLineChars="250"/>
        <w:rPr>
          <w:rStyle w:val="46"/>
          <w:rFonts w:ascii="宋体" w:hAnsi="宋体" w:cs="宋体"/>
          <w:color w:val="auto"/>
          <w:sz w:val="24"/>
          <w:szCs w:val="24"/>
        </w:rPr>
      </w:pPr>
      <w:r>
        <w:rPr>
          <w:rFonts w:hint="eastAsia" w:ascii="宋体" w:hAnsi="宋体" w:cs="宋体"/>
          <w:b/>
          <w:sz w:val="24"/>
          <w:szCs w:val="24"/>
        </w:rPr>
        <w:t>原文：</w:t>
      </w:r>
      <w:r>
        <w:rPr>
          <w:rStyle w:val="46"/>
          <w:rFonts w:hint="eastAsia" w:ascii="宋体" w:hAnsi="宋体" w:cs="宋体"/>
          <w:color w:val="auto"/>
          <w:sz w:val="24"/>
          <w:szCs w:val="24"/>
        </w:rPr>
        <w:t>可选</w:t>
      </w:r>
      <w:r>
        <w:rPr>
          <w:rFonts w:hint="eastAsia" w:ascii="宋体" w:hAnsi="宋体" w:cs="宋体"/>
          <w:sz w:val="24"/>
          <w:szCs w:val="24"/>
        </w:rPr>
        <w:t>办法</w:t>
      </w:r>
      <w:r>
        <w:rPr>
          <w:rStyle w:val="46"/>
          <w:rFonts w:hint="eastAsia" w:ascii="宋体" w:hAnsi="宋体" w:cs="宋体"/>
          <w:color w:val="auto"/>
          <w:sz w:val="24"/>
          <w:szCs w:val="24"/>
        </w:rPr>
        <w:t>一（适合</w:t>
      </w:r>
      <w:r>
        <w:rPr>
          <w:rStyle w:val="46"/>
          <w:rFonts w:hint="eastAsia" w:ascii="宋体" w:hAnsi="宋体" w:cs="宋体"/>
          <w:color w:val="auto"/>
          <w:kern w:val="0"/>
          <w:sz w:val="24"/>
          <w:szCs w:val="24"/>
        </w:rPr>
        <w:t>综合评分法一</w:t>
      </w:r>
      <w:r>
        <w:rPr>
          <w:rStyle w:val="46"/>
          <w:rFonts w:hint="eastAsia" w:ascii="宋体" w:hAnsi="宋体" w:cs="宋体"/>
          <w:color w:val="auto"/>
          <w:sz w:val="24"/>
          <w:szCs w:val="24"/>
        </w:rPr>
        <w:t>，技术标与经济标先后分别开启）</w:t>
      </w:r>
    </w:p>
    <w:p>
      <w:pPr>
        <w:pBdr>
          <w:bottom w:val="single" w:color="auto" w:sz="6" w:space="1"/>
        </w:pBdr>
        <w:spacing w:line="360" w:lineRule="auto"/>
        <w:ind w:firstLine="1320" w:firstLineChars="550"/>
        <w:rPr>
          <w:rStyle w:val="46"/>
          <w:rFonts w:ascii="宋体" w:hAnsi="宋体" w:cs="宋体"/>
          <w:color w:val="auto"/>
          <w:sz w:val="24"/>
          <w:szCs w:val="24"/>
        </w:rPr>
      </w:pPr>
      <w:r>
        <w:rPr>
          <w:rStyle w:val="46"/>
          <w:rFonts w:hint="eastAsia" w:ascii="宋体" w:hAnsi="宋体" w:cs="宋体"/>
          <w:color w:val="auto"/>
          <w:sz w:val="24"/>
          <w:szCs w:val="24"/>
        </w:rPr>
        <w:t>可选</w:t>
      </w:r>
      <w:r>
        <w:rPr>
          <w:rFonts w:hint="eastAsia" w:ascii="宋体" w:hAnsi="宋体" w:cs="宋体"/>
          <w:sz w:val="24"/>
          <w:szCs w:val="24"/>
        </w:rPr>
        <w:t>办法</w:t>
      </w:r>
      <w:r>
        <w:rPr>
          <w:rStyle w:val="46"/>
          <w:rFonts w:hint="eastAsia" w:ascii="宋体" w:hAnsi="宋体" w:cs="宋体"/>
          <w:color w:val="auto"/>
          <w:sz w:val="24"/>
          <w:szCs w:val="24"/>
        </w:rPr>
        <w:t>二（适合综合评分法一，技术标与经济标同时开启）</w:t>
      </w:r>
    </w:p>
    <w:p>
      <w:pPr>
        <w:pBdr>
          <w:bottom w:val="single" w:color="auto" w:sz="6" w:space="1"/>
        </w:pBdr>
        <w:spacing w:line="360" w:lineRule="auto"/>
        <w:ind w:firstLine="1320" w:firstLineChars="550"/>
        <w:rPr>
          <w:rStyle w:val="46"/>
          <w:rFonts w:ascii="宋体" w:hAnsi="宋体" w:cs="宋体"/>
          <w:color w:val="auto"/>
          <w:sz w:val="24"/>
          <w:szCs w:val="24"/>
        </w:rPr>
      </w:pPr>
      <w:r>
        <w:rPr>
          <w:rStyle w:val="46"/>
          <w:rFonts w:hint="eastAsia" w:ascii="宋体" w:hAnsi="宋体" w:cs="宋体"/>
          <w:color w:val="auto"/>
          <w:sz w:val="24"/>
          <w:szCs w:val="24"/>
        </w:rPr>
        <w:t>可选办法三（适合综合评分法二，技术标与经济标先后分别开启）</w:t>
      </w:r>
    </w:p>
    <w:p>
      <w:pPr>
        <w:pBdr>
          <w:bottom w:val="single" w:color="auto" w:sz="6" w:space="1"/>
        </w:pBdr>
        <w:spacing w:line="360" w:lineRule="auto"/>
        <w:ind w:firstLine="1320" w:firstLineChars="550"/>
        <w:rPr>
          <w:rStyle w:val="46"/>
          <w:rFonts w:ascii="宋体" w:hAnsi="宋体" w:cs="宋体"/>
          <w:color w:val="auto"/>
          <w:sz w:val="24"/>
          <w:szCs w:val="24"/>
        </w:rPr>
      </w:pPr>
      <w:r>
        <w:rPr>
          <w:rStyle w:val="46"/>
          <w:rFonts w:hint="eastAsia" w:ascii="宋体" w:hAnsi="宋体" w:cs="宋体"/>
          <w:color w:val="auto"/>
          <w:sz w:val="24"/>
          <w:szCs w:val="24"/>
        </w:rPr>
        <w:t>可选办法四（适合综合评分法二，技术标与经济标同时开启）</w:t>
      </w:r>
    </w:p>
    <w:p>
      <w:pPr>
        <w:pBdr>
          <w:bottom w:val="single" w:color="auto" w:sz="6" w:space="1"/>
        </w:pBdr>
        <w:spacing w:line="360" w:lineRule="auto"/>
        <w:ind w:firstLine="1320" w:firstLineChars="550"/>
        <w:rPr>
          <w:rStyle w:val="46"/>
          <w:rFonts w:ascii="宋体" w:hAnsi="宋体" w:cs="宋体"/>
          <w:color w:val="auto"/>
          <w:sz w:val="24"/>
          <w:szCs w:val="24"/>
        </w:rPr>
      </w:pPr>
      <w:r>
        <w:rPr>
          <w:rStyle w:val="46"/>
          <w:rFonts w:hint="eastAsia" w:ascii="宋体" w:hAnsi="宋体" w:cs="宋体"/>
          <w:color w:val="auto"/>
          <w:sz w:val="24"/>
          <w:szCs w:val="24"/>
        </w:rPr>
        <w:t>可选办法五（适合综合评分法三，技术标与经济标先后分别开启）</w:t>
      </w:r>
    </w:p>
    <w:p>
      <w:pPr>
        <w:pBdr>
          <w:bottom w:val="single" w:color="auto" w:sz="6" w:space="1"/>
        </w:pBdr>
        <w:spacing w:line="360" w:lineRule="auto"/>
        <w:ind w:firstLine="1320" w:firstLineChars="550"/>
        <w:rPr>
          <w:rStyle w:val="46"/>
          <w:rFonts w:ascii="宋体" w:hAnsi="宋体" w:cs="宋体"/>
          <w:color w:val="auto"/>
          <w:sz w:val="24"/>
          <w:szCs w:val="24"/>
        </w:rPr>
      </w:pPr>
      <w:r>
        <w:rPr>
          <w:rStyle w:val="46"/>
          <w:rFonts w:hint="eastAsia" w:ascii="宋体" w:hAnsi="宋体" w:cs="宋体"/>
          <w:color w:val="auto"/>
          <w:sz w:val="24"/>
          <w:szCs w:val="24"/>
        </w:rPr>
        <w:t>可选办法六（适合综合评分法三，技术标与经济标同时开启）</w:t>
      </w:r>
    </w:p>
    <w:p>
      <w:pPr>
        <w:pBdr>
          <w:bottom w:val="single" w:color="auto" w:sz="6" w:space="1"/>
        </w:pBdr>
        <w:spacing w:line="360" w:lineRule="auto"/>
        <w:ind w:firstLine="1320" w:firstLineChars="550"/>
        <w:rPr>
          <w:rFonts w:ascii="宋体" w:hAnsi="宋体" w:cs="宋体"/>
          <w:b/>
          <w:sz w:val="24"/>
          <w:szCs w:val="24"/>
        </w:rPr>
      </w:pPr>
      <w:r>
        <w:rPr>
          <w:rStyle w:val="46"/>
          <w:rFonts w:hint="eastAsia" w:ascii="宋体" w:hAnsi="宋体" w:cs="宋体"/>
          <w:color w:val="auto"/>
          <w:sz w:val="24"/>
          <w:szCs w:val="24"/>
        </w:rPr>
        <w:t>可选办法八（适合经评审的最低投标价法，技术标与经济标同时开启）</w:t>
      </w:r>
    </w:p>
    <w:p>
      <w:pPr>
        <w:spacing w:line="360" w:lineRule="auto"/>
        <w:ind w:firstLine="482" w:firstLineChars="200"/>
        <w:rPr>
          <w:rFonts w:ascii="宋体" w:hAnsi="宋体" w:cs="宋体"/>
          <w:b/>
          <w:sz w:val="24"/>
          <w:szCs w:val="24"/>
        </w:rPr>
      </w:pPr>
      <w:r>
        <w:rPr>
          <w:rFonts w:hint="eastAsia" w:ascii="宋体" w:hAnsi="宋体" w:cs="宋体"/>
          <w:b/>
          <w:sz w:val="24"/>
          <w:szCs w:val="24"/>
        </w:rPr>
        <w:t>条款号： 41.1         修改类型：修改</w:t>
      </w:r>
    </w:p>
    <w:p>
      <w:pPr>
        <w:pBdr>
          <w:bottom w:val="single" w:color="auto" w:sz="6" w:space="1"/>
        </w:pBdr>
        <w:spacing w:line="360" w:lineRule="auto"/>
        <w:ind w:firstLine="602" w:firstLineChars="250"/>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41.1 开标由招标人主持；</w:t>
      </w:r>
    </w:p>
    <w:p>
      <w:pPr>
        <w:pBdr>
          <w:bottom w:val="single" w:color="auto" w:sz="6" w:space="1"/>
        </w:pBdr>
        <w:spacing w:line="360" w:lineRule="auto"/>
        <w:ind w:firstLine="602" w:firstLineChars="250"/>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 xml:space="preserve">41.1 </w:t>
      </w:r>
      <w:r>
        <w:rPr>
          <w:rFonts w:hint="eastAsia" w:ascii="宋体" w:hAnsi="宋体" w:cs="宋体"/>
          <w:sz w:val="24"/>
          <w:szCs w:val="24"/>
          <w:u w:val="single"/>
        </w:rPr>
        <w:t>开标由招标人或招标代理主持；</w:t>
      </w:r>
    </w:p>
    <w:p>
      <w:pPr>
        <w:spacing w:line="360" w:lineRule="auto"/>
        <w:ind w:firstLine="540" w:firstLineChars="224"/>
        <w:rPr>
          <w:rFonts w:ascii="宋体" w:hAnsi="宋体" w:cs="宋体"/>
          <w:b/>
          <w:sz w:val="24"/>
          <w:szCs w:val="24"/>
        </w:rPr>
      </w:pPr>
      <w:r>
        <w:rPr>
          <w:rFonts w:hint="eastAsia" w:ascii="宋体" w:hAnsi="宋体" w:cs="宋体"/>
          <w:b/>
          <w:sz w:val="24"/>
          <w:szCs w:val="24"/>
        </w:rPr>
        <w:t>条款号：41.2.1             修改类型：修改</w:t>
      </w:r>
    </w:p>
    <w:p>
      <w:pPr>
        <w:spacing w:line="360" w:lineRule="auto"/>
        <w:ind w:firstLine="540" w:firstLineChars="224"/>
        <w:rPr>
          <w:rFonts w:ascii="宋体" w:hAnsi="宋体" w:cs="宋体"/>
          <w:b/>
          <w:sz w:val="24"/>
          <w:szCs w:val="24"/>
        </w:rPr>
      </w:pPr>
      <w:r>
        <w:rPr>
          <w:rFonts w:hint="eastAsia" w:ascii="宋体" w:hAnsi="宋体" w:cs="宋体"/>
          <w:b/>
          <w:sz w:val="24"/>
          <w:szCs w:val="24"/>
        </w:rPr>
        <w:t>原文：</w:t>
      </w:r>
      <w:r>
        <w:rPr>
          <w:rFonts w:hint="eastAsia" w:ascii="宋体" w:hAnsi="宋体" w:cs="宋体"/>
          <w:b/>
          <w:bCs/>
          <w:sz w:val="24"/>
          <w:szCs w:val="24"/>
        </w:rPr>
        <w:t>41.2.1</w:t>
      </w:r>
      <w:r>
        <w:rPr>
          <w:rFonts w:hint="eastAsia" w:ascii="宋体" w:hAnsi="宋体" w:cs="宋体"/>
          <w:bCs/>
          <w:sz w:val="24"/>
          <w:szCs w:val="24"/>
        </w:rPr>
        <w:t xml:space="preserve">投标截止期前，各投标人递交投标文件（包括技术标投标文件、经济标投标文件）至交易平台。有关投标文件提交的事项详见第一章投标须知。 </w:t>
      </w:r>
    </w:p>
    <w:p>
      <w:pPr>
        <w:pBdr>
          <w:bottom w:val="single" w:color="auto" w:sz="6" w:space="1"/>
        </w:pBdr>
        <w:spacing w:line="360" w:lineRule="auto"/>
        <w:ind w:firstLine="602" w:firstLineChars="250"/>
        <w:rPr>
          <w:rFonts w:ascii="宋体" w:hAnsi="宋体" w:cs="宋体"/>
          <w:sz w:val="24"/>
          <w:szCs w:val="24"/>
        </w:rPr>
      </w:pPr>
      <w:r>
        <w:rPr>
          <w:rFonts w:hint="eastAsia" w:ascii="宋体" w:hAnsi="宋体" w:cs="宋体"/>
          <w:b/>
          <w:sz w:val="24"/>
          <w:szCs w:val="24"/>
        </w:rPr>
        <w:t>现文：</w:t>
      </w:r>
      <w:r>
        <w:rPr>
          <w:rFonts w:hint="eastAsia" w:ascii="宋体" w:hAnsi="宋体" w:cs="宋体"/>
          <w:b/>
          <w:bCs/>
          <w:sz w:val="24"/>
          <w:szCs w:val="24"/>
        </w:rPr>
        <w:t>41.2.1</w:t>
      </w:r>
      <w:r>
        <w:rPr>
          <w:rFonts w:hint="eastAsia" w:ascii="宋体" w:hAnsi="宋体" w:cs="宋体"/>
          <w:bCs/>
          <w:sz w:val="24"/>
          <w:szCs w:val="24"/>
        </w:rPr>
        <w:t>投标截止期前，各投标人递交投标文件（包括技术标投标文件、经济标投标文件）至</w:t>
      </w:r>
      <w:r>
        <w:rPr>
          <w:rFonts w:hint="eastAsia" w:ascii="宋体" w:hAnsi="宋体" w:cs="宋体"/>
          <w:bCs/>
          <w:sz w:val="24"/>
          <w:szCs w:val="24"/>
          <w:u w:val="single"/>
        </w:rPr>
        <w:t>广州公共资源交易中心</w:t>
      </w:r>
      <w:r>
        <w:rPr>
          <w:rFonts w:hint="eastAsia" w:ascii="宋体" w:hAnsi="宋体" w:cs="宋体"/>
          <w:bCs/>
          <w:sz w:val="24"/>
          <w:szCs w:val="24"/>
        </w:rPr>
        <w:t>交易平台。有关投标文件提交的事项详见第一章投标须知。</w:t>
      </w:r>
    </w:p>
    <w:p>
      <w:pPr>
        <w:spacing w:line="360" w:lineRule="auto"/>
        <w:ind w:firstLine="540" w:firstLineChars="224"/>
        <w:rPr>
          <w:rFonts w:ascii="宋体" w:hAnsi="宋体" w:cs="宋体"/>
          <w:b/>
          <w:sz w:val="24"/>
          <w:szCs w:val="24"/>
        </w:rPr>
      </w:pPr>
      <w:r>
        <w:rPr>
          <w:rFonts w:hint="eastAsia" w:ascii="宋体" w:hAnsi="宋体" w:cs="宋体"/>
          <w:b/>
          <w:sz w:val="24"/>
          <w:szCs w:val="24"/>
        </w:rPr>
        <w:t>条款号：42.2                    修改类型：修改</w:t>
      </w:r>
    </w:p>
    <w:p>
      <w:pPr>
        <w:pStyle w:val="6"/>
        <w:tabs>
          <w:tab w:val="left" w:pos="7380"/>
        </w:tabs>
        <w:snapToGrid w:val="0"/>
        <w:spacing w:after="0" w:line="360" w:lineRule="auto"/>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42.2评标委员会的组成：方式。</w:t>
      </w:r>
    </w:p>
    <w:p>
      <w:pPr>
        <w:pStyle w:val="6"/>
        <w:tabs>
          <w:tab w:val="left" w:pos="7380"/>
        </w:tabs>
        <w:snapToGrid w:val="0"/>
        <w:spacing w:after="0" w:line="360" w:lineRule="auto"/>
        <w:ind w:firstLine="480" w:firstLineChars="200"/>
        <w:rPr>
          <w:rFonts w:ascii="宋体" w:hAnsi="宋体" w:cs="宋体"/>
          <w:sz w:val="24"/>
          <w:szCs w:val="24"/>
        </w:rPr>
      </w:pPr>
      <w:r>
        <w:rPr>
          <w:rFonts w:hint="eastAsia" w:ascii="宋体" w:hAnsi="宋体" w:cs="宋体"/>
          <w:sz w:val="24"/>
          <w:szCs w:val="24"/>
        </w:rPr>
        <w:t>方式一：评标委员会为综合评标委员会，负责资格审查及评标工作。</w:t>
      </w:r>
    </w:p>
    <w:p>
      <w:pPr>
        <w:pStyle w:val="6"/>
        <w:tabs>
          <w:tab w:val="left" w:pos="7380"/>
        </w:tabs>
        <w:snapToGrid w:val="0"/>
        <w:spacing w:after="0" w:line="360" w:lineRule="auto"/>
        <w:ind w:firstLine="480" w:firstLineChars="200"/>
        <w:rPr>
          <w:rFonts w:ascii="宋体" w:hAnsi="宋体" w:cs="宋体"/>
          <w:sz w:val="24"/>
          <w:szCs w:val="24"/>
        </w:rPr>
      </w:pPr>
      <w:r>
        <w:rPr>
          <w:rFonts w:hint="eastAsia" w:ascii="宋体" w:hAnsi="宋体" w:cs="宋体"/>
          <w:sz w:val="24"/>
          <w:szCs w:val="24"/>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602" w:firstLineChars="250"/>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42.2评标委员会的组成：方式</w:t>
      </w:r>
      <w:r>
        <w:rPr>
          <w:rFonts w:hint="eastAsia" w:ascii="宋体" w:hAnsi="宋体" w:cs="宋体"/>
          <w:sz w:val="24"/>
          <w:szCs w:val="24"/>
          <w:u w:val="single"/>
        </w:rPr>
        <w:t xml:space="preserve"> 一 </w:t>
      </w:r>
      <w:r>
        <w:rPr>
          <w:rFonts w:hint="eastAsia" w:ascii="宋体" w:hAnsi="宋体" w:cs="宋体"/>
          <w:sz w:val="24"/>
          <w:szCs w:val="24"/>
        </w:rPr>
        <w:t>。</w:t>
      </w:r>
    </w:p>
    <w:p>
      <w:pPr>
        <w:pBdr>
          <w:bottom w:val="single" w:color="auto" w:sz="6" w:space="1"/>
        </w:pBdr>
        <w:spacing w:line="360" w:lineRule="auto"/>
        <w:ind w:firstLine="600" w:firstLineChars="250"/>
        <w:rPr>
          <w:rFonts w:ascii="宋体" w:hAnsi="宋体" w:cs="宋体"/>
          <w:sz w:val="24"/>
          <w:szCs w:val="24"/>
        </w:rPr>
      </w:pPr>
      <w:r>
        <w:rPr>
          <w:rFonts w:hint="eastAsia" w:ascii="宋体" w:hAnsi="宋体" w:cs="宋体"/>
          <w:sz w:val="24"/>
          <w:szCs w:val="24"/>
        </w:rPr>
        <w:t>方式一：评标委员会为综合评标委员会，负责资格审查及评标工作。</w:t>
      </w:r>
    </w:p>
    <w:p>
      <w:pPr>
        <w:spacing w:line="360" w:lineRule="auto"/>
        <w:ind w:firstLine="540" w:firstLineChars="224"/>
        <w:rPr>
          <w:rFonts w:ascii="宋体" w:hAnsi="宋体" w:cs="宋体"/>
          <w:b/>
          <w:sz w:val="24"/>
          <w:szCs w:val="24"/>
        </w:rPr>
      </w:pPr>
      <w:r>
        <w:rPr>
          <w:rFonts w:hint="eastAsia" w:ascii="宋体" w:hAnsi="宋体" w:cs="宋体"/>
          <w:b/>
          <w:sz w:val="24"/>
          <w:szCs w:val="24"/>
        </w:rPr>
        <w:t>条款号：43.6                          修改类型：修改</w:t>
      </w:r>
    </w:p>
    <w:p>
      <w:pPr>
        <w:pBdr>
          <w:bottom w:val="single" w:color="auto" w:sz="6" w:space="1"/>
        </w:pBdr>
        <w:spacing w:line="360" w:lineRule="auto"/>
        <w:ind w:firstLine="540" w:firstLineChars="224"/>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43.6资格审查合格的投标人少于3名的（当N个标段同时招标且不允许兼中时，资格审查合格的投标人少于N+2名），则本项目招标失败。</w:t>
      </w:r>
    </w:p>
    <w:p>
      <w:pPr>
        <w:pBdr>
          <w:bottom w:val="single" w:color="auto" w:sz="6" w:space="1"/>
        </w:pBdr>
        <w:spacing w:line="360" w:lineRule="auto"/>
        <w:ind w:firstLine="540" w:firstLineChars="224"/>
        <w:rPr>
          <w:rFonts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43.6</w:t>
      </w:r>
      <w:r>
        <w:rPr>
          <w:rFonts w:hint="eastAsia" w:ascii="宋体" w:hAnsi="宋体" w:cs="宋体"/>
          <w:sz w:val="24"/>
          <w:szCs w:val="24"/>
          <w:u w:val="single"/>
        </w:rPr>
        <w:t>资格审查合格的投标人少于3名的，则本项目招标失败</w:t>
      </w:r>
      <w:r>
        <w:rPr>
          <w:rFonts w:hint="eastAsia" w:ascii="宋体" w:hAnsi="宋体" w:cs="宋体"/>
          <w:sz w:val="24"/>
          <w:szCs w:val="24"/>
        </w:rPr>
        <w:t>。</w:t>
      </w:r>
    </w:p>
    <w:p>
      <w:pPr>
        <w:spacing w:line="360" w:lineRule="auto"/>
        <w:ind w:firstLine="540" w:firstLineChars="224"/>
        <w:rPr>
          <w:rFonts w:ascii="宋体" w:hAnsi="宋体" w:cs="宋体"/>
          <w:b/>
          <w:sz w:val="24"/>
          <w:szCs w:val="24"/>
        </w:rPr>
      </w:pPr>
      <w:r>
        <w:rPr>
          <w:rFonts w:hint="eastAsia" w:ascii="宋体" w:hAnsi="宋体" w:cs="宋体"/>
          <w:b/>
          <w:sz w:val="24"/>
          <w:szCs w:val="24"/>
        </w:rPr>
        <w:t>条款号：45.1             修改类型：修改</w:t>
      </w:r>
    </w:p>
    <w:p>
      <w:pPr>
        <w:pBdr>
          <w:bottom w:val="single" w:color="auto" w:sz="6" w:space="1"/>
        </w:pBdr>
        <w:spacing w:line="360" w:lineRule="auto"/>
        <w:ind w:firstLine="540" w:firstLineChars="224"/>
        <w:rPr>
          <w:rFonts w:ascii="宋体" w:hAnsi="宋体" w:cs="宋体"/>
          <w:b/>
          <w:sz w:val="24"/>
          <w:szCs w:val="24"/>
        </w:rPr>
      </w:pPr>
      <w:r>
        <w:rPr>
          <w:rFonts w:hint="eastAsia" w:ascii="宋体" w:hAnsi="宋体" w:cs="宋体"/>
          <w:b/>
          <w:sz w:val="24"/>
          <w:szCs w:val="24"/>
        </w:rPr>
        <w:t>原文：</w:t>
      </w:r>
      <w:r>
        <w:rPr>
          <w:rFonts w:hint="eastAsia" w:ascii="宋体" w:hAnsi="宋体" w:cs="宋体"/>
          <w:bCs/>
          <w:sz w:val="24"/>
          <w:szCs w:val="24"/>
        </w:rPr>
        <w:t>若通过技术标有效性审查的投标人中有投标报价均大于等于最高投标限价*D%（D的取值范围为[94,100],由招标人自主确定）的（具体金额为：元），则本项目招标失败，由招标人依法重新招标。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540" w:firstLineChars="224"/>
        <w:rPr>
          <w:rFonts w:ascii="宋体" w:hAnsi="宋体" w:cs="宋体"/>
          <w:bCs/>
          <w:sz w:val="24"/>
          <w:szCs w:val="24"/>
        </w:rPr>
      </w:pPr>
      <w:r>
        <w:rPr>
          <w:rFonts w:hint="eastAsia" w:ascii="宋体" w:hAnsi="宋体" w:cs="宋体"/>
          <w:b/>
          <w:sz w:val="24"/>
          <w:szCs w:val="24"/>
        </w:rPr>
        <w:t>现文：</w:t>
      </w:r>
      <w:r>
        <w:rPr>
          <w:rFonts w:hint="eastAsia" w:ascii="宋体" w:hAnsi="宋体" w:cs="宋体"/>
          <w:bCs/>
          <w:sz w:val="24"/>
          <w:szCs w:val="24"/>
          <w:u w:val="single"/>
        </w:rPr>
        <w:t>若通过技术标有效性审查的投标人中所有投标报价均大于等于最高投标限价100%的</w:t>
      </w:r>
      <w:r>
        <w:rPr>
          <w:rFonts w:hint="eastAsia" w:ascii="宋体" w:hAnsi="宋体" w:cs="宋体"/>
          <w:bCs/>
          <w:sz w:val="24"/>
          <w:szCs w:val="24"/>
          <w:highlight w:val="none"/>
          <w:u w:val="single"/>
        </w:rPr>
        <w:t>（具体金额为：</w:t>
      </w:r>
      <w:r>
        <w:rPr>
          <w:rFonts w:hint="eastAsia" w:ascii="宋体" w:hAnsi="宋体" w:cs="宋体"/>
          <w:bCs/>
          <w:sz w:val="24"/>
          <w:szCs w:val="24"/>
          <w:highlight w:val="none"/>
          <w:u w:val="single"/>
          <w:lang w:val="en-US" w:eastAsia="zh-CN"/>
        </w:rPr>
        <w:t>7602723.92</w:t>
      </w:r>
      <w:r>
        <w:rPr>
          <w:rFonts w:hint="eastAsia" w:ascii="宋体" w:hAnsi="宋体" w:cs="宋体"/>
          <w:bCs/>
          <w:sz w:val="24"/>
          <w:szCs w:val="24"/>
          <w:highlight w:val="none"/>
          <w:u w:val="single"/>
        </w:rPr>
        <w:t>元）</w:t>
      </w:r>
      <w:r>
        <w:rPr>
          <w:rFonts w:hint="eastAsia" w:ascii="宋体" w:hAnsi="宋体" w:cs="宋体"/>
          <w:bCs/>
          <w:sz w:val="24"/>
          <w:szCs w:val="24"/>
          <w:u w:val="single"/>
        </w:rPr>
        <w:t>，则本项目招标失败，由招标人依法重新招标。</w:t>
      </w:r>
    </w:p>
    <w:p>
      <w:pPr>
        <w:spacing w:line="360" w:lineRule="auto"/>
        <w:ind w:firstLine="540" w:firstLineChars="224"/>
        <w:rPr>
          <w:rFonts w:ascii="宋体" w:hAnsi="宋体" w:cs="宋体"/>
          <w:b/>
          <w:sz w:val="24"/>
          <w:szCs w:val="24"/>
        </w:rPr>
      </w:pPr>
      <w:r>
        <w:rPr>
          <w:rFonts w:hint="eastAsia" w:ascii="宋体" w:hAnsi="宋体" w:cs="宋体"/>
          <w:b/>
          <w:sz w:val="24"/>
          <w:szCs w:val="24"/>
        </w:rPr>
        <w:t>条款号：45.2              修改类型：修改</w:t>
      </w:r>
    </w:p>
    <w:p>
      <w:pPr>
        <w:spacing w:line="360" w:lineRule="auto"/>
        <w:ind w:firstLine="540" w:firstLineChars="224"/>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45.2按方法计算评标参考价：</w:t>
      </w:r>
    </w:p>
    <w:p>
      <w:pPr>
        <w:pBdr>
          <w:bottom w:val="single" w:color="auto" w:sz="6" w:space="1"/>
        </w:pBdr>
        <w:spacing w:line="360" w:lineRule="auto"/>
        <w:ind w:firstLine="602" w:firstLineChars="250"/>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45.2按方法</w:t>
      </w:r>
      <w:r>
        <w:rPr>
          <w:rFonts w:hint="eastAsia" w:ascii="宋体" w:hAnsi="宋体" w:cs="宋体"/>
          <w:sz w:val="24"/>
          <w:szCs w:val="24"/>
          <w:u w:val="single"/>
        </w:rPr>
        <w:t>一</w:t>
      </w:r>
      <w:r>
        <w:rPr>
          <w:rFonts w:hint="eastAsia" w:ascii="宋体" w:hAnsi="宋体" w:cs="宋体"/>
          <w:sz w:val="24"/>
          <w:szCs w:val="24"/>
        </w:rPr>
        <w:t xml:space="preserve">计算评标参考价： </w:t>
      </w:r>
    </w:p>
    <w:p>
      <w:pPr>
        <w:spacing w:line="360" w:lineRule="auto"/>
        <w:ind w:firstLine="540" w:firstLineChars="224"/>
        <w:rPr>
          <w:rFonts w:ascii="宋体" w:hAnsi="宋体" w:cs="宋体"/>
          <w:b/>
          <w:sz w:val="24"/>
          <w:szCs w:val="24"/>
        </w:rPr>
      </w:pPr>
      <w:r>
        <w:rPr>
          <w:rFonts w:hint="eastAsia" w:ascii="宋体" w:hAnsi="宋体" w:cs="宋体"/>
          <w:b/>
          <w:sz w:val="24"/>
          <w:szCs w:val="24"/>
        </w:rPr>
        <w:t>条款号：方法一：加权平均法              修改类型：修改</w:t>
      </w:r>
    </w:p>
    <w:p>
      <w:pPr>
        <w:widowControl/>
        <w:spacing w:line="360" w:lineRule="auto"/>
        <w:ind w:firstLine="482" w:firstLineChars="200"/>
        <w:rPr>
          <w:rFonts w:ascii="宋体" w:hAnsi="宋体" w:cs="宋体"/>
          <w:b/>
          <w:bCs/>
          <w:kern w:val="0"/>
          <w:sz w:val="24"/>
          <w:szCs w:val="24"/>
        </w:rPr>
      </w:pPr>
      <w:r>
        <w:rPr>
          <w:rFonts w:hint="eastAsia" w:ascii="宋体" w:hAnsi="宋体" w:cs="宋体"/>
          <w:b/>
          <w:sz w:val="24"/>
          <w:szCs w:val="24"/>
        </w:rPr>
        <w:t>原文：方法一：加权平均法</w:t>
      </w:r>
    </w:p>
    <w:p>
      <w:pPr>
        <w:spacing w:line="360" w:lineRule="auto"/>
        <w:ind w:firstLine="480" w:firstLineChars="200"/>
        <w:rPr>
          <w:rFonts w:ascii="宋体" w:hAnsi="宋体" w:cs="宋体"/>
          <w:sz w:val="24"/>
          <w:szCs w:val="24"/>
        </w:rPr>
      </w:pPr>
      <w:r>
        <w:rPr>
          <w:rFonts w:hint="eastAsia" w:ascii="宋体" w:hAnsi="宋体" w:cs="宋体"/>
          <w:sz w:val="24"/>
          <w:szCs w:val="24"/>
        </w:rPr>
        <w:t>技术标或技术标加诚信得分（具体由招标人自定）前N名（N≥5，具体由招标人自定）的经济报价加权平均，计算评标参考价。公式如下：</w:t>
      </w:r>
    </w:p>
    <w:p>
      <w:pPr>
        <w:spacing w:line="360" w:lineRule="auto"/>
        <w:ind w:firstLine="480" w:firstLineChars="200"/>
        <w:rPr>
          <w:rFonts w:ascii="宋体" w:hAnsi="宋体" w:cs="宋体"/>
          <w:sz w:val="24"/>
          <w:szCs w:val="24"/>
        </w:rPr>
      </w:pPr>
      <w:r>
        <w:rPr>
          <w:rFonts w:hint="eastAsia" w:ascii="宋体" w:hAnsi="宋体" w:cs="宋体"/>
          <w:sz w:val="24"/>
          <w:szCs w:val="24"/>
        </w:rPr>
        <w:t>评标参考价=Σ（投标人的投标报价*报价权重）。</w:t>
      </w:r>
    </w:p>
    <w:p>
      <w:pPr>
        <w:spacing w:line="360" w:lineRule="auto"/>
        <w:ind w:firstLine="480" w:firstLineChars="200"/>
        <w:rPr>
          <w:rFonts w:ascii="宋体" w:hAnsi="宋体" w:cs="宋体"/>
          <w:sz w:val="24"/>
          <w:szCs w:val="24"/>
        </w:rPr>
      </w:pPr>
      <w:r>
        <w:rPr>
          <w:rFonts w:hint="eastAsia" w:ascii="宋体" w:hAnsi="宋体" w:cs="宋体"/>
          <w:sz w:val="24"/>
          <w:szCs w:val="24"/>
        </w:rPr>
        <w:t>其中：报价权重的计算方法为：将N名投标人按技术分由高至低进行排序，第一名投标人的权重为（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sz w:val="24"/>
          <w:szCs w:val="24"/>
        </w:rPr>
        <w:drawing>
          <wp:inline distT="0" distB="0" distL="0" distR="0">
            <wp:extent cx="379730" cy="451485"/>
            <wp:effectExtent l="1905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a:xfrm>
                      <a:off x="0" y="0"/>
                      <a:ext cx="379730" cy="451485"/>
                    </a:xfrm>
                    <a:prstGeom prst="rect">
                      <a:avLst/>
                    </a:prstGeom>
                    <a:noFill/>
                    <a:ln w="9525" cmpd="sng">
                      <a:noFill/>
                      <a:miter lim="800000"/>
                      <a:headEnd/>
                      <a:tailEnd/>
                    </a:ln>
                  </pic:spPr>
                </pic:pic>
              </a:graphicData>
            </a:graphic>
          </wp:inline>
        </w:drawing>
      </w:r>
      <w:r>
        <w:rPr>
          <w:rFonts w:hint="eastAsia" w:ascii="宋体" w:hAnsi="宋体" w:cs="宋体"/>
          <w:sz w:val="24"/>
          <w:szCs w:val="24"/>
        </w:rPr>
        <w:fldChar w:fldCharType="separate"/>
      </w:r>
      <w:r>
        <w:rPr>
          <w:rFonts w:hint="eastAsia" w:ascii="宋体" w:hAnsi="宋体" w:cs="宋体"/>
          <w:sz w:val="24"/>
          <w:szCs w:val="24"/>
        </w:rPr>
        <w:drawing>
          <wp:inline distT="0" distB="0" distL="0" distR="0">
            <wp:extent cx="379730" cy="451485"/>
            <wp:effectExtent l="1905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a:xfrm>
                      <a:off x="0" y="0"/>
                      <a:ext cx="379730" cy="451485"/>
                    </a:xfrm>
                    <a:prstGeom prst="rect">
                      <a:avLst/>
                    </a:prstGeom>
                    <a:noFill/>
                    <a:ln w="9525" cmpd="sng">
                      <a:noFill/>
                      <a:miter lim="800000"/>
                      <a:headEnd/>
                      <a:tailEnd/>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），第二名投标人的权重为（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sz w:val="24"/>
          <w:szCs w:val="24"/>
        </w:rPr>
        <w:drawing>
          <wp:inline distT="0" distB="0" distL="0" distR="0">
            <wp:extent cx="320675" cy="403860"/>
            <wp:effectExtent l="1905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a:xfrm>
                      <a:off x="0" y="0"/>
                      <a:ext cx="320675" cy="403860"/>
                    </a:xfrm>
                    <a:prstGeom prst="rect">
                      <a:avLst/>
                    </a:prstGeom>
                    <a:noFill/>
                    <a:ln w="9525" cmpd="sng">
                      <a:noFill/>
                      <a:miter lim="800000"/>
                      <a:headEnd/>
                      <a:tailEnd/>
                    </a:ln>
                  </pic:spPr>
                </pic:pic>
              </a:graphicData>
            </a:graphic>
          </wp:inline>
        </w:drawing>
      </w:r>
      <w:r>
        <w:rPr>
          <w:rFonts w:hint="eastAsia" w:ascii="宋体" w:hAnsi="宋体" w:cs="宋体"/>
          <w:sz w:val="24"/>
          <w:szCs w:val="24"/>
        </w:rPr>
        <w:fldChar w:fldCharType="separate"/>
      </w:r>
      <w:r>
        <w:rPr>
          <w:rFonts w:hint="eastAsia" w:ascii="宋体" w:hAnsi="宋体" w:cs="宋体"/>
          <w:sz w:val="24"/>
          <w:szCs w:val="24"/>
        </w:rPr>
        <w:drawing>
          <wp:inline distT="0" distB="0" distL="0" distR="0">
            <wp:extent cx="320675" cy="403860"/>
            <wp:effectExtent l="1905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a:xfrm>
                      <a:off x="0" y="0"/>
                      <a:ext cx="320675" cy="403860"/>
                    </a:xfrm>
                    <a:prstGeom prst="rect">
                      <a:avLst/>
                    </a:prstGeom>
                    <a:noFill/>
                    <a:ln w="9525" cmpd="sng">
                      <a:noFill/>
                      <a:miter lim="800000"/>
                      <a:headEnd/>
                      <a:tailEnd/>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），以此类推，最后一名投标人的权重为（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sz w:val="24"/>
          <w:szCs w:val="24"/>
        </w:rPr>
        <w:drawing>
          <wp:inline distT="0" distB="0" distL="0" distR="0">
            <wp:extent cx="320675" cy="403860"/>
            <wp:effectExtent l="1905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a:xfrm>
                      <a:off x="0" y="0"/>
                      <a:ext cx="320675" cy="403860"/>
                    </a:xfrm>
                    <a:prstGeom prst="rect">
                      <a:avLst/>
                    </a:prstGeom>
                    <a:noFill/>
                    <a:ln w="9525" cmpd="sng">
                      <a:noFill/>
                      <a:miter lim="800000"/>
                      <a:headEnd/>
                      <a:tailEnd/>
                    </a:ln>
                  </pic:spPr>
                </pic:pic>
              </a:graphicData>
            </a:graphic>
          </wp:inline>
        </w:drawing>
      </w:r>
      <w:r>
        <w:rPr>
          <w:rFonts w:hint="eastAsia" w:ascii="宋体" w:hAnsi="宋体" w:cs="宋体"/>
          <w:sz w:val="24"/>
          <w:szCs w:val="24"/>
        </w:rPr>
        <w:fldChar w:fldCharType="separate"/>
      </w:r>
      <w:r>
        <w:rPr>
          <w:rFonts w:hint="eastAsia" w:ascii="宋体" w:hAnsi="宋体" w:cs="宋体"/>
          <w:sz w:val="24"/>
          <w:szCs w:val="24"/>
        </w:rPr>
        <w:drawing>
          <wp:inline distT="0" distB="0" distL="0" distR="0">
            <wp:extent cx="320675" cy="403860"/>
            <wp:effectExtent l="1905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a:xfrm>
                      <a:off x="0" y="0"/>
                      <a:ext cx="320675" cy="403860"/>
                    </a:xfrm>
                    <a:prstGeom prst="rect">
                      <a:avLst/>
                    </a:prstGeom>
                    <a:noFill/>
                    <a:ln w="9525" cmpd="sng">
                      <a:noFill/>
                      <a:miter lim="800000"/>
                      <a:headEnd/>
                      <a:tailEnd/>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w:t>
      </w:r>
    </w:p>
    <w:p>
      <w:pPr>
        <w:widowControl/>
        <w:spacing w:line="360" w:lineRule="auto"/>
        <w:ind w:firstLine="482" w:firstLineChars="200"/>
        <w:rPr>
          <w:rFonts w:ascii="宋体" w:hAnsi="宋体" w:cs="宋体"/>
          <w:b/>
          <w:bCs/>
          <w:kern w:val="0"/>
          <w:sz w:val="24"/>
          <w:szCs w:val="24"/>
        </w:rPr>
      </w:pPr>
      <w:r>
        <w:rPr>
          <w:rFonts w:hint="eastAsia" w:ascii="宋体" w:hAnsi="宋体" w:cs="宋体"/>
          <w:b/>
          <w:sz w:val="24"/>
          <w:szCs w:val="24"/>
        </w:rPr>
        <w:t>现文：方法一：加权平均法</w:t>
      </w:r>
    </w:p>
    <w:p>
      <w:pPr>
        <w:pBdr>
          <w:bottom w:val="single" w:color="auto" w:sz="6" w:space="1"/>
        </w:pBdr>
        <w:spacing w:line="360" w:lineRule="auto"/>
        <w:ind w:firstLine="600" w:firstLineChars="250"/>
        <w:rPr>
          <w:rFonts w:ascii="宋体" w:hAnsi="宋体" w:cs="宋体"/>
          <w:sz w:val="24"/>
          <w:szCs w:val="24"/>
        </w:rPr>
      </w:pPr>
      <w:r>
        <w:rPr>
          <w:rFonts w:hint="eastAsia" w:ascii="宋体" w:hAnsi="宋体" w:cs="宋体"/>
          <w:sz w:val="24"/>
          <w:szCs w:val="24"/>
          <w:u w:val="single"/>
        </w:rPr>
        <w:t>技术标得分前N名（若通过技术标有效性审查的家数大于等于5家时，N=5；若小于5家时，N=通过技术标有效性审查的家数；技术标得分相同的，以投标报价较低的排前；如仍有相同情况，则由评标会对出现该情况的投标人进行编号，然后通过投票方式依次确定投标人的排序。）</w:t>
      </w:r>
      <w:r>
        <w:rPr>
          <w:rFonts w:hint="eastAsia" w:ascii="宋体" w:hAnsi="宋体" w:cs="宋体"/>
          <w:sz w:val="24"/>
          <w:szCs w:val="24"/>
        </w:rPr>
        <w:t>的经济报价加权平均，计算评标参考价。公式如下：</w:t>
      </w:r>
    </w:p>
    <w:p>
      <w:pPr>
        <w:pBdr>
          <w:bottom w:val="single" w:color="auto" w:sz="6" w:space="1"/>
        </w:pBdr>
        <w:spacing w:line="360" w:lineRule="auto"/>
        <w:ind w:firstLine="600" w:firstLineChars="250"/>
        <w:rPr>
          <w:rFonts w:ascii="宋体" w:hAnsi="宋体" w:cs="宋体"/>
          <w:sz w:val="24"/>
          <w:szCs w:val="24"/>
        </w:rPr>
      </w:pPr>
      <w:r>
        <w:rPr>
          <w:rFonts w:hint="eastAsia" w:ascii="宋体" w:hAnsi="宋体" w:cs="宋体"/>
          <w:sz w:val="24"/>
          <w:szCs w:val="24"/>
        </w:rPr>
        <w:t>评标参考价=Σ（投标人的投标报价*报价权重）。</w:t>
      </w:r>
    </w:p>
    <w:p>
      <w:pPr>
        <w:pBdr>
          <w:bottom w:val="single" w:color="auto" w:sz="6" w:space="1"/>
        </w:pBdr>
        <w:spacing w:line="360" w:lineRule="auto"/>
        <w:ind w:firstLine="600" w:firstLineChars="250"/>
        <w:rPr>
          <w:rFonts w:ascii="宋体" w:hAnsi="宋体" w:cs="宋体"/>
          <w:spacing w:val="2"/>
          <w:sz w:val="24"/>
          <w:szCs w:val="24"/>
        </w:rPr>
      </w:pPr>
      <w:r>
        <w:rPr>
          <w:rFonts w:hint="eastAsia" w:ascii="宋体" w:hAnsi="宋体" w:cs="宋体"/>
          <w:sz w:val="24"/>
          <w:szCs w:val="24"/>
        </w:rPr>
        <w:t>其中：报价权重的计算方法为：将N名投标人按技术分由高至低进行排序，第一名投标人的权重为（</w:t>
      </w:r>
      <w:r>
        <w:rPr>
          <w:rFonts w:hint="eastAsia" w:ascii="宋体" w:hAnsi="宋体" w:cs="宋体"/>
          <w:spacing w:val="-4"/>
          <w:sz w:val="24"/>
          <w:szCs w:val="24"/>
        </w:rPr>
        <w:drawing>
          <wp:inline distT="0" distB="0" distL="0" distR="0">
            <wp:extent cx="237490" cy="285115"/>
            <wp:effectExtent l="19050" t="0" r="0" b="0"/>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a:xfrm>
                      <a:off x="0" y="0"/>
                      <a:ext cx="237490" cy="285115"/>
                    </a:xfrm>
                    <a:prstGeom prst="rect">
                      <a:avLst/>
                    </a:prstGeom>
                    <a:noFill/>
                    <a:ln w="9525" cmpd="sng">
                      <a:noFill/>
                      <a:miter lim="800000"/>
                      <a:headEnd/>
                      <a:tailEnd/>
                    </a:ln>
                  </pic:spPr>
                </pic:pic>
              </a:graphicData>
            </a:graphic>
          </wp:inline>
        </w:drawing>
      </w:r>
      <w:r>
        <w:rPr>
          <w:rFonts w:hint="eastAsia" w:ascii="宋体" w:hAnsi="宋体" w:cs="宋体"/>
          <w:sz w:val="24"/>
          <w:szCs w:val="24"/>
        </w:rPr>
        <w:t>），第二名投标人的权重为（</w:t>
      </w:r>
      <w:r>
        <w:rPr>
          <w:rFonts w:hint="eastAsia" w:ascii="宋体" w:hAnsi="宋体" w:cs="宋体"/>
          <w:spacing w:val="-4"/>
          <w:sz w:val="24"/>
          <w:szCs w:val="24"/>
        </w:rPr>
        <w:drawing>
          <wp:inline distT="0" distB="0" distL="0" distR="0">
            <wp:extent cx="237490" cy="285115"/>
            <wp:effectExtent l="19050" t="0" r="0" b="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a:xfrm>
                      <a:off x="0" y="0"/>
                      <a:ext cx="237490" cy="285115"/>
                    </a:xfrm>
                    <a:prstGeom prst="rect">
                      <a:avLst/>
                    </a:prstGeom>
                    <a:noFill/>
                    <a:ln w="9525" cmpd="sng">
                      <a:noFill/>
                      <a:miter lim="800000"/>
                      <a:headEnd/>
                      <a:tailEnd/>
                    </a:ln>
                  </pic:spPr>
                </pic:pic>
              </a:graphicData>
            </a:graphic>
          </wp:inline>
        </w:drawing>
      </w:r>
      <w:r>
        <w:rPr>
          <w:rFonts w:hint="eastAsia" w:ascii="宋体" w:hAnsi="宋体" w:cs="宋体"/>
          <w:sz w:val="24"/>
          <w:szCs w:val="24"/>
        </w:rPr>
        <w:t>），以此类推，最后一名投标人的权重为（</w:t>
      </w:r>
      <w:r>
        <w:rPr>
          <w:rFonts w:hint="eastAsia" w:ascii="宋体" w:hAnsi="宋体" w:cs="宋体"/>
          <w:spacing w:val="-4"/>
          <w:sz w:val="24"/>
          <w:szCs w:val="24"/>
        </w:rPr>
        <w:drawing>
          <wp:inline distT="0" distB="0" distL="0" distR="0">
            <wp:extent cx="237490" cy="285115"/>
            <wp:effectExtent l="19050" t="0" r="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a:xfrm>
                      <a:off x="0" y="0"/>
                      <a:ext cx="237490" cy="285115"/>
                    </a:xfrm>
                    <a:prstGeom prst="rect">
                      <a:avLst/>
                    </a:prstGeom>
                    <a:noFill/>
                    <a:ln w="9525" cmpd="sng">
                      <a:noFill/>
                      <a:miter lim="800000"/>
                      <a:headEnd/>
                      <a:tailEnd/>
                    </a:ln>
                  </pic:spPr>
                </pic:pic>
              </a:graphicData>
            </a:graphic>
          </wp:inline>
        </w:drawing>
      </w:r>
      <w:r>
        <w:rPr>
          <w:rFonts w:hint="eastAsia" w:ascii="宋体" w:hAnsi="宋体" w:cs="宋体"/>
          <w:sz w:val="24"/>
          <w:szCs w:val="24"/>
        </w:rPr>
        <w:t>）。</w:t>
      </w:r>
    </w:p>
    <w:p>
      <w:pPr>
        <w:spacing w:line="360" w:lineRule="auto"/>
        <w:ind w:firstLine="540" w:firstLineChars="224"/>
        <w:rPr>
          <w:rFonts w:ascii="宋体" w:hAnsi="宋体" w:cs="宋体"/>
          <w:b/>
          <w:sz w:val="24"/>
          <w:szCs w:val="24"/>
        </w:rPr>
      </w:pPr>
      <w:r>
        <w:rPr>
          <w:rFonts w:hint="eastAsia" w:ascii="宋体" w:hAnsi="宋体" w:cs="宋体"/>
          <w:b/>
          <w:sz w:val="24"/>
          <w:szCs w:val="24"/>
        </w:rPr>
        <w:t>条款号：45.4修改类型：修改</w:t>
      </w:r>
    </w:p>
    <w:p>
      <w:pPr>
        <w:widowControl/>
        <w:spacing w:line="360" w:lineRule="auto"/>
        <w:ind w:firstLine="482" w:firstLineChars="200"/>
        <w:rPr>
          <w:rFonts w:ascii="宋体" w:hAnsi="宋体" w:cs="宋体"/>
          <w:b/>
          <w:sz w:val="24"/>
          <w:szCs w:val="24"/>
        </w:rPr>
      </w:pPr>
      <w:r>
        <w:rPr>
          <w:rFonts w:hint="eastAsia" w:ascii="宋体" w:hAnsi="宋体" w:cs="宋体"/>
          <w:b/>
          <w:sz w:val="24"/>
          <w:szCs w:val="24"/>
        </w:rPr>
        <w:t>原文：</w:t>
      </w:r>
      <w:r>
        <w:rPr>
          <w:rFonts w:hint="eastAsia" w:ascii="宋体" w:hAnsi="宋体" w:cs="宋体"/>
          <w:bCs/>
          <w:sz w:val="24"/>
          <w:szCs w:val="24"/>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482" w:firstLineChars="200"/>
        <w:rPr>
          <w:rFonts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计算通过技术标有效性审查的投标人总得分。</w:t>
      </w:r>
      <w:r>
        <w:rPr>
          <w:rFonts w:hint="eastAsia" w:ascii="宋体" w:hAnsi="宋体" w:cs="宋体"/>
          <w:bCs/>
          <w:sz w:val="24"/>
          <w:szCs w:val="24"/>
          <w:u w:val="single"/>
        </w:rPr>
        <w:t>投标人总得分=技术得分（20分）＋经济得分（100分）×经济得分权重（80%）。技术、经济得分权重按投标须知前附表的规定执行。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r>
        <w:rPr>
          <w:rFonts w:hint="eastAsia" w:ascii="宋体" w:hAnsi="宋体" w:cs="宋体"/>
          <w:bCs/>
          <w:sz w:val="24"/>
          <w:szCs w:val="24"/>
        </w:rPr>
        <w:t>。</w:t>
      </w:r>
    </w:p>
    <w:p>
      <w:pPr>
        <w:spacing w:line="360" w:lineRule="auto"/>
        <w:ind w:firstLine="482" w:firstLineChars="200"/>
        <w:rPr>
          <w:rFonts w:ascii="宋体" w:hAnsi="宋体" w:cs="宋体"/>
          <w:b/>
          <w:sz w:val="24"/>
          <w:szCs w:val="24"/>
        </w:rPr>
      </w:pPr>
      <w:r>
        <w:rPr>
          <w:rFonts w:hint="eastAsia" w:ascii="宋体" w:hAnsi="宋体" w:cs="宋体"/>
          <w:b/>
          <w:sz w:val="24"/>
          <w:szCs w:val="24"/>
        </w:rPr>
        <w:t>条款号：附表一《资格审查表》          修改类型：修改</w:t>
      </w:r>
    </w:p>
    <w:p>
      <w:pPr>
        <w:spacing w:line="360" w:lineRule="auto"/>
        <w:ind w:firstLine="482" w:firstLineChars="200"/>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pPr>
        <w:pBdr>
          <w:bottom w:val="single" w:color="auto" w:sz="6" w:space="1"/>
        </w:pBdr>
        <w:spacing w:line="360" w:lineRule="auto"/>
        <w:ind w:firstLine="482" w:firstLineChars="200"/>
        <w:rPr>
          <w:rFonts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详见附表一《资格审查表》</w:t>
      </w:r>
    </w:p>
    <w:p>
      <w:pPr>
        <w:spacing w:line="360" w:lineRule="auto"/>
        <w:ind w:firstLine="482" w:firstLineChars="200"/>
        <w:rPr>
          <w:rFonts w:ascii="宋体" w:hAnsi="宋体" w:cs="宋体"/>
          <w:b/>
          <w:sz w:val="24"/>
          <w:szCs w:val="24"/>
        </w:rPr>
      </w:pPr>
      <w:r>
        <w:rPr>
          <w:rFonts w:hint="eastAsia" w:ascii="宋体" w:hAnsi="宋体" w:cs="宋体"/>
          <w:b/>
          <w:sz w:val="24"/>
          <w:szCs w:val="24"/>
        </w:rPr>
        <w:t>条款号：附表二《技术标有效性审查表》          修改类型：修改</w:t>
      </w:r>
    </w:p>
    <w:p>
      <w:pPr>
        <w:spacing w:line="360" w:lineRule="auto"/>
        <w:ind w:firstLine="482" w:firstLineChars="200"/>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pPr>
        <w:pBdr>
          <w:bottom w:val="single" w:color="auto" w:sz="6" w:space="1"/>
        </w:pBdr>
        <w:spacing w:line="360" w:lineRule="auto"/>
        <w:ind w:firstLine="482" w:firstLineChars="200"/>
        <w:rPr>
          <w:rFonts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详见附表二《技术标有效性审查表》</w:t>
      </w:r>
    </w:p>
    <w:p>
      <w:pPr>
        <w:spacing w:line="360" w:lineRule="auto"/>
        <w:ind w:firstLine="482" w:firstLineChars="200"/>
        <w:rPr>
          <w:rFonts w:ascii="宋体" w:hAnsi="宋体" w:cs="宋体"/>
          <w:b/>
          <w:sz w:val="24"/>
          <w:szCs w:val="24"/>
        </w:rPr>
      </w:pPr>
      <w:r>
        <w:rPr>
          <w:rFonts w:hint="eastAsia" w:ascii="宋体" w:hAnsi="宋体" w:cs="宋体"/>
          <w:b/>
          <w:sz w:val="24"/>
          <w:szCs w:val="24"/>
        </w:rPr>
        <w:t>条款号：附表三《经济标有效性审查表》          修改类型：修改</w:t>
      </w:r>
    </w:p>
    <w:p>
      <w:pPr>
        <w:spacing w:line="360" w:lineRule="auto"/>
        <w:ind w:firstLine="482" w:firstLineChars="200"/>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pPr>
        <w:pBdr>
          <w:bottom w:val="single" w:color="auto" w:sz="6" w:space="1"/>
        </w:pBdr>
        <w:spacing w:line="360" w:lineRule="auto"/>
        <w:ind w:firstLine="482" w:firstLineChars="200"/>
        <w:rPr>
          <w:rFonts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详见附表三《经济标有效性审查表》</w:t>
      </w:r>
    </w:p>
    <w:p>
      <w:pPr>
        <w:spacing w:line="360" w:lineRule="auto"/>
        <w:ind w:firstLine="482" w:firstLineChars="200"/>
        <w:rPr>
          <w:rFonts w:ascii="宋体" w:hAnsi="宋体" w:cs="宋体"/>
          <w:b/>
          <w:sz w:val="24"/>
          <w:szCs w:val="24"/>
        </w:rPr>
      </w:pPr>
      <w:r>
        <w:rPr>
          <w:rFonts w:hint="eastAsia" w:ascii="宋体" w:hAnsi="宋体" w:cs="宋体"/>
          <w:b/>
          <w:sz w:val="24"/>
          <w:szCs w:val="24"/>
        </w:rPr>
        <w:t>条款号：附表四《技术标详细审查评分表》          修改类型：修改</w:t>
      </w:r>
    </w:p>
    <w:p>
      <w:pPr>
        <w:spacing w:line="360" w:lineRule="auto"/>
        <w:ind w:firstLine="482" w:firstLineChars="200"/>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pPr>
        <w:pBdr>
          <w:bottom w:val="single" w:color="auto" w:sz="6" w:space="1"/>
        </w:pBdr>
        <w:spacing w:line="360" w:lineRule="auto"/>
        <w:ind w:firstLine="602" w:firstLineChars="250"/>
        <w:rPr>
          <w:rFonts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详见附表四《技术标详细审查评分表》</w:t>
      </w:r>
    </w:p>
    <w:p>
      <w:pPr>
        <w:spacing w:line="360" w:lineRule="auto"/>
        <w:ind w:firstLine="540" w:firstLineChars="224"/>
        <w:rPr>
          <w:rFonts w:ascii="宋体" w:hAnsi="宋体" w:cs="宋体"/>
          <w:b/>
          <w:sz w:val="24"/>
          <w:szCs w:val="24"/>
        </w:rPr>
      </w:pPr>
      <w:r>
        <w:rPr>
          <w:rFonts w:hint="eastAsia" w:ascii="宋体" w:hAnsi="宋体" w:cs="宋体"/>
          <w:b/>
          <w:sz w:val="24"/>
          <w:szCs w:val="24"/>
        </w:rPr>
        <w:t>条款号：附表五《经济标评分表》             修改类型：修改</w:t>
      </w:r>
    </w:p>
    <w:p>
      <w:pPr>
        <w:pBdr>
          <w:bottom w:val="single" w:color="auto" w:sz="6" w:space="1"/>
        </w:pBdr>
        <w:spacing w:line="360" w:lineRule="auto"/>
        <w:ind w:firstLine="540" w:firstLineChars="224"/>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pPr>
        <w:pBdr>
          <w:bottom w:val="single" w:color="auto" w:sz="6" w:space="1"/>
        </w:pBdr>
        <w:tabs>
          <w:tab w:val="center" w:pos="4535"/>
        </w:tabs>
        <w:spacing w:line="360" w:lineRule="auto"/>
        <w:ind w:firstLine="602" w:firstLineChars="250"/>
        <w:rPr>
          <w:rFonts w:hint="eastAsia" w:ascii="宋体" w:hAnsi="宋体" w:eastAsia="宋体" w:cs="宋体"/>
          <w:bCs/>
          <w:sz w:val="24"/>
          <w:szCs w:val="24"/>
          <w:lang w:eastAsia="zh-CN"/>
        </w:rPr>
      </w:pPr>
      <w:r>
        <w:rPr>
          <w:rFonts w:hint="eastAsia" w:ascii="宋体" w:hAnsi="宋体" w:cs="宋体"/>
          <w:b/>
          <w:sz w:val="24"/>
          <w:szCs w:val="24"/>
        </w:rPr>
        <w:t>现文：</w:t>
      </w:r>
      <w:r>
        <w:rPr>
          <w:rFonts w:hint="eastAsia" w:ascii="宋体" w:hAnsi="宋体" w:cs="宋体"/>
          <w:bCs/>
          <w:sz w:val="24"/>
          <w:szCs w:val="24"/>
        </w:rPr>
        <w:t>详见附表五《经济标评分表》</w:t>
      </w:r>
      <w:r>
        <w:rPr>
          <w:rFonts w:hint="eastAsia" w:ascii="宋体" w:hAnsi="宋体" w:cs="宋体"/>
          <w:bCs/>
          <w:sz w:val="24"/>
          <w:szCs w:val="24"/>
          <w:lang w:eastAsia="zh-CN"/>
        </w:rPr>
        <w:tab/>
      </w:r>
    </w:p>
    <w:p>
      <w:pPr>
        <w:spacing w:line="360" w:lineRule="auto"/>
        <w:ind w:firstLine="241" w:firstLineChars="100"/>
        <w:rPr>
          <w:rFonts w:ascii="宋体" w:hAnsi="宋体" w:cs="宋体"/>
          <w:b/>
          <w:sz w:val="24"/>
          <w:szCs w:val="24"/>
        </w:rPr>
      </w:pPr>
      <w:r>
        <w:rPr>
          <w:rFonts w:hint="eastAsia" w:ascii="宋体" w:hAnsi="宋体" w:cs="宋体"/>
          <w:b/>
          <w:sz w:val="24"/>
          <w:szCs w:val="24"/>
        </w:rPr>
        <w:t>注：以上修改，仅限于本范本中有可供选择条款的情形。</w:t>
      </w:r>
    </w:p>
    <w:p>
      <w:pPr>
        <w:spacing w:line="360" w:lineRule="auto"/>
        <w:rPr>
          <w:rFonts w:ascii="宋体" w:hAnsi="宋体" w:cs="宋体"/>
          <w:sz w:val="24"/>
          <w:szCs w:val="24"/>
        </w:rPr>
      </w:pPr>
      <w:r>
        <w:rPr>
          <w:rFonts w:hint="eastAsia" w:ascii="宋体" w:hAnsi="宋体" w:cs="宋体"/>
          <w:b/>
          <w:sz w:val="24"/>
          <w:szCs w:val="24"/>
        </w:rPr>
        <w:t>（以下无正文）</w:t>
      </w:r>
    </w:p>
    <w:p>
      <w:pPr>
        <w:pStyle w:val="12"/>
        <w:spacing w:line="360" w:lineRule="auto"/>
        <w:rPr>
          <w:rFonts w:hint="eastAsia" w:ascii="宋体" w:hAnsi="宋体" w:cs="宋体"/>
        </w:rPr>
      </w:pPr>
    </w:p>
    <w:p>
      <w:pPr>
        <w:pStyle w:val="8"/>
        <w:ind w:firstLine="525"/>
        <w:rPr>
          <w:rFonts w:hint="eastAsia" w:ascii="宋体" w:hAnsi="宋体" w:cs="宋体"/>
          <w:color w:val="auto"/>
        </w:rPr>
      </w:pPr>
      <w:r>
        <w:rPr>
          <w:rFonts w:hint="eastAsia" w:ascii="宋体" w:hAnsi="宋体" w:cs="宋体"/>
          <w:color w:val="auto"/>
        </w:rPr>
        <w:br w:type="page"/>
      </w:r>
      <w:bookmarkStart w:id="17" w:name="_Toc11460"/>
      <w:r>
        <w:rPr>
          <w:rFonts w:hint="eastAsia" w:ascii="宋体" w:hAnsi="宋体" w:cs="宋体"/>
          <w:color w:val="auto"/>
        </w:rPr>
        <w:t>二、开标、评标及定标办法</w:t>
      </w:r>
      <w:r>
        <w:rPr>
          <w:rFonts w:hint="eastAsia" w:ascii="宋体" w:hAnsi="宋体" w:cs="宋体"/>
          <w:color w:val="auto"/>
          <w:szCs w:val="30"/>
        </w:rPr>
        <w:t>通用条款</w:t>
      </w:r>
      <w:bookmarkEnd w:id="17"/>
    </w:p>
    <w:p>
      <w:pPr>
        <w:pStyle w:val="9"/>
        <w:spacing w:before="156" w:after="156"/>
        <w:ind w:firstLine="540" w:firstLineChars="200"/>
        <w:rPr>
          <w:rFonts w:hint="eastAsia" w:cs="宋体"/>
        </w:rPr>
      </w:pPr>
      <w:bookmarkStart w:id="18" w:name="_Toc19940"/>
      <w:r>
        <w:rPr>
          <w:rFonts w:hint="eastAsia" w:cs="宋体"/>
        </w:rPr>
        <w:t>（一）总则</w:t>
      </w:r>
      <w:bookmarkEnd w:id="18"/>
    </w:p>
    <w:p>
      <w:pPr>
        <w:spacing w:line="360" w:lineRule="auto"/>
        <w:ind w:firstLine="480" w:firstLineChars="200"/>
        <w:rPr>
          <w:rFonts w:hint="eastAsia" w:ascii="宋体" w:hAnsi="宋体" w:cs="宋体"/>
          <w:b/>
          <w:sz w:val="24"/>
          <w:szCs w:val="24"/>
        </w:rPr>
      </w:pPr>
      <w:r>
        <w:rPr>
          <w:rFonts w:hint="eastAsia" w:ascii="宋体" w:hAnsi="宋体" w:cs="宋体"/>
          <w:sz w:val="24"/>
          <w:szCs w:val="24"/>
        </w:rPr>
        <w:t>35 开标、评标及定标所依据的规则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35.1《中华人民共和国招标投标法》；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35.2《中华人民共和国招标投标法实施条例》；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35.3《评标委员会和评标方法暂行规定》（七部委第12号令）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35.4《工程建设项目施工招标投标办法》（七部委2003年第30号令）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35.5《广东省实施〈中华人民共和国招标投标法〉办法》；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35.6《房屋建筑和市政基础设施工程施工招标投标管理办法》（建设部令第89号）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35.7《广东省加强建设工程招标投标监督管理的若干规定》（粤发[2004]4号）；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35.8《广州市工程建设项目招标投标管理办法》（穗府办规〔2017〕5号）。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35.9本项目招标文件。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36．开标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36.2 招标人在招标文件要求提交投标文件的截止时间前收到的投标文件，开标时都当众予以解密、公布。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36.4若递交投标文件的投标人不足3家，则重新组织招标。（当N个标段同时招标且不允许兼中时，若有效投标人不足N+2家，则重新组织招标）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36.5按下列程序进行开标：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36.5.2备用光盘的读取按投标须知前附表第36项的规定执行；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36.5.3投标人代表、招标人代表、监标人、记录人等有关人员在开标记录上签字确认；若有关人员不签字的，不影响开标程序；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36.5.4开标结束。</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36.7开标时，两个（含两个）以上的投标人加密打包投标文件电脑机器特征码一致的，不参与下一程序，并由评标委员会否决其投标。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37．评标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37.1评标委员会由招标人依法组建。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37.2评标委员会的职责及守则：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37.2.1根据评标细则，对投标文件进行认真评审，完成评审报告；</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37.2.2向招标人报告评审意见，推荐合格的中标候选人。</w:t>
      </w:r>
    </w:p>
    <w:p>
      <w:pPr>
        <w:spacing w:line="360" w:lineRule="auto"/>
        <w:ind w:firstLine="480" w:firstLineChars="200"/>
        <w:rPr>
          <w:rFonts w:hint="eastAsia" w:ascii="宋体" w:hAnsi="宋体" w:cs="宋体"/>
          <w:sz w:val="24"/>
          <w:szCs w:val="24"/>
        </w:rPr>
      </w:pPr>
      <w:r>
        <w:rPr>
          <w:rFonts w:hint="eastAsia" w:ascii="宋体" w:hAnsi="宋体" w:cs="宋体"/>
          <w:bCs/>
          <w:sz w:val="24"/>
          <w:szCs w:val="24"/>
        </w:rPr>
        <w:t>37.2.3</w:t>
      </w:r>
      <w:r>
        <w:rPr>
          <w:rFonts w:hint="eastAsia" w:ascii="宋体" w:hAnsi="宋体" w:cs="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37.2.4全体参与评标人员：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37.2.4.1 必须遵守评标纪律、不得泄密；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37.2.4.2 必须公正、不得循私；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37.2.4.3 必须科学、不得草率；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37.2.4.4 必须客观、不得带有成见；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37.2.4.5 必须平等、不得强加于人；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37.2.4.6 必须严谨、不得随意马虎。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37.3 评标结束后，评标委员会递交评标报告并依法推荐中标候选人。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38．投标文件的澄清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38.3 评标委员会或评标委员会专业评审组成员均应当阅读投标人的澄清，但应独立参考澄清对投标文件进行评审。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39．定标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39.1 招标人根据评标委员会递交的评标报告，最终审定中标人。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39.2 依法必须进行公开招标的项目，招标人应当确定排名第一的中标候选人为中标人。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9"/>
        <w:spacing w:before="156" w:after="156"/>
        <w:ind w:firstLine="480" w:firstLineChars="200"/>
        <w:rPr>
          <w:rFonts w:hint="eastAsia" w:cs="宋体"/>
          <w:sz w:val="24"/>
          <w:szCs w:val="24"/>
        </w:rPr>
      </w:pPr>
      <w:bookmarkStart w:id="19" w:name="_Toc18768"/>
      <w:r>
        <w:rPr>
          <w:rFonts w:hint="eastAsia" w:cs="宋体"/>
          <w:sz w:val="24"/>
          <w:szCs w:val="24"/>
        </w:rPr>
        <w:t>（二）开标评标办法程序和细则</w:t>
      </w:r>
      <w:bookmarkEnd w:id="19"/>
    </w:p>
    <w:p>
      <w:pPr>
        <w:spacing w:line="360" w:lineRule="auto"/>
        <w:ind w:firstLine="480" w:firstLineChars="200"/>
        <w:rPr>
          <w:rFonts w:hint="eastAsia" w:ascii="宋体" w:hAnsi="宋体" w:cs="宋体"/>
          <w:sz w:val="24"/>
          <w:szCs w:val="24"/>
        </w:rPr>
      </w:pPr>
      <w:r>
        <w:rPr>
          <w:rFonts w:hint="eastAsia" w:ascii="宋体" w:hAnsi="宋体" w:cs="宋体"/>
          <w:sz w:val="24"/>
          <w:szCs w:val="24"/>
        </w:rPr>
        <w:t>注：评标办法所述企业综合诚信评价分数即投标截止当日广州市住房和城乡建设局网站上公布的企业综合诚信评价60日诚信分。</w:t>
      </w:r>
    </w:p>
    <w:p>
      <w:pPr>
        <w:pStyle w:val="9"/>
        <w:spacing w:before="156" w:after="156"/>
        <w:ind w:firstLine="540" w:firstLineChars="200"/>
      </w:pPr>
      <w:bookmarkStart w:id="20" w:name="_Toc21525509"/>
      <w:bookmarkStart w:id="21" w:name="_Toc2272564"/>
      <w:bookmarkStart w:id="22" w:name="_Toc25301"/>
      <w:r>
        <w:rPr>
          <w:rFonts w:hint="eastAsia"/>
        </w:rPr>
        <w:t>可选办法七（适合综合评分法四，技术标与经济标同时开启）</w:t>
      </w:r>
      <w:bookmarkEnd w:id="20"/>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r>
        <w:rPr>
          <w:rFonts w:ascii="宋体"/>
          <w:sz w:val="24"/>
          <w:szCs w:val="24"/>
        </w:rPr>
        <w:t xml:space="preserve"> </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rPr>
      </w:pPr>
      <w:r>
        <w:rPr>
          <w:rFonts w:hint="eastAsia" w:ascii="宋体"/>
          <w:sz w:val="24"/>
          <w:szCs w:val="24"/>
        </w:rPr>
        <w:t>41.2.1投标截止期前，各投标人递交投标文件（包括技术标投标文件、经济标投标文件）至</w:t>
      </w:r>
      <w:r>
        <w:rPr>
          <w:rFonts w:hint="eastAsia" w:ascii="宋体"/>
          <w:sz w:val="24"/>
          <w:szCs w:val="24"/>
          <w:u w:val="single"/>
        </w:rPr>
        <w:t xml:space="preserve">        </w:t>
      </w:r>
      <w:r>
        <w:rPr>
          <w:rFonts w:hint="eastAsia" w:ascii="宋体"/>
          <w:sz w:val="24"/>
          <w:szCs w:val="24"/>
        </w:rPr>
        <w:t xml:space="preserve">交易平台。有关投标文件提交的事项详见第一章投标须知。 </w:t>
      </w:r>
    </w:p>
    <w:p>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sz w:val="24"/>
          <w:szCs w:val="24"/>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6"/>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6"/>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6"/>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r>
        <w:rPr>
          <w:rFonts w:hint="eastAsia" w:ascii="宋体"/>
          <w:sz w:val="24"/>
          <w:szCs w:val="24"/>
          <w:u w:val="single"/>
        </w:rPr>
        <w:t xml:space="preserve">   </w:t>
      </w:r>
      <w:r>
        <w:rPr>
          <w:rFonts w:hint="eastAsia" w:ascii="宋体"/>
          <w:sz w:val="24"/>
          <w:szCs w:val="24"/>
        </w:rPr>
        <w:t>。</w:t>
      </w:r>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pStyle w:val="6"/>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pPr>
        <w:pStyle w:val="6"/>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6"/>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6"/>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6"/>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pPr>
        <w:pStyle w:val="6"/>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6"/>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pPr>
        <w:pStyle w:val="6"/>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pPr>
        <w:pStyle w:val="6"/>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pPr>
        <w:pStyle w:val="6"/>
        <w:tabs>
          <w:tab w:val="left" w:pos="7380"/>
        </w:tabs>
        <w:snapToGrid w:val="0"/>
        <w:spacing w:after="0" w:line="360" w:lineRule="auto"/>
        <w:ind w:firstLine="480" w:firstLineChars="200"/>
        <w:rPr>
          <w:rFonts w:ascii="宋体"/>
          <w:sz w:val="24"/>
          <w:szCs w:val="24"/>
        </w:rPr>
      </w:pPr>
      <w:r>
        <w:rPr>
          <w:rFonts w:hint="eastAsia" w:ascii="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6"/>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6"/>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pPr>
        <w:pStyle w:val="6"/>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45.1若通过技术标有效性审查的投标人中所有投标报价均大于等于最高投标限价*D%（D的取值范围为[94,100],由招标人自主确定）的（具体金额为：</w:t>
      </w:r>
      <w:r>
        <w:rPr>
          <w:rFonts w:hint="eastAsia" w:ascii="宋体" w:hAnsi="宋体"/>
          <w:sz w:val="24"/>
          <w:szCs w:val="24"/>
          <w:u w:val="single"/>
        </w:rPr>
        <w:t xml:space="preserve">      </w:t>
      </w:r>
      <w:r>
        <w:rPr>
          <w:rFonts w:hint="eastAsia" w:ascii="宋体" w:hAnsi="宋体"/>
          <w:sz w:val="24"/>
          <w:szCs w:val="24"/>
        </w:rPr>
        <w:t>元），则本项目招标失败，由招标人依法重新招标。</w:t>
      </w:r>
    </w:p>
    <w:p>
      <w:pPr>
        <w:pStyle w:val="6"/>
        <w:tabs>
          <w:tab w:val="left" w:pos="7380"/>
        </w:tabs>
        <w:snapToGrid w:val="0"/>
        <w:spacing w:after="0" w:line="360" w:lineRule="auto"/>
        <w:ind w:firstLine="480" w:firstLineChars="200"/>
        <w:rPr>
          <w:rFonts w:ascii="宋体"/>
          <w:sz w:val="24"/>
          <w:szCs w:val="24"/>
        </w:rPr>
      </w:pPr>
      <w:r>
        <w:rPr>
          <w:rFonts w:hint="eastAsia" w:ascii="宋体" w:hAnsi="宋体"/>
          <w:sz w:val="24"/>
          <w:szCs w:val="24"/>
        </w:rPr>
        <w:t xml:space="preserve"> 45.2按方法</w:t>
      </w:r>
      <w:r>
        <w:rPr>
          <w:rFonts w:hint="eastAsia" w:ascii="宋体" w:hAnsi="宋体"/>
          <w:sz w:val="24"/>
          <w:szCs w:val="24"/>
          <w:u w:val="single"/>
        </w:rPr>
        <w:t xml:space="preserve">    </w:t>
      </w:r>
      <w:r>
        <w:rPr>
          <w:rFonts w:hint="eastAsia" w:ascii="宋体" w:hAnsi="宋体"/>
          <w:sz w:val="24"/>
          <w:szCs w:val="24"/>
        </w:rPr>
        <w:t>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79730" cy="451485"/>
            <wp:effectExtent l="19050" t="0" r="1270"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a:xfrm>
                      <a:off x="0" y="0"/>
                      <a:ext cx="379730" cy="451485"/>
                    </a:xfrm>
                    <a:prstGeom prst="rect">
                      <a:avLst/>
                    </a:prstGeom>
                    <a:noFill/>
                    <a:ln w="9525" cmpd="sng">
                      <a:noFill/>
                      <a:miter lim="800000"/>
                      <a:headEnd/>
                      <a:tailEnd/>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79730" cy="451485"/>
            <wp:effectExtent l="19050" t="0" r="1270" b="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a:xfrm>
                      <a:off x="0" y="0"/>
                      <a:ext cx="379730" cy="451485"/>
                    </a:xfrm>
                    <a:prstGeom prst="rect">
                      <a:avLst/>
                    </a:prstGeom>
                    <a:noFill/>
                    <a:ln w="9525" cmpd="sng">
                      <a:noFill/>
                      <a:miter lim="800000"/>
                      <a:headEnd/>
                      <a:tailEnd/>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0675" cy="403860"/>
            <wp:effectExtent l="19050" t="0" r="3175"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a:xfrm>
                      <a:off x="0" y="0"/>
                      <a:ext cx="320675" cy="403860"/>
                    </a:xfrm>
                    <a:prstGeom prst="rect">
                      <a:avLst/>
                    </a:prstGeom>
                    <a:noFill/>
                    <a:ln w="9525" cmpd="sng">
                      <a:noFill/>
                      <a:miter lim="800000"/>
                      <a:headEnd/>
                      <a:tailEnd/>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0675" cy="403860"/>
            <wp:effectExtent l="19050" t="0" r="3175"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a:xfrm>
                      <a:off x="0" y="0"/>
                      <a:ext cx="320675" cy="403860"/>
                    </a:xfrm>
                    <a:prstGeom prst="rect">
                      <a:avLst/>
                    </a:prstGeom>
                    <a:noFill/>
                    <a:ln w="9525" cmpd="sng">
                      <a:noFill/>
                      <a:miter lim="800000"/>
                      <a:headEnd/>
                      <a:tailEnd/>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0675" cy="403860"/>
            <wp:effectExtent l="19050" t="0" r="3175"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a:xfrm>
                      <a:off x="0" y="0"/>
                      <a:ext cx="320675" cy="403860"/>
                    </a:xfrm>
                    <a:prstGeom prst="rect">
                      <a:avLst/>
                    </a:prstGeom>
                    <a:noFill/>
                    <a:ln w="9525" cmpd="sng">
                      <a:noFill/>
                      <a:miter lim="800000"/>
                      <a:headEnd/>
                      <a:tailEnd/>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0675" cy="403860"/>
            <wp:effectExtent l="19050" t="0" r="3175"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a:xfrm>
                      <a:off x="0" y="0"/>
                      <a:ext cx="320675" cy="403860"/>
                    </a:xfrm>
                    <a:prstGeom prst="rect">
                      <a:avLst/>
                    </a:prstGeom>
                    <a:noFill/>
                    <a:ln w="9525" cmpd="sng">
                      <a:noFill/>
                      <a:miter lim="800000"/>
                      <a:headEnd/>
                      <a:tailEnd/>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Style w:val="6"/>
        <w:tabs>
          <w:tab w:val="left" w:pos="7380"/>
        </w:tabs>
        <w:snapToGrid w:val="0"/>
        <w:spacing w:after="0" w:line="360" w:lineRule="auto"/>
        <w:ind w:firstLine="480" w:firstLineChars="200"/>
        <w:rPr>
          <w:rFonts w:ascii="宋体"/>
          <w:sz w:val="24"/>
          <w:szCs w:val="24"/>
        </w:rPr>
      </w:pPr>
      <w:r>
        <w:rPr>
          <w:rFonts w:hint="eastAsia"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p>
    <w:p>
      <w:pPr>
        <w:pStyle w:val="6"/>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46.经济标的有效性审查</w:t>
      </w:r>
    </w:p>
    <w:p>
      <w:pPr>
        <w:spacing w:line="360" w:lineRule="auto"/>
        <w:ind w:firstLine="480" w:firstLineChars="200"/>
        <w:rPr>
          <w:rFonts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sz w:val="24"/>
        </w:rPr>
        <w:t>投标文件</w:t>
      </w:r>
      <w:r>
        <w:rPr>
          <w:rFonts w:hint="eastAsia" w:ascii="宋体" w:hAnsi="宋体"/>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bookmarkEnd w:id="21"/>
      <w:bookmarkEnd w:id="22"/>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widowControl/>
        <w:snapToGrid w:val="0"/>
        <w:spacing w:line="360" w:lineRule="auto"/>
        <w:ind w:right="102"/>
        <w:jc w:val="left"/>
        <w:rPr>
          <w:rFonts w:hint="eastAsia" w:ascii="宋体" w:hAnsi="宋体" w:cs="宋体"/>
          <w:szCs w:val="21"/>
        </w:rPr>
        <w:sectPr>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cols w:space="720" w:num="1"/>
          <w:titlePg/>
          <w:docGrid w:type="lines" w:linePitch="312" w:charSpace="0"/>
        </w:sectPr>
      </w:pPr>
    </w:p>
    <w:p>
      <w:pPr>
        <w:widowControl/>
        <w:snapToGrid w:val="0"/>
        <w:spacing w:line="360" w:lineRule="auto"/>
        <w:ind w:right="102"/>
        <w:jc w:val="left"/>
        <w:rPr>
          <w:rFonts w:hint="eastAsia" w:ascii="宋体" w:hAnsi="宋体" w:cs="宋体"/>
          <w:szCs w:val="21"/>
        </w:rPr>
      </w:pPr>
      <w:r>
        <w:rPr>
          <w:rFonts w:hint="eastAsia" w:ascii="宋体" w:hAnsi="宋体" w:cs="宋体"/>
          <w:szCs w:val="21"/>
        </w:rPr>
        <w:t>附表一：</w:t>
      </w:r>
    </w:p>
    <w:p>
      <w:pPr>
        <w:jc w:val="center"/>
        <w:rPr>
          <w:rFonts w:hint="eastAsia" w:ascii="宋体" w:hAnsi="宋体" w:cs="宋体"/>
          <w:b/>
          <w:sz w:val="32"/>
          <w:szCs w:val="32"/>
        </w:rPr>
      </w:pPr>
      <w:r>
        <w:rPr>
          <w:rFonts w:hint="eastAsia" w:ascii="宋体" w:hAnsi="宋体" w:cs="宋体"/>
          <w:b/>
          <w:sz w:val="32"/>
          <w:szCs w:val="32"/>
        </w:rPr>
        <w:t>资格审查表</w:t>
      </w:r>
    </w:p>
    <w:p>
      <w:pPr>
        <w:spacing w:line="480" w:lineRule="auto"/>
        <w:rPr>
          <w:rFonts w:hint="eastAsia" w:ascii="宋体" w:hAnsi="宋体" w:cs="宋体"/>
          <w:sz w:val="24"/>
          <w:szCs w:val="24"/>
        </w:rPr>
      </w:pPr>
      <w:r>
        <w:rPr>
          <w:rFonts w:hint="eastAsia" w:ascii="宋体" w:hAnsi="宋体" w:cs="宋体"/>
          <w:sz w:val="24"/>
          <w:szCs w:val="24"/>
        </w:rPr>
        <w:t>工程名称：</w:t>
      </w:r>
    </w:p>
    <w:p>
      <w:pPr>
        <w:spacing w:line="480" w:lineRule="auto"/>
        <w:rPr>
          <w:rFonts w:hint="eastAsia" w:ascii="宋体" w:hAnsi="宋体" w:cs="宋体"/>
          <w:sz w:val="24"/>
          <w:szCs w:val="24"/>
        </w:rPr>
      </w:pPr>
      <w:r>
        <w:rPr>
          <w:rFonts w:hint="eastAsia" w:ascii="宋体" w:hAnsi="宋体" w:cs="宋体"/>
          <w:sz w:val="24"/>
          <w:szCs w:val="24"/>
        </w:rPr>
        <w:t>投标人名称：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b/>
                <w:szCs w:val="21"/>
              </w:rPr>
            </w:pPr>
            <w:r>
              <w:rPr>
                <w:rFonts w:hint="eastAsia" w:ascii="宋体" w:hAnsi="宋体" w:cs="宋体"/>
                <w:b/>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b/>
                <w:szCs w:val="21"/>
              </w:rPr>
            </w:pPr>
            <w:r>
              <w:rPr>
                <w:rFonts w:hint="eastAsia" w:ascii="宋体" w:hAnsi="宋体" w:cs="宋体"/>
                <w:b/>
                <w:szCs w:val="21"/>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b/>
                <w:szCs w:val="21"/>
              </w:rPr>
            </w:pPr>
            <w:r>
              <w:rPr>
                <w:rFonts w:hint="eastAsia" w:ascii="宋体" w:hAnsi="宋体" w:cs="宋体"/>
                <w:b/>
                <w:szCs w:val="21"/>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b/>
                <w:szCs w:val="21"/>
              </w:rPr>
            </w:pPr>
            <w:r>
              <w:rPr>
                <w:rFonts w:hint="eastAsia" w:ascii="宋体" w:hAnsi="宋体" w:cs="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资质证书及安全生产许可证在广州市住建行业信用管理平台内上传件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使用有效期内的注册建造师注册证书在广州市住建行业信用平台内上传件。</w:t>
            </w:r>
          </w:p>
          <w:p>
            <w:pPr>
              <w:spacing w:before="120" w:after="60"/>
              <w:jc w:val="center"/>
              <w:rPr>
                <w:rFonts w:hint="eastAsia" w:ascii="宋体" w:hAnsi="宋体" w:cs="宋体"/>
                <w:szCs w:val="21"/>
              </w:rPr>
            </w:pPr>
            <w:r>
              <w:rPr>
                <w:rFonts w:hint="eastAsia" w:ascii="宋体" w:hAnsi="宋体" w:cs="宋体"/>
                <w:szCs w:val="21"/>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持有项目负责人安全培训考核合格证（B类）或建筑施工企业项目负责人安全生产考核合格证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项目负责人安全培训考核合格证（B证）或建筑施工企业项目负责人安全生产考核合格证在广州市住建行业信用管理平台内上传件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拟委托技术负责人的职称证书扫描件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专职安全员须具有安全生产考核合格证（C证）或建筑施工企业专职安全生产管理人员安全生产考核合格证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专职安全员的安全生产考核合格证（C证）或建筑施工企业专职安全生产管理人员安全生产考核合格证</w:t>
            </w:r>
            <w:r>
              <w:rPr>
                <w:rFonts w:hint="eastAsia" w:ascii="宋体" w:hAnsi="宋体" w:cs="宋体"/>
                <w:szCs w:val="21"/>
                <w:lang w:eastAsia="zh-CN"/>
              </w:rPr>
              <w:t>（</w:t>
            </w:r>
            <w:r>
              <w:rPr>
                <w:rFonts w:hint="eastAsia" w:ascii="宋体" w:hAnsi="宋体" w:cs="宋体"/>
                <w:szCs w:val="21"/>
                <w:lang w:val="en-US" w:eastAsia="zh-CN"/>
              </w:rPr>
              <w:t>C3类</w:t>
            </w:r>
            <w:r>
              <w:rPr>
                <w:rFonts w:hint="eastAsia" w:ascii="宋体" w:hAnsi="宋体" w:cs="宋体"/>
                <w:szCs w:val="21"/>
                <w:lang w:eastAsia="zh-CN"/>
              </w:rPr>
              <w:t>）</w:t>
            </w:r>
            <w:r>
              <w:rPr>
                <w:rFonts w:hint="eastAsia" w:ascii="宋体" w:hAnsi="宋体" w:cs="宋体"/>
                <w:szCs w:val="21"/>
              </w:rPr>
              <w:t>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u w:val="single"/>
              </w:rPr>
            </w:pPr>
            <w:r>
              <w:rPr>
                <w:rFonts w:hint="eastAsia" w:ascii="宋体" w:hAnsi="宋体" w:cs="宋体"/>
                <w:szCs w:val="21"/>
              </w:rPr>
              <w:t>关于联合体投标：本项目不接受联合体投标。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u w:val="single"/>
              </w:rPr>
            </w:pPr>
            <w:r>
              <w:rPr>
                <w:rFonts w:hint="eastAsia" w:ascii="宋体" w:hAnsi="宋体" w:cs="宋体"/>
                <w:szCs w:val="21"/>
              </w:rPr>
              <w:t>未以联合体进行投标。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资格审查前，投标人须在广州市住房和城乡建设局建立企业信用档案及拟担任本工程项目负责人、专职安全员须是本企业中的在册人员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12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投标人未出现以下情形：与其它投标人的单位负责人为同一人或者存在控股、管理关系的（按投标人提供的《投标人声明》第七条内容进行评审）。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投标人未出现以下情形：与其它投标人的单位负责人为同一人或者存在控股、管理关系的（按投标人提供的《投标人声明》第八条内容进行评审）。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13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cs="宋体"/>
                <w:szCs w:val="21"/>
              </w:rPr>
              <w:t>未被纳入国家、市、区的失信联合惩戒名单的</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r>
              <w:rPr>
                <w:rFonts w:hint="eastAsia" w:ascii="宋体" w:hAnsi="宋体"/>
                <w:szCs w:val="21"/>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szCs w:val="21"/>
              </w:rPr>
            </w:pPr>
          </w:p>
        </w:tc>
      </w:tr>
    </w:tbl>
    <w:p>
      <w:pPr>
        <w:spacing w:line="480" w:lineRule="auto"/>
        <w:ind w:firstLine="470" w:firstLineChars="224"/>
        <w:rPr>
          <w:rFonts w:hint="eastAsia" w:ascii="宋体" w:hAnsi="宋体" w:cs="宋体"/>
          <w:szCs w:val="21"/>
        </w:rPr>
      </w:pPr>
      <w:r>
        <w:rPr>
          <w:rFonts w:hint="eastAsia" w:ascii="宋体" w:hAnsi="宋体" w:cs="宋体"/>
          <w:szCs w:val="21"/>
        </w:rPr>
        <w:t>备注：</w:t>
      </w:r>
    </w:p>
    <w:p>
      <w:pPr>
        <w:spacing w:line="480" w:lineRule="auto"/>
        <w:ind w:firstLine="470" w:firstLineChars="224"/>
        <w:rPr>
          <w:rFonts w:hint="eastAsia" w:ascii="宋体" w:hAnsi="宋体" w:cs="宋体"/>
          <w:szCs w:val="21"/>
        </w:rPr>
      </w:pPr>
      <w:r>
        <w:rPr>
          <w:rFonts w:hint="eastAsia" w:ascii="宋体" w:hAnsi="宋体" w:cs="宋体"/>
          <w:szCs w:val="21"/>
        </w:rPr>
        <w:t xml:space="preserve">1、每一项目符合的打“○”，不符合的打“×”； </w:t>
      </w:r>
    </w:p>
    <w:p>
      <w:pPr>
        <w:spacing w:line="480" w:lineRule="auto"/>
        <w:ind w:firstLine="470" w:firstLineChars="224"/>
        <w:rPr>
          <w:rFonts w:hint="eastAsia" w:ascii="宋体" w:hAnsi="宋体" w:cs="宋体"/>
          <w:szCs w:val="21"/>
        </w:rPr>
      </w:pPr>
      <w:r>
        <w:rPr>
          <w:rFonts w:hint="eastAsia" w:ascii="宋体" w:hAnsi="宋体" w:cs="宋体"/>
          <w:szCs w:val="21"/>
        </w:rPr>
        <w:t>2、若评委意见不一致时，则按少数服从多数的原则，作出评审结论。汇总后，出现一个“×”的结论为“不通过”。</w:t>
      </w:r>
    </w:p>
    <w:p>
      <w:pPr>
        <w:rPr>
          <w:rFonts w:hint="eastAsia" w:ascii="宋体" w:hAnsi="宋体" w:cs="宋体"/>
        </w:rPr>
        <w:sectPr>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cols w:space="720" w:num="1"/>
          <w:titlePg/>
          <w:docGrid w:type="lines" w:linePitch="312" w:charSpace="0"/>
        </w:sectPr>
      </w:pPr>
    </w:p>
    <w:p>
      <w:pPr>
        <w:rPr>
          <w:rFonts w:hint="eastAsia" w:ascii="宋体" w:hAnsi="宋体" w:cs="宋体"/>
          <w:szCs w:val="21"/>
        </w:rPr>
      </w:pPr>
      <w:r>
        <w:rPr>
          <w:rFonts w:hint="eastAsia" w:ascii="宋体" w:hAnsi="宋体" w:cs="宋体"/>
          <w:szCs w:val="21"/>
        </w:rPr>
        <w:t>附表二</w:t>
      </w:r>
    </w:p>
    <w:p>
      <w:pPr>
        <w:jc w:val="center"/>
        <w:rPr>
          <w:rFonts w:hint="eastAsia" w:ascii="宋体" w:hAnsi="宋体" w:cs="宋体"/>
          <w:b/>
          <w:sz w:val="36"/>
          <w:szCs w:val="36"/>
        </w:rPr>
      </w:pPr>
      <w:r>
        <w:rPr>
          <w:rFonts w:hint="eastAsia" w:ascii="宋体" w:hAnsi="宋体" w:cs="宋体"/>
          <w:b/>
          <w:sz w:val="36"/>
          <w:szCs w:val="36"/>
        </w:rPr>
        <w:t>技术标有效性审查表</w:t>
      </w:r>
    </w:p>
    <w:p>
      <w:pPr>
        <w:rPr>
          <w:rFonts w:hint="eastAsia" w:ascii="宋体" w:hAnsi="宋体" w:cs="宋体"/>
          <w:szCs w:val="21"/>
        </w:rPr>
      </w:pPr>
      <w:r>
        <w:rPr>
          <w:rFonts w:hint="eastAsia" w:ascii="宋体" w:hAnsi="宋体" w:cs="宋体"/>
          <w:szCs w:val="21"/>
        </w:rPr>
        <w:t>工程名称：</w:t>
      </w:r>
    </w:p>
    <w:tbl>
      <w:tblPr>
        <w:tblStyle w:val="39"/>
        <w:tblW w:w="1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370"/>
        <w:gridCol w:w="1630"/>
        <w:gridCol w:w="1630"/>
        <w:gridCol w:w="1630"/>
        <w:gridCol w:w="1630"/>
        <w:gridCol w:w="163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zCs w:val="21"/>
              </w:rPr>
            </w:pPr>
            <w:r>
              <w:rPr>
                <w:rFonts w:hint="eastAsia" w:ascii="宋体" w:hAnsi="宋体" w:cs="宋体"/>
                <w:szCs w:val="21"/>
              </w:rPr>
              <w:t>序号</w:t>
            </w:r>
          </w:p>
        </w:tc>
        <w:tc>
          <w:tcPr>
            <w:tcW w:w="4370"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hint="eastAsia" w:ascii="宋体" w:hAnsi="宋体" w:cs="宋体"/>
                <w:szCs w:val="21"/>
              </w:rPr>
            </w:pPr>
            <w:r>
              <w:rPr>
                <w:rFonts w:hint="eastAsia" w:ascii="宋体" w:hAnsi="宋体" w:cs="宋体"/>
                <w:szCs w:val="21"/>
              </w:rPr>
              <w:t xml:space="preserve">               投标人</w:t>
            </w:r>
          </w:p>
          <w:p>
            <w:pPr>
              <w:adjustRightInd w:val="0"/>
              <w:rPr>
                <w:rFonts w:hint="eastAsia" w:ascii="宋体" w:hAnsi="宋体" w:cs="宋体"/>
                <w:szCs w:val="21"/>
              </w:rPr>
            </w:pPr>
          </w:p>
          <w:p>
            <w:pPr>
              <w:adjustRightInd w:val="0"/>
              <w:rPr>
                <w:rFonts w:hint="eastAsia" w:ascii="宋体" w:hAnsi="宋体" w:cs="宋体"/>
                <w:szCs w:val="21"/>
              </w:rPr>
            </w:pPr>
            <w:r>
              <w:rPr>
                <w:rFonts w:hint="eastAsia" w:ascii="宋体" w:hAnsi="宋体" w:cs="宋体"/>
                <w:szCs w:val="21"/>
              </w:rPr>
              <w:t>评审内容</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zCs w:val="21"/>
              </w:rPr>
            </w:pPr>
            <w:r>
              <w:rPr>
                <w:rFonts w:hint="eastAsia" w:ascii="宋体" w:hAnsi="宋体" w:cs="宋体"/>
                <w:szCs w:val="21"/>
              </w:rPr>
              <w:t>1</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zCs w:val="21"/>
              </w:rPr>
            </w:pPr>
            <w:r>
              <w:rPr>
                <w:rFonts w:hint="eastAsia" w:ascii="宋体" w:hAnsi="宋体" w:cs="宋体"/>
                <w:szCs w:val="21"/>
              </w:rPr>
              <w:t>不能满足完成投标项目工期的；</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trike/>
                <w:szCs w:val="21"/>
              </w:rPr>
            </w:pPr>
            <w:r>
              <w:rPr>
                <w:rFonts w:hint="eastAsia" w:ascii="宋体" w:hAnsi="宋体" w:cs="宋体"/>
                <w:szCs w:val="21"/>
              </w:rPr>
              <w:t>2</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trike/>
                <w:szCs w:val="21"/>
              </w:rPr>
            </w:pPr>
            <w:r>
              <w:rPr>
                <w:rFonts w:hint="eastAsia" w:ascii="宋体" w:hAnsi="宋体"/>
                <w:szCs w:val="21"/>
              </w:rPr>
              <w:t>不符合招标文件及有关技术规格、质量要求、检验标准和方法的；</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zCs w:val="21"/>
              </w:rPr>
            </w:pPr>
            <w:r>
              <w:rPr>
                <w:rFonts w:hint="eastAsia" w:ascii="宋体" w:hAnsi="宋体" w:cs="宋体"/>
                <w:szCs w:val="21"/>
              </w:rPr>
              <w:t>3</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zCs w:val="21"/>
              </w:rPr>
            </w:pPr>
            <w:r>
              <w:rPr>
                <w:rFonts w:hint="eastAsia" w:ascii="宋体" w:hAnsi="宋体" w:cs="宋体"/>
                <w:szCs w:val="21"/>
              </w:rPr>
              <w:t>投标文件中没有有效的法定代表人证明书，或由委托代理人签署的投标文件中没有法定代表人授权书；</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zCs w:val="21"/>
              </w:rPr>
            </w:pPr>
            <w:r>
              <w:rPr>
                <w:rFonts w:hint="eastAsia" w:ascii="宋体" w:hAnsi="宋体" w:cs="宋体"/>
                <w:szCs w:val="21"/>
              </w:rPr>
              <w:t>4</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zCs w:val="21"/>
              </w:rPr>
            </w:pPr>
            <w:r>
              <w:rPr>
                <w:rFonts w:hint="eastAsia" w:ascii="宋体" w:hAnsi="宋体" w:cs="宋体"/>
                <w:szCs w:val="21"/>
              </w:rPr>
              <w:t>投标文件未按规定的格式</w:t>
            </w:r>
            <w:r>
              <w:rPr>
                <w:rFonts w:hint="eastAsia" w:ascii="宋体" w:hAnsi="宋体" w:cs="宋体"/>
                <w:szCs w:val="21"/>
                <w:u w:val="single"/>
              </w:rPr>
              <w:t>（指“第四章投标文件格式”的附件一、附件二、附件三、附件四及附件七）</w:t>
            </w:r>
            <w:r>
              <w:rPr>
                <w:rFonts w:hint="eastAsia" w:ascii="宋体" w:hAnsi="宋体" w:cs="宋体"/>
                <w:szCs w:val="21"/>
              </w:rPr>
              <w:t>填写，或主要内容不全，或关键字迹模糊、无法辨认的；</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zCs w:val="21"/>
              </w:rPr>
            </w:pPr>
            <w:r>
              <w:rPr>
                <w:rFonts w:hint="eastAsia" w:ascii="宋体" w:hAnsi="宋体" w:cs="宋体"/>
                <w:szCs w:val="21"/>
              </w:rPr>
              <w:t>5</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zCs w:val="21"/>
              </w:rPr>
            </w:pPr>
            <w:r>
              <w:rPr>
                <w:rFonts w:hint="eastAsia" w:ascii="宋体" w:hAnsi="宋体" w:cs="宋体"/>
                <w:szCs w:val="21"/>
              </w:rPr>
              <w:t>投标人之间存在《广东省实施&lt;中华人民共和国招标投标法&gt;》第十六条所禁止的情形的；</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zCs w:val="21"/>
              </w:rPr>
            </w:pPr>
            <w:r>
              <w:rPr>
                <w:rFonts w:hint="eastAsia" w:ascii="宋体" w:hAnsi="宋体" w:cs="宋体"/>
                <w:szCs w:val="21"/>
              </w:rPr>
              <w:t>6</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zCs w:val="21"/>
              </w:rPr>
            </w:pPr>
            <w:r>
              <w:rPr>
                <w:rFonts w:hint="eastAsia" w:ascii="宋体" w:hAnsi="宋体" w:cs="宋体"/>
                <w:szCs w:val="21"/>
              </w:rPr>
              <w:t>无《参与编制技术标投标文件人员名单》的</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zCs w:val="21"/>
              </w:rPr>
            </w:pPr>
            <w:r>
              <w:rPr>
                <w:rFonts w:hint="eastAsia" w:ascii="宋体" w:hAnsi="宋体" w:cs="宋体"/>
                <w:szCs w:val="21"/>
              </w:rPr>
              <w:t>7</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zCs w:val="21"/>
              </w:rPr>
            </w:pPr>
            <w:r>
              <w:rPr>
                <w:rFonts w:hint="eastAsia" w:ascii="宋体" w:hAnsi="宋体" w:cs="宋体"/>
                <w:szCs w:val="21"/>
              </w:rPr>
              <w:t>投标人未按要求提交投标保证金的</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zCs w:val="21"/>
              </w:rPr>
            </w:pPr>
            <w:r>
              <w:rPr>
                <w:rFonts w:hint="eastAsia" w:ascii="宋体" w:hAnsi="宋体" w:cs="宋体"/>
                <w:szCs w:val="21"/>
              </w:rPr>
              <w:t>8</w:t>
            </w:r>
          </w:p>
        </w:tc>
        <w:tc>
          <w:tcPr>
            <w:tcW w:w="4370"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szCs w:val="21"/>
              </w:rPr>
            </w:pPr>
            <w:r>
              <w:rPr>
                <w:rFonts w:hint="eastAsia" w:ascii="宋体" w:hAnsi="宋体" w:cs="宋体"/>
                <w:szCs w:val="21"/>
              </w:rPr>
              <w:t>投标人与本项目其他投标人加密打包投标文件电脑机器特征码一致的(以交易平台评标系统的检索信息为准)</w:t>
            </w: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szCs w:val="21"/>
              </w:rPr>
            </w:pPr>
          </w:p>
        </w:tc>
      </w:tr>
    </w:tbl>
    <w:p>
      <w:pPr>
        <w:rPr>
          <w:rFonts w:hint="eastAsia" w:ascii="宋体" w:hAnsi="宋体" w:cs="宋体"/>
          <w:szCs w:val="21"/>
        </w:rPr>
      </w:pPr>
      <w:r>
        <w:rPr>
          <w:rFonts w:hint="eastAsia" w:ascii="宋体" w:hAnsi="宋体" w:cs="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宋体" w:hAnsi="宋体" w:cs="宋体"/>
          <w:szCs w:val="21"/>
        </w:rPr>
      </w:pPr>
      <w:r>
        <w:rPr>
          <w:rFonts w:hint="eastAsia" w:ascii="宋体" w:hAnsi="宋体" w:cs="宋体"/>
          <w:szCs w:val="21"/>
        </w:rPr>
        <w:t xml:space="preserve">    2.若出现评标委员会否决投标的，应在评标报告中载明否决投标的具体情形、原因。</w:t>
      </w:r>
    </w:p>
    <w:p>
      <w:pPr>
        <w:rPr>
          <w:rFonts w:hint="eastAsia" w:ascii="宋体" w:hAnsi="宋体" w:cs="宋体"/>
          <w:szCs w:val="21"/>
        </w:rPr>
      </w:pPr>
      <w:r>
        <w:rPr>
          <w:rFonts w:hint="eastAsia" w:ascii="宋体" w:hAnsi="宋体" w:cs="宋体"/>
          <w:szCs w:val="21"/>
        </w:rPr>
        <w:t xml:space="preserve">    3.凡出现以上任何一项情形，结论均为无效，否则就为有效。</w:t>
      </w:r>
    </w:p>
    <w:p>
      <w:pPr>
        <w:ind w:firstLine="420" w:firstLineChars="200"/>
        <w:rPr>
          <w:rFonts w:hint="eastAsia" w:ascii="宋体" w:hAnsi="宋体" w:cs="宋体"/>
          <w:szCs w:val="21"/>
        </w:rPr>
      </w:pPr>
      <w:r>
        <w:rPr>
          <w:rFonts w:hint="eastAsia" w:ascii="宋体" w:hAnsi="宋体" w:cs="宋体"/>
          <w:szCs w:val="21"/>
        </w:rPr>
        <w:t>4.如对本表中某种情形的评审意见不一致时，以评标委员会过半数成员的意见作为评标委员会对该情形的认定结论。</w:t>
      </w:r>
    </w:p>
    <w:p>
      <w:pPr>
        <w:rPr>
          <w:rFonts w:hint="eastAsia" w:ascii="宋体" w:hAnsi="宋体" w:cs="宋体"/>
          <w:szCs w:val="21"/>
        </w:rPr>
      </w:pPr>
      <w:r>
        <w:rPr>
          <w:rFonts w:hint="eastAsia" w:ascii="宋体" w:hAnsi="宋体" w:cs="宋体"/>
          <w:szCs w:val="21"/>
        </w:rPr>
        <w:t>评委签名：</w:t>
      </w:r>
    </w:p>
    <w:p>
      <w:pPr>
        <w:rPr>
          <w:rFonts w:hint="eastAsia" w:ascii="宋体" w:hAnsi="宋体" w:cs="宋体"/>
          <w:szCs w:val="21"/>
        </w:rPr>
      </w:pPr>
      <w:r>
        <w:rPr>
          <w:rFonts w:hint="eastAsia" w:ascii="宋体" w:hAnsi="宋体" w:cs="宋体"/>
        </w:rPr>
        <w:br w:type="page"/>
      </w:r>
      <w:r>
        <w:rPr>
          <w:rFonts w:hint="eastAsia" w:ascii="宋体" w:hAnsi="宋体" w:cs="宋体"/>
          <w:szCs w:val="21"/>
        </w:rPr>
        <w:t>附表三</w:t>
      </w:r>
    </w:p>
    <w:p>
      <w:pPr>
        <w:jc w:val="center"/>
        <w:rPr>
          <w:rFonts w:hint="eastAsia" w:ascii="宋体" w:hAnsi="宋体" w:cs="宋体"/>
          <w:b/>
          <w:sz w:val="36"/>
          <w:szCs w:val="36"/>
        </w:rPr>
      </w:pPr>
      <w:r>
        <w:rPr>
          <w:rFonts w:hint="eastAsia" w:ascii="宋体" w:hAnsi="宋体" w:cs="宋体"/>
          <w:b/>
          <w:sz w:val="36"/>
          <w:szCs w:val="36"/>
        </w:rPr>
        <w:t>经济标有效性审查表</w:t>
      </w:r>
    </w:p>
    <w:p>
      <w:pPr>
        <w:rPr>
          <w:rFonts w:hint="eastAsia" w:ascii="宋体" w:hAnsi="宋体" w:cs="宋体"/>
          <w:szCs w:val="21"/>
        </w:rPr>
      </w:pPr>
      <w:r>
        <w:rPr>
          <w:rFonts w:hint="eastAsia" w:ascii="宋体" w:hAnsi="宋体" w:cs="宋体"/>
          <w:szCs w:val="21"/>
        </w:rPr>
        <w:t>工程名称：</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hint="eastAsia" w:ascii="宋体" w:hAnsi="宋体" w:cs="宋体"/>
                <w:szCs w:val="21"/>
              </w:rPr>
            </w:pPr>
            <w:r>
              <w:rPr>
                <w:rFonts w:hint="eastAsia" w:ascii="宋体" w:hAnsi="宋体" w:cs="宋体"/>
                <w:szCs w:val="21"/>
              </w:rPr>
              <w:t xml:space="preserve">               投标人</w:t>
            </w:r>
          </w:p>
          <w:p>
            <w:pPr>
              <w:rPr>
                <w:rFonts w:hint="eastAsia" w:ascii="宋体" w:hAnsi="宋体" w:cs="宋体"/>
                <w:szCs w:val="21"/>
              </w:rPr>
            </w:pPr>
          </w:p>
          <w:p>
            <w:pPr>
              <w:rPr>
                <w:rFonts w:hint="eastAsia" w:ascii="宋体" w:hAnsi="宋体" w:cs="宋体"/>
                <w:szCs w:val="21"/>
              </w:rPr>
            </w:pPr>
            <w:r>
              <w:rPr>
                <w:rFonts w:hint="eastAsia" w:ascii="宋体" w:hAnsi="宋体" w:cs="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投标报价高于最高投标限价</w:t>
            </w:r>
            <w:r>
              <w:rPr>
                <w:rFonts w:hint="eastAsia"/>
                <w:color w:val="auto"/>
                <w:szCs w:val="21"/>
                <w:highlight w:val="none"/>
                <w:u w:val="single"/>
              </w:rPr>
              <w:t>或投标报价中任一项投标综合单价高于工程量清单中相应的综合单价限价</w:t>
            </w:r>
            <w:r>
              <w:rPr>
                <w:rFonts w:hint="eastAsia" w:ascii="宋体" w:hAnsi="宋体" w:cs="宋体"/>
                <w:szCs w:val="21"/>
              </w:rPr>
              <w:t>的；</w:t>
            </w: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hint="eastAsia" w:ascii="宋体" w:hAnsi="宋体" w:cs="宋体"/>
                <w:szCs w:val="21"/>
              </w:rPr>
            </w:pPr>
            <w:r>
              <w:rPr>
                <w:rFonts w:hint="eastAsia" w:ascii="宋体" w:hAnsi="宋体" w:cs="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投标文件未按规定的格式</w:t>
            </w:r>
            <w:r>
              <w:rPr>
                <w:rFonts w:hint="eastAsia" w:ascii="宋体" w:hAnsi="宋体" w:cs="宋体"/>
                <w:szCs w:val="21"/>
                <w:u w:val="single"/>
              </w:rPr>
              <w:t>（指“第四章投标文件格式”的附件一、附件二）</w:t>
            </w:r>
            <w:r>
              <w:rPr>
                <w:rFonts w:hint="eastAsia" w:ascii="宋体" w:hAnsi="宋体" w:cs="宋体"/>
                <w:szCs w:val="21"/>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不同投标人的投标报价中分部分项工程量清单综合单价相似度达到80%及以上的(以</w:t>
            </w:r>
            <w:r>
              <w:rPr>
                <w:rFonts w:hint="eastAsia" w:ascii="宋体" w:hAnsi="宋体" w:cs="宋体"/>
                <w:szCs w:val="21"/>
                <w:u w:val="single"/>
              </w:rPr>
              <w:t>广州公共资源交易中心</w:t>
            </w:r>
            <w:r>
              <w:rPr>
                <w:rFonts w:hint="eastAsia" w:ascii="宋体" w:hAnsi="宋体" w:cs="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szCs w:val="21"/>
                <w:lang w:val="en-US" w:eastAsia="zh-CN"/>
              </w:rPr>
            </w:pPr>
            <w:r>
              <w:rPr>
                <w:rFonts w:hint="eastAsia" w:ascii="宋体" w:hAnsi="宋体" w:cs="宋体"/>
                <w:szCs w:val="21"/>
                <w:lang w:val="en-US" w:eastAsia="zh-CN"/>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p>
        </w:tc>
      </w:tr>
    </w:tbl>
    <w:p>
      <w:pPr>
        <w:ind w:firstLine="458"/>
        <w:rPr>
          <w:rFonts w:hint="eastAsia" w:ascii="宋体" w:hAnsi="宋体" w:cs="宋体"/>
          <w:szCs w:val="21"/>
        </w:rPr>
      </w:pPr>
      <w:r>
        <w:rPr>
          <w:rFonts w:hint="eastAsia" w:ascii="宋体" w:hAnsi="宋体" w:cs="宋体"/>
          <w:szCs w:val="21"/>
        </w:rPr>
        <w:t>注：1.本表使用GZZB2018-3招标文件范本，与范本内容不同之处均以下划线标明。</w:t>
      </w:r>
    </w:p>
    <w:p>
      <w:pPr>
        <w:ind w:firstLine="458"/>
        <w:rPr>
          <w:rFonts w:hint="eastAsia" w:ascii="宋体" w:hAnsi="宋体" w:cs="宋体"/>
          <w:szCs w:val="21"/>
        </w:rPr>
      </w:pPr>
      <w:r>
        <w:rPr>
          <w:rFonts w:hint="eastAsia" w:ascii="宋体" w:hAnsi="宋体" w:cs="宋体"/>
          <w:szCs w:val="21"/>
        </w:rPr>
        <w:t>2.凡出现以上任何一项情形，结论均为无效，否则就为有效。</w:t>
      </w:r>
    </w:p>
    <w:p>
      <w:pPr>
        <w:ind w:firstLine="458"/>
        <w:rPr>
          <w:rFonts w:hint="eastAsia" w:ascii="宋体" w:hAnsi="宋体" w:cs="宋体"/>
          <w:szCs w:val="21"/>
        </w:rPr>
      </w:pPr>
      <w:r>
        <w:rPr>
          <w:rFonts w:hint="eastAsia" w:ascii="宋体" w:hAnsi="宋体" w:cs="宋体"/>
          <w:szCs w:val="21"/>
        </w:rPr>
        <w:t>3.如对本表中某种情形的评审意见不一致时，以评标委员会过半数成员的意见作为评标委员会对该情形的认定结论。</w:t>
      </w:r>
    </w:p>
    <w:p>
      <w:pPr>
        <w:pStyle w:val="6"/>
        <w:ind w:firstLine="458"/>
        <w:rPr>
          <w:rFonts w:hint="eastAsia" w:ascii="宋体" w:hAnsi="宋体" w:cs="宋体"/>
          <w:szCs w:val="21"/>
        </w:rPr>
        <w:sectPr>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szCs w:val="21"/>
        </w:rPr>
        <w:t>评委签名：</w:t>
      </w:r>
    </w:p>
    <w:p>
      <w:pPr>
        <w:jc w:val="center"/>
      </w:pPr>
      <w:r>
        <w:rPr>
          <w:rFonts w:hint="eastAsia" w:ascii="宋体" w:hAnsi="宋体"/>
          <w:b/>
          <w:sz w:val="36"/>
          <w:szCs w:val="36"/>
        </w:rPr>
        <w:t>技术标详细审查评分表</w:t>
      </w:r>
    </w:p>
    <w:tbl>
      <w:tblPr>
        <w:tblStyle w:val="39"/>
        <w:tblW w:w="14174" w:type="dxa"/>
        <w:tblInd w:w="0" w:type="dxa"/>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8"/>
        <w:gridCol w:w="1624"/>
        <w:gridCol w:w="787"/>
        <w:gridCol w:w="10105"/>
      </w:tblGrid>
      <w:tr>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right="0"/>
              <w:jc w:val="center"/>
              <w:rPr>
                <w:rFonts w:hint="eastAsia" w:ascii="宋体" w:hAnsi="宋体" w:eastAsia="宋体" w:cs="宋体"/>
                <w:sz w:val="21"/>
                <w:szCs w:val="21"/>
              </w:rPr>
            </w:pPr>
            <w:r>
              <w:rPr>
                <w:rStyle w:val="42"/>
                <w:rFonts w:hint="eastAsia" w:ascii="宋体" w:hAnsi="宋体" w:eastAsia="宋体" w:cs="宋体"/>
                <w:b/>
                <w:color w:val="000000"/>
                <w:kern w:val="0"/>
                <w:sz w:val="21"/>
                <w:szCs w:val="21"/>
              </w:rPr>
              <w:t>评分项目</w:t>
            </w:r>
          </w:p>
        </w:tc>
        <w:tc>
          <w:tcPr>
            <w:tcW w:w="1624" w:type="dxa"/>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right="0"/>
              <w:jc w:val="center"/>
              <w:rPr>
                <w:rFonts w:hint="eastAsia" w:ascii="宋体" w:hAnsi="宋体" w:eastAsia="宋体" w:cs="宋体"/>
                <w:sz w:val="21"/>
                <w:szCs w:val="21"/>
              </w:rPr>
            </w:pPr>
            <w:r>
              <w:rPr>
                <w:rStyle w:val="42"/>
                <w:rFonts w:hint="eastAsia" w:ascii="宋体" w:hAnsi="宋体" w:eastAsia="宋体" w:cs="宋体"/>
                <w:b/>
                <w:color w:val="000000"/>
                <w:kern w:val="0"/>
                <w:sz w:val="21"/>
                <w:szCs w:val="21"/>
              </w:rPr>
              <w:t>评分内容</w:t>
            </w:r>
          </w:p>
        </w:tc>
        <w:tc>
          <w:tcPr>
            <w:tcW w:w="787" w:type="dxa"/>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right="0"/>
              <w:jc w:val="center"/>
              <w:rPr>
                <w:rFonts w:hint="eastAsia" w:ascii="宋体" w:hAnsi="宋体" w:eastAsia="宋体" w:cs="宋体"/>
                <w:sz w:val="21"/>
                <w:szCs w:val="21"/>
              </w:rPr>
            </w:pPr>
            <w:r>
              <w:rPr>
                <w:rStyle w:val="42"/>
                <w:rFonts w:hint="eastAsia" w:ascii="宋体" w:hAnsi="宋体" w:eastAsia="宋体" w:cs="宋体"/>
                <w:b/>
                <w:color w:val="000000"/>
                <w:kern w:val="0"/>
                <w:sz w:val="21"/>
                <w:szCs w:val="21"/>
              </w:rPr>
              <w:t>分值</w:t>
            </w:r>
          </w:p>
        </w:tc>
        <w:tc>
          <w:tcPr>
            <w:tcW w:w="10105" w:type="dxa"/>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right="0"/>
              <w:jc w:val="center"/>
              <w:rPr>
                <w:rFonts w:hint="eastAsia" w:ascii="宋体" w:hAnsi="宋体" w:eastAsia="宋体" w:cs="宋体"/>
                <w:sz w:val="21"/>
                <w:szCs w:val="21"/>
              </w:rPr>
            </w:pPr>
            <w:r>
              <w:rPr>
                <w:rStyle w:val="42"/>
                <w:rFonts w:hint="eastAsia" w:ascii="宋体" w:hAnsi="宋体" w:eastAsia="宋体" w:cs="宋体"/>
                <w:b/>
                <w:color w:val="000000"/>
                <w:kern w:val="0"/>
                <w:sz w:val="21"/>
                <w:szCs w:val="21"/>
              </w:rPr>
              <w:t>评审标准</w:t>
            </w:r>
          </w:p>
        </w:tc>
      </w:tr>
      <w:tr>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658" w:type="dxa"/>
            <w:vMerge w:val="restart"/>
            <w:tcBorders>
              <w:top w:val="single" w:color="auto" w:sz="4" w:space="0"/>
              <w:left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lang w:val="en-US" w:eastAsia="zh-CN"/>
              </w:rPr>
              <w:t>一</w:t>
            </w:r>
            <w:r>
              <w:rPr>
                <w:rFonts w:hint="eastAsia" w:ascii="宋体" w:hAnsi="宋体" w:eastAsia="宋体" w:cs="宋体"/>
                <w:color w:val="000000"/>
                <w:sz w:val="21"/>
                <w:szCs w:val="21"/>
              </w:rPr>
              <w:t>、项目管理机构能力（</w:t>
            </w:r>
            <w:r>
              <w:rPr>
                <w:rFonts w:hint="eastAsia" w:ascii="宋体" w:hAnsi="宋体" w:eastAsia="宋体" w:cs="宋体"/>
                <w:color w:val="000000"/>
                <w:sz w:val="21"/>
                <w:szCs w:val="21"/>
                <w:lang w:val="en-US"/>
              </w:rPr>
              <w:t>14</w:t>
            </w:r>
            <w:r>
              <w:rPr>
                <w:rFonts w:hint="eastAsia" w:ascii="宋体" w:hAnsi="宋体" w:eastAsia="宋体" w:cs="宋体"/>
                <w:color w:val="000000"/>
                <w:sz w:val="21"/>
                <w:szCs w:val="21"/>
              </w:rPr>
              <w:t>分）</w:t>
            </w:r>
          </w:p>
        </w:tc>
        <w:tc>
          <w:tcPr>
            <w:tcW w:w="12516" w:type="dxa"/>
            <w:gridSpan w:val="3"/>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right="0"/>
              <w:jc w:val="left"/>
              <w:rPr>
                <w:rStyle w:val="42"/>
                <w:rFonts w:hint="eastAsia" w:ascii="宋体" w:hAnsi="宋体" w:eastAsia="宋体" w:cs="宋体"/>
                <w:b/>
                <w:color w:val="000000"/>
                <w:kern w:val="0"/>
                <w:sz w:val="21"/>
                <w:szCs w:val="21"/>
              </w:rPr>
            </w:pPr>
            <w:r>
              <w:rPr>
                <w:rFonts w:hint="eastAsia" w:ascii="宋体" w:hAnsi="宋体" w:eastAsia="宋体" w:cs="宋体"/>
                <w:color w:val="auto"/>
                <w:sz w:val="21"/>
                <w:szCs w:val="21"/>
                <w:lang w:val="en-US" w:eastAsia="zh-CN"/>
              </w:rPr>
              <w:t>项目管理团队配置人员完全满足《项目管理机构人员配置要求表》要求得3分；其余不得分。在此表基础上计算以下人员得分：</w:t>
            </w:r>
          </w:p>
        </w:tc>
      </w:tr>
      <w:tr>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58" w:type="dxa"/>
            <w:vMerge w:val="continue"/>
            <w:tcBorders>
              <w:left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right="0"/>
              <w:jc w:val="center"/>
              <w:rPr>
                <w:rStyle w:val="42"/>
                <w:rFonts w:hint="eastAsia" w:ascii="宋体" w:hAnsi="宋体" w:eastAsia="宋体" w:cs="宋体"/>
                <w:b/>
                <w:color w:val="000000"/>
                <w:kern w:val="0"/>
                <w:sz w:val="21"/>
                <w:szCs w:val="21"/>
              </w:rPr>
            </w:pPr>
          </w:p>
        </w:tc>
        <w:tc>
          <w:tcPr>
            <w:tcW w:w="1624" w:type="dxa"/>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项目负责人</w:t>
            </w:r>
          </w:p>
        </w:tc>
        <w:tc>
          <w:tcPr>
            <w:tcW w:w="787" w:type="dxa"/>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2</w:t>
            </w:r>
          </w:p>
        </w:tc>
        <w:tc>
          <w:tcPr>
            <w:tcW w:w="10105" w:type="dxa"/>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numPr>
                <w:ilvl w:val="-1"/>
                <w:numId w:val="0"/>
              </w:numPr>
              <w:suppressLineNumbers w:val="0"/>
              <w:spacing w:before="0" w:beforeAutospacing="0" w:after="0" w:afterAutospacing="0" w:line="276" w:lineRule="auto"/>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具有10年或以上工程管理经验，得2分；具有5年-10年（不含）工程管理经验，得</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分；其余不得分。</w:t>
            </w:r>
          </w:p>
          <w:p>
            <w:pPr>
              <w:pStyle w:val="35"/>
              <w:keepNext w:val="0"/>
              <w:keepLines w:val="0"/>
              <w:widowControl/>
              <w:numPr>
                <w:ilvl w:val="0"/>
                <w:numId w:val="0"/>
              </w:numPr>
              <w:suppressLineNumbers w:val="0"/>
              <w:spacing w:before="0" w:beforeAutospacing="0" w:after="0" w:afterAutospacing="0" w:line="276" w:lineRule="auto"/>
              <w:ind w:left="0" w:leftChars="0" w:right="0" w:rightChars="0" w:firstLine="0" w:firstLineChars="0"/>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kern w:val="2"/>
                <w:sz w:val="21"/>
                <w:szCs w:val="21"/>
                <w:lang w:val="en-US" w:eastAsia="zh-CN" w:bidi="ar-SA"/>
              </w:rPr>
              <w:t>本项累计最高2分。须提供职称证书、毕业证书原件扫描件。</w:t>
            </w:r>
          </w:p>
        </w:tc>
      </w:tr>
      <w:tr>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1658" w:type="dxa"/>
            <w:vMerge w:val="continue"/>
            <w:tcBorders>
              <w:left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right="0"/>
              <w:jc w:val="center"/>
              <w:rPr>
                <w:rStyle w:val="42"/>
                <w:rFonts w:hint="eastAsia" w:ascii="宋体" w:hAnsi="宋体" w:eastAsia="宋体" w:cs="宋体"/>
                <w:b/>
                <w:color w:val="000000"/>
                <w:kern w:val="0"/>
                <w:sz w:val="21"/>
                <w:szCs w:val="21"/>
              </w:rPr>
            </w:pPr>
          </w:p>
        </w:tc>
        <w:tc>
          <w:tcPr>
            <w:tcW w:w="1624" w:type="dxa"/>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技术负责人</w:t>
            </w:r>
          </w:p>
        </w:tc>
        <w:tc>
          <w:tcPr>
            <w:tcW w:w="787" w:type="dxa"/>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2</w:t>
            </w:r>
          </w:p>
        </w:tc>
        <w:tc>
          <w:tcPr>
            <w:tcW w:w="10105" w:type="dxa"/>
            <w:tcBorders>
              <w:top w:val="single" w:color="auto" w:sz="4" w:space="0"/>
              <w:left w:val="nil"/>
              <w:bottom w:val="single" w:color="auto" w:sz="4" w:space="0"/>
              <w:right w:val="single" w:color="auto" w:sz="4" w:space="0"/>
            </w:tcBorders>
            <w:shd w:val="clear" w:color="auto" w:fill="auto"/>
            <w:vAlign w:val="center"/>
          </w:tcPr>
          <w:p>
            <w:pPr>
              <w:widowControl/>
              <w:numPr>
                <w:ilvl w:val="0"/>
                <w:numId w:val="4"/>
              </w:numPr>
              <w:spacing w:line="3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lang w:val="en-US" w:eastAsia="zh-CN"/>
              </w:rPr>
              <w:t>具有</w:t>
            </w:r>
            <w:r>
              <w:rPr>
                <w:rFonts w:hint="eastAsia" w:ascii="宋体" w:hAnsi="宋体" w:eastAsia="宋体" w:cs="宋体"/>
                <w:color w:val="auto"/>
                <w:kern w:val="0"/>
                <w:sz w:val="21"/>
                <w:szCs w:val="21"/>
                <w:highlight w:val="none"/>
                <w:lang w:val="en-US" w:eastAsia="zh-CN"/>
              </w:rPr>
              <w:t>建筑工程类相关专业高级（或以上）工程师职称，得1分。</w:t>
            </w:r>
          </w:p>
          <w:p>
            <w:pPr>
              <w:pStyle w:val="12"/>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2、工作经历：具有15年或以上施工管理经验，得1分；满10年-15年（不含），得0.5分；其余不得分。</w:t>
            </w:r>
          </w:p>
          <w:p>
            <w:pPr>
              <w:pStyle w:val="12"/>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 w:val="21"/>
                <w:szCs w:val="21"/>
                <w:lang w:val="en-US" w:eastAsia="zh-CN"/>
              </w:rPr>
              <w:t>本项累计最高2分</w:t>
            </w:r>
            <w:r>
              <w:rPr>
                <w:rFonts w:hint="eastAsia" w:ascii="宋体" w:hAnsi="宋体" w:eastAsia="宋体" w:cs="宋体"/>
                <w:b/>
                <w:bCs/>
                <w:color w:val="auto"/>
                <w:kern w:val="2"/>
                <w:sz w:val="21"/>
                <w:szCs w:val="21"/>
                <w:lang w:val="en-US" w:eastAsia="zh-CN" w:bidi="ar-SA"/>
              </w:rPr>
              <w:t>。须提供职称证书、毕业证书原件扫描件。</w:t>
            </w:r>
          </w:p>
        </w:tc>
      </w:tr>
      <w:tr>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1658" w:type="dxa"/>
            <w:vMerge w:val="continue"/>
            <w:tcBorders>
              <w:left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right="0"/>
              <w:jc w:val="center"/>
              <w:rPr>
                <w:rStyle w:val="42"/>
                <w:rFonts w:hint="eastAsia" w:ascii="宋体" w:hAnsi="宋体" w:eastAsia="宋体" w:cs="宋体"/>
                <w:b/>
                <w:color w:val="000000"/>
                <w:kern w:val="0"/>
                <w:sz w:val="21"/>
                <w:szCs w:val="21"/>
              </w:rPr>
            </w:pPr>
          </w:p>
        </w:tc>
        <w:tc>
          <w:tcPr>
            <w:tcW w:w="1624" w:type="dxa"/>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安全负责人</w:t>
            </w:r>
          </w:p>
        </w:tc>
        <w:tc>
          <w:tcPr>
            <w:tcW w:w="787" w:type="dxa"/>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2</w:t>
            </w:r>
          </w:p>
        </w:tc>
        <w:tc>
          <w:tcPr>
            <w:tcW w:w="10105" w:type="dxa"/>
            <w:tcBorders>
              <w:top w:val="single" w:color="auto" w:sz="4" w:space="0"/>
              <w:left w:val="nil"/>
              <w:bottom w:val="single" w:color="auto" w:sz="4" w:space="0"/>
              <w:right w:val="single" w:color="auto" w:sz="4" w:space="0"/>
            </w:tcBorders>
            <w:shd w:val="clear" w:color="auto" w:fill="auto"/>
            <w:vAlign w:val="center"/>
          </w:tcPr>
          <w:p>
            <w:pPr>
              <w:pStyle w:val="12"/>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lang w:eastAsia="zh-CN"/>
              </w:rPr>
              <w:t>建筑工程</w:t>
            </w:r>
            <w:r>
              <w:rPr>
                <w:rFonts w:hint="eastAsia" w:ascii="宋体" w:hAnsi="宋体" w:eastAsia="宋体" w:cs="宋体"/>
                <w:color w:val="auto"/>
                <w:kern w:val="0"/>
                <w:sz w:val="21"/>
                <w:szCs w:val="21"/>
                <w:highlight w:val="none"/>
                <w:lang w:val="en-US" w:eastAsia="zh-CN"/>
              </w:rPr>
              <w:t>类</w:t>
            </w:r>
            <w:r>
              <w:rPr>
                <w:rFonts w:hint="eastAsia" w:ascii="宋体" w:hAnsi="宋体" w:eastAsia="宋体" w:cs="宋体"/>
                <w:color w:val="auto"/>
                <w:sz w:val="21"/>
                <w:szCs w:val="21"/>
                <w:lang w:eastAsia="zh-CN"/>
              </w:rPr>
              <w:t>相关专业高级（或以上）工程师职称满</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年或以上，得1分。</w:t>
            </w:r>
          </w:p>
          <w:p>
            <w:pPr>
              <w:pStyle w:val="12"/>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2、工作经历：</w:t>
            </w:r>
            <w:r>
              <w:rPr>
                <w:rFonts w:hint="eastAsia" w:ascii="宋体" w:hAnsi="宋体" w:eastAsia="宋体" w:cs="宋体"/>
                <w:color w:val="auto"/>
                <w:sz w:val="21"/>
                <w:szCs w:val="21"/>
                <w:lang w:val="en-US" w:eastAsia="zh-CN"/>
              </w:rPr>
              <w:t>大学专科（或以上）学历满20</w:t>
            </w:r>
            <w:r>
              <w:rPr>
                <w:rFonts w:hint="eastAsia" w:ascii="宋体" w:hAnsi="宋体" w:eastAsia="宋体" w:cs="宋体"/>
                <w:color w:val="auto"/>
                <w:sz w:val="21"/>
                <w:szCs w:val="21"/>
                <w:lang w:eastAsia="zh-CN"/>
              </w:rPr>
              <w:t>年或以上，得1分；满10年-</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eastAsia="zh-CN"/>
              </w:rPr>
              <w:t>年（不含），得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lang w:eastAsia="zh-CN"/>
              </w:rPr>
              <w:t>分；其余不得分。</w:t>
            </w:r>
          </w:p>
          <w:p>
            <w:pPr>
              <w:pStyle w:val="12"/>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 w:val="21"/>
                <w:szCs w:val="21"/>
                <w:lang w:eastAsia="zh-CN"/>
              </w:rPr>
              <w:t>本项累计最高2分</w:t>
            </w:r>
            <w:r>
              <w:rPr>
                <w:rFonts w:hint="eastAsia" w:ascii="宋体" w:hAnsi="宋体" w:eastAsia="宋体" w:cs="宋体"/>
                <w:b/>
                <w:bCs/>
                <w:color w:val="auto"/>
                <w:kern w:val="2"/>
                <w:sz w:val="21"/>
                <w:szCs w:val="21"/>
                <w:lang w:val="en-US" w:eastAsia="zh-CN" w:bidi="ar-SA"/>
              </w:rPr>
              <w:t>。须提供职称证书、毕业证书原件扫描件。</w:t>
            </w:r>
          </w:p>
        </w:tc>
      </w:tr>
      <w:tr>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1658" w:type="dxa"/>
            <w:vMerge w:val="continue"/>
            <w:tcBorders>
              <w:left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right="0"/>
              <w:jc w:val="center"/>
              <w:rPr>
                <w:rStyle w:val="42"/>
                <w:rFonts w:hint="eastAsia" w:ascii="宋体" w:hAnsi="宋体" w:eastAsia="宋体" w:cs="宋体"/>
                <w:b/>
                <w:color w:val="000000"/>
                <w:kern w:val="0"/>
                <w:sz w:val="21"/>
                <w:szCs w:val="21"/>
              </w:rPr>
            </w:pPr>
          </w:p>
        </w:tc>
        <w:tc>
          <w:tcPr>
            <w:tcW w:w="1624" w:type="dxa"/>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质量负责人</w:t>
            </w:r>
          </w:p>
        </w:tc>
        <w:tc>
          <w:tcPr>
            <w:tcW w:w="787" w:type="dxa"/>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2</w:t>
            </w:r>
          </w:p>
        </w:tc>
        <w:tc>
          <w:tcPr>
            <w:tcW w:w="10105" w:type="dxa"/>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numPr>
                <w:ilvl w:val="0"/>
                <w:numId w:val="0"/>
              </w:numPr>
              <w:suppressLineNumbers w:val="0"/>
              <w:spacing w:before="0" w:beforeAutospacing="0" w:after="0" w:afterAutospacing="0" w:line="276" w:lineRule="auto"/>
              <w:ind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建筑工程</w:t>
            </w:r>
            <w:r>
              <w:rPr>
                <w:rFonts w:hint="eastAsia" w:ascii="宋体" w:hAnsi="宋体" w:eastAsia="宋体" w:cs="宋体"/>
                <w:color w:val="auto"/>
                <w:kern w:val="0"/>
                <w:sz w:val="21"/>
                <w:szCs w:val="21"/>
                <w:highlight w:val="none"/>
                <w:lang w:val="en-US" w:eastAsia="zh-CN"/>
              </w:rPr>
              <w:t>类</w:t>
            </w:r>
            <w:r>
              <w:rPr>
                <w:rFonts w:hint="eastAsia" w:ascii="宋体" w:hAnsi="宋体" w:eastAsia="宋体" w:cs="宋体"/>
                <w:color w:val="auto"/>
                <w:sz w:val="21"/>
                <w:szCs w:val="21"/>
              </w:rPr>
              <w:t>相关专业高级（或以上）工程师职称，得1分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lang w:eastAsia="zh-CN"/>
              </w:rPr>
              <w:t>建筑工程</w:t>
            </w:r>
            <w:r>
              <w:rPr>
                <w:rFonts w:hint="eastAsia" w:ascii="宋体" w:hAnsi="宋体" w:eastAsia="宋体" w:cs="宋体"/>
                <w:color w:val="auto"/>
                <w:sz w:val="21"/>
                <w:szCs w:val="21"/>
                <w:lang w:val="en-US" w:eastAsia="zh-CN"/>
              </w:rPr>
              <w:t>类</w:t>
            </w:r>
            <w:r>
              <w:rPr>
                <w:rFonts w:hint="eastAsia" w:ascii="宋体" w:hAnsi="宋体" w:eastAsia="宋体" w:cs="宋体"/>
                <w:color w:val="auto"/>
                <w:sz w:val="21"/>
                <w:szCs w:val="21"/>
                <w:lang w:eastAsia="zh-CN"/>
              </w:rPr>
              <w:t>相关专业</w:t>
            </w:r>
            <w:r>
              <w:rPr>
                <w:rFonts w:hint="eastAsia" w:ascii="宋体" w:hAnsi="宋体" w:cs="宋体"/>
                <w:color w:val="auto"/>
                <w:sz w:val="21"/>
                <w:szCs w:val="21"/>
                <w:lang w:val="en-US" w:eastAsia="zh-CN"/>
              </w:rPr>
              <w:t>中</w:t>
            </w:r>
            <w:r>
              <w:rPr>
                <w:rFonts w:hint="eastAsia" w:ascii="宋体" w:hAnsi="宋体" w:eastAsia="宋体" w:cs="宋体"/>
                <w:color w:val="auto"/>
                <w:sz w:val="21"/>
                <w:szCs w:val="21"/>
                <w:lang w:eastAsia="zh-CN"/>
              </w:rPr>
              <w:t>级（或以上）工程师职称，得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lang w:eastAsia="zh-CN"/>
              </w:rPr>
              <w:t>分</w:t>
            </w:r>
            <w:r>
              <w:rPr>
                <w:rFonts w:hint="eastAsia" w:ascii="宋体" w:hAnsi="宋体" w:eastAsia="宋体" w:cs="宋体"/>
                <w:color w:val="auto"/>
                <w:sz w:val="21"/>
                <w:szCs w:val="21"/>
              </w:rPr>
              <w:t>。</w:t>
            </w:r>
          </w:p>
          <w:p>
            <w:pPr>
              <w:pStyle w:val="35"/>
              <w:keepNext w:val="0"/>
              <w:keepLines w:val="0"/>
              <w:widowControl/>
              <w:numPr>
                <w:ilvl w:val="0"/>
                <w:numId w:val="0"/>
              </w:numPr>
              <w:suppressLineNumbers w:val="0"/>
              <w:spacing w:before="0" w:beforeAutospacing="0" w:after="0" w:afterAutospacing="0" w:line="276" w:lineRule="auto"/>
              <w:ind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2、工作经历：大学专科（或以上）学历满</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年或以上，得1分；满10年-</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年（不含），得0.5分；；满</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年（不含），得0.</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分其余不得分。</w:t>
            </w:r>
          </w:p>
          <w:p>
            <w:pPr>
              <w:pStyle w:val="35"/>
              <w:keepNext w:val="0"/>
              <w:keepLines w:val="0"/>
              <w:widowControl/>
              <w:numPr>
                <w:ilvl w:val="0"/>
                <w:numId w:val="0"/>
              </w:numPr>
              <w:suppressLineNumbers w:val="0"/>
              <w:spacing w:before="0" w:beforeAutospacing="0" w:after="0" w:afterAutospacing="0" w:line="276" w:lineRule="auto"/>
              <w:ind w:left="0" w:leftChars="0" w:right="0" w:rightChars="0" w:firstLine="0" w:firstLineChars="0"/>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sz w:val="21"/>
                <w:szCs w:val="21"/>
              </w:rPr>
              <w:t>本项累计最高2分</w:t>
            </w:r>
            <w:r>
              <w:rPr>
                <w:rFonts w:hint="eastAsia" w:ascii="宋体" w:hAnsi="宋体" w:eastAsia="宋体" w:cs="宋体"/>
                <w:b/>
                <w:bCs/>
                <w:color w:val="auto"/>
                <w:sz w:val="21"/>
                <w:szCs w:val="21"/>
                <w:lang w:eastAsia="zh-CN"/>
              </w:rPr>
              <w:t>。</w:t>
            </w:r>
            <w:r>
              <w:rPr>
                <w:rFonts w:hint="eastAsia" w:ascii="宋体" w:hAnsi="宋体" w:eastAsia="宋体" w:cs="宋体"/>
                <w:b/>
                <w:bCs/>
                <w:color w:val="auto"/>
                <w:kern w:val="2"/>
                <w:sz w:val="21"/>
                <w:szCs w:val="21"/>
                <w:lang w:val="en-US" w:eastAsia="zh-CN" w:bidi="ar-SA"/>
              </w:rPr>
              <w:t>须提供职称证书、毕业证书原件扫描件。</w:t>
            </w:r>
          </w:p>
        </w:tc>
      </w:tr>
      <w:tr>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1658" w:type="dxa"/>
            <w:vMerge w:val="continue"/>
            <w:tcBorders>
              <w:left w:val="single" w:color="auto" w:sz="4" w:space="0"/>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right="0"/>
              <w:jc w:val="center"/>
              <w:rPr>
                <w:rStyle w:val="42"/>
                <w:rFonts w:hint="eastAsia" w:ascii="宋体" w:hAnsi="宋体" w:eastAsia="宋体" w:cs="宋体"/>
                <w:b/>
                <w:color w:val="000000"/>
                <w:kern w:val="0"/>
                <w:sz w:val="21"/>
                <w:szCs w:val="21"/>
              </w:rPr>
            </w:pPr>
          </w:p>
        </w:tc>
        <w:tc>
          <w:tcPr>
            <w:tcW w:w="1624" w:type="dxa"/>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造价负责人</w:t>
            </w:r>
          </w:p>
        </w:tc>
        <w:tc>
          <w:tcPr>
            <w:tcW w:w="787" w:type="dxa"/>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p>
        </w:tc>
        <w:tc>
          <w:tcPr>
            <w:tcW w:w="10105" w:type="dxa"/>
            <w:tcBorders>
              <w:top w:val="single" w:color="auto" w:sz="4" w:space="0"/>
              <w:left w:val="nil"/>
              <w:bottom w:val="single" w:color="auto" w:sz="4" w:space="0"/>
              <w:right w:val="single" w:color="auto" w:sz="4" w:space="0"/>
            </w:tcBorders>
            <w:shd w:val="clear" w:color="auto" w:fill="auto"/>
            <w:vAlign w:val="center"/>
          </w:tcPr>
          <w:p>
            <w:pPr>
              <w:pStyle w:val="3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uto"/>
              <w:ind w:right="0" w:rightChars="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建筑工程</w:t>
            </w:r>
            <w:r>
              <w:rPr>
                <w:rFonts w:hint="eastAsia" w:ascii="宋体" w:hAnsi="宋体" w:eastAsia="宋体" w:cs="宋体"/>
                <w:color w:val="auto"/>
                <w:kern w:val="0"/>
                <w:sz w:val="21"/>
                <w:szCs w:val="21"/>
                <w:highlight w:val="none"/>
                <w:lang w:val="en-US" w:eastAsia="zh-CN"/>
              </w:rPr>
              <w:t>类</w:t>
            </w:r>
            <w:r>
              <w:rPr>
                <w:rFonts w:hint="eastAsia" w:ascii="宋体" w:hAnsi="宋体" w:eastAsia="宋体" w:cs="宋体"/>
                <w:color w:val="auto"/>
                <w:sz w:val="21"/>
                <w:szCs w:val="21"/>
              </w:rPr>
              <w:t>相关专业高级（或以上）工程师职称满5年或以上，得1分。</w:t>
            </w:r>
          </w:p>
          <w:p>
            <w:pPr>
              <w:pStyle w:val="3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uto"/>
              <w:ind w:right="0" w:rightChars="0"/>
              <w:jc w:val="left"/>
              <w:rPr>
                <w:rFonts w:hint="eastAsia" w:ascii="宋体" w:hAnsi="宋体" w:eastAsia="宋体" w:cs="宋体"/>
                <w:color w:val="auto"/>
                <w:sz w:val="21"/>
                <w:szCs w:val="21"/>
              </w:rPr>
            </w:pPr>
            <w:r>
              <w:rPr>
                <w:rFonts w:hint="eastAsia" w:ascii="宋体" w:hAnsi="宋体" w:eastAsia="宋体" w:cs="宋体"/>
                <w:color w:val="auto"/>
                <w:sz w:val="21"/>
                <w:szCs w:val="21"/>
              </w:rPr>
              <w:t>2、工作经历：具有一级注册造价工程师证书且在有效期内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大学专科（或以上）学历满20年或以上，得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分；满10年-20年（不含），得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分；其余不得分。</w:t>
            </w:r>
          </w:p>
          <w:p>
            <w:pPr>
              <w:pStyle w:val="3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uto"/>
              <w:ind w:left="0" w:leftChars="0" w:right="0" w:rightChars="0" w:firstLine="0" w:firstLine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sz w:val="21"/>
                <w:szCs w:val="21"/>
              </w:rPr>
              <w:t>本项累计最高2分</w:t>
            </w:r>
            <w:r>
              <w:rPr>
                <w:rFonts w:hint="eastAsia" w:ascii="宋体" w:hAnsi="宋体" w:eastAsia="宋体" w:cs="宋体"/>
                <w:b/>
                <w:bCs/>
                <w:color w:val="auto"/>
                <w:sz w:val="21"/>
                <w:szCs w:val="21"/>
                <w:lang w:eastAsia="zh-CN"/>
              </w:rPr>
              <w:t>。</w:t>
            </w:r>
            <w:r>
              <w:rPr>
                <w:rFonts w:hint="eastAsia" w:ascii="宋体" w:hAnsi="宋体" w:eastAsia="宋体" w:cs="宋体"/>
                <w:b/>
                <w:bCs/>
                <w:color w:val="auto"/>
                <w:kern w:val="2"/>
                <w:sz w:val="21"/>
                <w:szCs w:val="21"/>
                <w:lang w:val="en-US" w:eastAsia="zh-CN" w:bidi="ar-SA"/>
              </w:rPr>
              <w:t>须提供职称证书、一级注册造价工程师证书、毕业证书原件扫描件。</w:t>
            </w:r>
          </w:p>
        </w:tc>
      </w:tr>
      <w:tr>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1658" w:type="dxa"/>
            <w:vMerge w:val="restart"/>
            <w:tcBorders>
              <w:top w:val="single" w:color="auto" w:sz="4" w:space="0"/>
              <w:left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right="0"/>
              <w:rPr>
                <w:rFonts w:hint="eastAsia" w:ascii="宋体" w:hAnsi="宋体" w:eastAsia="宋体" w:cs="宋体"/>
                <w:sz w:val="21"/>
                <w:szCs w:val="21"/>
              </w:rPr>
            </w:pP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rPr>
              <w:t>、企业资信（</w:t>
            </w:r>
            <w:r>
              <w:rPr>
                <w:rFonts w:hint="eastAsia" w:ascii="宋体" w:hAnsi="宋体" w:eastAsia="宋体" w:cs="宋体"/>
                <w:color w:val="000000"/>
                <w:sz w:val="21"/>
                <w:szCs w:val="21"/>
                <w:lang w:val="en-US"/>
              </w:rPr>
              <w:t>6</w:t>
            </w:r>
            <w:r>
              <w:rPr>
                <w:rFonts w:hint="eastAsia" w:ascii="宋体" w:hAnsi="宋体" w:eastAsia="宋体" w:cs="宋体"/>
                <w:color w:val="000000"/>
                <w:sz w:val="21"/>
                <w:szCs w:val="21"/>
              </w:rPr>
              <w:t>分）</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lang w:eastAsia="zh-CN"/>
              </w:rPr>
              <w:t>企业</w:t>
            </w:r>
            <w:r>
              <w:rPr>
                <w:rFonts w:hint="eastAsia" w:ascii="宋体" w:hAnsi="宋体" w:eastAsia="宋体" w:cs="宋体"/>
                <w:color w:val="000000"/>
                <w:sz w:val="21"/>
                <w:szCs w:val="21"/>
              </w:rPr>
              <w:t>类似</w:t>
            </w:r>
            <w:r>
              <w:rPr>
                <w:rFonts w:hint="eastAsia" w:ascii="宋体" w:hAnsi="宋体" w:eastAsia="宋体" w:cs="宋体"/>
                <w:color w:val="000000"/>
                <w:sz w:val="21"/>
                <w:szCs w:val="21"/>
                <w:lang w:eastAsia="zh-CN"/>
              </w:rPr>
              <w:t>工程</w:t>
            </w:r>
            <w:r>
              <w:rPr>
                <w:rFonts w:hint="eastAsia" w:ascii="宋体" w:hAnsi="宋体" w:eastAsia="宋体" w:cs="宋体"/>
                <w:color w:val="000000"/>
                <w:sz w:val="21"/>
                <w:szCs w:val="21"/>
              </w:rPr>
              <w:t>业绩</w:t>
            </w: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default" w:ascii="宋体" w:hAnsi="宋体" w:eastAsia="宋体" w:cs="宋体"/>
                <w:kern w:val="0"/>
                <w:sz w:val="21"/>
                <w:szCs w:val="21"/>
                <w:lang w:val="en-US" w:eastAsia="zh-CN" w:bidi="ar"/>
              </w:rPr>
            </w:pPr>
            <w:r>
              <w:rPr>
                <w:rFonts w:hint="eastAsia" w:ascii="宋体" w:hAnsi="宋体" w:eastAsia="宋体" w:cs="宋体"/>
                <w:color w:val="000000"/>
                <w:sz w:val="21"/>
                <w:szCs w:val="21"/>
                <w:lang w:val="en-US" w:eastAsia="zh-CN"/>
              </w:rPr>
              <w:t>1.6</w:t>
            </w:r>
          </w:p>
        </w:tc>
        <w:tc>
          <w:tcPr>
            <w:tcW w:w="101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right="0"/>
              <w:rPr>
                <w:rFonts w:hint="eastAsia" w:ascii="宋体" w:hAnsi="宋体" w:eastAsia="宋体" w:cs="宋体"/>
                <w:sz w:val="21"/>
                <w:szCs w:val="21"/>
                <w:lang w:val="en-US" w:eastAsia="zh-CN"/>
              </w:rPr>
            </w:pPr>
            <w:r>
              <w:rPr>
                <w:rFonts w:hint="eastAsia" w:ascii="宋体" w:hAnsi="宋体" w:eastAsia="宋体" w:cs="宋体"/>
                <w:color w:val="000000"/>
                <w:sz w:val="21"/>
                <w:szCs w:val="21"/>
              </w:rPr>
              <w:t>投标人</w:t>
            </w:r>
            <w:r>
              <w:rPr>
                <w:rFonts w:hint="eastAsia" w:ascii="宋体" w:hAnsi="宋体" w:eastAsia="宋体" w:cs="宋体"/>
                <w:color w:val="000000"/>
                <w:sz w:val="21"/>
                <w:szCs w:val="21"/>
                <w:lang w:val="en-US"/>
              </w:rPr>
              <w:t>2019</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rPr>
              <w:t>1</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rPr>
              <w:t>1</w:t>
            </w:r>
            <w:r>
              <w:rPr>
                <w:rFonts w:hint="eastAsia" w:ascii="宋体" w:hAnsi="宋体" w:eastAsia="宋体" w:cs="宋体"/>
                <w:color w:val="000000"/>
                <w:sz w:val="21"/>
                <w:szCs w:val="21"/>
              </w:rPr>
              <w:t>日至投标截止时间，</w:t>
            </w:r>
            <w:r>
              <w:rPr>
                <w:rFonts w:hint="eastAsia" w:ascii="宋体" w:hAnsi="宋体" w:eastAsia="宋体" w:cs="宋体"/>
                <w:color w:val="000000"/>
                <w:sz w:val="21"/>
                <w:szCs w:val="21"/>
                <w:lang w:eastAsia="zh-CN"/>
              </w:rPr>
              <w:t>独立</w:t>
            </w:r>
            <w:r>
              <w:rPr>
                <w:rFonts w:hint="eastAsia" w:ascii="宋体" w:hAnsi="宋体" w:eastAsia="宋体" w:cs="宋体"/>
                <w:color w:val="000000"/>
                <w:sz w:val="21"/>
                <w:szCs w:val="21"/>
              </w:rPr>
              <w:t>完成过质量合格的</w:t>
            </w:r>
            <w:r>
              <w:rPr>
                <w:rFonts w:hint="eastAsia" w:ascii="宋体" w:hAnsi="宋体" w:eastAsia="宋体" w:cs="宋体"/>
                <w:b/>
                <w:bCs/>
                <w:color w:val="000000"/>
                <w:sz w:val="21"/>
                <w:szCs w:val="21"/>
                <w:lang w:val="en-US" w:eastAsia="zh-CN"/>
              </w:rPr>
              <w:t>750</w:t>
            </w:r>
            <w:r>
              <w:rPr>
                <w:rFonts w:hint="eastAsia" w:ascii="宋体" w:hAnsi="宋体" w:eastAsia="宋体" w:cs="宋体"/>
                <w:b/>
                <w:bCs/>
                <w:color w:val="000000"/>
                <w:sz w:val="21"/>
                <w:szCs w:val="21"/>
              </w:rPr>
              <w:t>万元</w:t>
            </w:r>
            <w:r>
              <w:rPr>
                <w:rFonts w:hint="eastAsia" w:ascii="宋体" w:hAnsi="宋体" w:eastAsia="宋体" w:cs="宋体"/>
                <w:color w:val="000000"/>
                <w:sz w:val="21"/>
                <w:szCs w:val="21"/>
              </w:rPr>
              <w:t>或以上的建筑工程施工总承包业绩，</w:t>
            </w:r>
            <w:r>
              <w:rPr>
                <w:rFonts w:hint="eastAsia" w:ascii="宋体" w:hAnsi="宋体" w:eastAsia="宋体" w:cs="宋体"/>
                <w:color w:val="auto"/>
                <w:sz w:val="21"/>
                <w:szCs w:val="21"/>
                <w:lang w:val="en-US" w:eastAsia="zh-CN"/>
              </w:rPr>
              <w:t>有20项以上的，得1.6分；有15-20项的，得0.8分；有10-14项的，得0.4分；有9项及以下的，得0.2分，</w:t>
            </w:r>
            <w:r>
              <w:rPr>
                <w:rFonts w:hint="eastAsia" w:ascii="宋体" w:hAnsi="宋体" w:eastAsia="宋体" w:cs="宋体"/>
                <w:color w:val="000000"/>
                <w:sz w:val="21"/>
                <w:szCs w:val="21"/>
              </w:rPr>
              <w:t>没有提供业绩的，不得分。</w:t>
            </w:r>
          </w:p>
          <w:p>
            <w:pPr>
              <w:pStyle w:val="35"/>
              <w:keepNext w:val="0"/>
              <w:keepLines w:val="0"/>
              <w:widowControl/>
              <w:suppressLineNumbers w:val="0"/>
              <w:spacing w:before="0" w:beforeAutospacing="0" w:after="0" w:afterAutospacing="0" w:line="276" w:lineRule="auto"/>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b/>
                <w:bCs/>
                <w:color w:val="000000"/>
                <w:sz w:val="21"/>
                <w:szCs w:val="21"/>
              </w:rPr>
              <w:t>不符合上述条件或未提供相关证明材料的不得分。</w:t>
            </w:r>
            <w:r>
              <w:rPr>
                <w:rFonts w:hint="eastAsia" w:ascii="宋体" w:hAnsi="宋体" w:eastAsia="宋体" w:cs="宋体"/>
                <w:b/>
                <w:bCs/>
                <w:color w:val="000000"/>
                <w:sz w:val="21"/>
                <w:szCs w:val="21"/>
                <w:lang w:val="en-US" w:eastAsia="zh-CN"/>
              </w:rPr>
              <w:t>本</w:t>
            </w:r>
            <w:r>
              <w:rPr>
                <w:rFonts w:hint="eastAsia" w:ascii="宋体" w:hAnsi="宋体" w:eastAsia="宋体" w:cs="宋体"/>
                <w:b/>
                <w:bCs/>
                <w:kern w:val="2"/>
                <w:sz w:val="21"/>
                <w:szCs w:val="21"/>
                <w:lang w:val="en-US" w:eastAsia="zh-CN" w:bidi="ar-SA"/>
              </w:rPr>
              <w:t>项累计</w:t>
            </w:r>
            <w:r>
              <w:rPr>
                <w:rFonts w:hint="eastAsia" w:ascii="宋体" w:hAnsi="宋体" w:eastAsia="宋体" w:cs="宋体"/>
                <w:b/>
                <w:bCs/>
                <w:color w:val="000000"/>
                <w:sz w:val="21"/>
                <w:szCs w:val="21"/>
                <w:lang w:val="en-US" w:eastAsia="zh-CN"/>
              </w:rPr>
              <w:t>最高得1.6分。</w:t>
            </w:r>
          </w:p>
        </w:tc>
      </w:tr>
      <w:tr>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1658"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333333"/>
                <w:sz w:val="21"/>
                <w:szCs w:val="21"/>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lang w:eastAsia="zh-CN"/>
              </w:rPr>
              <w:t>工程</w:t>
            </w:r>
            <w:r>
              <w:rPr>
                <w:rFonts w:hint="eastAsia" w:ascii="宋体" w:hAnsi="宋体" w:eastAsia="宋体" w:cs="宋体"/>
                <w:color w:val="000000"/>
                <w:sz w:val="21"/>
                <w:szCs w:val="21"/>
              </w:rPr>
              <w:t>获奖</w:t>
            </w: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default" w:ascii="宋体" w:hAnsi="宋体" w:eastAsia="宋体" w:cs="宋体"/>
                <w:kern w:val="0"/>
                <w:sz w:val="21"/>
                <w:szCs w:val="21"/>
                <w:lang w:val="en-US" w:eastAsia="zh-CN" w:bidi="ar"/>
              </w:rPr>
            </w:pPr>
            <w:r>
              <w:rPr>
                <w:rFonts w:hint="eastAsia" w:ascii="宋体" w:hAnsi="宋体" w:eastAsia="宋体" w:cs="宋体"/>
                <w:color w:val="000000"/>
                <w:sz w:val="21"/>
                <w:szCs w:val="21"/>
                <w:lang w:val="en-US" w:eastAsia="zh-CN"/>
              </w:rPr>
              <w:t>1.4</w:t>
            </w:r>
          </w:p>
        </w:tc>
        <w:tc>
          <w:tcPr>
            <w:tcW w:w="101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right="0"/>
              <w:rPr>
                <w:rFonts w:hint="eastAsia" w:ascii="宋体" w:hAnsi="宋体" w:eastAsia="宋体" w:cs="宋体"/>
                <w:color w:val="FF0000"/>
                <w:sz w:val="21"/>
                <w:szCs w:val="21"/>
                <w:lang w:val="en-US"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投标人</w:t>
            </w:r>
            <w:r>
              <w:rPr>
                <w:rFonts w:hint="eastAsia" w:ascii="宋体" w:hAnsi="宋体" w:eastAsia="宋体" w:cs="宋体"/>
                <w:color w:val="000000"/>
                <w:sz w:val="21"/>
                <w:szCs w:val="21"/>
                <w:lang w:val="en-US"/>
              </w:rPr>
              <w:t>2019</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rPr>
              <w:t>1</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rPr>
              <w:t>1</w:t>
            </w:r>
            <w:r>
              <w:rPr>
                <w:rFonts w:hint="eastAsia" w:ascii="宋体" w:hAnsi="宋体" w:eastAsia="宋体" w:cs="宋体"/>
                <w:color w:val="000000"/>
                <w:sz w:val="21"/>
                <w:szCs w:val="21"/>
              </w:rPr>
              <w:t>日至投标截止时间，</w:t>
            </w:r>
            <w:r>
              <w:rPr>
                <w:rFonts w:hint="eastAsia" w:ascii="宋体" w:hAnsi="宋体" w:eastAsia="宋体" w:cs="宋体"/>
                <w:color w:val="000000"/>
                <w:sz w:val="21"/>
                <w:szCs w:val="21"/>
                <w:lang w:eastAsia="zh-CN"/>
              </w:rPr>
              <w:t>投标人承接的</w:t>
            </w:r>
            <w:r>
              <w:rPr>
                <w:rFonts w:hint="eastAsia" w:ascii="宋体" w:hAnsi="宋体" w:eastAsia="宋体" w:cs="宋体"/>
                <w:color w:val="000000"/>
                <w:sz w:val="21"/>
                <w:szCs w:val="21"/>
              </w:rPr>
              <w:t>建筑工程施工总承包工程项目获得过工程质量奖</w:t>
            </w:r>
            <w:r>
              <w:rPr>
                <w:rFonts w:hint="eastAsia" w:ascii="宋体" w:hAnsi="宋体" w:eastAsia="宋体" w:cs="宋体"/>
                <w:color w:val="000000"/>
                <w:sz w:val="21"/>
                <w:szCs w:val="21"/>
                <w:lang w:eastAsia="zh-CN"/>
              </w:rPr>
              <w:t>项，国家级的每项得</w:t>
            </w:r>
            <w:r>
              <w:rPr>
                <w:rFonts w:hint="eastAsia" w:ascii="宋体" w:hAnsi="宋体" w:eastAsia="宋体" w:cs="宋体"/>
                <w:color w:val="000000"/>
                <w:sz w:val="21"/>
                <w:szCs w:val="21"/>
                <w:lang w:val="en-US" w:eastAsia="zh-CN"/>
              </w:rPr>
              <w:t>0.7分</w:t>
            </w:r>
            <w:r>
              <w:rPr>
                <w:rFonts w:hint="eastAsia" w:ascii="宋体" w:hAnsi="宋体" w:eastAsia="宋体" w:cs="宋体"/>
                <w:color w:val="000000"/>
                <w:sz w:val="21"/>
                <w:szCs w:val="21"/>
              </w:rPr>
              <w:t>，</w:t>
            </w:r>
            <w:r>
              <w:rPr>
                <w:rFonts w:hint="eastAsia" w:ascii="宋体" w:hAnsi="宋体" w:eastAsia="宋体" w:cs="宋体"/>
                <w:color w:val="auto"/>
                <w:sz w:val="21"/>
                <w:szCs w:val="21"/>
                <w:lang w:val="en-US" w:eastAsia="zh-CN"/>
              </w:rPr>
              <w:t>最高得1.4分；</w:t>
            </w:r>
          </w:p>
          <w:p>
            <w:pPr>
              <w:pStyle w:val="35"/>
              <w:keepNext w:val="0"/>
              <w:keepLines w:val="0"/>
              <w:widowControl/>
              <w:suppressLineNumbers w:val="0"/>
              <w:spacing w:before="0" w:beforeAutospacing="0" w:after="0" w:afterAutospacing="0" w:line="276" w:lineRule="auto"/>
              <w:ind w:left="0" w:leftChars="0" w:right="0" w:rightChars="0"/>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投标人</w:t>
            </w:r>
            <w:r>
              <w:rPr>
                <w:rFonts w:hint="eastAsia" w:ascii="宋体" w:hAnsi="宋体" w:eastAsia="宋体" w:cs="宋体"/>
                <w:color w:val="000000"/>
                <w:sz w:val="21"/>
                <w:szCs w:val="21"/>
                <w:lang w:val="en-US"/>
              </w:rPr>
              <w:t>2019</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rPr>
              <w:t>1</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rPr>
              <w:t>1</w:t>
            </w:r>
            <w:r>
              <w:rPr>
                <w:rFonts w:hint="eastAsia" w:ascii="宋体" w:hAnsi="宋体" w:eastAsia="宋体" w:cs="宋体"/>
                <w:color w:val="000000"/>
                <w:sz w:val="21"/>
                <w:szCs w:val="21"/>
              </w:rPr>
              <w:t>日至投标截止时间，</w:t>
            </w:r>
            <w:r>
              <w:rPr>
                <w:rFonts w:hint="eastAsia" w:ascii="宋体" w:hAnsi="宋体" w:eastAsia="宋体" w:cs="宋体"/>
                <w:color w:val="000000"/>
                <w:sz w:val="21"/>
                <w:szCs w:val="21"/>
                <w:lang w:eastAsia="zh-CN"/>
              </w:rPr>
              <w:t>投标人承接的</w:t>
            </w:r>
            <w:r>
              <w:rPr>
                <w:rFonts w:hint="eastAsia" w:ascii="宋体" w:hAnsi="宋体" w:eastAsia="宋体" w:cs="宋体"/>
                <w:color w:val="000000"/>
                <w:sz w:val="21"/>
                <w:szCs w:val="21"/>
              </w:rPr>
              <w:t>建筑工程施工总承包工程项目获得过工程质量奖</w:t>
            </w:r>
            <w:r>
              <w:rPr>
                <w:rFonts w:hint="eastAsia" w:ascii="宋体" w:hAnsi="宋体" w:eastAsia="宋体" w:cs="宋体"/>
                <w:color w:val="000000"/>
                <w:sz w:val="21"/>
                <w:szCs w:val="21"/>
                <w:lang w:eastAsia="zh-CN"/>
              </w:rPr>
              <w:t>项，省级或市级的，每项得</w:t>
            </w:r>
            <w:r>
              <w:rPr>
                <w:rFonts w:hint="eastAsia" w:ascii="宋体" w:hAnsi="宋体" w:eastAsia="宋体" w:cs="宋体"/>
                <w:color w:val="000000"/>
                <w:sz w:val="21"/>
                <w:szCs w:val="21"/>
                <w:lang w:val="en-US" w:eastAsia="zh-CN"/>
              </w:rPr>
              <w:t>0.2分，最高得0.8分。</w:t>
            </w:r>
            <w:r>
              <w:rPr>
                <w:rFonts w:hint="eastAsia" w:ascii="宋体" w:hAnsi="宋体" w:eastAsia="宋体" w:cs="宋体"/>
                <w:color w:val="000000"/>
                <w:sz w:val="21"/>
                <w:szCs w:val="21"/>
                <w:lang w:val="en-US"/>
              </w:rPr>
              <w:br w:type="textWrapping"/>
            </w:r>
            <w:r>
              <w:rPr>
                <w:rFonts w:hint="eastAsia" w:ascii="宋体" w:hAnsi="宋体" w:eastAsia="宋体" w:cs="宋体"/>
                <w:b/>
                <w:bCs/>
                <w:color w:val="000000"/>
                <w:sz w:val="21"/>
                <w:szCs w:val="21"/>
              </w:rPr>
              <w:t>不符合上述条件或未提供相关证明材料的不得分。</w:t>
            </w:r>
            <w:r>
              <w:rPr>
                <w:rFonts w:hint="eastAsia" w:ascii="宋体" w:hAnsi="宋体" w:eastAsia="宋体" w:cs="宋体"/>
                <w:b/>
                <w:bCs/>
                <w:color w:val="000000"/>
                <w:sz w:val="21"/>
                <w:szCs w:val="21"/>
                <w:lang w:val="en-US" w:eastAsia="zh-CN"/>
              </w:rPr>
              <w:t>本</w:t>
            </w:r>
            <w:r>
              <w:rPr>
                <w:rFonts w:hint="eastAsia" w:ascii="宋体" w:hAnsi="宋体" w:eastAsia="宋体" w:cs="宋体"/>
                <w:b/>
                <w:bCs/>
                <w:kern w:val="2"/>
                <w:sz w:val="21"/>
                <w:szCs w:val="21"/>
                <w:lang w:val="en-US" w:eastAsia="zh-CN" w:bidi="ar-SA"/>
              </w:rPr>
              <w:t>项累计</w:t>
            </w:r>
            <w:r>
              <w:rPr>
                <w:rFonts w:hint="eastAsia" w:ascii="宋体" w:hAnsi="宋体" w:eastAsia="宋体" w:cs="宋体"/>
                <w:b/>
                <w:bCs/>
                <w:color w:val="000000"/>
                <w:sz w:val="21"/>
                <w:szCs w:val="21"/>
                <w:lang w:val="en-US" w:eastAsia="zh-CN"/>
              </w:rPr>
              <w:t>最高得1.4分。</w:t>
            </w:r>
          </w:p>
        </w:tc>
      </w:tr>
      <w:tr>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1698" w:hRule="atLeast"/>
        </w:trPr>
        <w:tc>
          <w:tcPr>
            <w:tcW w:w="1658"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333333"/>
                <w:sz w:val="21"/>
                <w:szCs w:val="21"/>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工程研发能力</w:t>
            </w: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2"/>
                <w:sz w:val="21"/>
                <w:szCs w:val="21"/>
                <w:lang w:val="en-US" w:eastAsia="zh-CN" w:bidi="ar-SA"/>
              </w:rPr>
              <w:t>1.8</w:t>
            </w:r>
          </w:p>
        </w:tc>
        <w:tc>
          <w:tcPr>
            <w:tcW w:w="101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rPr>
              <w:t>投标人2019年1月1日至投标截止时间，作为主要完成单位或独立完成单位获得过工程建设类省级（或以上）的科学技术进步奖或科学技术奖：</w:t>
            </w:r>
            <w:r>
              <w:rPr>
                <w:rFonts w:hint="eastAsia" w:ascii="宋体" w:hAnsi="宋体" w:eastAsia="宋体" w:cs="宋体"/>
                <w:color w:val="auto"/>
                <w:kern w:val="2"/>
                <w:sz w:val="21"/>
                <w:szCs w:val="21"/>
                <w:lang w:val="en-US" w:eastAsia="zh-CN" w:bidi="ar-SA"/>
              </w:rPr>
              <w:t>获得25项（不含25项）以上的，得1.8分，获得21项-25项的，得0.9分，获得16项-20项的，得0.5分；获得15项及以下的，得0.1分。没有获得科学技术进步奖或科学技术奖的，不得分。</w:t>
            </w:r>
          </w:p>
          <w:p>
            <w:pPr>
              <w:pStyle w:val="35"/>
              <w:keepNext w:val="0"/>
              <w:keepLines w:val="0"/>
              <w:widowControl/>
              <w:suppressLineNumbers w:val="0"/>
              <w:spacing w:before="0" w:beforeAutospacing="0" w:after="0" w:afterAutospacing="0" w:line="276" w:lineRule="auto"/>
              <w:ind w:left="0" w:leftChars="0" w:right="0" w:rightChars="0"/>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sz w:val="21"/>
                <w:szCs w:val="21"/>
                <w:lang w:val="en-US" w:eastAsia="zh-CN"/>
              </w:rPr>
              <w:t>不符合上述条件或未提供相关证明材料的不得分。本</w:t>
            </w:r>
            <w:r>
              <w:rPr>
                <w:rFonts w:hint="eastAsia" w:ascii="宋体" w:hAnsi="宋体" w:eastAsia="宋体" w:cs="宋体"/>
                <w:b/>
                <w:bCs/>
                <w:color w:val="auto"/>
                <w:kern w:val="2"/>
                <w:sz w:val="21"/>
                <w:szCs w:val="21"/>
                <w:lang w:val="en-US" w:eastAsia="zh-CN" w:bidi="ar-SA"/>
              </w:rPr>
              <w:t>项累计</w:t>
            </w:r>
            <w:r>
              <w:rPr>
                <w:rFonts w:hint="eastAsia" w:ascii="宋体" w:hAnsi="宋体" w:eastAsia="宋体" w:cs="宋体"/>
                <w:b/>
                <w:bCs/>
                <w:color w:val="auto"/>
                <w:sz w:val="21"/>
                <w:szCs w:val="21"/>
                <w:lang w:val="en-US" w:eastAsia="zh-CN"/>
              </w:rPr>
              <w:t>最高得1.8分。</w:t>
            </w:r>
          </w:p>
        </w:tc>
      </w:tr>
      <w:tr>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1698" w:hRule="atLeast"/>
        </w:trPr>
        <w:tc>
          <w:tcPr>
            <w:tcW w:w="1658"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333333"/>
                <w:sz w:val="21"/>
                <w:szCs w:val="21"/>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eastAsia" w:ascii="宋体" w:hAnsi="宋体" w:eastAsia="宋体" w:cs="宋体"/>
                <w:kern w:val="0"/>
                <w:sz w:val="21"/>
                <w:szCs w:val="21"/>
                <w:lang w:val="en-US" w:eastAsia="zh-CN" w:bidi="ar"/>
              </w:rPr>
            </w:pPr>
            <w:r>
              <w:rPr>
                <w:rFonts w:hint="eastAsia" w:ascii="宋体" w:hAnsi="宋体" w:eastAsia="宋体" w:cs="宋体"/>
                <w:color w:val="000000"/>
                <w:sz w:val="21"/>
                <w:szCs w:val="21"/>
              </w:rPr>
              <w:t>第三方评价</w:t>
            </w: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default" w:ascii="宋体" w:hAnsi="宋体" w:eastAsia="宋体" w:cs="宋体"/>
                <w:kern w:val="0"/>
                <w:sz w:val="21"/>
                <w:szCs w:val="21"/>
                <w:lang w:val="en-US" w:eastAsia="zh-CN" w:bidi="ar"/>
              </w:rPr>
            </w:pPr>
            <w:r>
              <w:rPr>
                <w:rFonts w:hint="eastAsia" w:ascii="宋体" w:hAnsi="宋体" w:eastAsia="宋体" w:cs="宋体"/>
                <w:color w:val="000000"/>
                <w:sz w:val="21"/>
                <w:szCs w:val="21"/>
                <w:lang w:val="en-US" w:eastAsia="zh-CN"/>
              </w:rPr>
              <w:t>1.2</w:t>
            </w:r>
          </w:p>
        </w:tc>
        <w:tc>
          <w:tcPr>
            <w:tcW w:w="101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自</w:t>
            </w:r>
            <w:r>
              <w:rPr>
                <w:rFonts w:hint="eastAsia" w:ascii="宋体" w:hAnsi="宋体" w:eastAsia="宋体" w:cs="宋体"/>
                <w:color w:val="auto"/>
                <w:sz w:val="21"/>
                <w:szCs w:val="21"/>
                <w:highlight w:val="none"/>
              </w:rPr>
              <w:t>2019年</w:t>
            </w:r>
            <w:r>
              <w:rPr>
                <w:rFonts w:hint="eastAsia" w:ascii="宋体" w:hAnsi="宋体" w:eastAsia="宋体" w:cs="宋体"/>
                <w:color w:val="auto"/>
                <w:sz w:val="21"/>
                <w:szCs w:val="21"/>
                <w:highlight w:val="none"/>
                <w:lang w:eastAsia="zh-CN"/>
              </w:rPr>
              <w:t>度</w:t>
            </w:r>
            <w:r>
              <w:rPr>
                <w:rFonts w:hint="eastAsia" w:ascii="宋体" w:hAnsi="宋体" w:eastAsia="宋体" w:cs="宋体"/>
                <w:color w:val="auto"/>
                <w:sz w:val="21"/>
                <w:szCs w:val="21"/>
                <w:highlight w:val="none"/>
              </w:rPr>
              <w:t>至投标截止时间，</w:t>
            </w:r>
            <w:r>
              <w:rPr>
                <w:rFonts w:hint="eastAsia" w:ascii="宋体" w:hAnsi="宋体" w:eastAsia="宋体" w:cs="宋体"/>
                <w:color w:val="auto"/>
                <w:sz w:val="21"/>
                <w:szCs w:val="21"/>
                <w:highlight w:val="none"/>
                <w:lang w:eastAsia="zh-CN"/>
              </w:rPr>
              <w:t>连续获得“纳税信用</w:t>
            </w:r>
            <w:r>
              <w:rPr>
                <w:rFonts w:hint="eastAsia" w:ascii="宋体" w:hAnsi="宋体" w:eastAsia="宋体" w:cs="宋体"/>
                <w:color w:val="auto"/>
                <w:sz w:val="21"/>
                <w:szCs w:val="21"/>
                <w:highlight w:val="none"/>
                <w:lang w:val="en-US" w:eastAsia="zh-CN"/>
              </w:rPr>
              <w:t>A级纳税人</w:t>
            </w:r>
            <w:r>
              <w:rPr>
                <w:rFonts w:hint="eastAsia" w:ascii="宋体" w:hAnsi="宋体" w:eastAsia="宋体" w:cs="宋体"/>
                <w:color w:val="auto"/>
                <w:sz w:val="21"/>
                <w:szCs w:val="21"/>
                <w:highlight w:val="none"/>
                <w:lang w:eastAsia="zh-CN"/>
              </w:rPr>
              <w:t>”称号情况：连续</w:t>
            </w:r>
            <w:r>
              <w:rPr>
                <w:rFonts w:hint="eastAsia" w:ascii="宋体" w:hAnsi="宋体" w:eastAsia="宋体" w:cs="宋体"/>
                <w:color w:val="auto"/>
                <w:sz w:val="21"/>
                <w:szCs w:val="21"/>
                <w:highlight w:val="none"/>
                <w:lang w:val="en-US" w:eastAsia="zh-CN"/>
              </w:rPr>
              <w:t>3次，得0.6分；</w:t>
            </w:r>
            <w:r>
              <w:rPr>
                <w:rFonts w:hint="eastAsia" w:ascii="宋体" w:hAnsi="宋体" w:eastAsia="宋体" w:cs="宋体"/>
                <w:color w:val="auto"/>
                <w:sz w:val="21"/>
                <w:szCs w:val="21"/>
                <w:highlight w:val="none"/>
                <w:lang w:eastAsia="zh-CN"/>
              </w:rPr>
              <w:t>连续</w:t>
            </w:r>
            <w:r>
              <w:rPr>
                <w:rFonts w:hint="eastAsia" w:ascii="宋体" w:hAnsi="宋体" w:eastAsia="宋体" w:cs="宋体"/>
                <w:color w:val="auto"/>
                <w:sz w:val="21"/>
                <w:szCs w:val="21"/>
                <w:highlight w:val="none"/>
                <w:lang w:val="en-US" w:eastAsia="zh-CN"/>
              </w:rPr>
              <w:t>2次，得0.3分；</w:t>
            </w:r>
            <w:r>
              <w:rPr>
                <w:rFonts w:hint="eastAsia" w:ascii="宋体" w:hAnsi="宋体" w:eastAsia="宋体" w:cs="宋体"/>
                <w:color w:val="auto"/>
                <w:sz w:val="21"/>
                <w:szCs w:val="21"/>
                <w:highlight w:val="none"/>
                <w:lang w:eastAsia="zh-CN"/>
              </w:rPr>
              <w:t>连续</w:t>
            </w:r>
            <w:r>
              <w:rPr>
                <w:rFonts w:hint="eastAsia" w:ascii="宋体" w:hAnsi="宋体" w:eastAsia="宋体" w:cs="宋体"/>
                <w:color w:val="auto"/>
                <w:sz w:val="21"/>
                <w:szCs w:val="21"/>
                <w:highlight w:val="none"/>
                <w:lang w:val="en-US" w:eastAsia="zh-CN"/>
              </w:rPr>
              <w:t>1次，得0.1分；</w:t>
            </w:r>
          </w:p>
          <w:p>
            <w:pPr>
              <w:pStyle w:val="35"/>
              <w:keepNext w:val="0"/>
              <w:keepLines w:val="0"/>
              <w:widowControl/>
              <w:suppressLineNumbers w:val="0"/>
              <w:spacing w:before="0" w:beforeAutospacing="0" w:after="0" w:afterAutospacing="0" w:line="276" w:lineRule="auto"/>
              <w:ind w:left="0" w:right="0"/>
              <w:rPr>
                <w:rFonts w:hint="default" w:ascii="宋体" w:hAnsi="宋体" w:eastAsia="宋体" w:cs="宋体"/>
                <w:color w:val="auto"/>
                <w:sz w:val="21"/>
                <w:szCs w:val="21"/>
                <w:highlight w:val="none"/>
                <w:lang w:val="en-US"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自</w:t>
            </w:r>
            <w:r>
              <w:rPr>
                <w:rFonts w:hint="eastAsia" w:ascii="宋体" w:hAnsi="宋体" w:eastAsia="宋体" w:cs="宋体"/>
                <w:color w:val="auto"/>
                <w:sz w:val="21"/>
                <w:szCs w:val="21"/>
                <w:highlight w:val="none"/>
              </w:rPr>
              <w:t>2019年</w:t>
            </w:r>
            <w:r>
              <w:rPr>
                <w:rFonts w:hint="eastAsia" w:ascii="宋体" w:hAnsi="宋体" w:eastAsia="宋体" w:cs="宋体"/>
                <w:color w:val="auto"/>
                <w:sz w:val="21"/>
                <w:szCs w:val="21"/>
                <w:highlight w:val="none"/>
                <w:lang w:eastAsia="zh-CN"/>
              </w:rPr>
              <w:t>度</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获得过“工程建设诚信典型企业”称号的，每一个年度得</w:t>
            </w:r>
            <w:r>
              <w:rPr>
                <w:rFonts w:hint="eastAsia" w:ascii="宋体" w:hAnsi="宋体" w:eastAsia="宋体" w:cs="宋体"/>
                <w:color w:val="auto"/>
                <w:sz w:val="21"/>
                <w:szCs w:val="21"/>
                <w:highlight w:val="none"/>
                <w:lang w:val="en-US" w:eastAsia="zh-CN"/>
              </w:rPr>
              <w:t>0.2分，最多得0.6分；</w:t>
            </w:r>
          </w:p>
          <w:p>
            <w:pPr>
              <w:pStyle w:val="35"/>
              <w:keepNext w:val="0"/>
              <w:keepLines w:val="0"/>
              <w:widowControl/>
              <w:suppressLineNumbers w:val="0"/>
              <w:spacing w:before="0" w:beforeAutospacing="0" w:after="0" w:afterAutospacing="0" w:line="276" w:lineRule="auto"/>
              <w:ind w:left="0" w:leftChars="0" w:right="0" w:rightChars="0"/>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bCs/>
                <w:color w:val="auto"/>
                <w:sz w:val="21"/>
                <w:szCs w:val="21"/>
                <w:lang w:val="en-US" w:eastAsia="zh-CN"/>
              </w:rPr>
              <w:t>不符合上述条件或未提供相关证明材料的不得分。本</w:t>
            </w:r>
            <w:r>
              <w:rPr>
                <w:rFonts w:hint="eastAsia" w:ascii="宋体" w:hAnsi="宋体" w:eastAsia="宋体" w:cs="宋体"/>
                <w:b/>
                <w:bCs/>
                <w:color w:val="auto"/>
                <w:kern w:val="2"/>
                <w:sz w:val="21"/>
                <w:szCs w:val="21"/>
                <w:lang w:val="en-US" w:eastAsia="zh-CN" w:bidi="ar-SA"/>
              </w:rPr>
              <w:t>项累计</w:t>
            </w:r>
            <w:r>
              <w:rPr>
                <w:rFonts w:hint="eastAsia" w:ascii="宋体" w:hAnsi="宋体" w:eastAsia="宋体" w:cs="宋体"/>
                <w:b/>
                <w:bCs/>
                <w:color w:val="auto"/>
                <w:sz w:val="21"/>
                <w:szCs w:val="21"/>
                <w:lang w:val="en-US" w:eastAsia="zh-CN"/>
              </w:rPr>
              <w:t>最高得1.2分。</w:t>
            </w:r>
          </w:p>
        </w:tc>
      </w:tr>
      <w:tr>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3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default" w:ascii="宋体" w:hAnsi="宋体" w:eastAsia="宋体" w:cs="宋体"/>
                <w:strike w:val="0"/>
                <w:dstrike w:val="0"/>
                <w:color w:val="000000"/>
                <w:sz w:val="21"/>
                <w:szCs w:val="21"/>
                <w:lang w:val="en-US" w:eastAsia="zh-CN"/>
              </w:rPr>
            </w:pPr>
            <w:r>
              <w:rPr>
                <w:rFonts w:hint="eastAsia" w:ascii="宋体" w:hAnsi="宋体" w:eastAsia="宋体" w:cs="宋体"/>
                <w:strike w:val="0"/>
                <w:dstrike w:val="0"/>
                <w:color w:val="000000"/>
                <w:sz w:val="21"/>
                <w:szCs w:val="21"/>
                <w:lang w:val="en-US" w:eastAsia="zh-CN"/>
              </w:rPr>
              <w:t>合计</w:t>
            </w:r>
            <w:r>
              <w:rPr>
                <w:rFonts w:hint="eastAsia" w:ascii="宋体" w:hAnsi="宋体" w:eastAsia="宋体" w:cs="宋体"/>
                <w:color w:val="auto"/>
                <w:sz w:val="21"/>
                <w:szCs w:val="21"/>
                <w:highlight w:val="none"/>
              </w:rPr>
              <w:t>（一+二）</w:t>
            </w: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suppressLineNumbers w:val="0"/>
              <w:spacing w:before="0" w:beforeAutospacing="0" w:after="0" w:afterAutospacing="0" w:line="276" w:lineRule="auto"/>
              <w:ind w:left="0" w:leftChars="0" w:right="0" w:rightChars="0"/>
              <w:jc w:val="center"/>
              <w:rPr>
                <w:rFonts w:hint="default" w:ascii="宋体" w:hAnsi="宋体" w:eastAsia="宋体" w:cs="宋体"/>
                <w:strike w:val="0"/>
                <w:dstrike w:val="0"/>
                <w:color w:val="000000"/>
                <w:sz w:val="21"/>
                <w:szCs w:val="21"/>
                <w:lang w:val="en-US" w:eastAsia="zh-CN"/>
              </w:rPr>
            </w:pPr>
            <w:r>
              <w:rPr>
                <w:rFonts w:hint="eastAsia" w:ascii="宋体" w:hAnsi="宋体" w:eastAsia="宋体" w:cs="宋体"/>
                <w:strike w:val="0"/>
                <w:dstrike w:val="0"/>
                <w:color w:val="000000"/>
                <w:sz w:val="21"/>
                <w:szCs w:val="21"/>
                <w:lang w:val="en-US" w:eastAsia="zh-CN"/>
              </w:rPr>
              <w:t>20</w:t>
            </w:r>
          </w:p>
        </w:tc>
        <w:tc>
          <w:tcPr>
            <w:tcW w:w="101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keepNext w:val="0"/>
              <w:keepLines w:val="0"/>
              <w:widowControl/>
              <w:numPr>
                <w:ilvl w:val="0"/>
                <w:numId w:val="0"/>
              </w:numPr>
              <w:suppressLineNumbers w:val="0"/>
              <w:spacing w:before="0" w:beforeAutospacing="0" w:after="0" w:afterAutospacing="0" w:line="276" w:lineRule="auto"/>
              <w:ind w:right="0" w:rightChars="0"/>
              <w:rPr>
                <w:rFonts w:hint="default" w:ascii="宋体" w:hAnsi="宋体" w:eastAsia="宋体" w:cs="宋体"/>
                <w:b w:val="0"/>
                <w:bCs w:val="0"/>
                <w:strike w:val="0"/>
                <w:dstrike w:val="0"/>
                <w:color w:val="auto"/>
                <w:sz w:val="21"/>
                <w:szCs w:val="21"/>
                <w:lang w:val="en-US" w:eastAsia="zh-CN"/>
              </w:rPr>
            </w:pPr>
          </w:p>
        </w:tc>
      </w:tr>
    </w:tbl>
    <w:p>
      <w:pPr>
        <w:rPr>
          <w:rFonts w:ascii="宋体" w:hAnsi="宋体" w:cs="宋体"/>
          <w:color w:val="auto"/>
          <w:szCs w:val="21"/>
        </w:rPr>
      </w:pPr>
      <w:r>
        <w:rPr>
          <w:rFonts w:hint="eastAsia" w:ascii="宋体" w:hAnsi="宋体" w:cs="宋体"/>
          <w:color w:val="auto"/>
          <w:szCs w:val="21"/>
        </w:rPr>
        <w:t>备注：</w:t>
      </w:r>
    </w:p>
    <w:p>
      <w:pPr>
        <w:pStyle w:val="12"/>
        <w:ind w:firstLine="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cs="宋体"/>
          <w:b w:val="0"/>
          <w:bCs w:val="0"/>
          <w:color w:val="auto"/>
          <w:szCs w:val="21"/>
          <w:lang w:val="en-US" w:eastAsia="zh-CN"/>
        </w:rPr>
        <w:t>【企业类似业绩】</w:t>
      </w:r>
      <w:r>
        <w:rPr>
          <w:rFonts w:hint="eastAsia" w:ascii="宋体" w:hAnsi="宋体" w:cs="宋体"/>
          <w:color w:val="auto"/>
          <w:szCs w:val="21"/>
          <w:lang w:val="en-US" w:eastAsia="zh-CN"/>
        </w:rPr>
        <w:t>：⑴业绩取自广州市住建行业信用管理平台。⑵中标金额以中标通知书为准，中标通知书上没有金额或免招标的，以施工合同为准，完成时间以竣工验收报告为准。投标人须提供类似工程业绩的项目名称及业绩在广州市住建行业信用管理平台中项目编号。不提供项目名称及项目编号的业绩不予评审。若投标人提供的项目名称与项目编号不一致：1.项目名称和项目编号在平台内分别对应不同业绩的，以项目名称对应的业绩为准;2.项目名称存在对应业绩的，项目编号在平台内不存在对应业绩，以项目名称对应的业绩为准;3.项目名称在平台内不存在对应业绩，项目编号存在对应业绩的，以项目编号对应的业绩为准。评标委员会对业绩的评审以投标截止时间在库内业绩上传件为依据。（不符合上述要求的不计分）</w:t>
      </w:r>
    </w:p>
    <w:p>
      <w:pPr>
        <w:pStyle w:val="12"/>
        <w:ind w:firstLine="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b/>
          <w:bCs/>
          <w:color w:val="auto"/>
          <w:szCs w:val="21"/>
        </w:rPr>
        <w:t>、</w:t>
      </w:r>
      <w:r>
        <w:rPr>
          <w:rFonts w:hint="eastAsia" w:ascii="宋体" w:hAnsi="宋体" w:cs="宋体"/>
          <w:b w:val="0"/>
          <w:bCs w:val="0"/>
          <w:color w:val="auto"/>
          <w:szCs w:val="21"/>
        </w:rPr>
        <w:t>【工程奖项】</w:t>
      </w:r>
      <w:r>
        <w:rPr>
          <w:rFonts w:hint="eastAsia" w:ascii="宋体" w:hAnsi="宋体" w:cs="宋体"/>
          <w:color w:val="auto"/>
          <w:szCs w:val="21"/>
          <w:lang w:val="en-US" w:eastAsia="zh-CN"/>
        </w:rPr>
        <w:t>：</w:t>
      </w:r>
      <w:r>
        <w:rPr>
          <w:rFonts w:hint="eastAsia" w:ascii="宋体" w:hAnsi="宋体" w:cs="宋体"/>
          <w:color w:val="auto"/>
          <w:szCs w:val="21"/>
        </w:rPr>
        <w:t>取自广州市住建行业信用管理平台：投标人须提供广州市住建行业信用管理平台内获奖业绩的项目名称和项目编号，不提供的不评审，评标委员会根据所提供的项目名称及项目编号在平台内的获奖上传件作为评审依据；获奖时间须在2019年1月1日至投标截止时间，以获奖证书上的时间为准；国家级奖项是指中国建设工程鲁班奖、国家优质工程金质奖、国家优质工程奖（原国家优质工程奖银质奖）、中国土木工程詹天佑奖；省级、市级工程奖项是指省级、市级行政主管部门或行业协会颁发的工程质量奖项，奖项不含技术创新QC成果、装饰类及技术应用类奖项。同一项目只按最高奖项计算一次得分，不得重复计算；投标人作为参建单位获奖的项目不作认定；只计算房屋建筑工程获奖得分，其他非房建项目，如：市政、路桥、铁路、水利、电力、化工、冶金等获奖不参与计分；不符合上述条件或未提供上述资料的不得分。</w:t>
      </w:r>
    </w:p>
    <w:p>
      <w:pPr>
        <w:rPr>
          <w:rFonts w:hint="eastAsia"/>
          <w:lang w:val="en-US" w:eastAsia="zh-CN"/>
        </w:rPr>
      </w:pPr>
      <w:r>
        <w:rPr>
          <w:rFonts w:hint="eastAsia"/>
          <w:lang w:val="en-US" w:eastAsia="zh-CN"/>
        </w:rPr>
        <w:t>3、</w:t>
      </w:r>
      <w:r>
        <w:rPr>
          <w:rFonts w:hint="eastAsia" w:ascii="宋体" w:hAnsi="宋体" w:cs="宋体"/>
          <w:b w:val="0"/>
          <w:bCs w:val="0"/>
          <w:color w:val="auto"/>
          <w:szCs w:val="21"/>
        </w:rPr>
        <w:t>【</w:t>
      </w:r>
      <w:r>
        <w:rPr>
          <w:rFonts w:hint="eastAsia"/>
          <w:b w:val="0"/>
          <w:bCs w:val="0"/>
          <w:lang w:val="en-US" w:eastAsia="zh-CN"/>
        </w:rPr>
        <w:t>工程研发能力</w:t>
      </w:r>
      <w:r>
        <w:rPr>
          <w:rFonts w:hint="eastAsia" w:ascii="宋体" w:hAnsi="宋体" w:cs="宋体"/>
          <w:b w:val="0"/>
          <w:bCs w:val="0"/>
          <w:color w:val="auto"/>
          <w:szCs w:val="21"/>
        </w:rPr>
        <w:t>】</w:t>
      </w:r>
      <w:r>
        <w:rPr>
          <w:rFonts w:hint="eastAsia"/>
          <w:lang w:val="en-US" w:eastAsia="zh-CN"/>
        </w:rPr>
        <w:t>：科学技术进步奖或科学技术奖以省级或以上行政主管部门或工程建设类行业协会或学会颁发的为准，时间以获奖证书颁发时间为准。投标人须提供获奖证书扫描件，并同时提交当地行政主管部门出具的科学技术成果鉴定证书扫描件，且在科学技术成果鉴定证书中需明确项目名称或成果名称的应用项目为房建类项目，无法提供获奖证书扫描件和科学技术成果鉴定证书扫描件的且无法证明该科学技术进步奖或科学技术奖为房建类项目获得的奖项不得分。获奖单位须与投标人单位一致，不包含子公司和分公司。如提供国家级科学技术奖项的，需同时提供其在国家科技行政部门登记或备案的查询网页打印页（国家级科技奖励目录：http://www.nosta.gov.cn/web/detail1.aspx?menuID=174&amp;contentID=2863），不在奖励目录内的不得分。如是由协会或学会颁发的奖项，需同时提供发证协会在中国社会组织政务服务平台的查询网页信息打印页（查询网址：https://chinanpo.mca.gov.cn/），证明其有合法登记备案。无提供在中国社会组织政务服务平台登记备案查询网页打印页或国家科技行政部门登记或备案的查询网页打印页的不得分。相同项目名称或成果名称按最高获奖级别只计算一次得分，不累计重复计算。</w:t>
      </w:r>
    </w:p>
    <w:p>
      <w:pPr>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eastAsia="宋体" w:cs="宋体"/>
          <w:b w:val="0"/>
          <w:bCs/>
          <w:color w:val="000000"/>
          <w:sz w:val="21"/>
          <w:szCs w:val="21"/>
        </w:rPr>
        <w:t>【第三方评价】</w:t>
      </w:r>
      <w:r>
        <w:rPr>
          <w:rFonts w:hint="eastAsia" w:ascii="宋体" w:hAnsi="宋体" w:eastAsia="宋体" w:cs="宋体"/>
          <w:bCs/>
          <w:color w:val="000000"/>
          <w:sz w:val="21"/>
          <w:szCs w:val="21"/>
        </w:rPr>
        <w:t>：</w:t>
      </w:r>
      <w:r>
        <w:rPr>
          <w:rFonts w:hint="eastAsia" w:ascii="宋体" w:hAnsi="宋体" w:cs="宋体"/>
          <w:color w:val="auto"/>
          <w:szCs w:val="21"/>
        </w:rPr>
        <w:t>（1）“纳税信用A级纳税人”称号连续获得情况，投标人须提交省级或以上税务局网站纳税信用信息查询结果（查询结果只计算投标人自身，不计算投标人的分公司、子公司和分支机构）的网页截图及A级纳税人证书扫描件，上述资料显示的纳税人名称须与投标人单位全称一致。不符合条件或未按要求提供证明材料的不计分。时间以评价年度为准。（2）“工程建设诚信典型企业”获奖时间以证书发证日期为准（查询网址：http://www.cacem.com.cn/），证书获奖单位须与投标人名称一致。投标人须提供由中国施工企业管理协会颁发的证书扫描件。不符合上述条件或无提交获奖证书扫描件的不计分。</w:t>
      </w:r>
    </w:p>
    <w:p>
      <w:pPr>
        <w:rPr>
          <w:rFonts w:hint="eastAsia" w:ascii="宋体" w:hAnsi="宋体" w:cs="宋体"/>
          <w:b w:val="0"/>
          <w:bCs w:val="0"/>
          <w:color w:val="auto"/>
          <w:szCs w:val="21"/>
        </w:rPr>
      </w:pPr>
      <w:r>
        <w:rPr>
          <w:rFonts w:hint="eastAsia" w:ascii="宋体" w:hAnsi="宋体" w:cs="宋体"/>
          <w:color w:val="auto"/>
          <w:szCs w:val="21"/>
          <w:lang w:val="en-US" w:eastAsia="zh-CN"/>
        </w:rPr>
        <w:t>5、</w:t>
      </w:r>
      <w:r>
        <w:rPr>
          <w:rFonts w:hint="eastAsia" w:ascii="宋体" w:hAnsi="宋体" w:cs="宋体"/>
          <w:b w:val="0"/>
          <w:bCs w:val="0"/>
          <w:color w:val="auto"/>
          <w:szCs w:val="21"/>
        </w:rPr>
        <w:t>项目管理人员配置：</w:t>
      </w:r>
      <w:r>
        <w:rPr>
          <w:rFonts w:hint="eastAsia" w:ascii="宋体" w:hAnsi="宋体" w:cs="宋体"/>
          <w:b w:val="0"/>
          <w:bCs w:val="0"/>
          <w:color w:val="auto"/>
          <w:szCs w:val="21"/>
          <w:lang w:val="en-US" w:eastAsia="zh-CN"/>
        </w:rPr>
        <w:t>①</w:t>
      </w:r>
      <w:r>
        <w:rPr>
          <w:rFonts w:hint="eastAsia" w:ascii="宋体" w:hAnsi="宋体" w:cs="宋体"/>
          <w:b w:val="0"/>
          <w:bCs w:val="0"/>
          <w:color w:val="auto"/>
          <w:szCs w:val="21"/>
        </w:rPr>
        <w:t>以上全部人员需提供在本投标单位近1个月（2022年</w:t>
      </w:r>
      <w:r>
        <w:rPr>
          <w:rFonts w:hint="eastAsia" w:ascii="宋体" w:hAnsi="宋体" w:cs="宋体"/>
          <w:b w:val="0"/>
          <w:bCs w:val="0"/>
          <w:color w:val="auto"/>
          <w:szCs w:val="21"/>
          <w:lang w:val="en-US" w:eastAsia="zh-CN"/>
        </w:rPr>
        <w:t>10</w:t>
      </w:r>
      <w:r>
        <w:rPr>
          <w:rFonts w:hint="eastAsia" w:ascii="宋体" w:hAnsi="宋体" w:cs="宋体"/>
          <w:b w:val="0"/>
          <w:bCs w:val="0"/>
          <w:color w:val="auto"/>
          <w:szCs w:val="21"/>
        </w:rPr>
        <w:t>月）有效社保证明。若在“新型冠状病毒感染肺炎”疫情期间，当地政府部门允许企业在疫情期间缓缴社会保险费且投标人未缴纳的，投标人可提供当地政府部门允许缓缴社保的相关文件作为缴纳社保的证明；并在中标后，提供后续的社保补缴情况供招标核实，若发现弄虚作假的，则将其行为纳入不诚信名单，招标人保留上报给行政主管部门的权力。</w:t>
      </w:r>
    </w:p>
    <w:p>
      <w:pPr>
        <w:rPr>
          <w:rFonts w:hint="eastAsia" w:ascii="宋体" w:hAnsi="宋体" w:cs="宋体"/>
          <w:b w:val="0"/>
          <w:bCs w:val="0"/>
          <w:color w:val="auto"/>
          <w:szCs w:val="21"/>
        </w:rPr>
      </w:pPr>
      <w:r>
        <w:rPr>
          <w:rFonts w:hint="eastAsia" w:ascii="宋体" w:hAnsi="宋体" w:cs="宋体"/>
          <w:b w:val="0"/>
          <w:bCs w:val="0"/>
          <w:color w:val="auto"/>
          <w:szCs w:val="21"/>
          <w:lang w:val="en-US" w:eastAsia="zh-CN"/>
        </w:rPr>
        <w:t>②</w:t>
      </w:r>
      <w:r>
        <w:rPr>
          <w:rFonts w:hint="eastAsia" w:ascii="宋体" w:hAnsi="宋体" w:cs="宋体"/>
          <w:b w:val="0"/>
          <w:bCs w:val="0"/>
          <w:color w:val="auto"/>
          <w:szCs w:val="21"/>
        </w:rPr>
        <w:t>人员须提供对应的学历证明（如有）、职称证书、资格证书扫描件。一级造价工程师还需同时提供“http://zaojiasys.jianshe99.com造价师注册信息查询”网页截图。不提供或提供不齐全不得分。原注册造价工程师自动划分为一级注册造价工程师，详见住房和城乡建设部关于修改《工程造价咨询企业管理办法》《注册造价工程师管理办法》的决定（中华人民共和国住房和城乡建设部令第50号）。不提供或提供不齐全不得分。</w:t>
      </w:r>
    </w:p>
    <w:p>
      <w:pPr>
        <w:rPr>
          <w:rFonts w:hint="eastAsia" w:ascii="宋体" w:hAnsi="宋体" w:cs="宋体"/>
          <w:b w:val="0"/>
          <w:bCs w:val="0"/>
          <w:color w:val="auto"/>
          <w:szCs w:val="21"/>
        </w:rPr>
      </w:pPr>
      <w:r>
        <w:rPr>
          <w:rFonts w:hint="eastAsia" w:ascii="宋体" w:hAnsi="宋体" w:cs="宋体"/>
          <w:b w:val="0"/>
          <w:bCs w:val="0"/>
          <w:color w:val="auto"/>
          <w:szCs w:val="21"/>
          <w:lang w:val="en-US" w:eastAsia="zh-CN"/>
        </w:rPr>
        <w:t>③</w:t>
      </w:r>
      <w:r>
        <w:rPr>
          <w:rFonts w:hint="eastAsia" w:ascii="宋体" w:hAnsi="宋体" w:cs="宋体"/>
          <w:b w:val="0"/>
          <w:bCs w:val="0"/>
          <w:color w:val="auto"/>
          <w:szCs w:val="21"/>
        </w:rPr>
        <w:t>如相同岗位投入人员姓名与投标人提供的施工项目管理团队人员信息表不一致的，以施工项目管理团队人员信息表中姓名为准；投标人提供的团队人员职称或资格（含证书编号）情况与施工项目管理团队人员信息表不一致的，以投标人提供的相关证明材料为准。</w:t>
      </w:r>
    </w:p>
    <w:p>
      <w:pPr>
        <w:rPr>
          <w:rFonts w:hint="default"/>
          <w:lang w:val="en-US"/>
        </w:rPr>
      </w:pPr>
      <w:r>
        <w:rPr>
          <w:rFonts w:hint="eastAsia" w:ascii="宋体" w:hAnsi="宋体" w:cs="宋体"/>
          <w:b w:val="0"/>
          <w:bCs w:val="0"/>
          <w:color w:val="auto"/>
          <w:szCs w:val="21"/>
        </w:rPr>
        <w:t>以上所附证书、证明文件均须提供原件彩色扫描件，投标人提供的查询网页截图或原件彩色扫描件必须加盖投标人电子印章，如因网页截图或原件彩色扫描件内容模糊导致评标时无法判断的，后果由投标人自负。上述资料不提供或提供不完整或提供不符合要求的不得分</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、本表按百分制评分，所有评委每个分项的分数汇总后去掉一个最高分和一个最低分的算术平均值为投标人的最终得分。分数出现小数点，保留小数点后二位小数，第三位小数四舍五入。</w:t>
      </w:r>
    </w:p>
    <w:p>
      <w:pPr>
        <w:rPr>
          <w:rFonts w:ascii="宋体" w:hAnsi="宋体" w:cs="宋体"/>
          <w:color w:val="auto"/>
          <w:szCs w:val="21"/>
        </w:rPr>
      </w:pPr>
    </w:p>
    <w:p>
      <w:pPr>
        <w:rPr>
          <w:rFonts w:ascii="宋体" w:hAnsi="宋体" w:cs="宋体"/>
          <w:color w:val="auto"/>
          <w:szCs w:val="21"/>
        </w:rPr>
      </w:pPr>
    </w:p>
    <w:p>
      <w:pPr>
        <w:rPr>
          <w:rFonts w:ascii="宋体" w:hAnsi="宋体" w:cs="宋体"/>
          <w:color w:val="auto"/>
          <w:szCs w:val="21"/>
        </w:rPr>
      </w:pPr>
    </w:p>
    <w:p>
      <w:pPr>
        <w:rPr>
          <w:rFonts w:ascii="宋体" w:hAnsi="宋体" w:cs="宋体"/>
          <w:color w:val="auto"/>
          <w:szCs w:val="21"/>
        </w:rPr>
      </w:pP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br w:type="page"/>
      </w:r>
    </w:p>
    <w:p>
      <w:pPr>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项目管理机构人员配置要求表</w:t>
      </w:r>
    </w:p>
    <w:tbl>
      <w:tblPr>
        <w:tblStyle w:val="39"/>
        <w:tblW w:w="14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39"/>
        <w:gridCol w:w="675"/>
        <w:gridCol w:w="7163"/>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669" w:type="dxa"/>
            <w:noWrap/>
            <w:vAlign w:val="center"/>
          </w:tcPr>
          <w:p>
            <w:pPr>
              <w:tabs>
                <w:tab w:val="left" w:pos="4645"/>
              </w:tabs>
              <w:jc w:val="center"/>
              <w:rPr>
                <w:rFonts w:ascii="宋体" w:hAnsi="宋体" w:cs="宋体"/>
                <w:b/>
                <w:bCs/>
                <w:szCs w:val="21"/>
              </w:rPr>
            </w:pPr>
            <w:r>
              <w:rPr>
                <w:rFonts w:hint="eastAsia"/>
                <w:b/>
                <w:bCs/>
              </w:rPr>
              <w:t>序号</w:t>
            </w:r>
            <w:r>
              <w:rPr>
                <w:rFonts w:hint="eastAsia"/>
                <w:b/>
                <w:bCs/>
              </w:rPr>
              <w:tab/>
            </w:r>
            <w:r>
              <w:rPr>
                <w:rFonts w:hint="eastAsia" w:ascii="宋体" w:hAnsi="宋体" w:cs="宋体"/>
                <w:b/>
                <w:bCs/>
                <w:szCs w:val="21"/>
              </w:rPr>
              <w:t>序号</w:t>
            </w:r>
          </w:p>
        </w:tc>
        <w:tc>
          <w:tcPr>
            <w:tcW w:w="1739" w:type="dxa"/>
            <w:noWrap/>
            <w:vAlign w:val="center"/>
          </w:tcPr>
          <w:p>
            <w:pPr>
              <w:jc w:val="center"/>
              <w:rPr>
                <w:rFonts w:ascii="宋体" w:hAnsi="宋体" w:cs="宋体"/>
                <w:b/>
                <w:bCs/>
                <w:szCs w:val="21"/>
              </w:rPr>
            </w:pPr>
            <w:r>
              <w:rPr>
                <w:rFonts w:hint="eastAsia" w:ascii="宋体" w:hAnsi="宋体" w:cs="宋体"/>
                <w:b/>
                <w:bCs/>
                <w:szCs w:val="21"/>
              </w:rPr>
              <w:t>类别</w:t>
            </w:r>
          </w:p>
        </w:tc>
        <w:tc>
          <w:tcPr>
            <w:tcW w:w="675" w:type="dxa"/>
            <w:noWrap/>
            <w:vAlign w:val="center"/>
          </w:tcPr>
          <w:p>
            <w:pPr>
              <w:jc w:val="center"/>
              <w:rPr>
                <w:rFonts w:ascii="宋体" w:hAnsi="宋体" w:cs="宋体"/>
                <w:b/>
                <w:bCs/>
                <w:szCs w:val="21"/>
              </w:rPr>
            </w:pPr>
            <w:r>
              <w:rPr>
                <w:rFonts w:hint="eastAsia" w:ascii="宋体" w:hAnsi="宋体" w:cs="宋体"/>
                <w:b/>
                <w:bCs/>
                <w:szCs w:val="21"/>
              </w:rPr>
              <w:t>数量</w:t>
            </w:r>
          </w:p>
        </w:tc>
        <w:tc>
          <w:tcPr>
            <w:tcW w:w="7163" w:type="dxa"/>
            <w:noWrap/>
            <w:vAlign w:val="center"/>
          </w:tcPr>
          <w:p>
            <w:pPr>
              <w:jc w:val="center"/>
              <w:rPr>
                <w:rFonts w:ascii="宋体" w:hAnsi="宋体" w:cs="宋体"/>
                <w:b/>
                <w:bCs/>
                <w:szCs w:val="21"/>
              </w:rPr>
            </w:pPr>
            <w:r>
              <w:rPr>
                <w:rFonts w:hint="eastAsia" w:ascii="宋体" w:hAnsi="宋体" w:cs="宋体"/>
                <w:b/>
                <w:bCs/>
                <w:szCs w:val="21"/>
              </w:rPr>
              <w:t>基本任职条件</w:t>
            </w:r>
          </w:p>
        </w:tc>
        <w:tc>
          <w:tcPr>
            <w:tcW w:w="4111" w:type="dxa"/>
            <w:noWrap/>
            <w:vAlign w:val="center"/>
          </w:tcPr>
          <w:p>
            <w:pPr>
              <w:jc w:val="center"/>
              <w:rPr>
                <w:rFonts w:hint="eastAsia" w:ascii="宋体" w:hAnsi="宋体" w:eastAsia="宋体" w:cs="宋体"/>
                <w:b/>
                <w:bCs/>
                <w:szCs w:val="21"/>
                <w:lang w:eastAsia="zh-CN"/>
              </w:rPr>
            </w:pPr>
            <w:r>
              <w:rPr>
                <w:rFonts w:hint="eastAsia" w:ascii="宋体" w:hAnsi="宋体" w:cs="宋体"/>
                <w:b/>
                <w:bCs/>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9" w:type="dxa"/>
            <w:noWrap/>
            <w:vAlign w:val="center"/>
          </w:tcPr>
          <w:p>
            <w:pPr>
              <w:jc w:val="center"/>
              <w:rPr>
                <w:rFonts w:ascii="宋体" w:hAnsi="宋体" w:cs="宋体"/>
                <w:szCs w:val="21"/>
              </w:rPr>
            </w:pPr>
            <w:r>
              <w:rPr>
                <w:rFonts w:hint="eastAsia" w:ascii="宋体" w:hAnsi="宋体" w:cs="宋体"/>
                <w:szCs w:val="21"/>
              </w:rPr>
              <w:t>1</w:t>
            </w:r>
          </w:p>
        </w:tc>
        <w:tc>
          <w:tcPr>
            <w:tcW w:w="1739" w:type="dxa"/>
            <w:noWrap/>
            <w:vAlign w:val="center"/>
          </w:tcPr>
          <w:p>
            <w:pPr>
              <w:jc w:val="center"/>
              <w:rPr>
                <w:rFonts w:ascii="宋体" w:hAnsi="宋体" w:cs="宋体"/>
                <w:szCs w:val="21"/>
              </w:rPr>
            </w:pPr>
            <w:r>
              <w:rPr>
                <w:rFonts w:hint="eastAsia" w:ascii="宋体" w:hAnsi="宋体" w:cs="宋体"/>
                <w:szCs w:val="21"/>
              </w:rPr>
              <w:t>项目负责人</w:t>
            </w:r>
          </w:p>
        </w:tc>
        <w:tc>
          <w:tcPr>
            <w:tcW w:w="675" w:type="dxa"/>
            <w:noWrap/>
            <w:vAlign w:val="center"/>
          </w:tcPr>
          <w:p>
            <w:pPr>
              <w:jc w:val="center"/>
              <w:rPr>
                <w:rFonts w:ascii="宋体" w:hAnsi="宋体" w:cs="宋体"/>
                <w:szCs w:val="21"/>
              </w:rPr>
            </w:pPr>
            <w:r>
              <w:rPr>
                <w:rFonts w:hint="eastAsia" w:ascii="宋体" w:hAnsi="宋体" w:cs="宋体"/>
                <w:szCs w:val="21"/>
              </w:rPr>
              <w:t>1</w:t>
            </w:r>
          </w:p>
        </w:tc>
        <w:tc>
          <w:tcPr>
            <w:tcW w:w="7163" w:type="dxa"/>
            <w:noWrap/>
            <w:vAlign w:val="center"/>
          </w:tcPr>
          <w:p>
            <w:pPr>
              <w:jc w:val="both"/>
              <w:rPr>
                <w:rFonts w:ascii="宋体" w:hAnsi="宋体" w:cs="宋体"/>
                <w:szCs w:val="21"/>
              </w:rPr>
            </w:pPr>
            <w:r>
              <w:rPr>
                <w:rFonts w:hint="eastAsia" w:ascii="宋体" w:hAnsi="宋体" w:cs="宋体"/>
                <w:szCs w:val="21"/>
              </w:rPr>
              <w:t>按招标公告要求</w:t>
            </w:r>
          </w:p>
        </w:tc>
        <w:tc>
          <w:tcPr>
            <w:tcW w:w="4111" w:type="dxa"/>
            <w:noWrap/>
            <w:vAlign w:val="center"/>
          </w:tcPr>
          <w:p>
            <w:pPr>
              <w:jc w:val="left"/>
              <w:rPr>
                <w:rFonts w:ascii="宋体" w:hAnsi="宋体" w:cs="宋体"/>
                <w:szCs w:val="21"/>
              </w:rPr>
            </w:pPr>
            <w:r>
              <w:rPr>
                <w:rFonts w:hint="eastAsia" w:ascii="宋体" w:hAnsi="宋体" w:cs="宋体"/>
                <w:szCs w:val="21"/>
              </w:rPr>
              <w:t>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9" w:type="dxa"/>
            <w:noWrap/>
            <w:vAlign w:val="center"/>
          </w:tcPr>
          <w:p>
            <w:pPr>
              <w:jc w:val="center"/>
              <w:rPr>
                <w:rFonts w:ascii="宋体" w:hAnsi="宋体" w:cs="宋体"/>
                <w:szCs w:val="21"/>
              </w:rPr>
            </w:pPr>
            <w:r>
              <w:rPr>
                <w:rFonts w:hint="eastAsia" w:ascii="宋体" w:hAnsi="宋体" w:cs="宋体"/>
                <w:szCs w:val="21"/>
              </w:rPr>
              <w:t>2</w:t>
            </w:r>
          </w:p>
        </w:tc>
        <w:tc>
          <w:tcPr>
            <w:tcW w:w="1739" w:type="dxa"/>
            <w:noWrap/>
            <w:vAlign w:val="center"/>
          </w:tcPr>
          <w:p>
            <w:pPr>
              <w:jc w:val="center"/>
              <w:rPr>
                <w:rFonts w:ascii="宋体" w:hAnsi="宋体" w:cs="宋体"/>
                <w:szCs w:val="21"/>
              </w:rPr>
            </w:pPr>
            <w:r>
              <w:rPr>
                <w:rFonts w:hint="eastAsia" w:ascii="宋体" w:hAnsi="宋体" w:cs="宋体"/>
                <w:szCs w:val="21"/>
              </w:rPr>
              <w:t>技术负责人</w:t>
            </w:r>
          </w:p>
        </w:tc>
        <w:tc>
          <w:tcPr>
            <w:tcW w:w="675" w:type="dxa"/>
            <w:noWrap/>
            <w:vAlign w:val="center"/>
          </w:tcPr>
          <w:p>
            <w:pPr>
              <w:jc w:val="center"/>
              <w:rPr>
                <w:rFonts w:ascii="宋体" w:hAnsi="宋体" w:cs="宋体"/>
                <w:szCs w:val="21"/>
              </w:rPr>
            </w:pPr>
            <w:r>
              <w:rPr>
                <w:rFonts w:hint="eastAsia" w:ascii="宋体" w:hAnsi="宋体" w:cs="宋体"/>
                <w:szCs w:val="21"/>
              </w:rPr>
              <w:t>1</w:t>
            </w:r>
          </w:p>
        </w:tc>
        <w:tc>
          <w:tcPr>
            <w:tcW w:w="7163" w:type="dxa"/>
            <w:noWrap/>
            <w:vAlign w:val="center"/>
          </w:tcPr>
          <w:p>
            <w:pPr>
              <w:jc w:val="both"/>
              <w:rPr>
                <w:rFonts w:ascii="宋体" w:hAnsi="宋体" w:cs="宋体"/>
                <w:szCs w:val="21"/>
              </w:rPr>
            </w:pPr>
            <w:r>
              <w:rPr>
                <w:rFonts w:hint="eastAsia" w:ascii="宋体" w:hAnsi="宋体" w:cs="宋体"/>
                <w:szCs w:val="21"/>
              </w:rPr>
              <w:t>按招标公告要求</w:t>
            </w:r>
          </w:p>
        </w:tc>
        <w:tc>
          <w:tcPr>
            <w:tcW w:w="4111" w:type="dxa"/>
            <w:noWrap/>
            <w:vAlign w:val="center"/>
          </w:tcPr>
          <w:p>
            <w:pPr>
              <w:jc w:val="left"/>
              <w:rPr>
                <w:rFonts w:ascii="宋体" w:hAnsi="宋体" w:cs="宋体"/>
                <w:szCs w:val="21"/>
              </w:rPr>
            </w:pPr>
            <w:r>
              <w:rPr>
                <w:rFonts w:hint="eastAsia" w:ascii="宋体" w:hAnsi="宋体" w:cs="宋体"/>
                <w:szCs w:val="21"/>
              </w:rPr>
              <w:t>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9" w:type="dxa"/>
            <w:noWrap/>
            <w:vAlign w:val="center"/>
          </w:tcPr>
          <w:p>
            <w:pPr>
              <w:jc w:val="center"/>
              <w:rPr>
                <w:rFonts w:ascii="宋体" w:hAnsi="宋体" w:cs="宋体"/>
                <w:szCs w:val="21"/>
              </w:rPr>
            </w:pPr>
            <w:r>
              <w:rPr>
                <w:rFonts w:hint="eastAsia" w:ascii="宋体" w:hAnsi="宋体" w:cs="宋体"/>
                <w:szCs w:val="21"/>
              </w:rPr>
              <w:t>3</w:t>
            </w:r>
          </w:p>
        </w:tc>
        <w:tc>
          <w:tcPr>
            <w:tcW w:w="1739" w:type="dxa"/>
            <w:noWrap/>
            <w:vAlign w:val="center"/>
          </w:tcPr>
          <w:p>
            <w:pPr>
              <w:jc w:val="center"/>
              <w:rPr>
                <w:rFonts w:ascii="宋体" w:hAnsi="宋体" w:cs="宋体"/>
                <w:szCs w:val="21"/>
              </w:rPr>
            </w:pPr>
            <w:r>
              <w:rPr>
                <w:rFonts w:hint="eastAsia" w:ascii="宋体" w:hAnsi="宋体" w:cs="宋体"/>
                <w:szCs w:val="21"/>
              </w:rPr>
              <w:t>质量负责人</w:t>
            </w:r>
          </w:p>
        </w:tc>
        <w:tc>
          <w:tcPr>
            <w:tcW w:w="675" w:type="dxa"/>
            <w:noWrap/>
            <w:vAlign w:val="center"/>
          </w:tcPr>
          <w:p>
            <w:pPr>
              <w:jc w:val="center"/>
              <w:rPr>
                <w:rFonts w:ascii="宋体" w:hAnsi="宋体" w:cs="宋体"/>
                <w:szCs w:val="21"/>
              </w:rPr>
            </w:pPr>
            <w:r>
              <w:rPr>
                <w:rFonts w:hint="eastAsia" w:ascii="宋体" w:hAnsi="宋体" w:cs="宋体"/>
                <w:szCs w:val="21"/>
              </w:rPr>
              <w:t>1</w:t>
            </w:r>
          </w:p>
        </w:tc>
        <w:tc>
          <w:tcPr>
            <w:tcW w:w="7163" w:type="dxa"/>
            <w:noWrap/>
            <w:vAlign w:val="center"/>
          </w:tcPr>
          <w:p>
            <w:pPr>
              <w:jc w:val="both"/>
              <w:rPr>
                <w:rFonts w:hint="default" w:ascii="宋体" w:hAnsi="宋体" w:eastAsia="宋体" w:cs="宋体"/>
                <w:szCs w:val="21"/>
                <w:lang w:val="en-US" w:eastAsia="zh-CN"/>
              </w:rPr>
            </w:pPr>
            <w:r>
              <w:rPr>
                <w:rFonts w:hint="eastAsia" w:ascii="宋体" w:hAnsi="宋体" w:cs="宋体"/>
                <w:szCs w:val="21"/>
              </w:rPr>
              <w:t>具有建筑工程相关专业工程师或以上技术职称</w:t>
            </w:r>
            <w:r>
              <w:rPr>
                <w:rFonts w:hint="eastAsia" w:ascii="宋体" w:hAnsi="宋体" w:cs="宋体"/>
                <w:szCs w:val="21"/>
                <w:lang w:val="en-US" w:eastAsia="zh-CN"/>
              </w:rPr>
              <w:t>及质量员岗位证书</w:t>
            </w:r>
          </w:p>
        </w:tc>
        <w:tc>
          <w:tcPr>
            <w:tcW w:w="4111" w:type="dxa"/>
            <w:noWrap/>
            <w:vAlign w:val="center"/>
          </w:tcPr>
          <w:p>
            <w:pPr>
              <w:jc w:val="left"/>
              <w:rPr>
                <w:rFonts w:hint="default" w:ascii="宋体" w:hAnsi="宋体" w:cs="宋体"/>
                <w:szCs w:val="21"/>
                <w:lang w:val="en-US"/>
              </w:rPr>
            </w:pPr>
            <w:r>
              <w:rPr>
                <w:rFonts w:hint="eastAsia" w:ascii="宋体" w:hAnsi="宋体" w:cs="宋体"/>
                <w:kern w:val="0"/>
                <w:szCs w:val="21"/>
              </w:rPr>
              <w:t>须提供</w:t>
            </w:r>
            <w:r>
              <w:rPr>
                <w:rFonts w:hint="eastAsia" w:ascii="宋体" w:hAnsi="宋体" w:cs="宋体"/>
                <w:szCs w:val="21"/>
              </w:rPr>
              <w:t>职称证书</w:t>
            </w:r>
            <w:r>
              <w:rPr>
                <w:rFonts w:hint="eastAsia" w:ascii="宋体" w:hAnsi="宋体" w:cs="宋体"/>
                <w:szCs w:val="21"/>
                <w:lang w:val="en-US" w:eastAsia="zh-CN"/>
              </w:rPr>
              <w:t>和质量员岗位证书、毕业证扫描件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9" w:type="dxa"/>
            <w:noWrap/>
            <w:vAlign w:val="center"/>
          </w:tcPr>
          <w:p>
            <w:pPr>
              <w:jc w:val="center"/>
              <w:rPr>
                <w:rFonts w:ascii="宋体" w:hAnsi="宋体" w:cs="宋体"/>
                <w:szCs w:val="21"/>
              </w:rPr>
            </w:pPr>
            <w:r>
              <w:rPr>
                <w:rFonts w:hint="eastAsia" w:ascii="宋体" w:hAnsi="宋体" w:cs="宋体"/>
                <w:szCs w:val="21"/>
              </w:rPr>
              <w:t>4</w:t>
            </w:r>
          </w:p>
        </w:tc>
        <w:tc>
          <w:tcPr>
            <w:tcW w:w="1739" w:type="dxa"/>
            <w:noWrap/>
            <w:vAlign w:val="center"/>
          </w:tcPr>
          <w:p>
            <w:pPr>
              <w:jc w:val="center"/>
              <w:rPr>
                <w:rFonts w:ascii="宋体" w:hAnsi="宋体" w:cs="宋体"/>
                <w:szCs w:val="21"/>
              </w:rPr>
            </w:pPr>
            <w:r>
              <w:rPr>
                <w:rFonts w:hint="eastAsia" w:ascii="宋体" w:hAnsi="宋体" w:cs="宋体"/>
                <w:szCs w:val="21"/>
              </w:rPr>
              <w:t>安全负责人</w:t>
            </w:r>
          </w:p>
        </w:tc>
        <w:tc>
          <w:tcPr>
            <w:tcW w:w="675" w:type="dxa"/>
            <w:noWrap/>
            <w:vAlign w:val="center"/>
          </w:tcPr>
          <w:p>
            <w:pPr>
              <w:jc w:val="center"/>
              <w:rPr>
                <w:rFonts w:ascii="宋体" w:hAnsi="宋体" w:cs="宋体"/>
                <w:szCs w:val="21"/>
              </w:rPr>
            </w:pPr>
            <w:r>
              <w:rPr>
                <w:rFonts w:hint="eastAsia" w:ascii="宋体" w:hAnsi="宋体" w:cs="宋体"/>
                <w:szCs w:val="21"/>
              </w:rPr>
              <w:t>1</w:t>
            </w:r>
          </w:p>
        </w:tc>
        <w:tc>
          <w:tcPr>
            <w:tcW w:w="7163" w:type="dxa"/>
            <w:noWrap/>
            <w:vAlign w:val="center"/>
          </w:tcPr>
          <w:p>
            <w:pPr>
              <w:jc w:val="both"/>
              <w:rPr>
                <w:rFonts w:hint="eastAsia" w:ascii="宋体" w:hAnsi="宋体" w:eastAsia="宋体" w:cs="宋体"/>
                <w:szCs w:val="21"/>
                <w:lang w:eastAsia="zh-CN"/>
              </w:rPr>
            </w:pPr>
            <w:r>
              <w:rPr>
                <w:rFonts w:hint="eastAsia" w:ascii="宋体" w:hAnsi="宋体" w:cs="宋体"/>
                <w:szCs w:val="21"/>
              </w:rPr>
              <w:t>同时具有建筑工程相关专业工程师或以上技术职称及安全生产考核合格证（C</w:t>
            </w:r>
            <w:r>
              <w:rPr>
                <w:rFonts w:hint="eastAsia" w:ascii="宋体" w:hAnsi="宋体" w:cs="宋体"/>
                <w:szCs w:val="21"/>
                <w:lang w:val="en-US" w:eastAsia="zh-CN"/>
              </w:rPr>
              <w:t>3</w:t>
            </w:r>
            <w:r>
              <w:rPr>
                <w:rFonts w:hint="eastAsia" w:ascii="宋体" w:hAnsi="宋体" w:cs="宋体"/>
                <w:szCs w:val="21"/>
              </w:rPr>
              <w:t>类）</w:t>
            </w:r>
            <w:r>
              <w:rPr>
                <w:rFonts w:hint="eastAsia" w:ascii="宋体" w:hAnsi="宋体" w:cs="宋体"/>
                <w:szCs w:val="21"/>
                <w:lang w:val="en-US" w:eastAsia="zh-CN"/>
              </w:rPr>
              <w:t>证书</w:t>
            </w:r>
          </w:p>
        </w:tc>
        <w:tc>
          <w:tcPr>
            <w:tcW w:w="4111" w:type="dxa"/>
            <w:noWrap/>
            <w:vAlign w:val="center"/>
          </w:tcPr>
          <w:p>
            <w:pPr>
              <w:jc w:val="left"/>
              <w:rPr>
                <w:rFonts w:hint="eastAsia" w:ascii="宋体" w:hAnsi="宋体" w:eastAsia="宋体" w:cs="宋体"/>
                <w:szCs w:val="21"/>
                <w:lang w:eastAsia="zh-CN"/>
              </w:rPr>
            </w:pPr>
            <w:r>
              <w:rPr>
                <w:rFonts w:hint="eastAsia" w:ascii="宋体" w:hAnsi="宋体" w:cs="宋体"/>
                <w:kern w:val="0"/>
                <w:szCs w:val="21"/>
              </w:rPr>
              <w:t>须提供</w:t>
            </w:r>
            <w:r>
              <w:rPr>
                <w:rFonts w:hint="eastAsia" w:ascii="宋体" w:hAnsi="宋体" w:cs="宋体"/>
                <w:szCs w:val="21"/>
              </w:rPr>
              <w:t>职称证书</w:t>
            </w:r>
            <w:r>
              <w:rPr>
                <w:rFonts w:hint="eastAsia" w:ascii="宋体" w:hAnsi="宋体" w:cs="宋体"/>
                <w:szCs w:val="21"/>
                <w:lang w:val="en-US" w:eastAsia="zh-CN"/>
              </w:rPr>
              <w:t>和</w:t>
            </w:r>
            <w:r>
              <w:rPr>
                <w:rFonts w:hint="eastAsia" w:ascii="宋体" w:hAnsi="宋体" w:cs="宋体"/>
                <w:szCs w:val="21"/>
              </w:rPr>
              <w:t>安全生产考核合格证（C</w:t>
            </w:r>
            <w:r>
              <w:rPr>
                <w:rFonts w:hint="eastAsia" w:ascii="宋体" w:hAnsi="宋体" w:cs="宋体"/>
                <w:szCs w:val="21"/>
                <w:lang w:val="en-US" w:eastAsia="zh-CN"/>
              </w:rPr>
              <w:t>3</w:t>
            </w:r>
            <w:r>
              <w:rPr>
                <w:rFonts w:hint="eastAsia" w:ascii="宋体" w:hAnsi="宋体" w:cs="宋体"/>
                <w:szCs w:val="21"/>
              </w:rPr>
              <w:t>类）</w:t>
            </w:r>
            <w:r>
              <w:rPr>
                <w:rFonts w:hint="eastAsia" w:ascii="宋体" w:hAnsi="宋体" w:cs="宋体"/>
                <w:szCs w:val="21"/>
                <w:lang w:val="en-US" w:eastAsia="zh-CN"/>
              </w:rPr>
              <w:t>证书、毕业证扫描件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9" w:type="dxa"/>
            <w:noWrap/>
            <w:vAlign w:val="center"/>
          </w:tcPr>
          <w:p>
            <w:pPr>
              <w:jc w:val="center"/>
              <w:rPr>
                <w:rFonts w:ascii="宋体" w:hAnsi="宋体" w:cs="宋体"/>
                <w:szCs w:val="21"/>
              </w:rPr>
            </w:pPr>
            <w:r>
              <w:rPr>
                <w:rFonts w:hint="eastAsia" w:ascii="宋体" w:hAnsi="宋体" w:cs="宋体"/>
                <w:szCs w:val="21"/>
              </w:rPr>
              <w:t>5</w:t>
            </w:r>
          </w:p>
        </w:tc>
        <w:tc>
          <w:tcPr>
            <w:tcW w:w="1739" w:type="dxa"/>
            <w:noWrap/>
            <w:vAlign w:val="center"/>
          </w:tcPr>
          <w:p>
            <w:pPr>
              <w:jc w:val="center"/>
              <w:rPr>
                <w:rFonts w:ascii="宋体" w:hAnsi="宋体" w:cs="宋体"/>
                <w:szCs w:val="21"/>
              </w:rPr>
            </w:pPr>
            <w:r>
              <w:rPr>
                <w:rFonts w:hint="eastAsia" w:ascii="宋体" w:hAnsi="宋体" w:cs="宋体"/>
                <w:szCs w:val="21"/>
              </w:rPr>
              <w:t>造价负责人</w:t>
            </w:r>
          </w:p>
        </w:tc>
        <w:tc>
          <w:tcPr>
            <w:tcW w:w="675" w:type="dxa"/>
            <w:noWrap/>
            <w:vAlign w:val="center"/>
          </w:tcPr>
          <w:p>
            <w:pPr>
              <w:jc w:val="center"/>
              <w:rPr>
                <w:rFonts w:ascii="宋体" w:hAnsi="宋体" w:cs="宋体"/>
                <w:szCs w:val="21"/>
              </w:rPr>
            </w:pPr>
            <w:r>
              <w:rPr>
                <w:rFonts w:hint="eastAsia" w:ascii="宋体" w:hAnsi="宋体" w:cs="宋体"/>
                <w:szCs w:val="21"/>
              </w:rPr>
              <w:t>1</w:t>
            </w:r>
          </w:p>
        </w:tc>
        <w:tc>
          <w:tcPr>
            <w:tcW w:w="7163" w:type="dxa"/>
            <w:noWrap/>
            <w:vAlign w:val="center"/>
          </w:tcPr>
          <w:p>
            <w:pPr>
              <w:jc w:val="both"/>
              <w:rPr>
                <w:rFonts w:ascii="宋体" w:hAnsi="宋体" w:cs="宋体"/>
                <w:szCs w:val="21"/>
              </w:rPr>
            </w:pPr>
            <w:r>
              <w:rPr>
                <w:rFonts w:hint="eastAsia" w:ascii="宋体" w:hAnsi="宋体" w:cs="宋体"/>
                <w:szCs w:val="21"/>
              </w:rPr>
              <w:t>具有</w:t>
            </w:r>
            <w:r>
              <w:rPr>
                <w:rFonts w:hint="eastAsia" w:ascii="宋体" w:hAnsi="宋体" w:cs="宋体"/>
                <w:szCs w:val="21"/>
                <w:lang w:val="en-US" w:eastAsia="zh-CN"/>
              </w:rPr>
              <w:t>造价</w:t>
            </w:r>
            <w:r>
              <w:rPr>
                <w:rFonts w:hint="eastAsia" w:ascii="宋体" w:hAnsi="宋体" w:cs="宋体"/>
                <w:szCs w:val="21"/>
              </w:rPr>
              <w:t>相关专业工程师或以上技术职称及有效期内的造价工程师注册证。</w:t>
            </w:r>
          </w:p>
        </w:tc>
        <w:tc>
          <w:tcPr>
            <w:tcW w:w="4111" w:type="dxa"/>
            <w:noWrap/>
            <w:vAlign w:val="center"/>
          </w:tcPr>
          <w:p>
            <w:pPr>
              <w:jc w:val="left"/>
              <w:rPr>
                <w:rFonts w:ascii="宋体" w:hAnsi="宋体" w:cs="宋体"/>
                <w:szCs w:val="21"/>
              </w:rPr>
            </w:pPr>
            <w:r>
              <w:rPr>
                <w:rFonts w:hint="eastAsia" w:ascii="宋体" w:hAnsi="宋体" w:cs="宋体"/>
                <w:kern w:val="0"/>
                <w:szCs w:val="21"/>
              </w:rPr>
              <w:t>须提供</w:t>
            </w:r>
            <w:r>
              <w:rPr>
                <w:rFonts w:hint="eastAsia" w:ascii="宋体" w:hAnsi="宋体" w:cs="宋体"/>
                <w:szCs w:val="21"/>
              </w:rPr>
              <w:t>职称证书和有效期内的造价工程师注册证</w:t>
            </w:r>
            <w:r>
              <w:rPr>
                <w:rFonts w:hint="eastAsia" w:ascii="宋体" w:hAnsi="宋体" w:cs="宋体"/>
                <w:szCs w:val="21"/>
                <w:lang w:val="en-US" w:eastAsia="zh-CN"/>
              </w:rPr>
              <w:t>、毕业证</w:t>
            </w:r>
            <w:r>
              <w:rPr>
                <w:rFonts w:hint="eastAsia" w:ascii="宋体" w:hAnsi="宋体" w:cs="宋体"/>
                <w:szCs w:val="21"/>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9"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6</w:t>
            </w:r>
          </w:p>
        </w:tc>
        <w:tc>
          <w:tcPr>
            <w:tcW w:w="1739" w:type="dxa"/>
            <w:noWrap/>
            <w:vAlign w:val="center"/>
          </w:tcPr>
          <w:p>
            <w:pPr>
              <w:jc w:val="center"/>
              <w:rPr>
                <w:rFonts w:hint="eastAsia" w:ascii="宋体" w:hAnsi="宋体" w:eastAsia="宋体" w:cs="宋体"/>
                <w:szCs w:val="21"/>
              </w:rPr>
            </w:pPr>
            <w:r>
              <w:rPr>
                <w:rFonts w:hint="eastAsia" w:ascii="宋体" w:hAnsi="宋体" w:eastAsia="宋体" w:cs="宋体"/>
                <w:szCs w:val="21"/>
                <w:lang w:val="en-US" w:eastAsia="zh-CN"/>
              </w:rPr>
              <w:t>建筑工程类</w:t>
            </w:r>
            <w:r>
              <w:rPr>
                <w:rFonts w:hint="eastAsia" w:ascii="宋体" w:hAnsi="宋体" w:eastAsia="宋体" w:cs="宋体"/>
                <w:szCs w:val="21"/>
              </w:rPr>
              <w:t>专业</w:t>
            </w:r>
          </w:p>
          <w:p>
            <w:pPr>
              <w:jc w:val="center"/>
              <w:rPr>
                <w:rFonts w:hint="eastAsia" w:ascii="宋体" w:hAnsi="宋体" w:eastAsia="宋体" w:cs="宋体"/>
                <w:kern w:val="2"/>
                <w:sz w:val="21"/>
                <w:szCs w:val="21"/>
                <w:lang w:val="en-US" w:eastAsia="zh-CN" w:bidi="ar-SA"/>
              </w:rPr>
            </w:pPr>
            <w:r>
              <w:rPr>
                <w:rFonts w:hint="eastAsia" w:ascii="宋体" w:hAnsi="宋体" w:cs="宋体"/>
                <w:szCs w:val="21"/>
              </w:rPr>
              <w:t>工程师</w:t>
            </w:r>
          </w:p>
        </w:tc>
        <w:tc>
          <w:tcPr>
            <w:tcW w:w="675"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1</w:t>
            </w:r>
          </w:p>
        </w:tc>
        <w:tc>
          <w:tcPr>
            <w:tcW w:w="7163" w:type="dxa"/>
            <w:noWrap/>
            <w:vAlign w:val="center"/>
          </w:tcPr>
          <w:p>
            <w:pPr>
              <w:jc w:val="both"/>
              <w:rPr>
                <w:rFonts w:hint="eastAsia" w:ascii="宋体" w:hAnsi="宋体" w:eastAsia="宋体" w:cs="宋体"/>
                <w:kern w:val="2"/>
                <w:sz w:val="21"/>
                <w:szCs w:val="21"/>
                <w:lang w:val="en-US" w:eastAsia="zh-CN" w:bidi="ar-SA"/>
              </w:rPr>
            </w:pPr>
            <w:r>
              <w:rPr>
                <w:rFonts w:hint="eastAsia" w:ascii="宋体" w:hAnsi="宋体" w:cs="宋体"/>
                <w:szCs w:val="21"/>
              </w:rPr>
              <w:t>具有</w:t>
            </w:r>
            <w:r>
              <w:rPr>
                <w:rFonts w:hint="eastAsia" w:ascii="宋体" w:hAnsi="宋体" w:cs="宋体"/>
                <w:szCs w:val="21"/>
                <w:lang w:val="en-US" w:eastAsia="zh-CN"/>
              </w:rPr>
              <w:t>建筑工程类</w:t>
            </w:r>
            <w:r>
              <w:rPr>
                <w:rFonts w:hint="eastAsia" w:ascii="宋体" w:hAnsi="宋体" w:cs="宋体"/>
                <w:szCs w:val="21"/>
              </w:rPr>
              <w:t>相关专业工程师或以上技术职称</w:t>
            </w:r>
          </w:p>
        </w:tc>
        <w:tc>
          <w:tcPr>
            <w:tcW w:w="4111" w:type="dxa"/>
            <w:noWrap/>
            <w:vAlign w:val="center"/>
          </w:tcPr>
          <w:p>
            <w:pPr>
              <w:jc w:val="left"/>
              <w:rPr>
                <w:rFonts w:hint="eastAsia" w:ascii="宋体" w:hAnsi="宋体" w:eastAsia="宋体" w:cs="宋体"/>
                <w:kern w:val="2"/>
                <w:sz w:val="21"/>
                <w:szCs w:val="21"/>
                <w:lang w:val="en-US" w:eastAsia="zh-CN" w:bidi="ar-SA"/>
              </w:rPr>
            </w:pPr>
            <w:r>
              <w:rPr>
                <w:rFonts w:hint="eastAsia" w:ascii="宋体" w:hAnsi="宋体" w:cs="宋体"/>
                <w:kern w:val="0"/>
                <w:szCs w:val="21"/>
              </w:rPr>
              <w:t>须提供</w:t>
            </w:r>
            <w:r>
              <w:rPr>
                <w:rFonts w:hint="eastAsia" w:ascii="宋体" w:hAnsi="宋体" w:cs="宋体"/>
                <w:szCs w:val="21"/>
              </w:rPr>
              <w:t>职称证书</w:t>
            </w:r>
            <w:r>
              <w:rPr>
                <w:rFonts w:hint="eastAsia" w:ascii="宋体" w:hAnsi="宋体" w:cs="宋体"/>
                <w:szCs w:val="21"/>
                <w:lang w:val="en-US" w:eastAsia="zh-CN"/>
              </w:rPr>
              <w:t>、毕业证</w:t>
            </w:r>
            <w:r>
              <w:rPr>
                <w:rFonts w:hint="eastAsia" w:ascii="宋体" w:hAnsi="宋体" w:cs="宋体"/>
                <w:szCs w:val="21"/>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9"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7</w:t>
            </w:r>
          </w:p>
        </w:tc>
        <w:tc>
          <w:tcPr>
            <w:tcW w:w="1739"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结构</w:t>
            </w:r>
            <w:r>
              <w:rPr>
                <w:rFonts w:hint="eastAsia" w:ascii="宋体" w:hAnsi="宋体" w:eastAsia="宋体" w:cs="宋体"/>
                <w:szCs w:val="21"/>
                <w:lang w:val="en-US" w:eastAsia="zh-CN"/>
              </w:rPr>
              <w:t>专业</w:t>
            </w:r>
            <w:r>
              <w:rPr>
                <w:rFonts w:hint="eastAsia" w:ascii="宋体" w:hAnsi="宋体" w:cs="宋体"/>
                <w:szCs w:val="21"/>
              </w:rPr>
              <w:t>工程师</w:t>
            </w:r>
          </w:p>
        </w:tc>
        <w:tc>
          <w:tcPr>
            <w:tcW w:w="675" w:type="dxa"/>
            <w:noWrap/>
            <w:vAlign w:val="center"/>
          </w:tcPr>
          <w:p>
            <w:pPr>
              <w:jc w:val="center"/>
              <w:rPr>
                <w:rFonts w:ascii="宋体" w:hAnsi="宋体" w:eastAsia="宋体" w:cs="宋体"/>
                <w:kern w:val="2"/>
                <w:sz w:val="21"/>
                <w:szCs w:val="21"/>
                <w:lang w:val="en-US" w:eastAsia="zh-CN" w:bidi="ar-SA"/>
              </w:rPr>
            </w:pPr>
            <w:r>
              <w:rPr>
                <w:rFonts w:hint="eastAsia" w:ascii="宋体" w:hAnsi="宋体" w:cs="宋体"/>
                <w:szCs w:val="21"/>
                <w:lang w:val="en-US" w:eastAsia="zh-CN"/>
              </w:rPr>
              <w:t>1</w:t>
            </w:r>
          </w:p>
        </w:tc>
        <w:tc>
          <w:tcPr>
            <w:tcW w:w="7163" w:type="dxa"/>
            <w:noWrap/>
            <w:vAlign w:val="center"/>
          </w:tcPr>
          <w:p>
            <w:pPr>
              <w:jc w:val="both"/>
              <w:rPr>
                <w:rFonts w:hint="default" w:ascii="宋体" w:hAnsi="宋体" w:eastAsia="宋体" w:cs="宋体"/>
                <w:kern w:val="2"/>
                <w:sz w:val="21"/>
                <w:szCs w:val="21"/>
                <w:lang w:val="en-US" w:eastAsia="zh-CN" w:bidi="ar-SA"/>
              </w:rPr>
            </w:pPr>
            <w:r>
              <w:rPr>
                <w:rFonts w:hint="eastAsia" w:ascii="宋体" w:hAnsi="宋体" w:cs="宋体"/>
                <w:szCs w:val="21"/>
              </w:rPr>
              <w:t>具有</w:t>
            </w:r>
            <w:r>
              <w:rPr>
                <w:rFonts w:hint="eastAsia" w:ascii="宋体" w:hAnsi="宋体"/>
                <w:szCs w:val="21"/>
              </w:rPr>
              <w:t>结构工程</w:t>
            </w:r>
            <w:r>
              <w:rPr>
                <w:rFonts w:hint="eastAsia" w:ascii="宋体" w:hAnsi="宋体"/>
                <w:szCs w:val="21"/>
                <w:lang w:val="en-US" w:eastAsia="zh-CN"/>
              </w:rPr>
              <w:t>类</w:t>
            </w:r>
            <w:r>
              <w:rPr>
                <w:rFonts w:hint="eastAsia" w:ascii="宋体" w:hAnsi="宋体" w:cs="宋体"/>
                <w:szCs w:val="21"/>
              </w:rPr>
              <w:t>相关专业工程师或以上技术职称</w:t>
            </w:r>
          </w:p>
        </w:tc>
        <w:tc>
          <w:tcPr>
            <w:tcW w:w="4111" w:type="dxa"/>
            <w:noWrap/>
            <w:vAlign w:val="center"/>
          </w:tcPr>
          <w:p>
            <w:pPr>
              <w:jc w:val="left"/>
              <w:rPr>
                <w:rFonts w:ascii="宋体" w:hAnsi="宋体" w:eastAsia="宋体" w:cs="宋体"/>
                <w:kern w:val="2"/>
                <w:sz w:val="21"/>
                <w:szCs w:val="21"/>
                <w:lang w:val="en-US" w:eastAsia="zh-CN" w:bidi="ar-SA"/>
              </w:rPr>
            </w:pPr>
            <w:r>
              <w:rPr>
                <w:rFonts w:hint="eastAsia" w:ascii="宋体" w:hAnsi="宋体" w:cs="宋体"/>
                <w:kern w:val="0"/>
                <w:szCs w:val="21"/>
              </w:rPr>
              <w:t>须提供</w:t>
            </w:r>
            <w:r>
              <w:rPr>
                <w:rFonts w:hint="eastAsia" w:ascii="宋体" w:hAnsi="宋体" w:cs="宋体"/>
                <w:szCs w:val="21"/>
              </w:rPr>
              <w:t>职称证书</w:t>
            </w:r>
            <w:r>
              <w:rPr>
                <w:rFonts w:hint="eastAsia" w:ascii="宋体" w:hAnsi="宋体" w:cs="宋体"/>
                <w:szCs w:val="21"/>
                <w:lang w:val="en-US" w:eastAsia="zh-CN"/>
              </w:rPr>
              <w:t>、毕业证</w:t>
            </w:r>
            <w:r>
              <w:rPr>
                <w:rFonts w:hint="eastAsia" w:ascii="宋体" w:hAnsi="宋体" w:cs="宋体"/>
                <w:szCs w:val="21"/>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9"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8</w:t>
            </w:r>
          </w:p>
        </w:tc>
        <w:tc>
          <w:tcPr>
            <w:tcW w:w="1739"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装</w:t>
            </w:r>
            <w:r>
              <w:rPr>
                <w:rFonts w:hint="eastAsia" w:ascii="宋体" w:hAnsi="宋体" w:eastAsia="宋体" w:cs="宋体"/>
                <w:szCs w:val="21"/>
                <w:lang w:val="en-US" w:eastAsia="zh-CN"/>
              </w:rPr>
              <w:t>饰</w:t>
            </w:r>
            <w:r>
              <w:rPr>
                <w:rFonts w:hint="eastAsia" w:ascii="宋体" w:hAnsi="宋体" w:eastAsia="宋体" w:cs="宋体"/>
                <w:szCs w:val="21"/>
              </w:rPr>
              <w:t>专业</w:t>
            </w:r>
            <w:r>
              <w:rPr>
                <w:rFonts w:hint="eastAsia" w:ascii="宋体" w:hAnsi="宋体" w:cs="宋体"/>
                <w:szCs w:val="21"/>
              </w:rPr>
              <w:t>工程师</w:t>
            </w:r>
          </w:p>
        </w:tc>
        <w:tc>
          <w:tcPr>
            <w:tcW w:w="675" w:type="dxa"/>
            <w:noWrap/>
            <w:vAlign w:val="center"/>
          </w:tcPr>
          <w:p>
            <w:pPr>
              <w:jc w:val="center"/>
              <w:rPr>
                <w:rFonts w:ascii="宋体" w:hAnsi="宋体" w:eastAsia="宋体" w:cs="宋体"/>
                <w:kern w:val="2"/>
                <w:sz w:val="21"/>
                <w:szCs w:val="21"/>
                <w:lang w:val="en-US" w:eastAsia="zh-CN" w:bidi="ar-SA"/>
              </w:rPr>
            </w:pPr>
            <w:r>
              <w:rPr>
                <w:rFonts w:hint="eastAsia" w:ascii="宋体" w:hAnsi="宋体" w:cs="宋体"/>
                <w:szCs w:val="21"/>
              </w:rPr>
              <w:t>1</w:t>
            </w:r>
          </w:p>
        </w:tc>
        <w:tc>
          <w:tcPr>
            <w:tcW w:w="7163" w:type="dxa"/>
            <w:noWrap/>
            <w:vAlign w:val="center"/>
          </w:tcPr>
          <w:p>
            <w:pPr>
              <w:jc w:val="both"/>
              <w:rPr>
                <w:rFonts w:hint="default" w:ascii="宋体" w:hAnsi="宋体" w:eastAsia="宋体" w:cs="宋体"/>
                <w:kern w:val="2"/>
                <w:sz w:val="21"/>
                <w:szCs w:val="21"/>
                <w:lang w:val="en-US" w:eastAsia="zh-CN" w:bidi="ar-SA"/>
              </w:rPr>
            </w:pPr>
            <w:r>
              <w:rPr>
                <w:rFonts w:hint="eastAsia" w:ascii="宋体" w:hAnsi="宋体" w:cs="宋体"/>
                <w:szCs w:val="21"/>
              </w:rPr>
              <w:t>具有</w:t>
            </w:r>
            <w:r>
              <w:rPr>
                <w:rFonts w:hint="eastAsia" w:ascii="宋体" w:hAnsi="宋体"/>
                <w:szCs w:val="21"/>
              </w:rPr>
              <w:t>建筑</w:t>
            </w:r>
            <w:r>
              <w:rPr>
                <w:rFonts w:hint="eastAsia" w:ascii="宋体" w:hAnsi="宋体"/>
                <w:szCs w:val="21"/>
                <w:lang w:val="en-US" w:eastAsia="zh-CN"/>
              </w:rPr>
              <w:t>装修</w:t>
            </w:r>
            <w:r>
              <w:rPr>
                <w:rFonts w:hint="eastAsia" w:ascii="宋体" w:hAnsi="宋体" w:cs="宋体"/>
                <w:szCs w:val="21"/>
              </w:rPr>
              <w:t>相关专业工程师或以上技术职称</w:t>
            </w:r>
          </w:p>
        </w:tc>
        <w:tc>
          <w:tcPr>
            <w:tcW w:w="4111" w:type="dxa"/>
            <w:noWrap/>
            <w:vAlign w:val="center"/>
          </w:tcPr>
          <w:p>
            <w:pPr>
              <w:jc w:val="left"/>
              <w:rPr>
                <w:rFonts w:ascii="宋体" w:hAnsi="宋体" w:eastAsia="宋体" w:cs="宋体"/>
                <w:kern w:val="2"/>
                <w:sz w:val="21"/>
                <w:szCs w:val="21"/>
                <w:lang w:val="en-US" w:eastAsia="zh-CN" w:bidi="ar-SA"/>
              </w:rPr>
            </w:pPr>
            <w:r>
              <w:rPr>
                <w:rFonts w:hint="eastAsia" w:ascii="宋体" w:hAnsi="宋体" w:cs="宋体"/>
                <w:kern w:val="0"/>
                <w:szCs w:val="21"/>
              </w:rPr>
              <w:t>须提供</w:t>
            </w:r>
            <w:r>
              <w:rPr>
                <w:rFonts w:hint="eastAsia" w:ascii="宋体" w:hAnsi="宋体" w:cs="宋体"/>
                <w:szCs w:val="21"/>
              </w:rPr>
              <w:t>职称证书</w:t>
            </w:r>
            <w:r>
              <w:rPr>
                <w:rFonts w:hint="eastAsia" w:ascii="宋体" w:hAnsi="宋体" w:cs="宋体"/>
                <w:szCs w:val="21"/>
                <w:lang w:val="en-US" w:eastAsia="zh-CN"/>
              </w:rPr>
              <w:t>、毕业证</w:t>
            </w:r>
            <w:bookmarkStart w:id="47" w:name="_GoBack"/>
            <w:bookmarkEnd w:id="47"/>
            <w:r>
              <w:rPr>
                <w:rFonts w:hint="eastAsia" w:ascii="宋体" w:hAnsi="宋体" w:cs="宋体"/>
                <w:szCs w:val="21"/>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9"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9</w:t>
            </w:r>
          </w:p>
        </w:tc>
        <w:tc>
          <w:tcPr>
            <w:tcW w:w="1739"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电气专业工程师</w:t>
            </w:r>
          </w:p>
        </w:tc>
        <w:tc>
          <w:tcPr>
            <w:tcW w:w="675"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1</w:t>
            </w:r>
          </w:p>
        </w:tc>
        <w:tc>
          <w:tcPr>
            <w:tcW w:w="7163" w:type="dxa"/>
            <w:noWrap/>
            <w:vAlign w:val="center"/>
          </w:tcPr>
          <w:p>
            <w:pPr>
              <w:jc w:val="both"/>
              <w:rPr>
                <w:rFonts w:hint="eastAsia" w:ascii="宋体" w:hAnsi="宋体" w:eastAsia="宋体" w:cs="宋体"/>
                <w:kern w:val="2"/>
                <w:sz w:val="21"/>
                <w:szCs w:val="21"/>
                <w:lang w:val="en-US" w:eastAsia="zh-CN" w:bidi="ar-SA"/>
              </w:rPr>
            </w:pPr>
            <w:r>
              <w:rPr>
                <w:rFonts w:hint="eastAsia" w:ascii="宋体" w:hAnsi="宋体" w:cs="宋体"/>
                <w:szCs w:val="21"/>
              </w:rPr>
              <w:t>具有电气</w:t>
            </w:r>
            <w:r>
              <w:rPr>
                <w:rFonts w:hint="eastAsia" w:ascii="宋体" w:hAnsi="宋体" w:cs="宋体"/>
                <w:szCs w:val="21"/>
                <w:lang w:val="en-US" w:eastAsia="zh-CN"/>
              </w:rPr>
              <w:t>施工类</w:t>
            </w:r>
            <w:r>
              <w:rPr>
                <w:rFonts w:hint="eastAsia" w:ascii="宋体" w:hAnsi="宋体" w:cs="宋体"/>
                <w:szCs w:val="21"/>
              </w:rPr>
              <w:t>相关专业工程师或以上技术职称</w:t>
            </w:r>
          </w:p>
        </w:tc>
        <w:tc>
          <w:tcPr>
            <w:tcW w:w="4111" w:type="dxa"/>
            <w:noWrap/>
            <w:vAlign w:val="center"/>
          </w:tcPr>
          <w:p>
            <w:pPr>
              <w:jc w:val="left"/>
              <w:rPr>
                <w:rFonts w:hint="eastAsia" w:ascii="宋体" w:hAnsi="宋体" w:eastAsia="宋体" w:cs="宋体"/>
                <w:kern w:val="2"/>
                <w:sz w:val="21"/>
                <w:szCs w:val="21"/>
                <w:lang w:val="en-US" w:eastAsia="zh-CN" w:bidi="ar-SA"/>
              </w:rPr>
            </w:pPr>
            <w:r>
              <w:rPr>
                <w:rFonts w:hint="eastAsia" w:ascii="宋体" w:hAnsi="宋体" w:cs="宋体"/>
                <w:kern w:val="0"/>
                <w:szCs w:val="21"/>
              </w:rPr>
              <w:t>须提供</w:t>
            </w:r>
            <w:r>
              <w:rPr>
                <w:rFonts w:hint="eastAsia" w:ascii="宋体" w:hAnsi="宋体" w:cs="宋体"/>
                <w:szCs w:val="21"/>
              </w:rPr>
              <w:t>职称证书</w:t>
            </w:r>
            <w:r>
              <w:rPr>
                <w:rFonts w:hint="eastAsia" w:ascii="宋体" w:hAnsi="宋体" w:cs="宋体"/>
                <w:szCs w:val="21"/>
                <w:lang w:val="en-US" w:eastAsia="zh-CN"/>
              </w:rPr>
              <w:t>、毕业证</w:t>
            </w:r>
            <w:r>
              <w:rPr>
                <w:rFonts w:hint="eastAsia" w:ascii="宋体" w:hAnsi="宋体" w:cs="宋体"/>
                <w:szCs w:val="21"/>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9"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10</w:t>
            </w:r>
          </w:p>
        </w:tc>
        <w:tc>
          <w:tcPr>
            <w:tcW w:w="1739"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测量专业</w:t>
            </w:r>
            <w:r>
              <w:rPr>
                <w:rFonts w:hint="eastAsia" w:ascii="宋体" w:hAnsi="宋体" w:cs="宋体"/>
                <w:szCs w:val="21"/>
              </w:rPr>
              <w:t>工程师</w:t>
            </w:r>
          </w:p>
        </w:tc>
        <w:tc>
          <w:tcPr>
            <w:tcW w:w="675"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w:t>
            </w:r>
          </w:p>
        </w:tc>
        <w:tc>
          <w:tcPr>
            <w:tcW w:w="7163" w:type="dxa"/>
            <w:noWrap/>
            <w:vAlign w:val="center"/>
          </w:tcPr>
          <w:p>
            <w:pPr>
              <w:jc w:val="both"/>
              <w:rPr>
                <w:rFonts w:hint="eastAsia" w:ascii="宋体" w:hAnsi="宋体" w:eastAsia="宋体" w:cs="宋体"/>
                <w:kern w:val="2"/>
                <w:sz w:val="21"/>
                <w:szCs w:val="21"/>
                <w:lang w:val="en-US" w:eastAsia="zh-CN" w:bidi="ar-SA"/>
              </w:rPr>
            </w:pPr>
            <w:r>
              <w:rPr>
                <w:rFonts w:hint="eastAsia" w:ascii="宋体" w:hAnsi="宋体" w:cs="宋体"/>
                <w:szCs w:val="21"/>
              </w:rPr>
              <w:t>具有工程测量相关专业工程师或以上技术职称</w:t>
            </w:r>
          </w:p>
        </w:tc>
        <w:tc>
          <w:tcPr>
            <w:tcW w:w="4111" w:type="dxa"/>
            <w:noWrap/>
            <w:vAlign w:val="center"/>
          </w:tcPr>
          <w:p>
            <w:pPr>
              <w:jc w:val="left"/>
              <w:rPr>
                <w:rFonts w:hint="eastAsia" w:ascii="宋体" w:hAnsi="宋体" w:eastAsia="宋体" w:cs="宋体"/>
                <w:kern w:val="2"/>
                <w:sz w:val="21"/>
                <w:szCs w:val="21"/>
                <w:lang w:val="en-US" w:eastAsia="zh-CN" w:bidi="ar-SA"/>
              </w:rPr>
            </w:pPr>
            <w:r>
              <w:rPr>
                <w:rFonts w:hint="eastAsia" w:ascii="宋体" w:hAnsi="宋体" w:cs="宋体"/>
                <w:kern w:val="0"/>
                <w:szCs w:val="21"/>
              </w:rPr>
              <w:t>须提供</w:t>
            </w:r>
            <w:r>
              <w:rPr>
                <w:rFonts w:hint="eastAsia" w:ascii="宋体" w:hAnsi="宋体" w:cs="宋体"/>
                <w:szCs w:val="21"/>
              </w:rPr>
              <w:t>职称证书</w:t>
            </w:r>
            <w:r>
              <w:rPr>
                <w:rFonts w:hint="eastAsia" w:ascii="宋体" w:hAnsi="宋体" w:cs="宋体"/>
                <w:szCs w:val="21"/>
                <w:lang w:val="en-US" w:eastAsia="zh-CN"/>
              </w:rPr>
              <w:t>、毕业证</w:t>
            </w:r>
            <w:r>
              <w:rPr>
                <w:rFonts w:hint="eastAsia" w:ascii="宋体" w:hAnsi="宋体" w:cs="宋体"/>
                <w:szCs w:val="21"/>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9" w:type="dxa"/>
            <w:noWrap/>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11</w:t>
            </w:r>
          </w:p>
        </w:tc>
        <w:tc>
          <w:tcPr>
            <w:tcW w:w="1739"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专职安全员</w:t>
            </w:r>
          </w:p>
        </w:tc>
        <w:tc>
          <w:tcPr>
            <w:tcW w:w="675"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w:t>
            </w:r>
          </w:p>
        </w:tc>
        <w:tc>
          <w:tcPr>
            <w:tcW w:w="7163" w:type="dxa"/>
            <w:noWrap/>
            <w:vAlign w:val="center"/>
          </w:tcPr>
          <w:p>
            <w:pPr>
              <w:jc w:val="both"/>
              <w:rPr>
                <w:rFonts w:hint="eastAsia" w:ascii="宋体" w:hAnsi="宋体" w:eastAsia="宋体" w:cs="宋体"/>
                <w:kern w:val="2"/>
                <w:sz w:val="21"/>
                <w:szCs w:val="21"/>
                <w:lang w:val="en-US" w:eastAsia="zh-CN" w:bidi="ar-SA"/>
              </w:rPr>
            </w:pPr>
            <w:r>
              <w:rPr>
                <w:rFonts w:hint="eastAsia" w:ascii="宋体" w:hAnsi="宋体" w:cs="宋体"/>
                <w:szCs w:val="21"/>
              </w:rPr>
              <w:t>按招标公告要求</w:t>
            </w:r>
          </w:p>
        </w:tc>
        <w:tc>
          <w:tcPr>
            <w:tcW w:w="4111" w:type="dxa"/>
            <w:noWrap/>
            <w:vAlign w:val="center"/>
          </w:tcPr>
          <w:p>
            <w:pPr>
              <w:jc w:val="left"/>
              <w:rPr>
                <w:rFonts w:hint="eastAsia" w:ascii="宋体" w:hAnsi="宋体" w:eastAsia="宋体" w:cs="宋体"/>
                <w:kern w:val="2"/>
                <w:sz w:val="21"/>
                <w:szCs w:val="21"/>
                <w:lang w:val="en-US" w:eastAsia="zh-CN" w:bidi="ar-SA"/>
              </w:rPr>
            </w:pPr>
            <w:r>
              <w:rPr>
                <w:rFonts w:hint="eastAsia" w:ascii="宋体" w:hAnsi="宋体" w:cs="宋体"/>
                <w:szCs w:val="21"/>
              </w:rPr>
              <w:t>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9" w:type="dxa"/>
            <w:noWrap/>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12</w:t>
            </w:r>
          </w:p>
        </w:tc>
        <w:tc>
          <w:tcPr>
            <w:tcW w:w="1739"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质量员</w:t>
            </w:r>
          </w:p>
        </w:tc>
        <w:tc>
          <w:tcPr>
            <w:tcW w:w="675" w:type="dxa"/>
            <w:noWrap/>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w:t>
            </w:r>
          </w:p>
        </w:tc>
        <w:tc>
          <w:tcPr>
            <w:tcW w:w="7163" w:type="dxa"/>
            <w:noWrap/>
            <w:vAlign w:val="center"/>
          </w:tcPr>
          <w:p>
            <w:pPr>
              <w:jc w:val="both"/>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具备相应岗位的上岗证或培训合格证</w:t>
            </w:r>
          </w:p>
        </w:tc>
        <w:tc>
          <w:tcPr>
            <w:tcW w:w="4111" w:type="dxa"/>
            <w:noWrap/>
            <w:vAlign w:val="center"/>
          </w:tcPr>
          <w:p>
            <w:pPr>
              <w:jc w:val="lef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提供质量员岗位证或培训证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9" w:type="dxa"/>
            <w:noWrap/>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13</w:t>
            </w:r>
          </w:p>
        </w:tc>
        <w:tc>
          <w:tcPr>
            <w:tcW w:w="1739" w:type="dxa"/>
            <w:noWrap/>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施工员</w:t>
            </w:r>
          </w:p>
        </w:tc>
        <w:tc>
          <w:tcPr>
            <w:tcW w:w="675" w:type="dxa"/>
            <w:noWrap/>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w:t>
            </w:r>
          </w:p>
        </w:tc>
        <w:tc>
          <w:tcPr>
            <w:tcW w:w="7163" w:type="dxa"/>
            <w:noWrap/>
            <w:vAlign w:val="center"/>
          </w:tcPr>
          <w:p>
            <w:pPr>
              <w:jc w:val="both"/>
              <w:rPr>
                <w:rFonts w:hint="default" w:ascii="宋体" w:hAnsi="宋体" w:eastAsia="宋体" w:cs="宋体"/>
                <w:kern w:val="2"/>
                <w:sz w:val="21"/>
                <w:szCs w:val="21"/>
                <w:lang w:val="en-US" w:eastAsia="zh-CN" w:bidi="ar-SA"/>
              </w:rPr>
            </w:pPr>
            <w:r>
              <w:rPr>
                <w:rFonts w:hint="eastAsia" w:ascii="宋体" w:hAnsi="宋体" w:cs="宋体"/>
                <w:szCs w:val="21"/>
                <w:lang w:val="en-US" w:eastAsia="zh-CN"/>
              </w:rPr>
              <w:t>具备相应岗位的上岗证或培训合格证</w:t>
            </w:r>
          </w:p>
        </w:tc>
        <w:tc>
          <w:tcPr>
            <w:tcW w:w="4111" w:type="dxa"/>
            <w:noWrap/>
            <w:vAlign w:val="center"/>
          </w:tcPr>
          <w:p>
            <w:pPr>
              <w:jc w:val="lef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提供施工员岗位证或培训证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9" w:type="dxa"/>
            <w:noWrap/>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14</w:t>
            </w:r>
          </w:p>
        </w:tc>
        <w:tc>
          <w:tcPr>
            <w:tcW w:w="1739" w:type="dxa"/>
            <w:noWrap/>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材料员</w:t>
            </w:r>
          </w:p>
        </w:tc>
        <w:tc>
          <w:tcPr>
            <w:tcW w:w="675" w:type="dxa"/>
            <w:noWrap/>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w:t>
            </w:r>
          </w:p>
        </w:tc>
        <w:tc>
          <w:tcPr>
            <w:tcW w:w="7163" w:type="dxa"/>
            <w:noWrap/>
            <w:vAlign w:val="center"/>
          </w:tcPr>
          <w:p>
            <w:pPr>
              <w:jc w:val="both"/>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具备相应岗位的上岗证或培训合格证</w:t>
            </w:r>
          </w:p>
        </w:tc>
        <w:tc>
          <w:tcPr>
            <w:tcW w:w="4111" w:type="dxa"/>
            <w:noWrap/>
            <w:vAlign w:val="center"/>
          </w:tcPr>
          <w:p>
            <w:pPr>
              <w:jc w:val="lef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提供材料员岗位证或培训证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9" w:type="dxa"/>
            <w:noWrap/>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15</w:t>
            </w:r>
          </w:p>
        </w:tc>
        <w:tc>
          <w:tcPr>
            <w:tcW w:w="1739" w:type="dxa"/>
            <w:noWrap/>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资料员</w:t>
            </w:r>
          </w:p>
        </w:tc>
        <w:tc>
          <w:tcPr>
            <w:tcW w:w="675" w:type="dxa"/>
            <w:noWrap/>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w:t>
            </w:r>
          </w:p>
        </w:tc>
        <w:tc>
          <w:tcPr>
            <w:tcW w:w="7163" w:type="dxa"/>
            <w:noWrap/>
            <w:vAlign w:val="center"/>
          </w:tcPr>
          <w:p>
            <w:pPr>
              <w:jc w:val="both"/>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具备相应岗位的上岗证或培训合格证</w:t>
            </w:r>
          </w:p>
        </w:tc>
        <w:tc>
          <w:tcPr>
            <w:tcW w:w="4111" w:type="dxa"/>
            <w:noWrap/>
            <w:vAlign w:val="center"/>
          </w:tcPr>
          <w:p>
            <w:pPr>
              <w:jc w:val="lef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提供资料员岗位证或培训证</w:t>
            </w:r>
          </w:p>
        </w:tc>
      </w:tr>
    </w:tbl>
    <w:p>
      <w:pPr>
        <w:rPr>
          <w:rFonts w:hint="eastAsia" w:ascii="宋体" w:hAnsi="宋体" w:cs="宋体"/>
          <w:b/>
          <w:bCs/>
          <w:szCs w:val="21"/>
        </w:rPr>
      </w:pPr>
      <w:r>
        <w:rPr>
          <w:rFonts w:hint="eastAsia" w:ascii="宋体" w:hAnsi="宋体" w:cs="宋体"/>
          <w:b/>
          <w:bCs/>
          <w:szCs w:val="21"/>
        </w:rPr>
        <w:t>注：本表中的人员均</w:t>
      </w:r>
      <w:r>
        <w:rPr>
          <w:rFonts w:hint="eastAsia" w:hAnsi="宋体" w:cs="宋体"/>
          <w:b/>
          <w:bCs/>
          <w:szCs w:val="21"/>
        </w:rPr>
        <w:t>须提供相关证书证明资料和近一个月（202</w:t>
      </w:r>
      <w:r>
        <w:rPr>
          <w:rFonts w:hint="eastAsia" w:hAnsi="宋体" w:cs="宋体"/>
          <w:b/>
          <w:bCs/>
          <w:szCs w:val="21"/>
          <w:lang w:val="en-US" w:eastAsia="zh-CN"/>
        </w:rPr>
        <w:t>2</w:t>
      </w:r>
      <w:r>
        <w:rPr>
          <w:rFonts w:hint="eastAsia" w:hAnsi="宋体" w:cs="宋体"/>
          <w:b/>
          <w:bCs/>
          <w:szCs w:val="21"/>
        </w:rPr>
        <w:t>年</w:t>
      </w:r>
      <w:r>
        <w:rPr>
          <w:rFonts w:hint="eastAsia" w:hAnsi="宋体" w:cs="宋体"/>
          <w:b/>
          <w:bCs/>
          <w:szCs w:val="21"/>
          <w:lang w:val="en-US" w:eastAsia="zh-CN"/>
        </w:rPr>
        <w:t>10</w:t>
      </w:r>
      <w:r>
        <w:rPr>
          <w:rFonts w:hint="eastAsia" w:hAnsi="宋体" w:cs="宋体"/>
          <w:b/>
          <w:bCs/>
          <w:szCs w:val="21"/>
        </w:rPr>
        <w:t>月）在投标单位缴纳社保的证明材料扫描件并加盖投标人企业电子印章，本项目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r>
        <w:rPr>
          <w:rFonts w:hint="eastAsia" w:ascii="宋体" w:hAnsi="宋体" w:cs="宋体"/>
          <w:b/>
          <w:bCs/>
          <w:szCs w:val="21"/>
        </w:rPr>
        <w:t>未按要求提供完整相关资料的人员，该人员不作为评分依据。</w:t>
      </w:r>
    </w:p>
    <w:p>
      <w:pPr>
        <w:rPr>
          <w:rFonts w:hint="eastAsia" w:ascii="宋体" w:hAnsi="宋体" w:cs="宋体"/>
          <w:sz w:val="24"/>
          <w:szCs w:val="24"/>
        </w:rPr>
      </w:pPr>
      <w:r>
        <w:rPr>
          <w:rFonts w:hint="eastAsia" w:ascii="宋体" w:hAnsi="宋体" w:cs="宋体"/>
          <w:szCs w:val="21"/>
        </w:rPr>
        <w:br w:type="page"/>
      </w:r>
      <w:r>
        <w:rPr>
          <w:rFonts w:hint="eastAsia" w:ascii="宋体" w:hAnsi="宋体" w:cs="宋体"/>
          <w:szCs w:val="21"/>
        </w:rPr>
        <w:t>附表五</w:t>
      </w:r>
    </w:p>
    <w:p>
      <w:pPr>
        <w:jc w:val="center"/>
        <w:rPr>
          <w:rFonts w:hint="eastAsia" w:ascii="宋体" w:hAnsi="宋体" w:cs="宋体"/>
          <w:b/>
          <w:sz w:val="36"/>
          <w:szCs w:val="36"/>
        </w:rPr>
      </w:pPr>
      <w:r>
        <w:rPr>
          <w:rFonts w:hint="eastAsia" w:ascii="宋体" w:hAnsi="宋体" w:cs="宋体"/>
          <w:b/>
          <w:sz w:val="36"/>
          <w:szCs w:val="36"/>
        </w:rPr>
        <w:t>经济标评分表</w:t>
      </w:r>
    </w:p>
    <w:p>
      <w:pPr>
        <w:rPr>
          <w:rFonts w:hint="eastAsia" w:ascii="宋体" w:hAnsi="宋体" w:cs="宋体"/>
          <w:szCs w:val="21"/>
        </w:rPr>
      </w:pPr>
      <w:r>
        <w:rPr>
          <w:rFonts w:hint="eastAsia" w:ascii="宋体" w:hAnsi="宋体" w:cs="宋体"/>
          <w:szCs w:val="21"/>
        </w:rPr>
        <w:t>工程名称：</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投标人名称</w:t>
            </w: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投标报价PT（元）</w:t>
            </w: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计算评标参考价的等分点值X</w:t>
            </w:r>
          </w:p>
        </w:tc>
        <w:tc>
          <w:tcPr>
            <w:tcW w:w="12577"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评标参考价PC（元）</w:t>
            </w:r>
          </w:p>
        </w:tc>
        <w:tc>
          <w:tcPr>
            <w:tcW w:w="12577"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偏差（（PT-PC）/PC）（%）</w:t>
            </w: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减分（A）</w:t>
            </w: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得分(I=100-A)</w:t>
            </w: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得分排名次序</w:t>
            </w: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bl>
    <w:p>
      <w:pPr>
        <w:rPr>
          <w:rFonts w:hint="eastAsia" w:ascii="宋体" w:hAnsi="宋体" w:cs="宋体"/>
          <w:szCs w:val="21"/>
        </w:rPr>
      </w:pPr>
      <w:r>
        <w:rPr>
          <w:rFonts w:hint="eastAsia" w:ascii="宋体" w:hAnsi="宋体" w:cs="宋体"/>
          <w:szCs w:val="21"/>
        </w:rPr>
        <w:t>评委签名：</w:t>
      </w: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b/>
          <w:szCs w:val="21"/>
        </w:rPr>
      </w:pPr>
      <w:r>
        <w:rPr>
          <w:rFonts w:hint="eastAsia" w:ascii="宋体" w:hAnsi="宋体" w:cs="宋体"/>
          <w:szCs w:val="21"/>
        </w:rPr>
        <w:t>附表六</w:t>
      </w:r>
    </w:p>
    <w:p>
      <w:pPr>
        <w:jc w:val="center"/>
        <w:rPr>
          <w:rFonts w:hint="eastAsia" w:ascii="宋体" w:hAnsi="宋体" w:cs="宋体"/>
          <w:b/>
          <w:sz w:val="36"/>
          <w:szCs w:val="36"/>
        </w:rPr>
      </w:pPr>
      <w:r>
        <w:rPr>
          <w:rFonts w:hint="eastAsia" w:ascii="宋体" w:hAnsi="宋体" w:cs="宋体"/>
          <w:b/>
          <w:sz w:val="36"/>
          <w:szCs w:val="36"/>
        </w:rPr>
        <w:t>算术复核表</w:t>
      </w:r>
    </w:p>
    <w:p>
      <w:pPr>
        <w:rPr>
          <w:rFonts w:hint="eastAsia" w:ascii="宋体" w:hAnsi="宋体" w:cs="宋体"/>
          <w:kern w:val="0"/>
          <w:szCs w:val="21"/>
        </w:rPr>
      </w:pPr>
      <w:r>
        <w:rPr>
          <w:rFonts w:hint="eastAsia" w:ascii="宋体" w:hAnsi="宋体" w:cs="宋体"/>
          <w:kern w:val="0"/>
          <w:szCs w:val="21"/>
        </w:rPr>
        <w:t>工程名称：                                           投标人:                                                  单位：元</w:t>
      </w:r>
    </w:p>
    <w:tbl>
      <w:tblPr>
        <w:tblStyle w:val="39"/>
        <w:tblW w:w="0" w:type="auto"/>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修正前投标</w:t>
            </w:r>
          </w:p>
          <w:p>
            <w:pPr>
              <w:rPr>
                <w:rFonts w:hint="eastAsia" w:ascii="宋体" w:hAnsi="宋体" w:cs="宋体"/>
                <w:kern w:val="0"/>
                <w:szCs w:val="21"/>
              </w:rPr>
            </w:pPr>
            <w:r>
              <w:rPr>
                <w:rFonts w:hint="eastAsia" w:ascii="宋体" w:hAnsi="宋体" w:cs="宋体"/>
                <w:kern w:val="0"/>
                <w:szCs w:val="21"/>
              </w:rPr>
              <w:t>报价A</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修正后投标</w:t>
            </w:r>
          </w:p>
          <w:p>
            <w:pPr>
              <w:rPr>
                <w:rFonts w:hint="eastAsia" w:ascii="宋体" w:hAnsi="宋体" w:cs="宋体"/>
                <w:kern w:val="0"/>
                <w:szCs w:val="21"/>
              </w:rPr>
            </w:pPr>
            <w:r>
              <w:rPr>
                <w:rFonts w:hint="eastAsia" w:ascii="宋体" w:hAnsi="宋体" w:cs="宋体"/>
                <w:kern w:val="0"/>
                <w:szCs w:val="21"/>
              </w:rPr>
              <w:t>报价B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Cs w:val="21"/>
                <w:lang w:eastAsia="zh-CN"/>
              </w:rPr>
            </w:pPr>
            <w:r>
              <w:rPr>
                <w:rFonts w:hint="eastAsia" w:ascii="宋体" w:hAnsi="宋体" w:cs="宋体"/>
                <w:kern w:val="0"/>
                <w:szCs w:val="21"/>
              </w:rPr>
              <w:t>修正率</w:t>
            </w:r>
          </w:p>
          <w:p>
            <w:pPr>
              <w:rPr>
                <w:rFonts w:hint="eastAsia" w:ascii="宋体" w:hAnsi="宋体" w:cs="宋体"/>
                <w:kern w:val="0"/>
                <w:szCs w:val="21"/>
              </w:rPr>
            </w:pPr>
            <w:r>
              <w:rPr>
                <w:rFonts w:hint="eastAsia" w:ascii="宋体" w:hAnsi="宋体" w:cs="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1</w:t>
            </w:r>
          </w:p>
        </w:tc>
        <w:tc>
          <w:tcPr>
            <w:tcW w:w="4488"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[单位工程1]</w:t>
            </w:r>
          </w:p>
        </w:tc>
        <w:tc>
          <w:tcPr>
            <w:tcW w:w="1602"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2</w:t>
            </w:r>
          </w:p>
        </w:tc>
        <w:tc>
          <w:tcPr>
            <w:tcW w:w="4488"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[单位工程2]</w:t>
            </w:r>
          </w:p>
        </w:tc>
        <w:tc>
          <w:tcPr>
            <w:tcW w:w="1602"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n</w:t>
            </w:r>
          </w:p>
        </w:tc>
        <w:tc>
          <w:tcPr>
            <w:tcW w:w="4488"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[单位工程n]</w:t>
            </w:r>
          </w:p>
        </w:tc>
        <w:tc>
          <w:tcPr>
            <w:tcW w:w="1602"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投标总报价</w:t>
            </w:r>
          </w:p>
        </w:tc>
        <w:tc>
          <w:tcPr>
            <w:tcW w:w="1602"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∑A=A</w:t>
            </w:r>
            <w:r>
              <w:rPr>
                <w:rFonts w:hint="eastAsia" w:ascii="宋体" w:hAnsi="宋体" w:cs="宋体"/>
                <w:kern w:val="0"/>
                <w:szCs w:val="21"/>
                <w:vertAlign w:val="subscript"/>
              </w:rPr>
              <w:t>1</w:t>
            </w:r>
            <w:r>
              <w:rPr>
                <w:rFonts w:hint="eastAsia" w:ascii="宋体" w:hAnsi="宋体" w:cs="宋体"/>
                <w:kern w:val="0"/>
                <w:szCs w:val="21"/>
              </w:rPr>
              <w:t>+A</w:t>
            </w:r>
            <w:r>
              <w:rPr>
                <w:rFonts w:hint="eastAsia" w:ascii="宋体" w:hAnsi="宋体" w:cs="宋体"/>
                <w:kern w:val="0"/>
                <w:szCs w:val="21"/>
                <w:vertAlign w:val="subscript"/>
              </w:rPr>
              <w:t>2</w:t>
            </w:r>
            <w:r>
              <w:rPr>
                <w:rFonts w:hint="eastAsia" w:ascii="宋体" w:hAnsi="宋体" w:cs="宋体"/>
                <w:kern w:val="0"/>
                <w:szCs w:val="21"/>
              </w:rPr>
              <w:t>+…An；∑B=B</w:t>
            </w:r>
            <w:r>
              <w:rPr>
                <w:rFonts w:hint="eastAsia" w:ascii="宋体" w:hAnsi="宋体" w:cs="宋体"/>
                <w:kern w:val="0"/>
                <w:szCs w:val="21"/>
                <w:vertAlign w:val="subscript"/>
              </w:rPr>
              <w:t>1</w:t>
            </w:r>
            <w:r>
              <w:rPr>
                <w:rFonts w:hint="eastAsia" w:ascii="宋体" w:hAnsi="宋体" w:cs="宋体"/>
                <w:kern w:val="0"/>
                <w:szCs w:val="21"/>
              </w:rPr>
              <w:t>+B</w:t>
            </w:r>
            <w:r>
              <w:rPr>
                <w:rFonts w:hint="eastAsia" w:ascii="宋体" w:hAnsi="宋体" w:cs="宋体"/>
                <w:kern w:val="0"/>
                <w:szCs w:val="21"/>
                <w:vertAlign w:val="subscript"/>
              </w:rPr>
              <w:t>2</w:t>
            </w:r>
            <w:r>
              <w:rPr>
                <w:rFonts w:hint="eastAsia" w:ascii="宋体" w:hAnsi="宋体" w:cs="宋体"/>
                <w:kern w:val="0"/>
                <w:szCs w:val="21"/>
              </w:rPr>
              <w:t>+…Bn</w:t>
            </w:r>
          </w:p>
        </w:tc>
      </w:tr>
    </w:tbl>
    <w:p>
      <w:pPr>
        <w:rPr>
          <w:rFonts w:hint="eastAsia" w:ascii="宋体" w:hAnsi="宋体" w:cs="宋体"/>
          <w:kern w:val="0"/>
          <w:szCs w:val="21"/>
        </w:rPr>
      </w:pPr>
      <w:r>
        <w:rPr>
          <w:rFonts w:hint="eastAsia" w:ascii="宋体" w:hAnsi="宋体" w:cs="宋体"/>
          <w:kern w:val="0"/>
          <w:szCs w:val="21"/>
        </w:rPr>
        <w:t>修正原则：</w:t>
      </w:r>
      <w:r>
        <w:rPr>
          <w:rFonts w:hint="eastAsia" w:ascii="宋体" w:hAnsi="宋体" w:cs="宋体"/>
          <w:szCs w:val="21"/>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rPr>
        <w:tab/>
      </w:r>
    </w:p>
    <w:p>
      <w:pPr>
        <w:rPr>
          <w:rFonts w:hint="eastAsia" w:ascii="宋体" w:hAnsi="宋体" w:cs="宋体"/>
          <w:kern w:val="0"/>
          <w:szCs w:val="21"/>
        </w:rPr>
      </w:pPr>
      <w:r>
        <w:rPr>
          <w:rFonts w:hint="eastAsia" w:ascii="宋体" w:hAnsi="宋体" w:cs="宋体"/>
          <w:kern w:val="0"/>
          <w:szCs w:val="21"/>
        </w:rPr>
        <w:t>评委签名：</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日期：</w:t>
      </w:r>
    </w:p>
    <w:p>
      <w:pPr>
        <w:rPr>
          <w:rFonts w:hint="eastAsia" w:ascii="宋体" w:hAnsi="宋体" w:cs="宋体"/>
        </w:rPr>
      </w:pPr>
    </w:p>
    <w:p>
      <w:pPr>
        <w:rPr>
          <w:rFonts w:hint="eastAsia" w:ascii="宋体" w:hAnsi="宋体" w:cs="宋体"/>
        </w:rPr>
      </w:pPr>
      <w:r>
        <w:rPr>
          <w:rFonts w:hint="eastAsia" w:ascii="宋体" w:hAnsi="宋体" w:cs="宋体"/>
        </w:rPr>
        <w:br w:type="page"/>
      </w:r>
    </w:p>
    <w:p>
      <w:pPr>
        <w:jc w:val="center"/>
        <w:rPr>
          <w:rFonts w:hint="eastAsia" w:ascii="宋体" w:hAnsi="宋体" w:cs="宋体"/>
          <w:b/>
          <w:sz w:val="36"/>
          <w:szCs w:val="36"/>
        </w:rPr>
      </w:pPr>
      <w:r>
        <w:rPr>
          <w:rFonts w:hint="eastAsia" w:ascii="宋体" w:hAnsi="宋体" w:cs="宋体"/>
          <w:b/>
          <w:sz w:val="36"/>
          <w:szCs w:val="36"/>
        </w:rPr>
        <w:t>算术复核表</w:t>
      </w:r>
    </w:p>
    <w:p>
      <w:pPr>
        <w:rPr>
          <w:rFonts w:hint="eastAsia" w:ascii="宋体" w:hAnsi="宋体" w:cs="宋体"/>
          <w:szCs w:val="21"/>
        </w:rPr>
      </w:pPr>
      <w:r>
        <w:rPr>
          <w:rFonts w:hint="eastAsia" w:ascii="宋体" w:hAnsi="宋体" w:cs="宋体"/>
          <w:szCs w:val="21"/>
        </w:rPr>
        <w:t>工程名称：</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b/>
                <w:sz w:val="28"/>
                <w:szCs w:val="28"/>
              </w:rPr>
            </w:pPr>
            <w:r>
              <w:rPr>
                <w:rFonts w:hint="eastAsia" w:ascii="宋体" w:hAnsi="宋体" w:cs="宋体"/>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b/>
                <w:sz w:val="28"/>
                <w:szCs w:val="28"/>
              </w:rPr>
            </w:pPr>
            <w:r>
              <w:rPr>
                <w:rFonts w:hint="eastAsia" w:ascii="宋体" w:hAnsi="宋体" w:cs="宋体"/>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b/>
                <w:sz w:val="28"/>
                <w:szCs w:val="28"/>
              </w:rPr>
            </w:pPr>
            <w:r>
              <w:rPr>
                <w:rFonts w:hint="eastAsia" w:ascii="宋体" w:hAnsi="宋体" w:cs="宋体"/>
                <w:b/>
                <w:sz w:val="28"/>
                <w:szCs w:val="28"/>
              </w:rPr>
              <w:t>原投标报价（A）</w:t>
            </w: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b/>
                <w:sz w:val="28"/>
                <w:szCs w:val="28"/>
              </w:rPr>
            </w:pPr>
            <w:r>
              <w:rPr>
                <w:rFonts w:hint="eastAsia" w:ascii="宋体" w:hAnsi="宋体" w:cs="宋体"/>
                <w:b/>
                <w:sz w:val="28"/>
                <w:szCs w:val="28"/>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b/>
                <w:sz w:val="28"/>
                <w:szCs w:val="28"/>
              </w:rPr>
            </w:pPr>
            <w:r>
              <w:rPr>
                <w:rFonts w:hint="eastAsia" w:ascii="宋体" w:hAnsi="宋体" w:cs="宋体"/>
                <w:b/>
                <w:sz w:val="28"/>
                <w:szCs w:val="28"/>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36"/>
                <w:szCs w:val="36"/>
              </w:rPr>
            </w:pPr>
          </w:p>
        </w:tc>
      </w:tr>
    </w:tbl>
    <w:p>
      <w:pPr>
        <w:rPr>
          <w:rFonts w:hint="eastAsia" w:ascii="宋体" w:hAnsi="宋体" w:cs="宋体"/>
          <w:szCs w:val="21"/>
        </w:rPr>
      </w:pPr>
      <w:r>
        <w:rPr>
          <w:rFonts w:hint="eastAsia" w:ascii="宋体" w:hAnsi="宋体" w:cs="宋体"/>
          <w:szCs w:val="21"/>
        </w:rPr>
        <w:t>评委签名：</w:t>
      </w:r>
    </w:p>
    <w:p>
      <w:pPr>
        <w:spacing w:line="360" w:lineRule="auto"/>
        <w:jc w:val="center"/>
        <w:rPr>
          <w:rFonts w:hint="eastAsia" w:ascii="宋体" w:hAnsi="宋体" w:cs="宋体"/>
          <w:szCs w:val="21"/>
        </w:rPr>
        <w:sectPr>
          <w:headerReference r:id="rId9" w:type="first"/>
          <w:footerReference r:id="rId11" w:type="first"/>
          <w:headerReference r:id="rId8" w:type="default"/>
          <w:footerReference r:id="rId10" w:type="default"/>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cols w:space="720" w:num="1"/>
          <w:titlePg/>
          <w:docGrid w:type="lines" w:linePitch="312" w:charSpace="0"/>
        </w:sectPr>
      </w:pPr>
    </w:p>
    <w:p>
      <w:pPr>
        <w:pStyle w:val="4"/>
        <w:jc w:val="center"/>
        <w:rPr>
          <w:rFonts w:hint="eastAsia" w:ascii="宋体" w:hAnsi="宋体" w:cs="宋体"/>
        </w:rPr>
      </w:pPr>
      <w:bookmarkStart w:id="23" w:name="_Toc14934"/>
      <w:r>
        <w:rPr>
          <w:rFonts w:hint="eastAsia" w:ascii="宋体" w:hAnsi="宋体" w:cs="宋体"/>
        </w:rPr>
        <w:t>第三章  合同条款</w:t>
      </w:r>
      <w:bookmarkEnd w:id="23"/>
    </w:p>
    <w:p>
      <w:pPr>
        <w:jc w:val="center"/>
        <w:rPr>
          <w:rFonts w:hint="eastAsia" w:ascii="宋体" w:hAnsi="宋体" w:cs="宋体"/>
          <w:sz w:val="24"/>
          <w:szCs w:val="24"/>
          <w:lang w:val="en-US" w:eastAsia="zh-CN"/>
        </w:rPr>
      </w:pPr>
    </w:p>
    <w:p>
      <w:pPr>
        <w:jc w:val="center"/>
        <w:rPr>
          <w:rFonts w:hint="eastAsia" w:ascii="宋体" w:hAnsi="宋体" w:cs="宋体"/>
          <w:b/>
          <w:sz w:val="36"/>
          <w:szCs w:val="36"/>
        </w:rPr>
      </w:pPr>
      <w:bookmarkStart w:id="24" w:name="_Toc12630"/>
      <w:r>
        <w:rPr>
          <w:rFonts w:hint="eastAsia" w:ascii="宋体" w:hAnsi="宋体" w:cs="宋体"/>
          <w:szCs w:val="21"/>
        </w:rPr>
        <w:t>另册。</w:t>
      </w:r>
    </w:p>
    <w:p>
      <w:pPr>
        <w:rPr>
          <w:rFonts w:hint="eastAsia" w:ascii="宋体" w:hAnsi="宋体" w:cs="宋体"/>
        </w:rPr>
      </w:pPr>
      <w:r>
        <w:rPr>
          <w:rFonts w:hint="eastAsia" w:ascii="宋体" w:hAnsi="宋体" w:cs="宋体"/>
        </w:rPr>
        <w:br w:type="page"/>
      </w:r>
    </w:p>
    <w:p>
      <w:pPr>
        <w:pStyle w:val="4"/>
        <w:numPr>
          <w:ilvl w:val="0"/>
          <w:numId w:val="5"/>
        </w:numPr>
        <w:jc w:val="center"/>
        <w:rPr>
          <w:rFonts w:hint="eastAsia" w:ascii="宋体" w:hAnsi="宋体" w:cs="宋体"/>
        </w:rPr>
      </w:pPr>
      <w:r>
        <w:rPr>
          <w:rFonts w:hint="eastAsia" w:ascii="宋体" w:hAnsi="宋体" w:cs="宋体"/>
        </w:rPr>
        <w:t>投标文件格式</w:t>
      </w:r>
      <w:bookmarkEnd w:id="24"/>
    </w:p>
    <w:p>
      <w:pPr>
        <w:autoSpaceDE w:val="0"/>
        <w:autoSpaceDN w:val="0"/>
        <w:adjustRightInd w:val="0"/>
        <w:rPr>
          <w:rFonts w:ascii="宋体" w:hAnsi="宋体" w:cs="宋体"/>
          <w:bCs/>
          <w:szCs w:val="21"/>
        </w:rPr>
      </w:pPr>
      <w:r>
        <w:rPr>
          <w:rFonts w:hint="eastAsia" w:ascii="宋体" w:hAnsi="宋体" w:cs="宋体"/>
          <w:bCs/>
          <w:szCs w:val="21"/>
        </w:rPr>
        <w:t>附件一</w:t>
      </w:r>
    </w:p>
    <w:p>
      <w:pPr>
        <w:autoSpaceDE w:val="0"/>
        <w:autoSpaceDN w:val="0"/>
        <w:adjustRightInd w:val="0"/>
        <w:rPr>
          <w:rFonts w:ascii="宋体" w:hAnsi="宋体" w:cs="宋体"/>
          <w:b/>
          <w:bCs/>
          <w:szCs w:val="21"/>
          <w:lang w:val="zh-CN"/>
        </w:rPr>
      </w:pPr>
      <w:r>
        <w:rPr>
          <w:rFonts w:hint="eastAsia" w:ascii="宋体" w:hAnsi="宋体" w:cs="宋体"/>
          <w:bCs/>
          <w:szCs w:val="21"/>
        </w:rPr>
        <w:t>（适用于技术标与经济标同时开启）</w:t>
      </w:r>
    </w:p>
    <w:p>
      <w:pPr>
        <w:autoSpaceDE w:val="0"/>
        <w:autoSpaceDN w:val="0"/>
        <w:adjustRightInd w:val="0"/>
        <w:ind w:left="-540" w:leftChars="-257" w:firstLine="1135" w:firstLineChars="257"/>
        <w:jc w:val="center"/>
        <w:rPr>
          <w:rFonts w:ascii="宋体" w:hAnsi="宋体" w:cs="宋体"/>
          <w:b/>
          <w:bCs/>
          <w:sz w:val="44"/>
          <w:szCs w:val="44"/>
          <w:lang w:val="zh-CN"/>
        </w:rPr>
      </w:pPr>
    </w:p>
    <w:p>
      <w:pPr>
        <w:autoSpaceDE w:val="0"/>
        <w:autoSpaceDN w:val="0"/>
        <w:adjustRightInd w:val="0"/>
        <w:ind w:left="-540" w:leftChars="-257" w:firstLine="1135" w:firstLineChars="257"/>
        <w:jc w:val="center"/>
        <w:rPr>
          <w:rFonts w:ascii="宋体" w:hAnsi="宋体" w:cs="宋体"/>
          <w:b/>
          <w:bCs/>
          <w:sz w:val="52"/>
          <w:szCs w:val="52"/>
        </w:rPr>
      </w:pPr>
      <w:r>
        <w:rPr>
          <w:rFonts w:hint="eastAsia" w:ascii="宋体" w:hAnsi="宋体" w:cs="宋体"/>
          <w:b/>
          <w:bCs/>
          <w:sz w:val="44"/>
          <w:szCs w:val="44"/>
          <w:lang w:val="zh-CN"/>
        </w:rPr>
        <w:t>广州建设工程施工招标投标书</w:t>
      </w:r>
    </w:p>
    <w:tbl>
      <w:tblPr>
        <w:tblStyle w:val="39"/>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工 程 名 称</w:t>
            </w:r>
          </w:p>
        </w:tc>
        <w:tc>
          <w:tcPr>
            <w:tcW w:w="45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投标总报价（元）</w:t>
            </w:r>
          </w:p>
        </w:tc>
        <w:tc>
          <w:tcPr>
            <w:tcW w:w="4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4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4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lang w:val="zh-CN"/>
              </w:rPr>
            </w:pPr>
            <w:r>
              <w:rPr>
                <w:rFonts w:hint="eastAsia" w:ascii="宋体" w:hAnsi="宋体" w:cs="宋体"/>
                <w:b/>
                <w:sz w:val="24"/>
                <w:szCs w:val="24"/>
                <w:lang w:val="zh-CN"/>
              </w:rPr>
              <w:t>投 标 总工 期</w:t>
            </w:r>
          </w:p>
        </w:tc>
        <w:tc>
          <w:tcPr>
            <w:tcW w:w="45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lang w:val="zh-CN"/>
              </w:rPr>
              <w:t>工程质量标准</w:t>
            </w:r>
          </w:p>
        </w:tc>
        <w:tc>
          <w:tcPr>
            <w:tcW w:w="45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保 修 期 限</w:t>
            </w:r>
          </w:p>
        </w:tc>
        <w:tc>
          <w:tcPr>
            <w:tcW w:w="45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bl>
    <w:p>
      <w:pPr>
        <w:tabs>
          <w:tab w:val="left" w:pos="720"/>
        </w:tabs>
        <w:snapToGrid w:val="0"/>
        <w:spacing w:line="360" w:lineRule="auto"/>
        <w:rPr>
          <w:rFonts w:ascii="宋体" w:hAnsi="宋体" w:cs="宋体"/>
          <w:sz w:val="24"/>
          <w:szCs w:val="24"/>
        </w:rPr>
      </w:pPr>
    </w:p>
    <w:p>
      <w:pPr>
        <w:autoSpaceDE w:val="0"/>
        <w:autoSpaceDN w:val="0"/>
        <w:adjustRightInd w:val="0"/>
        <w:rPr>
          <w:rFonts w:ascii="宋体" w:hAnsi="宋体" w:cs="宋体"/>
          <w:szCs w:val="21"/>
        </w:rPr>
      </w:pPr>
      <w:r>
        <w:rPr>
          <w:rFonts w:hint="eastAsia" w:ascii="宋体" w:hAnsi="宋体" w:cs="宋体"/>
          <w:sz w:val="24"/>
          <w:szCs w:val="24"/>
        </w:rPr>
        <w:br w:type="page"/>
      </w:r>
      <w:r>
        <w:rPr>
          <w:rFonts w:hint="eastAsia" w:ascii="宋体" w:hAnsi="宋体" w:cs="宋体"/>
          <w:szCs w:val="21"/>
        </w:rPr>
        <w:t>附件二</w:t>
      </w:r>
    </w:p>
    <w:p>
      <w:pPr>
        <w:tabs>
          <w:tab w:val="left" w:pos="720"/>
        </w:tabs>
        <w:snapToGrid w:val="0"/>
        <w:spacing w:line="360" w:lineRule="auto"/>
        <w:jc w:val="center"/>
        <w:rPr>
          <w:rFonts w:ascii="宋体" w:hAnsi="宋体" w:cs="宋体"/>
          <w:b/>
          <w:sz w:val="32"/>
          <w:szCs w:val="32"/>
        </w:rPr>
      </w:pPr>
      <w:r>
        <w:rPr>
          <w:rFonts w:hint="eastAsia" w:ascii="宋体" w:hAnsi="宋体" w:cs="宋体"/>
          <w:b/>
          <w:sz w:val="32"/>
          <w:szCs w:val="32"/>
        </w:rPr>
        <w:t>投标文件编制人员名单</w:t>
      </w:r>
    </w:p>
    <w:p>
      <w:pPr>
        <w:tabs>
          <w:tab w:val="left" w:pos="720"/>
        </w:tabs>
        <w:snapToGrid w:val="0"/>
        <w:spacing w:line="360" w:lineRule="auto"/>
        <w:rPr>
          <w:rFonts w:ascii="宋体" w:hAnsi="宋体" w:cs="宋体"/>
          <w:sz w:val="24"/>
          <w:szCs w:val="24"/>
        </w:rPr>
      </w:pPr>
    </w:p>
    <w:p>
      <w:pPr>
        <w:tabs>
          <w:tab w:val="left" w:pos="720"/>
        </w:tabs>
        <w:snapToGrid w:val="0"/>
        <w:spacing w:line="360" w:lineRule="auto"/>
        <w:jc w:val="center"/>
        <w:rPr>
          <w:rFonts w:ascii="宋体" w:hAnsi="宋体" w:cs="宋体"/>
          <w:szCs w:val="21"/>
        </w:rPr>
      </w:pPr>
      <w:r>
        <w:rPr>
          <w:rFonts w:hint="eastAsia" w:ascii="宋体" w:hAnsi="宋体" w:cs="宋体"/>
          <w:szCs w:val="21"/>
        </w:rPr>
        <w:t>一、参与编制技术标投标文件人员名单</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381"/>
        <w:gridCol w:w="2342"/>
        <w:gridCol w:w="2245"/>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姓名</w:t>
            </w:r>
          </w:p>
        </w:tc>
        <w:tc>
          <w:tcPr>
            <w:tcW w:w="81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职务</w:t>
            </w:r>
          </w:p>
        </w:tc>
        <w:tc>
          <w:tcPr>
            <w:tcW w:w="137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所承担工作</w:t>
            </w:r>
          </w:p>
        </w:tc>
        <w:tc>
          <w:tcPr>
            <w:tcW w:w="131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身份证号码</w:t>
            </w:r>
          </w:p>
        </w:tc>
        <w:tc>
          <w:tcPr>
            <w:tcW w:w="798"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7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1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798"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7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1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798"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7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1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798"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7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1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798"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7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1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798"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7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1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798"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7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1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798"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74"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17"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798"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bl>
    <w:p>
      <w:pPr>
        <w:tabs>
          <w:tab w:val="left" w:pos="720"/>
        </w:tabs>
        <w:snapToGrid w:val="0"/>
        <w:spacing w:line="360" w:lineRule="auto"/>
        <w:rPr>
          <w:rFonts w:ascii="宋体" w:hAnsi="宋体" w:cs="宋体"/>
          <w:sz w:val="24"/>
          <w:szCs w:val="24"/>
        </w:rPr>
      </w:pPr>
    </w:p>
    <w:p>
      <w:pPr>
        <w:tabs>
          <w:tab w:val="left" w:pos="720"/>
        </w:tabs>
        <w:snapToGrid w:val="0"/>
        <w:spacing w:line="360" w:lineRule="auto"/>
        <w:rPr>
          <w:rFonts w:ascii="宋体" w:hAnsi="宋体" w:cs="宋体"/>
          <w:sz w:val="24"/>
          <w:szCs w:val="24"/>
        </w:rPr>
      </w:pPr>
    </w:p>
    <w:p>
      <w:pPr>
        <w:tabs>
          <w:tab w:val="left" w:pos="720"/>
        </w:tabs>
        <w:snapToGrid w:val="0"/>
        <w:spacing w:line="360" w:lineRule="auto"/>
        <w:jc w:val="center"/>
        <w:rPr>
          <w:rFonts w:ascii="宋体" w:hAnsi="宋体" w:cs="宋体"/>
          <w:szCs w:val="21"/>
        </w:rPr>
      </w:pPr>
      <w:r>
        <w:rPr>
          <w:rFonts w:hint="eastAsia" w:ascii="宋体" w:hAnsi="宋体" w:cs="宋体"/>
          <w:szCs w:val="21"/>
        </w:rPr>
        <w:t>二、参与编制经济标投标文件人员名单</w:t>
      </w:r>
    </w:p>
    <w:tbl>
      <w:tblPr>
        <w:tblStyle w:val="3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bl>
    <w:p>
      <w:pPr>
        <w:pStyle w:val="6"/>
        <w:spacing w:after="0" w:line="360" w:lineRule="auto"/>
        <w:ind w:left="-2" w:leftChars="-1" w:firstLine="350" w:firstLineChars="175"/>
        <w:jc w:val="left"/>
        <w:rPr>
          <w:rFonts w:ascii="宋体" w:hAnsi="宋体" w:cs="宋体"/>
          <w:szCs w:val="21"/>
        </w:rPr>
      </w:pPr>
      <w:r>
        <w:rPr>
          <w:rFonts w:hint="eastAsia" w:ascii="宋体" w:hAnsi="宋体" w:cs="宋体"/>
          <w:szCs w:val="21"/>
        </w:rPr>
        <w:t>注：参与编制投标文件所有人员名单应包括如编制技术投标方案、编制各种专业工程量清单投标报价、负责清样校对、负责打印及复印等所有人员在内的人员名单。</w:t>
      </w:r>
    </w:p>
    <w:p>
      <w:pPr>
        <w:pStyle w:val="6"/>
        <w:spacing w:after="0" w:line="360" w:lineRule="auto"/>
        <w:ind w:left="-2" w:leftChars="-1" w:firstLineChars="175"/>
        <w:jc w:val="center"/>
        <w:rPr>
          <w:rFonts w:ascii="宋体" w:hAnsi="宋体" w:cs="宋体"/>
          <w:sz w:val="24"/>
          <w:szCs w:val="24"/>
        </w:rPr>
      </w:pPr>
    </w:p>
    <w:p>
      <w:pPr>
        <w:autoSpaceDE w:val="0"/>
        <w:autoSpaceDN w:val="0"/>
        <w:adjustRightInd w:val="0"/>
        <w:rPr>
          <w:rFonts w:ascii="宋体" w:hAnsi="宋体" w:cs="宋体"/>
          <w:szCs w:val="21"/>
        </w:rPr>
      </w:pPr>
      <w:r>
        <w:rPr>
          <w:rFonts w:hint="eastAsia" w:ascii="宋体" w:hAnsi="宋体" w:cs="宋体"/>
          <w:szCs w:val="21"/>
        </w:rPr>
        <w:t>附件三</w:t>
      </w:r>
    </w:p>
    <w:p>
      <w:pPr>
        <w:pStyle w:val="6"/>
        <w:spacing w:after="0" w:line="360" w:lineRule="auto"/>
        <w:ind w:firstLine="0"/>
        <w:jc w:val="center"/>
        <w:rPr>
          <w:rFonts w:ascii="宋体" w:hAnsi="宋体" w:cs="宋体"/>
          <w:sz w:val="32"/>
          <w:szCs w:val="32"/>
        </w:rPr>
      </w:pPr>
      <w:r>
        <w:rPr>
          <w:rFonts w:hint="eastAsia" w:ascii="宋体" w:hAnsi="宋体" w:cs="宋体"/>
          <w:b/>
          <w:sz w:val="32"/>
          <w:szCs w:val="32"/>
        </w:rPr>
        <w:t>对投标文件编制的承诺</w:t>
      </w:r>
    </w:p>
    <w:p>
      <w:pPr>
        <w:pStyle w:val="6"/>
        <w:spacing w:after="0" w:line="360" w:lineRule="auto"/>
        <w:ind w:left="-2" w:leftChars="-1" w:firstLine="540" w:firstLineChars="225"/>
        <w:rPr>
          <w:rFonts w:ascii="宋体" w:hAnsi="宋体" w:cs="宋体"/>
          <w:sz w:val="24"/>
          <w:szCs w:val="24"/>
        </w:rPr>
      </w:pPr>
      <w:r>
        <w:rPr>
          <w:rFonts w:hint="eastAsia" w:ascii="宋体" w:hAnsi="宋体" w:cs="宋体"/>
          <w:sz w:val="24"/>
          <w:szCs w:val="24"/>
        </w:rPr>
        <w:t>本公司授权</w:t>
      </w:r>
      <w:r>
        <w:rPr>
          <w:rFonts w:hint="eastAsia" w:ascii="宋体" w:hAnsi="宋体" w:cs="宋体"/>
          <w:sz w:val="24"/>
          <w:szCs w:val="24"/>
          <w:u w:val="single"/>
        </w:rPr>
        <w:t xml:space="preserve">         （身份证号：               ）</w:t>
      </w:r>
      <w:r>
        <w:rPr>
          <w:rFonts w:hint="eastAsia" w:ascii="宋体" w:hAnsi="宋体" w:cs="宋体"/>
          <w:sz w:val="24"/>
          <w:szCs w:val="24"/>
        </w:rPr>
        <w:t>负责对投标文件的编制及内容进行解释、说明，并承诺以下事项：</w:t>
      </w:r>
    </w:p>
    <w:p>
      <w:pPr>
        <w:pStyle w:val="6"/>
        <w:spacing w:after="0" w:line="360" w:lineRule="auto"/>
        <w:ind w:left="-2" w:leftChars="-1" w:firstLine="540" w:firstLineChars="225"/>
        <w:rPr>
          <w:rFonts w:ascii="宋体" w:hAnsi="宋体" w:cs="宋体"/>
          <w:sz w:val="24"/>
          <w:szCs w:val="24"/>
        </w:rPr>
      </w:pPr>
      <w:r>
        <w:rPr>
          <w:rFonts w:hint="eastAsia" w:ascii="宋体" w:hAnsi="宋体" w:cs="宋体"/>
          <w:sz w:val="24"/>
          <w:szCs w:val="24"/>
        </w:rPr>
        <w:t>1.被授权人清楚投标文件编制的具体情况，包括技术方案文件、工程量清单、以及投标文件的加密打包的理解；</w:t>
      </w:r>
    </w:p>
    <w:p>
      <w:pPr>
        <w:pStyle w:val="6"/>
        <w:spacing w:after="0" w:line="360" w:lineRule="auto"/>
        <w:ind w:left="-2" w:leftChars="-1" w:firstLine="540" w:firstLineChars="225"/>
        <w:rPr>
          <w:rFonts w:ascii="宋体" w:hAnsi="宋体" w:cs="宋体"/>
          <w:sz w:val="24"/>
          <w:szCs w:val="24"/>
        </w:rPr>
      </w:pPr>
      <w:r>
        <w:rPr>
          <w:rFonts w:hint="eastAsia" w:ascii="宋体" w:hAnsi="宋体" w:cs="宋体"/>
          <w:sz w:val="24"/>
          <w:szCs w:val="24"/>
        </w:rPr>
        <w:t>2.在本项目开标至评标结束前，努力确保被授权人在项目评标所在地附近；</w:t>
      </w:r>
    </w:p>
    <w:p>
      <w:pPr>
        <w:pStyle w:val="6"/>
        <w:spacing w:after="0" w:line="360" w:lineRule="auto"/>
        <w:ind w:left="-2" w:leftChars="-1" w:firstLine="540" w:firstLineChars="225"/>
        <w:rPr>
          <w:rFonts w:ascii="宋体" w:hAnsi="宋体" w:cs="宋体"/>
          <w:sz w:val="24"/>
          <w:szCs w:val="24"/>
        </w:rPr>
      </w:pPr>
      <w:r>
        <w:rPr>
          <w:rFonts w:hint="eastAsia" w:ascii="宋体" w:hAnsi="宋体" w:cs="宋体"/>
          <w:sz w:val="24"/>
          <w:szCs w:val="24"/>
        </w:rPr>
        <w:t>3.从评标委员会要求澄清起二小时内，被授权人应如实地书面澄清。</w:t>
      </w:r>
    </w:p>
    <w:p>
      <w:pPr>
        <w:pStyle w:val="6"/>
        <w:spacing w:after="0" w:line="360" w:lineRule="auto"/>
        <w:ind w:left="-2" w:leftChars="-1" w:firstLine="540" w:firstLineChars="225"/>
        <w:rPr>
          <w:rFonts w:ascii="宋体" w:hAnsi="宋体" w:cs="宋体"/>
          <w:sz w:val="24"/>
          <w:szCs w:val="24"/>
        </w:rPr>
      </w:pPr>
      <w:r>
        <w:rPr>
          <w:rFonts w:hint="eastAsia" w:ascii="宋体" w:hAnsi="宋体" w:cs="宋体"/>
          <w:sz w:val="24"/>
          <w:szCs w:val="24"/>
        </w:rPr>
        <w:t xml:space="preserve">如由于未遵守上述承诺内容之一导致无法进行澄清的，我公司认可和接受评标委员会作出的评审结论。                                 </w:t>
      </w:r>
    </w:p>
    <w:p>
      <w:pPr>
        <w:pStyle w:val="6"/>
        <w:spacing w:after="0" w:line="360" w:lineRule="auto"/>
        <w:ind w:firstLine="360" w:firstLineChars="150"/>
        <w:rPr>
          <w:rFonts w:ascii="宋体" w:hAnsi="宋体" w:cs="宋体"/>
          <w:sz w:val="24"/>
          <w:szCs w:val="24"/>
        </w:rPr>
      </w:pPr>
    </w:p>
    <w:p>
      <w:pPr>
        <w:pStyle w:val="6"/>
        <w:spacing w:after="0" w:line="360" w:lineRule="auto"/>
        <w:ind w:firstLine="480" w:firstLineChars="200"/>
        <w:rPr>
          <w:rFonts w:ascii="宋体" w:hAnsi="宋体" w:cs="宋体"/>
          <w:sz w:val="24"/>
          <w:szCs w:val="24"/>
        </w:rPr>
      </w:pPr>
      <w:r>
        <w:rPr>
          <w:rFonts w:hint="eastAsia" w:ascii="宋体" w:hAnsi="宋体" w:cs="宋体"/>
          <w:sz w:val="24"/>
          <w:szCs w:val="24"/>
        </w:rPr>
        <w:t>附件：《投标文件编制情况》</w:t>
      </w:r>
    </w:p>
    <w:p>
      <w:pPr>
        <w:spacing w:line="360" w:lineRule="auto"/>
        <w:ind w:right="90" w:firstLine="3240" w:firstLineChars="1350"/>
        <w:rPr>
          <w:rFonts w:ascii="宋体" w:hAnsi="宋体" w:cs="宋体"/>
          <w:sz w:val="24"/>
          <w:szCs w:val="24"/>
          <w:u w:val="single"/>
        </w:rPr>
      </w:pPr>
      <w:r>
        <w:rPr>
          <w:rFonts w:hint="eastAsia" w:ascii="宋体" w:hAnsi="宋体" w:cs="宋体"/>
          <w:sz w:val="24"/>
          <w:szCs w:val="24"/>
        </w:rPr>
        <w:t xml:space="preserve"> 投标人名称（盖法人公章）：</w:t>
      </w:r>
    </w:p>
    <w:p>
      <w:pPr>
        <w:spacing w:line="360" w:lineRule="auto"/>
        <w:ind w:firstLine="2160" w:firstLineChars="900"/>
        <w:rPr>
          <w:rFonts w:ascii="宋体" w:hAnsi="宋体" w:cs="宋体"/>
          <w:sz w:val="24"/>
          <w:szCs w:val="24"/>
          <w:u w:val="single"/>
        </w:rPr>
      </w:pPr>
      <w:r>
        <w:rPr>
          <w:rFonts w:hint="eastAsia" w:ascii="宋体" w:hAnsi="宋体" w:cs="宋体"/>
          <w:sz w:val="24"/>
          <w:szCs w:val="24"/>
        </w:rPr>
        <w:t>法定代表人或被授权人（签字或盖章）：</w:t>
      </w:r>
    </w:p>
    <w:p>
      <w:pPr>
        <w:spacing w:line="360" w:lineRule="auto"/>
        <w:ind w:firstLine="4440" w:firstLineChars="1850"/>
        <w:jc w:val="center"/>
        <w:rPr>
          <w:rFonts w:ascii="宋体" w:hAnsi="宋体" w:cs="宋体"/>
          <w:sz w:val="24"/>
          <w:szCs w:val="24"/>
        </w:rPr>
      </w:pPr>
      <w:r>
        <w:rPr>
          <w:rFonts w:hint="eastAsia" w:ascii="宋体" w:hAnsi="宋体" w:cs="宋体"/>
          <w:sz w:val="24"/>
          <w:szCs w:val="24"/>
        </w:rPr>
        <w:t xml:space="preserve"> 日期：      年   月   日 </w:t>
      </w:r>
    </w:p>
    <w:p>
      <w:pPr>
        <w:pStyle w:val="6"/>
        <w:spacing w:after="0" w:line="360" w:lineRule="auto"/>
        <w:ind w:firstLine="0"/>
        <w:rPr>
          <w:rFonts w:ascii="宋体" w:hAnsi="宋体" w:cs="宋体"/>
          <w:b/>
          <w:sz w:val="32"/>
          <w:szCs w:val="32"/>
        </w:rPr>
      </w:pPr>
    </w:p>
    <w:p>
      <w:pPr>
        <w:widowControl/>
        <w:jc w:val="center"/>
        <w:rPr>
          <w:rFonts w:ascii="宋体" w:hAnsi="宋体" w:cs="宋体"/>
          <w:sz w:val="18"/>
          <w:szCs w:val="18"/>
        </w:rPr>
      </w:pPr>
      <w:r>
        <w:rPr>
          <w:rFonts w:hint="eastAsia" w:ascii="宋体" w:hAnsi="宋体" w:cs="宋体"/>
          <w:b/>
          <w:sz w:val="32"/>
          <w:szCs w:val="32"/>
        </w:rPr>
        <w:t>投标文件编制情况</w:t>
      </w:r>
    </w:p>
    <w:p>
      <w:pPr>
        <w:pStyle w:val="6"/>
        <w:spacing w:after="0" w:line="360" w:lineRule="auto"/>
        <w:ind w:firstLine="480" w:firstLineChars="200"/>
        <w:rPr>
          <w:rFonts w:ascii="宋体" w:hAnsi="宋体" w:cs="宋体"/>
          <w:sz w:val="24"/>
          <w:szCs w:val="24"/>
        </w:rPr>
      </w:pPr>
    </w:p>
    <w:p>
      <w:pPr>
        <w:pStyle w:val="6"/>
        <w:spacing w:after="0" w:line="360" w:lineRule="auto"/>
        <w:ind w:firstLine="480" w:firstLineChars="200"/>
        <w:rPr>
          <w:rFonts w:ascii="宋体" w:hAnsi="宋体" w:cs="宋体"/>
          <w:sz w:val="24"/>
          <w:szCs w:val="24"/>
          <w:u w:val="single"/>
        </w:rPr>
      </w:pPr>
      <w:r>
        <w:rPr>
          <w:rFonts w:hint="eastAsia" w:ascii="宋体" w:hAnsi="宋体" w:cs="宋体"/>
          <w:sz w:val="24"/>
          <w:szCs w:val="24"/>
        </w:rPr>
        <w:t>1.投标文件报价编制方式: □自行编制的，编制的负责人：</w:t>
      </w:r>
      <w:r>
        <w:rPr>
          <w:rFonts w:hint="eastAsia" w:ascii="宋体" w:hAnsi="宋体" w:cs="宋体"/>
          <w:sz w:val="24"/>
          <w:szCs w:val="24"/>
          <w:u w:val="single"/>
        </w:rPr>
        <w:t xml:space="preserve"> （盖造价工程师执业专用章或全国建设工程造价员章，执业单位应与投标人一致） </w:t>
      </w:r>
      <w:r>
        <w:rPr>
          <w:rFonts w:hint="eastAsia" w:ascii="宋体" w:hAnsi="宋体" w:cs="宋体"/>
          <w:sz w:val="24"/>
          <w:szCs w:val="24"/>
        </w:rPr>
        <w:t>。□委托编制的，受委托单位，编制的负责人：</w:t>
      </w:r>
      <w:r>
        <w:rPr>
          <w:rFonts w:hint="eastAsia" w:ascii="宋体" w:hAnsi="宋体" w:cs="宋体"/>
          <w:sz w:val="24"/>
          <w:szCs w:val="24"/>
          <w:u w:val="single"/>
        </w:rPr>
        <w:t xml:space="preserve"> （盖造价工程师执业专用章或全国建设工程造价员章，执业单位应与受委托单位一致） </w:t>
      </w:r>
      <w:r>
        <w:rPr>
          <w:rFonts w:hint="eastAsia" w:ascii="宋体" w:hAnsi="宋体" w:cs="宋体"/>
          <w:sz w:val="24"/>
          <w:szCs w:val="24"/>
        </w:rPr>
        <w:t>。</w:t>
      </w:r>
    </w:p>
    <w:p>
      <w:pPr>
        <w:pStyle w:val="6"/>
        <w:spacing w:after="0" w:line="360" w:lineRule="auto"/>
        <w:ind w:firstLine="480" w:firstLineChars="200"/>
        <w:rPr>
          <w:rFonts w:ascii="宋体" w:hAnsi="宋体" w:cs="宋体"/>
          <w:sz w:val="24"/>
          <w:szCs w:val="24"/>
        </w:rPr>
      </w:pPr>
      <w:r>
        <w:rPr>
          <w:rFonts w:hint="eastAsia" w:ascii="宋体" w:hAnsi="宋体" w:cs="宋体"/>
          <w:sz w:val="24"/>
          <w:szCs w:val="24"/>
        </w:rPr>
        <w:t>2.投标文件加密打包的电脑情况</w:t>
      </w:r>
    </w:p>
    <w:tbl>
      <w:tblPr>
        <w:tblStyle w:val="39"/>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6"/>
              <w:spacing w:after="0" w:line="360" w:lineRule="auto"/>
              <w:ind w:firstLine="0"/>
              <w:rPr>
                <w:rFonts w:ascii="宋体" w:hAnsi="宋体" w:cs="宋体"/>
                <w:sz w:val="24"/>
                <w:szCs w:val="24"/>
              </w:rPr>
            </w:pPr>
            <w:r>
              <w:rPr>
                <w:rFonts w:hint="eastAsia" w:ascii="宋体" w:hAnsi="宋体" w:cs="宋体"/>
                <w:sz w:val="24"/>
                <w:szCs w:val="24"/>
              </w:rPr>
              <w:t xml:space="preserve">投标文件加密打包的电脑     自有    □      外包    □     其他    </w:t>
            </w:r>
            <w:r>
              <w:rPr>
                <w:rFonts w:hint="eastAsia" w:ascii="宋体" w:hAnsi="宋体" w:cs="宋体"/>
                <w:sz w:val="24"/>
                <w:szCs w:val="24"/>
              </w:rPr>
              <w:sym w:font="Wingdings 2" w:char="0052"/>
            </w:r>
          </w:p>
          <w:p>
            <w:pPr>
              <w:pStyle w:val="6"/>
              <w:spacing w:after="0" w:line="360" w:lineRule="auto"/>
              <w:ind w:firstLine="0"/>
              <w:rPr>
                <w:rFonts w:ascii="宋体" w:hAnsi="宋体" w:cs="宋体"/>
                <w:sz w:val="24"/>
                <w:szCs w:val="24"/>
              </w:rPr>
            </w:pPr>
            <w:r>
              <w:rPr>
                <w:rFonts w:hint="eastAsia" w:ascii="宋体" w:hAnsi="宋体" w:cs="宋体"/>
                <w:sz w:val="24"/>
                <w:szCs w:val="24"/>
              </w:rPr>
              <w:t>电脑类型</w:t>
            </w:r>
          </w:p>
          <w:p>
            <w:pPr>
              <w:pStyle w:val="6"/>
              <w:spacing w:after="0" w:line="360" w:lineRule="auto"/>
              <w:ind w:firstLine="0"/>
              <w:rPr>
                <w:rFonts w:ascii="宋体" w:hAnsi="宋体" w:cs="宋体"/>
                <w:sz w:val="24"/>
                <w:szCs w:val="24"/>
              </w:rPr>
            </w:pPr>
            <w:r>
              <w:rPr>
                <w:rFonts w:hint="eastAsia" w:ascii="宋体" w:hAnsi="宋体" w:cs="宋体"/>
                <w:sz w:val="24"/>
                <w:szCs w:val="24"/>
              </w:rPr>
              <w:t>电脑所属单位</w:t>
            </w:r>
          </w:p>
          <w:p>
            <w:pPr>
              <w:pStyle w:val="6"/>
              <w:spacing w:after="0" w:line="360" w:lineRule="auto"/>
              <w:ind w:firstLine="0"/>
              <w:rPr>
                <w:rFonts w:ascii="宋体" w:hAnsi="宋体" w:cs="宋体"/>
                <w:sz w:val="24"/>
                <w:szCs w:val="24"/>
              </w:rPr>
            </w:pPr>
            <w:r>
              <w:rPr>
                <w:rFonts w:hint="eastAsia" w:ascii="宋体" w:hAnsi="宋体" w:cs="宋体"/>
                <w:sz w:val="24"/>
                <w:szCs w:val="24"/>
              </w:rPr>
              <w:t>电脑所在地址        （如××市××区(县) ××街（路）××号××大厦××房）</w:t>
            </w:r>
          </w:p>
        </w:tc>
      </w:tr>
    </w:tbl>
    <w:p>
      <w:pPr>
        <w:autoSpaceDE w:val="0"/>
        <w:autoSpaceDN w:val="0"/>
        <w:adjustRightInd w:val="0"/>
        <w:rPr>
          <w:rFonts w:ascii="宋体" w:hAnsi="宋体" w:cs="宋体"/>
          <w:szCs w:val="21"/>
        </w:rPr>
      </w:pPr>
      <w:r>
        <w:rPr>
          <w:rFonts w:hint="eastAsia" w:ascii="宋体" w:hAnsi="宋体" w:cs="宋体"/>
          <w:szCs w:val="21"/>
        </w:rPr>
        <w:br w:type="page"/>
      </w:r>
      <w:r>
        <w:rPr>
          <w:rFonts w:hint="eastAsia" w:ascii="宋体" w:hAnsi="宋体" w:cs="宋体"/>
          <w:szCs w:val="21"/>
        </w:rPr>
        <w:t>附件四</w:t>
      </w:r>
    </w:p>
    <w:p>
      <w:pPr>
        <w:tabs>
          <w:tab w:val="left" w:pos="720"/>
        </w:tabs>
        <w:snapToGrid w:val="0"/>
        <w:spacing w:line="360" w:lineRule="auto"/>
        <w:rPr>
          <w:rFonts w:ascii="宋体" w:hAnsi="宋体" w:cs="宋体"/>
          <w:sz w:val="24"/>
          <w:szCs w:val="24"/>
        </w:rPr>
      </w:pPr>
    </w:p>
    <w:p>
      <w:pPr>
        <w:tabs>
          <w:tab w:val="left" w:pos="720"/>
        </w:tabs>
        <w:snapToGrid w:val="0"/>
        <w:spacing w:line="360" w:lineRule="auto"/>
        <w:jc w:val="center"/>
        <w:rPr>
          <w:rFonts w:ascii="宋体" w:hAnsi="宋体" w:cs="宋体"/>
          <w:sz w:val="24"/>
          <w:szCs w:val="24"/>
        </w:rPr>
      </w:pPr>
      <w:r>
        <w:rPr>
          <w:rFonts w:hint="eastAsia" w:ascii="宋体" w:hAnsi="宋体" w:cs="宋体"/>
          <w:sz w:val="24"/>
          <w:szCs w:val="24"/>
        </w:rPr>
        <w:t>业绩及获奖情况一览表</w:t>
      </w:r>
    </w:p>
    <w:p>
      <w:pPr>
        <w:tabs>
          <w:tab w:val="left" w:pos="720"/>
        </w:tabs>
        <w:snapToGrid w:val="0"/>
        <w:spacing w:line="360" w:lineRule="auto"/>
        <w:ind w:firstLine="1200" w:firstLineChars="500"/>
        <w:rPr>
          <w:rFonts w:ascii="宋体" w:hAnsi="宋体" w:cs="宋体"/>
          <w:sz w:val="24"/>
          <w:szCs w:val="24"/>
        </w:rPr>
      </w:pPr>
    </w:p>
    <w:p>
      <w:pPr>
        <w:tabs>
          <w:tab w:val="left" w:pos="720"/>
        </w:tabs>
        <w:snapToGrid w:val="0"/>
        <w:spacing w:line="360" w:lineRule="auto"/>
        <w:rPr>
          <w:rFonts w:ascii="宋体" w:hAnsi="宋体" w:cs="宋体"/>
          <w:sz w:val="24"/>
          <w:szCs w:val="24"/>
        </w:rPr>
      </w:pPr>
      <w:r>
        <w:rPr>
          <w:rFonts w:hint="eastAsia" w:ascii="宋体" w:hAnsi="宋体" w:cs="宋体"/>
          <w:sz w:val="24"/>
          <w:szCs w:val="24"/>
        </w:rPr>
        <w:t>项目名称：</w:t>
      </w:r>
    </w:p>
    <w:tbl>
      <w:tblPr>
        <w:tblStyle w:val="39"/>
        <w:tblW w:w="8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14"/>
        <w:gridCol w:w="1227"/>
        <w:gridCol w:w="2073"/>
        <w:gridCol w:w="1214"/>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tabs>
                <w:tab w:val="left" w:pos="720"/>
              </w:tabs>
              <w:snapToGrid w:val="0"/>
              <w:spacing w:line="360" w:lineRule="auto"/>
              <w:jc w:val="center"/>
              <w:rPr>
                <w:rFonts w:ascii="宋体" w:hAnsi="宋体" w:cs="宋体"/>
                <w:sz w:val="24"/>
                <w:szCs w:val="24"/>
              </w:rPr>
            </w:pPr>
            <w:r>
              <w:rPr>
                <w:rFonts w:hint="eastAsia" w:ascii="宋体" w:hAnsi="宋体" w:cs="宋体"/>
                <w:sz w:val="24"/>
                <w:szCs w:val="24"/>
              </w:rPr>
              <w:t>序号</w:t>
            </w:r>
          </w:p>
        </w:tc>
        <w:tc>
          <w:tcPr>
            <w:tcW w:w="1214" w:type="dxa"/>
            <w:vAlign w:val="center"/>
          </w:tcPr>
          <w:p>
            <w:pPr>
              <w:tabs>
                <w:tab w:val="left" w:pos="720"/>
              </w:tabs>
              <w:snapToGrid w:val="0"/>
              <w:spacing w:line="360" w:lineRule="auto"/>
              <w:jc w:val="center"/>
              <w:rPr>
                <w:rFonts w:ascii="宋体" w:hAnsi="宋体" w:cs="宋体"/>
                <w:sz w:val="24"/>
                <w:szCs w:val="24"/>
              </w:rPr>
            </w:pPr>
            <w:r>
              <w:rPr>
                <w:rFonts w:hint="eastAsia" w:ascii="宋体" w:hAnsi="宋体" w:cs="宋体"/>
                <w:sz w:val="24"/>
                <w:szCs w:val="24"/>
              </w:rPr>
              <w:t>项目编号</w:t>
            </w:r>
          </w:p>
        </w:tc>
        <w:tc>
          <w:tcPr>
            <w:tcW w:w="1227" w:type="dxa"/>
            <w:vAlign w:val="center"/>
          </w:tcPr>
          <w:p>
            <w:pPr>
              <w:tabs>
                <w:tab w:val="left" w:pos="720"/>
              </w:tabs>
              <w:snapToGrid w:val="0"/>
              <w:spacing w:line="360" w:lineRule="auto"/>
              <w:jc w:val="center"/>
              <w:rPr>
                <w:rFonts w:ascii="宋体" w:hAnsi="宋体" w:cs="宋体"/>
                <w:sz w:val="24"/>
                <w:szCs w:val="24"/>
              </w:rPr>
            </w:pPr>
            <w:r>
              <w:rPr>
                <w:rFonts w:hint="eastAsia" w:ascii="宋体" w:hAnsi="宋体" w:cs="宋体"/>
                <w:sz w:val="24"/>
                <w:szCs w:val="24"/>
              </w:rPr>
              <w:t>项目名称</w:t>
            </w:r>
          </w:p>
        </w:tc>
        <w:tc>
          <w:tcPr>
            <w:tcW w:w="2073" w:type="dxa"/>
            <w:vAlign w:val="center"/>
          </w:tcPr>
          <w:p>
            <w:pPr>
              <w:tabs>
                <w:tab w:val="left" w:pos="720"/>
              </w:tabs>
              <w:snapToGrid w:val="0"/>
              <w:spacing w:line="360" w:lineRule="auto"/>
              <w:jc w:val="center"/>
              <w:rPr>
                <w:rFonts w:ascii="宋体" w:hAnsi="宋体" w:cs="宋体"/>
                <w:sz w:val="24"/>
                <w:szCs w:val="24"/>
              </w:rPr>
            </w:pPr>
            <w:r>
              <w:rPr>
                <w:rFonts w:hint="eastAsia" w:ascii="宋体" w:hAnsi="宋体" w:cs="宋体"/>
                <w:sz w:val="24"/>
                <w:szCs w:val="24"/>
              </w:rPr>
              <w:t>合同总价（万元）</w:t>
            </w:r>
          </w:p>
        </w:tc>
        <w:tc>
          <w:tcPr>
            <w:tcW w:w="1214" w:type="dxa"/>
            <w:vAlign w:val="center"/>
          </w:tcPr>
          <w:p>
            <w:pPr>
              <w:tabs>
                <w:tab w:val="left" w:pos="720"/>
              </w:tabs>
              <w:snapToGrid w:val="0"/>
              <w:spacing w:line="360" w:lineRule="auto"/>
              <w:jc w:val="center"/>
              <w:rPr>
                <w:rFonts w:ascii="宋体" w:hAnsi="宋体" w:cs="宋体"/>
                <w:sz w:val="24"/>
                <w:szCs w:val="24"/>
              </w:rPr>
            </w:pPr>
            <w:r>
              <w:rPr>
                <w:rFonts w:hint="eastAsia" w:ascii="宋体" w:hAnsi="宋体" w:cs="宋体"/>
                <w:sz w:val="24"/>
                <w:szCs w:val="24"/>
              </w:rPr>
              <w:t>获奖情况</w:t>
            </w:r>
          </w:p>
        </w:tc>
        <w:tc>
          <w:tcPr>
            <w:tcW w:w="2413" w:type="dxa"/>
            <w:vAlign w:val="center"/>
          </w:tcPr>
          <w:p>
            <w:pPr>
              <w:tabs>
                <w:tab w:val="left" w:pos="720"/>
              </w:tabs>
              <w:snapToGrid w:val="0"/>
              <w:spacing w:line="360" w:lineRule="auto"/>
              <w:jc w:val="center"/>
              <w:rPr>
                <w:rFonts w:ascii="宋体" w:hAnsi="宋体" w:cs="宋体"/>
                <w:sz w:val="24"/>
                <w:szCs w:val="24"/>
              </w:rPr>
            </w:pPr>
            <w:r>
              <w:rPr>
                <w:rFonts w:hint="eastAsia" w:ascii="宋体" w:hAnsi="宋体" w:cs="宋体"/>
                <w:sz w:val="24"/>
                <w:szCs w:val="24"/>
              </w:rPr>
              <w:t>建设单位联系人及联系电话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tabs>
                <w:tab w:val="left" w:pos="720"/>
              </w:tabs>
              <w:snapToGrid w:val="0"/>
              <w:spacing w:line="360" w:lineRule="auto"/>
              <w:rPr>
                <w:rFonts w:ascii="宋体" w:hAnsi="宋体" w:cs="宋体"/>
                <w:sz w:val="24"/>
                <w:szCs w:val="24"/>
              </w:rPr>
            </w:pPr>
          </w:p>
        </w:tc>
        <w:tc>
          <w:tcPr>
            <w:tcW w:w="1214" w:type="dxa"/>
          </w:tcPr>
          <w:p>
            <w:pPr>
              <w:tabs>
                <w:tab w:val="left" w:pos="720"/>
              </w:tabs>
              <w:snapToGrid w:val="0"/>
              <w:spacing w:line="360" w:lineRule="auto"/>
              <w:rPr>
                <w:rFonts w:ascii="宋体" w:hAnsi="宋体" w:cs="宋体"/>
                <w:sz w:val="24"/>
                <w:szCs w:val="24"/>
              </w:rPr>
            </w:pPr>
          </w:p>
        </w:tc>
        <w:tc>
          <w:tcPr>
            <w:tcW w:w="1227" w:type="dxa"/>
          </w:tcPr>
          <w:p>
            <w:pPr>
              <w:tabs>
                <w:tab w:val="left" w:pos="720"/>
              </w:tabs>
              <w:snapToGrid w:val="0"/>
              <w:spacing w:line="360" w:lineRule="auto"/>
              <w:rPr>
                <w:rFonts w:ascii="宋体" w:hAnsi="宋体" w:cs="宋体"/>
                <w:sz w:val="24"/>
                <w:szCs w:val="24"/>
              </w:rPr>
            </w:pPr>
          </w:p>
        </w:tc>
        <w:tc>
          <w:tcPr>
            <w:tcW w:w="2073" w:type="dxa"/>
          </w:tcPr>
          <w:p>
            <w:pPr>
              <w:tabs>
                <w:tab w:val="left" w:pos="720"/>
              </w:tabs>
              <w:snapToGrid w:val="0"/>
              <w:spacing w:line="360" w:lineRule="auto"/>
              <w:rPr>
                <w:rFonts w:ascii="宋体" w:hAnsi="宋体" w:cs="宋体"/>
                <w:sz w:val="24"/>
                <w:szCs w:val="24"/>
              </w:rPr>
            </w:pPr>
          </w:p>
        </w:tc>
        <w:tc>
          <w:tcPr>
            <w:tcW w:w="1214" w:type="dxa"/>
          </w:tcPr>
          <w:p>
            <w:pPr>
              <w:tabs>
                <w:tab w:val="left" w:pos="720"/>
              </w:tabs>
              <w:snapToGrid w:val="0"/>
              <w:spacing w:line="360" w:lineRule="auto"/>
              <w:rPr>
                <w:rFonts w:ascii="宋体" w:hAnsi="宋体" w:cs="宋体"/>
                <w:sz w:val="24"/>
                <w:szCs w:val="24"/>
              </w:rPr>
            </w:pPr>
          </w:p>
        </w:tc>
        <w:tc>
          <w:tcPr>
            <w:tcW w:w="2413" w:type="dxa"/>
          </w:tcPr>
          <w:p>
            <w:pPr>
              <w:tabs>
                <w:tab w:val="left" w:pos="720"/>
              </w:tabs>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tabs>
                <w:tab w:val="left" w:pos="720"/>
              </w:tabs>
              <w:snapToGrid w:val="0"/>
              <w:spacing w:line="360" w:lineRule="auto"/>
              <w:rPr>
                <w:rFonts w:ascii="宋体" w:hAnsi="宋体" w:cs="宋体"/>
                <w:sz w:val="24"/>
                <w:szCs w:val="24"/>
              </w:rPr>
            </w:pPr>
          </w:p>
        </w:tc>
        <w:tc>
          <w:tcPr>
            <w:tcW w:w="1214" w:type="dxa"/>
          </w:tcPr>
          <w:p>
            <w:pPr>
              <w:tabs>
                <w:tab w:val="left" w:pos="720"/>
              </w:tabs>
              <w:snapToGrid w:val="0"/>
              <w:spacing w:line="360" w:lineRule="auto"/>
              <w:rPr>
                <w:rFonts w:ascii="宋体" w:hAnsi="宋体" w:cs="宋体"/>
                <w:sz w:val="24"/>
                <w:szCs w:val="24"/>
              </w:rPr>
            </w:pPr>
          </w:p>
        </w:tc>
        <w:tc>
          <w:tcPr>
            <w:tcW w:w="1227" w:type="dxa"/>
          </w:tcPr>
          <w:p>
            <w:pPr>
              <w:tabs>
                <w:tab w:val="left" w:pos="720"/>
              </w:tabs>
              <w:snapToGrid w:val="0"/>
              <w:spacing w:line="360" w:lineRule="auto"/>
              <w:rPr>
                <w:rFonts w:ascii="宋体" w:hAnsi="宋体" w:cs="宋体"/>
                <w:sz w:val="24"/>
                <w:szCs w:val="24"/>
              </w:rPr>
            </w:pPr>
          </w:p>
        </w:tc>
        <w:tc>
          <w:tcPr>
            <w:tcW w:w="2073" w:type="dxa"/>
          </w:tcPr>
          <w:p>
            <w:pPr>
              <w:tabs>
                <w:tab w:val="left" w:pos="720"/>
              </w:tabs>
              <w:snapToGrid w:val="0"/>
              <w:spacing w:line="360" w:lineRule="auto"/>
              <w:rPr>
                <w:rFonts w:ascii="宋体" w:hAnsi="宋体" w:cs="宋体"/>
                <w:sz w:val="24"/>
                <w:szCs w:val="24"/>
              </w:rPr>
            </w:pPr>
          </w:p>
        </w:tc>
        <w:tc>
          <w:tcPr>
            <w:tcW w:w="1214" w:type="dxa"/>
          </w:tcPr>
          <w:p>
            <w:pPr>
              <w:tabs>
                <w:tab w:val="left" w:pos="720"/>
              </w:tabs>
              <w:snapToGrid w:val="0"/>
              <w:spacing w:line="360" w:lineRule="auto"/>
              <w:rPr>
                <w:rFonts w:ascii="宋体" w:hAnsi="宋体" w:cs="宋体"/>
                <w:sz w:val="24"/>
                <w:szCs w:val="24"/>
              </w:rPr>
            </w:pPr>
          </w:p>
        </w:tc>
        <w:tc>
          <w:tcPr>
            <w:tcW w:w="2413" w:type="dxa"/>
          </w:tcPr>
          <w:p>
            <w:pPr>
              <w:tabs>
                <w:tab w:val="left" w:pos="720"/>
              </w:tabs>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tabs>
                <w:tab w:val="left" w:pos="720"/>
              </w:tabs>
              <w:snapToGrid w:val="0"/>
              <w:spacing w:line="360" w:lineRule="auto"/>
              <w:rPr>
                <w:rFonts w:ascii="宋体" w:hAnsi="宋体" w:cs="宋体"/>
                <w:sz w:val="24"/>
                <w:szCs w:val="24"/>
              </w:rPr>
            </w:pPr>
          </w:p>
        </w:tc>
        <w:tc>
          <w:tcPr>
            <w:tcW w:w="1214" w:type="dxa"/>
          </w:tcPr>
          <w:p>
            <w:pPr>
              <w:tabs>
                <w:tab w:val="left" w:pos="720"/>
              </w:tabs>
              <w:snapToGrid w:val="0"/>
              <w:spacing w:line="360" w:lineRule="auto"/>
              <w:rPr>
                <w:rFonts w:ascii="宋体" w:hAnsi="宋体" w:cs="宋体"/>
                <w:sz w:val="24"/>
                <w:szCs w:val="24"/>
              </w:rPr>
            </w:pPr>
          </w:p>
        </w:tc>
        <w:tc>
          <w:tcPr>
            <w:tcW w:w="1227" w:type="dxa"/>
          </w:tcPr>
          <w:p>
            <w:pPr>
              <w:tabs>
                <w:tab w:val="left" w:pos="720"/>
              </w:tabs>
              <w:snapToGrid w:val="0"/>
              <w:spacing w:line="360" w:lineRule="auto"/>
              <w:rPr>
                <w:rFonts w:ascii="宋体" w:hAnsi="宋体" w:cs="宋体"/>
                <w:sz w:val="24"/>
                <w:szCs w:val="24"/>
              </w:rPr>
            </w:pPr>
          </w:p>
        </w:tc>
        <w:tc>
          <w:tcPr>
            <w:tcW w:w="2073" w:type="dxa"/>
          </w:tcPr>
          <w:p>
            <w:pPr>
              <w:tabs>
                <w:tab w:val="left" w:pos="720"/>
              </w:tabs>
              <w:snapToGrid w:val="0"/>
              <w:spacing w:line="360" w:lineRule="auto"/>
              <w:rPr>
                <w:rFonts w:ascii="宋体" w:hAnsi="宋体" w:cs="宋体"/>
                <w:sz w:val="24"/>
                <w:szCs w:val="24"/>
              </w:rPr>
            </w:pPr>
          </w:p>
        </w:tc>
        <w:tc>
          <w:tcPr>
            <w:tcW w:w="1214" w:type="dxa"/>
          </w:tcPr>
          <w:p>
            <w:pPr>
              <w:tabs>
                <w:tab w:val="left" w:pos="720"/>
              </w:tabs>
              <w:snapToGrid w:val="0"/>
              <w:spacing w:line="360" w:lineRule="auto"/>
              <w:rPr>
                <w:rFonts w:ascii="宋体" w:hAnsi="宋体" w:cs="宋体"/>
                <w:sz w:val="24"/>
                <w:szCs w:val="24"/>
              </w:rPr>
            </w:pPr>
          </w:p>
        </w:tc>
        <w:tc>
          <w:tcPr>
            <w:tcW w:w="2413" w:type="dxa"/>
          </w:tcPr>
          <w:p>
            <w:pPr>
              <w:tabs>
                <w:tab w:val="left" w:pos="720"/>
              </w:tabs>
              <w:snapToGrid w:val="0"/>
              <w:spacing w:line="360" w:lineRule="auto"/>
              <w:rPr>
                <w:rFonts w:ascii="宋体" w:hAnsi="宋体" w:cs="宋体"/>
                <w:sz w:val="24"/>
                <w:szCs w:val="24"/>
              </w:rPr>
            </w:pPr>
          </w:p>
        </w:tc>
      </w:tr>
    </w:tbl>
    <w:p>
      <w:pPr>
        <w:tabs>
          <w:tab w:val="left" w:pos="720"/>
        </w:tabs>
        <w:snapToGrid w:val="0"/>
        <w:spacing w:line="360" w:lineRule="auto"/>
        <w:rPr>
          <w:rFonts w:ascii="宋体" w:hAnsi="宋体" w:cs="宋体"/>
          <w:szCs w:val="20"/>
        </w:rPr>
      </w:pPr>
    </w:p>
    <w:p>
      <w:pPr>
        <w:tabs>
          <w:tab w:val="left" w:pos="720"/>
        </w:tabs>
        <w:snapToGrid w:val="0"/>
        <w:spacing w:line="360" w:lineRule="auto"/>
        <w:rPr>
          <w:rFonts w:ascii="宋体" w:hAnsi="宋体" w:cs="宋体"/>
          <w:szCs w:val="20"/>
        </w:rPr>
      </w:pPr>
    </w:p>
    <w:p>
      <w:pPr>
        <w:tabs>
          <w:tab w:val="left" w:pos="720"/>
        </w:tabs>
        <w:snapToGrid w:val="0"/>
        <w:spacing w:line="360" w:lineRule="auto"/>
        <w:rPr>
          <w:rFonts w:ascii="宋体" w:hAnsi="宋体" w:cs="宋体"/>
          <w:szCs w:val="21"/>
        </w:rPr>
      </w:pPr>
      <w:r>
        <w:rPr>
          <w:rFonts w:hint="eastAsia" w:ascii="宋体" w:hAnsi="宋体" w:cs="宋体"/>
          <w:szCs w:val="21"/>
        </w:rPr>
        <w:t>投标人名称：（盖章）</w:t>
      </w:r>
    </w:p>
    <w:p>
      <w:pPr>
        <w:tabs>
          <w:tab w:val="left" w:pos="720"/>
        </w:tabs>
        <w:snapToGrid w:val="0"/>
        <w:spacing w:line="360" w:lineRule="auto"/>
        <w:rPr>
          <w:rFonts w:ascii="宋体" w:hAnsi="宋体" w:cs="宋体"/>
          <w:szCs w:val="21"/>
        </w:rPr>
      </w:pPr>
      <w:r>
        <w:rPr>
          <w:rFonts w:hint="eastAsia" w:ascii="宋体" w:hAnsi="宋体" w:cs="宋体"/>
          <w:szCs w:val="21"/>
        </w:rPr>
        <w:t>投标人授权代表：（签字或盖章）</w:t>
      </w:r>
    </w:p>
    <w:p>
      <w:pPr>
        <w:widowControl/>
        <w:jc w:val="left"/>
        <w:rPr>
          <w:rFonts w:ascii="宋体" w:hAnsi="宋体" w:cs="宋体"/>
          <w:sz w:val="24"/>
          <w:szCs w:val="24"/>
        </w:rPr>
      </w:pPr>
      <w:r>
        <w:rPr>
          <w:rFonts w:hint="eastAsia" w:ascii="宋体" w:hAnsi="宋体" w:cs="宋体"/>
          <w:snapToGrid w:val="0"/>
        </w:rPr>
        <w:br w:type="page"/>
      </w:r>
      <w:r>
        <w:rPr>
          <w:rFonts w:hint="eastAsia" w:ascii="宋体" w:hAnsi="宋体" w:cs="宋体"/>
          <w:sz w:val="24"/>
          <w:szCs w:val="24"/>
        </w:rPr>
        <w:t>附件五</w:t>
      </w:r>
    </w:p>
    <w:p>
      <w:pPr>
        <w:pStyle w:val="121"/>
        <w:rPr>
          <w:rFonts w:eastAsia="宋体" w:cs="宋体"/>
          <w:b w:val="0"/>
        </w:rPr>
      </w:pPr>
      <w:r>
        <w:rPr>
          <w:rFonts w:eastAsia="宋体" w:cs="宋体"/>
          <w:b w:val="0"/>
        </w:rPr>
        <w:t>投入主要人员汇总表</w:t>
      </w:r>
    </w:p>
    <w:tbl>
      <w:tblPr>
        <w:tblStyle w:val="3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53"/>
        <w:gridCol w:w="960"/>
        <w:gridCol w:w="960"/>
        <w:gridCol w:w="960"/>
        <w:gridCol w:w="960"/>
        <w:gridCol w:w="960"/>
        <w:gridCol w:w="136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16"/>
              <w:jc w:val="center"/>
              <w:rPr>
                <w:rFonts w:cs="宋体"/>
                <w:b/>
              </w:rPr>
            </w:pPr>
            <w:r>
              <w:rPr>
                <w:rFonts w:hint="eastAsia" w:cs="宋体"/>
                <w:b/>
              </w:rPr>
              <w:t>序号</w:t>
            </w:r>
          </w:p>
        </w:tc>
        <w:tc>
          <w:tcPr>
            <w:tcW w:w="1353" w:type="dxa"/>
            <w:vAlign w:val="center"/>
          </w:tcPr>
          <w:p>
            <w:pPr>
              <w:pStyle w:val="116"/>
              <w:jc w:val="center"/>
              <w:rPr>
                <w:rFonts w:cs="宋体"/>
                <w:b/>
              </w:rPr>
            </w:pPr>
            <w:r>
              <w:rPr>
                <w:rFonts w:hint="eastAsia" w:cs="宋体"/>
                <w:b/>
                <w:spacing w:val="-6"/>
              </w:rPr>
              <w:t>在本项目担任的职务</w:t>
            </w:r>
          </w:p>
        </w:tc>
        <w:tc>
          <w:tcPr>
            <w:tcW w:w="960" w:type="dxa"/>
            <w:vAlign w:val="center"/>
          </w:tcPr>
          <w:p>
            <w:pPr>
              <w:pStyle w:val="116"/>
              <w:jc w:val="center"/>
              <w:rPr>
                <w:rFonts w:cs="宋体"/>
                <w:b/>
              </w:rPr>
            </w:pPr>
            <w:r>
              <w:rPr>
                <w:rFonts w:hint="eastAsia" w:cs="宋体"/>
                <w:b/>
              </w:rPr>
              <w:t>姓名</w:t>
            </w:r>
          </w:p>
        </w:tc>
        <w:tc>
          <w:tcPr>
            <w:tcW w:w="960" w:type="dxa"/>
            <w:vAlign w:val="center"/>
          </w:tcPr>
          <w:p>
            <w:pPr>
              <w:pStyle w:val="116"/>
              <w:jc w:val="center"/>
              <w:rPr>
                <w:rFonts w:cs="宋体"/>
                <w:b/>
              </w:rPr>
            </w:pPr>
            <w:r>
              <w:rPr>
                <w:rFonts w:hint="eastAsia" w:cs="宋体"/>
                <w:b/>
              </w:rPr>
              <w:t>年龄</w:t>
            </w:r>
          </w:p>
        </w:tc>
        <w:tc>
          <w:tcPr>
            <w:tcW w:w="960" w:type="dxa"/>
            <w:vAlign w:val="center"/>
          </w:tcPr>
          <w:p>
            <w:pPr>
              <w:pStyle w:val="116"/>
              <w:jc w:val="center"/>
              <w:rPr>
                <w:rFonts w:cs="宋体"/>
                <w:b/>
              </w:rPr>
            </w:pPr>
            <w:r>
              <w:rPr>
                <w:rFonts w:hint="eastAsia" w:cs="宋体"/>
                <w:b/>
              </w:rPr>
              <w:t>职称</w:t>
            </w:r>
          </w:p>
        </w:tc>
        <w:tc>
          <w:tcPr>
            <w:tcW w:w="960" w:type="dxa"/>
            <w:vAlign w:val="center"/>
          </w:tcPr>
          <w:p>
            <w:pPr>
              <w:pStyle w:val="116"/>
              <w:jc w:val="center"/>
              <w:rPr>
                <w:rFonts w:cs="宋体"/>
                <w:b/>
              </w:rPr>
            </w:pPr>
            <w:r>
              <w:rPr>
                <w:rFonts w:hint="eastAsia" w:cs="宋体"/>
                <w:b/>
              </w:rPr>
              <w:t>专业</w:t>
            </w:r>
          </w:p>
        </w:tc>
        <w:tc>
          <w:tcPr>
            <w:tcW w:w="960" w:type="dxa"/>
            <w:vAlign w:val="center"/>
          </w:tcPr>
          <w:p>
            <w:pPr>
              <w:pStyle w:val="116"/>
              <w:jc w:val="center"/>
              <w:rPr>
                <w:rFonts w:cs="宋体"/>
                <w:b/>
              </w:rPr>
            </w:pPr>
            <w:r>
              <w:rPr>
                <w:rFonts w:hint="eastAsia" w:cs="宋体"/>
                <w:b/>
              </w:rPr>
              <w:t>从事相关工作年限</w:t>
            </w:r>
          </w:p>
        </w:tc>
        <w:tc>
          <w:tcPr>
            <w:tcW w:w="1360" w:type="dxa"/>
            <w:vAlign w:val="center"/>
          </w:tcPr>
          <w:p>
            <w:pPr>
              <w:pStyle w:val="116"/>
              <w:jc w:val="center"/>
              <w:rPr>
                <w:rFonts w:cs="宋体"/>
                <w:b/>
              </w:rPr>
            </w:pPr>
            <w:r>
              <w:rPr>
                <w:rFonts w:hint="eastAsia" w:cs="宋体"/>
                <w:b/>
              </w:rPr>
              <w:t>工程师注册（或岗位）证号</w:t>
            </w:r>
          </w:p>
        </w:tc>
        <w:tc>
          <w:tcPr>
            <w:tcW w:w="1276" w:type="dxa"/>
            <w:vAlign w:val="center"/>
          </w:tcPr>
          <w:p>
            <w:pPr>
              <w:pStyle w:val="116"/>
              <w:jc w:val="center"/>
              <w:rPr>
                <w:rFonts w:cs="宋体"/>
                <w:b/>
              </w:rPr>
            </w:pPr>
            <w:r>
              <w:rPr>
                <w:rFonts w:hint="eastAsia" w:cs="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78"/>
              <w:ind w:firstLine="496"/>
              <w:rPr>
                <w:rFonts w:ascii="等线" w:hAnsi="等线" w:eastAsia="等线" w:cs="宋体"/>
                <w:snapToGrid w:val="0"/>
                <w:kern w:val="2"/>
              </w:rPr>
            </w:pPr>
          </w:p>
        </w:tc>
        <w:tc>
          <w:tcPr>
            <w:tcW w:w="1353"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tcPr>
          <w:p>
            <w:pPr>
              <w:pStyle w:val="78"/>
              <w:ind w:firstLine="496"/>
              <w:rPr>
                <w:rFonts w:ascii="等线" w:hAnsi="等线" w:eastAsia="等线" w:cs="宋体"/>
                <w:snapToGrid w:val="0"/>
                <w:kern w:val="2"/>
              </w:rPr>
            </w:pPr>
          </w:p>
        </w:tc>
        <w:tc>
          <w:tcPr>
            <w:tcW w:w="1360" w:type="dxa"/>
            <w:vAlign w:val="center"/>
          </w:tcPr>
          <w:p>
            <w:pPr>
              <w:pStyle w:val="78"/>
              <w:ind w:firstLine="496"/>
              <w:rPr>
                <w:rFonts w:ascii="等线" w:hAnsi="等线" w:eastAsia="等线" w:cs="宋体"/>
                <w:snapToGrid w:val="0"/>
                <w:kern w:val="2"/>
              </w:rPr>
            </w:pPr>
          </w:p>
        </w:tc>
        <w:tc>
          <w:tcPr>
            <w:tcW w:w="1276" w:type="dxa"/>
          </w:tcPr>
          <w:p>
            <w:pPr>
              <w:pStyle w:val="78"/>
              <w:ind w:firstLine="496"/>
              <w:rPr>
                <w:rFonts w:ascii="等线" w:hAnsi="等线" w:eastAsia="等线" w:cs="宋体"/>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78"/>
              <w:ind w:firstLine="496"/>
              <w:rPr>
                <w:rFonts w:ascii="等线" w:hAnsi="等线" w:eastAsia="等线" w:cs="宋体"/>
                <w:snapToGrid w:val="0"/>
                <w:kern w:val="2"/>
              </w:rPr>
            </w:pPr>
          </w:p>
        </w:tc>
        <w:tc>
          <w:tcPr>
            <w:tcW w:w="1353"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tcPr>
          <w:p>
            <w:pPr>
              <w:pStyle w:val="78"/>
              <w:ind w:firstLine="496"/>
              <w:rPr>
                <w:rFonts w:ascii="等线" w:hAnsi="等线" w:eastAsia="等线" w:cs="宋体"/>
                <w:snapToGrid w:val="0"/>
                <w:kern w:val="2"/>
              </w:rPr>
            </w:pPr>
          </w:p>
        </w:tc>
        <w:tc>
          <w:tcPr>
            <w:tcW w:w="1360" w:type="dxa"/>
            <w:vAlign w:val="center"/>
          </w:tcPr>
          <w:p>
            <w:pPr>
              <w:pStyle w:val="78"/>
              <w:ind w:firstLine="496"/>
              <w:rPr>
                <w:rFonts w:ascii="等线" w:hAnsi="等线" w:eastAsia="等线" w:cs="宋体"/>
                <w:snapToGrid w:val="0"/>
                <w:kern w:val="2"/>
              </w:rPr>
            </w:pPr>
          </w:p>
        </w:tc>
        <w:tc>
          <w:tcPr>
            <w:tcW w:w="1276" w:type="dxa"/>
          </w:tcPr>
          <w:p>
            <w:pPr>
              <w:pStyle w:val="78"/>
              <w:ind w:firstLine="496"/>
              <w:rPr>
                <w:rFonts w:ascii="等线" w:hAnsi="等线" w:eastAsia="等线" w:cs="宋体"/>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78"/>
              <w:ind w:firstLine="496"/>
              <w:rPr>
                <w:rFonts w:ascii="等线" w:hAnsi="等线" w:eastAsia="等线" w:cs="宋体"/>
                <w:snapToGrid w:val="0"/>
                <w:kern w:val="2"/>
              </w:rPr>
            </w:pPr>
          </w:p>
        </w:tc>
        <w:tc>
          <w:tcPr>
            <w:tcW w:w="1353"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tcPr>
          <w:p>
            <w:pPr>
              <w:pStyle w:val="78"/>
              <w:ind w:firstLine="496"/>
              <w:rPr>
                <w:rFonts w:ascii="等线" w:hAnsi="等线" w:eastAsia="等线" w:cs="宋体"/>
                <w:snapToGrid w:val="0"/>
                <w:kern w:val="2"/>
              </w:rPr>
            </w:pPr>
          </w:p>
        </w:tc>
        <w:tc>
          <w:tcPr>
            <w:tcW w:w="1360" w:type="dxa"/>
            <w:vAlign w:val="center"/>
          </w:tcPr>
          <w:p>
            <w:pPr>
              <w:pStyle w:val="78"/>
              <w:ind w:firstLine="496"/>
              <w:rPr>
                <w:rFonts w:ascii="等线" w:hAnsi="等线" w:eastAsia="等线" w:cs="宋体"/>
                <w:snapToGrid w:val="0"/>
                <w:kern w:val="2"/>
              </w:rPr>
            </w:pPr>
          </w:p>
        </w:tc>
        <w:tc>
          <w:tcPr>
            <w:tcW w:w="1276" w:type="dxa"/>
          </w:tcPr>
          <w:p>
            <w:pPr>
              <w:pStyle w:val="78"/>
              <w:ind w:firstLine="496"/>
              <w:rPr>
                <w:rFonts w:ascii="等线" w:hAnsi="等线" w:eastAsia="等线" w:cs="宋体"/>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78"/>
              <w:ind w:firstLine="496"/>
              <w:rPr>
                <w:rFonts w:ascii="等线" w:hAnsi="等线" w:eastAsia="等线" w:cs="宋体"/>
                <w:snapToGrid w:val="0"/>
                <w:kern w:val="2"/>
              </w:rPr>
            </w:pPr>
          </w:p>
        </w:tc>
        <w:tc>
          <w:tcPr>
            <w:tcW w:w="1353"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tcPr>
          <w:p>
            <w:pPr>
              <w:pStyle w:val="78"/>
              <w:ind w:firstLine="496"/>
              <w:rPr>
                <w:rFonts w:ascii="等线" w:hAnsi="等线" w:eastAsia="等线" w:cs="宋体"/>
                <w:snapToGrid w:val="0"/>
                <w:kern w:val="2"/>
              </w:rPr>
            </w:pPr>
          </w:p>
        </w:tc>
        <w:tc>
          <w:tcPr>
            <w:tcW w:w="1360" w:type="dxa"/>
            <w:vAlign w:val="center"/>
          </w:tcPr>
          <w:p>
            <w:pPr>
              <w:pStyle w:val="78"/>
              <w:ind w:firstLine="496"/>
              <w:rPr>
                <w:rFonts w:ascii="等线" w:hAnsi="等线" w:eastAsia="等线" w:cs="宋体"/>
                <w:snapToGrid w:val="0"/>
                <w:kern w:val="2"/>
              </w:rPr>
            </w:pPr>
          </w:p>
        </w:tc>
        <w:tc>
          <w:tcPr>
            <w:tcW w:w="1276" w:type="dxa"/>
          </w:tcPr>
          <w:p>
            <w:pPr>
              <w:pStyle w:val="78"/>
              <w:ind w:firstLine="496"/>
              <w:rPr>
                <w:rFonts w:ascii="等线" w:hAnsi="等线" w:eastAsia="等线" w:cs="宋体"/>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78"/>
              <w:ind w:firstLine="496"/>
              <w:rPr>
                <w:rFonts w:ascii="等线" w:hAnsi="等线" w:eastAsia="等线" w:cs="宋体"/>
                <w:snapToGrid w:val="0"/>
                <w:kern w:val="2"/>
              </w:rPr>
            </w:pPr>
          </w:p>
        </w:tc>
        <w:tc>
          <w:tcPr>
            <w:tcW w:w="1353"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tcPr>
          <w:p>
            <w:pPr>
              <w:pStyle w:val="78"/>
              <w:ind w:firstLine="496"/>
              <w:rPr>
                <w:rFonts w:ascii="等线" w:hAnsi="等线" w:eastAsia="等线" w:cs="宋体"/>
                <w:snapToGrid w:val="0"/>
                <w:kern w:val="2"/>
              </w:rPr>
            </w:pPr>
          </w:p>
        </w:tc>
        <w:tc>
          <w:tcPr>
            <w:tcW w:w="1360" w:type="dxa"/>
            <w:vAlign w:val="center"/>
          </w:tcPr>
          <w:p>
            <w:pPr>
              <w:pStyle w:val="78"/>
              <w:ind w:firstLine="496"/>
              <w:rPr>
                <w:rFonts w:ascii="等线" w:hAnsi="等线" w:eastAsia="等线" w:cs="宋体"/>
                <w:snapToGrid w:val="0"/>
                <w:kern w:val="2"/>
              </w:rPr>
            </w:pPr>
          </w:p>
        </w:tc>
        <w:tc>
          <w:tcPr>
            <w:tcW w:w="1276" w:type="dxa"/>
          </w:tcPr>
          <w:p>
            <w:pPr>
              <w:pStyle w:val="78"/>
              <w:ind w:firstLine="496"/>
              <w:rPr>
                <w:rFonts w:ascii="等线" w:hAnsi="等线" w:eastAsia="等线" w:cs="宋体"/>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78"/>
              <w:ind w:firstLine="496"/>
              <w:rPr>
                <w:rFonts w:ascii="等线" w:hAnsi="等线" w:eastAsia="等线" w:cs="宋体"/>
                <w:snapToGrid w:val="0"/>
                <w:kern w:val="2"/>
              </w:rPr>
            </w:pPr>
          </w:p>
        </w:tc>
        <w:tc>
          <w:tcPr>
            <w:tcW w:w="1353"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tcPr>
          <w:p>
            <w:pPr>
              <w:pStyle w:val="78"/>
              <w:ind w:firstLine="496"/>
              <w:rPr>
                <w:rFonts w:ascii="等线" w:hAnsi="等线" w:eastAsia="等线" w:cs="宋体"/>
                <w:snapToGrid w:val="0"/>
                <w:kern w:val="2"/>
              </w:rPr>
            </w:pPr>
          </w:p>
        </w:tc>
        <w:tc>
          <w:tcPr>
            <w:tcW w:w="1360" w:type="dxa"/>
            <w:vAlign w:val="center"/>
          </w:tcPr>
          <w:p>
            <w:pPr>
              <w:pStyle w:val="78"/>
              <w:ind w:firstLine="496"/>
              <w:rPr>
                <w:rFonts w:ascii="等线" w:hAnsi="等线" w:eastAsia="等线" w:cs="宋体"/>
                <w:snapToGrid w:val="0"/>
                <w:kern w:val="2"/>
              </w:rPr>
            </w:pPr>
          </w:p>
        </w:tc>
        <w:tc>
          <w:tcPr>
            <w:tcW w:w="1276" w:type="dxa"/>
          </w:tcPr>
          <w:p>
            <w:pPr>
              <w:pStyle w:val="78"/>
              <w:ind w:firstLine="496"/>
              <w:rPr>
                <w:rFonts w:ascii="等线" w:hAnsi="等线" w:eastAsia="等线" w:cs="宋体"/>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78"/>
              <w:ind w:firstLine="496"/>
              <w:rPr>
                <w:rFonts w:ascii="等线" w:hAnsi="等线" w:eastAsia="等线" w:cs="宋体"/>
                <w:snapToGrid w:val="0"/>
                <w:kern w:val="2"/>
              </w:rPr>
            </w:pPr>
          </w:p>
        </w:tc>
        <w:tc>
          <w:tcPr>
            <w:tcW w:w="1353"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tcPr>
          <w:p>
            <w:pPr>
              <w:pStyle w:val="78"/>
              <w:ind w:firstLine="496"/>
              <w:rPr>
                <w:rFonts w:ascii="等线" w:hAnsi="等线" w:eastAsia="等线" w:cs="宋体"/>
                <w:snapToGrid w:val="0"/>
                <w:kern w:val="2"/>
              </w:rPr>
            </w:pPr>
          </w:p>
        </w:tc>
        <w:tc>
          <w:tcPr>
            <w:tcW w:w="1360" w:type="dxa"/>
            <w:vAlign w:val="center"/>
          </w:tcPr>
          <w:p>
            <w:pPr>
              <w:pStyle w:val="78"/>
              <w:ind w:firstLine="496"/>
              <w:rPr>
                <w:rFonts w:ascii="等线" w:hAnsi="等线" w:eastAsia="等线" w:cs="宋体"/>
                <w:snapToGrid w:val="0"/>
                <w:kern w:val="2"/>
              </w:rPr>
            </w:pPr>
          </w:p>
        </w:tc>
        <w:tc>
          <w:tcPr>
            <w:tcW w:w="1276" w:type="dxa"/>
          </w:tcPr>
          <w:p>
            <w:pPr>
              <w:pStyle w:val="78"/>
              <w:ind w:firstLine="496"/>
              <w:rPr>
                <w:rFonts w:ascii="等线" w:hAnsi="等线" w:eastAsia="等线" w:cs="宋体"/>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78"/>
              <w:ind w:firstLine="496"/>
              <w:rPr>
                <w:rFonts w:ascii="等线" w:hAnsi="等线" w:eastAsia="等线" w:cs="宋体"/>
                <w:snapToGrid w:val="0"/>
                <w:kern w:val="2"/>
              </w:rPr>
            </w:pPr>
          </w:p>
        </w:tc>
        <w:tc>
          <w:tcPr>
            <w:tcW w:w="1353"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tcPr>
          <w:p>
            <w:pPr>
              <w:pStyle w:val="78"/>
              <w:ind w:firstLine="496"/>
              <w:rPr>
                <w:rFonts w:ascii="等线" w:hAnsi="等线" w:eastAsia="等线" w:cs="宋体"/>
                <w:snapToGrid w:val="0"/>
                <w:kern w:val="2"/>
              </w:rPr>
            </w:pPr>
          </w:p>
        </w:tc>
        <w:tc>
          <w:tcPr>
            <w:tcW w:w="1360" w:type="dxa"/>
            <w:vAlign w:val="center"/>
          </w:tcPr>
          <w:p>
            <w:pPr>
              <w:pStyle w:val="78"/>
              <w:ind w:firstLine="496"/>
              <w:rPr>
                <w:rFonts w:ascii="等线" w:hAnsi="等线" w:eastAsia="等线" w:cs="宋体"/>
                <w:snapToGrid w:val="0"/>
                <w:kern w:val="2"/>
              </w:rPr>
            </w:pPr>
          </w:p>
        </w:tc>
        <w:tc>
          <w:tcPr>
            <w:tcW w:w="1276" w:type="dxa"/>
          </w:tcPr>
          <w:p>
            <w:pPr>
              <w:pStyle w:val="78"/>
              <w:ind w:firstLine="496"/>
              <w:rPr>
                <w:rFonts w:ascii="等线" w:hAnsi="等线" w:eastAsia="等线" w:cs="宋体"/>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78"/>
              <w:ind w:firstLine="496"/>
              <w:rPr>
                <w:rFonts w:ascii="等线" w:hAnsi="等线" w:eastAsia="等线" w:cs="宋体"/>
                <w:snapToGrid w:val="0"/>
                <w:kern w:val="2"/>
              </w:rPr>
            </w:pPr>
          </w:p>
        </w:tc>
        <w:tc>
          <w:tcPr>
            <w:tcW w:w="1353"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tcPr>
          <w:p>
            <w:pPr>
              <w:pStyle w:val="78"/>
              <w:ind w:firstLine="496"/>
              <w:rPr>
                <w:rFonts w:ascii="等线" w:hAnsi="等线" w:eastAsia="等线" w:cs="宋体"/>
                <w:snapToGrid w:val="0"/>
                <w:kern w:val="2"/>
              </w:rPr>
            </w:pPr>
          </w:p>
        </w:tc>
        <w:tc>
          <w:tcPr>
            <w:tcW w:w="1360" w:type="dxa"/>
            <w:vAlign w:val="center"/>
          </w:tcPr>
          <w:p>
            <w:pPr>
              <w:pStyle w:val="78"/>
              <w:ind w:firstLine="496"/>
              <w:rPr>
                <w:rFonts w:ascii="等线" w:hAnsi="等线" w:eastAsia="等线" w:cs="宋体"/>
                <w:snapToGrid w:val="0"/>
                <w:kern w:val="2"/>
              </w:rPr>
            </w:pPr>
          </w:p>
        </w:tc>
        <w:tc>
          <w:tcPr>
            <w:tcW w:w="1276" w:type="dxa"/>
          </w:tcPr>
          <w:p>
            <w:pPr>
              <w:pStyle w:val="78"/>
              <w:ind w:firstLine="496"/>
              <w:rPr>
                <w:rFonts w:ascii="等线" w:hAnsi="等线" w:eastAsia="等线" w:cs="宋体"/>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78"/>
              <w:ind w:firstLine="496"/>
              <w:rPr>
                <w:rFonts w:ascii="等线" w:hAnsi="等线" w:eastAsia="等线" w:cs="宋体"/>
                <w:snapToGrid w:val="0"/>
                <w:kern w:val="2"/>
              </w:rPr>
            </w:pPr>
          </w:p>
        </w:tc>
        <w:tc>
          <w:tcPr>
            <w:tcW w:w="1353"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tcPr>
          <w:p>
            <w:pPr>
              <w:pStyle w:val="78"/>
              <w:ind w:firstLine="496"/>
              <w:rPr>
                <w:rFonts w:ascii="等线" w:hAnsi="等线" w:eastAsia="等线" w:cs="宋体"/>
                <w:snapToGrid w:val="0"/>
                <w:kern w:val="2"/>
              </w:rPr>
            </w:pPr>
          </w:p>
        </w:tc>
        <w:tc>
          <w:tcPr>
            <w:tcW w:w="1360" w:type="dxa"/>
            <w:vAlign w:val="center"/>
          </w:tcPr>
          <w:p>
            <w:pPr>
              <w:pStyle w:val="78"/>
              <w:ind w:firstLine="496"/>
              <w:rPr>
                <w:rFonts w:ascii="等线" w:hAnsi="等线" w:eastAsia="等线" w:cs="宋体"/>
                <w:snapToGrid w:val="0"/>
                <w:kern w:val="2"/>
              </w:rPr>
            </w:pPr>
          </w:p>
        </w:tc>
        <w:tc>
          <w:tcPr>
            <w:tcW w:w="1276" w:type="dxa"/>
          </w:tcPr>
          <w:p>
            <w:pPr>
              <w:pStyle w:val="78"/>
              <w:ind w:firstLine="496"/>
              <w:rPr>
                <w:rFonts w:ascii="等线" w:hAnsi="等线" w:eastAsia="等线" w:cs="宋体"/>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78"/>
              <w:ind w:firstLine="496"/>
              <w:rPr>
                <w:rFonts w:ascii="等线" w:hAnsi="等线" w:eastAsia="等线" w:cs="宋体"/>
                <w:snapToGrid w:val="0"/>
                <w:kern w:val="2"/>
              </w:rPr>
            </w:pPr>
          </w:p>
        </w:tc>
        <w:tc>
          <w:tcPr>
            <w:tcW w:w="1353"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vAlign w:val="center"/>
          </w:tcPr>
          <w:p>
            <w:pPr>
              <w:pStyle w:val="78"/>
              <w:ind w:firstLine="496"/>
              <w:rPr>
                <w:rFonts w:ascii="等线" w:hAnsi="等线" w:eastAsia="等线" w:cs="宋体"/>
                <w:snapToGrid w:val="0"/>
                <w:kern w:val="2"/>
              </w:rPr>
            </w:pPr>
          </w:p>
        </w:tc>
        <w:tc>
          <w:tcPr>
            <w:tcW w:w="960" w:type="dxa"/>
          </w:tcPr>
          <w:p>
            <w:pPr>
              <w:pStyle w:val="78"/>
              <w:ind w:firstLine="496"/>
              <w:rPr>
                <w:rFonts w:ascii="等线" w:hAnsi="等线" w:eastAsia="等线" w:cs="宋体"/>
                <w:snapToGrid w:val="0"/>
                <w:kern w:val="2"/>
              </w:rPr>
            </w:pPr>
          </w:p>
        </w:tc>
        <w:tc>
          <w:tcPr>
            <w:tcW w:w="1360" w:type="dxa"/>
            <w:vAlign w:val="center"/>
          </w:tcPr>
          <w:p>
            <w:pPr>
              <w:pStyle w:val="78"/>
              <w:ind w:firstLine="496"/>
              <w:rPr>
                <w:rFonts w:ascii="等线" w:hAnsi="等线" w:eastAsia="等线" w:cs="宋体"/>
                <w:snapToGrid w:val="0"/>
                <w:kern w:val="2"/>
              </w:rPr>
            </w:pPr>
          </w:p>
        </w:tc>
        <w:tc>
          <w:tcPr>
            <w:tcW w:w="1276" w:type="dxa"/>
          </w:tcPr>
          <w:p>
            <w:pPr>
              <w:pStyle w:val="78"/>
              <w:ind w:firstLine="496"/>
              <w:rPr>
                <w:rFonts w:ascii="等线" w:hAnsi="等线" w:eastAsia="等线" w:cs="宋体"/>
                <w:snapToGrid w:val="0"/>
                <w:kern w:val="2"/>
              </w:rPr>
            </w:pPr>
          </w:p>
        </w:tc>
      </w:tr>
    </w:tbl>
    <w:p>
      <w:pPr>
        <w:pStyle w:val="78"/>
        <w:spacing w:line="400" w:lineRule="exact"/>
        <w:ind w:firstLine="496"/>
        <w:rPr>
          <w:rFonts w:cs="宋体"/>
        </w:rPr>
      </w:pPr>
    </w:p>
    <w:p>
      <w:pPr>
        <w:pStyle w:val="78"/>
        <w:ind w:firstLine="0" w:firstLineChars="0"/>
        <w:jc w:val="center"/>
        <w:rPr>
          <w:rFonts w:cs="宋体"/>
        </w:rPr>
      </w:pPr>
      <w:r>
        <w:rPr>
          <w:rFonts w:cs="宋体"/>
        </w:rPr>
        <w:t xml:space="preserve">             投标人：　　（盖章）</w:t>
      </w:r>
    </w:p>
    <w:p>
      <w:pPr>
        <w:pStyle w:val="78"/>
        <w:ind w:firstLine="3720" w:firstLineChars="1500"/>
        <w:rPr>
          <w:rFonts w:cs="宋体"/>
        </w:rPr>
      </w:pPr>
      <w:r>
        <w:rPr>
          <w:rFonts w:cs="宋体"/>
        </w:rPr>
        <w:t>法定代表人或授权代理人(签字或盖章)：</w:t>
      </w:r>
    </w:p>
    <w:p>
      <w:pPr>
        <w:pStyle w:val="78"/>
        <w:ind w:firstLine="3720" w:firstLineChars="1500"/>
        <w:rPr>
          <w:rFonts w:cs="宋体"/>
          <w:sz w:val="18"/>
          <w:szCs w:val="18"/>
        </w:rPr>
      </w:pPr>
      <w:r>
        <w:rPr>
          <w:rFonts w:cs="宋体"/>
        </w:rPr>
        <w:t>日   期：    年    月    日</w:t>
      </w:r>
    </w:p>
    <w:p>
      <w:pPr>
        <w:pStyle w:val="78"/>
        <w:ind w:firstLine="3596" w:firstLineChars="1450"/>
        <w:rPr>
          <w:rFonts w:cs="宋体"/>
        </w:rPr>
      </w:pPr>
    </w:p>
    <w:p>
      <w:pPr>
        <w:pStyle w:val="118"/>
        <w:spacing w:beforeLines="0" w:after="120"/>
        <w:jc w:val="left"/>
        <w:rPr>
          <w:rFonts w:ascii="宋体" w:hAnsi="宋体" w:eastAsia="宋体" w:cs="宋体"/>
          <w:b w:val="0"/>
          <w:spacing w:val="0"/>
          <w:kern w:val="2"/>
        </w:rPr>
      </w:pPr>
      <w:bookmarkStart w:id="25" w:name="_Toc226209009"/>
      <w:bookmarkStart w:id="26" w:name="_Toc464131230"/>
      <w:bookmarkStart w:id="27" w:name="_Toc395261105"/>
      <w:bookmarkStart w:id="28" w:name="_Toc449308426"/>
      <w:bookmarkStart w:id="29" w:name="_Toc337720097"/>
      <w:bookmarkStart w:id="30" w:name="_Toc239216037"/>
      <w:bookmarkStart w:id="31" w:name="_Toc318924501"/>
      <w:bookmarkStart w:id="32" w:name="_Toc515454599"/>
      <w:bookmarkStart w:id="33" w:name="_Toc23443"/>
      <w:bookmarkStart w:id="34" w:name="_Toc358370584"/>
      <w:bookmarkStart w:id="35" w:name="_Toc163337626"/>
      <w:bookmarkStart w:id="36" w:name="_Toc369536776"/>
      <w:bookmarkStart w:id="37" w:name="_Toc239311752"/>
      <w:bookmarkStart w:id="38" w:name="_Toc11987"/>
      <w:bookmarkStart w:id="39" w:name="_Toc352240529"/>
      <w:bookmarkStart w:id="40" w:name="_Toc352623427"/>
      <w:r>
        <w:rPr>
          <w:rFonts w:hint="eastAsia" w:ascii="宋体" w:hAnsi="宋体" w:eastAsia="宋体" w:cs="宋体"/>
          <w:b w:val="0"/>
          <w:spacing w:val="0"/>
          <w:kern w:val="2"/>
          <w:sz w:val="24"/>
          <w:szCs w:val="24"/>
        </w:rPr>
        <w:br w:type="page"/>
      </w:r>
      <w:bookmarkStart w:id="41" w:name="_Toc22202"/>
      <w:r>
        <w:rPr>
          <w:rFonts w:hint="eastAsia" w:ascii="宋体" w:hAnsi="宋体" w:eastAsia="宋体" w:cs="宋体"/>
          <w:b w:val="0"/>
          <w:spacing w:val="0"/>
          <w:kern w:val="2"/>
          <w:sz w:val="24"/>
          <w:szCs w:val="24"/>
        </w:rPr>
        <w:t>附件六：主要人员简历表</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121"/>
        <w:rPr>
          <w:rFonts w:eastAsia="宋体" w:cs="宋体"/>
          <w:b w:val="0"/>
        </w:rPr>
      </w:pPr>
      <w:r>
        <w:rPr>
          <w:rFonts w:eastAsia="宋体" w:cs="宋体"/>
          <w:b w:val="0"/>
        </w:rPr>
        <w:t>主要人员简历表</w:t>
      </w:r>
    </w:p>
    <w:tbl>
      <w:tblPr>
        <w:tblStyle w:val="39"/>
        <w:tblpPr w:leftFromText="180" w:rightFromText="180" w:vertAnchor="text" w:tblpX="-206" w:tblpY="7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9"/>
        <w:gridCol w:w="1383"/>
        <w:gridCol w:w="499"/>
        <w:gridCol w:w="884"/>
        <w:gridCol w:w="339"/>
        <w:gridCol w:w="1256"/>
        <w:gridCol w:w="264"/>
        <w:gridCol w:w="1056"/>
        <w:gridCol w:w="63"/>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trPr>
        <w:tc>
          <w:tcPr>
            <w:tcW w:w="801"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cs="宋体"/>
                <w:b/>
                <w:sz w:val="24"/>
                <w:szCs w:val="24"/>
              </w:rPr>
            </w:pPr>
            <w:r>
              <w:rPr>
                <w:rFonts w:hint="eastAsia" w:cs="宋体"/>
                <w:b/>
                <w:sz w:val="24"/>
                <w:szCs w:val="24"/>
              </w:rPr>
              <w:t>姓名</w:t>
            </w:r>
          </w:p>
        </w:tc>
        <w:tc>
          <w:tcPr>
            <w:tcW w:w="1116" w:type="pct"/>
            <w:gridSpan w:val="3"/>
            <w:tcBorders>
              <w:top w:val="single" w:color="auto" w:sz="4" w:space="0"/>
              <w:left w:val="single" w:color="auto" w:sz="4" w:space="0"/>
              <w:bottom w:val="single" w:color="auto" w:sz="4" w:space="0"/>
              <w:right w:val="single" w:color="auto" w:sz="4" w:space="0"/>
            </w:tcBorders>
            <w:vAlign w:val="center"/>
          </w:tcPr>
          <w:p>
            <w:pPr>
              <w:pStyle w:val="78"/>
              <w:keepNext/>
              <w:keepLines/>
              <w:spacing w:before="120" w:after="120"/>
              <w:ind w:firstLine="0" w:firstLineChars="0"/>
              <w:jc w:val="center"/>
              <w:outlineLvl w:val="0"/>
              <w:rPr>
                <w:rFonts w:hint="eastAsia" w:ascii="宋体" w:hAnsi="宋体" w:cs="宋体"/>
                <w:b/>
                <w:snapToGrid w:val="0"/>
                <w:kern w:val="2"/>
              </w:rPr>
            </w:pPr>
          </w:p>
        </w:tc>
        <w:tc>
          <w:tcPr>
            <w:tcW w:w="718" w:type="pct"/>
            <w:gridSpan w:val="2"/>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cs="宋体"/>
                <w:b/>
                <w:sz w:val="24"/>
                <w:szCs w:val="24"/>
              </w:rPr>
            </w:pPr>
            <w:r>
              <w:rPr>
                <w:rFonts w:hint="eastAsia" w:cs="宋体"/>
                <w:b/>
                <w:sz w:val="24"/>
                <w:szCs w:val="24"/>
              </w:rPr>
              <w:t>性别</w:t>
            </w:r>
          </w:p>
        </w:tc>
        <w:tc>
          <w:tcPr>
            <w:tcW w:w="892" w:type="pct"/>
            <w:gridSpan w:val="2"/>
            <w:tcBorders>
              <w:top w:val="single" w:color="auto" w:sz="4" w:space="0"/>
              <w:left w:val="single" w:color="auto" w:sz="4" w:space="0"/>
              <w:bottom w:val="single" w:color="auto" w:sz="4" w:space="0"/>
              <w:right w:val="single" w:color="auto" w:sz="4" w:space="0"/>
            </w:tcBorders>
            <w:vAlign w:val="center"/>
          </w:tcPr>
          <w:p>
            <w:pPr>
              <w:pStyle w:val="78"/>
              <w:keepNext/>
              <w:keepLines/>
              <w:spacing w:before="120" w:after="120"/>
              <w:ind w:firstLine="0" w:firstLineChars="0"/>
              <w:jc w:val="center"/>
              <w:outlineLvl w:val="0"/>
              <w:rPr>
                <w:rFonts w:hint="eastAsia" w:ascii="宋体" w:hAnsi="宋体" w:cs="宋体"/>
                <w:b/>
                <w:snapToGrid w:val="0"/>
                <w:kern w:val="2"/>
              </w:rPr>
            </w:pPr>
          </w:p>
        </w:tc>
        <w:tc>
          <w:tcPr>
            <w:tcW w:w="620"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cs="宋体"/>
                <w:b/>
                <w:sz w:val="24"/>
                <w:szCs w:val="24"/>
              </w:rPr>
            </w:pPr>
            <w:r>
              <w:rPr>
                <w:rFonts w:hint="eastAsia" w:cs="宋体"/>
                <w:b/>
                <w:sz w:val="24"/>
                <w:szCs w:val="24"/>
              </w:rPr>
              <w:t>年龄</w:t>
            </w:r>
          </w:p>
        </w:tc>
        <w:tc>
          <w:tcPr>
            <w:tcW w:w="850" w:type="pct"/>
            <w:gridSpan w:val="2"/>
            <w:tcBorders>
              <w:top w:val="single" w:color="auto" w:sz="4" w:space="0"/>
              <w:left w:val="single" w:color="auto" w:sz="4" w:space="0"/>
              <w:bottom w:val="single" w:color="auto" w:sz="4" w:space="0"/>
              <w:right w:val="single" w:color="auto" w:sz="4" w:space="0"/>
            </w:tcBorders>
            <w:vAlign w:val="center"/>
          </w:tcPr>
          <w:p>
            <w:pPr>
              <w:pStyle w:val="78"/>
              <w:keepNext/>
              <w:keepLines/>
              <w:spacing w:before="120" w:after="120"/>
              <w:ind w:firstLine="0" w:firstLineChars="0"/>
              <w:jc w:val="center"/>
              <w:outlineLvl w:val="0"/>
              <w:rPr>
                <w:rFonts w:hint="eastAsia" w:ascii="宋体" w:hAnsi="宋体" w:cs="宋体"/>
                <w:b/>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1"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cs="宋体"/>
                <w:b/>
                <w:sz w:val="24"/>
                <w:szCs w:val="24"/>
              </w:rPr>
            </w:pPr>
            <w:r>
              <w:rPr>
                <w:rFonts w:hint="eastAsia" w:cs="宋体"/>
                <w:b/>
                <w:bCs/>
              </w:rPr>
              <w:t>身份证号码</w:t>
            </w:r>
          </w:p>
        </w:tc>
        <w:tc>
          <w:tcPr>
            <w:tcW w:w="4198" w:type="pct"/>
            <w:gridSpan w:val="10"/>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b/>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1"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cs="宋体"/>
                <w:b/>
                <w:sz w:val="24"/>
                <w:szCs w:val="24"/>
              </w:rPr>
            </w:pPr>
            <w:r>
              <w:rPr>
                <w:rFonts w:hint="eastAsia" w:cs="宋体"/>
                <w:b/>
                <w:sz w:val="24"/>
                <w:szCs w:val="24"/>
              </w:rPr>
              <w:t>职务</w:t>
            </w:r>
          </w:p>
        </w:tc>
        <w:tc>
          <w:tcPr>
            <w:tcW w:w="1116" w:type="pct"/>
            <w:gridSpan w:val="3"/>
            <w:tcBorders>
              <w:top w:val="single" w:color="auto" w:sz="4" w:space="0"/>
              <w:left w:val="single" w:color="auto" w:sz="4" w:space="0"/>
              <w:bottom w:val="single" w:color="auto" w:sz="4" w:space="0"/>
              <w:right w:val="single" w:color="auto" w:sz="4" w:space="0"/>
            </w:tcBorders>
            <w:vAlign w:val="center"/>
          </w:tcPr>
          <w:p>
            <w:pPr>
              <w:pStyle w:val="78"/>
              <w:keepNext/>
              <w:keepLines/>
              <w:spacing w:before="120" w:after="120"/>
              <w:ind w:firstLine="0" w:firstLineChars="0"/>
              <w:jc w:val="center"/>
              <w:outlineLvl w:val="0"/>
              <w:rPr>
                <w:rFonts w:hint="eastAsia" w:ascii="宋体" w:hAnsi="宋体" w:cs="宋体"/>
                <w:b/>
                <w:snapToGrid w:val="0"/>
                <w:kern w:val="2"/>
              </w:rPr>
            </w:pPr>
          </w:p>
        </w:tc>
        <w:tc>
          <w:tcPr>
            <w:tcW w:w="718" w:type="pct"/>
            <w:gridSpan w:val="2"/>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cs="宋体"/>
                <w:b/>
                <w:sz w:val="24"/>
                <w:szCs w:val="24"/>
              </w:rPr>
            </w:pPr>
            <w:r>
              <w:rPr>
                <w:rFonts w:hint="eastAsia" w:cs="宋体"/>
                <w:b/>
                <w:sz w:val="24"/>
                <w:szCs w:val="24"/>
              </w:rPr>
              <w:t>职称</w:t>
            </w:r>
          </w:p>
        </w:tc>
        <w:tc>
          <w:tcPr>
            <w:tcW w:w="892" w:type="pct"/>
            <w:gridSpan w:val="2"/>
            <w:tcBorders>
              <w:top w:val="single" w:color="auto" w:sz="4" w:space="0"/>
              <w:left w:val="single" w:color="auto" w:sz="4" w:space="0"/>
              <w:bottom w:val="single" w:color="auto" w:sz="4" w:space="0"/>
              <w:right w:val="single" w:color="auto" w:sz="4" w:space="0"/>
            </w:tcBorders>
            <w:vAlign w:val="center"/>
          </w:tcPr>
          <w:p>
            <w:pPr>
              <w:pStyle w:val="78"/>
              <w:keepNext/>
              <w:keepLines/>
              <w:spacing w:before="120" w:after="120"/>
              <w:ind w:firstLine="0" w:firstLineChars="0"/>
              <w:jc w:val="center"/>
              <w:outlineLvl w:val="0"/>
              <w:rPr>
                <w:rFonts w:hint="eastAsia" w:ascii="宋体" w:hAnsi="宋体" w:cs="宋体"/>
                <w:b/>
                <w:snapToGrid w:val="0"/>
                <w:kern w:val="2"/>
              </w:rPr>
            </w:pPr>
          </w:p>
        </w:tc>
        <w:tc>
          <w:tcPr>
            <w:tcW w:w="620"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cs="宋体"/>
                <w:b/>
                <w:sz w:val="24"/>
                <w:szCs w:val="24"/>
              </w:rPr>
            </w:pPr>
            <w:r>
              <w:rPr>
                <w:rFonts w:hint="eastAsia" w:cs="宋体"/>
                <w:b/>
                <w:sz w:val="24"/>
                <w:szCs w:val="24"/>
              </w:rPr>
              <w:t>学历</w:t>
            </w:r>
          </w:p>
        </w:tc>
        <w:tc>
          <w:tcPr>
            <w:tcW w:w="850" w:type="pct"/>
            <w:gridSpan w:val="2"/>
            <w:tcBorders>
              <w:top w:val="single" w:color="auto" w:sz="4" w:space="0"/>
              <w:left w:val="single" w:color="auto" w:sz="4" w:space="0"/>
              <w:bottom w:val="single" w:color="auto" w:sz="4" w:space="0"/>
              <w:right w:val="single" w:color="auto" w:sz="4" w:space="0"/>
            </w:tcBorders>
            <w:vAlign w:val="center"/>
          </w:tcPr>
          <w:p>
            <w:pPr>
              <w:pStyle w:val="78"/>
              <w:keepNext/>
              <w:keepLines/>
              <w:spacing w:before="120" w:after="120"/>
              <w:ind w:firstLine="0" w:firstLineChars="0"/>
              <w:jc w:val="center"/>
              <w:outlineLvl w:val="0"/>
              <w:rPr>
                <w:rFonts w:hint="eastAsia" w:ascii="宋体" w:hAnsi="宋体" w:cs="宋体"/>
                <w:b/>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801"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cs="宋体"/>
                <w:b/>
                <w:sz w:val="24"/>
                <w:szCs w:val="24"/>
              </w:rPr>
            </w:pPr>
            <w:r>
              <w:rPr>
                <w:rFonts w:hint="eastAsia" w:cs="宋体"/>
                <w:b/>
                <w:sz w:val="24"/>
                <w:szCs w:val="24"/>
              </w:rPr>
              <w:t>参加工作</w:t>
            </w:r>
          </w:p>
          <w:p>
            <w:pPr>
              <w:pStyle w:val="116"/>
              <w:jc w:val="center"/>
              <w:rPr>
                <w:rFonts w:hint="eastAsia" w:cs="宋体"/>
                <w:b/>
                <w:sz w:val="24"/>
                <w:szCs w:val="24"/>
              </w:rPr>
            </w:pPr>
            <w:r>
              <w:rPr>
                <w:rFonts w:hint="eastAsia" w:cs="宋体"/>
                <w:b/>
                <w:sz w:val="24"/>
                <w:szCs w:val="24"/>
              </w:rPr>
              <w:t>时间</w:t>
            </w:r>
          </w:p>
        </w:tc>
        <w:tc>
          <w:tcPr>
            <w:tcW w:w="1116" w:type="pct"/>
            <w:gridSpan w:val="3"/>
            <w:tcBorders>
              <w:top w:val="single" w:color="auto" w:sz="4" w:space="0"/>
              <w:left w:val="single" w:color="auto" w:sz="4" w:space="0"/>
              <w:bottom w:val="single" w:color="auto" w:sz="4" w:space="0"/>
              <w:right w:val="single" w:color="auto" w:sz="4" w:space="0"/>
            </w:tcBorders>
            <w:vAlign w:val="center"/>
          </w:tcPr>
          <w:p>
            <w:pPr>
              <w:pStyle w:val="78"/>
              <w:keepNext/>
              <w:keepLines/>
              <w:spacing w:before="120" w:after="120"/>
              <w:ind w:firstLine="0" w:firstLineChars="0"/>
              <w:jc w:val="center"/>
              <w:outlineLvl w:val="0"/>
              <w:rPr>
                <w:rFonts w:hint="eastAsia" w:ascii="宋体" w:hAnsi="宋体" w:cs="宋体"/>
                <w:b/>
                <w:snapToGrid w:val="0"/>
                <w:kern w:val="2"/>
              </w:rPr>
            </w:pPr>
          </w:p>
        </w:tc>
        <w:tc>
          <w:tcPr>
            <w:tcW w:w="718" w:type="pct"/>
            <w:gridSpan w:val="2"/>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b/>
                <w:snapToGrid w:val="0"/>
                <w:kern w:val="2"/>
              </w:rPr>
            </w:pPr>
            <w:r>
              <w:rPr>
                <w:rFonts w:hint="eastAsia" w:ascii="宋体" w:hAnsi="宋体" w:cs="宋体"/>
                <w:b/>
                <w:snapToGrid w:val="0"/>
                <w:kern w:val="2"/>
              </w:rPr>
              <w:t>担任相应职务年限</w:t>
            </w:r>
          </w:p>
        </w:tc>
        <w:tc>
          <w:tcPr>
            <w:tcW w:w="2363" w:type="pct"/>
            <w:gridSpan w:val="5"/>
            <w:tcBorders>
              <w:top w:val="single" w:color="auto" w:sz="4" w:space="0"/>
              <w:left w:val="single" w:color="auto" w:sz="4" w:space="0"/>
              <w:bottom w:val="single" w:color="auto" w:sz="4" w:space="0"/>
              <w:right w:val="single" w:color="auto" w:sz="4" w:space="0"/>
            </w:tcBorders>
            <w:vAlign w:val="center"/>
          </w:tcPr>
          <w:p>
            <w:pPr>
              <w:pStyle w:val="78"/>
              <w:keepNext/>
              <w:keepLines/>
              <w:spacing w:before="120" w:after="120"/>
              <w:ind w:firstLine="0" w:firstLineChars="0"/>
              <w:jc w:val="center"/>
              <w:outlineLvl w:val="0"/>
              <w:rPr>
                <w:rFonts w:hint="eastAsia" w:ascii="宋体" w:hAnsi="宋体" w:cs="宋体"/>
                <w:b/>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1"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cs="宋体"/>
                <w:b/>
                <w:sz w:val="24"/>
                <w:szCs w:val="24"/>
              </w:rPr>
            </w:pPr>
            <w:r>
              <w:rPr>
                <w:rFonts w:hint="eastAsia" w:cs="宋体"/>
                <w:b/>
                <w:sz w:val="24"/>
                <w:szCs w:val="24"/>
              </w:rPr>
              <w:t>资格证书号</w:t>
            </w:r>
          </w:p>
        </w:tc>
        <w:tc>
          <w:tcPr>
            <w:tcW w:w="4198" w:type="pct"/>
            <w:gridSpan w:val="10"/>
            <w:tcBorders>
              <w:top w:val="single" w:color="auto" w:sz="4" w:space="0"/>
              <w:left w:val="single" w:color="auto" w:sz="4" w:space="0"/>
              <w:bottom w:val="single" w:color="auto" w:sz="4" w:space="0"/>
              <w:right w:val="single" w:color="auto" w:sz="4" w:space="0"/>
            </w:tcBorders>
            <w:vAlign w:val="center"/>
          </w:tcPr>
          <w:p>
            <w:pPr>
              <w:pStyle w:val="78"/>
              <w:keepNext/>
              <w:keepLines/>
              <w:spacing w:before="120" w:after="120"/>
              <w:ind w:firstLine="0" w:firstLineChars="0"/>
              <w:jc w:val="center"/>
              <w:outlineLvl w:val="0"/>
              <w:rPr>
                <w:rFonts w:hint="eastAsia" w:ascii="宋体" w:hAnsi="宋体" w:cs="宋体"/>
                <w:b/>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000" w:type="pct"/>
            <w:gridSpan w:val="11"/>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b/>
                <w:snapToGrid w:val="0"/>
                <w:kern w:val="2"/>
              </w:rPr>
            </w:pPr>
            <w:r>
              <w:rPr>
                <w:rFonts w:hint="eastAsia" w:ascii="宋体" w:hAnsi="宋体" w:cs="宋体"/>
                <w:b/>
                <w:snapToGrid w:val="0"/>
                <w:kern w:val="2"/>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2" w:type="pct"/>
            <w:gridSpan w:val="2"/>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cs="宋体"/>
                <w:b/>
                <w:sz w:val="24"/>
                <w:szCs w:val="24"/>
              </w:rPr>
            </w:pPr>
            <w:r>
              <w:rPr>
                <w:rFonts w:hint="eastAsia" w:cs="宋体"/>
                <w:b/>
                <w:sz w:val="24"/>
                <w:szCs w:val="24"/>
              </w:rPr>
              <w:t>建设单位</w:t>
            </w:r>
          </w:p>
        </w:tc>
        <w:tc>
          <w:tcPr>
            <w:tcW w:w="812"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cs="宋体"/>
                <w:b/>
                <w:sz w:val="24"/>
                <w:szCs w:val="24"/>
              </w:rPr>
            </w:pPr>
            <w:r>
              <w:rPr>
                <w:rFonts w:hint="eastAsia" w:cs="宋体"/>
                <w:b/>
                <w:sz w:val="24"/>
                <w:szCs w:val="24"/>
              </w:rPr>
              <w:t>项目名称</w:t>
            </w:r>
          </w:p>
        </w:tc>
        <w:tc>
          <w:tcPr>
            <w:tcW w:w="812" w:type="pct"/>
            <w:gridSpan w:val="2"/>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cs="宋体"/>
                <w:b/>
                <w:sz w:val="24"/>
                <w:szCs w:val="24"/>
              </w:rPr>
            </w:pPr>
            <w:r>
              <w:rPr>
                <w:rFonts w:hint="eastAsia" w:cs="宋体"/>
                <w:b/>
                <w:sz w:val="24"/>
                <w:szCs w:val="24"/>
              </w:rPr>
              <w:t>建设规模</w:t>
            </w:r>
          </w:p>
        </w:tc>
        <w:tc>
          <w:tcPr>
            <w:tcW w:w="936" w:type="pct"/>
            <w:gridSpan w:val="2"/>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cs="宋体"/>
                <w:b/>
                <w:sz w:val="24"/>
                <w:szCs w:val="24"/>
              </w:rPr>
            </w:pPr>
            <w:r>
              <w:rPr>
                <w:rFonts w:hint="eastAsia" w:cs="宋体"/>
                <w:b/>
                <w:sz w:val="24"/>
                <w:szCs w:val="24"/>
              </w:rPr>
              <w:t>开、竣工日期</w:t>
            </w:r>
          </w:p>
        </w:tc>
        <w:tc>
          <w:tcPr>
            <w:tcW w:w="812" w:type="pct"/>
            <w:gridSpan w:val="3"/>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cs="宋体"/>
                <w:b/>
                <w:sz w:val="24"/>
                <w:szCs w:val="24"/>
              </w:rPr>
            </w:pPr>
            <w:r>
              <w:rPr>
                <w:rFonts w:hint="eastAsia" w:cs="宋体"/>
                <w:b/>
                <w:sz w:val="24"/>
                <w:szCs w:val="24"/>
              </w:rPr>
              <w:t>在建或已完</w:t>
            </w:r>
          </w:p>
        </w:tc>
        <w:tc>
          <w:tcPr>
            <w:tcW w:w="814" w:type="pct"/>
            <w:tcBorders>
              <w:top w:val="single" w:color="auto" w:sz="4" w:space="0"/>
              <w:left w:val="single" w:color="auto" w:sz="4" w:space="0"/>
              <w:bottom w:val="single" w:color="auto" w:sz="4" w:space="0"/>
              <w:right w:val="single" w:color="auto" w:sz="4" w:space="0"/>
            </w:tcBorders>
            <w:vAlign w:val="center"/>
          </w:tcPr>
          <w:p>
            <w:pPr>
              <w:pStyle w:val="116"/>
              <w:jc w:val="center"/>
              <w:rPr>
                <w:rFonts w:hint="eastAsia" w:cs="宋体"/>
                <w:b/>
                <w:sz w:val="24"/>
                <w:szCs w:val="24"/>
              </w:rPr>
            </w:pPr>
            <w:r>
              <w:rPr>
                <w:rFonts w:hint="eastAsia" w:cs="宋体"/>
                <w:b/>
                <w:sz w:val="24"/>
                <w:szCs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2" w:type="pct"/>
            <w:gridSpan w:val="2"/>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b/>
                <w:snapToGrid w:val="0"/>
                <w:kern w:val="2"/>
              </w:rPr>
            </w:pPr>
          </w:p>
        </w:tc>
        <w:tc>
          <w:tcPr>
            <w:tcW w:w="812" w:type="pct"/>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b/>
                <w:snapToGrid w:val="0"/>
                <w:kern w:val="2"/>
              </w:rPr>
            </w:pPr>
          </w:p>
        </w:tc>
        <w:tc>
          <w:tcPr>
            <w:tcW w:w="812" w:type="pct"/>
            <w:gridSpan w:val="2"/>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b/>
                <w:snapToGrid w:val="0"/>
                <w:kern w:val="2"/>
              </w:rPr>
            </w:pPr>
          </w:p>
        </w:tc>
        <w:tc>
          <w:tcPr>
            <w:tcW w:w="936" w:type="pct"/>
            <w:gridSpan w:val="2"/>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b/>
                <w:snapToGrid w:val="0"/>
                <w:kern w:val="2"/>
              </w:rPr>
            </w:pPr>
          </w:p>
        </w:tc>
        <w:tc>
          <w:tcPr>
            <w:tcW w:w="812" w:type="pct"/>
            <w:gridSpan w:val="3"/>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b/>
                <w:snapToGrid w:val="0"/>
                <w:kern w:val="2"/>
              </w:rPr>
            </w:pPr>
          </w:p>
        </w:tc>
        <w:tc>
          <w:tcPr>
            <w:tcW w:w="814" w:type="pct"/>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b/>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2" w:type="pct"/>
            <w:gridSpan w:val="2"/>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snapToGrid w:val="0"/>
                <w:kern w:val="2"/>
              </w:rPr>
            </w:pPr>
          </w:p>
        </w:tc>
        <w:tc>
          <w:tcPr>
            <w:tcW w:w="812" w:type="pct"/>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snapToGrid w:val="0"/>
                <w:kern w:val="2"/>
              </w:rPr>
            </w:pPr>
          </w:p>
        </w:tc>
        <w:tc>
          <w:tcPr>
            <w:tcW w:w="812" w:type="pct"/>
            <w:gridSpan w:val="2"/>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snapToGrid w:val="0"/>
                <w:kern w:val="2"/>
              </w:rPr>
            </w:pPr>
          </w:p>
        </w:tc>
        <w:tc>
          <w:tcPr>
            <w:tcW w:w="936" w:type="pct"/>
            <w:gridSpan w:val="2"/>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snapToGrid w:val="0"/>
                <w:kern w:val="2"/>
              </w:rPr>
            </w:pPr>
          </w:p>
        </w:tc>
        <w:tc>
          <w:tcPr>
            <w:tcW w:w="812" w:type="pct"/>
            <w:gridSpan w:val="3"/>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snapToGrid w:val="0"/>
                <w:kern w:val="2"/>
              </w:rPr>
            </w:pPr>
          </w:p>
        </w:tc>
        <w:tc>
          <w:tcPr>
            <w:tcW w:w="814" w:type="pct"/>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snapToGrid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2" w:type="pct"/>
            <w:gridSpan w:val="2"/>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snapToGrid w:val="0"/>
                <w:kern w:val="2"/>
              </w:rPr>
            </w:pPr>
          </w:p>
        </w:tc>
        <w:tc>
          <w:tcPr>
            <w:tcW w:w="812" w:type="pct"/>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snapToGrid w:val="0"/>
                <w:kern w:val="2"/>
              </w:rPr>
            </w:pPr>
          </w:p>
        </w:tc>
        <w:tc>
          <w:tcPr>
            <w:tcW w:w="812" w:type="pct"/>
            <w:gridSpan w:val="2"/>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snapToGrid w:val="0"/>
                <w:kern w:val="2"/>
              </w:rPr>
            </w:pPr>
          </w:p>
        </w:tc>
        <w:tc>
          <w:tcPr>
            <w:tcW w:w="936" w:type="pct"/>
            <w:gridSpan w:val="2"/>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snapToGrid w:val="0"/>
                <w:kern w:val="2"/>
              </w:rPr>
            </w:pPr>
          </w:p>
        </w:tc>
        <w:tc>
          <w:tcPr>
            <w:tcW w:w="812" w:type="pct"/>
            <w:gridSpan w:val="3"/>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snapToGrid w:val="0"/>
                <w:kern w:val="2"/>
              </w:rPr>
            </w:pPr>
          </w:p>
        </w:tc>
        <w:tc>
          <w:tcPr>
            <w:tcW w:w="814" w:type="pct"/>
            <w:tcBorders>
              <w:top w:val="single" w:color="auto" w:sz="4" w:space="0"/>
              <w:left w:val="single" w:color="auto" w:sz="4" w:space="0"/>
              <w:bottom w:val="single" w:color="auto" w:sz="4" w:space="0"/>
              <w:right w:val="single" w:color="auto" w:sz="4" w:space="0"/>
            </w:tcBorders>
            <w:vAlign w:val="center"/>
          </w:tcPr>
          <w:p>
            <w:pPr>
              <w:pStyle w:val="78"/>
              <w:ind w:firstLine="0" w:firstLineChars="0"/>
              <w:jc w:val="center"/>
              <w:rPr>
                <w:rFonts w:hint="eastAsia" w:ascii="宋体" w:hAnsi="宋体" w:cs="宋体"/>
                <w:snapToGrid w:val="0"/>
                <w:kern w:val="2"/>
              </w:rPr>
            </w:pPr>
          </w:p>
        </w:tc>
      </w:tr>
    </w:tbl>
    <w:p>
      <w:pPr>
        <w:pStyle w:val="78"/>
        <w:ind w:firstLine="3596" w:firstLineChars="1450"/>
        <w:rPr>
          <w:rFonts w:hint="eastAsia" w:ascii="宋体" w:hAnsi="宋体" w:cs="宋体"/>
        </w:rPr>
      </w:pPr>
      <w:r>
        <w:rPr>
          <w:rFonts w:hint="eastAsia" w:ascii="宋体" w:hAnsi="宋体" w:cs="宋体"/>
        </w:rPr>
        <w:t>投标人：　　（盖章）</w:t>
      </w:r>
    </w:p>
    <w:p>
      <w:pPr>
        <w:pStyle w:val="78"/>
        <w:ind w:firstLine="3596" w:firstLineChars="1450"/>
        <w:rPr>
          <w:rFonts w:hint="eastAsia" w:ascii="宋体" w:hAnsi="宋体" w:cs="宋体"/>
        </w:rPr>
      </w:pPr>
      <w:r>
        <w:rPr>
          <w:rFonts w:hint="eastAsia" w:ascii="宋体" w:hAnsi="宋体" w:cs="宋体"/>
        </w:rPr>
        <w:t>法定代表人或授权代理人(签字或盖章)：</w:t>
      </w:r>
    </w:p>
    <w:p>
      <w:pPr>
        <w:tabs>
          <w:tab w:val="left" w:pos="720"/>
        </w:tabs>
        <w:snapToGrid w:val="0"/>
        <w:spacing w:line="360" w:lineRule="auto"/>
        <w:jc w:val="right"/>
        <w:rPr>
          <w:rFonts w:hint="eastAsia" w:ascii="宋体" w:hAnsi="宋体" w:cs="宋体"/>
        </w:rPr>
      </w:pPr>
      <w:r>
        <w:rPr>
          <w:rFonts w:hint="eastAsia" w:ascii="宋体" w:hAnsi="宋体" w:cs="宋体"/>
        </w:rPr>
        <w:t>日期：年月日</w:t>
      </w:r>
    </w:p>
    <w:p>
      <w:pPr>
        <w:pStyle w:val="118"/>
        <w:spacing w:beforeLines="0" w:after="120"/>
        <w:jc w:val="left"/>
        <w:rPr>
          <w:rFonts w:hint="default" w:ascii="宋体" w:hAnsi="宋体" w:eastAsia="宋体" w:cs="宋体"/>
          <w:b w:val="0"/>
          <w:spacing w:val="0"/>
          <w:kern w:val="2"/>
          <w:sz w:val="24"/>
          <w:szCs w:val="24"/>
          <w:lang w:val="en-US" w:eastAsia="zh-CN"/>
        </w:rPr>
      </w:pPr>
      <w:r>
        <w:rPr>
          <w:rFonts w:hint="eastAsia" w:ascii="宋体" w:hAnsi="宋体" w:eastAsia="宋体" w:cs="宋体"/>
          <w:b w:val="0"/>
          <w:spacing w:val="0"/>
          <w:kern w:val="2"/>
          <w:sz w:val="24"/>
          <w:szCs w:val="24"/>
        </w:rPr>
        <w:br w:type="page"/>
      </w:r>
      <w:bookmarkStart w:id="42" w:name="_Toc32404"/>
      <w:r>
        <w:rPr>
          <w:rFonts w:hint="eastAsia" w:ascii="宋体" w:hAnsi="宋体" w:eastAsia="宋体" w:cs="宋体"/>
          <w:b w:val="0"/>
          <w:spacing w:val="0"/>
          <w:kern w:val="2"/>
          <w:sz w:val="24"/>
          <w:szCs w:val="24"/>
          <w:highlight w:val="none"/>
        </w:rPr>
        <w:t>附件七：</w:t>
      </w:r>
      <w:bookmarkEnd w:id="42"/>
      <w:r>
        <w:rPr>
          <w:rFonts w:hint="eastAsia" w:ascii="宋体" w:hAnsi="宋体" w:eastAsia="宋体" w:cs="宋体"/>
          <w:b w:val="0"/>
          <w:spacing w:val="0"/>
          <w:kern w:val="2"/>
          <w:sz w:val="24"/>
          <w:szCs w:val="24"/>
          <w:highlight w:val="none"/>
          <w:lang w:val="en-US" w:eastAsia="zh-CN"/>
        </w:rPr>
        <w:t>其他资料</w:t>
      </w:r>
    </w:p>
    <w:p>
      <w:pPr>
        <w:pStyle w:val="8"/>
        <w:rPr>
          <w:rFonts w:ascii="宋体" w:eastAsia="宋体"/>
          <w:b w:val="0"/>
          <w:color w:val="000000"/>
        </w:rPr>
      </w:pPr>
      <w:r>
        <w:rPr>
          <w:rFonts w:hint="eastAsia"/>
        </w:rPr>
        <w:br w:type="page"/>
      </w:r>
      <w:bookmarkStart w:id="43" w:name="_Toc22889"/>
      <w:r>
        <w:rPr>
          <w:rStyle w:val="51"/>
          <w:rFonts w:hint="eastAsia" w:ascii="宋体" w:hAnsi="宋体" w:cs="宋体"/>
          <w:b/>
        </w:rPr>
        <w:t xml:space="preserve">第五章  </w:t>
      </w:r>
      <w:bookmarkEnd w:id="43"/>
      <w:r>
        <w:rPr>
          <w:rStyle w:val="51"/>
          <w:rFonts w:hint="eastAsia" w:ascii="宋体" w:hAnsi="宋体" w:cs="宋体"/>
          <w:b/>
        </w:rPr>
        <w:t>技术条件（工程建设标准）</w:t>
      </w:r>
    </w:p>
    <w:p>
      <w:pPr>
        <w:widowControl/>
        <w:topLinePunct/>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下列文件应被认为是组成本章内容的一部分，并互为补充和解释，如各文件存在冲突之处，以如下排列次序在前者优先适用：</w:t>
      </w:r>
    </w:p>
    <w:p>
      <w:pPr>
        <w:widowControl/>
        <w:topLinePunct/>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1、遵照</w:t>
      </w:r>
      <w:r>
        <w:rPr>
          <w:rFonts w:hint="eastAsia" w:ascii="宋体" w:hAnsi="宋体"/>
          <w:color w:val="000000"/>
          <w:sz w:val="24"/>
          <w:szCs w:val="24"/>
          <w:lang w:val="en-US" w:eastAsia="zh-CN"/>
        </w:rPr>
        <w:t>省市</w:t>
      </w:r>
      <w:r>
        <w:rPr>
          <w:rFonts w:hint="eastAsia" w:ascii="宋体" w:hAnsi="宋体"/>
          <w:color w:val="000000"/>
          <w:sz w:val="24"/>
          <w:szCs w:val="24"/>
        </w:rPr>
        <w:t>相关规定要求；</w:t>
      </w:r>
    </w:p>
    <w:p>
      <w:pPr>
        <w:widowControl/>
        <w:topLinePunct/>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2、采用图纸中规定的其它技术和验收标准；</w:t>
      </w:r>
    </w:p>
    <w:p>
      <w:pPr>
        <w:widowControl/>
        <w:topLinePunct/>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3、采用中华人民共和国现行技术和验收规范。</w:t>
      </w:r>
    </w:p>
    <w:p>
      <w:pPr>
        <w:jc w:val="center"/>
        <w:rPr>
          <w:rStyle w:val="51"/>
          <w:rFonts w:hint="eastAsia" w:ascii="宋体" w:hAnsi="宋体" w:eastAsia="宋体" w:cs="宋体"/>
          <w:lang w:eastAsia="zh-CN"/>
        </w:rPr>
      </w:pPr>
    </w:p>
    <w:p>
      <w:pPr>
        <w:rPr>
          <w:rFonts w:hint="eastAsia" w:ascii="宋体" w:hAnsi="宋体" w:cs="宋体"/>
          <w:sz w:val="24"/>
          <w:szCs w:val="24"/>
        </w:rPr>
      </w:pPr>
      <w:bookmarkStart w:id="44" w:name="_Toc17006"/>
      <w:r>
        <w:rPr>
          <w:rFonts w:hint="eastAsia" w:ascii="宋体" w:hAnsi="宋体" w:cs="宋体"/>
          <w:sz w:val="24"/>
          <w:szCs w:val="24"/>
        </w:rPr>
        <w:br w:type="page"/>
      </w:r>
    </w:p>
    <w:p>
      <w:pPr>
        <w:pStyle w:val="4"/>
        <w:jc w:val="center"/>
        <w:rPr>
          <w:rFonts w:hint="eastAsia" w:ascii="宋体" w:hAnsi="宋体" w:cs="宋体"/>
        </w:rPr>
      </w:pPr>
      <w:r>
        <w:rPr>
          <w:rFonts w:hint="eastAsia" w:ascii="宋体" w:hAnsi="宋体" w:cs="宋体"/>
        </w:rPr>
        <w:t>第六章  图纸及勘察资料</w:t>
      </w:r>
      <w:bookmarkEnd w:id="44"/>
    </w:p>
    <w:p>
      <w:pPr>
        <w:jc w:val="center"/>
        <w:rPr>
          <w:rFonts w:hint="eastAsia" w:ascii="宋体" w:hAnsi="宋体" w:cs="宋体"/>
          <w:b/>
          <w:sz w:val="36"/>
          <w:szCs w:val="36"/>
        </w:rPr>
      </w:pPr>
      <w:r>
        <w:rPr>
          <w:rFonts w:hint="eastAsia" w:ascii="宋体" w:hAnsi="宋体" w:cs="宋体"/>
          <w:szCs w:val="21"/>
        </w:rPr>
        <w:t>另册。</w:t>
      </w:r>
    </w:p>
    <w:p>
      <w:pPr>
        <w:pStyle w:val="4"/>
        <w:jc w:val="center"/>
        <w:rPr>
          <w:rFonts w:hint="eastAsia" w:ascii="宋体" w:hAnsi="宋体" w:cs="宋体"/>
        </w:rPr>
      </w:pPr>
      <w:r>
        <w:rPr>
          <w:rFonts w:hint="eastAsia" w:ascii="宋体" w:hAnsi="宋体" w:cs="宋体"/>
          <w:sz w:val="24"/>
          <w:szCs w:val="24"/>
        </w:rPr>
        <w:br w:type="page"/>
      </w:r>
      <w:bookmarkStart w:id="45" w:name="_Toc2247"/>
      <w:r>
        <w:rPr>
          <w:rFonts w:hint="eastAsia" w:ascii="宋体" w:hAnsi="宋体" w:cs="宋体"/>
        </w:rPr>
        <w:t>第七章  工程量清单</w:t>
      </w:r>
      <w:bookmarkEnd w:id="45"/>
    </w:p>
    <w:p>
      <w:pPr>
        <w:jc w:val="center"/>
        <w:rPr>
          <w:rFonts w:hint="eastAsia" w:ascii="宋体" w:hAnsi="宋体" w:cs="宋体"/>
          <w:b/>
          <w:sz w:val="36"/>
          <w:szCs w:val="36"/>
        </w:rPr>
      </w:pPr>
      <w:r>
        <w:rPr>
          <w:rFonts w:hint="eastAsia" w:ascii="宋体" w:hAnsi="宋体" w:cs="宋体"/>
          <w:szCs w:val="21"/>
        </w:rPr>
        <w:t>另册。</w:t>
      </w:r>
    </w:p>
    <w:p>
      <w:pPr>
        <w:pStyle w:val="6"/>
        <w:spacing w:after="0" w:line="360" w:lineRule="auto"/>
        <w:ind w:left="-2" w:leftChars="-1" w:firstLine="960" w:firstLineChars="400"/>
        <w:jc w:val="center"/>
        <w:rPr>
          <w:rFonts w:hint="eastAsia" w:ascii="宋体" w:hAnsi="宋体" w:cs="宋体"/>
          <w:sz w:val="24"/>
        </w:rPr>
      </w:pPr>
    </w:p>
    <w:p>
      <w:pPr>
        <w:pStyle w:val="4"/>
        <w:rPr>
          <w:rFonts w:hint="eastAsia" w:ascii="宋体" w:hAnsi="宋体" w:cs="宋体"/>
        </w:rPr>
      </w:pPr>
    </w:p>
    <w:p>
      <w:pPr>
        <w:pStyle w:val="4"/>
        <w:jc w:val="center"/>
        <w:rPr>
          <w:rFonts w:hint="eastAsia" w:ascii="宋体" w:hAnsi="宋体" w:cs="宋体"/>
        </w:rPr>
      </w:pPr>
      <w:r>
        <w:rPr>
          <w:rFonts w:hint="eastAsia" w:ascii="宋体" w:hAnsi="宋体" w:cs="宋体"/>
          <w:sz w:val="24"/>
          <w:szCs w:val="24"/>
        </w:rPr>
        <w:br w:type="page"/>
      </w:r>
      <w:bookmarkStart w:id="46" w:name="_Toc10163"/>
      <w:r>
        <w:rPr>
          <w:rFonts w:hint="eastAsia" w:ascii="宋体" w:hAnsi="宋体" w:cs="宋体"/>
        </w:rPr>
        <w:t>第八章  最高投标限价</w:t>
      </w:r>
      <w:bookmarkEnd w:id="46"/>
    </w:p>
    <w:p>
      <w:pPr>
        <w:jc w:val="center"/>
        <w:rPr>
          <w:rFonts w:hint="eastAsia" w:ascii="宋体" w:hAnsi="宋体" w:cs="宋体"/>
          <w:b/>
          <w:sz w:val="36"/>
          <w:szCs w:val="36"/>
        </w:rPr>
      </w:pPr>
      <w:r>
        <w:rPr>
          <w:rFonts w:hint="eastAsia" w:ascii="宋体" w:hAnsi="宋体" w:cs="宋体"/>
          <w:szCs w:val="21"/>
        </w:rPr>
        <w:t>另册。</w:t>
      </w:r>
    </w:p>
    <w:p>
      <w:pPr>
        <w:rPr>
          <w:rFonts w:hint="eastAsia" w:ascii="宋体" w:hAnsi="宋体" w:cs="宋体"/>
        </w:rPr>
      </w:pPr>
    </w:p>
    <w:sectPr>
      <w:headerReference r:id="rId12"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jc w:val="right"/>
      <w:rPr>
        <w:rStyle w:val="44"/>
      </w:rPr>
    </w:pPr>
    <w:r>
      <w:fldChar w:fldCharType="begin"/>
    </w:r>
    <w:r>
      <w:rPr>
        <w:rStyle w:val="44"/>
      </w:rPr>
      <w:instrText xml:space="preserve">PAGE  </w:instrText>
    </w:r>
    <w:r>
      <w:fldChar w:fldCharType="separate"/>
    </w:r>
    <w:r>
      <w:rPr>
        <w:rStyle w:val="44"/>
      </w:rP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rPr>
        <w:rStyle w:val="44"/>
      </w:rPr>
    </w:pPr>
    <w:r>
      <w:fldChar w:fldCharType="begin"/>
    </w:r>
    <w:r>
      <w:rPr>
        <w:rStyle w:val="44"/>
      </w:rPr>
      <w:instrText xml:space="preserve">PAGE  </w:instrText>
    </w:r>
    <w:r>
      <w:fldChar w:fldCharType="separate"/>
    </w:r>
    <w:r>
      <w:rPr>
        <w:rStyle w:val="44"/>
        <w:rFonts w:hint="eastAsia"/>
        <w:lang w:val="en-US" w:eastAsia="zh-CN"/>
      </w:rPr>
      <w:t>一</w:t>
    </w:r>
    <w:r>
      <w:rPr>
        <w:rStyle w:val="44"/>
        <w:lang w:val="en-US" w:eastAsia="zh-CN"/>
      </w:rPr>
      <w:t>–2</w:t>
    </w:r>
    <w:r>
      <w:fldChar w:fldCharType="end"/>
    </w:r>
  </w:p>
  <w:p>
    <w:pPr>
      <w:pStyle w:val="27"/>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r>
      <w:fldChar w:fldCharType="begin"/>
    </w:r>
    <w:r>
      <w:rPr>
        <w:rStyle w:val="44"/>
      </w:rPr>
      <w:instrText xml:space="preserve"> PAGE </w:instrText>
    </w:r>
    <w:r>
      <w:fldChar w:fldCharType="separate"/>
    </w:r>
    <w:r>
      <w:rPr>
        <w:rStyle w:val="44"/>
      </w:rPr>
      <w:t>48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jc w:val="center"/>
      <w:rPr>
        <w:rStyle w:val="44"/>
      </w:rPr>
    </w:pPr>
    <w:r>
      <w:fldChar w:fldCharType="begin"/>
    </w:r>
    <w:r>
      <w:rPr>
        <w:rStyle w:val="44"/>
      </w:rPr>
      <w:instrText xml:space="preserve">PAGE  </w:instrText>
    </w:r>
    <w:r>
      <w:fldChar w:fldCharType="separate"/>
    </w:r>
    <w:r>
      <w:rPr>
        <w:rStyle w:val="44"/>
      </w:rPr>
      <w:t>51</w:t>
    </w:r>
    <w:r>
      <w:fldChar w:fldCharType="end"/>
    </w:r>
  </w:p>
  <w:p>
    <w:pPr>
      <w:pStyle w:val="27"/>
      <w:framePr w:wrap="around" w:vAnchor="text" w:hAnchor="margin" w:xAlign="outside" w:y="1"/>
      <w:ind w:left="-4410" w:leftChars="-2100" w:right="-4439" w:rightChars="-2114"/>
      <w:rPr>
        <w:rStyle w:val="44"/>
      </w:rPr>
    </w:pPr>
  </w:p>
  <w:p>
    <w:pPr>
      <w:pStyle w:val="27"/>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rPr>
        <w:rStyle w:val="44"/>
      </w:rPr>
      <w:instrText xml:space="preserve"> PAGE </w:instrText>
    </w:r>
    <w:r>
      <w:fldChar w:fldCharType="separate"/>
    </w:r>
    <w:r>
      <w:rPr>
        <w:rStyle w:val="44"/>
      </w:rPr>
      <w:t>50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right"/>
      <w:rPr>
        <w:i/>
        <w:i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2CB9F"/>
    <w:multiLevelType w:val="singleLevel"/>
    <w:tmpl w:val="E9D2CB9F"/>
    <w:lvl w:ilvl="0" w:tentative="0">
      <w:start w:val="2"/>
      <w:numFmt w:val="decimal"/>
      <w:suff w:val="nothing"/>
      <w:lvlText w:val="（%1）"/>
      <w:lvlJc w:val="left"/>
    </w:lvl>
  </w:abstractNum>
  <w:abstractNum w:abstractNumId="1">
    <w:nsid w:val="259905B5"/>
    <w:multiLevelType w:val="multilevel"/>
    <w:tmpl w:val="259905B5"/>
    <w:lvl w:ilvl="0" w:tentative="0">
      <w:start w:val="1"/>
      <w:numFmt w:val="chineseCountingThousand"/>
      <w:pStyle w:val="11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4"/>
      <w:suff w:val="nothing"/>
      <w:lvlText w:val=""/>
      <w:lvlJc w:val="left"/>
      <w:rPr>
        <w:rFonts w:hint="eastAsia" w:cs="Times New Roman"/>
      </w:rPr>
    </w:lvl>
    <w:lvl w:ilvl="7" w:tentative="0">
      <w:start w:val="1"/>
      <w:numFmt w:val="none"/>
      <w:pStyle w:val="15"/>
      <w:suff w:val="nothing"/>
      <w:lvlText w:val=""/>
      <w:lvlJc w:val="left"/>
      <w:rPr>
        <w:rFonts w:hint="eastAsia" w:cs="Times New Roman"/>
      </w:rPr>
    </w:lvl>
    <w:lvl w:ilvl="8" w:tentative="0">
      <w:start w:val="1"/>
      <w:numFmt w:val="none"/>
      <w:pStyle w:val="16"/>
      <w:suff w:val="nothing"/>
      <w:lvlText w:val=""/>
      <w:lvlJc w:val="left"/>
      <w:rPr>
        <w:rFonts w:hint="eastAsia" w:cs="Times New Roman"/>
      </w:rPr>
    </w:lvl>
  </w:abstractNum>
  <w:abstractNum w:abstractNumId="2">
    <w:nsid w:val="45695184"/>
    <w:multiLevelType w:val="singleLevel"/>
    <w:tmpl w:val="45695184"/>
    <w:lvl w:ilvl="0" w:tentative="0">
      <w:start w:val="1"/>
      <w:numFmt w:val="decimal"/>
      <w:suff w:val="nothing"/>
      <w:lvlText w:val="%1、"/>
      <w:lvlJc w:val="left"/>
    </w:lvl>
  </w:abstractNum>
  <w:abstractNum w:abstractNumId="3">
    <w:nsid w:val="5EC63031"/>
    <w:multiLevelType w:val="singleLevel"/>
    <w:tmpl w:val="5EC63031"/>
    <w:lvl w:ilvl="0" w:tentative="0">
      <w:start w:val="4"/>
      <w:numFmt w:val="chineseCounting"/>
      <w:suff w:val="space"/>
      <w:lvlText w:val="第%1章"/>
      <w:lvlJc w:val="left"/>
      <w:rPr>
        <w:rFonts w:hint="eastAsia"/>
      </w:r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3"/>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ZDc0NzBjN2EzNGQxODRjMGYyMWJiMWIzZTJlMzEifQ=="/>
  </w:docVars>
  <w:rsids>
    <w:rsidRoot w:val="00172A27"/>
    <w:rsid w:val="00005D13"/>
    <w:rsid w:val="0001289E"/>
    <w:rsid w:val="00015EC9"/>
    <w:rsid w:val="00020941"/>
    <w:rsid w:val="00030D9C"/>
    <w:rsid w:val="00041F74"/>
    <w:rsid w:val="000759EE"/>
    <w:rsid w:val="00076695"/>
    <w:rsid w:val="00085996"/>
    <w:rsid w:val="00094870"/>
    <w:rsid w:val="000A7196"/>
    <w:rsid w:val="000B7EB3"/>
    <w:rsid w:val="000C5828"/>
    <w:rsid w:val="000D4EA9"/>
    <w:rsid w:val="000E2149"/>
    <w:rsid w:val="00107946"/>
    <w:rsid w:val="00113A64"/>
    <w:rsid w:val="00117AE4"/>
    <w:rsid w:val="00135762"/>
    <w:rsid w:val="00153E1B"/>
    <w:rsid w:val="00184CD6"/>
    <w:rsid w:val="00192113"/>
    <w:rsid w:val="001A3A7C"/>
    <w:rsid w:val="001B1978"/>
    <w:rsid w:val="001C1F9B"/>
    <w:rsid w:val="001C5C3C"/>
    <w:rsid w:val="001D2863"/>
    <w:rsid w:val="001E4DCF"/>
    <w:rsid w:val="002025B5"/>
    <w:rsid w:val="002411B9"/>
    <w:rsid w:val="00261BD4"/>
    <w:rsid w:val="00274290"/>
    <w:rsid w:val="002961F1"/>
    <w:rsid w:val="002A65EC"/>
    <w:rsid w:val="002E5C2F"/>
    <w:rsid w:val="002E5ECA"/>
    <w:rsid w:val="00315A54"/>
    <w:rsid w:val="00324B89"/>
    <w:rsid w:val="0032745C"/>
    <w:rsid w:val="0033362B"/>
    <w:rsid w:val="00341969"/>
    <w:rsid w:val="0034431F"/>
    <w:rsid w:val="0038792B"/>
    <w:rsid w:val="003907F7"/>
    <w:rsid w:val="00393E76"/>
    <w:rsid w:val="003951C5"/>
    <w:rsid w:val="003C1C8E"/>
    <w:rsid w:val="004306DE"/>
    <w:rsid w:val="00434B33"/>
    <w:rsid w:val="00462D80"/>
    <w:rsid w:val="00492BCF"/>
    <w:rsid w:val="004A2237"/>
    <w:rsid w:val="004A7C38"/>
    <w:rsid w:val="004B1BD5"/>
    <w:rsid w:val="004E3FE5"/>
    <w:rsid w:val="00523CF8"/>
    <w:rsid w:val="00534947"/>
    <w:rsid w:val="00591DB5"/>
    <w:rsid w:val="0059302E"/>
    <w:rsid w:val="005A0693"/>
    <w:rsid w:val="005B579D"/>
    <w:rsid w:val="005C489A"/>
    <w:rsid w:val="005D2EE2"/>
    <w:rsid w:val="00604E15"/>
    <w:rsid w:val="00605397"/>
    <w:rsid w:val="0063155F"/>
    <w:rsid w:val="006335E3"/>
    <w:rsid w:val="0063385C"/>
    <w:rsid w:val="006508AB"/>
    <w:rsid w:val="00675E5C"/>
    <w:rsid w:val="006B6B0D"/>
    <w:rsid w:val="00700508"/>
    <w:rsid w:val="00704AB7"/>
    <w:rsid w:val="00713FB4"/>
    <w:rsid w:val="007262C3"/>
    <w:rsid w:val="00735360"/>
    <w:rsid w:val="007443D5"/>
    <w:rsid w:val="007632B6"/>
    <w:rsid w:val="007646C8"/>
    <w:rsid w:val="007B0B3C"/>
    <w:rsid w:val="007B41BE"/>
    <w:rsid w:val="0080488F"/>
    <w:rsid w:val="00805998"/>
    <w:rsid w:val="00824E3E"/>
    <w:rsid w:val="00831E6E"/>
    <w:rsid w:val="00834F89"/>
    <w:rsid w:val="008457C9"/>
    <w:rsid w:val="0085034F"/>
    <w:rsid w:val="008635D8"/>
    <w:rsid w:val="008836D8"/>
    <w:rsid w:val="008A67E2"/>
    <w:rsid w:val="008D39D0"/>
    <w:rsid w:val="008F4AB4"/>
    <w:rsid w:val="00900FF4"/>
    <w:rsid w:val="00905BAA"/>
    <w:rsid w:val="0090600B"/>
    <w:rsid w:val="009234FB"/>
    <w:rsid w:val="00944D5C"/>
    <w:rsid w:val="00957A32"/>
    <w:rsid w:val="009871C3"/>
    <w:rsid w:val="009B2D84"/>
    <w:rsid w:val="009C2C75"/>
    <w:rsid w:val="009C56C0"/>
    <w:rsid w:val="009D2D51"/>
    <w:rsid w:val="009D66E1"/>
    <w:rsid w:val="00A16E0F"/>
    <w:rsid w:val="00A73120"/>
    <w:rsid w:val="00A86462"/>
    <w:rsid w:val="00AB6AAA"/>
    <w:rsid w:val="00AC2B3B"/>
    <w:rsid w:val="00AC37D5"/>
    <w:rsid w:val="00AE160C"/>
    <w:rsid w:val="00AE1AC3"/>
    <w:rsid w:val="00AE1D40"/>
    <w:rsid w:val="00AE3BAB"/>
    <w:rsid w:val="00AF2557"/>
    <w:rsid w:val="00B01DB6"/>
    <w:rsid w:val="00B236C9"/>
    <w:rsid w:val="00B23E5D"/>
    <w:rsid w:val="00B37967"/>
    <w:rsid w:val="00B429B2"/>
    <w:rsid w:val="00B73135"/>
    <w:rsid w:val="00B7711F"/>
    <w:rsid w:val="00B85EB6"/>
    <w:rsid w:val="00B86FDC"/>
    <w:rsid w:val="00BA1FE0"/>
    <w:rsid w:val="00BC2B4D"/>
    <w:rsid w:val="00BC6A43"/>
    <w:rsid w:val="00C27837"/>
    <w:rsid w:val="00C408D3"/>
    <w:rsid w:val="00C44F2E"/>
    <w:rsid w:val="00C53C2F"/>
    <w:rsid w:val="00C62A97"/>
    <w:rsid w:val="00C8237C"/>
    <w:rsid w:val="00C95251"/>
    <w:rsid w:val="00C96388"/>
    <w:rsid w:val="00CA3057"/>
    <w:rsid w:val="00CA48AA"/>
    <w:rsid w:val="00CA6851"/>
    <w:rsid w:val="00D50F19"/>
    <w:rsid w:val="00D7074B"/>
    <w:rsid w:val="00D72F7B"/>
    <w:rsid w:val="00D9177E"/>
    <w:rsid w:val="00DB774A"/>
    <w:rsid w:val="00DE0E55"/>
    <w:rsid w:val="00E14F29"/>
    <w:rsid w:val="00E15E33"/>
    <w:rsid w:val="00E36CB2"/>
    <w:rsid w:val="00E56493"/>
    <w:rsid w:val="00E64487"/>
    <w:rsid w:val="00E6639E"/>
    <w:rsid w:val="00E94D22"/>
    <w:rsid w:val="00EB0F85"/>
    <w:rsid w:val="00EF2B3A"/>
    <w:rsid w:val="00EF2C5A"/>
    <w:rsid w:val="00F053A1"/>
    <w:rsid w:val="00F136F3"/>
    <w:rsid w:val="00F16648"/>
    <w:rsid w:val="00F16847"/>
    <w:rsid w:val="00F22375"/>
    <w:rsid w:val="00F24BE4"/>
    <w:rsid w:val="00F50B3D"/>
    <w:rsid w:val="00F73E07"/>
    <w:rsid w:val="00F82701"/>
    <w:rsid w:val="00F871EC"/>
    <w:rsid w:val="00F967BD"/>
    <w:rsid w:val="00F9704C"/>
    <w:rsid w:val="00FA77DD"/>
    <w:rsid w:val="00FD3F21"/>
    <w:rsid w:val="00FD60F6"/>
    <w:rsid w:val="00FE2126"/>
    <w:rsid w:val="00FF2A13"/>
    <w:rsid w:val="00FF4B98"/>
    <w:rsid w:val="010074D2"/>
    <w:rsid w:val="013A16E3"/>
    <w:rsid w:val="016E1B67"/>
    <w:rsid w:val="01904305"/>
    <w:rsid w:val="01A0487B"/>
    <w:rsid w:val="01AC056F"/>
    <w:rsid w:val="01BF523B"/>
    <w:rsid w:val="01C268D3"/>
    <w:rsid w:val="01EA1FC0"/>
    <w:rsid w:val="02130FD6"/>
    <w:rsid w:val="02220C44"/>
    <w:rsid w:val="023E3B2A"/>
    <w:rsid w:val="024209B9"/>
    <w:rsid w:val="024E62CB"/>
    <w:rsid w:val="02536E58"/>
    <w:rsid w:val="02701A1B"/>
    <w:rsid w:val="02717394"/>
    <w:rsid w:val="02AE5769"/>
    <w:rsid w:val="02B212CA"/>
    <w:rsid w:val="02CE72B4"/>
    <w:rsid w:val="02D15574"/>
    <w:rsid w:val="02E10537"/>
    <w:rsid w:val="02E75FB9"/>
    <w:rsid w:val="02EB5511"/>
    <w:rsid w:val="02F230FA"/>
    <w:rsid w:val="02F95075"/>
    <w:rsid w:val="031A2FE6"/>
    <w:rsid w:val="03274EAB"/>
    <w:rsid w:val="032F672A"/>
    <w:rsid w:val="032F7263"/>
    <w:rsid w:val="033D4F2C"/>
    <w:rsid w:val="033F3C93"/>
    <w:rsid w:val="03670C13"/>
    <w:rsid w:val="038044A7"/>
    <w:rsid w:val="03816883"/>
    <w:rsid w:val="038679A8"/>
    <w:rsid w:val="03A260C2"/>
    <w:rsid w:val="03BC20CC"/>
    <w:rsid w:val="03C541E5"/>
    <w:rsid w:val="03DD6494"/>
    <w:rsid w:val="03E10905"/>
    <w:rsid w:val="03E14C64"/>
    <w:rsid w:val="03E4503E"/>
    <w:rsid w:val="0413601A"/>
    <w:rsid w:val="041969DB"/>
    <w:rsid w:val="0424086D"/>
    <w:rsid w:val="04405D9B"/>
    <w:rsid w:val="044503BF"/>
    <w:rsid w:val="045E1129"/>
    <w:rsid w:val="04690F65"/>
    <w:rsid w:val="046A686F"/>
    <w:rsid w:val="047153A5"/>
    <w:rsid w:val="0479465A"/>
    <w:rsid w:val="04A21E6A"/>
    <w:rsid w:val="04AB5A2A"/>
    <w:rsid w:val="04B7004B"/>
    <w:rsid w:val="04C35ED3"/>
    <w:rsid w:val="04CA2892"/>
    <w:rsid w:val="05021E26"/>
    <w:rsid w:val="050545C8"/>
    <w:rsid w:val="050D4170"/>
    <w:rsid w:val="0549284E"/>
    <w:rsid w:val="056C1967"/>
    <w:rsid w:val="056F3B9B"/>
    <w:rsid w:val="057667D6"/>
    <w:rsid w:val="058A162D"/>
    <w:rsid w:val="058B7615"/>
    <w:rsid w:val="05965BC8"/>
    <w:rsid w:val="059A40DB"/>
    <w:rsid w:val="059D30B6"/>
    <w:rsid w:val="05AF15F9"/>
    <w:rsid w:val="05B64EE1"/>
    <w:rsid w:val="05C86BBC"/>
    <w:rsid w:val="05FC76AB"/>
    <w:rsid w:val="05FF3094"/>
    <w:rsid w:val="06181408"/>
    <w:rsid w:val="061A5DE6"/>
    <w:rsid w:val="0627667A"/>
    <w:rsid w:val="062E2B49"/>
    <w:rsid w:val="06326C4C"/>
    <w:rsid w:val="063473E1"/>
    <w:rsid w:val="06492E89"/>
    <w:rsid w:val="06557E95"/>
    <w:rsid w:val="065F2C53"/>
    <w:rsid w:val="06681E71"/>
    <w:rsid w:val="0675368A"/>
    <w:rsid w:val="06753B14"/>
    <w:rsid w:val="06955753"/>
    <w:rsid w:val="06A738C8"/>
    <w:rsid w:val="06BE36DD"/>
    <w:rsid w:val="06C00178"/>
    <w:rsid w:val="070018B2"/>
    <w:rsid w:val="07076189"/>
    <w:rsid w:val="0710675B"/>
    <w:rsid w:val="071365F6"/>
    <w:rsid w:val="073B727B"/>
    <w:rsid w:val="07405C23"/>
    <w:rsid w:val="074C4D53"/>
    <w:rsid w:val="0755780B"/>
    <w:rsid w:val="077C0B51"/>
    <w:rsid w:val="078826EE"/>
    <w:rsid w:val="078F65C3"/>
    <w:rsid w:val="079B28D1"/>
    <w:rsid w:val="07AA753B"/>
    <w:rsid w:val="07B165BA"/>
    <w:rsid w:val="07B34F1F"/>
    <w:rsid w:val="07DB3EBD"/>
    <w:rsid w:val="07E56D86"/>
    <w:rsid w:val="07F30CD9"/>
    <w:rsid w:val="07F47A44"/>
    <w:rsid w:val="07F647A3"/>
    <w:rsid w:val="07F81966"/>
    <w:rsid w:val="081418AD"/>
    <w:rsid w:val="08415EBD"/>
    <w:rsid w:val="08475DBA"/>
    <w:rsid w:val="084D5140"/>
    <w:rsid w:val="086B3FE5"/>
    <w:rsid w:val="08A00CAC"/>
    <w:rsid w:val="08A11AA0"/>
    <w:rsid w:val="08C32DBB"/>
    <w:rsid w:val="08F9013A"/>
    <w:rsid w:val="0908581E"/>
    <w:rsid w:val="090C3022"/>
    <w:rsid w:val="093C7BDC"/>
    <w:rsid w:val="094422F5"/>
    <w:rsid w:val="09501632"/>
    <w:rsid w:val="09541F4B"/>
    <w:rsid w:val="09670FF5"/>
    <w:rsid w:val="09671F09"/>
    <w:rsid w:val="09821A8A"/>
    <w:rsid w:val="09957574"/>
    <w:rsid w:val="09A01AC7"/>
    <w:rsid w:val="09A07E44"/>
    <w:rsid w:val="09A729C9"/>
    <w:rsid w:val="09A80656"/>
    <w:rsid w:val="09AE133E"/>
    <w:rsid w:val="09BB6D63"/>
    <w:rsid w:val="09BF766A"/>
    <w:rsid w:val="09C12A91"/>
    <w:rsid w:val="09D41E3F"/>
    <w:rsid w:val="09D7525B"/>
    <w:rsid w:val="09FA113C"/>
    <w:rsid w:val="09FB0CDF"/>
    <w:rsid w:val="09FD67E9"/>
    <w:rsid w:val="0A0041E2"/>
    <w:rsid w:val="0A0424B8"/>
    <w:rsid w:val="0A0B5121"/>
    <w:rsid w:val="0A11655F"/>
    <w:rsid w:val="0A167A7F"/>
    <w:rsid w:val="0A1E7A99"/>
    <w:rsid w:val="0A1E7C70"/>
    <w:rsid w:val="0A2654F6"/>
    <w:rsid w:val="0A3F6C18"/>
    <w:rsid w:val="0A4B7BB6"/>
    <w:rsid w:val="0A626216"/>
    <w:rsid w:val="0A6D0F03"/>
    <w:rsid w:val="0A733F58"/>
    <w:rsid w:val="0A765E32"/>
    <w:rsid w:val="0A7A4F9A"/>
    <w:rsid w:val="0A813A44"/>
    <w:rsid w:val="0A924985"/>
    <w:rsid w:val="0AA2673C"/>
    <w:rsid w:val="0ADE529F"/>
    <w:rsid w:val="0AE150CC"/>
    <w:rsid w:val="0AE80E7C"/>
    <w:rsid w:val="0B05532B"/>
    <w:rsid w:val="0B0E2A78"/>
    <w:rsid w:val="0B0F0330"/>
    <w:rsid w:val="0B111AA5"/>
    <w:rsid w:val="0B1B51A9"/>
    <w:rsid w:val="0B2E6C33"/>
    <w:rsid w:val="0B4C6E5E"/>
    <w:rsid w:val="0B4F1B41"/>
    <w:rsid w:val="0B535FAE"/>
    <w:rsid w:val="0B552AA6"/>
    <w:rsid w:val="0B903C1B"/>
    <w:rsid w:val="0BA03C2D"/>
    <w:rsid w:val="0BAE588C"/>
    <w:rsid w:val="0BB41559"/>
    <w:rsid w:val="0BBF724F"/>
    <w:rsid w:val="0BC375B5"/>
    <w:rsid w:val="0BDC2B05"/>
    <w:rsid w:val="0BED7AC3"/>
    <w:rsid w:val="0BF16634"/>
    <w:rsid w:val="0C0270B0"/>
    <w:rsid w:val="0C1F0599"/>
    <w:rsid w:val="0C316A63"/>
    <w:rsid w:val="0C3D5A96"/>
    <w:rsid w:val="0C465FA0"/>
    <w:rsid w:val="0C474574"/>
    <w:rsid w:val="0C5065DE"/>
    <w:rsid w:val="0C511C1F"/>
    <w:rsid w:val="0C6671C3"/>
    <w:rsid w:val="0C6B374D"/>
    <w:rsid w:val="0C776777"/>
    <w:rsid w:val="0C7A3FBD"/>
    <w:rsid w:val="0C85528E"/>
    <w:rsid w:val="0C9470B7"/>
    <w:rsid w:val="0C9C6F10"/>
    <w:rsid w:val="0CE031F7"/>
    <w:rsid w:val="0CF031B7"/>
    <w:rsid w:val="0D16240A"/>
    <w:rsid w:val="0D36491F"/>
    <w:rsid w:val="0D4848A0"/>
    <w:rsid w:val="0D5D3682"/>
    <w:rsid w:val="0D713AAF"/>
    <w:rsid w:val="0D7C53D8"/>
    <w:rsid w:val="0D827467"/>
    <w:rsid w:val="0D840F6C"/>
    <w:rsid w:val="0D896853"/>
    <w:rsid w:val="0D8E386E"/>
    <w:rsid w:val="0D957AD2"/>
    <w:rsid w:val="0D9A756D"/>
    <w:rsid w:val="0DB708B7"/>
    <w:rsid w:val="0DB83A46"/>
    <w:rsid w:val="0DC254D2"/>
    <w:rsid w:val="0DCF1DAD"/>
    <w:rsid w:val="0DF6090C"/>
    <w:rsid w:val="0DFC39FC"/>
    <w:rsid w:val="0DFE5BC4"/>
    <w:rsid w:val="0E06335B"/>
    <w:rsid w:val="0E1339E0"/>
    <w:rsid w:val="0E4678D6"/>
    <w:rsid w:val="0E855986"/>
    <w:rsid w:val="0E8801FF"/>
    <w:rsid w:val="0E927A52"/>
    <w:rsid w:val="0EB62A25"/>
    <w:rsid w:val="0ECB4A99"/>
    <w:rsid w:val="0ED16285"/>
    <w:rsid w:val="0ED458F2"/>
    <w:rsid w:val="0EE37204"/>
    <w:rsid w:val="0EF058FB"/>
    <w:rsid w:val="0EF2523B"/>
    <w:rsid w:val="0EF60AB7"/>
    <w:rsid w:val="0EFA7B59"/>
    <w:rsid w:val="0F022161"/>
    <w:rsid w:val="0F0563A0"/>
    <w:rsid w:val="0F185413"/>
    <w:rsid w:val="0F2B5050"/>
    <w:rsid w:val="0F3B5EF1"/>
    <w:rsid w:val="0F3E3322"/>
    <w:rsid w:val="0F456BFE"/>
    <w:rsid w:val="0F4C2740"/>
    <w:rsid w:val="0F563291"/>
    <w:rsid w:val="0F5B24A1"/>
    <w:rsid w:val="0F635A4C"/>
    <w:rsid w:val="0F6931C8"/>
    <w:rsid w:val="0FA533AF"/>
    <w:rsid w:val="0FB676E2"/>
    <w:rsid w:val="0FD17044"/>
    <w:rsid w:val="0FD75899"/>
    <w:rsid w:val="1005368D"/>
    <w:rsid w:val="10084FF9"/>
    <w:rsid w:val="10164E3D"/>
    <w:rsid w:val="10235934"/>
    <w:rsid w:val="10286AF6"/>
    <w:rsid w:val="102A1F5D"/>
    <w:rsid w:val="104100E8"/>
    <w:rsid w:val="10464C43"/>
    <w:rsid w:val="105744E8"/>
    <w:rsid w:val="10955B2F"/>
    <w:rsid w:val="10B70033"/>
    <w:rsid w:val="10BE7AAC"/>
    <w:rsid w:val="10C9787B"/>
    <w:rsid w:val="10D77991"/>
    <w:rsid w:val="10EC4218"/>
    <w:rsid w:val="10ED3781"/>
    <w:rsid w:val="110A00C6"/>
    <w:rsid w:val="112C1969"/>
    <w:rsid w:val="114C007F"/>
    <w:rsid w:val="114D329F"/>
    <w:rsid w:val="11921749"/>
    <w:rsid w:val="11965869"/>
    <w:rsid w:val="11992AC1"/>
    <w:rsid w:val="119F6630"/>
    <w:rsid w:val="11B61270"/>
    <w:rsid w:val="11C65384"/>
    <w:rsid w:val="11D95C36"/>
    <w:rsid w:val="11DA047F"/>
    <w:rsid w:val="11F0184F"/>
    <w:rsid w:val="12094350"/>
    <w:rsid w:val="12183CC4"/>
    <w:rsid w:val="12303925"/>
    <w:rsid w:val="125957A1"/>
    <w:rsid w:val="12797A0B"/>
    <w:rsid w:val="127C75DE"/>
    <w:rsid w:val="12901631"/>
    <w:rsid w:val="129F1D9B"/>
    <w:rsid w:val="12A2347A"/>
    <w:rsid w:val="12A80D3A"/>
    <w:rsid w:val="12B51E98"/>
    <w:rsid w:val="12C603DA"/>
    <w:rsid w:val="12C85ACD"/>
    <w:rsid w:val="12CB0F05"/>
    <w:rsid w:val="12DF4148"/>
    <w:rsid w:val="12DF5787"/>
    <w:rsid w:val="12EA1441"/>
    <w:rsid w:val="1332640D"/>
    <w:rsid w:val="133501ED"/>
    <w:rsid w:val="133767A4"/>
    <w:rsid w:val="13427E55"/>
    <w:rsid w:val="134379B3"/>
    <w:rsid w:val="13766BE3"/>
    <w:rsid w:val="137B4F51"/>
    <w:rsid w:val="138A7508"/>
    <w:rsid w:val="13A14FBF"/>
    <w:rsid w:val="13AC57F8"/>
    <w:rsid w:val="13AF2762"/>
    <w:rsid w:val="13B97EE4"/>
    <w:rsid w:val="13DF2DA3"/>
    <w:rsid w:val="13E84D18"/>
    <w:rsid w:val="1403099A"/>
    <w:rsid w:val="14033C6A"/>
    <w:rsid w:val="14195FFB"/>
    <w:rsid w:val="142376D5"/>
    <w:rsid w:val="144E0982"/>
    <w:rsid w:val="1463784D"/>
    <w:rsid w:val="14894222"/>
    <w:rsid w:val="148B6803"/>
    <w:rsid w:val="14E0580D"/>
    <w:rsid w:val="14ED4913"/>
    <w:rsid w:val="151326FF"/>
    <w:rsid w:val="1520289B"/>
    <w:rsid w:val="15372817"/>
    <w:rsid w:val="15415CBE"/>
    <w:rsid w:val="15574A5F"/>
    <w:rsid w:val="155B7B8E"/>
    <w:rsid w:val="1582731D"/>
    <w:rsid w:val="15875F52"/>
    <w:rsid w:val="15880362"/>
    <w:rsid w:val="15C64414"/>
    <w:rsid w:val="15CA2E6E"/>
    <w:rsid w:val="15DB1323"/>
    <w:rsid w:val="15E06E6A"/>
    <w:rsid w:val="15E149F4"/>
    <w:rsid w:val="15EC3FC3"/>
    <w:rsid w:val="15FC72EA"/>
    <w:rsid w:val="160838A2"/>
    <w:rsid w:val="161C4039"/>
    <w:rsid w:val="1620060F"/>
    <w:rsid w:val="16270A78"/>
    <w:rsid w:val="16531299"/>
    <w:rsid w:val="165C5741"/>
    <w:rsid w:val="165E218F"/>
    <w:rsid w:val="16610AB7"/>
    <w:rsid w:val="168263A6"/>
    <w:rsid w:val="16877CA9"/>
    <w:rsid w:val="16912848"/>
    <w:rsid w:val="169F4260"/>
    <w:rsid w:val="16B6220D"/>
    <w:rsid w:val="16BA2B3B"/>
    <w:rsid w:val="16BF4870"/>
    <w:rsid w:val="16CF678A"/>
    <w:rsid w:val="16D375ED"/>
    <w:rsid w:val="16DB3E22"/>
    <w:rsid w:val="16E01C07"/>
    <w:rsid w:val="16F921CD"/>
    <w:rsid w:val="17196F8C"/>
    <w:rsid w:val="173358D0"/>
    <w:rsid w:val="17365E81"/>
    <w:rsid w:val="173C434C"/>
    <w:rsid w:val="173E7A8F"/>
    <w:rsid w:val="174B6B68"/>
    <w:rsid w:val="175C0B85"/>
    <w:rsid w:val="17602AE3"/>
    <w:rsid w:val="1761070A"/>
    <w:rsid w:val="176D4945"/>
    <w:rsid w:val="17721D0F"/>
    <w:rsid w:val="177702D8"/>
    <w:rsid w:val="178A2E03"/>
    <w:rsid w:val="178C372E"/>
    <w:rsid w:val="17A0413C"/>
    <w:rsid w:val="17A771A4"/>
    <w:rsid w:val="17AE3C6A"/>
    <w:rsid w:val="17B36DE7"/>
    <w:rsid w:val="17C40889"/>
    <w:rsid w:val="17D45786"/>
    <w:rsid w:val="17DB0714"/>
    <w:rsid w:val="17FC17DF"/>
    <w:rsid w:val="181D5D28"/>
    <w:rsid w:val="1820029D"/>
    <w:rsid w:val="182069E9"/>
    <w:rsid w:val="18234574"/>
    <w:rsid w:val="182F3296"/>
    <w:rsid w:val="18354E66"/>
    <w:rsid w:val="18381E73"/>
    <w:rsid w:val="18386ED8"/>
    <w:rsid w:val="184E7FCE"/>
    <w:rsid w:val="1864257A"/>
    <w:rsid w:val="18656DB1"/>
    <w:rsid w:val="18BE4634"/>
    <w:rsid w:val="18BE55E5"/>
    <w:rsid w:val="18CD4E78"/>
    <w:rsid w:val="18DF06AB"/>
    <w:rsid w:val="18EB6C9A"/>
    <w:rsid w:val="19065A91"/>
    <w:rsid w:val="19120228"/>
    <w:rsid w:val="192F2B88"/>
    <w:rsid w:val="19477ABA"/>
    <w:rsid w:val="194F204E"/>
    <w:rsid w:val="19560BD8"/>
    <w:rsid w:val="19654926"/>
    <w:rsid w:val="196C5488"/>
    <w:rsid w:val="196C7118"/>
    <w:rsid w:val="19A14F2D"/>
    <w:rsid w:val="19BB61C6"/>
    <w:rsid w:val="19CC0666"/>
    <w:rsid w:val="19DF21D8"/>
    <w:rsid w:val="19F952E2"/>
    <w:rsid w:val="1A257008"/>
    <w:rsid w:val="1A292DD4"/>
    <w:rsid w:val="1A537115"/>
    <w:rsid w:val="1A612A1C"/>
    <w:rsid w:val="1A846CB9"/>
    <w:rsid w:val="1A883F8C"/>
    <w:rsid w:val="1A947DBD"/>
    <w:rsid w:val="1A9C7BAA"/>
    <w:rsid w:val="1AB428BA"/>
    <w:rsid w:val="1AB937DF"/>
    <w:rsid w:val="1AC40B3F"/>
    <w:rsid w:val="1ACA4736"/>
    <w:rsid w:val="1ACE6812"/>
    <w:rsid w:val="1AE6528E"/>
    <w:rsid w:val="1AF56462"/>
    <w:rsid w:val="1AF87270"/>
    <w:rsid w:val="1AFD5D26"/>
    <w:rsid w:val="1B202876"/>
    <w:rsid w:val="1B284797"/>
    <w:rsid w:val="1B3161C8"/>
    <w:rsid w:val="1B4D6483"/>
    <w:rsid w:val="1B7F2725"/>
    <w:rsid w:val="1B8342A5"/>
    <w:rsid w:val="1B835F0C"/>
    <w:rsid w:val="1B972169"/>
    <w:rsid w:val="1BC33C07"/>
    <w:rsid w:val="1BE2796C"/>
    <w:rsid w:val="1BE51A7E"/>
    <w:rsid w:val="1BF22477"/>
    <w:rsid w:val="1BF65BBD"/>
    <w:rsid w:val="1BFA092C"/>
    <w:rsid w:val="1BFA0C5D"/>
    <w:rsid w:val="1C0A2D4E"/>
    <w:rsid w:val="1C357D1B"/>
    <w:rsid w:val="1C3E79C8"/>
    <w:rsid w:val="1C4D0737"/>
    <w:rsid w:val="1C5555C3"/>
    <w:rsid w:val="1C6D7908"/>
    <w:rsid w:val="1C7142BF"/>
    <w:rsid w:val="1C721804"/>
    <w:rsid w:val="1C8F233F"/>
    <w:rsid w:val="1C953DEA"/>
    <w:rsid w:val="1CB54BB4"/>
    <w:rsid w:val="1CCB0B3D"/>
    <w:rsid w:val="1CE558F5"/>
    <w:rsid w:val="1CFE580E"/>
    <w:rsid w:val="1D034873"/>
    <w:rsid w:val="1D067072"/>
    <w:rsid w:val="1D1931C2"/>
    <w:rsid w:val="1D1A5933"/>
    <w:rsid w:val="1D277E8F"/>
    <w:rsid w:val="1D2E76EA"/>
    <w:rsid w:val="1D4C45D1"/>
    <w:rsid w:val="1DCF61E0"/>
    <w:rsid w:val="1DEA449D"/>
    <w:rsid w:val="1DF45212"/>
    <w:rsid w:val="1E031A4F"/>
    <w:rsid w:val="1E0518D3"/>
    <w:rsid w:val="1E0839A8"/>
    <w:rsid w:val="1E3033EF"/>
    <w:rsid w:val="1E32375F"/>
    <w:rsid w:val="1E326739"/>
    <w:rsid w:val="1E4924FE"/>
    <w:rsid w:val="1E4C2987"/>
    <w:rsid w:val="1E5B03BF"/>
    <w:rsid w:val="1E611FF0"/>
    <w:rsid w:val="1E7419C1"/>
    <w:rsid w:val="1EAA7D2F"/>
    <w:rsid w:val="1EB756DE"/>
    <w:rsid w:val="1EDD1368"/>
    <w:rsid w:val="1EEC01C4"/>
    <w:rsid w:val="1F004F75"/>
    <w:rsid w:val="1F215C8B"/>
    <w:rsid w:val="1F3702EE"/>
    <w:rsid w:val="1F3B2567"/>
    <w:rsid w:val="1F404366"/>
    <w:rsid w:val="1F4271E7"/>
    <w:rsid w:val="1F474F76"/>
    <w:rsid w:val="1F49661C"/>
    <w:rsid w:val="1F750401"/>
    <w:rsid w:val="1F9429D6"/>
    <w:rsid w:val="1FB14BE7"/>
    <w:rsid w:val="1FBA2AFD"/>
    <w:rsid w:val="1FCE33A5"/>
    <w:rsid w:val="1FD076F3"/>
    <w:rsid w:val="1FD20711"/>
    <w:rsid w:val="1FEA66CE"/>
    <w:rsid w:val="1FEB4313"/>
    <w:rsid w:val="1FEE5A47"/>
    <w:rsid w:val="200C3197"/>
    <w:rsid w:val="200E4011"/>
    <w:rsid w:val="20166252"/>
    <w:rsid w:val="201B2E55"/>
    <w:rsid w:val="201C57D3"/>
    <w:rsid w:val="204B4BB2"/>
    <w:rsid w:val="205100F2"/>
    <w:rsid w:val="205B0B85"/>
    <w:rsid w:val="20744B90"/>
    <w:rsid w:val="20872A54"/>
    <w:rsid w:val="208E0C7B"/>
    <w:rsid w:val="209303AC"/>
    <w:rsid w:val="20956557"/>
    <w:rsid w:val="20B40849"/>
    <w:rsid w:val="20BB5253"/>
    <w:rsid w:val="20CF4A6E"/>
    <w:rsid w:val="20E53B86"/>
    <w:rsid w:val="20F122CF"/>
    <w:rsid w:val="20FA6951"/>
    <w:rsid w:val="21036593"/>
    <w:rsid w:val="213C49BF"/>
    <w:rsid w:val="214E003C"/>
    <w:rsid w:val="2162104E"/>
    <w:rsid w:val="217105E2"/>
    <w:rsid w:val="218A22AE"/>
    <w:rsid w:val="21A260CC"/>
    <w:rsid w:val="21C26972"/>
    <w:rsid w:val="21C747A7"/>
    <w:rsid w:val="21D75751"/>
    <w:rsid w:val="21DB2C70"/>
    <w:rsid w:val="21E962A7"/>
    <w:rsid w:val="21EA5582"/>
    <w:rsid w:val="21FF7E06"/>
    <w:rsid w:val="2209790D"/>
    <w:rsid w:val="22306E3A"/>
    <w:rsid w:val="2258337D"/>
    <w:rsid w:val="22681F0D"/>
    <w:rsid w:val="226F2EA9"/>
    <w:rsid w:val="22714F68"/>
    <w:rsid w:val="227B0F9B"/>
    <w:rsid w:val="228A7D35"/>
    <w:rsid w:val="22B478FE"/>
    <w:rsid w:val="22BB60FF"/>
    <w:rsid w:val="22BE1816"/>
    <w:rsid w:val="22D33394"/>
    <w:rsid w:val="22D66196"/>
    <w:rsid w:val="22DE47AF"/>
    <w:rsid w:val="22EB547A"/>
    <w:rsid w:val="22F8335B"/>
    <w:rsid w:val="23055EEC"/>
    <w:rsid w:val="23076316"/>
    <w:rsid w:val="23091E70"/>
    <w:rsid w:val="230F25DD"/>
    <w:rsid w:val="231144E4"/>
    <w:rsid w:val="2320398D"/>
    <w:rsid w:val="232804AB"/>
    <w:rsid w:val="23294CBD"/>
    <w:rsid w:val="2342410B"/>
    <w:rsid w:val="234C6F3D"/>
    <w:rsid w:val="23516E8A"/>
    <w:rsid w:val="23606162"/>
    <w:rsid w:val="23654070"/>
    <w:rsid w:val="23654586"/>
    <w:rsid w:val="238275E5"/>
    <w:rsid w:val="238647DA"/>
    <w:rsid w:val="23B0187E"/>
    <w:rsid w:val="23B732D3"/>
    <w:rsid w:val="23B97B95"/>
    <w:rsid w:val="23BD23FC"/>
    <w:rsid w:val="23BD4BAD"/>
    <w:rsid w:val="23CA24BD"/>
    <w:rsid w:val="23D2181F"/>
    <w:rsid w:val="24027F80"/>
    <w:rsid w:val="24061C63"/>
    <w:rsid w:val="241C2D00"/>
    <w:rsid w:val="2422030A"/>
    <w:rsid w:val="242749C2"/>
    <w:rsid w:val="24415FF3"/>
    <w:rsid w:val="244B1945"/>
    <w:rsid w:val="245C4332"/>
    <w:rsid w:val="247F4DE3"/>
    <w:rsid w:val="2481649F"/>
    <w:rsid w:val="2487655B"/>
    <w:rsid w:val="24A42887"/>
    <w:rsid w:val="24C6093E"/>
    <w:rsid w:val="24DA1DD2"/>
    <w:rsid w:val="24DE078D"/>
    <w:rsid w:val="24E0065E"/>
    <w:rsid w:val="24FA0E8C"/>
    <w:rsid w:val="25022907"/>
    <w:rsid w:val="2523607B"/>
    <w:rsid w:val="25246D8F"/>
    <w:rsid w:val="252C6CAA"/>
    <w:rsid w:val="252D0109"/>
    <w:rsid w:val="253A554B"/>
    <w:rsid w:val="25563DDE"/>
    <w:rsid w:val="25711304"/>
    <w:rsid w:val="257B5644"/>
    <w:rsid w:val="25AB4DE7"/>
    <w:rsid w:val="25D732A6"/>
    <w:rsid w:val="25E51036"/>
    <w:rsid w:val="260B5D15"/>
    <w:rsid w:val="260F2A3B"/>
    <w:rsid w:val="26153106"/>
    <w:rsid w:val="26217DF1"/>
    <w:rsid w:val="265479E5"/>
    <w:rsid w:val="26560785"/>
    <w:rsid w:val="26594E46"/>
    <w:rsid w:val="265A03E2"/>
    <w:rsid w:val="265A2354"/>
    <w:rsid w:val="265D7353"/>
    <w:rsid w:val="26791D03"/>
    <w:rsid w:val="267C2264"/>
    <w:rsid w:val="268E2890"/>
    <w:rsid w:val="26B57584"/>
    <w:rsid w:val="26B714A3"/>
    <w:rsid w:val="26B878C6"/>
    <w:rsid w:val="26D477AB"/>
    <w:rsid w:val="26DA4C5A"/>
    <w:rsid w:val="26DC3B65"/>
    <w:rsid w:val="26E760D0"/>
    <w:rsid w:val="26EE7226"/>
    <w:rsid w:val="26EF15AD"/>
    <w:rsid w:val="271055D7"/>
    <w:rsid w:val="271B39F9"/>
    <w:rsid w:val="2722563E"/>
    <w:rsid w:val="272F6ACE"/>
    <w:rsid w:val="275D1456"/>
    <w:rsid w:val="2760453C"/>
    <w:rsid w:val="27677EE8"/>
    <w:rsid w:val="276B300F"/>
    <w:rsid w:val="277B4DBB"/>
    <w:rsid w:val="277D265E"/>
    <w:rsid w:val="279354DD"/>
    <w:rsid w:val="279D2657"/>
    <w:rsid w:val="27A86180"/>
    <w:rsid w:val="27B76119"/>
    <w:rsid w:val="27BA11FB"/>
    <w:rsid w:val="27C03587"/>
    <w:rsid w:val="27CF665E"/>
    <w:rsid w:val="27D96A21"/>
    <w:rsid w:val="27DD7361"/>
    <w:rsid w:val="27E267D5"/>
    <w:rsid w:val="27E67C02"/>
    <w:rsid w:val="27F0321E"/>
    <w:rsid w:val="27F27E01"/>
    <w:rsid w:val="27FC4C3E"/>
    <w:rsid w:val="28033E7D"/>
    <w:rsid w:val="28053D2F"/>
    <w:rsid w:val="280C63A8"/>
    <w:rsid w:val="280D0956"/>
    <w:rsid w:val="280E2B80"/>
    <w:rsid w:val="281D61F8"/>
    <w:rsid w:val="28243D9D"/>
    <w:rsid w:val="282E29D2"/>
    <w:rsid w:val="28302775"/>
    <w:rsid w:val="283074A0"/>
    <w:rsid w:val="283F4D75"/>
    <w:rsid w:val="284A533C"/>
    <w:rsid w:val="284F1421"/>
    <w:rsid w:val="287A27B0"/>
    <w:rsid w:val="2880161A"/>
    <w:rsid w:val="28865461"/>
    <w:rsid w:val="288B3B53"/>
    <w:rsid w:val="288E196F"/>
    <w:rsid w:val="289B5394"/>
    <w:rsid w:val="28A928BB"/>
    <w:rsid w:val="28AA2E6A"/>
    <w:rsid w:val="28CB615E"/>
    <w:rsid w:val="28FF2AE6"/>
    <w:rsid w:val="290045B0"/>
    <w:rsid w:val="291F052E"/>
    <w:rsid w:val="294E4F1F"/>
    <w:rsid w:val="29564DCA"/>
    <w:rsid w:val="297317D3"/>
    <w:rsid w:val="298370C8"/>
    <w:rsid w:val="29856872"/>
    <w:rsid w:val="29874822"/>
    <w:rsid w:val="298D57C7"/>
    <w:rsid w:val="299A2DD8"/>
    <w:rsid w:val="29AE1C97"/>
    <w:rsid w:val="29B1315D"/>
    <w:rsid w:val="29B83E8B"/>
    <w:rsid w:val="29BD1846"/>
    <w:rsid w:val="29EA3ABC"/>
    <w:rsid w:val="29EF1312"/>
    <w:rsid w:val="29F04FCA"/>
    <w:rsid w:val="2A0840E6"/>
    <w:rsid w:val="2A142CA0"/>
    <w:rsid w:val="2A392F30"/>
    <w:rsid w:val="2A40080A"/>
    <w:rsid w:val="2A4018B0"/>
    <w:rsid w:val="2A456BC6"/>
    <w:rsid w:val="2A4917F3"/>
    <w:rsid w:val="2A4D6D7B"/>
    <w:rsid w:val="2A5E6A18"/>
    <w:rsid w:val="2A87171A"/>
    <w:rsid w:val="2A893A72"/>
    <w:rsid w:val="2A8964D8"/>
    <w:rsid w:val="2A94496D"/>
    <w:rsid w:val="2A9C737E"/>
    <w:rsid w:val="2AC73582"/>
    <w:rsid w:val="2AD509DD"/>
    <w:rsid w:val="2ADD1B45"/>
    <w:rsid w:val="2ADF03DE"/>
    <w:rsid w:val="2AFD4458"/>
    <w:rsid w:val="2B2700E3"/>
    <w:rsid w:val="2B33701E"/>
    <w:rsid w:val="2B3F46DF"/>
    <w:rsid w:val="2B411C10"/>
    <w:rsid w:val="2B6D3C2D"/>
    <w:rsid w:val="2B961E48"/>
    <w:rsid w:val="2BB10E19"/>
    <w:rsid w:val="2BBA0D78"/>
    <w:rsid w:val="2BBD4403"/>
    <w:rsid w:val="2BC52FD9"/>
    <w:rsid w:val="2BC80E7E"/>
    <w:rsid w:val="2BE377ED"/>
    <w:rsid w:val="2BE42BAA"/>
    <w:rsid w:val="2C125B1F"/>
    <w:rsid w:val="2C1637CE"/>
    <w:rsid w:val="2C1F0378"/>
    <w:rsid w:val="2C7A7731"/>
    <w:rsid w:val="2C956603"/>
    <w:rsid w:val="2CA27357"/>
    <w:rsid w:val="2CAA441E"/>
    <w:rsid w:val="2CAC0C68"/>
    <w:rsid w:val="2CBE38FD"/>
    <w:rsid w:val="2CCA4A56"/>
    <w:rsid w:val="2CCB5B45"/>
    <w:rsid w:val="2CDC010A"/>
    <w:rsid w:val="2CE5374C"/>
    <w:rsid w:val="2CF77681"/>
    <w:rsid w:val="2CFD3981"/>
    <w:rsid w:val="2D1C431A"/>
    <w:rsid w:val="2D2C51EC"/>
    <w:rsid w:val="2D493DCD"/>
    <w:rsid w:val="2D670CE2"/>
    <w:rsid w:val="2D697326"/>
    <w:rsid w:val="2D6C09B2"/>
    <w:rsid w:val="2D7566D8"/>
    <w:rsid w:val="2DBB0FB2"/>
    <w:rsid w:val="2DCE7BCA"/>
    <w:rsid w:val="2DF3628F"/>
    <w:rsid w:val="2E446745"/>
    <w:rsid w:val="2E5B2891"/>
    <w:rsid w:val="2E632C3A"/>
    <w:rsid w:val="2E813A38"/>
    <w:rsid w:val="2E9164D7"/>
    <w:rsid w:val="2E947BD2"/>
    <w:rsid w:val="2E9C6B58"/>
    <w:rsid w:val="2EBE4744"/>
    <w:rsid w:val="2EDF143F"/>
    <w:rsid w:val="2EE639D5"/>
    <w:rsid w:val="2EE97C78"/>
    <w:rsid w:val="2EEF5074"/>
    <w:rsid w:val="2EFA3040"/>
    <w:rsid w:val="2F005D90"/>
    <w:rsid w:val="2F11041D"/>
    <w:rsid w:val="2F1A79DF"/>
    <w:rsid w:val="2F2A7EBA"/>
    <w:rsid w:val="2F2C087C"/>
    <w:rsid w:val="2F585448"/>
    <w:rsid w:val="2F886361"/>
    <w:rsid w:val="2F92185E"/>
    <w:rsid w:val="2FA26195"/>
    <w:rsid w:val="2FCA7304"/>
    <w:rsid w:val="2FD22068"/>
    <w:rsid w:val="2FD50BA6"/>
    <w:rsid w:val="2FE065FC"/>
    <w:rsid w:val="2FE7751E"/>
    <w:rsid w:val="2FF67E7C"/>
    <w:rsid w:val="2FFA53A6"/>
    <w:rsid w:val="2FFC0C14"/>
    <w:rsid w:val="30111B75"/>
    <w:rsid w:val="301E7C66"/>
    <w:rsid w:val="303838E5"/>
    <w:rsid w:val="303E3D77"/>
    <w:rsid w:val="305051F8"/>
    <w:rsid w:val="30641298"/>
    <w:rsid w:val="3065794D"/>
    <w:rsid w:val="30667749"/>
    <w:rsid w:val="307E2994"/>
    <w:rsid w:val="308D2386"/>
    <w:rsid w:val="30A1347E"/>
    <w:rsid w:val="30A530BB"/>
    <w:rsid w:val="30AD3885"/>
    <w:rsid w:val="30BC6725"/>
    <w:rsid w:val="30E33659"/>
    <w:rsid w:val="30EF04D7"/>
    <w:rsid w:val="30FA7A74"/>
    <w:rsid w:val="310E43BD"/>
    <w:rsid w:val="31236CCA"/>
    <w:rsid w:val="312A74A0"/>
    <w:rsid w:val="312D4941"/>
    <w:rsid w:val="3141717F"/>
    <w:rsid w:val="314E45CF"/>
    <w:rsid w:val="315A5C79"/>
    <w:rsid w:val="315B6A09"/>
    <w:rsid w:val="315B7C22"/>
    <w:rsid w:val="316F1F3B"/>
    <w:rsid w:val="31AE3E57"/>
    <w:rsid w:val="31BE2C9D"/>
    <w:rsid w:val="31BF526D"/>
    <w:rsid w:val="31C17736"/>
    <w:rsid w:val="31CB0F43"/>
    <w:rsid w:val="31D976DD"/>
    <w:rsid w:val="32011947"/>
    <w:rsid w:val="321327E8"/>
    <w:rsid w:val="324B1034"/>
    <w:rsid w:val="324E1191"/>
    <w:rsid w:val="324E7B8F"/>
    <w:rsid w:val="326E63CC"/>
    <w:rsid w:val="32874F81"/>
    <w:rsid w:val="32892CC9"/>
    <w:rsid w:val="328F7F00"/>
    <w:rsid w:val="32F629B0"/>
    <w:rsid w:val="33060B25"/>
    <w:rsid w:val="33093B71"/>
    <w:rsid w:val="33116F58"/>
    <w:rsid w:val="333D1567"/>
    <w:rsid w:val="335A33AB"/>
    <w:rsid w:val="33730036"/>
    <w:rsid w:val="33B95385"/>
    <w:rsid w:val="33C04270"/>
    <w:rsid w:val="33C63CA9"/>
    <w:rsid w:val="33C93D5B"/>
    <w:rsid w:val="33CA2D93"/>
    <w:rsid w:val="33CC539B"/>
    <w:rsid w:val="33E70D43"/>
    <w:rsid w:val="340162A1"/>
    <w:rsid w:val="34055EEA"/>
    <w:rsid w:val="340C5B48"/>
    <w:rsid w:val="341509B2"/>
    <w:rsid w:val="341E42FC"/>
    <w:rsid w:val="34326364"/>
    <w:rsid w:val="344076B3"/>
    <w:rsid w:val="3444151B"/>
    <w:rsid w:val="344E25CC"/>
    <w:rsid w:val="34690523"/>
    <w:rsid w:val="347171DF"/>
    <w:rsid w:val="347D4D87"/>
    <w:rsid w:val="348B4F98"/>
    <w:rsid w:val="349519D6"/>
    <w:rsid w:val="34B81243"/>
    <w:rsid w:val="34BF1622"/>
    <w:rsid w:val="34C96C44"/>
    <w:rsid w:val="34E33FD9"/>
    <w:rsid w:val="34EF2EF3"/>
    <w:rsid w:val="34F43741"/>
    <w:rsid w:val="350C4EE6"/>
    <w:rsid w:val="35152BAF"/>
    <w:rsid w:val="3515527C"/>
    <w:rsid w:val="351917AF"/>
    <w:rsid w:val="354558B8"/>
    <w:rsid w:val="35605664"/>
    <w:rsid w:val="35646059"/>
    <w:rsid w:val="3566664D"/>
    <w:rsid w:val="35683AF9"/>
    <w:rsid w:val="356B4BBD"/>
    <w:rsid w:val="35782713"/>
    <w:rsid w:val="35816D2B"/>
    <w:rsid w:val="35B2056F"/>
    <w:rsid w:val="35B47C93"/>
    <w:rsid w:val="35CA6AEE"/>
    <w:rsid w:val="35D96B49"/>
    <w:rsid w:val="35FD0483"/>
    <w:rsid w:val="360B7296"/>
    <w:rsid w:val="361A00DF"/>
    <w:rsid w:val="36296547"/>
    <w:rsid w:val="363D3F98"/>
    <w:rsid w:val="364C3AAE"/>
    <w:rsid w:val="36740AF6"/>
    <w:rsid w:val="368B6F70"/>
    <w:rsid w:val="369622A4"/>
    <w:rsid w:val="369F5E70"/>
    <w:rsid w:val="36C16AAB"/>
    <w:rsid w:val="36C20D84"/>
    <w:rsid w:val="36E50144"/>
    <w:rsid w:val="36F21067"/>
    <w:rsid w:val="36F75FD1"/>
    <w:rsid w:val="37084D57"/>
    <w:rsid w:val="373553B6"/>
    <w:rsid w:val="37545091"/>
    <w:rsid w:val="37546640"/>
    <w:rsid w:val="37582F5A"/>
    <w:rsid w:val="375C22EB"/>
    <w:rsid w:val="375D2B5F"/>
    <w:rsid w:val="376419E9"/>
    <w:rsid w:val="37654B44"/>
    <w:rsid w:val="377A1D27"/>
    <w:rsid w:val="377F2AD5"/>
    <w:rsid w:val="37A02766"/>
    <w:rsid w:val="37C56718"/>
    <w:rsid w:val="37C74E88"/>
    <w:rsid w:val="3803716D"/>
    <w:rsid w:val="38043092"/>
    <w:rsid w:val="38187167"/>
    <w:rsid w:val="3841140F"/>
    <w:rsid w:val="38424834"/>
    <w:rsid w:val="38442B07"/>
    <w:rsid w:val="38487597"/>
    <w:rsid w:val="384D5E3D"/>
    <w:rsid w:val="386251AF"/>
    <w:rsid w:val="38670D12"/>
    <w:rsid w:val="38703F00"/>
    <w:rsid w:val="387543A5"/>
    <w:rsid w:val="388A06B0"/>
    <w:rsid w:val="388A4FF3"/>
    <w:rsid w:val="389B048C"/>
    <w:rsid w:val="38A333D2"/>
    <w:rsid w:val="38A51829"/>
    <w:rsid w:val="38B85C64"/>
    <w:rsid w:val="38C46EC4"/>
    <w:rsid w:val="38E26AF6"/>
    <w:rsid w:val="38E516DC"/>
    <w:rsid w:val="39160AB4"/>
    <w:rsid w:val="3918737E"/>
    <w:rsid w:val="391975A4"/>
    <w:rsid w:val="391F645A"/>
    <w:rsid w:val="394916F9"/>
    <w:rsid w:val="39584D00"/>
    <w:rsid w:val="3977132C"/>
    <w:rsid w:val="398C5A2B"/>
    <w:rsid w:val="398F4611"/>
    <w:rsid w:val="398F7031"/>
    <w:rsid w:val="39A36673"/>
    <w:rsid w:val="39A5327C"/>
    <w:rsid w:val="39A80DAB"/>
    <w:rsid w:val="39DE64A1"/>
    <w:rsid w:val="39E76710"/>
    <w:rsid w:val="39EF53C1"/>
    <w:rsid w:val="3A472A48"/>
    <w:rsid w:val="3A4C07C2"/>
    <w:rsid w:val="3A662AC7"/>
    <w:rsid w:val="3A6815EC"/>
    <w:rsid w:val="3A706E73"/>
    <w:rsid w:val="3A7837D1"/>
    <w:rsid w:val="3A7E78DA"/>
    <w:rsid w:val="3ADB44C6"/>
    <w:rsid w:val="3AF33AC3"/>
    <w:rsid w:val="3B137C65"/>
    <w:rsid w:val="3B311A87"/>
    <w:rsid w:val="3B541B43"/>
    <w:rsid w:val="3B59446D"/>
    <w:rsid w:val="3B630348"/>
    <w:rsid w:val="3B6F744F"/>
    <w:rsid w:val="3B8546B9"/>
    <w:rsid w:val="3BB61594"/>
    <w:rsid w:val="3BBA7170"/>
    <w:rsid w:val="3BCB1537"/>
    <w:rsid w:val="3BDF201C"/>
    <w:rsid w:val="3BFA0BC7"/>
    <w:rsid w:val="3C1F2FC0"/>
    <w:rsid w:val="3C2E582E"/>
    <w:rsid w:val="3C3251D9"/>
    <w:rsid w:val="3C463F15"/>
    <w:rsid w:val="3C5851D9"/>
    <w:rsid w:val="3C633A43"/>
    <w:rsid w:val="3C694EE5"/>
    <w:rsid w:val="3C7262C5"/>
    <w:rsid w:val="3C940BFA"/>
    <w:rsid w:val="3C974508"/>
    <w:rsid w:val="3CA9599D"/>
    <w:rsid w:val="3CCF699C"/>
    <w:rsid w:val="3CD459EE"/>
    <w:rsid w:val="3CDA3AC5"/>
    <w:rsid w:val="3CF71663"/>
    <w:rsid w:val="3CFD6D40"/>
    <w:rsid w:val="3CFE7149"/>
    <w:rsid w:val="3CFE7B29"/>
    <w:rsid w:val="3D0E279C"/>
    <w:rsid w:val="3D112D10"/>
    <w:rsid w:val="3D1D157C"/>
    <w:rsid w:val="3D464997"/>
    <w:rsid w:val="3D552F65"/>
    <w:rsid w:val="3D5A55A1"/>
    <w:rsid w:val="3D6E19E5"/>
    <w:rsid w:val="3D7D1E84"/>
    <w:rsid w:val="3D95620E"/>
    <w:rsid w:val="3D9F722B"/>
    <w:rsid w:val="3DA32353"/>
    <w:rsid w:val="3DC808F4"/>
    <w:rsid w:val="3DFC548F"/>
    <w:rsid w:val="3DFD452B"/>
    <w:rsid w:val="3E0748C6"/>
    <w:rsid w:val="3E086EC7"/>
    <w:rsid w:val="3E0B0C9A"/>
    <w:rsid w:val="3E117CBE"/>
    <w:rsid w:val="3E17048A"/>
    <w:rsid w:val="3E1C788F"/>
    <w:rsid w:val="3E233019"/>
    <w:rsid w:val="3E3772B0"/>
    <w:rsid w:val="3E4601CC"/>
    <w:rsid w:val="3E7C0513"/>
    <w:rsid w:val="3E8A718F"/>
    <w:rsid w:val="3EA35215"/>
    <w:rsid w:val="3EAE4245"/>
    <w:rsid w:val="3EAE4852"/>
    <w:rsid w:val="3EBD1E6E"/>
    <w:rsid w:val="3EBE37CE"/>
    <w:rsid w:val="3EC129FF"/>
    <w:rsid w:val="3EC95DEC"/>
    <w:rsid w:val="3EE22562"/>
    <w:rsid w:val="3EE4121D"/>
    <w:rsid w:val="3EE5462F"/>
    <w:rsid w:val="3EE97955"/>
    <w:rsid w:val="3F175EC4"/>
    <w:rsid w:val="3F1E7C2D"/>
    <w:rsid w:val="3F37496B"/>
    <w:rsid w:val="3F4E1332"/>
    <w:rsid w:val="3F5443B1"/>
    <w:rsid w:val="3F635074"/>
    <w:rsid w:val="3F7B5566"/>
    <w:rsid w:val="3FB57928"/>
    <w:rsid w:val="3FBB27B3"/>
    <w:rsid w:val="3FD20DF3"/>
    <w:rsid w:val="3FD64BC1"/>
    <w:rsid w:val="3FE6109F"/>
    <w:rsid w:val="3FF036D6"/>
    <w:rsid w:val="3FF74A47"/>
    <w:rsid w:val="3FFE6D98"/>
    <w:rsid w:val="40092D50"/>
    <w:rsid w:val="40187BE4"/>
    <w:rsid w:val="401D0C2C"/>
    <w:rsid w:val="402803C3"/>
    <w:rsid w:val="403D08A6"/>
    <w:rsid w:val="403D1A8C"/>
    <w:rsid w:val="40434C72"/>
    <w:rsid w:val="40461D7D"/>
    <w:rsid w:val="4048682E"/>
    <w:rsid w:val="404C35CE"/>
    <w:rsid w:val="405D2A3A"/>
    <w:rsid w:val="407105CD"/>
    <w:rsid w:val="407C0E8D"/>
    <w:rsid w:val="408A6D7E"/>
    <w:rsid w:val="40906F4C"/>
    <w:rsid w:val="409327E5"/>
    <w:rsid w:val="40A84DF8"/>
    <w:rsid w:val="40AD7779"/>
    <w:rsid w:val="40B324F2"/>
    <w:rsid w:val="40C316C3"/>
    <w:rsid w:val="40C86825"/>
    <w:rsid w:val="40DB24F9"/>
    <w:rsid w:val="40ED0414"/>
    <w:rsid w:val="40F2629B"/>
    <w:rsid w:val="40F474CF"/>
    <w:rsid w:val="41263501"/>
    <w:rsid w:val="412C41DD"/>
    <w:rsid w:val="412E3AA0"/>
    <w:rsid w:val="4133259E"/>
    <w:rsid w:val="414E67F4"/>
    <w:rsid w:val="415F3F37"/>
    <w:rsid w:val="415F460A"/>
    <w:rsid w:val="41B92EC6"/>
    <w:rsid w:val="41BC1D5B"/>
    <w:rsid w:val="41C41EE0"/>
    <w:rsid w:val="41EB06B1"/>
    <w:rsid w:val="41FA3A2A"/>
    <w:rsid w:val="42147A3A"/>
    <w:rsid w:val="42176738"/>
    <w:rsid w:val="421D797E"/>
    <w:rsid w:val="423D67D1"/>
    <w:rsid w:val="424B1C04"/>
    <w:rsid w:val="42AD063B"/>
    <w:rsid w:val="42C171F3"/>
    <w:rsid w:val="42D266C7"/>
    <w:rsid w:val="42D651C1"/>
    <w:rsid w:val="42D913E9"/>
    <w:rsid w:val="42E40DD1"/>
    <w:rsid w:val="42EC34F6"/>
    <w:rsid w:val="430201D2"/>
    <w:rsid w:val="43072DA7"/>
    <w:rsid w:val="43135319"/>
    <w:rsid w:val="432C2A32"/>
    <w:rsid w:val="432D1C04"/>
    <w:rsid w:val="433619DB"/>
    <w:rsid w:val="434E5F92"/>
    <w:rsid w:val="43575365"/>
    <w:rsid w:val="43577E34"/>
    <w:rsid w:val="435E6358"/>
    <w:rsid w:val="435E7642"/>
    <w:rsid w:val="43680537"/>
    <w:rsid w:val="43700157"/>
    <w:rsid w:val="439F701C"/>
    <w:rsid w:val="43A5262D"/>
    <w:rsid w:val="43C07C63"/>
    <w:rsid w:val="43C55D14"/>
    <w:rsid w:val="43DE6B3B"/>
    <w:rsid w:val="43F206CA"/>
    <w:rsid w:val="43FE4F8A"/>
    <w:rsid w:val="4416031D"/>
    <w:rsid w:val="44166BF1"/>
    <w:rsid w:val="44717D3E"/>
    <w:rsid w:val="44925C64"/>
    <w:rsid w:val="44947D38"/>
    <w:rsid w:val="449556E6"/>
    <w:rsid w:val="44A0537A"/>
    <w:rsid w:val="44A5762A"/>
    <w:rsid w:val="44C37AAB"/>
    <w:rsid w:val="44D632A8"/>
    <w:rsid w:val="44E94EF1"/>
    <w:rsid w:val="44EA41B5"/>
    <w:rsid w:val="44F62472"/>
    <w:rsid w:val="44FD22D5"/>
    <w:rsid w:val="452B2344"/>
    <w:rsid w:val="453221C1"/>
    <w:rsid w:val="453B3D19"/>
    <w:rsid w:val="4555107C"/>
    <w:rsid w:val="456600C8"/>
    <w:rsid w:val="456C1FA4"/>
    <w:rsid w:val="456C2D26"/>
    <w:rsid w:val="457A7A7F"/>
    <w:rsid w:val="457B3AC6"/>
    <w:rsid w:val="45983295"/>
    <w:rsid w:val="459A6248"/>
    <w:rsid w:val="459C19DC"/>
    <w:rsid w:val="459E1DF2"/>
    <w:rsid w:val="45C26CA2"/>
    <w:rsid w:val="45D71D2E"/>
    <w:rsid w:val="45DA5C7B"/>
    <w:rsid w:val="45E7300C"/>
    <w:rsid w:val="45F37CC1"/>
    <w:rsid w:val="46030EB3"/>
    <w:rsid w:val="460958D0"/>
    <w:rsid w:val="460F7455"/>
    <w:rsid w:val="46130A89"/>
    <w:rsid w:val="46317253"/>
    <w:rsid w:val="464F5100"/>
    <w:rsid w:val="46537317"/>
    <w:rsid w:val="465E47C3"/>
    <w:rsid w:val="46761090"/>
    <w:rsid w:val="467E09EF"/>
    <w:rsid w:val="46813DBF"/>
    <w:rsid w:val="4693575D"/>
    <w:rsid w:val="46AE583F"/>
    <w:rsid w:val="46AE6E07"/>
    <w:rsid w:val="46B40F2B"/>
    <w:rsid w:val="46CD2C6A"/>
    <w:rsid w:val="46DD60EE"/>
    <w:rsid w:val="46DE2D82"/>
    <w:rsid w:val="46DE55E8"/>
    <w:rsid w:val="46F36309"/>
    <w:rsid w:val="46FD6C53"/>
    <w:rsid w:val="470C1F25"/>
    <w:rsid w:val="470C4B51"/>
    <w:rsid w:val="47263250"/>
    <w:rsid w:val="472A62F3"/>
    <w:rsid w:val="472C5E04"/>
    <w:rsid w:val="47332F94"/>
    <w:rsid w:val="473339CD"/>
    <w:rsid w:val="47376734"/>
    <w:rsid w:val="473E145B"/>
    <w:rsid w:val="47417B21"/>
    <w:rsid w:val="47443E3C"/>
    <w:rsid w:val="475112EB"/>
    <w:rsid w:val="4760696F"/>
    <w:rsid w:val="477325D6"/>
    <w:rsid w:val="477C3A73"/>
    <w:rsid w:val="47831BFE"/>
    <w:rsid w:val="479809B8"/>
    <w:rsid w:val="47B16BE0"/>
    <w:rsid w:val="47D47E08"/>
    <w:rsid w:val="47DE71F1"/>
    <w:rsid w:val="47FB7648"/>
    <w:rsid w:val="480027FF"/>
    <w:rsid w:val="480C4220"/>
    <w:rsid w:val="48294272"/>
    <w:rsid w:val="48357B3B"/>
    <w:rsid w:val="4839101C"/>
    <w:rsid w:val="484C7DB3"/>
    <w:rsid w:val="485D4C28"/>
    <w:rsid w:val="486329A7"/>
    <w:rsid w:val="487D480D"/>
    <w:rsid w:val="48822B58"/>
    <w:rsid w:val="48862167"/>
    <w:rsid w:val="48964AD8"/>
    <w:rsid w:val="48AB093C"/>
    <w:rsid w:val="48D82045"/>
    <w:rsid w:val="48DC3718"/>
    <w:rsid w:val="48F40954"/>
    <w:rsid w:val="495B6457"/>
    <w:rsid w:val="49781549"/>
    <w:rsid w:val="49782801"/>
    <w:rsid w:val="49785D34"/>
    <w:rsid w:val="49790338"/>
    <w:rsid w:val="499D721E"/>
    <w:rsid w:val="49A577F9"/>
    <w:rsid w:val="49AF5DB5"/>
    <w:rsid w:val="49D0144B"/>
    <w:rsid w:val="49F50870"/>
    <w:rsid w:val="4A26019D"/>
    <w:rsid w:val="4A3431F4"/>
    <w:rsid w:val="4A383046"/>
    <w:rsid w:val="4A471C26"/>
    <w:rsid w:val="4A4D76CB"/>
    <w:rsid w:val="4A5C75B9"/>
    <w:rsid w:val="4A5F5501"/>
    <w:rsid w:val="4A73708A"/>
    <w:rsid w:val="4A82749F"/>
    <w:rsid w:val="4AC152FB"/>
    <w:rsid w:val="4AC57702"/>
    <w:rsid w:val="4ADA25F1"/>
    <w:rsid w:val="4AE03433"/>
    <w:rsid w:val="4AE21620"/>
    <w:rsid w:val="4AEE4B87"/>
    <w:rsid w:val="4AFD336F"/>
    <w:rsid w:val="4B0B0E05"/>
    <w:rsid w:val="4B3764A7"/>
    <w:rsid w:val="4B610736"/>
    <w:rsid w:val="4B64401B"/>
    <w:rsid w:val="4B70749F"/>
    <w:rsid w:val="4B733540"/>
    <w:rsid w:val="4B9666BC"/>
    <w:rsid w:val="4BBE441A"/>
    <w:rsid w:val="4BC76479"/>
    <w:rsid w:val="4BCC2290"/>
    <w:rsid w:val="4BD272AD"/>
    <w:rsid w:val="4BD4754C"/>
    <w:rsid w:val="4BDF471B"/>
    <w:rsid w:val="4BF050E7"/>
    <w:rsid w:val="4C00634E"/>
    <w:rsid w:val="4C3F1EF8"/>
    <w:rsid w:val="4C4F6AC2"/>
    <w:rsid w:val="4C524663"/>
    <w:rsid w:val="4C551CE7"/>
    <w:rsid w:val="4C5C6B91"/>
    <w:rsid w:val="4C5D61E1"/>
    <w:rsid w:val="4CAC05A1"/>
    <w:rsid w:val="4CB37ECC"/>
    <w:rsid w:val="4CC3431D"/>
    <w:rsid w:val="4CE32639"/>
    <w:rsid w:val="4CEB7145"/>
    <w:rsid w:val="4D16233D"/>
    <w:rsid w:val="4D2F2B78"/>
    <w:rsid w:val="4D5D40C1"/>
    <w:rsid w:val="4D746F26"/>
    <w:rsid w:val="4D87299B"/>
    <w:rsid w:val="4D8A45B0"/>
    <w:rsid w:val="4D91586D"/>
    <w:rsid w:val="4DAB0F88"/>
    <w:rsid w:val="4DB206FC"/>
    <w:rsid w:val="4DB51C9F"/>
    <w:rsid w:val="4DBF0B7C"/>
    <w:rsid w:val="4DC63176"/>
    <w:rsid w:val="4DCB57F5"/>
    <w:rsid w:val="4DD418AA"/>
    <w:rsid w:val="4DDE676B"/>
    <w:rsid w:val="4E114094"/>
    <w:rsid w:val="4E132D5B"/>
    <w:rsid w:val="4E1522AB"/>
    <w:rsid w:val="4E22092A"/>
    <w:rsid w:val="4E415771"/>
    <w:rsid w:val="4E447CC9"/>
    <w:rsid w:val="4E605328"/>
    <w:rsid w:val="4E743B3C"/>
    <w:rsid w:val="4E807468"/>
    <w:rsid w:val="4E896D30"/>
    <w:rsid w:val="4E987B37"/>
    <w:rsid w:val="4E9B47DC"/>
    <w:rsid w:val="4EA51DC2"/>
    <w:rsid w:val="4EB106F2"/>
    <w:rsid w:val="4EB66A33"/>
    <w:rsid w:val="4EBB5DBE"/>
    <w:rsid w:val="4EC26A4D"/>
    <w:rsid w:val="4EE1241C"/>
    <w:rsid w:val="4EF77FB8"/>
    <w:rsid w:val="4F163447"/>
    <w:rsid w:val="4F1A7008"/>
    <w:rsid w:val="4F1D02BB"/>
    <w:rsid w:val="4F2401A6"/>
    <w:rsid w:val="4F2414FE"/>
    <w:rsid w:val="4F364EA4"/>
    <w:rsid w:val="4F386D08"/>
    <w:rsid w:val="4F414506"/>
    <w:rsid w:val="4F423AC5"/>
    <w:rsid w:val="4F45280C"/>
    <w:rsid w:val="4F66013C"/>
    <w:rsid w:val="4F704107"/>
    <w:rsid w:val="4F7A7484"/>
    <w:rsid w:val="4F857B9F"/>
    <w:rsid w:val="4F8B6983"/>
    <w:rsid w:val="4F987D83"/>
    <w:rsid w:val="4F9F6305"/>
    <w:rsid w:val="4FAD1767"/>
    <w:rsid w:val="4FB52022"/>
    <w:rsid w:val="4FCB4A03"/>
    <w:rsid w:val="4FD75ECD"/>
    <w:rsid w:val="4FE85DF4"/>
    <w:rsid w:val="500E7BE8"/>
    <w:rsid w:val="500F5168"/>
    <w:rsid w:val="500F5DAE"/>
    <w:rsid w:val="501645C5"/>
    <w:rsid w:val="501D2002"/>
    <w:rsid w:val="50255035"/>
    <w:rsid w:val="504132E3"/>
    <w:rsid w:val="504D24F4"/>
    <w:rsid w:val="505D122C"/>
    <w:rsid w:val="505D1564"/>
    <w:rsid w:val="50783A55"/>
    <w:rsid w:val="507C384E"/>
    <w:rsid w:val="509D1F88"/>
    <w:rsid w:val="509E4866"/>
    <w:rsid w:val="50A02775"/>
    <w:rsid w:val="50A37762"/>
    <w:rsid w:val="50A5492D"/>
    <w:rsid w:val="50DB3FDE"/>
    <w:rsid w:val="50E32EF9"/>
    <w:rsid w:val="50EE64BD"/>
    <w:rsid w:val="51023A7C"/>
    <w:rsid w:val="51174EDA"/>
    <w:rsid w:val="514736E5"/>
    <w:rsid w:val="51506A75"/>
    <w:rsid w:val="51561BDF"/>
    <w:rsid w:val="51583A45"/>
    <w:rsid w:val="516A0A8F"/>
    <w:rsid w:val="51774495"/>
    <w:rsid w:val="5178037B"/>
    <w:rsid w:val="51842A7D"/>
    <w:rsid w:val="51982F91"/>
    <w:rsid w:val="519A35C6"/>
    <w:rsid w:val="519F2583"/>
    <w:rsid w:val="51AB557F"/>
    <w:rsid w:val="51AD6556"/>
    <w:rsid w:val="51BB3CB5"/>
    <w:rsid w:val="51BF6981"/>
    <w:rsid w:val="51DF3001"/>
    <w:rsid w:val="51F37983"/>
    <w:rsid w:val="51FA3D00"/>
    <w:rsid w:val="51FB4517"/>
    <w:rsid w:val="51FB4635"/>
    <w:rsid w:val="52026AE1"/>
    <w:rsid w:val="521F09DD"/>
    <w:rsid w:val="5222752C"/>
    <w:rsid w:val="52255AF3"/>
    <w:rsid w:val="523E13E6"/>
    <w:rsid w:val="524005E4"/>
    <w:rsid w:val="525106DF"/>
    <w:rsid w:val="5253532C"/>
    <w:rsid w:val="52663CB5"/>
    <w:rsid w:val="527375D2"/>
    <w:rsid w:val="527B54B3"/>
    <w:rsid w:val="5289751A"/>
    <w:rsid w:val="52A62656"/>
    <w:rsid w:val="52AD1D52"/>
    <w:rsid w:val="52B70F1D"/>
    <w:rsid w:val="52C85AB9"/>
    <w:rsid w:val="52E22D49"/>
    <w:rsid w:val="52EA6127"/>
    <w:rsid w:val="530134AB"/>
    <w:rsid w:val="5305006F"/>
    <w:rsid w:val="530734F8"/>
    <w:rsid w:val="531505DE"/>
    <w:rsid w:val="531B06DD"/>
    <w:rsid w:val="532260D6"/>
    <w:rsid w:val="53265CEC"/>
    <w:rsid w:val="53381174"/>
    <w:rsid w:val="53395A8D"/>
    <w:rsid w:val="53430A03"/>
    <w:rsid w:val="53453181"/>
    <w:rsid w:val="535832A7"/>
    <w:rsid w:val="53684556"/>
    <w:rsid w:val="5374208A"/>
    <w:rsid w:val="539E2038"/>
    <w:rsid w:val="53AC04B8"/>
    <w:rsid w:val="53AD6020"/>
    <w:rsid w:val="53DD074C"/>
    <w:rsid w:val="53F03A50"/>
    <w:rsid w:val="53FB074F"/>
    <w:rsid w:val="540422CF"/>
    <w:rsid w:val="54475DCC"/>
    <w:rsid w:val="544A38FA"/>
    <w:rsid w:val="54616281"/>
    <w:rsid w:val="5479673C"/>
    <w:rsid w:val="548212A3"/>
    <w:rsid w:val="54871388"/>
    <w:rsid w:val="548A728F"/>
    <w:rsid w:val="54905ECA"/>
    <w:rsid w:val="549D6AC8"/>
    <w:rsid w:val="54A212AE"/>
    <w:rsid w:val="54AC532F"/>
    <w:rsid w:val="54B25F3F"/>
    <w:rsid w:val="54B4790E"/>
    <w:rsid w:val="54BD2D90"/>
    <w:rsid w:val="54D15BCB"/>
    <w:rsid w:val="55585D19"/>
    <w:rsid w:val="556E4059"/>
    <w:rsid w:val="557E0E4D"/>
    <w:rsid w:val="55984425"/>
    <w:rsid w:val="55AF14AC"/>
    <w:rsid w:val="55B96E21"/>
    <w:rsid w:val="55C91189"/>
    <w:rsid w:val="55CE7DB6"/>
    <w:rsid w:val="55E1458A"/>
    <w:rsid w:val="55EA6E84"/>
    <w:rsid w:val="55EB6977"/>
    <w:rsid w:val="5607784E"/>
    <w:rsid w:val="560B6A22"/>
    <w:rsid w:val="563166DC"/>
    <w:rsid w:val="564877A5"/>
    <w:rsid w:val="56603E65"/>
    <w:rsid w:val="5695539B"/>
    <w:rsid w:val="5695773D"/>
    <w:rsid w:val="56C101B4"/>
    <w:rsid w:val="56C279DB"/>
    <w:rsid w:val="56D63A7A"/>
    <w:rsid w:val="56D97728"/>
    <w:rsid w:val="56DA1345"/>
    <w:rsid w:val="56DD6858"/>
    <w:rsid w:val="56EE44F1"/>
    <w:rsid w:val="5715028F"/>
    <w:rsid w:val="5717185B"/>
    <w:rsid w:val="571747DE"/>
    <w:rsid w:val="57471110"/>
    <w:rsid w:val="57516383"/>
    <w:rsid w:val="57937A03"/>
    <w:rsid w:val="57B37B43"/>
    <w:rsid w:val="57C45AC7"/>
    <w:rsid w:val="57CCC813"/>
    <w:rsid w:val="57D56212"/>
    <w:rsid w:val="57D72812"/>
    <w:rsid w:val="57EF5E0E"/>
    <w:rsid w:val="58054C91"/>
    <w:rsid w:val="580E372B"/>
    <w:rsid w:val="58101591"/>
    <w:rsid w:val="58120A77"/>
    <w:rsid w:val="58156BCB"/>
    <w:rsid w:val="58235DE1"/>
    <w:rsid w:val="58294898"/>
    <w:rsid w:val="58385787"/>
    <w:rsid w:val="584450AA"/>
    <w:rsid w:val="584C2341"/>
    <w:rsid w:val="5850268F"/>
    <w:rsid w:val="585431F4"/>
    <w:rsid w:val="586F66CF"/>
    <w:rsid w:val="58785DD8"/>
    <w:rsid w:val="5881483E"/>
    <w:rsid w:val="588A205B"/>
    <w:rsid w:val="588F7B43"/>
    <w:rsid w:val="58B312C4"/>
    <w:rsid w:val="58BB21DC"/>
    <w:rsid w:val="58BB441C"/>
    <w:rsid w:val="58D3217E"/>
    <w:rsid w:val="58DD051D"/>
    <w:rsid w:val="58FF5879"/>
    <w:rsid w:val="59041CE1"/>
    <w:rsid w:val="591B012B"/>
    <w:rsid w:val="59204EF1"/>
    <w:rsid w:val="59271F35"/>
    <w:rsid w:val="59310CA2"/>
    <w:rsid w:val="59431CD3"/>
    <w:rsid w:val="59623730"/>
    <w:rsid w:val="59690793"/>
    <w:rsid w:val="5978454B"/>
    <w:rsid w:val="597C47A4"/>
    <w:rsid w:val="598D7D01"/>
    <w:rsid w:val="598F5362"/>
    <w:rsid w:val="5998614C"/>
    <w:rsid w:val="59A64B33"/>
    <w:rsid w:val="59BC3BE1"/>
    <w:rsid w:val="59C7491A"/>
    <w:rsid w:val="59D21773"/>
    <w:rsid w:val="59DA5F12"/>
    <w:rsid w:val="5A055A2B"/>
    <w:rsid w:val="5A0D7986"/>
    <w:rsid w:val="5A1D1CD0"/>
    <w:rsid w:val="5A34016C"/>
    <w:rsid w:val="5A562228"/>
    <w:rsid w:val="5A5E37A2"/>
    <w:rsid w:val="5A641A16"/>
    <w:rsid w:val="5A6870DC"/>
    <w:rsid w:val="5A6A6AB2"/>
    <w:rsid w:val="5A6E44D0"/>
    <w:rsid w:val="5A7B66B2"/>
    <w:rsid w:val="5A9640B1"/>
    <w:rsid w:val="5ABA1A75"/>
    <w:rsid w:val="5AC834F5"/>
    <w:rsid w:val="5AD21B15"/>
    <w:rsid w:val="5AEB1673"/>
    <w:rsid w:val="5AEF2EDA"/>
    <w:rsid w:val="5B0633C0"/>
    <w:rsid w:val="5B24231E"/>
    <w:rsid w:val="5B28699E"/>
    <w:rsid w:val="5B306F7E"/>
    <w:rsid w:val="5B53608C"/>
    <w:rsid w:val="5B5F0ACD"/>
    <w:rsid w:val="5B6023D9"/>
    <w:rsid w:val="5B767BC7"/>
    <w:rsid w:val="5B777ABF"/>
    <w:rsid w:val="5B7D019F"/>
    <w:rsid w:val="5B87717D"/>
    <w:rsid w:val="5B9751CE"/>
    <w:rsid w:val="5BA131E7"/>
    <w:rsid w:val="5BA272A6"/>
    <w:rsid w:val="5BB32F70"/>
    <w:rsid w:val="5BB54A4D"/>
    <w:rsid w:val="5BD41BC2"/>
    <w:rsid w:val="5C17602F"/>
    <w:rsid w:val="5C1C4D52"/>
    <w:rsid w:val="5C20315A"/>
    <w:rsid w:val="5C287746"/>
    <w:rsid w:val="5C346CE4"/>
    <w:rsid w:val="5C3C3455"/>
    <w:rsid w:val="5C4F0418"/>
    <w:rsid w:val="5C6B7D11"/>
    <w:rsid w:val="5C6C23B9"/>
    <w:rsid w:val="5C6F5488"/>
    <w:rsid w:val="5C7210A2"/>
    <w:rsid w:val="5C791CC0"/>
    <w:rsid w:val="5C7F7B49"/>
    <w:rsid w:val="5C97462C"/>
    <w:rsid w:val="5CAC3166"/>
    <w:rsid w:val="5CAD05E2"/>
    <w:rsid w:val="5CB51004"/>
    <w:rsid w:val="5CE77B5D"/>
    <w:rsid w:val="5CE95669"/>
    <w:rsid w:val="5CF96232"/>
    <w:rsid w:val="5D00723B"/>
    <w:rsid w:val="5D0E27BC"/>
    <w:rsid w:val="5D174F7F"/>
    <w:rsid w:val="5D193DB1"/>
    <w:rsid w:val="5D364460"/>
    <w:rsid w:val="5D5A0BF3"/>
    <w:rsid w:val="5D5E7DF4"/>
    <w:rsid w:val="5D5F6D1D"/>
    <w:rsid w:val="5D6D1FFC"/>
    <w:rsid w:val="5D7A7774"/>
    <w:rsid w:val="5D7B09A3"/>
    <w:rsid w:val="5D7E7C70"/>
    <w:rsid w:val="5D9D345A"/>
    <w:rsid w:val="5DAC1C09"/>
    <w:rsid w:val="5DC15672"/>
    <w:rsid w:val="5DD605D7"/>
    <w:rsid w:val="5DDC2224"/>
    <w:rsid w:val="5DE033EA"/>
    <w:rsid w:val="5E11388E"/>
    <w:rsid w:val="5E230C3A"/>
    <w:rsid w:val="5E3C5819"/>
    <w:rsid w:val="5E4B68D2"/>
    <w:rsid w:val="5E585F52"/>
    <w:rsid w:val="5E650084"/>
    <w:rsid w:val="5E6A32E8"/>
    <w:rsid w:val="5E830965"/>
    <w:rsid w:val="5E994F7A"/>
    <w:rsid w:val="5E997625"/>
    <w:rsid w:val="5EBD5AB9"/>
    <w:rsid w:val="5ED82764"/>
    <w:rsid w:val="5EDE34EF"/>
    <w:rsid w:val="5EE65303"/>
    <w:rsid w:val="5EEB1B57"/>
    <w:rsid w:val="5EEB1B82"/>
    <w:rsid w:val="5EEB5931"/>
    <w:rsid w:val="5F045798"/>
    <w:rsid w:val="5F055986"/>
    <w:rsid w:val="5F186916"/>
    <w:rsid w:val="5F1D7B8D"/>
    <w:rsid w:val="5F2070F3"/>
    <w:rsid w:val="5F2521B5"/>
    <w:rsid w:val="5F293990"/>
    <w:rsid w:val="5F2D50D0"/>
    <w:rsid w:val="5F2E1DC0"/>
    <w:rsid w:val="5F3B1F6C"/>
    <w:rsid w:val="5F3F6ACE"/>
    <w:rsid w:val="5F4165AB"/>
    <w:rsid w:val="5F423E29"/>
    <w:rsid w:val="5F4B43E8"/>
    <w:rsid w:val="5F4B5D21"/>
    <w:rsid w:val="5F620DA7"/>
    <w:rsid w:val="5F626165"/>
    <w:rsid w:val="5F731101"/>
    <w:rsid w:val="5FA019E5"/>
    <w:rsid w:val="5FC14BC7"/>
    <w:rsid w:val="5FD15AD2"/>
    <w:rsid w:val="5FE63288"/>
    <w:rsid w:val="5FED48F2"/>
    <w:rsid w:val="5FF576C4"/>
    <w:rsid w:val="5FFB9488"/>
    <w:rsid w:val="600D5A0F"/>
    <w:rsid w:val="60100168"/>
    <w:rsid w:val="60174473"/>
    <w:rsid w:val="6018338A"/>
    <w:rsid w:val="602023AF"/>
    <w:rsid w:val="6058076B"/>
    <w:rsid w:val="60691C79"/>
    <w:rsid w:val="606A2308"/>
    <w:rsid w:val="608D0B89"/>
    <w:rsid w:val="608D13B8"/>
    <w:rsid w:val="608E53E0"/>
    <w:rsid w:val="608F6DCF"/>
    <w:rsid w:val="60AF6EEF"/>
    <w:rsid w:val="60D30D2A"/>
    <w:rsid w:val="60F50EA4"/>
    <w:rsid w:val="60FC046A"/>
    <w:rsid w:val="61195DA0"/>
    <w:rsid w:val="6133663B"/>
    <w:rsid w:val="613F695D"/>
    <w:rsid w:val="614B7A50"/>
    <w:rsid w:val="61603826"/>
    <w:rsid w:val="61647C13"/>
    <w:rsid w:val="61773B2D"/>
    <w:rsid w:val="61890DAD"/>
    <w:rsid w:val="61A478CD"/>
    <w:rsid w:val="61A741F8"/>
    <w:rsid w:val="61B93A0D"/>
    <w:rsid w:val="61BA70C3"/>
    <w:rsid w:val="61BC7C78"/>
    <w:rsid w:val="61C37CAC"/>
    <w:rsid w:val="61EE2831"/>
    <w:rsid w:val="62052E9D"/>
    <w:rsid w:val="622B2A75"/>
    <w:rsid w:val="6235433D"/>
    <w:rsid w:val="624668BE"/>
    <w:rsid w:val="624A2316"/>
    <w:rsid w:val="625B49E0"/>
    <w:rsid w:val="62631D21"/>
    <w:rsid w:val="62652744"/>
    <w:rsid w:val="629F593D"/>
    <w:rsid w:val="62BD64F1"/>
    <w:rsid w:val="62C2089F"/>
    <w:rsid w:val="62C20B6E"/>
    <w:rsid w:val="62CE4A93"/>
    <w:rsid w:val="62D35C9A"/>
    <w:rsid w:val="62D54765"/>
    <w:rsid w:val="62DB7664"/>
    <w:rsid w:val="62EF54E3"/>
    <w:rsid w:val="62FE221F"/>
    <w:rsid w:val="63072B74"/>
    <w:rsid w:val="63117015"/>
    <w:rsid w:val="631E47F0"/>
    <w:rsid w:val="63211AF7"/>
    <w:rsid w:val="632A18EE"/>
    <w:rsid w:val="632A4CAE"/>
    <w:rsid w:val="6337115D"/>
    <w:rsid w:val="634426C1"/>
    <w:rsid w:val="6350134F"/>
    <w:rsid w:val="637D5D70"/>
    <w:rsid w:val="637D73A5"/>
    <w:rsid w:val="639338AB"/>
    <w:rsid w:val="63C11207"/>
    <w:rsid w:val="63C90472"/>
    <w:rsid w:val="63CA2316"/>
    <w:rsid w:val="63E04D05"/>
    <w:rsid w:val="63E34461"/>
    <w:rsid w:val="63EA5747"/>
    <w:rsid w:val="63EA59C9"/>
    <w:rsid w:val="63EB5108"/>
    <w:rsid w:val="63F21953"/>
    <w:rsid w:val="64101881"/>
    <w:rsid w:val="64274A84"/>
    <w:rsid w:val="642A0B53"/>
    <w:rsid w:val="644E725E"/>
    <w:rsid w:val="6466124F"/>
    <w:rsid w:val="64961AAF"/>
    <w:rsid w:val="64CA2BC8"/>
    <w:rsid w:val="64DC65F2"/>
    <w:rsid w:val="64E52B38"/>
    <w:rsid w:val="64F75E2E"/>
    <w:rsid w:val="64FD6C0C"/>
    <w:rsid w:val="65062B47"/>
    <w:rsid w:val="651545C9"/>
    <w:rsid w:val="651F7051"/>
    <w:rsid w:val="652801D5"/>
    <w:rsid w:val="653F0A94"/>
    <w:rsid w:val="65422B5E"/>
    <w:rsid w:val="655363FF"/>
    <w:rsid w:val="65543B68"/>
    <w:rsid w:val="65550F6C"/>
    <w:rsid w:val="655722C3"/>
    <w:rsid w:val="655C6433"/>
    <w:rsid w:val="65644578"/>
    <w:rsid w:val="656B71A0"/>
    <w:rsid w:val="656E1285"/>
    <w:rsid w:val="6596514F"/>
    <w:rsid w:val="65987AD6"/>
    <w:rsid w:val="659D2C6E"/>
    <w:rsid w:val="659E70CA"/>
    <w:rsid w:val="659F59C1"/>
    <w:rsid w:val="65A76AC1"/>
    <w:rsid w:val="65A90596"/>
    <w:rsid w:val="65B76EC6"/>
    <w:rsid w:val="65BC7CB7"/>
    <w:rsid w:val="65C7766D"/>
    <w:rsid w:val="65D02CDA"/>
    <w:rsid w:val="65D37CEE"/>
    <w:rsid w:val="65F51DC0"/>
    <w:rsid w:val="65F62BA4"/>
    <w:rsid w:val="6619273A"/>
    <w:rsid w:val="66251F2D"/>
    <w:rsid w:val="662F5994"/>
    <w:rsid w:val="66356DF9"/>
    <w:rsid w:val="664F74F8"/>
    <w:rsid w:val="6652789F"/>
    <w:rsid w:val="66554A2F"/>
    <w:rsid w:val="667860ED"/>
    <w:rsid w:val="66837B42"/>
    <w:rsid w:val="669F7F7B"/>
    <w:rsid w:val="66A95CED"/>
    <w:rsid w:val="66AF21DF"/>
    <w:rsid w:val="66E85379"/>
    <w:rsid w:val="66F330C8"/>
    <w:rsid w:val="66F56645"/>
    <w:rsid w:val="66F771A7"/>
    <w:rsid w:val="670558E8"/>
    <w:rsid w:val="6712085D"/>
    <w:rsid w:val="671D0087"/>
    <w:rsid w:val="67632E35"/>
    <w:rsid w:val="67654A77"/>
    <w:rsid w:val="676915DC"/>
    <w:rsid w:val="676E12FC"/>
    <w:rsid w:val="67765505"/>
    <w:rsid w:val="67771202"/>
    <w:rsid w:val="67805055"/>
    <w:rsid w:val="67A208E9"/>
    <w:rsid w:val="67A81461"/>
    <w:rsid w:val="67C71028"/>
    <w:rsid w:val="67C76DB5"/>
    <w:rsid w:val="67E6546D"/>
    <w:rsid w:val="6839048A"/>
    <w:rsid w:val="68587782"/>
    <w:rsid w:val="685F7C35"/>
    <w:rsid w:val="686061C9"/>
    <w:rsid w:val="68610E40"/>
    <w:rsid w:val="687E4606"/>
    <w:rsid w:val="68903EBC"/>
    <w:rsid w:val="68975C9D"/>
    <w:rsid w:val="68A82E84"/>
    <w:rsid w:val="68CC3A98"/>
    <w:rsid w:val="691B2DFC"/>
    <w:rsid w:val="692045F1"/>
    <w:rsid w:val="693379B4"/>
    <w:rsid w:val="693510F0"/>
    <w:rsid w:val="69673B44"/>
    <w:rsid w:val="6978078B"/>
    <w:rsid w:val="69847791"/>
    <w:rsid w:val="69853E38"/>
    <w:rsid w:val="69865E7B"/>
    <w:rsid w:val="699975C7"/>
    <w:rsid w:val="69DD6E88"/>
    <w:rsid w:val="69E312EA"/>
    <w:rsid w:val="69EA5D98"/>
    <w:rsid w:val="69FB617B"/>
    <w:rsid w:val="6A063470"/>
    <w:rsid w:val="6A073376"/>
    <w:rsid w:val="6A0A7BC5"/>
    <w:rsid w:val="6A0C209B"/>
    <w:rsid w:val="6A104E32"/>
    <w:rsid w:val="6A55309E"/>
    <w:rsid w:val="6A853969"/>
    <w:rsid w:val="6A8F3879"/>
    <w:rsid w:val="6AB26B47"/>
    <w:rsid w:val="6AB67253"/>
    <w:rsid w:val="6AB83FD0"/>
    <w:rsid w:val="6AC61A0E"/>
    <w:rsid w:val="6ACB3D20"/>
    <w:rsid w:val="6AE13829"/>
    <w:rsid w:val="6AF969DC"/>
    <w:rsid w:val="6AFD2A27"/>
    <w:rsid w:val="6B1C7940"/>
    <w:rsid w:val="6B2556D4"/>
    <w:rsid w:val="6B2770E7"/>
    <w:rsid w:val="6B40766A"/>
    <w:rsid w:val="6B4C5B1C"/>
    <w:rsid w:val="6B506CC2"/>
    <w:rsid w:val="6B5920BF"/>
    <w:rsid w:val="6B614BD7"/>
    <w:rsid w:val="6B6C4B43"/>
    <w:rsid w:val="6BAA6F1F"/>
    <w:rsid w:val="6BD244BA"/>
    <w:rsid w:val="6BD92C38"/>
    <w:rsid w:val="6BDB50B3"/>
    <w:rsid w:val="6BE5371F"/>
    <w:rsid w:val="6BEA3B62"/>
    <w:rsid w:val="6BEE5EB9"/>
    <w:rsid w:val="6BF07522"/>
    <w:rsid w:val="6BF2344D"/>
    <w:rsid w:val="6BF4517A"/>
    <w:rsid w:val="6BF45B5C"/>
    <w:rsid w:val="6C245957"/>
    <w:rsid w:val="6C380772"/>
    <w:rsid w:val="6C601E17"/>
    <w:rsid w:val="6C6634D7"/>
    <w:rsid w:val="6CA51767"/>
    <w:rsid w:val="6CAD496E"/>
    <w:rsid w:val="6CB015C4"/>
    <w:rsid w:val="6CB613C7"/>
    <w:rsid w:val="6CC13353"/>
    <w:rsid w:val="6CC97AEC"/>
    <w:rsid w:val="6CD058E0"/>
    <w:rsid w:val="6CDE381E"/>
    <w:rsid w:val="6D2D3320"/>
    <w:rsid w:val="6D312E7C"/>
    <w:rsid w:val="6D3C58FF"/>
    <w:rsid w:val="6D571AC3"/>
    <w:rsid w:val="6D5F7612"/>
    <w:rsid w:val="6D6C50AC"/>
    <w:rsid w:val="6D7C00C5"/>
    <w:rsid w:val="6D910991"/>
    <w:rsid w:val="6D965483"/>
    <w:rsid w:val="6DA649C0"/>
    <w:rsid w:val="6DA81E1C"/>
    <w:rsid w:val="6DAE5B0D"/>
    <w:rsid w:val="6DCD5952"/>
    <w:rsid w:val="6DF049BD"/>
    <w:rsid w:val="6DF54F14"/>
    <w:rsid w:val="6DFC6948"/>
    <w:rsid w:val="6DFD31A9"/>
    <w:rsid w:val="6E000232"/>
    <w:rsid w:val="6E1A4649"/>
    <w:rsid w:val="6E22562B"/>
    <w:rsid w:val="6E497753"/>
    <w:rsid w:val="6E867227"/>
    <w:rsid w:val="6E883820"/>
    <w:rsid w:val="6E925478"/>
    <w:rsid w:val="6E9A0087"/>
    <w:rsid w:val="6EA30452"/>
    <w:rsid w:val="6EA36D56"/>
    <w:rsid w:val="6EA54A62"/>
    <w:rsid w:val="6EA72D69"/>
    <w:rsid w:val="6EA97255"/>
    <w:rsid w:val="6EF21B94"/>
    <w:rsid w:val="6EFA68C0"/>
    <w:rsid w:val="6F0003FC"/>
    <w:rsid w:val="6F3A0F29"/>
    <w:rsid w:val="6F5C119C"/>
    <w:rsid w:val="6F715FF8"/>
    <w:rsid w:val="6F862598"/>
    <w:rsid w:val="6F8B14B1"/>
    <w:rsid w:val="6FEB6780"/>
    <w:rsid w:val="6FF8536C"/>
    <w:rsid w:val="70061E86"/>
    <w:rsid w:val="70096235"/>
    <w:rsid w:val="701C5D76"/>
    <w:rsid w:val="70294093"/>
    <w:rsid w:val="70337DDE"/>
    <w:rsid w:val="704C7922"/>
    <w:rsid w:val="70581235"/>
    <w:rsid w:val="7090557F"/>
    <w:rsid w:val="70A72A68"/>
    <w:rsid w:val="70CE5DB1"/>
    <w:rsid w:val="70D273FB"/>
    <w:rsid w:val="70D73CD3"/>
    <w:rsid w:val="70DD4EF6"/>
    <w:rsid w:val="70F300F3"/>
    <w:rsid w:val="70FA76A6"/>
    <w:rsid w:val="70FC0F37"/>
    <w:rsid w:val="71296141"/>
    <w:rsid w:val="713A515F"/>
    <w:rsid w:val="71417C96"/>
    <w:rsid w:val="714A6BE2"/>
    <w:rsid w:val="714D10B3"/>
    <w:rsid w:val="71574C81"/>
    <w:rsid w:val="715D54F9"/>
    <w:rsid w:val="718104E0"/>
    <w:rsid w:val="71B132B0"/>
    <w:rsid w:val="71C32C8F"/>
    <w:rsid w:val="71E84951"/>
    <w:rsid w:val="71EA742E"/>
    <w:rsid w:val="72094DC3"/>
    <w:rsid w:val="720B11B4"/>
    <w:rsid w:val="720E0B7E"/>
    <w:rsid w:val="72217DC9"/>
    <w:rsid w:val="723F5E90"/>
    <w:rsid w:val="72477438"/>
    <w:rsid w:val="725513B4"/>
    <w:rsid w:val="72794D1E"/>
    <w:rsid w:val="7281762C"/>
    <w:rsid w:val="728E4760"/>
    <w:rsid w:val="729F2B95"/>
    <w:rsid w:val="72B0169B"/>
    <w:rsid w:val="72BC193D"/>
    <w:rsid w:val="72BE30BA"/>
    <w:rsid w:val="72FF5170"/>
    <w:rsid w:val="73051C17"/>
    <w:rsid w:val="732122C1"/>
    <w:rsid w:val="7328260B"/>
    <w:rsid w:val="73400B1E"/>
    <w:rsid w:val="734A576D"/>
    <w:rsid w:val="73526450"/>
    <w:rsid w:val="73583A9B"/>
    <w:rsid w:val="736A1C02"/>
    <w:rsid w:val="736B336C"/>
    <w:rsid w:val="73830465"/>
    <w:rsid w:val="73937D65"/>
    <w:rsid w:val="73B03CDC"/>
    <w:rsid w:val="73B33441"/>
    <w:rsid w:val="73BD5B78"/>
    <w:rsid w:val="73C5155C"/>
    <w:rsid w:val="73DA58C0"/>
    <w:rsid w:val="73DD2A2A"/>
    <w:rsid w:val="740E69C5"/>
    <w:rsid w:val="742E43F3"/>
    <w:rsid w:val="742E450A"/>
    <w:rsid w:val="743F4223"/>
    <w:rsid w:val="74430027"/>
    <w:rsid w:val="74495668"/>
    <w:rsid w:val="747B2FCD"/>
    <w:rsid w:val="747E0A1E"/>
    <w:rsid w:val="74984CA1"/>
    <w:rsid w:val="749C1F79"/>
    <w:rsid w:val="74AD4638"/>
    <w:rsid w:val="74B202D3"/>
    <w:rsid w:val="74C64118"/>
    <w:rsid w:val="74CA6401"/>
    <w:rsid w:val="74CF3EDA"/>
    <w:rsid w:val="74EC15DC"/>
    <w:rsid w:val="74FD2B4F"/>
    <w:rsid w:val="74FF278E"/>
    <w:rsid w:val="7538283F"/>
    <w:rsid w:val="7544326B"/>
    <w:rsid w:val="756F35A7"/>
    <w:rsid w:val="75890153"/>
    <w:rsid w:val="75995C03"/>
    <w:rsid w:val="759F0B0D"/>
    <w:rsid w:val="75A3086C"/>
    <w:rsid w:val="75AD2F41"/>
    <w:rsid w:val="75AE4026"/>
    <w:rsid w:val="75AE759C"/>
    <w:rsid w:val="75B10E52"/>
    <w:rsid w:val="75B4344A"/>
    <w:rsid w:val="75BFCD27"/>
    <w:rsid w:val="75D30258"/>
    <w:rsid w:val="75E15A0E"/>
    <w:rsid w:val="75EF359B"/>
    <w:rsid w:val="75F204AF"/>
    <w:rsid w:val="762471E0"/>
    <w:rsid w:val="763A3C55"/>
    <w:rsid w:val="765F21AE"/>
    <w:rsid w:val="76617731"/>
    <w:rsid w:val="766F3032"/>
    <w:rsid w:val="76713781"/>
    <w:rsid w:val="768F6550"/>
    <w:rsid w:val="76903790"/>
    <w:rsid w:val="76920F63"/>
    <w:rsid w:val="76BF7232"/>
    <w:rsid w:val="76C8276D"/>
    <w:rsid w:val="76D06AEC"/>
    <w:rsid w:val="76D3680D"/>
    <w:rsid w:val="76D62CDB"/>
    <w:rsid w:val="76E37F31"/>
    <w:rsid w:val="76F732A3"/>
    <w:rsid w:val="77074B74"/>
    <w:rsid w:val="7713711B"/>
    <w:rsid w:val="77143B81"/>
    <w:rsid w:val="7718556C"/>
    <w:rsid w:val="77294EED"/>
    <w:rsid w:val="77350554"/>
    <w:rsid w:val="774B5FAF"/>
    <w:rsid w:val="77514D2B"/>
    <w:rsid w:val="77606A22"/>
    <w:rsid w:val="77692AB8"/>
    <w:rsid w:val="77794E56"/>
    <w:rsid w:val="77826B10"/>
    <w:rsid w:val="778E4A4A"/>
    <w:rsid w:val="77927ED6"/>
    <w:rsid w:val="7794180B"/>
    <w:rsid w:val="77A11A44"/>
    <w:rsid w:val="77A14789"/>
    <w:rsid w:val="77CF3E8E"/>
    <w:rsid w:val="77D13651"/>
    <w:rsid w:val="77F12535"/>
    <w:rsid w:val="78091106"/>
    <w:rsid w:val="7814082D"/>
    <w:rsid w:val="7814578F"/>
    <w:rsid w:val="781931D0"/>
    <w:rsid w:val="782072C9"/>
    <w:rsid w:val="78212BE0"/>
    <w:rsid w:val="78227F45"/>
    <w:rsid w:val="783634EE"/>
    <w:rsid w:val="78395F16"/>
    <w:rsid w:val="783E0B9A"/>
    <w:rsid w:val="784347C4"/>
    <w:rsid w:val="784F4B65"/>
    <w:rsid w:val="785874D9"/>
    <w:rsid w:val="786801A4"/>
    <w:rsid w:val="786B4BDB"/>
    <w:rsid w:val="787107A9"/>
    <w:rsid w:val="787B0E50"/>
    <w:rsid w:val="787F4B16"/>
    <w:rsid w:val="789456D9"/>
    <w:rsid w:val="78A2728C"/>
    <w:rsid w:val="78B55AAC"/>
    <w:rsid w:val="78BA50F7"/>
    <w:rsid w:val="78C07EE4"/>
    <w:rsid w:val="78CA3236"/>
    <w:rsid w:val="78CE133A"/>
    <w:rsid w:val="78D10C16"/>
    <w:rsid w:val="78D23783"/>
    <w:rsid w:val="78FA4811"/>
    <w:rsid w:val="79072250"/>
    <w:rsid w:val="791606B5"/>
    <w:rsid w:val="791B6DA4"/>
    <w:rsid w:val="79262551"/>
    <w:rsid w:val="794473A8"/>
    <w:rsid w:val="794B3A7B"/>
    <w:rsid w:val="796F0610"/>
    <w:rsid w:val="797515BF"/>
    <w:rsid w:val="797C1E1F"/>
    <w:rsid w:val="797D6E8C"/>
    <w:rsid w:val="79964E85"/>
    <w:rsid w:val="79A77B0C"/>
    <w:rsid w:val="79BA41BB"/>
    <w:rsid w:val="79C61520"/>
    <w:rsid w:val="79E35DAD"/>
    <w:rsid w:val="79E766E9"/>
    <w:rsid w:val="79ED32F3"/>
    <w:rsid w:val="79F32CC4"/>
    <w:rsid w:val="7A157E3F"/>
    <w:rsid w:val="7A3864DC"/>
    <w:rsid w:val="7A3A62E4"/>
    <w:rsid w:val="7A4D0D36"/>
    <w:rsid w:val="7A5102F4"/>
    <w:rsid w:val="7A5D1E51"/>
    <w:rsid w:val="7A68681F"/>
    <w:rsid w:val="7A7C5D56"/>
    <w:rsid w:val="7A8B6668"/>
    <w:rsid w:val="7A9C08D9"/>
    <w:rsid w:val="7AA40F27"/>
    <w:rsid w:val="7AB847F0"/>
    <w:rsid w:val="7AF517DC"/>
    <w:rsid w:val="7AFB4923"/>
    <w:rsid w:val="7AFE3BAC"/>
    <w:rsid w:val="7B160B6B"/>
    <w:rsid w:val="7B1D1BF5"/>
    <w:rsid w:val="7B301C64"/>
    <w:rsid w:val="7B3753B1"/>
    <w:rsid w:val="7B3E4ED8"/>
    <w:rsid w:val="7B4B2817"/>
    <w:rsid w:val="7B5F19EA"/>
    <w:rsid w:val="7B925739"/>
    <w:rsid w:val="7B9D5B7F"/>
    <w:rsid w:val="7B9E709A"/>
    <w:rsid w:val="7B9E743A"/>
    <w:rsid w:val="7BA670DF"/>
    <w:rsid w:val="7BA96FD5"/>
    <w:rsid w:val="7BB22650"/>
    <w:rsid w:val="7BC23C48"/>
    <w:rsid w:val="7BC776AC"/>
    <w:rsid w:val="7BFD622B"/>
    <w:rsid w:val="7BFF3F5C"/>
    <w:rsid w:val="7C2659A6"/>
    <w:rsid w:val="7C2B0D5B"/>
    <w:rsid w:val="7C354771"/>
    <w:rsid w:val="7C520630"/>
    <w:rsid w:val="7C5928DA"/>
    <w:rsid w:val="7C6724CF"/>
    <w:rsid w:val="7C6F372C"/>
    <w:rsid w:val="7C7B55CC"/>
    <w:rsid w:val="7C9130A5"/>
    <w:rsid w:val="7CC05128"/>
    <w:rsid w:val="7CC11A85"/>
    <w:rsid w:val="7CD25CF0"/>
    <w:rsid w:val="7D27115C"/>
    <w:rsid w:val="7D2A5DDD"/>
    <w:rsid w:val="7D34167D"/>
    <w:rsid w:val="7D367A56"/>
    <w:rsid w:val="7D67065E"/>
    <w:rsid w:val="7D670C6D"/>
    <w:rsid w:val="7D6E5788"/>
    <w:rsid w:val="7D8C4232"/>
    <w:rsid w:val="7DD44BD7"/>
    <w:rsid w:val="7DF34205"/>
    <w:rsid w:val="7E177AE7"/>
    <w:rsid w:val="7E6E2528"/>
    <w:rsid w:val="7E7B57EE"/>
    <w:rsid w:val="7E8B31DD"/>
    <w:rsid w:val="7EB84979"/>
    <w:rsid w:val="7EC62364"/>
    <w:rsid w:val="7ED27D86"/>
    <w:rsid w:val="7EEA3D63"/>
    <w:rsid w:val="7EEB29F2"/>
    <w:rsid w:val="7EEC2028"/>
    <w:rsid w:val="7F0C4312"/>
    <w:rsid w:val="7F406314"/>
    <w:rsid w:val="7F48121F"/>
    <w:rsid w:val="7F51183B"/>
    <w:rsid w:val="7F531C21"/>
    <w:rsid w:val="7F6835F2"/>
    <w:rsid w:val="7F8A0440"/>
    <w:rsid w:val="7F8D64E8"/>
    <w:rsid w:val="7F9933A0"/>
    <w:rsid w:val="7FAC170B"/>
    <w:rsid w:val="7FC45788"/>
    <w:rsid w:val="7FCA0A9E"/>
    <w:rsid w:val="7FCE3445"/>
    <w:rsid w:val="7FF150A6"/>
    <w:rsid w:val="7FF64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5"/>
    <w:next w:val="6"/>
    <w:link w:val="51"/>
    <w:qFormat/>
    <w:uiPriority w:val="0"/>
    <w:pPr>
      <w:keepNext/>
      <w:keepLines/>
      <w:spacing w:after="120" w:line="360" w:lineRule="auto"/>
      <w:jc w:val="left"/>
      <w:outlineLvl w:val="0"/>
    </w:pPr>
    <w:rPr>
      <w:kern w:val="44"/>
      <w:sz w:val="28"/>
      <w:szCs w:val="28"/>
    </w:rPr>
  </w:style>
  <w:style w:type="paragraph" w:styleId="8">
    <w:name w:val="heading 2"/>
    <w:basedOn w:val="1"/>
    <w:next w:val="1"/>
    <w:link w:val="54"/>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9">
    <w:name w:val="heading 3"/>
    <w:basedOn w:val="1"/>
    <w:next w:val="1"/>
    <w:link w:val="56"/>
    <w:qFormat/>
    <w:uiPriority w:val="0"/>
    <w:pPr>
      <w:widowControl/>
      <w:spacing w:before="100" w:beforeAutospacing="1" w:after="100" w:afterAutospacing="1"/>
      <w:jc w:val="left"/>
      <w:outlineLvl w:val="2"/>
    </w:pPr>
    <w:rPr>
      <w:rFonts w:ascii="宋体" w:hAnsi="宋体"/>
      <w:kern w:val="0"/>
      <w:sz w:val="27"/>
      <w:szCs w:val="27"/>
    </w:rPr>
  </w:style>
  <w:style w:type="paragraph" w:styleId="10">
    <w:name w:val="heading 4"/>
    <w:basedOn w:val="1"/>
    <w:next w:val="1"/>
    <w:link w:val="57"/>
    <w:qFormat/>
    <w:uiPriority w:val="0"/>
    <w:pPr>
      <w:keepNext/>
      <w:keepLines/>
      <w:numPr>
        <w:ilvl w:val="3"/>
        <w:numId w:val="1"/>
      </w:numPr>
      <w:spacing w:beforeLines="50" w:afterLines="50" w:line="360" w:lineRule="auto"/>
      <w:outlineLvl w:val="3"/>
    </w:pPr>
    <w:rPr>
      <w:rFonts w:ascii="Arial" w:hAnsi="Arial"/>
      <w:color w:val="000000"/>
      <w:kern w:val="0"/>
      <w:sz w:val="20"/>
      <w:szCs w:val="21"/>
    </w:rPr>
  </w:style>
  <w:style w:type="paragraph" w:styleId="11">
    <w:name w:val="heading 5"/>
    <w:basedOn w:val="10"/>
    <w:next w:val="12"/>
    <w:link w:val="58"/>
    <w:qFormat/>
    <w:uiPriority w:val="0"/>
    <w:pPr>
      <w:numPr>
        <w:ilvl w:val="4"/>
      </w:numPr>
      <w:spacing w:line="240" w:lineRule="exact"/>
      <w:outlineLvl w:val="4"/>
    </w:pPr>
  </w:style>
  <w:style w:type="paragraph" w:styleId="13">
    <w:name w:val="heading 6"/>
    <w:basedOn w:val="1"/>
    <w:next w:val="1"/>
    <w:link w:val="59"/>
    <w:qFormat/>
    <w:uiPriority w:val="0"/>
    <w:pPr>
      <w:keepNext/>
      <w:keepLines/>
      <w:numPr>
        <w:ilvl w:val="5"/>
        <w:numId w:val="2"/>
      </w:numPr>
      <w:spacing w:before="240" w:after="64" w:line="320" w:lineRule="auto"/>
      <w:outlineLvl w:val="5"/>
    </w:pPr>
    <w:rPr>
      <w:rFonts w:ascii="Arial" w:hAnsi="Arial" w:eastAsia="黑体"/>
      <w:b/>
      <w:bCs/>
      <w:kern w:val="0"/>
      <w:sz w:val="24"/>
      <w:szCs w:val="24"/>
    </w:rPr>
  </w:style>
  <w:style w:type="paragraph" w:styleId="14">
    <w:name w:val="heading 7"/>
    <w:basedOn w:val="1"/>
    <w:next w:val="12"/>
    <w:link w:val="60"/>
    <w:qFormat/>
    <w:uiPriority w:val="0"/>
    <w:pPr>
      <w:keepNext/>
      <w:keepLines/>
      <w:numPr>
        <w:ilvl w:val="6"/>
        <w:numId w:val="1"/>
      </w:numPr>
      <w:spacing w:before="240" w:after="64" w:line="320" w:lineRule="auto"/>
      <w:outlineLvl w:val="6"/>
    </w:pPr>
    <w:rPr>
      <w:b/>
      <w:kern w:val="0"/>
      <w:sz w:val="24"/>
      <w:szCs w:val="20"/>
    </w:rPr>
  </w:style>
  <w:style w:type="paragraph" w:styleId="15">
    <w:name w:val="heading 8"/>
    <w:basedOn w:val="1"/>
    <w:next w:val="12"/>
    <w:link w:val="61"/>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6">
    <w:name w:val="heading 9"/>
    <w:basedOn w:val="1"/>
    <w:next w:val="12"/>
    <w:link w:val="62"/>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41">
    <w:name w:val="Default Paragraph Font"/>
    <w:unhideWhenUsed/>
    <w:qFormat/>
    <w:uiPriority w:val="1"/>
  </w:style>
  <w:style w:type="table" w:default="1" w:styleId="39">
    <w:name w:val="Normal Table"/>
    <w:unhideWhenUsed/>
    <w:qFormat/>
    <w:uiPriority w:val="99"/>
    <w:tblPr>
      <w:tblCellMar>
        <w:top w:w="0" w:type="dxa"/>
        <w:left w:w="108" w:type="dxa"/>
        <w:bottom w:w="0" w:type="dxa"/>
        <w:right w:w="108" w:type="dxa"/>
      </w:tblCellMar>
    </w:tblPr>
  </w:style>
  <w:style w:type="paragraph" w:styleId="2">
    <w:name w:val="Plain Text"/>
    <w:basedOn w:val="1"/>
    <w:next w:val="3"/>
    <w:link w:val="49"/>
    <w:qFormat/>
    <w:uiPriority w:val="0"/>
    <w:rPr>
      <w:rFonts w:ascii="宋体" w:hAnsi="Courier New"/>
      <w:kern w:val="0"/>
      <w:sz w:val="20"/>
      <w:szCs w:val="20"/>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Title"/>
    <w:basedOn w:val="1"/>
    <w:link w:val="50"/>
    <w:qFormat/>
    <w:uiPriority w:val="0"/>
    <w:pPr>
      <w:spacing w:before="120" w:after="60"/>
      <w:jc w:val="center"/>
    </w:pPr>
    <w:rPr>
      <w:rFonts w:ascii="Arial" w:hAnsi="Arial"/>
      <w:b/>
      <w:kern w:val="0"/>
      <w:sz w:val="44"/>
      <w:szCs w:val="20"/>
    </w:rPr>
  </w:style>
  <w:style w:type="paragraph" w:styleId="6">
    <w:name w:val="Body Text First Indent"/>
    <w:basedOn w:val="7"/>
    <w:link w:val="53"/>
    <w:qFormat/>
    <w:uiPriority w:val="0"/>
    <w:pPr>
      <w:ind w:firstLine="420"/>
    </w:pPr>
  </w:style>
  <w:style w:type="paragraph" w:styleId="7">
    <w:name w:val="Body Text"/>
    <w:basedOn w:val="1"/>
    <w:link w:val="52"/>
    <w:qFormat/>
    <w:uiPriority w:val="0"/>
    <w:pPr>
      <w:spacing w:after="120"/>
    </w:pPr>
    <w:rPr>
      <w:kern w:val="0"/>
      <w:sz w:val="20"/>
      <w:szCs w:val="20"/>
    </w:rPr>
  </w:style>
  <w:style w:type="paragraph" w:styleId="12">
    <w:name w:val="Normal Indent"/>
    <w:basedOn w:val="1"/>
    <w:next w:val="1"/>
    <w:link w:val="55"/>
    <w:qFormat/>
    <w:uiPriority w:val="0"/>
    <w:pPr>
      <w:ind w:firstLine="420"/>
    </w:pPr>
    <w:rPr>
      <w:szCs w:val="20"/>
    </w:rPr>
  </w:style>
  <w:style w:type="paragraph" w:styleId="17">
    <w:name w:val="Document Map"/>
    <w:basedOn w:val="1"/>
    <w:link w:val="63"/>
    <w:qFormat/>
    <w:uiPriority w:val="0"/>
    <w:pPr>
      <w:shd w:val="clear" w:color="auto" w:fill="000080"/>
    </w:pPr>
    <w:rPr>
      <w:kern w:val="0"/>
      <w:sz w:val="20"/>
      <w:szCs w:val="20"/>
    </w:rPr>
  </w:style>
  <w:style w:type="paragraph" w:styleId="18">
    <w:name w:val="annotation text"/>
    <w:basedOn w:val="1"/>
    <w:link w:val="64"/>
    <w:qFormat/>
    <w:uiPriority w:val="0"/>
    <w:pPr>
      <w:spacing w:line="360" w:lineRule="auto"/>
      <w:ind w:firstLine="523" w:firstLineChars="218"/>
      <w:jc w:val="left"/>
    </w:pPr>
    <w:rPr>
      <w:rFonts w:ascii="宋体" w:hAnsi="宋体"/>
      <w:kern w:val="0"/>
      <w:sz w:val="24"/>
      <w:szCs w:val="24"/>
    </w:rPr>
  </w:style>
  <w:style w:type="paragraph" w:styleId="19">
    <w:name w:val="Body Text 3"/>
    <w:basedOn w:val="1"/>
    <w:link w:val="65"/>
    <w:unhideWhenUsed/>
    <w:qFormat/>
    <w:uiPriority w:val="99"/>
    <w:pPr>
      <w:spacing w:after="120"/>
    </w:pPr>
    <w:rPr>
      <w:rFonts w:ascii="Calibri" w:hAnsi="Calibri"/>
      <w:sz w:val="16"/>
      <w:szCs w:val="16"/>
    </w:rPr>
  </w:style>
  <w:style w:type="paragraph" w:styleId="20">
    <w:name w:val="Body Text Indent"/>
    <w:basedOn w:val="1"/>
    <w:next w:val="21"/>
    <w:link w:val="66"/>
    <w:qFormat/>
    <w:uiPriority w:val="0"/>
    <w:pPr>
      <w:ind w:firstLine="570"/>
    </w:pPr>
    <w:rPr>
      <w:kern w:val="0"/>
      <w:sz w:val="28"/>
      <w:szCs w:val="20"/>
    </w:rPr>
  </w:style>
  <w:style w:type="paragraph" w:styleId="21">
    <w:name w:val="envelope return"/>
    <w:basedOn w:val="1"/>
    <w:qFormat/>
    <w:uiPriority w:val="0"/>
    <w:pPr>
      <w:snapToGrid w:val="0"/>
    </w:pPr>
    <w:rPr>
      <w:rFonts w:ascii="Arial" w:hAnsi="Arial"/>
      <w:szCs w:val="24"/>
    </w:rPr>
  </w:style>
  <w:style w:type="paragraph" w:styleId="22">
    <w:name w:val="toc 3"/>
    <w:basedOn w:val="1"/>
    <w:next w:val="1"/>
    <w:qFormat/>
    <w:uiPriority w:val="39"/>
    <w:pPr>
      <w:snapToGrid w:val="0"/>
      <w:spacing w:line="360" w:lineRule="auto"/>
      <w:ind w:left="400" w:leftChars="400"/>
      <w:jc w:val="left"/>
    </w:pPr>
    <w:rPr>
      <w:sz w:val="24"/>
      <w:szCs w:val="20"/>
    </w:rPr>
  </w:style>
  <w:style w:type="paragraph" w:styleId="23">
    <w:name w:val="Date"/>
    <w:basedOn w:val="1"/>
    <w:next w:val="1"/>
    <w:link w:val="67"/>
    <w:qFormat/>
    <w:uiPriority w:val="0"/>
    <w:rPr>
      <w:kern w:val="0"/>
      <w:sz w:val="20"/>
      <w:szCs w:val="20"/>
    </w:rPr>
  </w:style>
  <w:style w:type="paragraph" w:styleId="24">
    <w:name w:val="Body Text Indent 2"/>
    <w:basedOn w:val="1"/>
    <w:link w:val="68"/>
    <w:qFormat/>
    <w:uiPriority w:val="0"/>
    <w:pPr>
      <w:spacing w:line="400" w:lineRule="exact"/>
      <w:ind w:left="425"/>
    </w:pPr>
    <w:rPr>
      <w:color w:val="000000"/>
      <w:kern w:val="0"/>
      <w:sz w:val="24"/>
      <w:szCs w:val="20"/>
    </w:rPr>
  </w:style>
  <w:style w:type="paragraph" w:styleId="25">
    <w:name w:val="endnote text"/>
    <w:basedOn w:val="1"/>
    <w:link w:val="69"/>
    <w:qFormat/>
    <w:uiPriority w:val="0"/>
    <w:pPr>
      <w:snapToGrid w:val="0"/>
      <w:jc w:val="left"/>
    </w:pPr>
    <w:rPr>
      <w:kern w:val="0"/>
      <w:sz w:val="20"/>
      <w:szCs w:val="20"/>
    </w:rPr>
  </w:style>
  <w:style w:type="paragraph" w:styleId="26">
    <w:name w:val="Balloon Text"/>
    <w:basedOn w:val="1"/>
    <w:link w:val="70"/>
    <w:qFormat/>
    <w:uiPriority w:val="0"/>
    <w:rPr>
      <w:kern w:val="0"/>
      <w:sz w:val="18"/>
      <w:szCs w:val="18"/>
    </w:rPr>
  </w:style>
  <w:style w:type="paragraph" w:styleId="27">
    <w:name w:val="footer"/>
    <w:basedOn w:val="1"/>
    <w:link w:val="71"/>
    <w:unhideWhenUsed/>
    <w:qFormat/>
    <w:uiPriority w:val="0"/>
    <w:pPr>
      <w:tabs>
        <w:tab w:val="center" w:pos="4153"/>
        <w:tab w:val="right" w:pos="8306"/>
      </w:tabs>
      <w:snapToGrid w:val="0"/>
      <w:jc w:val="left"/>
    </w:pPr>
    <w:rPr>
      <w:rFonts w:ascii="Calibri" w:hAnsi="Calibri"/>
      <w:kern w:val="0"/>
      <w:sz w:val="18"/>
      <w:szCs w:val="18"/>
    </w:rPr>
  </w:style>
  <w:style w:type="paragraph" w:styleId="28">
    <w:name w:val="header"/>
    <w:basedOn w:val="1"/>
    <w:link w:val="72"/>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0">
    <w:name w:val="footnote text"/>
    <w:basedOn w:val="1"/>
    <w:link w:val="73"/>
    <w:qFormat/>
    <w:uiPriority w:val="0"/>
    <w:pPr>
      <w:snapToGrid w:val="0"/>
      <w:spacing w:line="360" w:lineRule="auto"/>
      <w:ind w:firstLine="523" w:firstLineChars="218"/>
      <w:jc w:val="left"/>
    </w:pPr>
    <w:rPr>
      <w:rFonts w:ascii="宋体" w:hAnsi="宋体"/>
      <w:kern w:val="0"/>
      <w:sz w:val="18"/>
      <w:szCs w:val="18"/>
    </w:rPr>
  </w:style>
  <w:style w:type="paragraph" w:styleId="31">
    <w:name w:val="Body Text Indent 3"/>
    <w:basedOn w:val="1"/>
    <w:link w:val="74"/>
    <w:qFormat/>
    <w:uiPriority w:val="0"/>
    <w:pPr>
      <w:tabs>
        <w:tab w:val="left" w:pos="0"/>
      </w:tabs>
      <w:spacing w:line="400" w:lineRule="exact"/>
      <w:ind w:left="563" w:leftChars="228" w:hanging="84" w:hangingChars="35"/>
    </w:pPr>
    <w:rPr>
      <w:color w:val="000000"/>
      <w:kern w:val="0"/>
      <w:sz w:val="24"/>
      <w:szCs w:val="20"/>
    </w:rPr>
  </w:style>
  <w:style w:type="paragraph" w:styleId="32">
    <w:name w:val="toc 2"/>
    <w:basedOn w:val="1"/>
    <w:next w:val="1"/>
    <w:qFormat/>
    <w:uiPriority w:val="39"/>
    <w:pPr>
      <w:tabs>
        <w:tab w:val="right" w:leader="dot" w:pos="9060"/>
      </w:tabs>
      <w:snapToGrid w:val="0"/>
      <w:spacing w:line="360" w:lineRule="auto"/>
      <w:ind w:left="420" w:leftChars="200"/>
      <w:jc w:val="left"/>
    </w:pPr>
    <w:rPr>
      <w:sz w:val="24"/>
      <w:szCs w:val="24"/>
      <w:lang w:val="en-US" w:eastAsia="zh-CN"/>
    </w:rPr>
  </w:style>
  <w:style w:type="paragraph" w:styleId="33">
    <w:name w:val="Body Text 2"/>
    <w:basedOn w:val="1"/>
    <w:link w:val="75"/>
    <w:qFormat/>
    <w:uiPriority w:val="0"/>
    <w:rPr>
      <w:rFonts w:ascii="宋体" w:hAnsi="宋体"/>
      <w:kern w:val="0"/>
      <w:sz w:val="20"/>
      <w:szCs w:val="24"/>
      <w:u w:val="single"/>
    </w:rPr>
  </w:style>
  <w:style w:type="paragraph" w:styleId="34">
    <w:name w:val="HTML Preformatted"/>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szCs w:val="24"/>
      <w:lang w:val="en-US" w:eastAsia="zh-CN" w:bidi="ar-SA"/>
    </w:rPr>
  </w:style>
  <w:style w:type="paragraph" w:styleId="35">
    <w:name w:val="Normal (Web)"/>
    <w:basedOn w:val="1"/>
    <w:qFormat/>
    <w:uiPriority w:val="0"/>
    <w:rPr>
      <w:sz w:val="24"/>
    </w:rPr>
  </w:style>
  <w:style w:type="paragraph" w:styleId="36">
    <w:name w:val="index 1"/>
    <w:basedOn w:val="1"/>
    <w:next w:val="1"/>
    <w:qFormat/>
    <w:uiPriority w:val="0"/>
    <w:rPr>
      <w:rFonts w:eastAsia="仿宋_GB2312"/>
      <w:sz w:val="28"/>
      <w:szCs w:val="20"/>
    </w:rPr>
  </w:style>
  <w:style w:type="paragraph" w:styleId="37">
    <w:name w:val="annotation subject"/>
    <w:basedOn w:val="18"/>
    <w:next w:val="18"/>
    <w:link w:val="76"/>
    <w:qFormat/>
    <w:uiPriority w:val="0"/>
    <w:rPr>
      <w:b/>
      <w:bCs/>
    </w:rPr>
  </w:style>
  <w:style w:type="paragraph" w:styleId="38">
    <w:name w:val="Body Text First Indent 2"/>
    <w:basedOn w:val="20"/>
    <w:qFormat/>
    <w:uiPriority w:val="0"/>
    <w:pPr>
      <w:spacing w:after="120"/>
      <w:ind w:left="200" w:leftChars="200" w:firstLine="200" w:firstLineChars="200"/>
    </w:pPr>
    <w:rPr>
      <w:rFonts w:ascii="Calibri" w:hAnsi="Calibri"/>
      <w:color w:val="0D0D0D"/>
      <w:sz w:val="21"/>
      <w:szCs w:val="24"/>
      <w:lang w:eastAsia="en-US"/>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0"/>
    <w:rPr>
      <w:b/>
    </w:rPr>
  </w:style>
  <w:style w:type="character" w:styleId="43">
    <w:name w:val="endnote reference"/>
    <w:qFormat/>
    <w:uiPriority w:val="0"/>
    <w:rPr>
      <w:vertAlign w:val="superscript"/>
    </w:rPr>
  </w:style>
  <w:style w:type="character" w:styleId="44">
    <w:name w:val="page number"/>
    <w:basedOn w:val="41"/>
    <w:qFormat/>
    <w:uiPriority w:val="0"/>
    <w:rPr>
      <w:rFonts w:cs="Times New Roman"/>
    </w:rPr>
  </w:style>
  <w:style w:type="character" w:styleId="45">
    <w:name w:val="FollowedHyperlink"/>
    <w:unhideWhenUsed/>
    <w:qFormat/>
    <w:uiPriority w:val="99"/>
    <w:rPr>
      <w:color w:val="954F72"/>
      <w:u w:val="single"/>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character" w:customStyle="1" w:styleId="49">
    <w:name w:val="纯文本 Char"/>
    <w:link w:val="2"/>
    <w:qFormat/>
    <w:uiPriority w:val="0"/>
    <w:rPr>
      <w:rFonts w:ascii="宋体" w:hAnsi="Courier New" w:eastAsia="宋体" w:cs="Times New Roman"/>
      <w:szCs w:val="20"/>
    </w:rPr>
  </w:style>
  <w:style w:type="character" w:customStyle="1" w:styleId="50">
    <w:name w:val="标题 Char"/>
    <w:link w:val="5"/>
    <w:qFormat/>
    <w:uiPriority w:val="0"/>
    <w:rPr>
      <w:rFonts w:ascii="Arial" w:hAnsi="Arial" w:eastAsia="宋体" w:cs="Times New Roman"/>
      <w:b/>
      <w:sz w:val="44"/>
      <w:szCs w:val="20"/>
    </w:rPr>
  </w:style>
  <w:style w:type="character" w:customStyle="1" w:styleId="51">
    <w:name w:val="标题 1 Char"/>
    <w:link w:val="4"/>
    <w:qFormat/>
    <w:uiPriority w:val="0"/>
    <w:rPr>
      <w:rFonts w:ascii="Arial" w:hAnsi="Arial" w:eastAsia="宋体" w:cs="Times New Roman"/>
      <w:b/>
      <w:kern w:val="44"/>
      <w:sz w:val="28"/>
      <w:szCs w:val="28"/>
    </w:rPr>
  </w:style>
  <w:style w:type="character" w:customStyle="1" w:styleId="52">
    <w:name w:val="正文文本 Char"/>
    <w:link w:val="7"/>
    <w:qFormat/>
    <w:uiPriority w:val="0"/>
    <w:rPr>
      <w:rFonts w:ascii="Times New Roman" w:hAnsi="Times New Roman" w:eastAsia="宋体" w:cs="Times New Roman"/>
      <w:szCs w:val="20"/>
    </w:rPr>
  </w:style>
  <w:style w:type="character" w:customStyle="1" w:styleId="53">
    <w:name w:val="正文首行缩进 Char"/>
    <w:link w:val="6"/>
    <w:qFormat/>
    <w:uiPriority w:val="0"/>
  </w:style>
  <w:style w:type="character" w:customStyle="1" w:styleId="54">
    <w:name w:val="标题 2 Char"/>
    <w:link w:val="8"/>
    <w:qFormat/>
    <w:uiPriority w:val="0"/>
    <w:rPr>
      <w:rFonts w:ascii="Arial" w:hAnsi="Arial" w:eastAsia="宋体" w:cs="Times New Roman"/>
      <w:b/>
      <w:color w:val="000000"/>
      <w:sz w:val="24"/>
      <w:szCs w:val="24"/>
    </w:rPr>
  </w:style>
  <w:style w:type="character" w:customStyle="1" w:styleId="55">
    <w:name w:val="正文缩进 Char"/>
    <w:link w:val="12"/>
    <w:qFormat/>
    <w:uiPriority w:val="0"/>
    <w:rPr>
      <w:rFonts w:ascii="Times New Roman" w:hAnsi="Times New Roman" w:eastAsia="宋体"/>
      <w:kern w:val="2"/>
      <w:sz w:val="21"/>
    </w:rPr>
  </w:style>
  <w:style w:type="character" w:customStyle="1" w:styleId="56">
    <w:name w:val="标题 3 Char"/>
    <w:link w:val="9"/>
    <w:qFormat/>
    <w:uiPriority w:val="0"/>
    <w:rPr>
      <w:rFonts w:ascii="宋体" w:hAnsi="宋体" w:eastAsia="宋体" w:cs="宋体"/>
      <w:kern w:val="0"/>
      <w:sz w:val="27"/>
      <w:szCs w:val="27"/>
    </w:rPr>
  </w:style>
  <w:style w:type="character" w:customStyle="1" w:styleId="57">
    <w:name w:val="标题 4 Char"/>
    <w:link w:val="10"/>
    <w:qFormat/>
    <w:uiPriority w:val="0"/>
    <w:rPr>
      <w:rFonts w:ascii="Arial" w:hAnsi="Arial" w:eastAsia="宋体" w:cs="Times New Roman"/>
      <w:color w:val="000000"/>
      <w:szCs w:val="21"/>
    </w:rPr>
  </w:style>
  <w:style w:type="character" w:customStyle="1" w:styleId="58">
    <w:name w:val="标题 5 Char"/>
    <w:link w:val="11"/>
    <w:qFormat/>
    <w:uiPriority w:val="0"/>
    <w:rPr>
      <w:rFonts w:ascii="Arial" w:hAnsi="Arial" w:eastAsia="宋体" w:cs="Times New Roman"/>
      <w:color w:val="000000"/>
      <w:szCs w:val="21"/>
    </w:rPr>
  </w:style>
  <w:style w:type="character" w:customStyle="1" w:styleId="59">
    <w:name w:val="标题 6 Char"/>
    <w:link w:val="13"/>
    <w:qFormat/>
    <w:uiPriority w:val="0"/>
    <w:rPr>
      <w:rFonts w:ascii="Arial" w:hAnsi="Arial" w:eastAsia="黑体" w:cs="Times New Roman"/>
      <w:b/>
      <w:bCs/>
      <w:sz w:val="24"/>
      <w:szCs w:val="24"/>
    </w:rPr>
  </w:style>
  <w:style w:type="character" w:customStyle="1" w:styleId="60">
    <w:name w:val="标题 7 Char"/>
    <w:link w:val="14"/>
    <w:qFormat/>
    <w:uiPriority w:val="0"/>
    <w:rPr>
      <w:rFonts w:ascii="Times New Roman" w:hAnsi="Times New Roman" w:eastAsia="宋体" w:cs="Times New Roman"/>
      <w:b/>
      <w:sz w:val="24"/>
      <w:szCs w:val="20"/>
    </w:rPr>
  </w:style>
  <w:style w:type="character" w:customStyle="1" w:styleId="61">
    <w:name w:val="标题 8 Char"/>
    <w:link w:val="15"/>
    <w:qFormat/>
    <w:uiPriority w:val="0"/>
    <w:rPr>
      <w:rFonts w:ascii="Arial" w:hAnsi="Arial" w:eastAsia="黑体" w:cs="Times New Roman"/>
      <w:sz w:val="24"/>
      <w:szCs w:val="20"/>
    </w:rPr>
  </w:style>
  <w:style w:type="character" w:customStyle="1" w:styleId="62">
    <w:name w:val="标题 9 Char"/>
    <w:link w:val="16"/>
    <w:qFormat/>
    <w:uiPriority w:val="0"/>
    <w:rPr>
      <w:rFonts w:ascii="Arial" w:hAnsi="Arial" w:eastAsia="黑体" w:cs="Times New Roman"/>
      <w:szCs w:val="20"/>
    </w:rPr>
  </w:style>
  <w:style w:type="character" w:customStyle="1" w:styleId="63">
    <w:name w:val="文档结构图 Char"/>
    <w:link w:val="17"/>
    <w:qFormat/>
    <w:uiPriority w:val="0"/>
    <w:rPr>
      <w:rFonts w:ascii="Times New Roman" w:hAnsi="Times New Roman" w:eastAsia="宋体" w:cs="Times New Roman"/>
      <w:szCs w:val="20"/>
      <w:shd w:val="clear" w:color="auto" w:fill="000080"/>
    </w:rPr>
  </w:style>
  <w:style w:type="character" w:customStyle="1" w:styleId="64">
    <w:name w:val="批注文字 Char"/>
    <w:link w:val="18"/>
    <w:qFormat/>
    <w:uiPriority w:val="0"/>
    <w:rPr>
      <w:rFonts w:ascii="宋体" w:hAnsi="宋体" w:eastAsia="宋体" w:cs="Times New Roman"/>
      <w:sz w:val="24"/>
      <w:szCs w:val="24"/>
    </w:rPr>
  </w:style>
  <w:style w:type="character" w:customStyle="1" w:styleId="65">
    <w:name w:val="正文文本 3 Char"/>
    <w:link w:val="19"/>
    <w:semiHidden/>
    <w:qFormat/>
    <w:uiPriority w:val="99"/>
    <w:rPr>
      <w:rFonts w:ascii="Calibri" w:hAnsi="Calibri" w:eastAsia="宋体"/>
      <w:kern w:val="2"/>
      <w:sz w:val="16"/>
      <w:szCs w:val="16"/>
    </w:rPr>
  </w:style>
  <w:style w:type="character" w:customStyle="1" w:styleId="66">
    <w:name w:val="正文文本缩进 Char"/>
    <w:link w:val="20"/>
    <w:qFormat/>
    <w:uiPriority w:val="0"/>
    <w:rPr>
      <w:rFonts w:ascii="Times New Roman" w:hAnsi="Times New Roman" w:eastAsia="宋体" w:cs="Times New Roman"/>
      <w:sz w:val="28"/>
      <w:szCs w:val="20"/>
    </w:rPr>
  </w:style>
  <w:style w:type="character" w:customStyle="1" w:styleId="67">
    <w:name w:val="日期 Char"/>
    <w:link w:val="23"/>
    <w:qFormat/>
    <w:uiPriority w:val="0"/>
    <w:rPr>
      <w:rFonts w:ascii="Times New Roman" w:hAnsi="Times New Roman" w:eastAsia="宋体" w:cs="Times New Roman"/>
      <w:szCs w:val="20"/>
    </w:rPr>
  </w:style>
  <w:style w:type="character" w:customStyle="1" w:styleId="68">
    <w:name w:val="正文文本缩进 2 Char"/>
    <w:link w:val="24"/>
    <w:qFormat/>
    <w:uiPriority w:val="0"/>
    <w:rPr>
      <w:rFonts w:ascii="Times New Roman" w:hAnsi="Times New Roman" w:eastAsia="宋体" w:cs="Times New Roman"/>
      <w:color w:val="000000"/>
      <w:sz w:val="24"/>
      <w:szCs w:val="20"/>
    </w:rPr>
  </w:style>
  <w:style w:type="character" w:customStyle="1" w:styleId="69">
    <w:name w:val="尾注文本 Char"/>
    <w:link w:val="25"/>
    <w:qFormat/>
    <w:uiPriority w:val="0"/>
    <w:rPr>
      <w:rFonts w:ascii="Times New Roman" w:hAnsi="Times New Roman" w:eastAsia="宋体" w:cs="Times New Roman"/>
      <w:szCs w:val="20"/>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0"/>
    <w:rPr>
      <w:rFonts w:ascii="Calibri" w:hAnsi="Calibri" w:eastAsia="宋体" w:cs="Times New Roman"/>
      <w:sz w:val="18"/>
      <w:szCs w:val="18"/>
    </w:rPr>
  </w:style>
  <w:style w:type="character" w:customStyle="1" w:styleId="72">
    <w:name w:val="页眉 Char"/>
    <w:link w:val="28"/>
    <w:qFormat/>
    <w:uiPriority w:val="0"/>
    <w:rPr>
      <w:rFonts w:ascii="Calibri" w:hAnsi="Calibri" w:eastAsia="宋体" w:cs="Times New Roman"/>
      <w:sz w:val="18"/>
      <w:szCs w:val="18"/>
    </w:rPr>
  </w:style>
  <w:style w:type="character" w:customStyle="1" w:styleId="73">
    <w:name w:val="脚注文本 Char"/>
    <w:link w:val="30"/>
    <w:qFormat/>
    <w:uiPriority w:val="0"/>
    <w:rPr>
      <w:rFonts w:ascii="宋体" w:hAnsi="宋体" w:eastAsia="宋体" w:cs="Times New Roman"/>
      <w:sz w:val="18"/>
      <w:szCs w:val="18"/>
    </w:rPr>
  </w:style>
  <w:style w:type="character" w:customStyle="1" w:styleId="74">
    <w:name w:val="正文文本缩进 3 Char"/>
    <w:link w:val="31"/>
    <w:qFormat/>
    <w:uiPriority w:val="0"/>
    <w:rPr>
      <w:rFonts w:ascii="Times New Roman" w:hAnsi="Times New Roman" w:eastAsia="宋体" w:cs="Times New Roman"/>
      <w:color w:val="000000"/>
      <w:sz w:val="24"/>
      <w:szCs w:val="20"/>
    </w:rPr>
  </w:style>
  <w:style w:type="character" w:customStyle="1" w:styleId="75">
    <w:name w:val="正文文本 2 Char"/>
    <w:link w:val="33"/>
    <w:qFormat/>
    <w:uiPriority w:val="0"/>
    <w:rPr>
      <w:rFonts w:ascii="宋体" w:hAnsi="宋体" w:eastAsia="宋体" w:cs="Times New Roman"/>
      <w:szCs w:val="24"/>
      <w:u w:val="single"/>
    </w:rPr>
  </w:style>
  <w:style w:type="character" w:customStyle="1" w:styleId="76">
    <w:name w:val="批注主题 Char"/>
    <w:link w:val="37"/>
    <w:qFormat/>
    <w:uiPriority w:val="0"/>
    <w:rPr>
      <w:rFonts w:ascii="宋体" w:hAnsi="宋体" w:eastAsia="宋体" w:cs="Times New Roman"/>
      <w:b/>
      <w:bCs/>
      <w:sz w:val="24"/>
      <w:szCs w:val="24"/>
    </w:rPr>
  </w:style>
  <w:style w:type="character" w:customStyle="1" w:styleId="77">
    <w:name w:val="文一 Char"/>
    <w:link w:val="78"/>
    <w:qFormat/>
    <w:uiPriority w:val="0"/>
    <w:rPr>
      <w:snapToGrid/>
      <w:spacing w:val="4"/>
      <w:sz w:val="24"/>
      <w:szCs w:val="24"/>
    </w:rPr>
  </w:style>
  <w:style w:type="paragraph" w:customStyle="1" w:styleId="78">
    <w:name w:val="文一"/>
    <w:basedOn w:val="1"/>
    <w:link w:val="77"/>
    <w:qFormat/>
    <w:uiPriority w:val="0"/>
    <w:pPr>
      <w:topLinePunct/>
      <w:adjustRightInd w:val="0"/>
      <w:snapToGrid w:val="0"/>
      <w:spacing w:line="360" w:lineRule="auto"/>
      <w:ind w:firstLine="200" w:firstLineChars="200"/>
    </w:pPr>
    <w:rPr>
      <w:spacing w:val="4"/>
      <w:kern w:val="0"/>
      <w:sz w:val="24"/>
      <w:szCs w:val="24"/>
    </w:rPr>
  </w:style>
  <w:style w:type="character" w:customStyle="1" w:styleId="79">
    <w:name w:val="正文文本缩进 3 字符"/>
    <w:semiHidden/>
    <w:qFormat/>
    <w:uiPriority w:val="99"/>
    <w:rPr>
      <w:rFonts w:ascii="Calibri" w:hAnsi="Calibri" w:eastAsia="宋体" w:cs="Times New Roman"/>
      <w:sz w:val="16"/>
      <w:szCs w:val="16"/>
    </w:rPr>
  </w:style>
  <w:style w:type="character" w:customStyle="1" w:styleId="80">
    <w:name w:val="标题 9 字符"/>
    <w:semiHidden/>
    <w:qFormat/>
    <w:uiPriority w:val="9"/>
    <w:rPr>
      <w:rFonts w:ascii="等线 Light" w:hAnsi="等线 Light" w:eastAsia="等线 Light" w:cs="Times New Roman"/>
      <w:szCs w:val="21"/>
    </w:rPr>
  </w:style>
  <w:style w:type="character" w:customStyle="1" w:styleId="81">
    <w:name w:val="标题 6 字符"/>
    <w:semiHidden/>
    <w:qFormat/>
    <w:uiPriority w:val="9"/>
    <w:rPr>
      <w:rFonts w:ascii="等线 Light" w:hAnsi="等线 Light" w:eastAsia="等线 Light" w:cs="Times New Roman"/>
      <w:b/>
      <w:bCs/>
      <w:sz w:val="24"/>
      <w:szCs w:val="24"/>
    </w:rPr>
  </w:style>
  <w:style w:type="character" w:customStyle="1" w:styleId="82">
    <w:name w:val="标题 3 字符"/>
    <w:semiHidden/>
    <w:qFormat/>
    <w:uiPriority w:val="9"/>
    <w:rPr>
      <w:rFonts w:ascii="Calibri" w:hAnsi="Calibri" w:eastAsia="宋体" w:cs="Times New Roman"/>
      <w:b/>
      <w:bCs/>
      <w:sz w:val="32"/>
      <w:szCs w:val="32"/>
    </w:rPr>
  </w:style>
  <w:style w:type="character" w:customStyle="1" w:styleId="83">
    <w:name w:val="正文文本首行缩进 字符"/>
    <w:link w:val="84"/>
    <w:qFormat/>
    <w:uiPriority w:val="0"/>
    <w:rPr>
      <w:rFonts w:ascii="Times New Roman" w:hAnsi="Times New Roman" w:eastAsia="宋体" w:cs="Times New Roman"/>
      <w:szCs w:val="20"/>
    </w:rPr>
  </w:style>
  <w:style w:type="paragraph" w:customStyle="1" w:styleId="84">
    <w:name w:val="_Style 48"/>
    <w:basedOn w:val="7"/>
    <w:next w:val="6"/>
    <w:link w:val="83"/>
    <w:qFormat/>
    <w:uiPriority w:val="0"/>
    <w:pPr>
      <w:ind w:firstLine="420"/>
    </w:pPr>
  </w:style>
  <w:style w:type="character" w:customStyle="1" w:styleId="85">
    <w:name w:val="尾注文本 字符"/>
    <w:semiHidden/>
    <w:qFormat/>
    <w:uiPriority w:val="99"/>
    <w:rPr>
      <w:rFonts w:ascii="Calibri" w:hAnsi="Calibri" w:eastAsia="宋体" w:cs="Times New Roman"/>
    </w:rPr>
  </w:style>
  <w:style w:type="character" w:customStyle="1" w:styleId="86">
    <w:name w:val="脚注文本 字符"/>
    <w:semiHidden/>
    <w:qFormat/>
    <w:uiPriority w:val="99"/>
    <w:rPr>
      <w:rFonts w:ascii="Calibri" w:hAnsi="Calibri" w:eastAsia="宋体" w:cs="Times New Roman"/>
      <w:sz w:val="18"/>
      <w:szCs w:val="18"/>
    </w:rPr>
  </w:style>
  <w:style w:type="character" w:customStyle="1" w:styleId="87">
    <w:name w:val="标题 字符"/>
    <w:qFormat/>
    <w:uiPriority w:val="10"/>
    <w:rPr>
      <w:rFonts w:ascii="等线 Light" w:hAnsi="等线 Light" w:eastAsia="等线 Light" w:cs="Times New Roman"/>
      <w:b/>
      <w:bCs/>
      <w:sz w:val="32"/>
      <w:szCs w:val="32"/>
    </w:rPr>
  </w:style>
  <w:style w:type="character" w:customStyle="1" w:styleId="88">
    <w:name w:val="正文文本缩进 字符"/>
    <w:semiHidden/>
    <w:qFormat/>
    <w:uiPriority w:val="99"/>
    <w:rPr>
      <w:rFonts w:ascii="Calibri" w:hAnsi="Calibri" w:eastAsia="宋体" w:cs="Times New Roman"/>
    </w:rPr>
  </w:style>
  <w:style w:type="character" w:customStyle="1" w:styleId="89">
    <w:name w:val="批注主题 字符"/>
    <w:semiHidden/>
    <w:qFormat/>
    <w:uiPriority w:val="99"/>
    <w:rPr>
      <w:rFonts w:ascii="Calibri" w:hAnsi="Calibri" w:eastAsia="宋体" w:cs="Times New Roman"/>
      <w:b/>
      <w:bCs/>
    </w:rPr>
  </w:style>
  <w:style w:type="character" w:customStyle="1" w:styleId="90">
    <w:name w:val="标题 1 字符"/>
    <w:qFormat/>
    <w:uiPriority w:val="9"/>
    <w:rPr>
      <w:rFonts w:ascii="Calibri" w:hAnsi="Calibri" w:eastAsia="宋体" w:cs="Times New Roman"/>
      <w:b/>
      <w:bCs/>
      <w:kern w:val="44"/>
      <w:sz w:val="44"/>
      <w:szCs w:val="44"/>
    </w:rPr>
  </w:style>
  <w:style w:type="character" w:customStyle="1" w:styleId="91">
    <w:name w:val="标题 8 字符"/>
    <w:semiHidden/>
    <w:qFormat/>
    <w:uiPriority w:val="9"/>
    <w:rPr>
      <w:rFonts w:ascii="等线 Light" w:hAnsi="等线 Light" w:eastAsia="等线 Light" w:cs="Times New Roman"/>
      <w:sz w:val="24"/>
      <w:szCs w:val="24"/>
    </w:rPr>
  </w:style>
  <w:style w:type="character" w:customStyle="1" w:styleId="92">
    <w:name w:val="日期 字符"/>
    <w:qFormat/>
    <w:uiPriority w:val="0"/>
    <w:rPr>
      <w:rFonts w:ascii="Calibri" w:hAnsi="Calibri" w:eastAsia="宋体" w:cs="Times New Roman"/>
    </w:rPr>
  </w:style>
  <w:style w:type="character" w:customStyle="1" w:styleId="93">
    <w:name w:val="正文文本 2 字符"/>
    <w:qFormat/>
    <w:uiPriority w:val="0"/>
    <w:rPr>
      <w:rFonts w:ascii="Calibri" w:hAnsi="Calibri" w:eastAsia="宋体" w:cs="Times New Roman"/>
    </w:rPr>
  </w:style>
  <w:style w:type="character" w:customStyle="1" w:styleId="94">
    <w:name w:val="页眉 字符"/>
    <w:semiHidden/>
    <w:qFormat/>
    <w:uiPriority w:val="99"/>
    <w:rPr>
      <w:rFonts w:ascii="Calibri" w:hAnsi="Calibri" w:eastAsia="宋体" w:cs="Times New Roman"/>
      <w:sz w:val="18"/>
      <w:szCs w:val="18"/>
    </w:rPr>
  </w:style>
  <w:style w:type="character" w:customStyle="1" w:styleId="95">
    <w:name w:val="标题 5 字符"/>
    <w:semiHidden/>
    <w:qFormat/>
    <w:uiPriority w:val="9"/>
    <w:rPr>
      <w:rFonts w:ascii="Calibri" w:hAnsi="Calibri" w:eastAsia="宋体" w:cs="Times New Roman"/>
      <w:b/>
      <w:bCs/>
      <w:sz w:val="28"/>
      <w:szCs w:val="28"/>
    </w:rPr>
  </w:style>
  <w:style w:type="character" w:customStyle="1" w:styleId="96">
    <w:name w:val="正文文本缩进 2 字符"/>
    <w:semiHidden/>
    <w:qFormat/>
    <w:uiPriority w:val="99"/>
    <w:rPr>
      <w:rFonts w:ascii="Calibri" w:hAnsi="Calibri" w:eastAsia="宋体" w:cs="Times New Roman"/>
    </w:rPr>
  </w:style>
  <w:style w:type="character" w:customStyle="1" w:styleId="97">
    <w:name w:val="页脚 字符"/>
    <w:semiHidden/>
    <w:qFormat/>
    <w:uiPriority w:val="99"/>
    <w:rPr>
      <w:rFonts w:ascii="Calibri" w:hAnsi="Calibri" w:eastAsia="宋体" w:cs="Times New Roman"/>
      <w:sz w:val="18"/>
      <w:szCs w:val="18"/>
    </w:rPr>
  </w:style>
  <w:style w:type="character" w:customStyle="1" w:styleId="98">
    <w:name w:val="批注文字 字符"/>
    <w:semiHidden/>
    <w:qFormat/>
    <w:uiPriority w:val="99"/>
    <w:rPr>
      <w:rFonts w:ascii="Calibri" w:hAnsi="Calibri" w:eastAsia="宋体" w:cs="Times New Roman"/>
    </w:rPr>
  </w:style>
  <w:style w:type="character" w:customStyle="1" w:styleId="99">
    <w:name w:val="正文首行缩进 字符"/>
    <w:semiHidden/>
    <w:qFormat/>
    <w:uiPriority w:val="99"/>
  </w:style>
  <w:style w:type="character" w:customStyle="1" w:styleId="100">
    <w:name w:val="正文文本 字符"/>
    <w:semiHidden/>
    <w:qFormat/>
    <w:uiPriority w:val="99"/>
    <w:rPr>
      <w:rFonts w:ascii="Calibri" w:hAnsi="Calibri" w:eastAsia="宋体" w:cs="Times New Roman"/>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文档结构图 字符"/>
    <w:semiHidden/>
    <w:qFormat/>
    <w:uiPriority w:val="99"/>
    <w:rPr>
      <w:rFonts w:ascii="Microsoft YaHei UI" w:hAnsi="Calibri" w:eastAsia="Microsoft YaHei UI" w:cs="Times New Roman"/>
      <w:sz w:val="18"/>
      <w:szCs w:val="18"/>
    </w:rPr>
  </w:style>
  <w:style w:type="character" w:customStyle="1" w:styleId="103">
    <w:name w:val="标题 2 字符"/>
    <w:semiHidden/>
    <w:qFormat/>
    <w:uiPriority w:val="9"/>
    <w:rPr>
      <w:rFonts w:ascii="等线 Light" w:hAnsi="等线 Light" w:eastAsia="等线 Light" w:cs="Times New Roman"/>
      <w:b/>
      <w:bCs/>
      <w:sz w:val="32"/>
      <w:szCs w:val="32"/>
    </w:rPr>
  </w:style>
  <w:style w:type="character" w:customStyle="1" w:styleId="104">
    <w:name w:val="标题 4 字符"/>
    <w:semiHidden/>
    <w:qFormat/>
    <w:uiPriority w:val="9"/>
    <w:rPr>
      <w:rFonts w:ascii="等线 Light" w:hAnsi="等线 Light" w:eastAsia="等线 Light" w:cs="Times New Roman"/>
      <w:b/>
      <w:bCs/>
      <w:sz w:val="28"/>
      <w:szCs w:val="28"/>
    </w:rPr>
  </w:style>
  <w:style w:type="character" w:customStyle="1" w:styleId="105">
    <w:name w:val="标题 7 字符"/>
    <w:semiHidden/>
    <w:qFormat/>
    <w:uiPriority w:val="9"/>
    <w:rPr>
      <w:rFonts w:ascii="Calibri" w:hAnsi="Calibri" w:eastAsia="宋体" w:cs="Times New Roman"/>
      <w:b/>
      <w:bCs/>
      <w:sz w:val="24"/>
      <w:szCs w:val="24"/>
    </w:rPr>
  </w:style>
  <w:style w:type="character" w:customStyle="1" w:styleId="106">
    <w:name w:val="纯文本 字符"/>
    <w:semiHidden/>
    <w:qFormat/>
    <w:uiPriority w:val="99"/>
    <w:rPr>
      <w:rFonts w:ascii="等线" w:hAnsi="Courier New" w:cs="Courier New"/>
    </w:rPr>
  </w:style>
  <w:style w:type="paragraph" w:customStyle="1" w:styleId="107">
    <w:name w:val="Char"/>
    <w:basedOn w:val="1"/>
    <w:qFormat/>
    <w:uiPriority w:val="0"/>
    <w:rPr>
      <w:rFonts w:ascii="Tahoma" w:hAnsi="Tahoma"/>
      <w:sz w:val="24"/>
      <w:szCs w:val="20"/>
    </w:rPr>
  </w:style>
  <w:style w:type="paragraph" w:customStyle="1" w:styleId="108">
    <w:name w:val="TOC Heading"/>
    <w:basedOn w:val="4"/>
    <w:next w:val="1"/>
    <w:qFormat/>
    <w:uiPriority w:val="39"/>
    <w:pPr>
      <w:widowControl/>
      <w:spacing w:before="480" w:after="0" w:line="276" w:lineRule="auto"/>
      <w:outlineLvl w:val="9"/>
    </w:pPr>
    <w:rPr>
      <w:rFonts w:ascii="Cambria" w:hAnsi="Cambria"/>
      <w:color w:val="365F91"/>
      <w:kern w:val="0"/>
    </w:rPr>
  </w:style>
  <w:style w:type="paragraph" w:customStyle="1" w:styleId="109">
    <w:name w:val="List Paragraph"/>
    <w:basedOn w:val="1"/>
    <w:qFormat/>
    <w:uiPriority w:val="34"/>
    <w:pPr>
      <w:ind w:firstLine="420" w:firstLineChars="200"/>
    </w:pPr>
    <w:rPr>
      <w:szCs w:val="20"/>
    </w:rPr>
  </w:style>
  <w:style w:type="paragraph" w:customStyle="1" w:styleId="110">
    <w:name w:val="Char Char Char Char"/>
    <w:basedOn w:val="1"/>
    <w:qFormat/>
    <w:uiPriority w:val="0"/>
    <w:rPr>
      <w:sz w:val="30"/>
      <w:szCs w:val="24"/>
    </w:rPr>
  </w:style>
  <w:style w:type="paragraph" w:customStyle="1" w:styleId="111">
    <w:name w:val="1"/>
    <w:basedOn w:val="1"/>
    <w:next w:val="1"/>
    <w:qFormat/>
    <w:uiPriority w:val="0"/>
  </w:style>
  <w:style w:type="paragraph" w:customStyle="1" w:styleId="112">
    <w:name w:val="公文抬头"/>
    <w:basedOn w:val="12"/>
    <w:qFormat/>
    <w:uiPriority w:val="0"/>
    <w:pPr>
      <w:ind w:firstLine="0"/>
    </w:pPr>
    <w:rPr>
      <w:rFonts w:ascii="仿宋_GB2312" w:eastAsia="仿宋_GB2312"/>
      <w:sz w:val="30"/>
      <w:szCs w:val="24"/>
    </w:rPr>
  </w:style>
  <w:style w:type="paragraph" w:customStyle="1" w:styleId="113">
    <w:name w:val="样式 23 10 磅"/>
    <w:qFormat/>
    <w:uiPriority w:val="0"/>
    <w:pPr>
      <w:widowControl w:val="0"/>
      <w:jc w:val="both"/>
    </w:pPr>
    <w:rPr>
      <w:rFonts w:ascii="宋体" w:hAnsi="宋体" w:eastAsia="楷体_GB2312" w:cs="宋体"/>
      <w:kern w:val="2"/>
      <w:sz w:val="21"/>
      <w:szCs w:val="21"/>
      <w:lang w:val="en-US" w:eastAsia="zh-CN" w:bidi="ar-SA"/>
    </w:rPr>
  </w:style>
  <w:style w:type="paragraph" w:customStyle="1" w:styleId="114">
    <w:name w:val="Char1"/>
    <w:basedOn w:val="1"/>
    <w:qFormat/>
    <w:uiPriority w:val="0"/>
    <w:pPr>
      <w:numPr>
        <w:ilvl w:val="0"/>
        <w:numId w:val="1"/>
      </w:numPr>
    </w:pPr>
    <w:rPr>
      <w:sz w:val="24"/>
      <w:szCs w:val="24"/>
    </w:rPr>
  </w:style>
  <w:style w:type="paragraph" w:customStyle="1" w:styleId="115">
    <w:name w:val="_Style 49"/>
    <w:basedOn w:val="7"/>
    <w:next w:val="6"/>
    <w:qFormat/>
    <w:uiPriority w:val="0"/>
    <w:pPr>
      <w:ind w:firstLine="420"/>
    </w:pPr>
  </w:style>
  <w:style w:type="paragraph" w:customStyle="1" w:styleId="116">
    <w:name w:val="文二"/>
    <w:basedOn w:val="1"/>
    <w:qFormat/>
    <w:uiPriority w:val="0"/>
    <w:pPr>
      <w:jc w:val="left"/>
    </w:pPr>
    <w:rPr>
      <w:rFonts w:ascii="宋体" w:hAnsi="宋体"/>
      <w:szCs w:val="21"/>
    </w:rPr>
  </w:style>
  <w:style w:type="paragraph" w:customStyle="1" w:styleId="117">
    <w:name w:val="列出段落1"/>
    <w:basedOn w:val="1"/>
    <w:qFormat/>
    <w:uiPriority w:val="34"/>
    <w:pPr>
      <w:widowControl/>
      <w:adjustRightInd w:val="0"/>
      <w:snapToGrid w:val="0"/>
      <w:ind w:firstLine="420"/>
      <w:jc w:val="left"/>
    </w:pPr>
    <w:rPr>
      <w:rFonts w:ascii="Calibri" w:hAnsi="Calibri" w:eastAsia="PMingLiU"/>
      <w:snapToGrid w:val="0"/>
      <w:kern w:val="0"/>
      <w:sz w:val="22"/>
      <w:lang w:val="en-GB" w:eastAsia="en-US"/>
    </w:rPr>
  </w:style>
  <w:style w:type="paragraph" w:customStyle="1" w:styleId="118">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paragraph" w:customStyle="1" w:styleId="11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2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1">
    <w:name w:val="正题"/>
    <w:basedOn w:val="78"/>
    <w:next w:val="78"/>
    <w:qFormat/>
    <w:uiPriority w:val="0"/>
    <w:pPr>
      <w:ind w:firstLine="0" w:firstLineChars="0"/>
      <w:jc w:val="center"/>
    </w:pPr>
    <w:rPr>
      <w:rFonts w:eastAsia="黑体"/>
      <w:b/>
      <w:sz w:val="36"/>
      <w:szCs w:val="36"/>
    </w:rPr>
  </w:style>
  <w:style w:type="paragraph" w:customStyle="1" w:styleId="122">
    <w:name w:val="Revision"/>
    <w:semiHidden/>
    <w:qFormat/>
    <w:uiPriority w:val="99"/>
    <w:rPr>
      <w:rFonts w:ascii="Times New Roman" w:hAnsi="Times New Roman" w:eastAsia="宋体" w:cs="Times New Roman"/>
      <w:kern w:val="2"/>
      <w:sz w:val="21"/>
      <w:lang w:val="en-US" w:eastAsia="zh-CN" w:bidi="ar-SA"/>
    </w:rPr>
  </w:style>
  <w:style w:type="paragraph" w:customStyle="1" w:styleId="123">
    <w:name w:val="Char Char Char1 Char"/>
    <w:basedOn w:val="17"/>
    <w:qFormat/>
    <w:uiPriority w:val="0"/>
    <w:rPr>
      <w:rFonts w:ascii="Tahoma" w:hAnsi="Tahoma"/>
      <w:sz w:val="24"/>
      <w:szCs w:val="24"/>
    </w:rPr>
  </w:style>
  <w:style w:type="paragraph" w:customStyle="1" w:styleId="124">
    <w:name w:val="章节三"/>
    <w:basedOn w:val="78"/>
    <w:next w:val="78"/>
    <w:qFormat/>
    <w:uiPriority w:val="0"/>
    <w:pPr>
      <w:spacing w:beforeLines="50" w:afterLines="50" w:line="240" w:lineRule="auto"/>
      <w:ind w:firstLine="0" w:firstLineChars="0"/>
      <w:jc w:val="left"/>
      <w:outlineLvl w:val="2"/>
    </w:pPr>
    <w:rPr>
      <w:rFonts w:ascii="黑体" w:hAnsi="宋体" w:eastAsia="黑体"/>
      <w:b/>
    </w:rPr>
  </w:style>
  <w:style w:type="paragraph" w:customStyle="1" w:styleId="125">
    <w:name w:val="Table Paragraph"/>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宋体" w:hAnsi="宋体" w:eastAsia="宋体" w:cs="宋体"/>
      <w:kern w:val="1"/>
      <w:sz w:val="21"/>
      <w:szCs w:val="22"/>
      <w:lang w:val="en-US" w:eastAsia="zh-CN" w:bidi="ar-SA"/>
    </w:rPr>
  </w:style>
  <w:style w:type="paragraph" w:customStyle="1" w:styleId="126">
    <w:name w:val="公文标题"/>
    <w:basedOn w:val="9"/>
    <w:qFormat/>
    <w:uiPriority w:val="0"/>
    <w:pPr>
      <w:keepNext/>
      <w:keepLines/>
      <w:widowControl w:val="0"/>
      <w:spacing w:before="0" w:beforeAutospacing="0" w:after="0" w:afterAutospacing="0"/>
      <w:ind w:left="1469" w:right="1542"/>
    </w:pPr>
    <w:rPr>
      <w:rFonts w:hAnsi="Times New Roman"/>
      <w:b/>
      <w:kern w:val="2"/>
      <w:sz w:val="44"/>
      <w:szCs w:val="21"/>
    </w:rPr>
  </w:style>
  <w:style w:type="paragraph" w:customStyle="1" w:styleId="127">
    <w:name w:val="发文落款"/>
    <w:basedOn w:val="120"/>
    <w:qFormat/>
    <w:uiPriority w:val="0"/>
    <w:pPr>
      <w:ind w:left="4094" w:right="607" w:firstLine="0"/>
      <w:jc w:val="center"/>
    </w:pPr>
  </w:style>
  <w:style w:type="paragraph" w:customStyle="1" w:styleId="128">
    <w:name w:val="表头"/>
    <w:basedOn w:val="1"/>
    <w:qFormat/>
    <w:uiPriority w:val="0"/>
    <w:pPr>
      <w:spacing w:line="360" w:lineRule="auto"/>
      <w:jc w:val="center"/>
    </w:pPr>
    <w:rPr>
      <w:rFonts w:ascii="黑体" w:eastAsia="黑体"/>
      <w:kern w:val="0"/>
      <w:sz w:val="24"/>
      <w:szCs w:val="20"/>
    </w:rPr>
  </w:style>
  <w:style w:type="paragraph" w:customStyle="1" w:styleId="129">
    <w:name w:val="纯文本1"/>
    <w:qFormat/>
    <w:uiPriority w:val="0"/>
    <w:pPr>
      <w:widowControl w:val="0"/>
      <w:jc w:val="both"/>
    </w:pPr>
    <w:rPr>
      <w:rFonts w:ascii="宋体" w:hAnsi="Courier New" w:eastAsia="宋体" w:cs="Courier New"/>
      <w:kern w:val="2"/>
      <w:sz w:val="21"/>
      <w:szCs w:val="21"/>
      <w:lang w:val="en-US" w:eastAsia="zh-CN" w:bidi="ar-SA"/>
    </w:rPr>
  </w:style>
  <w:style w:type="paragraph" w:customStyle="1" w:styleId="130">
    <w:name w:val="样式 宋体 小四 首行缩进:  0.93 厘米 段前: 11.15 磅 段后: 11.15 磅1"/>
    <w:qFormat/>
    <w:uiPriority w:val="0"/>
    <w:pPr>
      <w:widowControl w:val="0"/>
      <w:adjustRightInd w:val="0"/>
      <w:snapToGrid w:val="0"/>
      <w:ind w:left="200" w:leftChars="200"/>
      <w:jc w:val="both"/>
    </w:pPr>
    <w:rPr>
      <w:rFonts w:ascii="宋体" w:hAnsi="Times New Roman" w:eastAsia="宋体" w:cs="宋体"/>
      <w:kern w:val="2"/>
      <w:sz w:val="24"/>
      <w:lang w:val="en-US" w:eastAsia="zh-CN" w:bidi="ar-SA"/>
    </w:rPr>
  </w:style>
  <w:style w:type="paragraph" w:customStyle="1" w:styleId="131">
    <w:name w:val="leo 样式"/>
    <w:qFormat/>
    <w:uiPriority w:val="0"/>
    <w:pPr>
      <w:widowControl w:val="0"/>
      <w:snapToGrid w:val="0"/>
      <w:spacing w:line="360" w:lineRule="auto"/>
      <w:jc w:val="both"/>
    </w:pPr>
    <w:rPr>
      <w:rFonts w:ascii="仿宋_GB2312" w:hAnsi="Calibri" w:eastAsia="仿宋_GB2312" w:cs="Times New Roman"/>
      <w:bCs/>
      <w:sz w:val="28"/>
      <w:szCs w:val="28"/>
      <w:lang w:val="en-US" w:eastAsia="zh-CN" w:bidi="ar-SA"/>
    </w:rPr>
  </w:style>
  <w:style w:type="paragraph" w:customStyle="1" w:styleId="132">
    <w:name w:val="列出段落3"/>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3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_Style 3"/>
    <w:basedOn w:val="1"/>
    <w:unhideWhenUsed/>
    <w:qFormat/>
    <w:uiPriority w:val="0"/>
    <w:pPr>
      <w:ind w:firstLine="420" w:firstLineChars="200"/>
    </w:pPr>
    <w:rPr>
      <w:rFonts w:ascii="Times New Roman" w:hAnsi="Times New Roman"/>
      <w:sz w:val="20"/>
    </w:rPr>
  </w:style>
  <w:style w:type="character" w:customStyle="1" w:styleId="135">
    <w:name w:val="NormalCharacter"/>
    <w:qFormat/>
    <w:uiPriority w:val="0"/>
  </w:style>
  <w:style w:type="paragraph" w:customStyle="1" w:styleId="136">
    <w:name w:val="p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72</Pages>
  <Words>39554</Words>
  <Characters>41885</Characters>
  <Lines>397</Lines>
  <Paragraphs>111</Paragraphs>
  <TotalTime>1</TotalTime>
  <ScaleCrop>false</ScaleCrop>
  <LinksUpToDate>false</LinksUpToDate>
  <CharactersWithSpaces>43537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2022-06-02T10:55:00Z</dcterms:created>
  <dc:creator>管理员</dc:creator>
  <cp:lastModifiedBy>聴☆雨</cp:lastModifiedBy>
  <cp:lastPrinted>2022-03-23T08:45:00Z</cp:lastPrinted>
  <dcterms:modified xsi:type="dcterms:W3CDTF">2022-11-15T05:26:22Z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439B80DB83F842DBBCC86B3075F60F38</vt:lpwstr>
  </property>
</Properties>
</file>