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jc w:val="center"/>
        <w:outlineLvl w:val="9"/>
        <w:rPr>
          <w:rFonts w:hint="eastAsia" w:eastAsia="宋体"/>
          <w:b/>
          <w:color w:val="auto"/>
          <w:sz w:val="32"/>
          <w:szCs w:val="32"/>
          <w:highlight w:val="none"/>
          <w:u w:val="none"/>
          <w:lang w:val="en-US" w:eastAsia="zh-CN"/>
        </w:rPr>
      </w:pPr>
      <w:bookmarkStart w:id="0" w:name="_Toc6382"/>
      <w:bookmarkStart w:id="1" w:name="_Toc21282"/>
      <w:bookmarkStart w:id="2" w:name="_Toc26836"/>
      <w:r>
        <w:rPr>
          <w:rFonts w:hint="eastAsia" w:eastAsia="宋体"/>
          <w:b/>
          <w:color w:val="auto"/>
          <w:sz w:val="32"/>
          <w:szCs w:val="32"/>
          <w:highlight w:val="none"/>
          <w:u w:val="none"/>
          <w:lang w:val="en-US" w:eastAsia="zh-CN"/>
        </w:rPr>
        <w:t>2024年东区片区内街管网改造工程（上社等4个片区）</w:t>
      </w:r>
      <w:bookmarkEnd w:id="0"/>
      <w:bookmarkEnd w:id="1"/>
      <w:bookmarkEnd w:id="2"/>
    </w:p>
    <w:p>
      <w:pPr>
        <w:pStyle w:val="8"/>
        <w:spacing w:line="360" w:lineRule="auto"/>
        <w:jc w:val="center"/>
        <w:outlineLvl w:val="9"/>
        <w:rPr>
          <w:rFonts w:eastAsia="宋体"/>
          <w:b/>
          <w:color w:val="auto"/>
          <w:sz w:val="32"/>
          <w:szCs w:val="32"/>
          <w:highlight w:val="none"/>
          <w:u w:val="none"/>
        </w:rPr>
      </w:pPr>
      <w:bookmarkStart w:id="3" w:name="_Toc27925"/>
      <w:bookmarkStart w:id="4" w:name="_Toc7110"/>
      <w:bookmarkStart w:id="5" w:name="_Toc10288"/>
      <w:r>
        <w:rPr>
          <w:rFonts w:hint="eastAsia" w:eastAsia="宋体"/>
          <w:b/>
          <w:color w:val="auto"/>
          <w:sz w:val="32"/>
          <w:szCs w:val="32"/>
          <w:highlight w:val="none"/>
          <w:u w:val="none"/>
          <w:lang w:val="en-US" w:eastAsia="zh-CN"/>
        </w:rPr>
        <w:t>施工总承包</w:t>
      </w:r>
      <w:r>
        <w:rPr>
          <w:rFonts w:hint="eastAsia" w:eastAsia="宋体"/>
          <w:b/>
          <w:color w:val="auto"/>
          <w:sz w:val="32"/>
          <w:szCs w:val="32"/>
          <w:highlight w:val="none"/>
          <w:u w:val="none"/>
        </w:rPr>
        <w:t>招标公告</w:t>
      </w:r>
      <w:bookmarkEnd w:id="3"/>
      <w:bookmarkEnd w:id="4"/>
      <w:bookmarkEnd w:id="5"/>
    </w:p>
    <w:p>
      <w:pPr>
        <w:spacing w:line="360" w:lineRule="auto"/>
        <w:ind w:firstLine="542" w:firstLineChars="225"/>
        <w:outlineLvl w:val="9"/>
        <w:rPr>
          <w:rFonts w:ascii="宋体" w:hAnsi="宋体"/>
          <w:b/>
          <w:color w:val="auto"/>
          <w:sz w:val="24"/>
          <w:szCs w:val="24"/>
          <w:highlight w:val="none"/>
        </w:rPr>
      </w:pPr>
      <w:bookmarkStart w:id="6" w:name="_Toc32470"/>
      <w:bookmarkStart w:id="7" w:name="_Toc10390"/>
      <w:bookmarkStart w:id="8" w:name="_Toc25179"/>
      <w:bookmarkStart w:id="9" w:name="_Toc221949923"/>
      <w:r>
        <w:rPr>
          <w:rFonts w:hint="eastAsia" w:ascii="宋体" w:hAnsi="宋体"/>
          <w:b/>
          <w:color w:val="auto"/>
          <w:sz w:val="24"/>
          <w:szCs w:val="24"/>
          <w:highlight w:val="none"/>
        </w:rPr>
        <w:t>1</w:t>
      </w:r>
      <w:r>
        <w:rPr>
          <w:rFonts w:ascii="宋体" w:hAnsi="宋体"/>
          <w:b/>
          <w:color w:val="auto"/>
          <w:sz w:val="24"/>
          <w:szCs w:val="24"/>
          <w:highlight w:val="none"/>
        </w:rPr>
        <w:t>.招标</w:t>
      </w:r>
      <w:r>
        <w:rPr>
          <w:rFonts w:hint="eastAsia" w:ascii="宋体" w:hAnsi="宋体"/>
          <w:b/>
          <w:color w:val="auto"/>
          <w:sz w:val="24"/>
          <w:szCs w:val="24"/>
          <w:highlight w:val="none"/>
        </w:rPr>
        <w:t>条件</w:t>
      </w:r>
      <w:bookmarkEnd w:id="6"/>
      <w:bookmarkEnd w:id="7"/>
      <w:bookmarkEnd w:id="8"/>
    </w:p>
    <w:p>
      <w:pPr>
        <w:wordWrap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lang w:val="en-US" w:eastAsia="zh-CN"/>
        </w:rPr>
        <w:t>2024年东区片区内街管网改造工程（上社等4个片区）施工总承包</w:t>
      </w:r>
      <w:r>
        <w:rPr>
          <w:rFonts w:ascii="宋体" w:hAnsi="宋体"/>
          <w:color w:val="auto"/>
          <w:sz w:val="24"/>
          <w:szCs w:val="24"/>
          <w:highlight w:val="none"/>
        </w:rPr>
        <w:t>已由</w:t>
      </w:r>
      <w:r>
        <w:rPr>
          <w:rFonts w:hint="eastAsia" w:ascii="宋体" w:hAnsi="宋体"/>
          <w:color w:val="auto"/>
          <w:sz w:val="24"/>
          <w:szCs w:val="24"/>
          <w:highlight w:val="none"/>
          <w:u w:val="single"/>
          <w:lang w:eastAsia="zh-CN"/>
        </w:rPr>
        <w:fldChar w:fldCharType="begin"/>
      </w:r>
      <w:r>
        <w:rPr>
          <w:rFonts w:hint="eastAsia" w:ascii="宋体" w:hAnsi="宋体"/>
          <w:color w:val="auto"/>
          <w:sz w:val="24"/>
          <w:szCs w:val="24"/>
          <w:highlight w:val="none"/>
          <w:u w:val="single"/>
          <w:lang w:eastAsia="zh-CN"/>
        </w:rPr>
        <w:instrText xml:space="preserve"> HYPERLINK "http://www.baidu.com/link?url=1wf0K6IuODlatOttOE5ZjMEcxu2GPZK5h_j5brPpNihmM2Pco01EE3Me5uyg3exQmgLveBA13vpXZYq833WR627H0NNB_CRDWccIfkp9sJ7lS4xGVSu26VjW5b1mz2qN" \t "https://www.baidu.com/_blank" </w:instrText>
      </w:r>
      <w:r>
        <w:rPr>
          <w:rFonts w:hint="eastAsia" w:ascii="宋体" w:hAnsi="宋体"/>
          <w:color w:val="auto"/>
          <w:sz w:val="24"/>
          <w:szCs w:val="24"/>
          <w:highlight w:val="none"/>
          <w:u w:val="single"/>
          <w:lang w:eastAsia="zh-CN"/>
        </w:rPr>
        <w:fldChar w:fldCharType="separate"/>
      </w:r>
      <w:r>
        <w:rPr>
          <w:rFonts w:hint="eastAsia" w:ascii="宋体" w:hAnsi="宋体"/>
          <w:color w:val="auto"/>
          <w:sz w:val="24"/>
          <w:szCs w:val="24"/>
          <w:highlight w:val="none"/>
          <w:u w:val="single"/>
          <w:lang w:eastAsia="zh-CN"/>
        </w:rPr>
        <w:t>广州市</w:t>
      </w:r>
      <w:r>
        <w:rPr>
          <w:rFonts w:hint="eastAsia" w:ascii="宋体" w:hAnsi="宋体"/>
          <w:color w:val="auto"/>
          <w:sz w:val="24"/>
          <w:szCs w:val="24"/>
          <w:highlight w:val="none"/>
          <w:u w:val="single"/>
          <w:lang w:val="en-US" w:eastAsia="zh-CN"/>
        </w:rPr>
        <w:t>天河区</w:t>
      </w:r>
      <w:r>
        <w:rPr>
          <w:rFonts w:hint="eastAsia" w:ascii="宋体" w:hAnsi="宋体"/>
          <w:color w:val="auto"/>
          <w:sz w:val="24"/>
          <w:szCs w:val="24"/>
          <w:highlight w:val="none"/>
          <w:u w:val="single"/>
          <w:lang w:eastAsia="zh-CN"/>
        </w:rPr>
        <w:t>发展和改革局</w:t>
      </w:r>
      <w:r>
        <w:rPr>
          <w:rFonts w:hint="eastAsia" w:ascii="宋体" w:hAnsi="宋体"/>
          <w:color w:val="auto"/>
          <w:sz w:val="24"/>
          <w:szCs w:val="24"/>
          <w:highlight w:val="none"/>
          <w:u w:val="single"/>
          <w:lang w:eastAsia="zh-CN"/>
        </w:rPr>
        <w:fldChar w:fldCharType="end"/>
      </w:r>
      <w:r>
        <w:rPr>
          <w:rFonts w:ascii="宋体" w:hAnsi="宋体"/>
          <w:color w:val="auto"/>
          <w:sz w:val="24"/>
          <w:szCs w:val="24"/>
          <w:highlight w:val="none"/>
        </w:rPr>
        <w:t>以</w:t>
      </w:r>
      <w:r>
        <w:rPr>
          <w:rFonts w:hint="eastAsia" w:ascii="宋体" w:hAnsi="宋体"/>
          <w:color w:val="auto"/>
          <w:sz w:val="24"/>
          <w:szCs w:val="24"/>
          <w:highlight w:val="none"/>
          <w:u w:val="single"/>
        </w:rPr>
        <w:t>广东省企业投资项目备案证：</w:t>
      </w:r>
      <w:r>
        <w:rPr>
          <w:rFonts w:hint="eastAsia" w:ascii="宋体" w:hAnsi="宋体"/>
          <w:color w:val="auto"/>
          <w:sz w:val="24"/>
          <w:szCs w:val="24"/>
          <w:highlight w:val="none"/>
          <w:u w:val="single"/>
          <w:lang w:val="en-US" w:eastAsia="zh-CN"/>
        </w:rPr>
        <w:t>2402-440106-04-02-518068</w:t>
      </w:r>
      <w:r>
        <w:rPr>
          <w:rFonts w:ascii="宋体" w:hAnsi="宋体"/>
          <w:color w:val="auto"/>
          <w:sz w:val="24"/>
          <w:szCs w:val="24"/>
          <w:highlight w:val="none"/>
        </w:rPr>
        <w:t>批准建设</w:t>
      </w:r>
      <w:r>
        <w:rPr>
          <w:rFonts w:hint="eastAsia" w:ascii="宋体" w:hAnsi="宋体"/>
          <w:color w:val="auto"/>
          <w:sz w:val="24"/>
          <w:szCs w:val="24"/>
          <w:highlight w:val="none"/>
        </w:rPr>
        <w:t>，</w:t>
      </w:r>
      <w:r>
        <w:rPr>
          <w:color w:val="auto"/>
          <w:sz w:val="24"/>
          <w:szCs w:val="24"/>
          <w:highlight w:val="none"/>
        </w:rPr>
        <w:t>项目业主为</w:t>
      </w:r>
      <w:r>
        <w:rPr>
          <w:rFonts w:hint="eastAsia"/>
          <w:color w:val="auto"/>
          <w:sz w:val="24"/>
          <w:szCs w:val="24"/>
          <w:highlight w:val="none"/>
          <w:u w:val="single"/>
        </w:rPr>
        <w:t>广州市自来水有限公司</w:t>
      </w:r>
      <w:r>
        <w:rPr>
          <w:color w:val="auto"/>
          <w:sz w:val="24"/>
          <w:szCs w:val="24"/>
          <w:highlight w:val="none"/>
        </w:rPr>
        <w:t>，</w:t>
      </w:r>
      <w:r>
        <w:rPr>
          <w:rFonts w:ascii="宋体" w:hAnsi="宋体"/>
          <w:color w:val="auto"/>
          <w:sz w:val="24"/>
          <w:szCs w:val="24"/>
          <w:highlight w:val="none"/>
        </w:rPr>
        <w:t>建设资金来自</w:t>
      </w:r>
      <w:r>
        <w:rPr>
          <w:rFonts w:hint="eastAsia" w:ascii="宋体" w:hAnsi="宋体"/>
          <w:color w:val="auto"/>
          <w:sz w:val="24"/>
          <w:szCs w:val="24"/>
          <w:highlight w:val="none"/>
          <w:u w:val="single"/>
        </w:rPr>
        <w:t>自筹资金</w:t>
      </w:r>
      <w:r>
        <w:rPr>
          <w:rFonts w:ascii="宋体" w:hAnsi="宋体"/>
          <w:color w:val="auto"/>
          <w:sz w:val="24"/>
          <w:szCs w:val="24"/>
          <w:highlight w:val="none"/>
        </w:rPr>
        <w:t>，</w:t>
      </w:r>
      <w:r>
        <w:rPr>
          <w:rFonts w:hint="eastAsia" w:ascii="宋体" w:hAnsi="宋体"/>
          <w:color w:val="auto"/>
          <w:sz w:val="24"/>
          <w:szCs w:val="24"/>
          <w:highlight w:val="none"/>
          <w:lang w:eastAsia="zh-CN"/>
        </w:rPr>
        <w:t>资金来源已落实，</w:t>
      </w:r>
      <w:r>
        <w:rPr>
          <w:rFonts w:ascii="宋体" w:hAnsi="宋体"/>
          <w:color w:val="auto"/>
          <w:sz w:val="24"/>
          <w:szCs w:val="24"/>
          <w:highlight w:val="none"/>
        </w:rPr>
        <w:t>项目出资比例为</w:t>
      </w:r>
      <w:r>
        <w:rPr>
          <w:rFonts w:hint="eastAsia" w:ascii="宋体" w:hAnsi="宋体"/>
          <w:color w:val="auto"/>
          <w:sz w:val="24"/>
          <w:szCs w:val="24"/>
          <w:highlight w:val="none"/>
          <w:u w:val="single"/>
        </w:rPr>
        <w:t>100%</w:t>
      </w:r>
      <w:r>
        <w:rPr>
          <w:rFonts w:ascii="宋体" w:hAnsi="宋体"/>
          <w:color w:val="auto"/>
          <w:sz w:val="24"/>
          <w:szCs w:val="24"/>
          <w:highlight w:val="none"/>
        </w:rPr>
        <w:t>,</w:t>
      </w:r>
      <w:r>
        <w:rPr>
          <w:color w:val="auto"/>
          <w:sz w:val="24"/>
          <w:szCs w:val="24"/>
          <w:highlight w:val="none"/>
        </w:rPr>
        <w:t xml:space="preserve"> 招标人为</w:t>
      </w:r>
      <w:r>
        <w:rPr>
          <w:rFonts w:hint="eastAsia"/>
          <w:color w:val="auto"/>
          <w:sz w:val="24"/>
          <w:szCs w:val="24"/>
          <w:highlight w:val="none"/>
          <w:u w:val="single"/>
        </w:rPr>
        <w:t>广州市自来水有限公司</w:t>
      </w:r>
      <w:r>
        <w:rPr>
          <w:rFonts w:ascii="宋体" w:hAnsi="宋体"/>
          <w:color w:val="auto"/>
          <w:sz w:val="24"/>
          <w:szCs w:val="24"/>
          <w:highlight w:val="none"/>
        </w:rPr>
        <w:t>。项目已具备招标条件，现对该项目施工进行公开招标。</w:t>
      </w:r>
      <w:bookmarkEnd w:id="9"/>
    </w:p>
    <w:p>
      <w:pPr>
        <w:spacing w:line="360" w:lineRule="auto"/>
        <w:ind w:firstLine="542" w:firstLineChars="225"/>
        <w:outlineLvl w:val="9"/>
        <w:rPr>
          <w:rFonts w:ascii="宋体" w:hAnsi="宋体"/>
          <w:b/>
          <w:color w:val="auto"/>
          <w:sz w:val="24"/>
          <w:szCs w:val="24"/>
          <w:highlight w:val="none"/>
        </w:rPr>
      </w:pPr>
      <w:bookmarkStart w:id="10" w:name="_Toc222029464"/>
      <w:bookmarkStart w:id="11" w:name="_Toc222033815"/>
      <w:bookmarkStart w:id="12" w:name="_Toc28550"/>
      <w:bookmarkStart w:id="13" w:name="_Toc259524297"/>
      <w:bookmarkStart w:id="14" w:name="_Toc229305324"/>
      <w:bookmarkStart w:id="15" w:name="_Toc168475627"/>
      <w:bookmarkStart w:id="16" w:name="_Toc24890"/>
      <w:bookmarkStart w:id="17" w:name="_Toc221949924"/>
      <w:bookmarkStart w:id="18" w:name="_Toc10764"/>
      <w:bookmarkStart w:id="19" w:name="_Toc168476030"/>
      <w:bookmarkStart w:id="20" w:name="_Toc222030966"/>
      <w:bookmarkStart w:id="21" w:name="_Toc144974481"/>
      <w:bookmarkStart w:id="22" w:name="_Toc222032633"/>
      <w:r>
        <w:rPr>
          <w:rFonts w:hint="eastAsia" w:ascii="宋体" w:hAnsi="宋体"/>
          <w:b/>
          <w:color w:val="auto"/>
          <w:sz w:val="24"/>
          <w:szCs w:val="24"/>
          <w:highlight w:val="none"/>
        </w:rPr>
        <w:t>2</w:t>
      </w:r>
      <w:r>
        <w:rPr>
          <w:rFonts w:ascii="宋体" w:hAnsi="宋体"/>
          <w:b/>
          <w:color w:val="auto"/>
          <w:sz w:val="24"/>
          <w:szCs w:val="24"/>
          <w:highlight w:val="none"/>
        </w:rPr>
        <w:t>. 项目概况与招标范围</w:t>
      </w:r>
      <w:bookmarkEnd w:id="10"/>
      <w:bookmarkEnd w:id="11"/>
      <w:bookmarkEnd w:id="12"/>
      <w:bookmarkEnd w:id="13"/>
      <w:bookmarkEnd w:id="14"/>
      <w:bookmarkEnd w:id="15"/>
      <w:bookmarkEnd w:id="16"/>
      <w:bookmarkEnd w:id="17"/>
      <w:bookmarkEnd w:id="18"/>
      <w:bookmarkEnd w:id="19"/>
      <w:bookmarkEnd w:id="20"/>
      <w:bookmarkEnd w:id="21"/>
      <w:bookmarkEnd w:id="22"/>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2.1建设地点：</w:t>
      </w:r>
      <w:r>
        <w:rPr>
          <w:rFonts w:hint="eastAsia" w:ascii="宋体" w:hAnsi="宋体"/>
          <w:color w:val="auto"/>
          <w:sz w:val="24"/>
          <w:szCs w:val="24"/>
          <w:highlight w:val="none"/>
          <w:u w:val="single"/>
          <w:lang w:val="en-US" w:eastAsia="zh-CN"/>
        </w:rPr>
        <w:t>本次改造涉及广州市天河区上社片区、岗元新村片区、马蹄岗片区、兴华村片区共4个片区</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2.2项目规模：</w:t>
      </w:r>
      <w:r>
        <w:rPr>
          <w:rFonts w:hint="eastAsia" w:ascii="宋体" w:hAnsi="宋体"/>
          <w:color w:val="auto"/>
          <w:sz w:val="24"/>
          <w:szCs w:val="24"/>
          <w:highlight w:val="none"/>
          <w:u w:val="single"/>
          <w:lang w:val="en-US" w:eastAsia="zh-CN"/>
        </w:rPr>
        <w:t>新建DN600管2米，DN400管942米，DN300管1136米，DN200管1141米，DN150管2258米，DN100管4360米，DN50管12864米，DN40管2436米，DN25管3291米，DN20管6227米，DN15管550米；</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新装DN600监控流量计2组，DN400监控流量计1组，DN300监控水表组2组，DN150监控水表组2组，DN100监控水表组4组；DN400阀门6个，DN300阀门4个，DN200阀门19个，DN150阀门26个，DN100阀门155个，DN50阀门711个，DN100智能消火栓56座，远传压力监测装置4套。</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迁移DN400监控流量计1组，DN50水表组39组，DN40水表组123组，DN25水表组160组，DN20水表组328组，DN15水表组157组。</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 xml:space="preserve">各片区具体工程量如下： </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(1)上社片区：</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新建DN400管942米,DN300管689米，DN200管1140米,DN150管1303米,DN100管3236米,DN50管10979米,DN40管795米，DN25管1925米，DN20管4129米，DN15管401米;迁移DN50水表组37组，DN40水表组100组，DN25水表组109组，DN20水表组147组，DN15水表组54组，新装DN600监控流量计组2组，新装DN400监控流量计组1组，新装DN100超声波监控水表1组，迁移DN400监控流量计1组，新建DN400阀门6座,DN300阀门3座，DN200阀门18座,DN150阀门19座,DN100阀门125座,DN50阀门538座;新建DN100智能消火栓49座;新建远传压力监测装置1套。</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(2)岗元新村片区：</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新建DN600管2米，DN300管4米，DN200管1米，DN150管314米,DN100管516米，DN50管1011米，DN40管30米，DN25管712.5米，DN20管48.5米，DN15管59米;迁移DN40水表组3组，DN25水表组16组，DN20水表组66组，DN15水表组87组，新建DN150监控水表组2组，新建DN100监控水表组2组:新建DN200阀门1座，DN150阀门1座，DN100阀门12座，DN50阀门35座;新建远传压力监测装置1套。</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(3)马蹄岗片区：</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新建DN300管435米,DN150管308米,DN100管167米，DN50管381米，DN40管983米，DN25管373米，DN20管1142米，DN15管36米;迁移DN50水表组1组，DN40水表组4组，DN25水表组7组，DN20水表组52组，DN15水表组7组，新装DN300监控水表组1组;新建DN300阀门1座，DN150阀门3座，DN100阀门8座，DN50阀门84座;新建DN100智能消火栓5座;新建远传压力监测装置1套。</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(4)兴华村片区：</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新建DN300管8米，DN150管333米，DN100管441米，DN50管493米，DN40管628米，DN25管280米，DN20管907米，DN15管54米;迁移DN50水表组1组，DN40水表组16组，DN25水表组28组，DN20水表组63组，DN15水表组9组,新装DN300监控水表组1组;新建DN150阀门3座，DN100阀门10座，DN50阀门54座:新建DN100智能消火栓2座;新建远传压力监测装置1套。</w:t>
      </w:r>
    </w:p>
    <w:p>
      <w:pPr>
        <w:spacing w:line="360" w:lineRule="auto"/>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球墨铸铁管、钢管和钢塑管是本次项目主要管材。废除原有老旧内街管网及其设施（含对原管网截塞）。</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2.3本次最高投标限价（招标控制价）：</w:t>
      </w:r>
      <w:r>
        <w:rPr>
          <w:rFonts w:hint="eastAsia" w:ascii="宋体" w:hAnsi="宋体" w:eastAsia="宋体" w:cs="Times New Roman"/>
          <w:color w:val="auto"/>
          <w:sz w:val="24"/>
          <w:szCs w:val="24"/>
          <w:highlight w:val="none"/>
          <w:u w:val="single"/>
          <w:lang w:val="en-US" w:eastAsia="zh-CN"/>
        </w:rPr>
        <w:t>28866045.44</w:t>
      </w:r>
      <w:r>
        <w:rPr>
          <w:rFonts w:hint="eastAsia" w:ascii="宋体" w:hAnsi="宋体"/>
          <w:color w:val="auto"/>
          <w:sz w:val="24"/>
          <w:szCs w:val="24"/>
          <w:highlight w:val="none"/>
        </w:rPr>
        <w:t>元。</w:t>
      </w:r>
    </w:p>
    <w:p>
      <w:pPr>
        <w:spacing w:line="360" w:lineRule="auto"/>
        <w:ind w:firstLine="480" w:firstLineChars="200"/>
        <w:rPr>
          <w:rFonts w:hint="eastAsia" w:ascii="宋体" w:hAnsi="宋体" w:eastAsia="宋体" w:cs="Times New Roman"/>
          <w:color w:val="auto"/>
          <w:sz w:val="24"/>
          <w:szCs w:val="24"/>
          <w:highlight w:val="none"/>
          <w:u w:val="single"/>
          <w:lang w:val="en-US" w:eastAsia="zh-CN"/>
        </w:rPr>
      </w:pPr>
      <w:r>
        <w:rPr>
          <w:rFonts w:hint="eastAsia" w:ascii="宋体" w:hAnsi="宋体"/>
          <w:color w:val="auto"/>
          <w:sz w:val="24"/>
          <w:szCs w:val="24"/>
          <w:highlight w:val="none"/>
        </w:rPr>
        <w:t>2.4计划工期：</w:t>
      </w:r>
      <w:r>
        <w:rPr>
          <w:rFonts w:hint="eastAsia" w:ascii="宋体" w:hAnsi="宋体"/>
          <w:color w:val="auto"/>
          <w:sz w:val="24"/>
          <w:szCs w:val="24"/>
          <w:highlight w:val="none"/>
          <w:u w:val="single"/>
          <w:lang w:val="en-US" w:eastAsia="zh-CN"/>
        </w:rPr>
        <w:t>本项目竣工工期为466个日历天，其中施工工期为366个日历天，开工日期暂定为2025年12月1日</w:t>
      </w:r>
      <w:r>
        <w:rPr>
          <w:rFonts w:hint="eastAsia" w:ascii="宋体" w:hAnsi="宋体" w:eastAsia="宋体" w:cs="Times New Roman"/>
          <w:color w:val="auto"/>
          <w:sz w:val="24"/>
          <w:szCs w:val="24"/>
          <w:highlight w:val="none"/>
          <w:u w:val="single"/>
          <w:lang w:val="en-US" w:eastAsia="zh-CN"/>
        </w:rPr>
        <w:t>（实际开工日期以监理发出的开工报告为准，实际施工工期根据该项目的实际要求为准）。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质量保修服务期：</w:t>
      </w:r>
      <w:r>
        <w:rPr>
          <w:rFonts w:hint="eastAsia" w:ascii="宋体" w:hAnsi="宋体"/>
          <w:color w:val="auto"/>
          <w:sz w:val="24"/>
          <w:szCs w:val="24"/>
          <w:highlight w:val="none"/>
          <w:u w:val="single"/>
          <w:lang w:val="en-US" w:eastAsia="zh-CN"/>
        </w:rPr>
        <w:t>自工程竣工验收合格之日起两年</w:t>
      </w:r>
      <w:r>
        <w:rPr>
          <w:rFonts w:hint="eastAsia" w:ascii="宋体" w:hAnsi="宋体"/>
          <w:color w:val="auto"/>
          <w:sz w:val="24"/>
          <w:szCs w:val="24"/>
          <w:highlight w:val="none"/>
          <w:u w:val="single"/>
        </w:rPr>
        <w:t>。</w:t>
      </w:r>
    </w:p>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2.5招标内容：</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工程施工范围：</w:t>
      </w:r>
      <w:r>
        <w:rPr>
          <w:rFonts w:hint="eastAsia" w:ascii="宋体" w:hAnsi="宋体"/>
          <w:color w:val="auto"/>
          <w:sz w:val="24"/>
          <w:szCs w:val="24"/>
          <w:highlight w:val="none"/>
          <w:u w:val="single"/>
          <w:lang w:val="en-US" w:eastAsia="zh-CN"/>
        </w:rPr>
        <w:t>包括但不限于本项目施工图纸内的施工内容，包括实施供水管道基坑开挖、支护、沟槽回填、管道吊放、管道安装、开叉接驳、试压、冲洗、消毒；路面修复、临时路面修复、交通疏解、现状设施查探及地下管线保护、土建施工。具体工作量以经审图单位审查的施工图设计文件及工程量清单为准。</w:t>
      </w:r>
    </w:p>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lang w:val="en-US" w:eastAsia="zh-CN"/>
        </w:rPr>
        <w:t>承包单位应做好本项目施工图纸内的所有工程内容的施工（包工、包料（除甲供材料外）、包安装、包工期、包质量、采取有效措施不发生安全事故、包文明施工、包劳保、包验收、包保修。包承包范围内工程验收通过、包移交、包结算、包资料整理、包施工承包管理和现场整体组织、包专业协调及配合等）；本项目施工范围内安全文明措施、道路安全评估、交通疏解、路面修复、耗水费代缴、土建、设备安装施工、完工验收、结算、保修、竣工验收、档案资料移交等施工过程管理，绿化树木保护，绘制竣工图，负责与本项目相关的沟通协调等工作、报批报建配合，竣工备案等。</w:t>
      </w:r>
    </w:p>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2）本项目在施工过程中，如遇燃气、电力通信、航道、石油、地铁等重点设施，应积极协调对应的管理部门，开展安全评估及施工过程中的监测等工作，配合管线迁改及迁移等施工过程管理，相关费用已包含在投标报价中。</w:t>
      </w:r>
    </w:p>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开工前准备：</w:t>
      </w:r>
      <w:r>
        <w:rPr>
          <w:rFonts w:hint="eastAsia" w:ascii="宋体" w:hAnsi="宋体"/>
          <w:color w:val="auto"/>
          <w:sz w:val="24"/>
          <w:szCs w:val="24"/>
          <w:highlight w:val="none"/>
          <w:u w:val="single"/>
          <w:lang w:val="en-US" w:eastAsia="zh-CN"/>
        </w:rPr>
        <w:t>①承包人应做好施工放线工作，做好地下管线会签交底。②负责编制交通疏导方案（含交通疏导流量评估）报项目所在交通管理部门审批并取得批复意见，配合道路安全评价单位根据道路行政管理部门的要求进行道路安全评估并出具项目涉路、桥梁、隧道、地铁等安全评估报告，取得本项目涉路、桥梁、隧道、地铁等权属单位的意见。③按照所属道路行政管理部门要求，编制符合要求的专项施工组织方案、路面修复方案等，报所属道路行政管理部门，并取得项目占道挖掘申请等行政许可。④承包人负责办理本项目质量登记监督备案及并办理取得项目监管部门的开工批复。⑤项目涉及地铁、河涌、城市绿化范围的，承包人应配合编制专项评估及保护方案，完善开工前准备工作。⑥承包人应做好各项水务质监在建工地的视频监控等信息化建设，落实扬尘防治六个百分百要求，落实海绵城市建设等要求，落实行政部门关于安全文明施工、标准化围蔽等要求。相关费用已包含在投标报价中。</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（具体工作内容详见施工设计图纸和工程量清单）。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2.6标段划分：</w:t>
      </w:r>
      <w:r>
        <w:rPr>
          <w:rFonts w:hint="eastAsia" w:ascii="宋体" w:hAnsi="宋体"/>
          <w:color w:val="auto"/>
          <w:sz w:val="24"/>
          <w:szCs w:val="24"/>
          <w:highlight w:val="none"/>
          <w:u w:val="single"/>
          <w:lang w:val="en-US" w:eastAsia="zh-CN"/>
        </w:rPr>
        <w:t>不划分</w:t>
      </w:r>
      <w:r>
        <w:rPr>
          <w:rFonts w:hint="eastAsia" w:ascii="宋体" w:hAnsi="宋体"/>
          <w:color w:val="auto"/>
          <w:sz w:val="24"/>
          <w:szCs w:val="24"/>
          <w:highlight w:val="none"/>
        </w:rPr>
        <w:t>标段。</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2.7承包方式：</w:t>
      </w:r>
      <w:r>
        <w:rPr>
          <w:rFonts w:hint="eastAsia" w:ascii="宋体" w:hAnsi="宋体"/>
          <w:color w:val="auto"/>
          <w:sz w:val="24"/>
          <w:szCs w:val="24"/>
          <w:highlight w:val="none"/>
          <w:u w:val="single"/>
          <w:lang w:val="en-US" w:eastAsia="zh-CN"/>
        </w:rPr>
        <w:t>包工、包料（除甲供材料外）、包安装、包工期、包质量、采取有效措施不发生安全事故、包文明施工、包劳保、包验收、包保修。包承包范围内工程验收通过、包移交、包结算、包资料整理、包施工承包管理和现场整体组织、包专业协调及配合等</w:t>
      </w:r>
      <w:r>
        <w:rPr>
          <w:rFonts w:hint="eastAsia" w:ascii="宋体" w:hAnsi="宋体"/>
          <w:color w:val="auto"/>
          <w:sz w:val="24"/>
          <w:szCs w:val="24"/>
          <w:highlight w:val="none"/>
          <w:u w:val="single"/>
        </w:rPr>
        <w:t>。</w:t>
      </w:r>
    </w:p>
    <w:p>
      <w:pPr>
        <w:pStyle w:val="11"/>
        <w:spacing w:before="0" w:after="0" w:line="360" w:lineRule="auto"/>
        <w:ind w:firstLine="540"/>
        <w:outlineLvl w:val="9"/>
        <w:rPr>
          <w:rFonts w:hint="eastAsia"/>
          <w:color w:val="auto"/>
          <w:sz w:val="21"/>
          <w:szCs w:val="21"/>
          <w:highlight w:val="none"/>
        </w:rPr>
      </w:pPr>
      <w:bookmarkStart w:id="23" w:name="_Toc13867"/>
      <w:bookmarkStart w:id="24" w:name="_Toc7662"/>
      <w:bookmarkStart w:id="25" w:name="_Toc222033816"/>
      <w:bookmarkStart w:id="26" w:name="_Toc221949926"/>
      <w:bookmarkStart w:id="27" w:name="_Toc222029465"/>
      <w:bookmarkStart w:id="28" w:name="_Toc168476031"/>
      <w:bookmarkStart w:id="29" w:name="_Toc229305325"/>
      <w:bookmarkStart w:id="30" w:name="_Toc168475628"/>
      <w:bookmarkStart w:id="31" w:name="_Toc222032634"/>
      <w:bookmarkStart w:id="32" w:name="_Toc144974482"/>
      <w:bookmarkStart w:id="33" w:name="_Toc259524298"/>
      <w:bookmarkStart w:id="34" w:name="_Toc222030967"/>
      <w:bookmarkStart w:id="35" w:name="_Toc22919"/>
      <w:r>
        <w:rPr>
          <w:rFonts w:hint="eastAsia"/>
          <w:b/>
          <w:color w:val="auto"/>
          <w:highlight w:val="none"/>
        </w:rPr>
        <w:t>3</w:t>
      </w:r>
      <w:r>
        <w:rPr>
          <w:b/>
          <w:color w:val="auto"/>
          <w:highlight w:val="none"/>
        </w:rPr>
        <w:t>. 投标人资格要求</w:t>
      </w:r>
      <w:bookmarkEnd w:id="23"/>
      <w:bookmarkEnd w:id="24"/>
      <w:bookmarkEnd w:id="25"/>
      <w:bookmarkEnd w:id="26"/>
      <w:bookmarkEnd w:id="27"/>
      <w:bookmarkEnd w:id="28"/>
      <w:bookmarkEnd w:id="29"/>
      <w:bookmarkEnd w:id="30"/>
      <w:bookmarkEnd w:id="31"/>
      <w:bookmarkEnd w:id="32"/>
      <w:bookmarkEnd w:id="33"/>
      <w:bookmarkEnd w:id="34"/>
      <w:bookmarkEnd w:id="35"/>
    </w:p>
    <w:p>
      <w:pPr>
        <w:spacing w:line="360" w:lineRule="auto"/>
        <w:ind w:firstLine="480" w:firstLineChars="200"/>
        <w:rPr>
          <w:rFonts w:ascii="宋体" w:hAnsi="宋体"/>
          <w:bCs/>
          <w:color w:val="auto"/>
          <w:sz w:val="24"/>
          <w:highlight w:val="none"/>
        </w:rPr>
      </w:pPr>
      <w:r>
        <w:rPr>
          <w:rFonts w:hint="eastAsia" w:ascii="宋体" w:hAnsi="宋体"/>
          <w:color w:val="auto"/>
          <w:sz w:val="24"/>
          <w:szCs w:val="24"/>
          <w:highlight w:val="none"/>
        </w:rPr>
        <w:t>3.1</w:t>
      </w:r>
      <w:r>
        <w:rPr>
          <w:rFonts w:hint="eastAsia" w:ascii="宋体" w:hAnsi="宋体"/>
          <w:bCs/>
          <w:color w:val="auto"/>
          <w:sz w:val="24"/>
          <w:highlight w:val="none"/>
        </w:rPr>
        <w:t>投标人应具备承担本项目施工的资质条件、能力和信誉。</w:t>
      </w:r>
    </w:p>
    <w:p>
      <w:pPr>
        <w:pStyle w:val="11"/>
        <w:spacing w:before="0" w:after="0" w:line="360" w:lineRule="auto"/>
        <w:ind w:firstLine="480" w:firstLineChars="200"/>
        <w:rPr>
          <w:rFonts w:hint="eastAsia"/>
          <w:color w:val="auto"/>
          <w:highlight w:val="none"/>
        </w:rPr>
      </w:pPr>
      <w:r>
        <w:rPr>
          <w:rFonts w:hint="eastAsia"/>
          <w:color w:val="auto"/>
          <w:highlight w:val="none"/>
        </w:rPr>
        <w:t>3.1.1</w:t>
      </w:r>
      <w:r>
        <w:rPr>
          <w:rFonts w:ascii="宋体" w:hAnsi="宋体" w:eastAsia="宋体" w:cs="宋体"/>
          <w:color w:val="auto"/>
          <w:sz w:val="24"/>
          <w:szCs w:val="24"/>
          <w:highlight w:val="none"/>
        </w:rPr>
        <w:t>投标人是法人或其他组织，按国家法律经营</w:t>
      </w:r>
      <w:r>
        <w:rPr>
          <w:rFonts w:hint="eastAsia"/>
          <w:color w:val="auto"/>
          <w:highlight w:val="none"/>
        </w:rPr>
        <w:t>，投标人具有承接本工程所需的</w:t>
      </w:r>
      <w:r>
        <w:rPr>
          <w:rFonts w:hint="eastAsia" w:ascii="宋体" w:hAnsi="宋体" w:cs="宋体"/>
          <w:color w:val="auto"/>
          <w:kern w:val="0"/>
          <w:sz w:val="24"/>
          <w:szCs w:val="24"/>
          <w:highlight w:val="none"/>
          <w:u w:val="single"/>
        </w:rPr>
        <w:t>市政公用工程施工总承包</w:t>
      </w:r>
      <w:r>
        <w:rPr>
          <w:rFonts w:hint="eastAsia" w:cs="宋体"/>
          <w:color w:val="auto"/>
          <w:kern w:val="0"/>
          <w:sz w:val="24"/>
          <w:szCs w:val="24"/>
          <w:highlight w:val="none"/>
          <w:u w:val="single"/>
          <w:lang w:val="en-US" w:eastAsia="zh-CN"/>
        </w:rPr>
        <w:t>叁</w:t>
      </w:r>
      <w:r>
        <w:rPr>
          <w:rFonts w:hint="eastAsia" w:ascii="宋体" w:hAnsi="宋体" w:cs="宋体"/>
          <w:color w:val="auto"/>
          <w:kern w:val="0"/>
          <w:sz w:val="24"/>
          <w:szCs w:val="24"/>
          <w:highlight w:val="none"/>
          <w:u w:val="single"/>
        </w:rPr>
        <w:t>级</w:t>
      </w:r>
      <w:r>
        <w:rPr>
          <w:rFonts w:hint="eastAsia"/>
          <w:color w:val="auto"/>
          <w:highlight w:val="none"/>
        </w:rPr>
        <w:t>或以上级别施工总承包资质。</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注：资质内容按照建市〔2014〕159号文颁布的新版《建筑业企业资质标准》中对应的资质类别及等级的承包工程范围和《住房城乡建设部关于建筑业企业资质管理有关问题的通知》（建市〔201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〕154号）、《住房城乡建设部关于简化建筑业企业资质标准部分指标的通知》(建市〔201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〕226号)、</w:t>
      </w:r>
      <w:r>
        <w:rPr>
          <w:rFonts w:hint="eastAsia" w:ascii="宋体" w:hAnsi="宋体" w:eastAsia="宋体" w:cs="宋体"/>
          <w:color w:val="auto"/>
          <w:highlight w:val="none"/>
          <w:lang w:val="en-US" w:eastAsia="zh-CN"/>
        </w:rPr>
        <w:t>《住房和城乡建设部关于印发建设工程企业资质管理制度改革方案的通知》（</w:t>
      </w:r>
      <w:r>
        <w:rPr>
          <w:rFonts w:hint="eastAsia" w:ascii="宋体" w:hAnsi="宋体" w:eastAsia="宋体" w:cs="宋体"/>
          <w:color w:val="auto"/>
          <w:highlight w:val="none"/>
        </w:rPr>
        <w:t>建市〔2020〕94号</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auto"/>
          <w:highlight w:val="none"/>
          <w:lang w:eastAsia="zh-CN"/>
        </w:rPr>
        <w:t>、《住房城乡建设部建筑市场监管司关于建设工程企业资质延续有关事项的通知》（建司局函市〔2023〕116号）、</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广东省住房和城乡建设厅关于建设工程企业资质延续有关事项的通知</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（粤建许函〔2023〕820号）、广东省住房和城乡建设厅关于做好有关建设工程企业资质证书换领工作的通知（粤建许函〔2024〕124号）</w:t>
      </w:r>
      <w:r>
        <w:rPr>
          <w:rFonts w:hint="eastAsia" w:ascii="宋体" w:hAnsi="宋体" w:eastAsia="宋体" w:cs="宋体"/>
          <w:color w:val="auto"/>
          <w:highlight w:val="none"/>
        </w:rPr>
        <w:t>的要求设置。</w:t>
      </w:r>
    </w:p>
    <w:p>
      <w:pPr>
        <w:pStyle w:val="11"/>
        <w:spacing w:before="0" w:after="0" w:line="360" w:lineRule="auto"/>
        <w:ind w:firstLine="480" w:firstLineChars="200"/>
        <w:rPr>
          <w:rFonts w:hint="eastAsia"/>
          <w:color w:val="auto"/>
          <w:sz w:val="24"/>
          <w:szCs w:val="24"/>
          <w:highlight w:val="none"/>
        </w:rPr>
      </w:pPr>
      <w:r>
        <w:rPr>
          <w:rFonts w:hint="eastAsia"/>
          <w:color w:val="auto"/>
          <w:sz w:val="24"/>
          <w:szCs w:val="24"/>
          <w:highlight w:val="none"/>
        </w:rPr>
        <w:t>3.1.2安全生产许可证：投标人需具有有效的建设行政主管部门颁发的安全生产许可证。</w:t>
      </w:r>
    </w:p>
    <w:p>
      <w:pPr>
        <w:spacing w:line="360" w:lineRule="auto"/>
        <w:ind w:firstLine="480" w:firstLineChars="200"/>
        <w:rPr>
          <w:color w:val="auto"/>
          <w:sz w:val="24"/>
          <w:szCs w:val="24"/>
          <w:highlight w:val="none"/>
        </w:rPr>
      </w:pPr>
      <w:r>
        <w:rPr>
          <w:rFonts w:hint="eastAsia" w:ascii="宋体" w:hAnsi="宋体" w:eastAsia="宋体" w:cs="宋体"/>
          <w:color w:val="auto"/>
          <w:kern w:val="0"/>
          <w:sz w:val="24"/>
          <w:szCs w:val="24"/>
          <w:highlight w:val="none"/>
        </w:rPr>
        <w:t>3.1.3</w:t>
      </w:r>
      <w:r>
        <w:rPr>
          <w:rFonts w:hint="eastAsia" w:ascii="宋体" w:hAnsi="宋体"/>
          <w:bCs/>
          <w:color w:val="auto"/>
          <w:sz w:val="24"/>
          <w:szCs w:val="24"/>
          <w:highlight w:val="none"/>
        </w:rPr>
        <w:t>投标人拟担任本工程项目负责人的人员须具有</w:t>
      </w:r>
      <w:r>
        <w:rPr>
          <w:rFonts w:hint="eastAsia" w:ascii="宋体" w:hAnsi="宋体" w:cs="宋体"/>
          <w:color w:val="auto"/>
          <w:kern w:val="0"/>
          <w:sz w:val="24"/>
          <w:szCs w:val="24"/>
          <w:highlight w:val="none"/>
          <w:u w:val="single"/>
        </w:rPr>
        <w:t>市政公用工程专业</w:t>
      </w:r>
      <w:r>
        <w:rPr>
          <w:rFonts w:hint="eastAsia" w:ascii="宋体" w:hAnsi="宋体" w:cs="宋体"/>
          <w:color w:val="auto"/>
          <w:kern w:val="0"/>
          <w:sz w:val="24"/>
          <w:szCs w:val="24"/>
          <w:highlight w:val="none"/>
          <w:u w:val="single"/>
          <w:lang w:val="en-US" w:eastAsia="zh-CN"/>
        </w:rPr>
        <w:t>贰</w:t>
      </w:r>
      <w:r>
        <w:rPr>
          <w:rFonts w:hint="eastAsia" w:ascii="宋体" w:hAnsi="宋体" w:cs="宋体"/>
          <w:color w:val="auto"/>
          <w:kern w:val="0"/>
          <w:sz w:val="24"/>
          <w:szCs w:val="24"/>
          <w:highlight w:val="none"/>
          <w:u w:val="single"/>
        </w:rPr>
        <w:t>级</w:t>
      </w:r>
      <w:r>
        <w:rPr>
          <w:rFonts w:hint="eastAsia" w:ascii="宋体" w:hAnsi="宋体" w:cs="宋体"/>
          <w:color w:val="auto"/>
          <w:kern w:val="0"/>
          <w:sz w:val="24"/>
          <w:szCs w:val="24"/>
          <w:highlight w:val="none"/>
          <w:u w:val="single"/>
          <w:lang w:val="en-US" w:eastAsia="zh-CN"/>
        </w:rPr>
        <w:t>或以上</w:t>
      </w:r>
      <w:r>
        <w:rPr>
          <w:rFonts w:hint="eastAsia" w:ascii="宋体" w:hAnsi="宋体"/>
          <w:color w:val="auto"/>
          <w:sz w:val="24"/>
          <w:szCs w:val="24"/>
          <w:highlight w:val="none"/>
        </w:rPr>
        <w:t>级别的注册建造师</w:t>
      </w:r>
      <w:r>
        <w:rPr>
          <w:color w:val="auto"/>
          <w:sz w:val="24"/>
          <w:szCs w:val="24"/>
          <w:highlight w:val="none"/>
        </w:rPr>
        <w:t>。</w:t>
      </w:r>
    </w:p>
    <w:p>
      <w:pPr>
        <w:spacing w:line="360" w:lineRule="auto"/>
        <w:ind w:firstLine="480" w:firstLineChars="200"/>
        <w:rPr>
          <w:color w:val="auto"/>
          <w:sz w:val="24"/>
          <w:szCs w:val="24"/>
          <w:highlight w:val="none"/>
        </w:rPr>
      </w:pPr>
      <w:r>
        <w:rPr>
          <w:rFonts w:hint="eastAsia"/>
          <w:color w:val="auto"/>
          <w:sz w:val="24"/>
          <w:szCs w:val="24"/>
          <w:highlight w:val="none"/>
        </w:rPr>
        <w:t>项目负责人持有</w:t>
      </w:r>
      <w:r>
        <w:rPr>
          <w:rFonts w:hint="eastAsia"/>
          <w:color w:val="auto"/>
          <w:sz w:val="24"/>
          <w:szCs w:val="24"/>
          <w:highlight w:val="none"/>
          <w:lang w:eastAsia="zh-CN"/>
        </w:rPr>
        <w:t>安全生产考核合格证</w:t>
      </w:r>
      <w:r>
        <w:rPr>
          <w:rFonts w:hint="eastAsia"/>
          <w:color w:val="auto"/>
          <w:sz w:val="24"/>
          <w:szCs w:val="24"/>
          <w:highlight w:val="none"/>
        </w:rPr>
        <w:t>（B 类）或建筑施工企业项目负责人安全生产考核合格证书</w:t>
      </w:r>
      <w:r>
        <w:rPr>
          <w:color w:val="auto"/>
          <w:sz w:val="24"/>
          <w:szCs w:val="24"/>
          <w:highlight w:val="none"/>
        </w:rPr>
        <w:t xml:space="preserve">。 </w:t>
      </w:r>
    </w:p>
    <w:p>
      <w:pPr>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宋体" w:hAnsi="宋体" w:eastAsia="宋体" w:cs="宋体"/>
          <w:color w:val="auto"/>
          <w:spacing w:val="0"/>
          <w:kern w:val="0"/>
          <w:sz w:val="24"/>
          <w:szCs w:val="24"/>
          <w:highlight w:val="none"/>
        </w:rPr>
        <w:t>注：</w:t>
      </w:r>
      <w:r>
        <w:rPr>
          <w:rFonts w:hint="eastAsia" w:ascii="Times New Roman" w:hAnsi="Times New Roman" w:eastAsia="宋体" w:cs="Times New Roman"/>
          <w:color w:val="auto"/>
          <w:sz w:val="24"/>
          <w:szCs w:val="24"/>
          <w:highlight w:val="none"/>
          <w:lang w:eastAsia="zh-CN"/>
        </w:rPr>
        <w:t>（1）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2）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11"/>
        <w:spacing w:before="0" w:after="0" w:line="360" w:lineRule="auto"/>
        <w:ind w:firstLine="480" w:firstLineChars="200"/>
        <w:rPr>
          <w:rFonts w:hint="eastAsia" w:ascii="仿宋" w:hAnsi="仿宋" w:eastAsia="仿宋" w:cs="仿宋"/>
          <w:b w:val="0"/>
          <w:bCs/>
          <w:color w:val="auto"/>
          <w:kern w:val="0"/>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11"/>
        <w:spacing w:before="0" w:after="0" w:line="360" w:lineRule="auto"/>
        <w:ind w:firstLine="480" w:firstLineChars="200"/>
        <w:rPr>
          <w:rFonts w:hint="eastAsia"/>
          <w:i/>
          <w:color w:val="auto"/>
          <w:sz w:val="21"/>
          <w:szCs w:val="21"/>
          <w:highlight w:val="none"/>
        </w:rPr>
      </w:pPr>
      <w:r>
        <w:rPr>
          <w:rFonts w:hint="eastAsia"/>
          <w:color w:val="auto"/>
          <w:highlight w:val="none"/>
        </w:rPr>
        <w:t>3.1.4专职安全员资格要求：</w:t>
      </w:r>
      <w:r>
        <w:rPr>
          <w:rFonts w:hint="eastAsia" w:ascii="宋体" w:hAnsi="宋体" w:eastAsia="宋体" w:cs="宋体"/>
          <w:color w:val="auto"/>
          <w:spacing w:val="0"/>
          <w:sz w:val="24"/>
          <w:szCs w:val="24"/>
          <w:highlight w:val="none"/>
        </w:rPr>
        <w:t>要求专职安全员不少于</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人。专职安全员须安全生产考核合格证（C类）或建筑施工企业专职安全生产管理人员安全生产考核合格证书(C3类)。（注：专职安全员数量不少于建质〔2008〕91号文的规定）</w:t>
      </w:r>
    </w:p>
    <w:p>
      <w:pPr>
        <w:pStyle w:val="11"/>
        <w:snapToGrid w:val="0"/>
        <w:spacing w:before="0" w:after="0" w:line="360" w:lineRule="auto"/>
        <w:ind w:firstLine="480" w:firstLineChars="200"/>
        <w:rPr>
          <w:rFonts w:hint="default" w:eastAsia="宋体"/>
          <w:color w:val="auto"/>
          <w:highlight w:val="none"/>
        </w:rPr>
      </w:pPr>
      <w:r>
        <w:rPr>
          <w:rFonts w:hint="eastAsia"/>
          <w:color w:val="auto"/>
          <w:highlight w:val="none"/>
        </w:rPr>
        <w:t>3.1.5类似项目业绩要求：</w:t>
      </w:r>
      <w:r>
        <w:rPr>
          <w:rFonts w:hint="default" w:eastAsia="宋体"/>
          <w:color w:val="auto"/>
          <w:highlight w:val="none"/>
        </w:rPr>
        <w:t>投标人具有自202</w:t>
      </w:r>
      <w:r>
        <w:rPr>
          <w:rFonts w:hint="eastAsia" w:eastAsia="宋体"/>
          <w:color w:val="auto"/>
          <w:highlight w:val="none"/>
          <w:lang w:val="en-US" w:eastAsia="zh-CN"/>
        </w:rPr>
        <w:t>2</w:t>
      </w:r>
      <w:r>
        <w:rPr>
          <w:rFonts w:hint="default" w:eastAsia="宋体"/>
          <w:color w:val="auto"/>
          <w:highlight w:val="none"/>
        </w:rPr>
        <w:t>年1月1日至今完成过质量合格的，单项合同造价1400万元或以上的类似工程业绩。</w:t>
      </w:r>
    </w:p>
    <w:p>
      <w:pPr>
        <w:pStyle w:val="11"/>
        <w:snapToGrid w:val="0"/>
        <w:spacing w:before="0" w:after="0" w:line="360" w:lineRule="auto"/>
        <w:ind w:firstLine="480" w:firstLineChars="200"/>
        <w:rPr>
          <w:rFonts w:hint="default" w:eastAsia="宋体"/>
          <w:color w:val="auto"/>
          <w:highlight w:val="none"/>
        </w:rPr>
      </w:pPr>
      <w:r>
        <w:rPr>
          <w:rFonts w:hint="default" w:eastAsia="宋体"/>
          <w:color w:val="auto"/>
          <w:highlight w:val="none"/>
        </w:rPr>
        <w:t>注：1）类似工程指采用的资质类别与本招标项目采用的资质类别相同的给水工程。</w:t>
      </w:r>
    </w:p>
    <w:p>
      <w:pPr>
        <w:pStyle w:val="11"/>
        <w:snapToGrid w:val="0"/>
        <w:spacing w:before="0" w:after="0" w:line="360" w:lineRule="auto"/>
        <w:ind w:firstLine="480" w:firstLineChars="200"/>
        <w:rPr>
          <w:rFonts w:hint="default" w:ascii="宋体" w:hAnsi="宋体" w:eastAsia="宋体" w:cs="宋体"/>
          <w:color w:val="auto"/>
          <w:highlight w:val="none"/>
        </w:rPr>
      </w:pPr>
      <w:r>
        <w:rPr>
          <w:rFonts w:hint="default" w:ascii="宋体" w:hAnsi="宋体" w:eastAsia="宋体" w:cs="宋体"/>
          <w:color w:val="auto"/>
          <w:highlight w:val="none"/>
        </w:rPr>
        <w:t>2）</w:t>
      </w:r>
      <w:r>
        <w:rPr>
          <w:rFonts w:hint="eastAsia" w:ascii="宋体" w:hAnsi="宋体" w:eastAsia="宋体" w:cs="宋体"/>
          <w:color w:val="auto"/>
          <w:highlight w:val="none"/>
          <w:rtl w:val="0"/>
          <w:lang w:val="zh-TW" w:eastAsia="zh-TW"/>
        </w:rPr>
        <w:t>项目完成时间以竣工验收时间为准，造价规模以给水管道部分造价金额为准。</w:t>
      </w:r>
    </w:p>
    <w:p>
      <w:pPr>
        <w:pStyle w:val="11"/>
        <w:snapToGrid w:val="0"/>
        <w:spacing w:before="0" w:after="0" w:line="360" w:lineRule="auto"/>
        <w:ind w:firstLine="480" w:firstLineChars="200"/>
        <w:rPr>
          <w:rFonts w:hint="default" w:ascii="宋体" w:hAnsi="宋体" w:eastAsia="宋体" w:cs="宋体"/>
          <w:color w:val="auto"/>
          <w:highlight w:val="none"/>
          <w:rtl w:val="0"/>
        </w:rPr>
      </w:pPr>
      <w:r>
        <w:rPr>
          <w:rFonts w:hint="default" w:ascii="宋体" w:hAnsi="宋体" w:eastAsia="宋体" w:cs="宋体"/>
          <w:color w:val="auto"/>
          <w:highlight w:val="none"/>
          <w:rtl w:val="0"/>
          <w:lang w:val="en-US"/>
        </w:rPr>
        <w:t>3</w:t>
      </w:r>
      <w:r>
        <w:rPr>
          <w:rFonts w:hint="default" w:ascii="宋体" w:hAnsi="宋体" w:eastAsia="宋体" w:cs="宋体"/>
          <w:color w:val="auto"/>
          <w:highlight w:val="none"/>
          <w:rtl w:val="0"/>
          <w:lang w:val="zh-TW" w:eastAsia="zh-TW"/>
        </w:rPr>
        <w:t>）需同时提供中标通知书或免招标的相关证明、施工合同、竣工验收报告或竣工验收证明。类似业绩证明的信息须明确显示该业绩项目名称、中标价、规模（</w:t>
      </w:r>
      <w:r>
        <w:rPr>
          <w:rFonts w:hint="eastAsia" w:ascii="宋体" w:hAnsi="宋体" w:eastAsia="宋体" w:cs="宋体"/>
          <w:color w:val="auto"/>
          <w:highlight w:val="none"/>
          <w:rtl w:val="0"/>
          <w:lang w:val="en-US" w:eastAsia="zh-CN"/>
        </w:rPr>
        <w:t>金额</w:t>
      </w:r>
      <w:r>
        <w:rPr>
          <w:rFonts w:hint="default" w:ascii="宋体" w:hAnsi="宋体" w:eastAsia="宋体" w:cs="宋体"/>
          <w:color w:val="auto"/>
          <w:highlight w:val="none"/>
          <w:rtl w:val="0"/>
          <w:lang w:val="zh-TW" w:eastAsia="zh-TW"/>
        </w:rPr>
        <w:t>）等信息。如以上资料不能证明业绩规模的技术指标（指</w:t>
      </w:r>
      <w:r>
        <w:rPr>
          <w:rFonts w:hint="eastAsia" w:ascii="宋体" w:hAnsi="宋体" w:eastAsia="宋体" w:cs="宋体"/>
          <w:color w:val="auto"/>
          <w:highlight w:val="none"/>
          <w:rtl w:val="0"/>
          <w:lang w:val="en-US" w:eastAsia="zh-CN"/>
        </w:rPr>
        <w:t>金额</w:t>
      </w:r>
      <w:r>
        <w:rPr>
          <w:rFonts w:hint="default" w:ascii="宋体" w:hAnsi="宋体" w:eastAsia="宋体" w:cs="宋体"/>
          <w:color w:val="auto"/>
          <w:highlight w:val="none"/>
          <w:rtl w:val="0"/>
          <w:lang w:val="zh-TW" w:eastAsia="zh-TW"/>
        </w:rPr>
        <w:t>）的，须另提供可证明业绩技术指标的其他资料。</w:t>
      </w:r>
    </w:p>
    <w:p>
      <w:pPr>
        <w:pStyle w:val="11"/>
        <w:snapToGrid w:val="0"/>
        <w:spacing w:before="0" w:after="0" w:line="360" w:lineRule="auto"/>
        <w:ind w:firstLine="480" w:firstLineChars="200"/>
        <w:rPr>
          <w:rFonts w:hint="default" w:ascii="宋体" w:hAnsi="宋体" w:eastAsia="宋体" w:cs="宋体"/>
          <w:color w:val="auto"/>
          <w:highlight w:val="none"/>
          <w:rtl w:val="0"/>
          <w:lang w:val="en-US" w:eastAsia="zh-CN"/>
        </w:rPr>
      </w:pPr>
      <w:r>
        <w:rPr>
          <w:rFonts w:hint="default" w:ascii="宋体" w:hAnsi="宋体" w:eastAsia="宋体" w:cs="宋体"/>
          <w:color w:val="auto"/>
          <w:highlight w:val="none"/>
          <w:rtl w:val="0"/>
          <w:lang w:val="en-US"/>
        </w:rPr>
        <w:t>4</w:t>
      </w:r>
      <w:r>
        <w:rPr>
          <w:rFonts w:hint="eastAsia" w:ascii="宋体" w:hAnsi="宋体" w:eastAsia="宋体" w:cs="宋体"/>
          <w:color w:val="auto"/>
          <w:highlight w:val="none"/>
          <w:rtl w:val="0"/>
          <w:lang w:val="zh-TW" w:eastAsia="zh-TW"/>
        </w:rPr>
        <w:t>）</w:t>
      </w:r>
      <w:r>
        <w:rPr>
          <w:rFonts w:hint="eastAsia" w:ascii="宋体" w:hAnsi="宋体" w:eastAsia="宋体" w:cs="宋体"/>
          <w:color w:val="auto"/>
          <w:highlight w:val="none"/>
          <w:rtl w:val="0"/>
          <w:lang w:val="en-US" w:eastAsia="zh-CN"/>
        </w:rPr>
        <w:t>由总承包单位依法分包的专业工程业绩，不作为业绩证明。</w:t>
      </w:r>
    </w:p>
    <w:p>
      <w:pPr>
        <w:pStyle w:val="11"/>
        <w:snapToGrid w:val="0"/>
        <w:spacing w:before="0" w:after="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tl w:val="0"/>
          <w:lang w:val="en-US" w:eastAsia="zh-CN"/>
        </w:rPr>
        <w:t>5）</w:t>
      </w:r>
      <w:r>
        <w:rPr>
          <w:rFonts w:hint="eastAsia" w:ascii="宋体" w:hAnsi="宋体" w:eastAsia="宋体" w:cs="宋体"/>
          <w:color w:val="auto"/>
          <w:highlight w:val="none"/>
          <w:rtl w:val="0"/>
          <w:lang w:val="zh-TW" w:eastAsia="zh-TW"/>
        </w:rPr>
        <w:t>类似业绩在中标候选人公示期间一并进行公示。</w:t>
      </w:r>
    </w:p>
    <w:p>
      <w:pPr>
        <w:pStyle w:val="11"/>
        <w:spacing w:before="0" w:after="0" w:line="360" w:lineRule="auto"/>
        <w:ind w:firstLine="480" w:firstLineChars="200"/>
        <w:rPr>
          <w:rFonts w:hint="eastAsia"/>
          <w:color w:val="auto"/>
          <w:highlight w:val="none"/>
        </w:rPr>
      </w:pPr>
      <w:r>
        <w:rPr>
          <w:rFonts w:hint="eastAsia"/>
          <w:color w:val="auto"/>
          <w:highlight w:val="none"/>
        </w:rPr>
        <w:t>3.1.6提交社保文件的要求：投标人须保证授权的委托代理人及项目部主要组成人员（项目负责人、专职安全员）均为本单位的正式职工，必须具有离投标截止时间最近</w:t>
      </w:r>
      <w:r>
        <w:rPr>
          <w:rFonts w:hint="eastAsia"/>
          <w:color w:val="auto"/>
          <w:highlight w:val="none"/>
          <w:lang w:val="en-US" w:eastAsia="zh-CN"/>
        </w:rPr>
        <w:t>的至少1</w:t>
      </w:r>
      <w:r>
        <w:rPr>
          <w:rFonts w:hint="eastAsia"/>
          <w:color w:val="auto"/>
          <w:highlight w:val="none"/>
        </w:rPr>
        <w:t>个月</w:t>
      </w:r>
      <w:r>
        <w:rPr>
          <w:rFonts w:hint="eastAsia" w:ascii="宋体" w:hAnsi="宋体" w:eastAsia="宋体" w:cs="宋体"/>
          <w:color w:val="auto"/>
          <w:spacing w:val="0"/>
          <w:sz w:val="24"/>
          <w:szCs w:val="24"/>
          <w:highlight w:val="none"/>
        </w:rPr>
        <w:t>(时间为：</w:t>
      </w:r>
      <w:r>
        <w:rPr>
          <w:rFonts w:hint="eastAsia" w:eastAsia="宋体" w:cs="宋体"/>
          <w:color w:val="auto"/>
          <w:spacing w:val="0"/>
          <w:sz w:val="24"/>
          <w:szCs w:val="24"/>
          <w:highlight w:val="none"/>
          <w:lang w:val="en-US" w:eastAsia="zh-CN"/>
        </w:rPr>
        <w:t>2025年5月</w:t>
      </w:r>
      <w:r>
        <w:rPr>
          <w:rFonts w:hint="eastAsia" w:ascii="宋体" w:hAnsi="宋体" w:eastAsia="宋体" w:cs="宋体"/>
          <w:color w:val="auto"/>
          <w:spacing w:val="0"/>
          <w:sz w:val="24"/>
          <w:szCs w:val="24"/>
          <w:highlight w:val="none"/>
        </w:rPr>
        <w:t>)</w:t>
      </w:r>
      <w:r>
        <w:rPr>
          <w:rFonts w:hint="eastAsia"/>
          <w:color w:val="auto"/>
          <w:highlight w:val="none"/>
        </w:rPr>
        <w:t>在本单位缴纳的社保证明文件</w:t>
      </w:r>
      <w:r>
        <w:rPr>
          <w:rFonts w:hint="eastAsia" w:ascii="宋体" w:hAnsi="宋体" w:eastAsia="宋体" w:cs="宋体"/>
          <w:color w:val="auto"/>
          <w:spacing w:val="0"/>
          <w:sz w:val="24"/>
          <w:szCs w:val="24"/>
          <w:highlight w:val="none"/>
        </w:rPr>
        <w:t>(以加盖社会保险基金管理中心印章的《投保单》或《社会保险参保人员证明》资料为准)</w:t>
      </w:r>
      <w:r>
        <w:rPr>
          <w:rFonts w:hint="eastAsia"/>
          <w:color w:val="auto"/>
          <w:highlight w:val="none"/>
        </w:rPr>
        <w:t>。</w:t>
      </w:r>
    </w:p>
    <w:p>
      <w:pPr>
        <w:pStyle w:val="11"/>
        <w:spacing w:before="0" w:after="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eastAsia="宋体" w:cs="宋体"/>
          <w:color w:val="auto"/>
          <w:highlight w:val="none"/>
          <w:lang w:val="en-US" w:eastAsia="zh-CN"/>
        </w:rPr>
        <w:t>7</w:t>
      </w:r>
      <w:r>
        <w:rPr>
          <w:rFonts w:hint="eastAsia" w:ascii="宋体" w:hAnsi="宋体" w:eastAsia="宋体" w:cs="宋体"/>
          <w:color w:val="auto"/>
          <w:kern w:val="0"/>
          <w:sz w:val="24"/>
          <w:szCs w:val="24"/>
          <w:highlight w:val="none"/>
          <w:lang w:val="en-US" w:eastAsia="zh-CN" w:bidi="ar-SA"/>
        </w:rPr>
        <w:t>投标人提交的《投标人声明》（格式见本公告附件一）内容及签署盖章与招标文件要求一致，</w:t>
      </w:r>
      <w:r>
        <w:rPr>
          <w:rFonts w:hint="eastAsia" w:ascii="宋体" w:hAnsi="宋体" w:eastAsia="宋体" w:cs="宋体"/>
          <w:b w:val="0"/>
          <w:bCs w:val="0"/>
          <w:color w:val="auto"/>
          <w:kern w:val="0"/>
          <w:sz w:val="24"/>
          <w:szCs w:val="24"/>
          <w:highlight w:val="none"/>
          <w:lang w:val="en-US" w:eastAsia="zh-CN" w:bidi="ar-SA"/>
        </w:rPr>
        <w:t>法定代表人、项目负责人、技术负责人</w:t>
      </w:r>
      <w:r>
        <w:rPr>
          <w:rFonts w:hint="eastAsia" w:ascii="宋体" w:hAnsi="宋体" w:eastAsia="宋体" w:cs="宋体"/>
          <w:color w:val="auto"/>
          <w:kern w:val="0"/>
          <w:sz w:val="24"/>
          <w:szCs w:val="24"/>
          <w:highlight w:val="none"/>
          <w:lang w:val="en-US" w:eastAsia="zh-CN" w:bidi="ar-SA"/>
        </w:rPr>
        <w:t>均必须签字，没有签字不予通过资格审查。</w:t>
      </w:r>
    </w:p>
    <w:p>
      <w:pPr>
        <w:snapToGrid w:val="0"/>
        <w:spacing w:line="360" w:lineRule="auto"/>
        <w:ind w:firstLine="480" w:firstLineChars="200"/>
        <w:rPr>
          <w:rFonts w:hint="default" w:ascii="宋体" w:hAnsi="宋体" w:eastAsia="宋体" w:cs="Times New Roman"/>
          <w:color w:val="auto"/>
          <w:sz w:val="24"/>
          <w:szCs w:val="24"/>
          <w:highlight w:val="none"/>
          <w:u w:val="none"/>
        </w:rPr>
      </w:pPr>
      <w:r>
        <w:rPr>
          <w:rFonts w:hint="default" w:ascii="宋体" w:hAnsi="宋体" w:eastAsia="宋体" w:cs="Times New Roman"/>
          <w:color w:val="auto"/>
          <w:sz w:val="24"/>
          <w:szCs w:val="24"/>
          <w:highlight w:val="none"/>
          <w:u w:val="none"/>
          <w:lang w:val="en-US" w:eastAsia="zh-CN"/>
        </w:rPr>
        <w:t>3.</w:t>
      </w:r>
      <w:r>
        <w:rPr>
          <w:rFonts w:hint="eastAsia" w:ascii="宋体" w:hAnsi="宋体" w:eastAsia="宋体" w:cs="Times New Roman"/>
          <w:color w:val="auto"/>
          <w:sz w:val="24"/>
          <w:szCs w:val="24"/>
          <w:highlight w:val="none"/>
          <w:u w:val="none"/>
          <w:lang w:val="en-US" w:eastAsia="zh-CN"/>
        </w:rPr>
        <w:t>1.8</w:t>
      </w:r>
      <w:r>
        <w:rPr>
          <w:rFonts w:hint="default" w:ascii="宋体" w:hAnsi="宋体" w:eastAsia="宋体" w:cs="Times New Roman"/>
          <w:color w:val="auto"/>
          <w:sz w:val="24"/>
          <w:szCs w:val="24"/>
          <w:highlight w:val="none"/>
          <w:u w:val="none"/>
        </w:rPr>
        <w:t>投标人未被列入“在一定期限内依法取消参加依法必须进行招标的项目的投标资格”，具体名单以递交投标文件截止时间“信用广州”公布的“黑名单”为准。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olor w:val="auto"/>
          <w:sz w:val="24"/>
          <w:szCs w:val="24"/>
          <w:highlight w:val="none"/>
        </w:rPr>
        <w:t>3.2本次招标不接受联合体投标。</w:t>
      </w:r>
    </w:p>
    <w:p>
      <w:pPr>
        <w:spacing w:line="360" w:lineRule="auto"/>
        <w:ind w:firstLine="480" w:firstLineChars="200"/>
        <w:rPr>
          <w:rFonts w:hint="eastAsia" w:ascii="宋体" w:hAnsi="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投标人须在投标文件中按招标文件要求提交签署盖章的《投标人廉洁承诺书》。</w:t>
      </w:r>
    </w:p>
    <w:p>
      <w:pPr>
        <w:spacing w:line="360" w:lineRule="auto"/>
        <w:ind w:firstLine="480" w:firstLineChars="200"/>
        <w:rPr>
          <w:rFonts w:hint="eastAsia" w:ascii="宋体" w:hAnsi="宋体" w:eastAsia="宋体" w:cs="Times New Roman"/>
          <w:color w:val="auto"/>
          <w:kern w:val="2"/>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本次招标实行资格后审,资格审查不合格的投标人投标文件将按无效投标处理被否决。</w:t>
      </w:r>
    </w:p>
    <w:p>
      <w:pPr>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rPr>
        <w:t>3.</w:t>
      </w:r>
      <w:r>
        <w:rPr>
          <w:rFonts w:hint="eastAsia" w:ascii="宋体" w:hAnsi="宋体" w:eastAsia="宋体" w:cs="Times New Roman"/>
          <w:color w:val="auto"/>
          <w:kern w:val="2"/>
          <w:sz w:val="24"/>
          <w:szCs w:val="24"/>
          <w:highlight w:val="none"/>
          <w:lang w:val="en-US" w:eastAsia="zh-CN"/>
        </w:rPr>
        <w:t>5</w:t>
      </w:r>
      <w:r>
        <w:rPr>
          <w:rFonts w:hint="eastAsia" w:ascii="宋体" w:hAnsi="宋体" w:eastAsia="宋体" w:cs="Times New Roman"/>
          <w:color w:val="auto"/>
          <w:kern w:val="2"/>
          <w:sz w:val="24"/>
          <w:szCs w:val="24"/>
          <w:highlight w:val="none"/>
        </w:rPr>
        <w:t>投标文件中的投标人应与企业库信息库中的信息一致，项目负责人、安全员应与投标登记时的信息一致。</w:t>
      </w:r>
    </w:p>
    <w:p>
      <w:pPr>
        <w:spacing w:line="360" w:lineRule="auto"/>
        <w:ind w:firstLine="542" w:firstLineChars="225"/>
        <w:outlineLvl w:val="9"/>
        <w:rPr>
          <w:rFonts w:ascii="宋体" w:hAnsi="宋体"/>
          <w:b/>
          <w:color w:val="auto"/>
          <w:sz w:val="24"/>
          <w:szCs w:val="24"/>
          <w:highlight w:val="none"/>
        </w:rPr>
      </w:pPr>
      <w:bookmarkStart w:id="36" w:name="_Toc1973"/>
      <w:bookmarkStart w:id="37" w:name="_Toc259524299"/>
      <w:bookmarkStart w:id="38" w:name="_Toc221949930"/>
      <w:bookmarkStart w:id="39" w:name="_Toc229305326"/>
      <w:bookmarkStart w:id="40" w:name="_Toc168476032"/>
      <w:bookmarkStart w:id="41" w:name="_Toc222032635"/>
      <w:bookmarkStart w:id="42" w:name="_Toc13870"/>
      <w:bookmarkStart w:id="43" w:name="_Toc222030968"/>
      <w:bookmarkStart w:id="44" w:name="_Toc168475629"/>
      <w:bookmarkStart w:id="45" w:name="_Toc222033817"/>
      <w:bookmarkStart w:id="46" w:name="_Toc144974483"/>
      <w:bookmarkStart w:id="47" w:name="_Toc222029466"/>
      <w:bookmarkStart w:id="48" w:name="_Toc7903"/>
      <w:r>
        <w:rPr>
          <w:rFonts w:hint="eastAsia" w:ascii="宋体" w:hAnsi="宋体"/>
          <w:b/>
          <w:color w:val="auto"/>
          <w:sz w:val="24"/>
          <w:szCs w:val="24"/>
          <w:highlight w:val="none"/>
        </w:rPr>
        <w:t>4</w:t>
      </w:r>
      <w:r>
        <w:rPr>
          <w:rFonts w:ascii="宋体" w:hAnsi="宋体"/>
          <w:b/>
          <w:color w:val="auto"/>
          <w:sz w:val="24"/>
          <w:szCs w:val="24"/>
          <w:highlight w:val="none"/>
        </w:rPr>
        <w:t xml:space="preserve">. </w:t>
      </w:r>
      <w:r>
        <w:rPr>
          <w:rFonts w:hint="eastAsia" w:ascii="宋体" w:hAnsi="宋体"/>
          <w:b/>
          <w:color w:val="auto"/>
          <w:sz w:val="24"/>
          <w:szCs w:val="24"/>
          <w:highlight w:val="none"/>
          <w:lang w:eastAsia="zh-CN"/>
        </w:rPr>
        <w:t>招标公告发布和</w:t>
      </w:r>
      <w:r>
        <w:rPr>
          <w:rFonts w:ascii="宋体" w:hAnsi="宋体"/>
          <w:b/>
          <w:color w:val="auto"/>
          <w:sz w:val="24"/>
          <w:szCs w:val="24"/>
          <w:highlight w:val="none"/>
        </w:rPr>
        <w:t>招标文件的获取</w:t>
      </w:r>
      <w:bookmarkEnd w:id="36"/>
      <w:bookmarkEnd w:id="37"/>
      <w:bookmarkEnd w:id="38"/>
      <w:bookmarkEnd w:id="39"/>
      <w:bookmarkEnd w:id="40"/>
      <w:bookmarkEnd w:id="41"/>
      <w:bookmarkEnd w:id="42"/>
      <w:bookmarkEnd w:id="43"/>
      <w:bookmarkEnd w:id="44"/>
      <w:bookmarkEnd w:id="45"/>
      <w:bookmarkEnd w:id="46"/>
      <w:bookmarkEnd w:id="47"/>
      <w:bookmarkEnd w:id="48"/>
    </w:p>
    <w:p>
      <w:pPr>
        <w:widowControl/>
        <w:numPr>
          <w:ilvl w:val="0"/>
          <w:numId w:val="0"/>
        </w:numPr>
        <w:shd w:val="clear" w:color="auto" w:fill="auto"/>
        <w:snapToGrid w:val="0"/>
        <w:spacing w:line="360" w:lineRule="auto"/>
        <w:ind w:left="0" w:firstLine="480" w:firstLineChars="200"/>
        <w:rPr>
          <w:rFonts w:ascii="宋体" w:hAnsi="宋体"/>
          <w:bCs/>
          <w:color w:val="auto"/>
          <w:sz w:val="24"/>
          <w:highlight w:val="none"/>
        </w:rPr>
      </w:pPr>
      <w:bookmarkStart w:id="49" w:name="_Toc221949931"/>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bCs/>
          <w:color w:val="auto"/>
          <w:sz w:val="24"/>
          <w:highlight w:val="none"/>
        </w:rPr>
        <w:t>招标公告发布时间</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从</w:t>
      </w:r>
      <w:r>
        <w:rPr>
          <w:rFonts w:hint="eastAsia" w:ascii="宋体" w:hAnsi="宋体"/>
          <w:bCs/>
          <w:color w:val="auto"/>
          <w:sz w:val="24"/>
          <w:highlight w:val="none"/>
          <w:lang w:val="en-US" w:eastAsia="zh-CN"/>
        </w:rPr>
        <w:t>2025</w:t>
      </w:r>
      <w:r>
        <w:rPr>
          <w:rFonts w:hint="eastAsia" w:ascii="宋体" w:hAnsi="宋体"/>
          <w:bCs/>
          <w:color w:val="auto"/>
          <w:sz w:val="24"/>
          <w:highlight w:val="none"/>
        </w:rPr>
        <w:t>年____月____日至</w:t>
      </w:r>
      <w:r>
        <w:rPr>
          <w:rFonts w:hint="eastAsia" w:ascii="宋体" w:hAnsi="宋体"/>
          <w:bCs/>
          <w:color w:val="auto"/>
          <w:sz w:val="24"/>
          <w:highlight w:val="none"/>
          <w:lang w:val="en-US" w:eastAsia="zh-CN"/>
        </w:rPr>
        <w:t>2025</w:t>
      </w:r>
      <w:r>
        <w:rPr>
          <w:rFonts w:hint="eastAsia" w:ascii="宋体" w:hAnsi="宋体"/>
          <w:bCs/>
          <w:color w:val="auto"/>
          <w:sz w:val="24"/>
          <w:highlight w:val="none"/>
        </w:rPr>
        <w:t>年____月____日___时____分</w:t>
      </w:r>
      <w:r>
        <w:rPr>
          <w:rFonts w:hint="eastAsia" w:ascii="宋体" w:hAnsi="宋体"/>
          <w:bCs/>
          <w:color w:val="auto"/>
          <w:sz w:val="24"/>
          <w:highlight w:val="none"/>
          <w:lang w:eastAsia="zh-CN"/>
        </w:rPr>
        <w:t>，凡有意参加投标者，请登录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lang w:eastAsia="zh-CN"/>
        </w:rPr>
        <w:t>下载电子招标文件。</w:t>
      </w:r>
      <w:r>
        <w:rPr>
          <w:rFonts w:hint="eastAsia" w:ascii="宋体" w:hAnsi="宋体"/>
          <w:bCs/>
          <w:color w:val="auto"/>
          <w:sz w:val="24"/>
          <w:highlight w:val="none"/>
        </w:rPr>
        <w:t>（注：发布招标公告的时间为招标公告发出之日起至投标截止时间止）。</w:t>
      </w:r>
    </w:p>
    <w:p>
      <w:pPr>
        <w:widowControl/>
        <w:numPr>
          <w:ilvl w:val="0"/>
          <w:numId w:val="0"/>
        </w:numPr>
        <w:shd w:val="clear" w:color="auto" w:fill="auto"/>
        <w:snapToGrid w:val="0"/>
        <w:spacing w:line="360" w:lineRule="auto"/>
        <w:ind w:left="0" w:firstLine="480" w:firstLineChars="200"/>
        <w:rPr>
          <w:rFonts w:ascii="宋体" w:hAnsi="宋体"/>
          <w:bCs/>
          <w:color w:val="auto"/>
          <w:sz w:val="24"/>
          <w:highlight w:val="none"/>
        </w:rPr>
      </w:pPr>
      <w:r>
        <w:rPr>
          <w:rFonts w:hint="eastAsia" w:ascii="宋体" w:hAnsi="宋体"/>
          <w:bCs/>
          <w:color w:val="auto"/>
          <w:sz w:val="24"/>
          <w:highlight w:val="none"/>
          <w:lang w:val="en-US" w:eastAsia="zh-CN"/>
        </w:rPr>
        <w:t>4.2</w:t>
      </w:r>
      <w:r>
        <w:rPr>
          <w:rFonts w:hint="eastAsia" w:ascii="宋体" w:hAnsi="宋体"/>
          <w:bCs/>
          <w:color w:val="auto"/>
          <w:sz w:val="24"/>
          <w:highlight w:val="none"/>
        </w:rPr>
        <w:t>招标文件获取方式</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本项</w:t>
      </w:r>
      <w:r>
        <w:rPr>
          <w:rFonts w:hint="eastAsia" w:ascii="宋体" w:hAnsi="宋体" w:eastAsia="宋体" w:cs="Times New Roman"/>
          <w:color w:val="auto"/>
          <w:kern w:val="2"/>
          <w:sz w:val="24"/>
          <w:szCs w:val="24"/>
          <w:highlight w:val="none"/>
        </w:rPr>
        <w:t>目招标文件随招标公告一并在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eastAsia="宋体"/>
          <w:color w:val="auto"/>
          <w:sz w:val="24"/>
          <w:szCs w:val="24"/>
          <w:highlight w:val="none"/>
        </w:rPr>
        <w:t>发布</w:t>
      </w:r>
      <w:r>
        <w:rPr>
          <w:rFonts w:hint="eastAsia" w:ascii="宋体" w:hAnsi="宋体" w:eastAsia="宋体" w:cs="Times New Roman"/>
          <w:color w:val="auto"/>
          <w:kern w:val="2"/>
          <w:sz w:val="24"/>
          <w:szCs w:val="24"/>
          <w:highlight w:val="none"/>
        </w:rPr>
        <w:t>，由投标人自行下载。</w:t>
      </w:r>
    </w:p>
    <w:bookmarkEnd w:id="49"/>
    <w:p>
      <w:pPr>
        <w:spacing w:line="360" w:lineRule="auto"/>
        <w:ind w:firstLine="480" w:firstLineChars="200"/>
        <w:rPr>
          <w:rFonts w:ascii="宋体" w:hAnsi="宋体"/>
          <w:color w:val="auto"/>
          <w:sz w:val="24"/>
          <w:szCs w:val="24"/>
          <w:highlight w:val="none"/>
        </w:rPr>
      </w:pPr>
      <w:bookmarkStart w:id="50" w:name="_Toc221949933"/>
      <w:r>
        <w:rPr>
          <w:rFonts w:hint="eastAsia" w:ascii="宋体" w:hAnsi="宋体"/>
          <w:color w:val="auto"/>
          <w:sz w:val="24"/>
          <w:szCs w:val="24"/>
          <w:highlight w:val="none"/>
          <w:lang w:val="en-US" w:eastAsia="zh-CN"/>
        </w:rPr>
        <w:t>4.3</w:t>
      </w:r>
      <w:r>
        <w:rPr>
          <w:rFonts w:hint="eastAsia" w:ascii="宋体" w:hAnsi="宋体"/>
          <w:color w:val="auto"/>
          <w:sz w:val="24"/>
          <w:szCs w:val="24"/>
          <w:highlight w:val="none"/>
        </w:rPr>
        <w:t>招标公告网上发布时，</w:t>
      </w:r>
      <w:r>
        <w:rPr>
          <w:rFonts w:hint="eastAsia" w:ascii="宋体" w:hAnsi="宋体"/>
          <w:bCs/>
          <w:color w:val="auto"/>
          <w:sz w:val="24"/>
          <w:highlight w:val="none"/>
        </w:rPr>
        <w:t>同时</w:t>
      </w:r>
      <w:r>
        <w:rPr>
          <w:rFonts w:hint="eastAsia" w:ascii="宋体" w:hAnsi="宋体" w:eastAsia="宋体" w:cs="Times New Roman"/>
          <w:color w:val="auto"/>
          <w:kern w:val="2"/>
          <w:sz w:val="24"/>
          <w:szCs w:val="24"/>
          <w:highlight w:val="none"/>
        </w:rPr>
        <w:t>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rPr>
        <w:t>发布招标文件、施工图纸、</w:t>
      </w:r>
      <w:r>
        <w:rPr>
          <w:rFonts w:hint="eastAsia" w:ascii="宋体" w:hAnsi="宋体"/>
          <w:bCs/>
          <w:color w:val="auto"/>
          <w:sz w:val="24"/>
          <w:highlight w:val="none"/>
          <w:lang w:eastAsia="zh-CN"/>
        </w:rPr>
        <w:t>最高投标限价</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如招标人需发布补充公告的，以最后发布的补充公告的时间起计算编制投标文件时间，并需在招标答疑中明确说明。</w:t>
      </w:r>
      <w:bookmarkEnd w:id="50"/>
    </w:p>
    <w:p>
      <w:pPr>
        <w:spacing w:line="360" w:lineRule="auto"/>
        <w:ind w:firstLine="542" w:firstLineChars="225"/>
        <w:outlineLvl w:val="9"/>
        <w:rPr>
          <w:rFonts w:ascii="宋体" w:hAnsi="宋体"/>
          <w:b/>
          <w:color w:val="auto"/>
          <w:sz w:val="24"/>
          <w:szCs w:val="24"/>
          <w:highlight w:val="none"/>
        </w:rPr>
      </w:pPr>
      <w:bookmarkStart w:id="51" w:name="_Toc259524300"/>
      <w:bookmarkStart w:id="52" w:name="_Toc21362"/>
      <w:bookmarkStart w:id="53" w:name="_Toc222032636"/>
      <w:bookmarkStart w:id="54" w:name="_Toc24078"/>
      <w:bookmarkStart w:id="55" w:name="_Toc229305327"/>
      <w:bookmarkStart w:id="56" w:name="_Toc144974484"/>
      <w:bookmarkStart w:id="57" w:name="_Toc222030969"/>
      <w:bookmarkStart w:id="58" w:name="_Toc221949934"/>
      <w:bookmarkStart w:id="59" w:name="_Toc168476033"/>
      <w:bookmarkStart w:id="60" w:name="_Toc222029467"/>
      <w:bookmarkStart w:id="61" w:name="_Toc168475630"/>
      <w:bookmarkStart w:id="62" w:name="_Toc31508"/>
      <w:bookmarkStart w:id="63" w:name="_Toc222033818"/>
      <w:r>
        <w:rPr>
          <w:rFonts w:hint="eastAsia" w:ascii="宋体" w:hAnsi="宋体"/>
          <w:b/>
          <w:color w:val="auto"/>
          <w:sz w:val="24"/>
          <w:szCs w:val="24"/>
          <w:highlight w:val="none"/>
        </w:rPr>
        <w:t>5</w:t>
      </w:r>
      <w:r>
        <w:rPr>
          <w:rFonts w:ascii="宋体" w:hAnsi="宋体"/>
          <w:b/>
          <w:color w:val="auto"/>
          <w:sz w:val="24"/>
          <w:szCs w:val="24"/>
          <w:highlight w:val="none"/>
        </w:rPr>
        <w:t>. 投标文件的递交</w:t>
      </w:r>
      <w:bookmarkEnd w:id="51"/>
      <w:bookmarkEnd w:id="52"/>
      <w:bookmarkEnd w:id="53"/>
      <w:bookmarkEnd w:id="54"/>
      <w:bookmarkEnd w:id="55"/>
      <w:bookmarkEnd w:id="56"/>
      <w:bookmarkEnd w:id="57"/>
      <w:bookmarkEnd w:id="58"/>
      <w:bookmarkEnd w:id="59"/>
      <w:bookmarkEnd w:id="60"/>
      <w:bookmarkEnd w:id="61"/>
      <w:bookmarkEnd w:id="62"/>
      <w:bookmarkEnd w:id="63"/>
    </w:p>
    <w:p>
      <w:pPr>
        <w:numPr>
          <w:ilvl w:val="0"/>
          <w:numId w:val="0"/>
        </w:numPr>
        <w:spacing w:line="360" w:lineRule="auto"/>
        <w:ind w:left="0" w:firstLine="480" w:firstLineChars="200"/>
        <w:jc w:val="left"/>
        <w:rPr>
          <w:rFonts w:ascii="宋体" w:hAnsi="宋体"/>
          <w:color w:val="auto"/>
          <w:sz w:val="24"/>
          <w:szCs w:val="24"/>
          <w:highlight w:val="none"/>
        </w:rPr>
      </w:pPr>
      <w:r>
        <w:rPr>
          <w:rFonts w:hint="eastAsia" w:ascii="宋体" w:hAnsi="宋体"/>
          <w:color w:val="auto"/>
          <w:kern w:val="2"/>
          <w:sz w:val="24"/>
          <w:szCs w:val="24"/>
          <w:highlight w:val="none"/>
          <w:lang w:val="en-US" w:eastAsia="zh-CN" w:bidi="ar-SA"/>
        </w:rPr>
        <w:t>5.1</w:t>
      </w:r>
      <w:r>
        <w:rPr>
          <w:rFonts w:hint="eastAsia" w:ascii="宋体" w:hAnsi="宋体"/>
          <w:color w:val="auto"/>
          <w:sz w:val="24"/>
          <w:szCs w:val="24"/>
          <w:highlight w:val="none"/>
        </w:rPr>
        <w:t>递交投标文件</w:t>
      </w:r>
      <w:r>
        <w:rPr>
          <w:rFonts w:hint="eastAsia" w:ascii="宋体" w:hAnsi="宋体"/>
          <w:color w:val="auto"/>
          <w:sz w:val="24"/>
          <w:szCs w:val="24"/>
          <w:highlight w:val="none"/>
          <w:lang w:eastAsia="zh-CN"/>
        </w:rPr>
        <w:t>起始时间：</w:t>
      </w:r>
      <w:r>
        <w:rPr>
          <w:rFonts w:hint="eastAsia" w:ascii="宋体" w:hAnsi="宋体"/>
          <w:color w:val="auto"/>
          <w:sz w:val="24"/>
          <w:szCs w:val="24"/>
          <w:highlight w:val="none"/>
          <w:u w:val="single"/>
          <w:lang w:val="en-US" w:eastAsia="zh-CN"/>
        </w:rPr>
        <w:t>2025</w:t>
      </w:r>
      <w:r>
        <w:rPr>
          <w:rFonts w:hint="eastAsia" w:ascii="宋体" w:hAnsi="宋体"/>
          <w:color w:val="auto"/>
          <w:sz w:val="24"/>
          <w:szCs w:val="24"/>
          <w:highlight w:val="non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pPr>
        <w:numPr>
          <w:ilvl w:val="0"/>
          <w:numId w:val="0"/>
        </w:numPr>
        <w:spacing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截止时间</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lang w:val="en-US" w:eastAsia="zh-CN"/>
        </w:rPr>
        <w:t>2025</w:t>
      </w:r>
      <w:r>
        <w:rPr>
          <w:rFonts w:hint="eastAsia" w:ascii="宋体" w:hAnsi="宋体"/>
          <w:color w:val="auto"/>
          <w:sz w:val="24"/>
          <w:szCs w:val="24"/>
          <w:highlight w:val="non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在投标截止时间后半小时内，投标人通过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lang w:eastAsia="zh-CN"/>
        </w:rPr>
        <w:t>网站</w:t>
      </w:r>
      <w:r>
        <w:rPr>
          <w:rFonts w:hint="eastAsia" w:ascii="宋体" w:hAnsi="宋体" w:cs="宋体"/>
          <w:color w:val="auto"/>
          <w:sz w:val="24"/>
          <w:szCs w:val="24"/>
          <w:highlight w:val="none"/>
        </w:rPr>
        <w:t>对已递交的电子投标文件进行解密。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5.2开标</w:t>
      </w:r>
      <w:r>
        <w:rPr>
          <w:rFonts w:hint="eastAsia" w:ascii="宋体" w:hAnsi="宋体"/>
          <w:color w:val="auto"/>
          <w:sz w:val="24"/>
          <w:szCs w:val="24"/>
          <w:highlight w:val="none"/>
          <w:lang w:eastAsia="zh-CN"/>
        </w:rPr>
        <w:t>开始</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2025</w:t>
      </w:r>
      <w:r>
        <w:rPr>
          <w:rFonts w:hint="eastAsia" w:ascii="宋体" w:hAnsi="宋体"/>
          <w:color w:val="auto"/>
          <w:sz w:val="24"/>
          <w:szCs w:val="24"/>
          <w:highlight w:val="none"/>
        </w:rPr>
        <w:t>年_</w:t>
      </w:r>
      <w:r>
        <w:rPr>
          <w:rFonts w:ascii="宋体" w:hAnsi="宋体"/>
          <w:color w:val="auto"/>
          <w:sz w:val="24"/>
          <w:szCs w:val="24"/>
          <w:highlight w:val="none"/>
        </w:rPr>
        <w:t>_</w:t>
      </w:r>
      <w:r>
        <w:rPr>
          <w:rFonts w:hint="eastAsia" w:ascii="宋体" w:hAnsi="宋体"/>
          <w:color w:val="auto"/>
          <w:sz w:val="24"/>
          <w:szCs w:val="24"/>
          <w:highlight w:val="none"/>
        </w:rPr>
        <w:t>_月_</w:t>
      </w:r>
      <w:r>
        <w:rPr>
          <w:rFonts w:ascii="宋体" w:hAnsi="宋体"/>
          <w:color w:val="auto"/>
          <w:sz w:val="24"/>
          <w:szCs w:val="24"/>
          <w:highlight w:val="none"/>
        </w:rPr>
        <w:t>_</w:t>
      </w:r>
      <w:r>
        <w:rPr>
          <w:rFonts w:hint="eastAsia" w:ascii="宋体" w:hAnsi="宋体"/>
          <w:color w:val="auto"/>
          <w:sz w:val="24"/>
          <w:szCs w:val="24"/>
          <w:highlight w:val="none"/>
        </w:rPr>
        <w:t>_日_</w:t>
      </w:r>
      <w:r>
        <w:rPr>
          <w:rFonts w:ascii="宋体" w:hAnsi="宋体"/>
          <w:color w:val="auto"/>
          <w:sz w:val="24"/>
          <w:szCs w:val="24"/>
          <w:highlight w:val="none"/>
        </w:rPr>
        <w:t>_</w:t>
      </w:r>
      <w:r>
        <w:rPr>
          <w:rFonts w:hint="eastAsia" w:ascii="宋体" w:hAnsi="宋体"/>
          <w:color w:val="auto"/>
          <w:sz w:val="24"/>
          <w:szCs w:val="24"/>
          <w:highlight w:val="none"/>
        </w:rPr>
        <w:t>_时_</w:t>
      </w:r>
      <w:r>
        <w:rPr>
          <w:rFonts w:ascii="宋体" w:hAnsi="宋体"/>
          <w:color w:val="auto"/>
          <w:sz w:val="24"/>
          <w:szCs w:val="24"/>
          <w:highlight w:val="none"/>
        </w:rPr>
        <w:t>_</w:t>
      </w:r>
      <w:r>
        <w:rPr>
          <w:rFonts w:hint="eastAsia" w:ascii="宋体" w:hAnsi="宋体"/>
          <w:color w:val="auto"/>
          <w:sz w:val="24"/>
          <w:szCs w:val="24"/>
          <w:highlight w:val="none"/>
        </w:rPr>
        <w:t>_分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5.3递交投标文件截止时间与开标开始时间是否有变化，请密切留意招标答疑中的相关信息。递交投标文件截止时间后，开标开始时间因故推迟的，相关评标信息仍以原递交投标文件截止时间的信息为准。</w:t>
      </w:r>
    </w:p>
    <w:p>
      <w:pPr>
        <w:widowControl/>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5.4</w:t>
      </w:r>
      <w:r>
        <w:rPr>
          <w:rFonts w:hint="eastAsia" w:ascii="宋体" w:hAnsi="宋体"/>
          <w:color w:val="auto"/>
          <w:sz w:val="24"/>
          <w:szCs w:val="24"/>
          <w:highlight w:val="none"/>
        </w:rPr>
        <w:t>投标人通过</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递交电子投标文件。投标人应在递交投标文件截止时间前，登录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办理网上投标登记手续</w:t>
      </w:r>
      <w:r>
        <w:rPr>
          <w:rFonts w:hint="eastAsia" w:ascii="宋体" w:hAnsi="宋体"/>
          <w:color w:val="auto"/>
          <w:sz w:val="24"/>
          <w:szCs w:val="24"/>
          <w:highlight w:val="none"/>
          <w:lang w:eastAsia="zh-CN"/>
        </w:rPr>
        <w:t>。按照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lang w:eastAsia="zh-CN"/>
        </w:rPr>
        <w:t>关于全流程电子化项目的相关指南进行操作</w:t>
      </w:r>
      <w:r>
        <w:rPr>
          <w:rFonts w:hint="eastAsia" w:ascii="宋体" w:hAnsi="宋体"/>
          <w:color w:val="auto"/>
          <w:sz w:val="24"/>
          <w:szCs w:val="24"/>
          <w:highlight w:val="none"/>
        </w:rPr>
        <w:t>。</w:t>
      </w:r>
    </w:p>
    <w:p>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投标人应自行检查</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信息登记中的企业基础信息扫描件（包括企业资质证书、企业营业执照、企业安全生产许可证、项目负责人相关证书、</w:t>
      </w:r>
      <w:r>
        <w:rPr>
          <w:rFonts w:hint="eastAsia" w:ascii="宋体" w:hAnsi="宋体"/>
          <w:color w:val="auto"/>
          <w:sz w:val="24"/>
          <w:szCs w:val="24"/>
          <w:highlight w:val="none"/>
          <w:lang w:val="en-US" w:eastAsia="zh-CN"/>
        </w:rPr>
        <w:t>专职</w:t>
      </w:r>
      <w:r>
        <w:rPr>
          <w:rFonts w:hint="eastAsia" w:ascii="宋体" w:hAnsi="宋体"/>
          <w:color w:val="auto"/>
          <w:sz w:val="24"/>
          <w:szCs w:val="24"/>
          <w:highlight w:val="none"/>
        </w:rPr>
        <w:t>安全员</w:t>
      </w:r>
      <w:r>
        <w:rPr>
          <w:rFonts w:hint="eastAsia" w:ascii="宋体" w:hAnsi="宋体"/>
          <w:color w:val="auto"/>
          <w:sz w:val="24"/>
          <w:szCs w:val="24"/>
          <w:highlight w:val="none"/>
          <w:lang w:eastAsia="zh-CN"/>
        </w:rPr>
        <w:t>安全生产考核合格证</w:t>
      </w:r>
      <w:r>
        <w:rPr>
          <w:rFonts w:hint="eastAsia" w:ascii="宋体" w:hAnsi="宋体"/>
          <w:color w:val="auto"/>
          <w:sz w:val="24"/>
          <w:szCs w:val="24"/>
          <w:highlight w:val="none"/>
        </w:rPr>
        <w:t>等），评标委员会对上述资料的审查将以递交投标文件截止时间在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信息登记的信息为依据。投标人应及时维护其在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信息登记的信息，确保各项信息在有效期内。如因投标单位资料缺失导致资格审查不通过，责任由投标单位自行承担。</w:t>
      </w:r>
    </w:p>
    <w:p>
      <w:pPr>
        <w:spacing w:line="360" w:lineRule="auto"/>
        <w:ind w:firstLine="542" w:firstLineChars="225"/>
        <w:outlineLvl w:val="9"/>
        <w:rPr>
          <w:rFonts w:hint="eastAsia" w:ascii="宋体" w:hAnsi="宋体" w:eastAsia="宋体"/>
          <w:b/>
          <w:color w:val="auto"/>
          <w:sz w:val="24"/>
          <w:szCs w:val="24"/>
          <w:highlight w:val="none"/>
          <w:lang w:eastAsia="zh-CN"/>
        </w:rPr>
      </w:pPr>
      <w:bookmarkStart w:id="64" w:name="_Toc25868"/>
      <w:bookmarkStart w:id="65" w:name="_Toc19442"/>
      <w:bookmarkStart w:id="66" w:name="_Toc6218"/>
      <w:bookmarkStart w:id="67" w:name="_Toc222030970"/>
      <w:bookmarkStart w:id="68" w:name="_Toc222032637"/>
      <w:bookmarkStart w:id="69" w:name="_Toc221949937"/>
      <w:bookmarkStart w:id="70" w:name="_Toc229305328"/>
      <w:bookmarkStart w:id="71" w:name="_Toc259524301"/>
      <w:bookmarkStart w:id="72" w:name="_Toc222029468"/>
      <w:bookmarkStart w:id="73" w:name="_Toc222033819"/>
      <w:r>
        <w:rPr>
          <w:rFonts w:hint="eastAsia" w:ascii="宋体" w:hAnsi="宋体"/>
          <w:b/>
          <w:color w:val="auto"/>
          <w:sz w:val="24"/>
          <w:szCs w:val="24"/>
          <w:highlight w:val="none"/>
        </w:rPr>
        <w:t>6、办理</w:t>
      </w:r>
      <w:r>
        <w:rPr>
          <w:rFonts w:hint="eastAsia" w:ascii="宋体" w:hAnsi="宋体"/>
          <w:b/>
          <w:color w:val="auto"/>
          <w:sz w:val="24"/>
          <w:szCs w:val="24"/>
          <w:highlight w:val="none"/>
          <w:lang w:eastAsia="zh-CN"/>
        </w:rPr>
        <w:t>企业信息登记</w:t>
      </w:r>
      <w:bookmarkEnd w:id="64"/>
      <w:bookmarkEnd w:id="65"/>
      <w:bookmarkEnd w:id="66"/>
    </w:p>
    <w:p>
      <w:pPr>
        <w:spacing w:line="360" w:lineRule="auto"/>
        <w:ind w:firstLine="480" w:firstLineChars="200"/>
        <w:rPr>
          <w:rFonts w:hint="eastAsia" w:ascii="宋体" w:hAnsi="宋体"/>
          <w:color w:val="auto"/>
          <w:sz w:val="24"/>
          <w:szCs w:val="24"/>
          <w:highlight w:val="none"/>
        </w:rPr>
      </w:pPr>
      <w:r>
        <w:rPr>
          <w:rFonts w:hint="eastAsia"/>
          <w:color w:val="auto"/>
          <w:sz w:val="24"/>
          <w:highlight w:val="none"/>
        </w:rPr>
        <w:t>本次招标要求投标人办理网上投标登记前，须在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color w:val="auto"/>
          <w:sz w:val="24"/>
          <w:highlight w:val="none"/>
        </w:rPr>
        <w:t>完成企业信息登记，及拟担任本工程项目负责人、专职安全员须是本企业信息登记中的在册人员。</w:t>
      </w:r>
      <w:r>
        <w:rPr>
          <w:rFonts w:hint="eastAsia" w:ascii="宋体" w:hAnsi="宋体" w:cs="宋体"/>
          <w:color w:val="auto"/>
          <w:kern w:val="0"/>
          <w:sz w:val="24"/>
          <w:szCs w:val="24"/>
          <w:highlight w:val="none"/>
        </w:rPr>
        <w:t>企业信息登记应按照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s="宋体"/>
          <w:color w:val="auto"/>
          <w:kern w:val="0"/>
          <w:sz w:val="24"/>
          <w:szCs w:val="24"/>
          <w:highlight w:val="none"/>
        </w:rPr>
        <w:t>关于企业信息登记的相关指南进行操作。</w:t>
      </w:r>
    </w:p>
    <w:p>
      <w:pPr>
        <w:ind w:firstLine="542" w:firstLineChars="225"/>
        <w:outlineLvl w:val="9"/>
        <w:rPr>
          <w:rFonts w:hint="eastAsia" w:ascii="宋体" w:hAnsi="宋体" w:cs="宋体"/>
          <w:b/>
          <w:color w:val="auto"/>
          <w:kern w:val="0"/>
          <w:sz w:val="24"/>
          <w:szCs w:val="24"/>
          <w:highlight w:val="none"/>
        </w:rPr>
      </w:pPr>
      <w:bookmarkStart w:id="74" w:name="_Toc1969"/>
      <w:bookmarkStart w:id="75" w:name="_Toc28566"/>
      <w:bookmarkStart w:id="76" w:name="_Toc18373"/>
      <w:r>
        <w:rPr>
          <w:rFonts w:hint="eastAsia" w:ascii="宋体" w:hAnsi="宋体" w:cs="宋体"/>
          <w:b/>
          <w:color w:val="auto"/>
          <w:kern w:val="0"/>
          <w:sz w:val="24"/>
          <w:szCs w:val="24"/>
          <w:highlight w:val="none"/>
          <w:lang w:val="en-US" w:eastAsia="zh-CN"/>
        </w:rPr>
        <w:t>7</w:t>
      </w:r>
      <w:r>
        <w:rPr>
          <w:rFonts w:hint="eastAsia" w:ascii="宋体" w:hAnsi="宋体" w:cs="宋体"/>
          <w:b/>
          <w:color w:val="auto"/>
          <w:kern w:val="0"/>
          <w:sz w:val="24"/>
          <w:szCs w:val="24"/>
          <w:highlight w:val="none"/>
        </w:rPr>
        <w:t>. 疑问、异议和投诉处理</w:t>
      </w:r>
      <w:bookmarkEnd w:id="74"/>
      <w:bookmarkEnd w:id="75"/>
      <w:bookmarkEnd w:id="76"/>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.1</w:t>
      </w:r>
      <w:r>
        <w:rPr>
          <w:rFonts w:hint="eastAsia"/>
          <w:color w:val="auto"/>
          <w:sz w:val="24"/>
          <w:highlight w:val="none"/>
        </w:rPr>
        <w:t>关于疑问、异议、投诉的基本概念和处理程序详见</w:t>
      </w:r>
      <w:r>
        <w:rPr>
          <w:rFonts w:hint="eastAsia"/>
          <w:color w:val="auto"/>
          <w:sz w:val="24"/>
          <w:highlight w:val="none"/>
          <w:lang w:eastAsia="zh-CN"/>
        </w:rPr>
        <w:t>《中华人民共和国招标投标法》、《中华人民共和国招标投标法实施条例》、《工程建设项目招标投标活动投诉处理办法》</w:t>
      </w:r>
      <w:r>
        <w:rPr>
          <w:rFonts w:hint="eastAsia"/>
          <w:color w:val="auto"/>
          <w:sz w:val="24"/>
          <w:szCs w:val="24"/>
          <w:highlight w:val="none"/>
          <w:lang w:eastAsia="zh-CN"/>
        </w:rPr>
        <w:t>和</w:t>
      </w:r>
      <w:r>
        <w:rPr>
          <w:rFonts w:hint="eastAsia" w:ascii="宋体" w:hAnsi="宋体" w:eastAsia="宋体" w:cs="宋体"/>
          <w:color w:val="auto"/>
          <w:sz w:val="24"/>
          <w:szCs w:val="24"/>
          <w:highlight w:val="none"/>
        </w:rPr>
        <w:t>《广州市水务局关于进一步加强水务工程项目招标投标活动监督管理工作的通知》（穗水建管〔2023〕78号）</w:t>
      </w:r>
      <w:r>
        <w:rPr>
          <w:rFonts w:hint="eastAsia"/>
          <w:color w:val="auto"/>
          <w:sz w:val="24"/>
          <w:highlight w:val="none"/>
        </w:rPr>
        <w:t>。</w:t>
      </w:r>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67"/>
    <w:bookmarkEnd w:id="68"/>
    <w:bookmarkEnd w:id="69"/>
    <w:bookmarkEnd w:id="70"/>
    <w:bookmarkEnd w:id="71"/>
    <w:bookmarkEnd w:id="72"/>
    <w:bookmarkEnd w:id="73"/>
    <w:p>
      <w:pPr>
        <w:spacing w:line="360" w:lineRule="auto"/>
        <w:ind w:firstLine="542" w:firstLineChars="225"/>
        <w:outlineLvl w:val="9"/>
        <w:rPr>
          <w:rFonts w:ascii="宋体" w:hAnsi="宋体"/>
          <w:b/>
          <w:color w:val="auto"/>
          <w:sz w:val="24"/>
          <w:szCs w:val="24"/>
          <w:highlight w:val="none"/>
        </w:rPr>
      </w:pPr>
      <w:bookmarkStart w:id="77" w:name="_Toc222030971"/>
      <w:bookmarkStart w:id="78" w:name="_Toc22609"/>
      <w:bookmarkStart w:id="79" w:name="_Toc168476034"/>
      <w:bookmarkStart w:id="80" w:name="_Toc221949939"/>
      <w:bookmarkStart w:id="81" w:name="_Toc222029469"/>
      <w:bookmarkStart w:id="82" w:name="_Toc222032638"/>
      <w:bookmarkStart w:id="83" w:name="_Toc229305329"/>
      <w:bookmarkStart w:id="84" w:name="_Toc222033820"/>
      <w:bookmarkStart w:id="85" w:name="_Toc891"/>
      <w:bookmarkStart w:id="86" w:name="_Toc168475631"/>
      <w:bookmarkStart w:id="87" w:name="_Toc259524302"/>
      <w:bookmarkStart w:id="88" w:name="_Toc15462"/>
      <w:r>
        <w:rPr>
          <w:rFonts w:hint="eastAsia" w:ascii="宋体" w:hAnsi="宋体"/>
          <w:b/>
          <w:color w:val="auto"/>
          <w:sz w:val="24"/>
          <w:szCs w:val="24"/>
          <w:highlight w:val="none"/>
          <w:lang w:val="en-US" w:eastAsia="zh-CN"/>
        </w:rPr>
        <w:t>8</w:t>
      </w:r>
      <w:r>
        <w:rPr>
          <w:rFonts w:ascii="宋体" w:hAnsi="宋体"/>
          <w:b/>
          <w:color w:val="auto"/>
          <w:sz w:val="24"/>
          <w:szCs w:val="24"/>
          <w:highlight w:val="none"/>
        </w:rPr>
        <w:t xml:space="preserve">. </w:t>
      </w:r>
      <w:r>
        <w:rPr>
          <w:rFonts w:hint="eastAsia" w:ascii="宋体" w:hAnsi="宋体"/>
          <w:b/>
          <w:color w:val="auto"/>
          <w:sz w:val="24"/>
          <w:szCs w:val="24"/>
          <w:highlight w:val="none"/>
        </w:rPr>
        <w:t>发布公告的媒介</w:t>
      </w:r>
      <w:bookmarkEnd w:id="77"/>
      <w:bookmarkEnd w:id="78"/>
      <w:bookmarkEnd w:id="79"/>
      <w:bookmarkEnd w:id="80"/>
      <w:bookmarkEnd w:id="81"/>
      <w:bookmarkEnd w:id="82"/>
      <w:bookmarkEnd w:id="83"/>
      <w:bookmarkEnd w:id="84"/>
      <w:bookmarkEnd w:id="85"/>
      <w:bookmarkEnd w:id="86"/>
      <w:bookmarkEnd w:id="87"/>
      <w:bookmarkEnd w:id="88"/>
    </w:p>
    <w:p>
      <w:pPr>
        <w:spacing w:line="360" w:lineRule="auto"/>
        <w:ind w:firstLine="480" w:firstLineChars="200"/>
        <w:rPr>
          <w:rFonts w:ascii="宋体" w:hAnsi="宋体"/>
          <w:color w:val="auto"/>
          <w:sz w:val="24"/>
          <w:szCs w:val="24"/>
          <w:highlight w:val="none"/>
        </w:rPr>
      </w:pPr>
      <w:bookmarkStart w:id="89" w:name="_Toc221949940"/>
      <w:r>
        <w:rPr>
          <w:rFonts w:hint="eastAsia" w:ascii="宋体" w:hAnsi="宋体"/>
          <w:bCs/>
          <w:color w:val="auto"/>
          <w:sz w:val="24"/>
          <w:highlight w:val="none"/>
        </w:rPr>
        <w:t>本公告在</w:t>
      </w:r>
      <w:r>
        <w:rPr>
          <w:rFonts w:hint="eastAsia" w:ascii="宋体" w:hAnsi="宋体"/>
          <w:bCs/>
          <w:color w:val="auto"/>
          <w:sz w:val="24"/>
          <w:highlight w:val="none"/>
          <w:lang w:eastAsia="zh-CN"/>
        </w:rPr>
        <w:t>广州交易集团有限公司（广州公共资源交易中心）</w:t>
      </w:r>
      <w:r>
        <w:rPr>
          <w:rFonts w:hint="eastAsia" w:ascii="宋体" w:hAnsi="宋体"/>
          <w:bCs/>
          <w:color w:val="auto"/>
          <w:sz w:val="24"/>
          <w:highlight w:val="none"/>
        </w:rPr>
        <w:t>网（网址：http://www.gzggzy.cn）、广东省招标投标监管网（网址：</w:t>
      </w:r>
      <w:r>
        <w:rPr>
          <w:rFonts w:ascii="宋体" w:hAnsi="宋体"/>
          <w:bCs/>
          <w:color w:val="auto"/>
          <w:sz w:val="24"/>
          <w:highlight w:val="none"/>
        </w:rPr>
        <w:t xml:space="preserve"> http://zbtb.gd.gov.cn/login</w:t>
      </w:r>
      <w:r>
        <w:rPr>
          <w:rFonts w:hint="eastAsia" w:ascii="宋体" w:hAnsi="宋体"/>
          <w:bCs/>
          <w:color w:val="auto"/>
          <w:sz w:val="24"/>
          <w:highlight w:val="none"/>
        </w:rPr>
        <w:t>）和中国招标投标公共服务平台（网址：http://www.cebpubservice.com/）发布，本公告的修改、补充，在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rPr>
        <w:t>发布</w:t>
      </w:r>
      <w:r>
        <w:rPr>
          <w:rFonts w:hint="eastAsia" w:ascii="宋体" w:hAnsi="宋体"/>
          <w:color w:val="auto"/>
          <w:sz w:val="24"/>
          <w:szCs w:val="24"/>
          <w:highlight w:val="none"/>
        </w:rPr>
        <w:t>。</w:t>
      </w:r>
      <w:bookmarkEnd w:id="89"/>
    </w:p>
    <w:p>
      <w:pPr>
        <w:spacing w:line="360" w:lineRule="auto"/>
        <w:ind w:firstLine="542" w:firstLineChars="225"/>
        <w:rPr>
          <w:rFonts w:hint="eastAsia" w:ascii="宋体" w:hAnsi="宋体" w:eastAsia="宋体" w:cs="宋体"/>
          <w:b w:val="0"/>
          <w:bCs w:val="0"/>
          <w:color w:val="auto"/>
          <w:sz w:val="24"/>
          <w:szCs w:val="24"/>
          <w:highlight w:val="none"/>
          <w:lang w:val="en-US" w:eastAsia="zh-CN"/>
        </w:rPr>
      </w:pPr>
      <w:bookmarkStart w:id="90" w:name="_Toc168475632"/>
      <w:bookmarkStart w:id="91" w:name="_Toc222030972"/>
      <w:bookmarkStart w:id="92" w:name="_Toc229305330"/>
      <w:bookmarkStart w:id="93" w:name="_Toc168476035"/>
      <w:bookmarkStart w:id="94" w:name="_Toc221949941"/>
      <w:bookmarkStart w:id="95" w:name="_Toc222033821"/>
      <w:bookmarkStart w:id="96" w:name="_Toc222029470"/>
      <w:bookmarkStart w:id="97" w:name="_Toc259524303"/>
      <w:bookmarkStart w:id="98" w:name="_Toc222032639"/>
      <w:bookmarkStart w:id="99" w:name="_Toc144974485"/>
      <w:r>
        <w:rPr>
          <w:rFonts w:hint="eastAsia" w:ascii="宋体" w:hAnsi="宋体"/>
          <w:b/>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542" w:firstLineChars="225"/>
        <w:outlineLvl w:val="9"/>
        <w:rPr>
          <w:rFonts w:ascii="宋体" w:hAnsi="宋体"/>
          <w:b/>
          <w:color w:val="auto"/>
          <w:sz w:val="24"/>
          <w:szCs w:val="24"/>
          <w:highlight w:val="none"/>
        </w:rPr>
      </w:pPr>
      <w:bookmarkStart w:id="100" w:name="_Toc25943"/>
      <w:bookmarkStart w:id="101" w:name="_Toc7005"/>
      <w:bookmarkStart w:id="102" w:name="_Toc32624"/>
      <w:r>
        <w:rPr>
          <w:rFonts w:hint="eastAsia" w:ascii="宋体" w:hAnsi="宋体"/>
          <w:b/>
          <w:color w:val="auto"/>
          <w:sz w:val="24"/>
          <w:szCs w:val="24"/>
          <w:highlight w:val="none"/>
          <w:lang w:val="en-US" w:eastAsia="zh-CN"/>
        </w:rPr>
        <w:t>10</w:t>
      </w:r>
      <w:r>
        <w:rPr>
          <w:rFonts w:ascii="宋体" w:hAnsi="宋体"/>
          <w:b/>
          <w:color w:val="auto"/>
          <w:sz w:val="24"/>
          <w:szCs w:val="24"/>
          <w:highlight w:val="none"/>
        </w:rPr>
        <w:t>. 联系方式</w:t>
      </w:r>
      <w:bookmarkEnd w:id="90"/>
      <w:bookmarkEnd w:id="91"/>
      <w:bookmarkEnd w:id="92"/>
      <w:bookmarkEnd w:id="93"/>
      <w:bookmarkEnd w:id="94"/>
      <w:bookmarkEnd w:id="95"/>
      <w:bookmarkEnd w:id="96"/>
      <w:bookmarkEnd w:id="97"/>
      <w:bookmarkEnd w:id="98"/>
      <w:bookmarkEnd w:id="99"/>
      <w:bookmarkEnd w:id="100"/>
      <w:bookmarkEnd w:id="101"/>
      <w:bookmarkEnd w:id="102"/>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招标人：广州市自来水有限公司</w:t>
      </w:r>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联系人：广州市越秀区中山一路12号</w:t>
      </w:r>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联系电话：王工</w:t>
      </w:r>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联系地址：020-87159014</w:t>
      </w:r>
    </w:p>
    <w:p>
      <w:pPr>
        <w:snapToGrid w:val="0"/>
        <w:spacing w:line="440" w:lineRule="exact"/>
        <w:rPr>
          <w:rFonts w:hint="eastAsia" w:ascii="宋体" w:hAnsi="宋体" w:eastAsia="宋体" w:cs="宋体"/>
          <w:color w:val="auto"/>
          <w:kern w:val="0"/>
          <w:sz w:val="24"/>
          <w:szCs w:val="24"/>
          <w:highlight w:val="none"/>
          <w:lang w:val="en-US" w:eastAsia="zh-CN"/>
        </w:rPr>
      </w:pPr>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招标代理：广东省城规建设监理有限公司</w:t>
      </w:r>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联系人：叶工</w:t>
      </w:r>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联系电话：020-83560819/13824451276</w:t>
      </w:r>
    </w:p>
    <w:p>
      <w:pPr>
        <w:snapToGrid w:val="0"/>
        <w:spacing w:line="44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联系地址：广州市白云区启德路77号广州法务大厦北塔6楼</w:t>
      </w:r>
    </w:p>
    <w:p>
      <w:pPr>
        <w:snapToGrid w:val="0"/>
        <w:spacing w:line="440" w:lineRule="exact"/>
        <w:rPr>
          <w:rFonts w:hint="eastAsia" w:ascii="宋体" w:hAnsi="宋体" w:eastAsia="宋体" w:cs="宋体"/>
          <w:color w:val="auto"/>
          <w:kern w:val="0"/>
          <w:sz w:val="24"/>
          <w:szCs w:val="24"/>
          <w:highlight w:val="none"/>
        </w:rPr>
      </w:pPr>
    </w:p>
    <w:p>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rPr>
        <w:t>招标监管部门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广州市水务工程招标投标管理中心</w:t>
      </w:r>
    </w:p>
    <w:p>
      <w:pPr>
        <w:snapToGrid w:val="0"/>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1"/>
          <w:highlight w:val="none"/>
          <w:u w:val="single"/>
        </w:rPr>
        <w:t>020-</w:t>
      </w:r>
      <w:r>
        <w:rPr>
          <w:rFonts w:hint="eastAsia" w:ascii="宋体" w:hAnsi="宋体" w:eastAsia="宋体" w:cs="宋体"/>
          <w:color w:val="auto"/>
          <w:sz w:val="24"/>
          <w:highlight w:val="none"/>
          <w:u w:val="single"/>
        </w:rPr>
        <w:t>88521061</w:t>
      </w:r>
    </w:p>
    <w:p>
      <w:pPr>
        <w:snapToGrid w:val="0"/>
        <w:spacing w:line="440" w:lineRule="exact"/>
        <w:rPr>
          <w:rFonts w:hint="default" w:ascii="宋体" w:hAnsi="宋体" w:eastAsia="宋体" w:cs="宋体"/>
          <w:color w:val="auto"/>
          <w:sz w:val="24"/>
          <w:highlight w:val="none"/>
          <w:lang w:val="en-US"/>
        </w:rPr>
      </w:pPr>
      <w:r>
        <w:rPr>
          <w:rFonts w:hint="eastAsia" w:ascii="宋体" w:hAnsi="宋体" w:eastAsia="宋体" w:cs="宋体"/>
          <w:color w:val="auto"/>
          <w:sz w:val="24"/>
          <w:szCs w:val="24"/>
          <w:highlight w:val="none"/>
          <w:u w:val="single"/>
        </w:rPr>
        <w:t>地址：</w:t>
      </w:r>
      <w:r>
        <w:rPr>
          <w:rFonts w:hint="eastAsia" w:ascii="宋体" w:hAnsi="宋体" w:eastAsia="宋体" w:cs="宋体"/>
          <w:color w:val="auto"/>
          <w:sz w:val="24"/>
          <w:szCs w:val="21"/>
          <w:highlight w:val="none"/>
          <w:u w:val="single"/>
        </w:rPr>
        <w:t>广州市天河区瘦狗岭路555号</w:t>
      </w:r>
      <w:r>
        <w:rPr>
          <w:rFonts w:hint="eastAsia" w:ascii="宋体" w:hAnsi="宋体" w:eastAsia="宋体" w:cs="宋体"/>
          <w:color w:val="auto"/>
          <w:sz w:val="24"/>
          <w:szCs w:val="21"/>
          <w:highlight w:val="none"/>
          <w:u w:val="single"/>
          <w:lang w:val="en-US" w:eastAsia="zh-CN"/>
        </w:rPr>
        <w:t>9楼</w:t>
      </w:r>
    </w:p>
    <w:p>
      <w:pPr>
        <w:spacing w:line="360" w:lineRule="auto"/>
        <w:rPr>
          <w:rFonts w:ascii="宋体" w:hAnsi="宋体"/>
          <w:color w:val="auto"/>
          <w:sz w:val="24"/>
          <w:szCs w:val="24"/>
          <w:highlight w:val="none"/>
        </w:rPr>
      </w:pPr>
    </w:p>
    <w:p>
      <w:pPr>
        <w:spacing w:line="480" w:lineRule="auto"/>
        <w:jc w:val="right"/>
        <w:rPr>
          <w:rFonts w:hint="eastAsia" w:ascii="宋体" w:hAnsi="宋体"/>
          <w:color w:val="auto"/>
          <w:sz w:val="24"/>
          <w:highlight w:val="none"/>
        </w:rPr>
      </w:pPr>
      <w:r>
        <w:rPr>
          <w:rFonts w:hint="eastAsia" w:ascii="宋体" w:hAnsi="宋体"/>
          <w:color w:val="auto"/>
          <w:sz w:val="24"/>
          <w:highlight w:val="none"/>
          <w:lang w:val="en-US" w:eastAsia="zh-CN"/>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6</w:t>
      </w:r>
      <w:r>
        <w:rPr>
          <w:rFonts w:hint="eastAsia" w:ascii="宋体" w:hAnsi="宋体"/>
          <w:color w:val="auto"/>
          <w:sz w:val="24"/>
          <w:highlight w:val="none"/>
        </w:rPr>
        <w:t>月</w:t>
      </w:r>
      <w:r>
        <w:rPr>
          <w:rFonts w:hint="eastAsia" w:ascii="宋体" w:hAnsi="宋体"/>
          <w:color w:val="auto"/>
          <w:sz w:val="24"/>
          <w:highlight w:val="none"/>
          <w:u w:val="single"/>
          <w:lang w:val="en-US" w:eastAsia="zh-CN"/>
        </w:rPr>
        <w:t>5</w:t>
      </w:r>
      <w:r>
        <w:rPr>
          <w:rFonts w:hint="eastAsia" w:ascii="宋体" w:hAnsi="宋体"/>
          <w:color w:val="auto"/>
          <w:sz w:val="24"/>
          <w:highlight w:val="none"/>
        </w:rPr>
        <w:t>日</w:t>
      </w:r>
    </w:p>
    <w:p>
      <w:pPr>
        <w:spacing w:line="480" w:lineRule="auto"/>
        <w:jc w:val="right"/>
        <w:rPr>
          <w:rFonts w:hint="eastAsia" w:ascii="宋体" w:hAnsi="宋体"/>
          <w:color w:val="auto"/>
          <w:sz w:val="24"/>
          <w:highlight w:val="none"/>
        </w:rPr>
      </w:pPr>
      <w:bookmarkStart w:id="103" w:name="_GoBack"/>
      <w:bookmarkEnd w:id="103"/>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附件一：</w:t>
      </w:r>
    </w:p>
    <w:p>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color w:val="auto"/>
          <w:kern w:val="0"/>
          <w:sz w:val="44"/>
          <w:szCs w:val="44"/>
          <w:highlight w:val="none"/>
        </w:rPr>
        <w:t>投标人</w:t>
      </w:r>
      <w:r>
        <w:rPr>
          <w:rFonts w:hint="eastAsia" w:ascii="宋体" w:hAnsi="宋体" w:eastAsia="宋体" w:cs="宋体"/>
          <w:b/>
          <w:color w:val="auto"/>
          <w:sz w:val="44"/>
          <w:szCs w:val="44"/>
          <w:highlight w:val="none"/>
        </w:rPr>
        <w:t>声明</w:t>
      </w:r>
    </w:p>
    <w:p>
      <w:pPr>
        <w:pStyle w:val="14"/>
        <w:ind w:firstLine="0"/>
        <w:rPr>
          <w:rFonts w:hint="eastAsia" w:ascii="宋体" w:hAnsi="宋体" w:eastAsia="宋体" w:cs="宋体"/>
          <w:color w:val="auto"/>
          <w:sz w:val="24"/>
          <w:szCs w:val="24"/>
          <w:highlight w:val="none"/>
          <w:lang w:eastAsia="zh-CN"/>
        </w:rPr>
      </w:pPr>
    </w:p>
    <w:p>
      <w:pPr>
        <w:pStyle w:val="14"/>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广州市水务局</w:t>
      </w:r>
      <w:r>
        <w:rPr>
          <w:rFonts w:hint="eastAsia" w:ascii="宋体" w:hAnsi="宋体" w:eastAsia="宋体" w:cs="宋体"/>
          <w:color w:val="auto"/>
          <w:sz w:val="24"/>
          <w:szCs w:val="24"/>
          <w:highlight w:val="none"/>
        </w:rPr>
        <w:t>、本招标项目招标人及招标监管机构：</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（1）为招标人不具有独立法人资格的附属机构（单位）；</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（2）为本标段前期准备提供设计或咨询服务或者与本项目设计人或提供咨询服务的机构存在附属关系的；</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（3）为本项目监理人或者与本项目监理人存在隶属关系或者其他利害关系；</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（4）为本标段的代建人；</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（5）为本标段提供招标代理服务的；</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（6）与本标段的监理人或代建人或招标代理机构同为一个法定代表人的；</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（7）与本标段的监理人或代建人或招标代理机构互相控股或参股的；</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（8）与本标段的监理人或代建人或招标代理机构相互任职或工作的；</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（9）与本</w:t>
      </w:r>
      <w:r>
        <w:rPr>
          <w:rFonts w:hint="eastAsia" w:ascii="宋体" w:hAnsi="宋体" w:eastAsia="宋体"/>
          <w:color w:val="auto"/>
          <w:sz w:val="24"/>
          <w:szCs w:val="24"/>
          <w:highlight w:val="none"/>
          <w:lang w:eastAsia="zh-CN"/>
        </w:rPr>
        <w:t>标段</w:t>
      </w:r>
      <w:r>
        <w:rPr>
          <w:rFonts w:hint="eastAsia" w:ascii="宋体" w:hAnsi="宋体" w:eastAsia="宋体"/>
          <w:color w:val="auto"/>
          <w:sz w:val="24"/>
          <w:szCs w:val="24"/>
          <w:highlight w:val="none"/>
        </w:rPr>
        <w:t>的检测机构、建设、监理单位以及建筑材料、建筑构配件和设备供应商有隶属关系或者其他利害关系有隶属关系或者其他利害关系；</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（10）与招标人存在利害关系且可能影响招标公正性；</w:t>
      </w:r>
    </w:p>
    <w:p>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（13）进入清算程序，或被宣布破产，或其他丧失履约能力的情形；</w:t>
      </w:r>
    </w:p>
    <w:p>
      <w:pPr>
        <w:pStyle w:val="1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4"/>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（15）法律法规规定的其他情形</w:t>
      </w:r>
      <w:r>
        <w:rPr>
          <w:rFonts w:hint="eastAsia" w:ascii="宋体" w:hAnsi="宋体" w:eastAsia="宋体" w:cs="Times New Roman"/>
          <w:color w:val="auto"/>
          <w:sz w:val="24"/>
          <w:szCs w:val="24"/>
          <w:highlight w:val="none"/>
        </w:rPr>
        <w:t>。</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w:t>
      </w:r>
      <w:r>
        <w:rPr>
          <w:rFonts w:hint="eastAsia" w:ascii="宋体" w:hAnsi="宋体" w:eastAsia="宋体" w:cs="Times New Roman"/>
          <w:color w:val="auto"/>
          <w:sz w:val="24"/>
          <w:szCs w:val="24"/>
          <w:highlight w:val="none"/>
          <w:lang w:eastAsia="zh-CN"/>
        </w:rPr>
        <w:t>《住房和城乡建设部人力资源社会保障部关于修改&lt;建筑工人实名制管理办法（试行）&gt;的通知》（建市〔2022〕59号）、《住房城乡建设部 人力资源社会保障部关于印发建筑工人实名管理办法（试行）的通知》（建市〔2019〕18号）、《工程建设领域农民工工资专用账户管理暂行办法》（人社部发〔2021〕53号）、《广州市住房和城乡建设局关于印发广州市建筑施工实名制管理办法的通知》（穗建规字〔2020〕18号）、《关于印发广州市建设领域工人工资支付分账管理实施细则的通知》（穗建规字〔2020〕37号）、《广州市住房和城乡建设局关于公布第五批广州市建设领域工人工资支付分账管理业务银行名录的通知》（穗建筑〔2022〕1号）、《广州市住房和城乡建设局关于进一步征集广州市建设领域工人工资支付分账业务银行的通知》（穗建筑〔2021〕673号）、《广州市水务局转发广州市根治拖欠农民工工资工作领导小组办公室关于广州市建设领域工程项目全面实施农民工工资总包代发制度的通知》（穗水投收字〔2020〕5031号）、《保障农民工工资支付条例》、《广州市水务投资集团有限公司农民工工资纠纷突发事件应急处置工作指引（试行）》</w:t>
      </w:r>
      <w:r>
        <w:rPr>
          <w:rFonts w:hint="eastAsia" w:ascii="宋体" w:hAnsi="宋体" w:eastAsia="宋体"/>
          <w:color w:val="auto"/>
          <w:sz w:val="24"/>
          <w:szCs w:val="24"/>
          <w:highlight w:val="none"/>
        </w:rPr>
        <w:t>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w:t>
      </w:r>
      <w:r>
        <w:rPr>
          <w:rFonts w:hint="eastAsia" w:ascii="宋体" w:hAnsi="宋体" w:eastAsia="宋体"/>
          <w:color w:val="auto"/>
          <w:sz w:val="24"/>
          <w:szCs w:val="24"/>
          <w:highlight w:val="none"/>
          <w:lang w:eastAsia="zh-CN"/>
        </w:rPr>
        <w:t>水</w:t>
      </w:r>
      <w:r>
        <w:rPr>
          <w:rFonts w:hint="eastAsia" w:ascii="宋体" w:hAnsi="宋体" w:eastAsia="宋体"/>
          <w:color w:val="auto"/>
          <w:sz w:val="24"/>
          <w:szCs w:val="24"/>
          <w:highlight w:val="none"/>
        </w:rPr>
        <w:t>行政主管部门的监督、检查。</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4"/>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4"/>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十二</w:t>
      </w:r>
      <w:r>
        <w:rPr>
          <w:rFonts w:hint="eastAsia" w:ascii="宋体" w:hAnsi="宋体" w:eastAsia="宋体"/>
          <w:color w:val="auto"/>
          <w:sz w:val="24"/>
          <w:szCs w:val="24"/>
          <w:highlight w:val="none"/>
          <w:lang w:val="en-US" w:eastAsia="zh-CN"/>
        </w:rPr>
        <w:t>、本公司积极响应广州市关于投身“百千万工程”的号召，主动参与政府投资类建设工程施工项目的建筑业结对帮扶等活动（市属国有企业投资项目参照执行）。</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pacing w:line="360" w:lineRule="auto"/>
        <w:ind w:firstLine="240" w:firstLineChars="100"/>
        <w:jc w:val="left"/>
        <w:rPr>
          <w:rFonts w:hint="eastAsia" w:ascii="宋体" w:hAnsi="宋体" w:eastAsia="宋体" w:cs="宋体"/>
          <w:color w:val="auto"/>
          <w:sz w:val="24"/>
          <w:szCs w:val="24"/>
          <w:highlight w:val="none"/>
        </w:rPr>
      </w:pPr>
    </w:p>
    <w:p>
      <w:pPr>
        <w:pStyle w:val="15"/>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pPr>
        <w:pStyle w:val="14"/>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pPr>
        <w:pStyle w:val="14"/>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p>
    <w:p>
      <w:pPr>
        <w:pStyle w:val="14"/>
        <w:ind w:right="879"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pPr>
        <w:pStyle w:val="14"/>
        <w:ind w:right="879" w:firstLine="2160" w:firstLineChars="9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r>
        <w:rPr>
          <w:rFonts w:hint="eastAsia" w:ascii="宋体" w:hAnsi="宋体" w:eastAsia="宋体" w:cs="宋体"/>
          <w:color w:val="auto"/>
          <w:sz w:val="24"/>
          <w:szCs w:val="24"/>
          <w:highlight w:val="none"/>
        </w:rPr>
        <w:t>注：招标人应当要求投标人的项目负责人和技术负责人签字。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415B4"/>
    <w:rsid w:val="01092CB4"/>
    <w:rsid w:val="013F5DD2"/>
    <w:rsid w:val="020B56EB"/>
    <w:rsid w:val="02A67BAD"/>
    <w:rsid w:val="033D4F45"/>
    <w:rsid w:val="038970F5"/>
    <w:rsid w:val="03CE12DC"/>
    <w:rsid w:val="04B8692E"/>
    <w:rsid w:val="05990087"/>
    <w:rsid w:val="05D14920"/>
    <w:rsid w:val="075455F6"/>
    <w:rsid w:val="07B676E6"/>
    <w:rsid w:val="08244C1B"/>
    <w:rsid w:val="082877A0"/>
    <w:rsid w:val="087941E1"/>
    <w:rsid w:val="0889295B"/>
    <w:rsid w:val="09000A85"/>
    <w:rsid w:val="09A44226"/>
    <w:rsid w:val="09C25D9D"/>
    <w:rsid w:val="0B172E75"/>
    <w:rsid w:val="0B793062"/>
    <w:rsid w:val="0C1F241B"/>
    <w:rsid w:val="0D615856"/>
    <w:rsid w:val="0D6909FE"/>
    <w:rsid w:val="0E86473B"/>
    <w:rsid w:val="0E9855CB"/>
    <w:rsid w:val="0EA55FB0"/>
    <w:rsid w:val="1069035A"/>
    <w:rsid w:val="108334B7"/>
    <w:rsid w:val="10933068"/>
    <w:rsid w:val="10B44DBA"/>
    <w:rsid w:val="11573381"/>
    <w:rsid w:val="1213199A"/>
    <w:rsid w:val="13156BF8"/>
    <w:rsid w:val="136F1984"/>
    <w:rsid w:val="13A41FB8"/>
    <w:rsid w:val="13C8429C"/>
    <w:rsid w:val="13DC0C8C"/>
    <w:rsid w:val="143A0846"/>
    <w:rsid w:val="145A5EEF"/>
    <w:rsid w:val="14740AB3"/>
    <w:rsid w:val="150B0023"/>
    <w:rsid w:val="153E7186"/>
    <w:rsid w:val="15BA3391"/>
    <w:rsid w:val="15EE2FC6"/>
    <w:rsid w:val="15F730E0"/>
    <w:rsid w:val="16012EE3"/>
    <w:rsid w:val="169A50D9"/>
    <w:rsid w:val="16ED4E9D"/>
    <w:rsid w:val="17004FE3"/>
    <w:rsid w:val="17440288"/>
    <w:rsid w:val="17AF52DD"/>
    <w:rsid w:val="17C4517F"/>
    <w:rsid w:val="180F7E0E"/>
    <w:rsid w:val="19202EC9"/>
    <w:rsid w:val="197660FB"/>
    <w:rsid w:val="1A5F2F30"/>
    <w:rsid w:val="1A8042F5"/>
    <w:rsid w:val="1A945F1A"/>
    <w:rsid w:val="1A9E7A39"/>
    <w:rsid w:val="1B430DC7"/>
    <w:rsid w:val="1B9759A6"/>
    <w:rsid w:val="1BC47A7B"/>
    <w:rsid w:val="1BFA4CA3"/>
    <w:rsid w:val="1C035D07"/>
    <w:rsid w:val="1C1944CF"/>
    <w:rsid w:val="1C2B5075"/>
    <w:rsid w:val="1C497A59"/>
    <w:rsid w:val="1D20535E"/>
    <w:rsid w:val="1D8C4FE7"/>
    <w:rsid w:val="1DFE2B8D"/>
    <w:rsid w:val="1E386B3A"/>
    <w:rsid w:val="1E530C0B"/>
    <w:rsid w:val="1EBA6D2E"/>
    <w:rsid w:val="1F036E13"/>
    <w:rsid w:val="1F4027C5"/>
    <w:rsid w:val="1F77410B"/>
    <w:rsid w:val="1F7E04E6"/>
    <w:rsid w:val="1FB2290F"/>
    <w:rsid w:val="208948AA"/>
    <w:rsid w:val="2120718A"/>
    <w:rsid w:val="215B2F46"/>
    <w:rsid w:val="21B23FEB"/>
    <w:rsid w:val="234261F9"/>
    <w:rsid w:val="235C2A7B"/>
    <w:rsid w:val="23C64B71"/>
    <w:rsid w:val="241A5B72"/>
    <w:rsid w:val="25B25F1A"/>
    <w:rsid w:val="2621215F"/>
    <w:rsid w:val="28CC2D60"/>
    <w:rsid w:val="29262A2C"/>
    <w:rsid w:val="29516B26"/>
    <w:rsid w:val="295F5F0C"/>
    <w:rsid w:val="2A146E0A"/>
    <w:rsid w:val="2A4B7B1E"/>
    <w:rsid w:val="2A763467"/>
    <w:rsid w:val="2ADA0E8C"/>
    <w:rsid w:val="2B456B55"/>
    <w:rsid w:val="2BAE70A2"/>
    <w:rsid w:val="2CA85629"/>
    <w:rsid w:val="2CF758CE"/>
    <w:rsid w:val="2D07771E"/>
    <w:rsid w:val="2D4D5E8E"/>
    <w:rsid w:val="2D565AE0"/>
    <w:rsid w:val="2E0660FA"/>
    <w:rsid w:val="2F425ACF"/>
    <w:rsid w:val="2FE57E3B"/>
    <w:rsid w:val="300255F2"/>
    <w:rsid w:val="310B1780"/>
    <w:rsid w:val="31370A2B"/>
    <w:rsid w:val="316830B1"/>
    <w:rsid w:val="32763191"/>
    <w:rsid w:val="337A75D1"/>
    <w:rsid w:val="33A536D3"/>
    <w:rsid w:val="33A75515"/>
    <w:rsid w:val="33CB1199"/>
    <w:rsid w:val="33E97D03"/>
    <w:rsid w:val="34B03B3A"/>
    <w:rsid w:val="34B95F80"/>
    <w:rsid w:val="350C7668"/>
    <w:rsid w:val="360C3772"/>
    <w:rsid w:val="36206B51"/>
    <w:rsid w:val="37BD6B1C"/>
    <w:rsid w:val="38416563"/>
    <w:rsid w:val="386718EF"/>
    <w:rsid w:val="3A1527C4"/>
    <w:rsid w:val="3A8B2A91"/>
    <w:rsid w:val="3ADD2AE6"/>
    <w:rsid w:val="3C604CDF"/>
    <w:rsid w:val="3C6C58B2"/>
    <w:rsid w:val="3CE34305"/>
    <w:rsid w:val="3CF070EE"/>
    <w:rsid w:val="3D6C533E"/>
    <w:rsid w:val="3E162F50"/>
    <w:rsid w:val="3EC17568"/>
    <w:rsid w:val="3F330AD5"/>
    <w:rsid w:val="3FE701A1"/>
    <w:rsid w:val="4039286F"/>
    <w:rsid w:val="4112169D"/>
    <w:rsid w:val="41E224E8"/>
    <w:rsid w:val="428A4F08"/>
    <w:rsid w:val="436B1BF2"/>
    <w:rsid w:val="43DE6684"/>
    <w:rsid w:val="43FD2AEC"/>
    <w:rsid w:val="44AD5D2D"/>
    <w:rsid w:val="44E910A9"/>
    <w:rsid w:val="45894CA1"/>
    <w:rsid w:val="458C18C5"/>
    <w:rsid w:val="467E0D69"/>
    <w:rsid w:val="471801E1"/>
    <w:rsid w:val="47396C7C"/>
    <w:rsid w:val="47A361C5"/>
    <w:rsid w:val="491F680A"/>
    <w:rsid w:val="49C55091"/>
    <w:rsid w:val="49F91D05"/>
    <w:rsid w:val="4A0E6820"/>
    <w:rsid w:val="4A4E2177"/>
    <w:rsid w:val="4A590D62"/>
    <w:rsid w:val="4A6C47EF"/>
    <w:rsid w:val="4AE1265F"/>
    <w:rsid w:val="4B68473E"/>
    <w:rsid w:val="4C70272A"/>
    <w:rsid w:val="4C8A07AF"/>
    <w:rsid w:val="4CFC0531"/>
    <w:rsid w:val="4D0B6C37"/>
    <w:rsid w:val="4D1913AF"/>
    <w:rsid w:val="4D82374C"/>
    <w:rsid w:val="4D8B30FC"/>
    <w:rsid w:val="4F3817A8"/>
    <w:rsid w:val="4FDB7305"/>
    <w:rsid w:val="50007476"/>
    <w:rsid w:val="50BD57B4"/>
    <w:rsid w:val="50C351ED"/>
    <w:rsid w:val="514A2245"/>
    <w:rsid w:val="53412DC0"/>
    <w:rsid w:val="539A2FD0"/>
    <w:rsid w:val="54227D3B"/>
    <w:rsid w:val="55C50C94"/>
    <w:rsid w:val="56431885"/>
    <w:rsid w:val="5681744E"/>
    <w:rsid w:val="56D242B5"/>
    <w:rsid w:val="56E70E8F"/>
    <w:rsid w:val="575F151B"/>
    <w:rsid w:val="57674CDA"/>
    <w:rsid w:val="577A232B"/>
    <w:rsid w:val="57F07268"/>
    <w:rsid w:val="58D107A6"/>
    <w:rsid w:val="59F52CCB"/>
    <w:rsid w:val="5AFF230F"/>
    <w:rsid w:val="5B0E2E2D"/>
    <w:rsid w:val="5CA257B9"/>
    <w:rsid w:val="5D390D4B"/>
    <w:rsid w:val="5E242F35"/>
    <w:rsid w:val="5EB16EF1"/>
    <w:rsid w:val="5EEE4925"/>
    <w:rsid w:val="5F8B4540"/>
    <w:rsid w:val="5FC75421"/>
    <w:rsid w:val="60FD3FCE"/>
    <w:rsid w:val="61A43E15"/>
    <w:rsid w:val="61A72FA5"/>
    <w:rsid w:val="61E41734"/>
    <w:rsid w:val="62130864"/>
    <w:rsid w:val="62CD6608"/>
    <w:rsid w:val="63787856"/>
    <w:rsid w:val="63B2417E"/>
    <w:rsid w:val="63CA4F8D"/>
    <w:rsid w:val="64903C17"/>
    <w:rsid w:val="65526B5A"/>
    <w:rsid w:val="65661142"/>
    <w:rsid w:val="65D61062"/>
    <w:rsid w:val="667B7D2E"/>
    <w:rsid w:val="667F02CE"/>
    <w:rsid w:val="668C4B92"/>
    <w:rsid w:val="66E95FDC"/>
    <w:rsid w:val="67400422"/>
    <w:rsid w:val="67763234"/>
    <w:rsid w:val="67CD0E24"/>
    <w:rsid w:val="68A7644B"/>
    <w:rsid w:val="68AD2C7C"/>
    <w:rsid w:val="68EB414E"/>
    <w:rsid w:val="6947736D"/>
    <w:rsid w:val="69803BC0"/>
    <w:rsid w:val="69BE7DC9"/>
    <w:rsid w:val="6A4B0AFC"/>
    <w:rsid w:val="6AB207E0"/>
    <w:rsid w:val="6AD1505C"/>
    <w:rsid w:val="6B0E19BF"/>
    <w:rsid w:val="6CAF42D9"/>
    <w:rsid w:val="6CBE3FF6"/>
    <w:rsid w:val="6D614763"/>
    <w:rsid w:val="6D95377E"/>
    <w:rsid w:val="6DC74F41"/>
    <w:rsid w:val="6E1605D8"/>
    <w:rsid w:val="6E406A7C"/>
    <w:rsid w:val="6F484ABE"/>
    <w:rsid w:val="6F925436"/>
    <w:rsid w:val="6FF52C75"/>
    <w:rsid w:val="700355D3"/>
    <w:rsid w:val="709F63BC"/>
    <w:rsid w:val="723C1B8C"/>
    <w:rsid w:val="730A53FB"/>
    <w:rsid w:val="7327165F"/>
    <w:rsid w:val="735E03B0"/>
    <w:rsid w:val="74367FCB"/>
    <w:rsid w:val="74C907C3"/>
    <w:rsid w:val="74F36643"/>
    <w:rsid w:val="750D2C12"/>
    <w:rsid w:val="7591343A"/>
    <w:rsid w:val="767A5079"/>
    <w:rsid w:val="76B6454F"/>
    <w:rsid w:val="78202029"/>
    <w:rsid w:val="787B6CB1"/>
    <w:rsid w:val="78A52608"/>
    <w:rsid w:val="7925102C"/>
    <w:rsid w:val="794147D9"/>
    <w:rsid w:val="795D5AB6"/>
    <w:rsid w:val="79F27825"/>
    <w:rsid w:val="79FC5D1F"/>
    <w:rsid w:val="7A0A481C"/>
    <w:rsid w:val="7A3B597C"/>
    <w:rsid w:val="7A411EB3"/>
    <w:rsid w:val="7A953E4A"/>
    <w:rsid w:val="7ACC4984"/>
    <w:rsid w:val="7B826A06"/>
    <w:rsid w:val="7C846EF3"/>
    <w:rsid w:val="7C881A1D"/>
    <w:rsid w:val="7C884A34"/>
    <w:rsid w:val="7C91433E"/>
    <w:rsid w:val="7C9840F0"/>
    <w:rsid w:val="7DCD6B23"/>
    <w:rsid w:val="7E1C29B7"/>
    <w:rsid w:val="7EB57B62"/>
    <w:rsid w:val="7F040DD8"/>
    <w:rsid w:val="7F7C5E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adjustRightInd w:val="0"/>
      <w:spacing w:line="360" w:lineRule="auto"/>
      <w:ind w:left="0" w:leftChars="0" w:firstLine="420"/>
      <w:textAlignment w:val="baseline"/>
    </w:pPr>
    <w:rPr>
      <w:color w:val="000000"/>
    </w:rPr>
  </w:style>
  <w:style w:type="paragraph" w:styleId="3">
    <w:name w:val="Body Text Indent"/>
    <w:basedOn w:val="1"/>
    <w:next w:val="4"/>
    <w:qFormat/>
    <w:uiPriority w:val="0"/>
    <w:pPr>
      <w:spacing w:after="120"/>
      <w:ind w:left="420" w:leftChars="200"/>
    </w:pPr>
    <w:rPr>
      <w:rFonts w:ascii="Times New Roman" w:hAnsi="Times New Roman"/>
      <w:kern w:val="0"/>
      <w:sz w:val="20"/>
      <w:szCs w:val="24"/>
    </w:rPr>
  </w:style>
  <w:style w:type="paragraph" w:customStyle="1" w:styleId="4">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note text"/>
    <w:basedOn w:val="1"/>
    <w:qFormat/>
    <w:uiPriority w:val="0"/>
    <w:pPr>
      <w:snapToGrid w:val="0"/>
      <w:jc w:val="left"/>
    </w:pPr>
    <w:rPr>
      <w:sz w:val="18"/>
    </w:rPr>
  </w:style>
  <w:style w:type="paragraph" w:styleId="6">
    <w:name w:val="Body Text First Indent"/>
    <w:basedOn w:val="7"/>
    <w:qFormat/>
    <w:uiPriority w:val="0"/>
    <w:pPr>
      <w:ind w:firstLine="420"/>
    </w:pPr>
    <w:rPr>
      <w:rFonts w:ascii="Times New Roman" w:hAnsi="Times New Roman" w:eastAsia="楷体_GB2312"/>
      <w:kern w:val="0"/>
      <w:sz w:val="20"/>
      <w:szCs w:val="20"/>
    </w:rPr>
  </w:style>
  <w:style w:type="paragraph" w:styleId="7">
    <w:name w:val="Body Text"/>
    <w:basedOn w:val="1"/>
    <w:next w:val="1"/>
    <w:unhideWhenUsed/>
    <w:qFormat/>
    <w:uiPriority w:val="0"/>
    <w:pPr>
      <w:spacing w:after="120"/>
    </w:pPr>
  </w:style>
  <w:style w:type="paragraph" w:styleId="8">
    <w:name w:val="Body Text 2"/>
    <w:basedOn w:val="1"/>
    <w:unhideWhenUsed/>
    <w:qFormat/>
    <w:uiPriority w:val="0"/>
    <w:rPr>
      <w:rFonts w:ascii="宋体" w:hAnsi="宋体" w:eastAsia="楷体_GB2312"/>
      <w:kern w:val="0"/>
      <w:sz w:val="20"/>
      <w:szCs w:val="24"/>
      <w:u w:val="single"/>
    </w:rPr>
  </w:style>
  <w:style w:type="paragraph" w:customStyle="1" w:styleId="11">
    <w:name w:val="p0"/>
    <w:basedOn w:val="1"/>
    <w:qFormat/>
    <w:uiPriority w:val="0"/>
    <w:pPr>
      <w:widowControl/>
      <w:spacing w:before="75" w:after="75"/>
      <w:jc w:val="left"/>
    </w:pPr>
    <w:rPr>
      <w:rFonts w:ascii="宋体" w:hAnsi="宋体" w:cs="宋体"/>
      <w:kern w:val="0"/>
      <w:sz w:val="24"/>
      <w:szCs w:val="24"/>
    </w:rPr>
  </w:style>
  <w:style w:type="paragraph" w:customStyle="1" w:styleId="12">
    <w:name w:val="正文缩进1"/>
    <w:basedOn w:val="13"/>
    <w:unhideWhenUsed/>
    <w:qFormat/>
    <w:uiPriority w:val="0"/>
    <w:pPr>
      <w:spacing w:beforeLines="0" w:afterLines="0"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13">
    <w:name w:val="正文1"/>
    <w:basedOn w:val="1"/>
    <w:unhideWhenUsed/>
    <w:qFormat/>
    <w:uiPriority w:val="0"/>
    <w:pPr>
      <w:spacing w:beforeLines="0" w:afterLines="0" w:line="240" w:lineRule="atLeast"/>
      <w:jc w:val="center"/>
      <w:textAlignment w:val="baseline"/>
    </w:pPr>
    <w:rPr>
      <w:rFonts w:hint="default" w:ascii="Tahoma" w:hAnsi="Tahoma" w:eastAsia="宋体"/>
      <w:sz w:val="24"/>
      <w:szCs w:val="24"/>
    </w:rPr>
  </w:style>
  <w:style w:type="paragraph" w:customStyle="1" w:styleId="1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5">
    <w:name w:val="发文落款"/>
    <w:basedOn w:val="14"/>
    <w:qFormat/>
    <w:uiPriority w:val="99"/>
    <w:pPr>
      <w:ind w:left="4094" w:right="607" w:firstLine="0"/>
      <w:jc w:val="center"/>
    </w:pPr>
    <w:rPr>
      <w:rFonts w:cs="仿宋_GB231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ZBHTB</dc:creator>
  <cp:lastModifiedBy>王嘉敏</cp:lastModifiedBy>
  <cp:lastPrinted>2025-06-05T06:44:44Z</cp:lastPrinted>
  <dcterms:modified xsi:type="dcterms:W3CDTF">2025-06-05T06:44:49Z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8357F8CB2EF54DACB09FAFF7EC37816C</vt:lpwstr>
  </property>
</Properties>
</file>