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640" w:firstLineChars="200"/>
        <w:jc w:val="right"/>
        <w:rPr>
          <w:rFonts w:hint="default" w:ascii="仿宋" w:hAnsi="仿宋" w:eastAsia="仿宋" w:cs="仿宋"/>
          <w:sz w:val="32"/>
          <w:szCs w:val="32"/>
          <w:highlight w:val="none"/>
          <w:u w:val="single"/>
          <w:lang w:val="en-US"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合同</w:t>
      </w:r>
      <w:r>
        <w:rPr>
          <w:rFonts w:hint="eastAsia" w:ascii="仿宋" w:hAnsi="仿宋" w:eastAsia="仿宋" w:cs="仿宋"/>
          <w:sz w:val="32"/>
          <w:szCs w:val="32"/>
          <w:highlight w:val="none"/>
          <w:lang w:eastAsia="zh-CN"/>
        </w:rPr>
        <w:t>版本</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2025年版</w:t>
      </w:r>
    </w:p>
    <w:p>
      <w:pPr>
        <w:pStyle w:val="2"/>
        <w:rPr>
          <w:rFonts w:hint="eastAsia"/>
          <w:color w:val="000000" w:themeColor="text1"/>
          <w:highlight w:val="none"/>
          <w14:textFill>
            <w14:solidFill>
              <w14:schemeClr w14:val="tx1"/>
            </w14:solidFill>
          </w14:textFill>
        </w:rPr>
      </w:pPr>
    </w:p>
    <w:p>
      <w:pPr>
        <w:autoSpaceDE w:val="0"/>
        <w:autoSpaceDN w:val="0"/>
        <w:adjustRightInd w:val="0"/>
        <w:spacing w:line="360" w:lineRule="auto"/>
        <w:jc w:val="center"/>
        <w:rPr>
          <w:rFonts w:hint="eastAsia" w:ascii="Times New Roman" w:hAnsi="Times New Roman" w:eastAsia="仿宋" w:cs="仿宋"/>
          <w:b/>
          <w:color w:val="000000" w:themeColor="text1"/>
          <w:kern w:val="0"/>
          <w:sz w:val="52"/>
          <w:szCs w:val="52"/>
          <w:highlight w:val="none"/>
          <w:lang w:eastAsia="zh-CN"/>
          <w14:textFill>
            <w14:solidFill>
              <w14:schemeClr w14:val="tx1"/>
            </w14:solidFill>
          </w14:textFill>
        </w:rPr>
      </w:pPr>
    </w:p>
    <w:p>
      <w:pPr>
        <w:autoSpaceDE w:val="0"/>
        <w:autoSpaceDN w:val="0"/>
        <w:adjustRightInd w:val="0"/>
        <w:spacing w:line="360" w:lineRule="auto"/>
        <w:jc w:val="center"/>
        <w:rPr>
          <w:rFonts w:hint="eastAsia" w:ascii="Times New Roman" w:hAnsi="Times New Roman" w:eastAsia="仿宋" w:cs="仿宋"/>
          <w:b/>
          <w:color w:val="000000" w:themeColor="text1"/>
          <w:kern w:val="0"/>
          <w:sz w:val="52"/>
          <w:szCs w:val="52"/>
          <w:highlight w:val="none"/>
          <w:lang w:eastAsia="zh-CN"/>
          <w14:textFill>
            <w14:solidFill>
              <w14:schemeClr w14:val="tx1"/>
            </w14:solidFill>
          </w14:textFill>
        </w:rPr>
      </w:pPr>
    </w:p>
    <w:p>
      <w:pPr>
        <w:autoSpaceDE w:val="0"/>
        <w:autoSpaceDN w:val="0"/>
        <w:adjustRightInd w:val="0"/>
        <w:spacing w:line="360" w:lineRule="auto"/>
        <w:jc w:val="center"/>
        <w:rPr>
          <w:rFonts w:hint="eastAsia" w:ascii="Times New Roman" w:hAnsi="Times New Roman" w:eastAsia="仿宋" w:cs="仿宋"/>
          <w:color w:val="000000" w:themeColor="text1"/>
          <w:highlight w:val="none"/>
          <w14:textFill>
            <w14:solidFill>
              <w14:schemeClr w14:val="tx1"/>
            </w14:solidFill>
          </w14:textFill>
        </w:rPr>
      </w:pPr>
      <w:r>
        <w:rPr>
          <w:rFonts w:hint="eastAsia" w:ascii="Times New Roman" w:hAnsi="Times New Roman" w:eastAsia="仿宋" w:cs="仿宋"/>
          <w:b/>
          <w:color w:val="000000" w:themeColor="text1"/>
          <w:kern w:val="0"/>
          <w:sz w:val="52"/>
          <w:szCs w:val="52"/>
          <w:highlight w:val="none"/>
          <w:lang w:eastAsia="zh-CN"/>
          <w14:textFill>
            <w14:solidFill>
              <w14:schemeClr w14:val="tx1"/>
            </w14:solidFill>
          </w14:textFill>
        </w:rPr>
        <w:t>建设工程</w:t>
      </w:r>
      <w:r>
        <w:rPr>
          <w:rFonts w:hint="eastAsia" w:ascii="Times New Roman" w:hAnsi="Times New Roman" w:eastAsia="仿宋" w:cs="仿宋"/>
          <w:b/>
          <w:color w:val="000000" w:themeColor="text1"/>
          <w:kern w:val="0"/>
          <w:sz w:val="52"/>
          <w:szCs w:val="52"/>
          <w:highlight w:val="none"/>
          <w14:textFill>
            <w14:solidFill>
              <w14:schemeClr w14:val="tx1"/>
            </w14:solidFill>
          </w14:textFill>
        </w:rPr>
        <w:t>监理合同</w:t>
      </w:r>
    </w:p>
    <w:p>
      <w:pPr>
        <w:snapToGrid w:val="0"/>
        <w:spacing w:line="360" w:lineRule="auto"/>
        <w:ind w:firstLine="640" w:firstLineChars="200"/>
        <w:rPr>
          <w:rFonts w:hint="eastAsia" w:ascii="Times New Roman" w:hAnsi="Times New Roman" w:eastAsia="仿宋" w:cs="仿宋"/>
          <w:b/>
          <w:bCs/>
          <w:color w:val="000000" w:themeColor="text1"/>
          <w:sz w:val="32"/>
          <w:szCs w:val="32"/>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3"/>
        <w:rPr>
          <w:rFonts w:hint="eastAsia"/>
          <w:color w:val="000000" w:themeColor="text1"/>
          <w:highlight w:val="none"/>
          <w14:textFill>
            <w14:solidFill>
              <w14:schemeClr w14:val="tx1"/>
            </w14:solidFill>
          </w14:textFill>
        </w:rPr>
      </w:pPr>
    </w:p>
    <w:p>
      <w:pPr>
        <w:pStyle w:val="3"/>
        <w:rPr>
          <w:rFonts w:hint="eastAsia"/>
          <w:color w:val="000000" w:themeColor="text1"/>
          <w:highlight w:val="none"/>
          <w14:textFill>
            <w14:solidFill>
              <w14:schemeClr w14:val="tx1"/>
            </w14:solidFill>
          </w14:textFill>
        </w:rPr>
      </w:pPr>
    </w:p>
    <w:p>
      <w:pPr>
        <w:snapToGrid w:val="0"/>
        <w:spacing w:line="360" w:lineRule="auto"/>
        <w:ind w:firstLine="0" w:firstLineChars="0"/>
        <w:rPr>
          <w:rFonts w:hint="eastAsia" w:ascii="Times New Roman" w:hAnsi="Times New Roman" w:eastAsia="仿宋" w:cs="仿宋"/>
          <w:b/>
          <w:bCs/>
          <w:color w:val="000000" w:themeColor="text1"/>
          <w:sz w:val="32"/>
          <w:szCs w:val="32"/>
          <w:highlight w:val="none"/>
          <w14:textFill>
            <w14:solidFill>
              <w14:schemeClr w14:val="tx1"/>
            </w14:solidFill>
          </w14:textFill>
        </w:rPr>
      </w:pPr>
      <w:r>
        <w:rPr>
          <w:rFonts w:hint="eastAsia" w:ascii="Times New Roman" w:hAnsi="Times New Roman" w:eastAsia="仿宋" w:cs="仿宋"/>
          <w:b/>
          <w:bCs/>
          <w:color w:val="000000" w:themeColor="text1"/>
          <w:sz w:val="32"/>
          <w:szCs w:val="32"/>
          <w:highlight w:val="none"/>
          <w:lang w:eastAsia="zh-CN"/>
          <w14:textFill>
            <w14:solidFill>
              <w14:schemeClr w14:val="tx1"/>
            </w14:solidFill>
          </w14:textFill>
        </w:rPr>
        <w:t>计划</w:t>
      </w:r>
      <w:r>
        <w:rPr>
          <w:rFonts w:hint="eastAsia" w:ascii="Times New Roman" w:hAnsi="Times New Roman" w:eastAsia="仿宋" w:cs="仿宋"/>
          <w:b/>
          <w:bCs/>
          <w:color w:val="000000" w:themeColor="text1"/>
          <w:sz w:val="32"/>
          <w:szCs w:val="32"/>
          <w:highlight w:val="none"/>
          <w14:textFill>
            <w14:solidFill>
              <w14:schemeClr w14:val="tx1"/>
            </w14:solidFill>
          </w14:textFill>
        </w:rPr>
        <w:t>名称：</w:t>
      </w:r>
      <w:r>
        <w:rPr>
          <w:rFonts w:hint="eastAsia" w:ascii="Times New Roman" w:hAnsi="Times New Roman" w:eastAsia="仿宋" w:cs="仿宋"/>
          <w:b/>
          <w:bCs/>
          <w:color w:val="000000" w:themeColor="text1"/>
          <w:sz w:val="32"/>
          <w:szCs w:val="32"/>
          <w:highlight w:val="none"/>
          <w:u w:val="single"/>
          <w:lang w:val="en-US" w:eastAsia="zh-CN"/>
          <w14:textFill>
            <w14:solidFill>
              <w14:schemeClr w14:val="tx1"/>
            </w14:solidFill>
          </w14:textFill>
        </w:rPr>
        <w:t xml:space="preserve">                                 </w:t>
      </w:r>
    </w:p>
    <w:p>
      <w:pPr>
        <w:snapToGrid w:val="0"/>
        <w:spacing w:line="360" w:lineRule="auto"/>
        <w:rPr>
          <w:rFonts w:hint="default" w:ascii="Times New Roman" w:hAnsi="Times New Roman" w:eastAsia="仿宋" w:cs="仿宋"/>
          <w:b/>
          <w:bCs/>
          <w:color w:val="000000" w:themeColor="text1"/>
          <w:sz w:val="32"/>
          <w:szCs w:val="32"/>
          <w:highlight w:val="none"/>
          <w:u w:val="single"/>
          <w:lang w:val="en-US" w:eastAsia="zh-CN"/>
          <w14:textFill>
            <w14:solidFill>
              <w14:schemeClr w14:val="tx1"/>
            </w14:solidFill>
          </w14:textFill>
        </w:rPr>
      </w:pPr>
      <w:r>
        <w:rPr>
          <w:rFonts w:hint="eastAsia" w:ascii="Times New Roman" w:hAnsi="Times New Roman" w:eastAsia="仿宋" w:cs="仿宋"/>
          <w:b/>
          <w:bCs/>
          <w:color w:val="000000" w:themeColor="text1"/>
          <w:sz w:val="32"/>
          <w:szCs w:val="32"/>
          <w:highlight w:val="none"/>
          <w:lang w:eastAsia="zh-CN"/>
          <w14:textFill>
            <w14:solidFill>
              <w14:schemeClr w14:val="tx1"/>
            </w14:solidFill>
          </w14:textFill>
        </w:rPr>
        <w:t>合同</w:t>
      </w:r>
      <w:r>
        <w:rPr>
          <w:rFonts w:hint="eastAsia" w:ascii="Times New Roman" w:hAnsi="Times New Roman" w:eastAsia="仿宋" w:cs="仿宋"/>
          <w:b/>
          <w:bCs/>
          <w:color w:val="000000" w:themeColor="text1"/>
          <w:sz w:val="32"/>
          <w:szCs w:val="32"/>
          <w:highlight w:val="none"/>
          <w14:textFill>
            <w14:solidFill>
              <w14:schemeClr w14:val="tx1"/>
            </w14:solidFill>
          </w14:textFill>
        </w:rPr>
        <w:t>名称：</w:t>
      </w:r>
      <w:r>
        <w:rPr>
          <w:rFonts w:hint="eastAsia" w:ascii="Times New Roman" w:hAnsi="Times New Roman" w:eastAsia="仿宋" w:cs="仿宋"/>
          <w:b/>
          <w:bCs/>
          <w:color w:val="000000" w:themeColor="text1"/>
          <w:sz w:val="32"/>
          <w:szCs w:val="32"/>
          <w:highlight w:val="none"/>
          <w:u w:val="single"/>
          <w:lang w:val="en-US" w:eastAsia="zh-CN"/>
          <w14:textFill>
            <w14:solidFill>
              <w14:schemeClr w14:val="tx1"/>
            </w14:solidFill>
          </w14:textFill>
        </w:rPr>
        <w:t xml:space="preserve">                                 </w:t>
      </w:r>
    </w:p>
    <w:p>
      <w:pPr>
        <w:snapToGrid w:val="0"/>
        <w:spacing w:line="360" w:lineRule="auto"/>
        <w:rPr>
          <w:rFonts w:hint="default" w:ascii="Times New Roman" w:hAnsi="Times New Roman" w:eastAsia="仿宋" w:cs="仿宋"/>
          <w:b/>
          <w:bCs/>
          <w:color w:val="000000" w:themeColor="text1"/>
          <w:sz w:val="32"/>
          <w:szCs w:val="32"/>
          <w:highlight w:val="none"/>
          <w:u w:val="single"/>
          <w:lang w:val="en-US" w:eastAsia="zh-CN"/>
          <w14:textFill>
            <w14:solidFill>
              <w14:schemeClr w14:val="tx1"/>
            </w14:solidFill>
          </w14:textFill>
        </w:rPr>
      </w:pPr>
      <w:r>
        <w:rPr>
          <w:rFonts w:hint="eastAsia" w:ascii="Times New Roman" w:hAnsi="Times New Roman" w:eastAsia="仿宋" w:cs="仿宋"/>
          <w:b/>
          <w:bCs/>
          <w:color w:val="000000" w:themeColor="text1"/>
          <w:sz w:val="32"/>
          <w:szCs w:val="32"/>
          <w:highlight w:val="none"/>
          <w14:textFill>
            <w14:solidFill>
              <w14:schemeClr w14:val="tx1"/>
            </w14:solidFill>
          </w14:textFill>
        </w:rPr>
        <w:t xml:space="preserve">合同编号： </w:t>
      </w:r>
      <w:r>
        <w:rPr>
          <w:rFonts w:hint="eastAsia" w:ascii="Times New Roman" w:hAnsi="Times New Roman" w:eastAsia="仿宋" w:cs="仿宋"/>
          <w:b/>
          <w:bCs/>
          <w:color w:val="000000" w:themeColor="text1"/>
          <w:sz w:val="32"/>
          <w:szCs w:val="32"/>
          <w:highlight w:val="none"/>
          <w:u w:val="single"/>
          <w:lang w:val="en-US" w:eastAsia="zh-CN"/>
          <w14:textFill>
            <w14:solidFill>
              <w14:schemeClr w14:val="tx1"/>
            </w14:solidFill>
          </w14:textFill>
        </w:rPr>
        <w:t xml:space="preserve">                                </w:t>
      </w:r>
    </w:p>
    <w:p>
      <w:pPr>
        <w:snapToGrid w:val="0"/>
        <w:spacing w:line="360" w:lineRule="auto"/>
        <w:rPr>
          <w:rFonts w:hint="default" w:ascii="Times New Roman" w:hAnsi="Times New Roman" w:eastAsia="仿宋" w:cs="仿宋"/>
          <w:b/>
          <w:bCs/>
          <w:color w:val="000000" w:themeColor="text1"/>
          <w:sz w:val="32"/>
          <w:szCs w:val="32"/>
          <w:highlight w:val="none"/>
          <w:lang w:val="en-US"/>
          <w14:textFill>
            <w14:solidFill>
              <w14:schemeClr w14:val="tx1"/>
            </w14:solidFill>
          </w14:textFill>
        </w:rPr>
      </w:pPr>
      <w:r>
        <w:rPr>
          <w:rFonts w:hint="eastAsia" w:ascii="Times New Roman" w:hAnsi="Times New Roman" w:eastAsia="仿宋" w:cs="仿宋"/>
          <w:b/>
          <w:bCs/>
          <w:color w:val="000000" w:themeColor="text1"/>
          <w:sz w:val="32"/>
          <w:szCs w:val="32"/>
          <w:highlight w:val="none"/>
          <w:lang w:eastAsia="zh-CN"/>
          <w14:textFill>
            <w14:solidFill>
              <w14:schemeClr w14:val="tx1"/>
            </w14:solidFill>
          </w14:textFill>
        </w:rPr>
        <w:t>发</w:t>
      </w:r>
      <w:r>
        <w:rPr>
          <w:rFonts w:hint="eastAsia" w:ascii="Times New Roman" w:hAnsi="Times New Roman" w:eastAsia="仿宋" w:cs="仿宋"/>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 w:cs="仿宋"/>
          <w:b/>
          <w:bCs/>
          <w:color w:val="000000" w:themeColor="text1"/>
          <w:sz w:val="32"/>
          <w:szCs w:val="32"/>
          <w:highlight w:val="none"/>
          <w:lang w:eastAsia="zh-CN"/>
          <w14:textFill>
            <w14:solidFill>
              <w14:schemeClr w14:val="tx1"/>
            </w14:solidFill>
          </w14:textFill>
        </w:rPr>
        <w:t>包</w:t>
      </w:r>
      <w:r>
        <w:rPr>
          <w:rFonts w:hint="eastAsia" w:ascii="Times New Roman" w:hAnsi="Times New Roman" w:eastAsia="仿宋" w:cs="仿宋"/>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 w:cs="仿宋"/>
          <w:b/>
          <w:bCs/>
          <w:color w:val="000000" w:themeColor="text1"/>
          <w:sz w:val="32"/>
          <w:szCs w:val="32"/>
          <w:highlight w:val="none"/>
          <w:lang w:eastAsia="zh-CN"/>
          <w14:textFill>
            <w14:solidFill>
              <w14:schemeClr w14:val="tx1"/>
            </w14:solidFill>
          </w14:textFill>
        </w:rPr>
        <w:t>人</w:t>
      </w:r>
      <w:r>
        <w:rPr>
          <w:rFonts w:hint="eastAsia" w:ascii="Times New Roman" w:hAnsi="Times New Roman" w:eastAsia="仿宋" w:cs="仿宋"/>
          <w:b/>
          <w:bCs/>
          <w:color w:val="000000" w:themeColor="text1"/>
          <w:sz w:val="32"/>
          <w:szCs w:val="32"/>
          <w:highlight w:val="none"/>
          <w14:textFill>
            <w14:solidFill>
              <w14:schemeClr w14:val="tx1"/>
            </w14:solidFill>
          </w14:textFill>
        </w:rPr>
        <w:t>：</w:t>
      </w:r>
      <w:r>
        <w:rPr>
          <w:rFonts w:hint="eastAsia" w:ascii="Times New Roman" w:hAnsi="Times New Roman" w:eastAsia="仿宋" w:cs="仿宋"/>
          <w:b/>
          <w:bCs/>
          <w:color w:val="000000" w:themeColor="text1"/>
          <w:sz w:val="32"/>
          <w:szCs w:val="32"/>
          <w:highlight w:val="none"/>
          <w:u w:val="single"/>
          <w:lang w:val="en-US" w:eastAsia="zh-CN"/>
          <w14:textFill>
            <w14:solidFill>
              <w14:schemeClr w14:val="tx1"/>
            </w14:solidFill>
          </w14:textFill>
        </w:rPr>
        <w:t xml:space="preserve">                                 </w:t>
      </w:r>
    </w:p>
    <w:p>
      <w:pPr>
        <w:snapToGrid w:val="0"/>
        <w:spacing w:line="360" w:lineRule="auto"/>
        <w:rPr>
          <w:rFonts w:hint="default" w:ascii="Times New Roman" w:hAnsi="Times New Roman" w:eastAsia="仿宋" w:cs="仿宋"/>
          <w:b/>
          <w:bCs/>
          <w:color w:val="000000" w:themeColor="text1"/>
          <w:sz w:val="32"/>
          <w:szCs w:val="32"/>
          <w:highlight w:val="none"/>
          <w:u w:val="single"/>
          <w:lang w:val="en-US" w:eastAsia="zh-CN"/>
          <w14:textFill>
            <w14:solidFill>
              <w14:schemeClr w14:val="tx1"/>
            </w14:solidFill>
          </w14:textFill>
        </w:rPr>
      </w:pPr>
      <w:r>
        <w:rPr>
          <w:rFonts w:hint="eastAsia" w:ascii="Times New Roman" w:hAnsi="Times New Roman" w:eastAsia="仿宋" w:cs="仿宋"/>
          <w:b/>
          <w:bCs/>
          <w:color w:val="000000" w:themeColor="text1"/>
          <w:sz w:val="32"/>
          <w:szCs w:val="32"/>
          <w:highlight w:val="none"/>
          <w14:textFill>
            <w14:solidFill>
              <w14:schemeClr w14:val="tx1"/>
            </w14:solidFill>
          </w14:textFill>
        </w:rPr>
        <w:t>监</w:t>
      </w:r>
      <w:r>
        <w:rPr>
          <w:rFonts w:hint="eastAsia" w:ascii="Times New Roman" w:hAnsi="Times New Roman" w:eastAsia="仿宋" w:cs="仿宋"/>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 w:cs="仿宋"/>
          <w:b/>
          <w:bCs/>
          <w:color w:val="000000" w:themeColor="text1"/>
          <w:sz w:val="32"/>
          <w:szCs w:val="32"/>
          <w:highlight w:val="none"/>
          <w14:textFill>
            <w14:solidFill>
              <w14:schemeClr w14:val="tx1"/>
            </w14:solidFill>
          </w14:textFill>
        </w:rPr>
        <w:t>理</w:t>
      </w:r>
      <w:r>
        <w:rPr>
          <w:rFonts w:hint="eastAsia" w:ascii="Times New Roman" w:hAnsi="Times New Roman" w:eastAsia="仿宋" w:cs="仿宋"/>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 w:cs="仿宋"/>
          <w:b/>
          <w:bCs/>
          <w:color w:val="000000" w:themeColor="text1"/>
          <w:sz w:val="32"/>
          <w:szCs w:val="32"/>
          <w:highlight w:val="none"/>
          <w14:textFill>
            <w14:solidFill>
              <w14:schemeClr w14:val="tx1"/>
            </w14:solidFill>
          </w14:textFill>
        </w:rPr>
        <w:t>人：</w:t>
      </w:r>
      <w:r>
        <w:rPr>
          <w:rFonts w:hint="eastAsia" w:ascii="Times New Roman" w:hAnsi="Times New Roman" w:eastAsia="仿宋" w:cs="仿宋"/>
          <w:b/>
          <w:bCs/>
          <w:color w:val="000000" w:themeColor="text1"/>
          <w:sz w:val="32"/>
          <w:szCs w:val="32"/>
          <w:highlight w:val="none"/>
          <w:u w:val="single"/>
          <w:lang w:val="en-US" w:eastAsia="zh-CN"/>
          <w14:textFill>
            <w14:solidFill>
              <w14:schemeClr w14:val="tx1"/>
            </w14:solidFill>
          </w14:textFill>
        </w:rPr>
        <w:t xml:space="preserve">                                 </w:t>
      </w:r>
    </w:p>
    <w:p>
      <w:pPr>
        <w:snapToGrid w:val="0"/>
        <w:spacing w:line="360" w:lineRule="auto"/>
        <w:rPr>
          <w:rFonts w:hint="eastAsia" w:ascii="Times New Roman" w:hAnsi="Times New Roman" w:eastAsia="仿宋" w:cs="仿宋"/>
          <w:b/>
          <w:bCs/>
          <w:color w:val="000000" w:themeColor="text1"/>
          <w:sz w:val="32"/>
          <w:szCs w:val="32"/>
          <w:highlight w:val="none"/>
          <w:u w:val="single"/>
          <w:lang w:val="en-US" w:eastAsia="zh-CN"/>
          <w14:textFill>
            <w14:solidFill>
              <w14:schemeClr w14:val="tx1"/>
            </w14:solidFill>
          </w14:textFill>
        </w:rPr>
      </w:pPr>
    </w:p>
    <w:p>
      <w:pPr>
        <w:snapToGrid w:val="0"/>
        <w:spacing w:line="360" w:lineRule="auto"/>
        <w:rPr>
          <w:rFonts w:hint="eastAsia" w:ascii="Times New Roman" w:hAnsi="Times New Roman" w:eastAsia="仿宋" w:cs="仿宋"/>
          <w:b/>
          <w:bCs/>
          <w:color w:val="000000" w:themeColor="text1"/>
          <w:sz w:val="32"/>
          <w:szCs w:val="32"/>
          <w:highlight w:val="none"/>
          <w:u w:val="single"/>
          <w:lang w:val="en-US" w:eastAsia="zh-CN"/>
          <w14:textFill>
            <w14:solidFill>
              <w14:schemeClr w14:val="tx1"/>
            </w14:solidFill>
          </w14:textFill>
        </w:rPr>
      </w:pPr>
    </w:p>
    <w:p>
      <w:pPr>
        <w:snapToGrid w:val="0"/>
        <w:spacing w:line="360" w:lineRule="auto"/>
        <w:rPr>
          <w:rFonts w:hint="eastAsia" w:ascii="Times New Roman" w:hAnsi="Times New Roman" w:eastAsia="仿宋" w:cs="仿宋"/>
          <w:b/>
          <w:bCs/>
          <w:color w:val="000000" w:themeColor="text1"/>
          <w:sz w:val="32"/>
          <w:szCs w:val="32"/>
          <w:highlight w:val="none"/>
          <w:u w:val="single"/>
          <w:lang w:val="en-US" w:eastAsia="zh-CN"/>
          <w14:textFill>
            <w14:solidFill>
              <w14:schemeClr w14:val="tx1"/>
            </w14:solidFill>
          </w14:textFill>
        </w:rPr>
      </w:pPr>
    </w:p>
    <w:p>
      <w:pPr>
        <w:snapToGrid w:val="0"/>
        <w:spacing w:line="360" w:lineRule="auto"/>
        <w:jc w:val="center"/>
        <w:rPr>
          <w:rFonts w:hint="default" w:ascii="Times New Roman" w:hAnsi="Times New Roman" w:eastAsia="仿宋" w:cs="仿宋"/>
          <w:b/>
          <w:bCs/>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 w:cs="仿宋"/>
          <w:b/>
          <w:bCs/>
          <w:color w:val="000000" w:themeColor="text1"/>
          <w:sz w:val="32"/>
          <w:szCs w:val="32"/>
          <w:highlight w:val="none"/>
          <w:u w:val="none"/>
          <w:lang w:val="en-US" w:eastAsia="zh-CN"/>
          <w14:textFill>
            <w14:solidFill>
              <w14:schemeClr w14:val="tx1"/>
            </w14:solidFill>
          </w14:textFill>
        </w:rPr>
        <w:t>签订日期：   年   月   日</w:t>
      </w:r>
    </w:p>
    <w:p>
      <w:pPr>
        <w:rPr>
          <w:rFonts w:hint="eastAsia" w:ascii="Times New Roman" w:hAnsi="Times New Roman" w:eastAsia="仿宋" w:cs="仿宋"/>
          <w:color w:val="000000" w:themeColor="text1"/>
          <w:highlight w:val="none"/>
          <w14:textFill>
            <w14:solidFill>
              <w14:schemeClr w14:val="tx1"/>
            </w14:solidFill>
          </w14:textFill>
        </w:rPr>
      </w:pPr>
    </w:p>
    <w:p>
      <w:pPr>
        <w:spacing w:line="560" w:lineRule="exact"/>
        <w:jc w:val="center"/>
        <w:rPr>
          <w:rFonts w:hint="eastAsia" w:ascii="Times New Roman" w:hAnsi="Times New Roman" w:eastAsia="仿宋" w:cs="仿宋"/>
          <w:b/>
          <w:bCs/>
          <w:color w:val="000000" w:themeColor="text1"/>
          <w:sz w:val="44"/>
          <w:szCs w:val="44"/>
          <w:highlight w:val="none"/>
          <w14:textFill>
            <w14:solidFill>
              <w14:schemeClr w14:val="tx1"/>
            </w14:solidFill>
          </w14:textFill>
        </w:rPr>
        <w:sectPr>
          <w:footerReference r:id="rId4" w:type="first"/>
          <w:footerReference r:id="rId3" w:type="default"/>
          <w:pgSz w:w="11906" w:h="16838"/>
          <w:pgMar w:top="1440" w:right="1800" w:bottom="1440" w:left="1800" w:header="851" w:footer="992" w:gutter="0"/>
          <w:cols w:space="720" w:num="1"/>
          <w:docGrid w:type="lines" w:linePitch="312" w:charSpace="0"/>
        </w:sectPr>
      </w:pPr>
      <w:bookmarkStart w:id="0" w:name="_Toc523410369"/>
    </w:p>
    <w:bookmarkEnd w:id="0"/>
    <w:p>
      <w:pPr>
        <w:widowControl/>
        <w:spacing w:line="360" w:lineRule="auto"/>
        <w:jc w:val="center"/>
        <w:outlineLvl w:val="0"/>
        <w:rPr>
          <w:rFonts w:hint="eastAsia" w:ascii="Times New Roman" w:hAnsi="Times New Roman" w:eastAsia="仿宋" w:cs="仿宋"/>
          <w:b/>
          <w:bCs/>
          <w:color w:val="000000" w:themeColor="text1"/>
          <w:sz w:val="32"/>
          <w:szCs w:val="32"/>
          <w:highlight w:val="none"/>
          <w14:textFill>
            <w14:solidFill>
              <w14:schemeClr w14:val="tx1"/>
            </w14:solidFill>
          </w14:textFill>
        </w:rPr>
      </w:pPr>
      <w:bookmarkStart w:id="1" w:name="_Toc630394993"/>
      <w:bookmarkStart w:id="2" w:name="_Toc2043596409"/>
      <w:bookmarkStart w:id="3" w:name="_Toc1388070269"/>
      <w:r>
        <w:rPr>
          <w:rFonts w:hint="eastAsia" w:ascii="Times New Roman" w:hAnsi="Times New Roman" w:eastAsia="仿宋" w:cs="仿宋"/>
          <w:b/>
          <w:bCs/>
          <w:color w:val="000000" w:themeColor="text1"/>
          <w:sz w:val="32"/>
          <w:szCs w:val="32"/>
          <w:highlight w:val="none"/>
          <w14:textFill>
            <w14:solidFill>
              <w14:schemeClr w14:val="tx1"/>
            </w14:solidFill>
          </w14:textFill>
        </w:rPr>
        <w:t>第一部分  合同协议书</w:t>
      </w:r>
      <w:bookmarkEnd w:id="1"/>
      <w:bookmarkEnd w:id="2"/>
      <w:bookmarkEnd w:id="3"/>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根据《中华人民共和国民法典》《中华人民共和国</w:t>
      </w:r>
      <w:r>
        <w:rPr>
          <w:rFonts w:hint="eastAsia" w:ascii="仿宋" w:hAnsi="仿宋" w:eastAsia="仿宋" w:cs="仿宋"/>
          <w:kern w:val="0"/>
          <w:szCs w:val="21"/>
          <w:highlight w:val="none"/>
          <w:lang w:eastAsia="zh-CN"/>
        </w:rPr>
        <w:t>建筑法</w:t>
      </w:r>
      <w:r>
        <w:rPr>
          <w:rFonts w:hint="eastAsia" w:ascii="仿宋" w:hAnsi="仿宋" w:eastAsia="仿宋" w:cs="仿宋"/>
          <w:kern w:val="0"/>
          <w:szCs w:val="21"/>
          <w:highlight w:val="none"/>
        </w:rPr>
        <w:t>》《建设工程质量管理条例》</w:t>
      </w:r>
      <w:r>
        <w:rPr>
          <w:rFonts w:hint="eastAsia" w:ascii="仿宋" w:hAnsi="仿宋" w:eastAsia="仿宋" w:cs="仿宋"/>
          <w:kern w:val="0"/>
          <w:szCs w:val="21"/>
          <w:highlight w:val="none"/>
          <w:lang w:eastAsia="zh-CN"/>
        </w:rPr>
        <w:t>《建设工程安全生产管理条例》</w:t>
      </w:r>
      <w:r>
        <w:rPr>
          <w:rFonts w:hint="eastAsia" w:ascii="仿宋" w:hAnsi="仿宋" w:eastAsia="仿宋" w:cs="仿宋"/>
          <w:kern w:val="0"/>
          <w:szCs w:val="21"/>
          <w:highlight w:val="none"/>
        </w:rPr>
        <w:t>及其他有关法律、法规等，遵循平等、自愿、公平和诚</w:t>
      </w:r>
      <w:r>
        <w:rPr>
          <w:rFonts w:hint="eastAsia" w:ascii="仿宋" w:hAnsi="仿宋" w:eastAsia="仿宋" w:cs="仿宋"/>
          <w:kern w:val="0"/>
          <w:szCs w:val="21"/>
          <w:highlight w:val="none"/>
          <w:lang w:eastAsia="zh-CN"/>
        </w:rPr>
        <w:t>实</w:t>
      </w:r>
      <w:r>
        <w:rPr>
          <w:rFonts w:hint="eastAsia" w:ascii="仿宋" w:hAnsi="仿宋" w:eastAsia="仿宋" w:cs="仿宋"/>
          <w:kern w:val="0"/>
          <w:szCs w:val="21"/>
          <w:highlight w:val="none"/>
        </w:rPr>
        <w:t>信用的原则，</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、监理人双方经充分协商，就下述</w:t>
      </w:r>
      <w:r>
        <w:rPr>
          <w:rFonts w:hint="eastAsia" w:ascii="仿宋" w:hAnsi="仿宋" w:eastAsia="仿宋" w:cs="仿宋"/>
          <w:kern w:val="0"/>
          <w:szCs w:val="21"/>
          <w:highlight w:val="none"/>
          <w:lang w:eastAsia="zh-CN"/>
        </w:rPr>
        <w:t>工程</w:t>
      </w:r>
      <w:r>
        <w:rPr>
          <w:rFonts w:hint="eastAsia" w:ascii="仿宋" w:hAnsi="仿宋" w:eastAsia="仿宋" w:cs="仿宋"/>
          <w:kern w:val="0"/>
          <w:szCs w:val="21"/>
          <w:highlight w:val="none"/>
        </w:rPr>
        <w:t>项目委托监理与相关服务事项，订立本合同，</w:t>
      </w:r>
      <w:r>
        <w:rPr>
          <w:rFonts w:hint="eastAsia" w:ascii="仿宋" w:hAnsi="仿宋" w:eastAsia="仿宋" w:cs="仿宋"/>
          <w:kern w:val="0"/>
          <w:szCs w:val="21"/>
          <w:highlight w:val="none"/>
          <w:lang w:eastAsia="zh-CN"/>
        </w:rPr>
        <w:t>以</w:t>
      </w:r>
      <w:r>
        <w:rPr>
          <w:rFonts w:hint="eastAsia" w:ascii="仿宋" w:hAnsi="仿宋" w:eastAsia="仿宋" w:cs="仿宋"/>
          <w:kern w:val="0"/>
          <w:szCs w:val="21"/>
          <w:highlight w:val="none"/>
        </w:rPr>
        <w:t>资共同遵守。</w:t>
      </w:r>
    </w:p>
    <w:p>
      <w:pPr>
        <w:pStyle w:val="38"/>
        <w:bidi w:val="0"/>
        <w:rPr>
          <w:rFonts w:hint="eastAsia"/>
        </w:rPr>
      </w:pPr>
      <w:bookmarkStart w:id="4" w:name="_Toc202430254"/>
      <w:bookmarkStart w:id="5" w:name="_Toc1017017410"/>
      <w:bookmarkStart w:id="6" w:name="_Toc898868878"/>
      <w:r>
        <w:rPr>
          <w:rFonts w:hint="eastAsia"/>
        </w:rPr>
        <w:t>一、项目概况</w:t>
      </w:r>
      <w:bookmarkEnd w:id="4"/>
      <w:bookmarkEnd w:id="5"/>
      <w:bookmarkEnd w:id="6"/>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u w:val="single"/>
        </w:rPr>
      </w:pPr>
      <w:r>
        <w:rPr>
          <w:rFonts w:hint="eastAsia" w:ascii="仿宋" w:hAnsi="仿宋" w:eastAsia="仿宋" w:cs="仿宋"/>
          <w:kern w:val="0"/>
          <w:szCs w:val="21"/>
          <w:highlight w:val="none"/>
          <w:lang w:eastAsia="zh-CN"/>
        </w:rPr>
        <w:t>工程</w:t>
      </w:r>
      <w:r>
        <w:rPr>
          <w:rFonts w:hint="eastAsia" w:ascii="仿宋" w:hAnsi="仿宋" w:eastAsia="仿宋" w:cs="仿宋"/>
          <w:kern w:val="0"/>
          <w:szCs w:val="21"/>
          <w:highlight w:val="none"/>
        </w:rPr>
        <w:t>名称：</w:t>
      </w:r>
      <w:r>
        <w:rPr>
          <w:rFonts w:hint="eastAsia" w:ascii="仿宋" w:hAnsi="仿宋" w:eastAsia="仿宋" w:cs="仿宋"/>
          <w:kern w:val="0"/>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u w:val="single"/>
        </w:rPr>
      </w:pPr>
      <w:r>
        <w:rPr>
          <w:rFonts w:hint="eastAsia" w:ascii="仿宋" w:hAnsi="仿宋" w:eastAsia="仿宋" w:cs="仿宋"/>
          <w:kern w:val="0"/>
          <w:szCs w:val="21"/>
          <w:highlight w:val="none"/>
          <w:lang w:eastAsia="zh-CN"/>
        </w:rPr>
        <w:t>工程</w:t>
      </w:r>
      <w:r>
        <w:rPr>
          <w:rFonts w:hint="eastAsia" w:ascii="仿宋" w:hAnsi="仿宋" w:eastAsia="仿宋" w:cs="仿宋"/>
          <w:kern w:val="0"/>
          <w:szCs w:val="21"/>
          <w:highlight w:val="none"/>
        </w:rPr>
        <w:t>地点：</w:t>
      </w:r>
      <w:r>
        <w:rPr>
          <w:rFonts w:hint="eastAsia" w:ascii="仿宋" w:hAnsi="仿宋" w:eastAsia="仿宋" w:cs="仿宋"/>
          <w:kern w:val="0"/>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资金来源：</w:t>
      </w:r>
      <w:r>
        <w:rPr>
          <w:rFonts w:hint="eastAsia" w:ascii="仿宋" w:hAnsi="仿宋" w:eastAsia="仿宋" w:cs="仿宋"/>
          <w:kern w:val="0"/>
          <w:szCs w:val="21"/>
          <w:highlight w:val="none"/>
          <w:u w:val="single"/>
        </w:rPr>
        <w:t xml:space="preserve">                                    </w:t>
      </w:r>
    </w:p>
    <w:p>
      <w:pPr>
        <w:pStyle w:val="38"/>
        <w:bidi w:val="0"/>
        <w:rPr>
          <w:rFonts w:hint="eastAsia" w:ascii="仿宋" w:hAnsi="仿宋" w:eastAsia="仿宋"/>
        </w:rPr>
      </w:pPr>
      <w:bookmarkStart w:id="7" w:name="_Toc1207814957"/>
      <w:bookmarkStart w:id="8" w:name="_Toc961709589"/>
      <w:bookmarkStart w:id="9" w:name="_Toc484074744"/>
      <w:r>
        <w:rPr>
          <w:rFonts w:hint="eastAsia" w:ascii="仿宋" w:hAnsi="仿宋" w:eastAsia="仿宋"/>
          <w:lang w:eastAsia="zh-CN"/>
        </w:rPr>
        <w:t>二、</w:t>
      </w:r>
      <w:r>
        <w:rPr>
          <w:rFonts w:hint="eastAsia" w:ascii="仿宋" w:hAnsi="仿宋" w:eastAsia="仿宋"/>
        </w:rPr>
        <w:t>监理范围</w:t>
      </w:r>
      <w:bookmarkEnd w:id="7"/>
      <w:bookmarkEnd w:id="8"/>
      <w:bookmarkEnd w:id="9"/>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监理范围包括：</w:t>
      </w:r>
      <w:r>
        <w:rPr>
          <w:rFonts w:hint="eastAsia" w:ascii="仿宋" w:hAnsi="仿宋" w:eastAsia="仿宋" w:cs="仿宋"/>
          <w:kern w:val="0"/>
          <w:szCs w:val="21"/>
          <w:highlight w:val="none"/>
          <w:lang w:eastAsia="zh-CN"/>
        </w:rPr>
        <w:t>监</w:t>
      </w:r>
      <w:r>
        <w:rPr>
          <w:rFonts w:hint="eastAsia" w:ascii="仿宋" w:hAnsi="仿宋" w:eastAsia="仿宋" w:cs="仿宋"/>
          <w:kern w:val="0"/>
          <w:szCs w:val="21"/>
          <w:highlight w:val="none"/>
        </w:rPr>
        <w:t>理人负责</w:t>
      </w:r>
      <w:r>
        <w:rPr>
          <w:rFonts w:hint="eastAsia" w:ascii="仿宋" w:hAnsi="仿宋" w:eastAsia="仿宋" w:cs="仿宋"/>
          <w:kern w:val="0"/>
          <w:szCs w:val="21"/>
          <w:highlight w:val="none"/>
          <w:lang w:val="en-US" w:eastAsia="zh-CN"/>
        </w:rPr>
        <w:t xml:space="preserve"> </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rPr>
        <w:t>工程范围内所</w:t>
      </w:r>
      <w:r>
        <w:rPr>
          <w:rFonts w:hint="eastAsia" w:ascii="仿宋" w:hAnsi="仿宋" w:eastAsia="仿宋" w:cs="仿宋"/>
          <w:kern w:val="0"/>
          <w:szCs w:val="21"/>
          <w:highlight w:val="none"/>
          <w:lang w:eastAsia="zh-CN"/>
        </w:rPr>
        <w:t>有</w:t>
      </w:r>
      <w:r>
        <w:rPr>
          <w:rFonts w:hint="eastAsia" w:ascii="仿宋" w:hAnsi="仿宋" w:eastAsia="仿宋" w:cs="仿宋"/>
          <w:kern w:val="0"/>
          <w:szCs w:val="21"/>
          <w:highlight w:val="none"/>
        </w:rPr>
        <w:t>监理</w:t>
      </w:r>
      <w:r>
        <w:rPr>
          <w:rFonts w:hint="eastAsia" w:ascii="仿宋" w:hAnsi="仿宋" w:eastAsia="仿宋" w:cs="仿宋"/>
          <w:kern w:val="0"/>
          <w:szCs w:val="21"/>
          <w:highlight w:val="none"/>
          <w:lang w:eastAsia="zh-CN"/>
        </w:rPr>
        <w:t>服务</w:t>
      </w:r>
      <w:r>
        <w:rPr>
          <w:rFonts w:hint="eastAsia" w:ascii="仿宋" w:hAnsi="仿宋" w:eastAsia="仿宋" w:cs="仿宋"/>
          <w:kern w:val="0"/>
          <w:szCs w:val="21"/>
          <w:highlight w:val="none"/>
        </w:rPr>
        <w:t>工作，包括但不限于□勘察阶段、□设计阶段、施工准备阶段、施工阶段、工程收尾阶段（含</w:t>
      </w:r>
      <w:r>
        <w:rPr>
          <w:rFonts w:hint="eastAsia" w:ascii="仿宋" w:hAnsi="仿宋" w:eastAsia="仿宋" w:cs="仿宋"/>
          <w:kern w:val="0"/>
          <w:szCs w:val="21"/>
          <w:highlight w:val="none"/>
          <w:lang w:eastAsia="zh-CN"/>
        </w:rPr>
        <w:t>专项验收、</w:t>
      </w:r>
      <w:r>
        <w:rPr>
          <w:rFonts w:hint="eastAsia" w:ascii="仿宋" w:hAnsi="仿宋" w:eastAsia="仿宋" w:cs="仿宋"/>
          <w:kern w:val="0"/>
          <w:szCs w:val="21"/>
          <w:highlight w:val="none"/>
        </w:rPr>
        <w:t>竣工验收、移交及</w:t>
      </w:r>
      <w:r>
        <w:rPr>
          <w:rFonts w:hint="eastAsia" w:ascii="仿宋" w:hAnsi="仿宋" w:eastAsia="仿宋" w:cs="仿宋"/>
          <w:kern w:val="0"/>
          <w:szCs w:val="21"/>
          <w:highlight w:val="none"/>
          <w:lang w:eastAsia="zh-CN"/>
        </w:rPr>
        <w:t>使用</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eastAsia="zh-CN"/>
        </w:rPr>
        <w:t>工程相关</w:t>
      </w:r>
      <w:r>
        <w:rPr>
          <w:rFonts w:hint="eastAsia" w:ascii="仿宋" w:hAnsi="仿宋" w:eastAsia="仿宋" w:cs="仿宋"/>
          <w:kern w:val="0"/>
          <w:szCs w:val="21"/>
          <w:highlight w:val="none"/>
        </w:rPr>
        <w:t>结算</w:t>
      </w:r>
      <w:r>
        <w:rPr>
          <w:rFonts w:hint="eastAsia" w:ascii="仿宋" w:hAnsi="仿宋" w:eastAsia="仿宋" w:cs="仿宋"/>
          <w:kern w:val="0"/>
          <w:szCs w:val="21"/>
          <w:highlight w:val="none"/>
          <w:lang w:eastAsia="zh-CN"/>
        </w:rPr>
        <w:t>和决算</w:t>
      </w:r>
      <w:r>
        <w:rPr>
          <w:rFonts w:hint="eastAsia" w:ascii="仿宋" w:hAnsi="仿宋" w:eastAsia="仿宋" w:cs="仿宋"/>
          <w:kern w:val="0"/>
          <w:szCs w:val="21"/>
          <w:highlight w:val="none"/>
        </w:rPr>
        <w:t>、工程竣工备案等）及工程质量保修期阶段。</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发包人有权根据实际项目实际情况调整监理范围。</w:t>
      </w:r>
    </w:p>
    <w:p>
      <w:pPr>
        <w:pStyle w:val="38"/>
        <w:bidi w:val="0"/>
        <w:rPr>
          <w:rFonts w:hint="eastAsia" w:ascii="仿宋" w:hAnsi="仿宋" w:eastAsia="仿宋"/>
        </w:rPr>
      </w:pPr>
      <w:bookmarkStart w:id="10" w:name="_Toc1940264667"/>
      <w:bookmarkStart w:id="11" w:name="_Toc146421238"/>
      <w:bookmarkStart w:id="12" w:name="_Toc2130762046"/>
      <w:r>
        <w:rPr>
          <w:rFonts w:hint="eastAsia" w:ascii="仿宋" w:hAnsi="仿宋" w:eastAsia="仿宋"/>
          <w:lang w:eastAsia="zh-CN"/>
        </w:rPr>
        <w:t>三、</w:t>
      </w:r>
      <w:r>
        <w:rPr>
          <w:rFonts w:hint="eastAsia" w:ascii="仿宋" w:hAnsi="仿宋" w:eastAsia="仿宋"/>
        </w:rPr>
        <w:t>监理服务期</w:t>
      </w:r>
      <w:bookmarkEnd w:id="10"/>
      <w:bookmarkEnd w:id="11"/>
      <w:bookmarkEnd w:id="12"/>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监理服务期限：</w:t>
      </w:r>
      <w:r>
        <w:rPr>
          <w:rFonts w:hint="eastAsia" w:ascii="仿宋" w:hAnsi="仿宋" w:eastAsia="仿宋" w:cs="仿宋"/>
          <w:kern w:val="0"/>
          <w:szCs w:val="21"/>
          <w:highlight w:val="none"/>
          <w:u w:val="single"/>
        </w:rPr>
        <w:t>自</w:t>
      </w:r>
      <w:r>
        <w:rPr>
          <w:rFonts w:hint="eastAsia" w:ascii="仿宋" w:hAnsi="仿宋" w:eastAsia="仿宋" w:cs="仿宋"/>
          <w:kern w:val="0"/>
          <w:szCs w:val="21"/>
          <w:highlight w:val="none"/>
          <w:u w:val="single"/>
          <w:lang w:eastAsia="zh-CN"/>
        </w:rPr>
        <w:t>发包人发出中标通知书</w:t>
      </w:r>
      <w:r>
        <w:rPr>
          <w:rFonts w:hint="eastAsia" w:ascii="仿宋" w:hAnsi="仿宋" w:eastAsia="仿宋" w:cs="仿宋"/>
          <w:kern w:val="0"/>
          <w:szCs w:val="21"/>
          <w:highlight w:val="none"/>
          <w:u w:val="single"/>
          <w:lang w:val="en-US" w:eastAsia="zh-CN"/>
        </w:rPr>
        <w:t>/委托书之日</w:t>
      </w:r>
      <w:r>
        <w:rPr>
          <w:rFonts w:hint="eastAsia" w:ascii="仿宋" w:hAnsi="仿宋" w:eastAsia="仿宋" w:cs="仿宋"/>
          <w:kern w:val="0"/>
          <w:szCs w:val="21"/>
          <w:highlight w:val="none"/>
          <w:u w:val="single"/>
        </w:rPr>
        <w:t>起至</w:t>
      </w:r>
      <w:r>
        <w:rPr>
          <w:rFonts w:hint="eastAsia" w:ascii="仿宋" w:hAnsi="仿宋" w:eastAsia="仿宋" w:cs="仿宋"/>
          <w:kern w:val="0"/>
          <w:szCs w:val="21"/>
          <w:highlight w:val="none"/>
          <w:u w:val="single"/>
          <w:lang w:eastAsia="zh-CN"/>
        </w:rPr>
        <w:t>完成</w:t>
      </w:r>
      <w:r>
        <w:rPr>
          <w:rFonts w:hint="eastAsia" w:ascii="仿宋" w:hAnsi="仿宋" w:eastAsia="仿宋" w:cs="仿宋"/>
          <w:kern w:val="0"/>
          <w:szCs w:val="21"/>
          <w:highlight w:val="none"/>
          <w:u w:val="single"/>
          <w:lang w:val="en-US" w:eastAsia="zh-CN"/>
        </w:rPr>
        <w:t>本合同全部监理工作</w:t>
      </w:r>
      <w:r>
        <w:rPr>
          <w:rFonts w:hint="eastAsia" w:ascii="仿宋" w:hAnsi="仿宋" w:eastAsia="仿宋" w:cs="仿宋"/>
          <w:kern w:val="0"/>
          <w:szCs w:val="21"/>
          <w:highlight w:val="none"/>
          <w:u w:val="single"/>
        </w:rPr>
        <w:t>且本合同</w:t>
      </w:r>
      <w:r>
        <w:rPr>
          <w:rFonts w:hint="eastAsia" w:ascii="仿宋" w:hAnsi="仿宋" w:eastAsia="仿宋" w:cs="仿宋"/>
          <w:kern w:val="0"/>
          <w:szCs w:val="21"/>
          <w:highlight w:val="none"/>
          <w:u w:val="single"/>
          <w:lang w:eastAsia="zh-CN"/>
        </w:rPr>
        <w:t>项目</w:t>
      </w:r>
      <w:r>
        <w:rPr>
          <w:rFonts w:hint="eastAsia" w:ascii="仿宋" w:hAnsi="仿宋" w:eastAsia="仿宋" w:cs="仿宋"/>
          <w:kern w:val="0"/>
          <w:szCs w:val="21"/>
          <w:highlight w:val="none"/>
          <w:u w:val="single"/>
        </w:rPr>
        <w:t>结算金额经结算</w:t>
      </w:r>
      <w:r>
        <w:rPr>
          <w:rFonts w:hint="eastAsia" w:ascii="仿宋" w:hAnsi="仿宋" w:eastAsia="仿宋" w:cs="仿宋"/>
          <w:kern w:val="0"/>
          <w:szCs w:val="21"/>
          <w:highlight w:val="none"/>
          <w:u w:val="single"/>
          <w:lang w:eastAsia="zh-CN"/>
        </w:rPr>
        <w:t>终审单位</w:t>
      </w:r>
      <w:r>
        <w:rPr>
          <w:rFonts w:hint="eastAsia" w:ascii="仿宋" w:hAnsi="仿宋" w:eastAsia="仿宋" w:cs="仿宋"/>
          <w:kern w:val="0"/>
          <w:szCs w:val="21"/>
          <w:highlight w:val="none"/>
          <w:u w:val="single"/>
        </w:rPr>
        <w:t>审定之日止</w:t>
      </w:r>
      <w:r>
        <w:rPr>
          <w:rFonts w:hint="eastAsia" w:ascii="仿宋" w:hAnsi="仿宋" w:eastAsia="仿宋" w:cs="仿宋"/>
          <w:kern w:val="0"/>
          <w:szCs w:val="21"/>
          <w:highlight w:val="none"/>
        </w:rPr>
        <w:t>。</w:t>
      </w:r>
    </w:p>
    <w:p>
      <w:pPr>
        <w:pStyle w:val="38"/>
        <w:bidi w:val="0"/>
        <w:rPr>
          <w:rFonts w:hint="eastAsia" w:ascii="仿宋" w:hAnsi="仿宋" w:eastAsia="仿宋"/>
        </w:rPr>
      </w:pPr>
      <w:bookmarkStart w:id="13" w:name="_Toc1838125338"/>
      <w:bookmarkStart w:id="14" w:name="_Toc1058713671"/>
      <w:bookmarkStart w:id="15" w:name="_Toc2019289499"/>
      <w:r>
        <w:rPr>
          <w:rFonts w:hint="eastAsia" w:ascii="仿宋" w:hAnsi="仿宋" w:eastAsia="仿宋"/>
          <w:lang w:eastAsia="zh-CN"/>
        </w:rPr>
        <w:t>四、</w:t>
      </w:r>
      <w:r>
        <w:rPr>
          <w:rFonts w:hint="eastAsia" w:ascii="仿宋" w:hAnsi="仿宋" w:eastAsia="仿宋"/>
        </w:rPr>
        <w:t>总监理工程师</w:t>
      </w:r>
      <w:bookmarkEnd w:id="13"/>
      <w:bookmarkEnd w:id="14"/>
      <w:bookmarkEnd w:id="15"/>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总监理工程师，姓名：</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；身份证号码：</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；注册证号：</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pPr>
        <w:pStyle w:val="38"/>
        <w:bidi w:val="0"/>
        <w:rPr>
          <w:rFonts w:hint="eastAsia" w:ascii="仿宋" w:hAnsi="仿宋" w:eastAsia="仿宋"/>
        </w:rPr>
      </w:pPr>
      <w:bookmarkStart w:id="16" w:name="_Toc675180848"/>
      <w:bookmarkStart w:id="17" w:name="_Toc661238601"/>
      <w:bookmarkStart w:id="18" w:name="_Toc1628451407"/>
      <w:r>
        <w:rPr>
          <w:rFonts w:hint="eastAsia" w:ascii="仿宋" w:hAnsi="仿宋" w:eastAsia="仿宋"/>
          <w:lang w:eastAsia="zh-CN"/>
        </w:rPr>
        <w:t>五、</w:t>
      </w:r>
      <w:r>
        <w:rPr>
          <w:rFonts w:hint="eastAsia" w:ascii="仿宋" w:hAnsi="仿宋" w:eastAsia="仿宋"/>
        </w:rPr>
        <w:t>监理报酬</w:t>
      </w:r>
      <w:bookmarkEnd w:id="16"/>
      <w:bookmarkEnd w:id="17"/>
      <w:bookmarkEnd w:id="18"/>
    </w:p>
    <w:p>
      <w:pPr>
        <w:widowControl/>
        <w:spacing w:line="440" w:lineRule="exact"/>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本项目监理报酬的签约合同价为（大写）：人民币 </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元。</w:t>
      </w:r>
    </w:p>
    <w:p>
      <w:pPr>
        <w:widowControl/>
        <w:spacing w:line="440" w:lineRule="exact"/>
        <w:ind w:firstLine="420" w:firstLineChars="200"/>
        <w:jc w:val="left"/>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（小写）：￥</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元。</w:t>
      </w:r>
      <w:r>
        <w:rPr>
          <w:rFonts w:hint="eastAsia" w:ascii="仿宋" w:hAnsi="仿宋" w:eastAsia="仿宋" w:cs="仿宋"/>
          <w:kern w:val="0"/>
          <w:szCs w:val="21"/>
          <w:highlight w:val="none"/>
          <w:lang w:eastAsia="zh-CN"/>
        </w:rPr>
        <w:t>其中，其中中标</w:t>
      </w:r>
      <w:r>
        <w:rPr>
          <w:rFonts w:hint="eastAsia" w:ascii="仿宋" w:hAnsi="仿宋" w:eastAsia="仿宋" w:cs="仿宋"/>
          <w:kern w:val="0"/>
          <w:szCs w:val="21"/>
          <w:highlight w:val="none"/>
          <w:lang w:val="en-US" w:eastAsia="zh-CN"/>
        </w:rPr>
        <w:t>/成交报价</w:t>
      </w:r>
      <w:r>
        <w:rPr>
          <w:rFonts w:hint="eastAsia" w:ascii="仿宋" w:hAnsi="仿宋" w:eastAsia="仿宋" w:cs="仿宋"/>
          <w:kern w:val="0"/>
          <w:szCs w:val="21"/>
          <w:highlight w:val="none"/>
          <w:lang w:eastAsia="zh-CN"/>
        </w:rPr>
        <w:t>下浮率为</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widowControl/>
        <w:spacing w:line="440" w:lineRule="exact"/>
        <w:ind w:firstLine="420" w:firstLineChars="200"/>
        <w:jc w:val="left"/>
        <w:rPr>
          <w:rFonts w:hint="eastAsia" w:ascii="仿宋" w:hAnsi="仿宋" w:eastAsia="仿宋" w:cs="仿宋"/>
          <w:kern w:val="0"/>
          <w:szCs w:val="21"/>
          <w:highlight w:val="none"/>
          <w:u w:val="single"/>
        </w:rPr>
      </w:pPr>
      <w:r>
        <w:rPr>
          <w:rFonts w:hint="eastAsia" w:ascii="仿宋" w:hAnsi="仿宋" w:eastAsia="仿宋" w:cs="仿宋"/>
          <w:kern w:val="0"/>
          <w:szCs w:val="21"/>
          <w:highlight w:val="none"/>
          <w:lang w:eastAsia="zh-CN"/>
        </w:rPr>
        <w:t>具</w:t>
      </w:r>
      <w:r>
        <w:rPr>
          <w:rFonts w:hint="eastAsia" w:ascii="仿宋" w:hAnsi="仿宋" w:eastAsia="仿宋" w:cs="仿宋"/>
          <w:kern w:val="0"/>
          <w:szCs w:val="21"/>
          <w:highlight w:val="none"/>
          <w:u w:val="none"/>
          <w:lang w:eastAsia="zh-CN"/>
        </w:rPr>
        <w:t>体详见专用条款第五条监理报酬约定。</w:t>
      </w:r>
    </w:p>
    <w:p>
      <w:pPr>
        <w:pStyle w:val="38"/>
        <w:bidi w:val="0"/>
        <w:rPr>
          <w:rFonts w:hint="eastAsia" w:ascii="仿宋" w:hAnsi="仿宋" w:eastAsia="仿宋"/>
          <w:lang w:eastAsia="zh-CN"/>
        </w:rPr>
      </w:pPr>
      <w:bookmarkStart w:id="19" w:name="_Toc519448762"/>
      <w:bookmarkStart w:id="20" w:name="_Toc2090496878"/>
      <w:bookmarkStart w:id="21" w:name="_Toc1753402259"/>
      <w:r>
        <w:rPr>
          <w:rFonts w:hint="eastAsia" w:ascii="仿宋" w:hAnsi="仿宋" w:eastAsia="仿宋"/>
          <w:lang w:eastAsia="zh-CN"/>
        </w:rPr>
        <w:t>六、合同文件组成</w:t>
      </w:r>
      <w:bookmarkEnd w:id="19"/>
      <w:bookmarkEnd w:id="20"/>
      <w:bookmarkEnd w:id="21"/>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组成合同的各文件应该是一个整体，彼此相互解释</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互为说明。除合同双方另有约定外，本合同组成文件及优先解释顺序如下：</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1.在执行本合同的过程中，双方签署确认的或上级主管部门审核确认的文件（包括会议纪要、补充协议等）；</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2.本合同协议书；</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3.中标通知书/委托书/中选通知书；</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4.本合同专用条款；</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5.本合同通用条款；</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6.标准、规范及有关技术文件、图纸；</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7.其它合同附件；</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8.</w:t>
      </w:r>
      <w:r>
        <w:rPr>
          <w:rFonts w:hint="eastAsia" w:ascii="仿宋" w:hAnsi="仿宋" w:eastAsia="仿宋" w:cs="仿宋"/>
          <w:kern w:val="0"/>
          <w:szCs w:val="21"/>
          <w:highlight w:val="none"/>
          <w:lang w:val="en-US" w:eastAsia="zh-CN"/>
        </w:rPr>
        <w:t>本项目投标文件；</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u w:val="single"/>
          <w:lang w:val="en-US" w:eastAsia="zh-CN"/>
        </w:rPr>
      </w:pPr>
      <w:r>
        <w:rPr>
          <w:rFonts w:hint="eastAsia" w:ascii="仿宋" w:hAnsi="仿宋" w:eastAsia="仿宋" w:cs="仿宋"/>
          <w:kern w:val="0"/>
          <w:szCs w:val="21"/>
          <w:highlight w:val="none"/>
          <w:lang w:val="en-US" w:eastAsia="zh-CN"/>
        </w:rPr>
        <w:t>9.本项目招标公告、招标文件及其关联文件；</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10.</w:t>
      </w:r>
      <w:r>
        <w:rPr>
          <w:rFonts w:hint="eastAsia" w:ascii="仿宋" w:hAnsi="仿宋" w:eastAsia="仿宋" w:cs="仿宋"/>
          <w:kern w:val="0"/>
          <w:szCs w:val="21"/>
          <w:highlight w:val="none"/>
        </w:rPr>
        <w:t>双方约定的其他文件：</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上述各项合同文件属于同一顺序内容的文件间如有不一致的，以最新签署的为准。</w:t>
      </w:r>
    </w:p>
    <w:p>
      <w:pPr>
        <w:pStyle w:val="38"/>
        <w:bidi w:val="0"/>
        <w:rPr>
          <w:rFonts w:hint="eastAsia" w:ascii="仿宋" w:hAnsi="仿宋" w:eastAsia="仿宋"/>
          <w:lang w:eastAsia="zh-CN"/>
        </w:rPr>
      </w:pPr>
      <w:bookmarkStart w:id="22" w:name="_Toc540451113"/>
      <w:bookmarkStart w:id="23" w:name="_Toc1657449079"/>
      <w:bookmarkStart w:id="24" w:name="_Toc664464818"/>
      <w:r>
        <w:rPr>
          <w:rFonts w:hint="eastAsia" w:ascii="仿宋" w:hAnsi="仿宋" w:eastAsia="仿宋"/>
          <w:lang w:eastAsia="zh-CN"/>
        </w:rPr>
        <w:t>七、词语含义</w:t>
      </w:r>
      <w:bookmarkEnd w:id="22"/>
      <w:bookmarkEnd w:id="23"/>
      <w:bookmarkEnd w:id="24"/>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本合同中的有关词语含义与通用条款、专用条款相关</w:t>
      </w:r>
      <w:r>
        <w:rPr>
          <w:rFonts w:hint="eastAsia" w:ascii="仿宋" w:hAnsi="仿宋" w:eastAsia="仿宋" w:cs="仿宋"/>
          <w:kern w:val="0"/>
          <w:szCs w:val="21"/>
          <w:highlight w:val="none"/>
          <w:lang w:eastAsia="zh-CN"/>
        </w:rPr>
        <w:t>条款</w:t>
      </w:r>
      <w:r>
        <w:rPr>
          <w:rFonts w:hint="eastAsia" w:ascii="仿宋" w:hAnsi="仿宋" w:eastAsia="仿宋" w:cs="仿宋"/>
          <w:kern w:val="0"/>
          <w:szCs w:val="21"/>
          <w:highlight w:val="none"/>
        </w:rPr>
        <w:t>中赋予它们的定义与解释相同。</w:t>
      </w:r>
    </w:p>
    <w:p>
      <w:pPr>
        <w:pStyle w:val="38"/>
        <w:bidi w:val="0"/>
        <w:rPr>
          <w:rFonts w:hint="eastAsia" w:ascii="仿宋" w:hAnsi="仿宋" w:eastAsia="仿宋"/>
          <w:lang w:eastAsia="zh-CN"/>
        </w:rPr>
      </w:pPr>
      <w:bookmarkStart w:id="25" w:name="_Toc138206789"/>
      <w:bookmarkStart w:id="26" w:name="_Toc1740365278"/>
      <w:bookmarkStart w:id="27" w:name="_Toc376362149"/>
      <w:r>
        <w:rPr>
          <w:rFonts w:hint="eastAsia" w:ascii="仿宋" w:hAnsi="仿宋" w:eastAsia="仿宋"/>
          <w:lang w:eastAsia="zh-CN"/>
        </w:rPr>
        <w:t>八、合同双方承诺</w:t>
      </w:r>
      <w:bookmarkEnd w:id="25"/>
      <w:bookmarkEnd w:id="26"/>
      <w:bookmarkEnd w:id="27"/>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监理人承诺：按照本合同约定、</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要求提供监理服务，并履行本合同约定的全部义务。若监理人承诺的服务质量标准高于本合同或</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要求的，以监理人承诺的服务质量标准为准。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承诺：在监理人履行合同义务的前提下，按照本合同约定的期限和方式支付合同价款，并履行本合同所约定的全部义务。</w:t>
      </w:r>
    </w:p>
    <w:p>
      <w:pPr>
        <w:pStyle w:val="38"/>
        <w:bidi w:val="0"/>
        <w:rPr>
          <w:rFonts w:hint="eastAsia" w:ascii="仿宋" w:hAnsi="仿宋" w:eastAsia="仿宋"/>
          <w:lang w:eastAsia="zh-CN"/>
        </w:rPr>
      </w:pPr>
      <w:bookmarkStart w:id="28" w:name="_Toc358968924"/>
      <w:bookmarkStart w:id="29" w:name="_Toc1312805549"/>
      <w:bookmarkStart w:id="30" w:name="_Toc465925135"/>
      <w:r>
        <w:rPr>
          <w:rFonts w:hint="eastAsia" w:ascii="仿宋" w:hAnsi="仿宋" w:eastAsia="仿宋"/>
          <w:lang w:eastAsia="zh-CN"/>
        </w:rPr>
        <w:t>九、合同有效期</w:t>
      </w:r>
      <w:bookmarkEnd w:id="28"/>
      <w:bookmarkEnd w:id="29"/>
      <w:bookmarkEnd w:id="30"/>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本合同自</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、监理人双方盖章且法定代表人（或其授权代理人）签字或者盖章后生效；在本合同项下的责任承担、义务履行均告完毕且监理报酬按照本合同约定结清后终止。</w:t>
      </w:r>
    </w:p>
    <w:p>
      <w:pPr>
        <w:pStyle w:val="38"/>
        <w:bidi w:val="0"/>
        <w:rPr>
          <w:rFonts w:hint="eastAsia" w:ascii="仿宋" w:hAnsi="仿宋" w:eastAsia="仿宋"/>
          <w:lang w:eastAsia="zh-CN"/>
        </w:rPr>
      </w:pPr>
      <w:bookmarkStart w:id="31" w:name="_Toc2121645897"/>
      <w:bookmarkStart w:id="32" w:name="_Toc636876723"/>
      <w:bookmarkStart w:id="33" w:name="_Toc1286403297"/>
      <w:r>
        <w:rPr>
          <w:rFonts w:hint="eastAsia" w:ascii="仿宋" w:hAnsi="仿宋" w:eastAsia="仿宋"/>
          <w:lang w:eastAsia="zh-CN"/>
        </w:rPr>
        <w:t>十、合同份数</w:t>
      </w:r>
      <w:bookmarkEnd w:id="31"/>
      <w:bookmarkEnd w:id="32"/>
      <w:bookmarkEnd w:id="33"/>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本合同正本一式</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份，双方各执</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份；副本</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份，</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执</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US" w:eastAsia="zh-CN"/>
        </w:rPr>
        <w:t>4</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份，监理人执</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 xml:space="preserve">  份。合同正、副本具有同等效力，但当合同副本与正本的表述不一致时，以合同正本为准。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br w:type="page"/>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（本页为签署页）</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 xml:space="preserve">：                             监理人：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法定代表人：                         法定代表人：</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（或授权代表）                       （或授权代表）</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联系地址：                           联系地址：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联系人：                             联系人：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联系电话：                           联系电话：</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传    真：                           传    真：</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开户银行：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账    号：</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签约时间：     年     月     日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签约地点： </w:t>
      </w:r>
    </w:p>
    <w:p>
      <w:pPr>
        <w:widowControl/>
        <w:spacing w:line="360" w:lineRule="auto"/>
        <w:jc w:val="left"/>
        <w:rPr>
          <w:rFonts w:hint="eastAsia" w:ascii="Times New Roman" w:hAnsi="Times New Roman" w:eastAsia="仿宋" w:cs="仿宋"/>
          <w:color w:val="000000" w:themeColor="text1"/>
          <w:sz w:val="28"/>
          <w:szCs w:val="28"/>
          <w:highlight w:val="none"/>
          <w14:textFill>
            <w14:solidFill>
              <w14:schemeClr w14:val="tx1"/>
            </w14:solidFill>
          </w14:textFill>
        </w:rPr>
      </w:pPr>
    </w:p>
    <w:p>
      <w:pPr>
        <w:rPr>
          <w:rFonts w:hint="eastAsia" w:ascii="Times New Roman" w:hAnsi="Times New Roman" w:eastAsia="仿宋" w:cs="仿宋"/>
          <w:b/>
          <w:bCs/>
          <w:color w:val="000000" w:themeColor="text1"/>
          <w:sz w:val="28"/>
          <w:szCs w:val="28"/>
          <w:highlight w:val="none"/>
          <w14:textFill>
            <w14:solidFill>
              <w14:schemeClr w14:val="tx1"/>
            </w14:solidFill>
          </w14:textFill>
        </w:rPr>
      </w:pPr>
      <w:r>
        <w:rPr>
          <w:rFonts w:hint="eastAsia" w:ascii="Times New Roman" w:hAnsi="Times New Roman" w:eastAsia="仿宋" w:cs="仿宋"/>
          <w:b/>
          <w:bCs/>
          <w:color w:val="000000" w:themeColor="text1"/>
          <w:sz w:val="28"/>
          <w:szCs w:val="28"/>
          <w:highlight w:val="none"/>
          <w14:textFill>
            <w14:solidFill>
              <w14:schemeClr w14:val="tx1"/>
            </w14:solidFill>
          </w14:textFill>
        </w:rPr>
        <w:br w:type="page"/>
      </w:r>
    </w:p>
    <w:p>
      <w:pPr>
        <w:widowControl/>
        <w:spacing w:line="360" w:lineRule="auto"/>
        <w:jc w:val="center"/>
        <w:outlineLvl w:val="0"/>
        <w:rPr>
          <w:rFonts w:hint="eastAsia" w:ascii="Times New Roman" w:hAnsi="Times New Roman" w:eastAsia="仿宋" w:cs="仿宋"/>
          <w:b/>
          <w:bCs/>
          <w:color w:val="000000" w:themeColor="text1"/>
          <w:sz w:val="32"/>
          <w:szCs w:val="32"/>
          <w:highlight w:val="none"/>
          <w14:textFill>
            <w14:solidFill>
              <w14:schemeClr w14:val="tx1"/>
            </w14:solidFill>
          </w14:textFill>
        </w:rPr>
      </w:pPr>
      <w:bookmarkStart w:id="34" w:name="_Toc687780623"/>
      <w:bookmarkStart w:id="35" w:name="_Toc1487908172"/>
      <w:bookmarkStart w:id="36" w:name="_Toc1223995145"/>
      <w:r>
        <w:rPr>
          <w:rFonts w:hint="eastAsia" w:ascii="Times New Roman" w:hAnsi="Times New Roman" w:eastAsia="仿宋" w:cs="仿宋"/>
          <w:b/>
          <w:bCs/>
          <w:color w:val="000000" w:themeColor="text1"/>
          <w:sz w:val="32"/>
          <w:szCs w:val="32"/>
          <w:highlight w:val="none"/>
          <w14:textFill>
            <w14:solidFill>
              <w14:schemeClr w14:val="tx1"/>
            </w14:solidFill>
          </w14:textFill>
        </w:rPr>
        <w:t>第二部分  通用条款</w:t>
      </w:r>
      <w:bookmarkEnd w:id="34"/>
      <w:bookmarkEnd w:id="35"/>
      <w:bookmarkEnd w:id="36"/>
    </w:p>
    <w:p>
      <w:pPr>
        <w:pStyle w:val="38"/>
        <w:bidi w:val="0"/>
        <w:rPr>
          <w:rFonts w:hint="eastAsia"/>
        </w:rPr>
      </w:pPr>
      <w:bookmarkStart w:id="37" w:name="_Toc924370917"/>
      <w:bookmarkStart w:id="38" w:name="_Toc776506114"/>
      <w:bookmarkStart w:id="39" w:name="_Toc519470817"/>
      <w:r>
        <w:rPr>
          <w:rFonts w:hint="eastAsia"/>
          <w:lang w:eastAsia="zh-CN"/>
        </w:rPr>
        <w:t>一、</w:t>
      </w:r>
      <w:r>
        <w:rPr>
          <w:rFonts w:hint="eastAsia"/>
        </w:rPr>
        <w:t>总则</w:t>
      </w:r>
      <w:bookmarkEnd w:id="37"/>
      <w:bookmarkEnd w:id="38"/>
      <w:bookmarkEnd w:id="39"/>
    </w:p>
    <w:p>
      <w:pPr>
        <w:pStyle w:val="39"/>
        <w:bidi w:val="0"/>
        <w:rPr>
          <w:rFonts w:hint="eastAsia"/>
        </w:rPr>
      </w:pPr>
      <w:bookmarkStart w:id="40" w:name="_Toc21552799"/>
      <w:bookmarkStart w:id="41" w:name="_Toc150834807"/>
      <w:bookmarkStart w:id="42" w:name="_Toc2002754499"/>
      <w:r>
        <w:rPr>
          <w:rFonts w:hint="eastAsia"/>
        </w:rPr>
        <w:t>1.1 定义</w:t>
      </w:r>
      <w:bookmarkEnd w:id="40"/>
      <w:bookmarkEnd w:id="41"/>
      <w:bookmarkEnd w:id="42"/>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除根据上下文另有其意义外，组成本合同的全部文件中的下列名词和用语应具有本款所赋予的含义：</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1.1.1 “项目”是指按照本合同约定实施监理与相关服务的</w:t>
      </w:r>
      <w:r>
        <w:rPr>
          <w:rFonts w:hint="eastAsia" w:ascii="仿宋" w:hAnsi="仿宋" w:eastAsia="仿宋" w:cs="仿宋"/>
          <w:kern w:val="0"/>
          <w:szCs w:val="21"/>
          <w:highlight w:val="none"/>
          <w:lang w:eastAsia="zh-CN"/>
        </w:rPr>
        <w:t>工程</w:t>
      </w:r>
      <w:r>
        <w:rPr>
          <w:rFonts w:hint="eastAsia" w:ascii="仿宋" w:hAnsi="仿宋" w:eastAsia="仿宋" w:cs="仿宋"/>
          <w:kern w:val="0"/>
          <w:szCs w:val="21"/>
          <w:highlight w:val="none"/>
        </w:rPr>
        <w:t>项目。</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1.1.2 “</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”是指本合同中委托监理与相关服务的一方，及其合法继承人或受让人。</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1.1.3 “监理人”是指与</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签订本合同并按照本合同约定实施监理与相关服务的一方，及其合法继承人或受让人。</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1.1.4 “监理机构”是指监理人指派至本项目并具体实施本合同约定监理与相关服务的组织。</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1.1.5 “总监理工程师”是指经</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同意、监理人授权，全面负责履行本合同、主持监理机构工作的注册监理工程师。</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1.1.6 “监理正常工作”是指在合同通用条款和合同专用条款中约定的监理人的工作。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1.1.7 </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监理附加工作”是指：①</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委托监理范围以外，通过双方书面协议另外增加的工作内容；②由于</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或监理人原因，使监理工作受到阻碍或延误，因增加工作量或持续时间而增加的工作。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1.1.8</w:t>
      </w:r>
      <w:r>
        <w:rPr>
          <w:rFonts w:hint="eastAsia" w:ascii="仿宋" w:hAnsi="仿宋" w:eastAsia="仿宋" w:cs="仿宋"/>
          <w:kern w:val="0"/>
          <w:szCs w:val="21"/>
          <w:highlight w:val="none"/>
        </w:rPr>
        <w:t>“监理额外工作”是指正常工作和附加工作以外，</w:t>
      </w:r>
      <w:r>
        <w:rPr>
          <w:rFonts w:hint="eastAsia" w:ascii="仿宋" w:hAnsi="仿宋" w:eastAsia="仿宋" w:cs="仿宋"/>
          <w:kern w:val="0"/>
          <w:szCs w:val="21"/>
          <w:highlight w:val="none"/>
          <w:lang w:eastAsia="zh-CN"/>
        </w:rPr>
        <w:t>因</w:t>
      </w:r>
      <w:r>
        <w:rPr>
          <w:rFonts w:hint="eastAsia" w:ascii="仿宋" w:hAnsi="仿宋" w:eastAsia="仿宋" w:cs="仿宋"/>
          <w:kern w:val="0"/>
          <w:szCs w:val="21"/>
          <w:highlight w:val="none"/>
        </w:rPr>
        <w:t>非监理人自己的原因而暂停或终止监理业务，其善后工作及恢复监理业务的工作。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1.1.</w:t>
      </w:r>
      <w:r>
        <w:rPr>
          <w:rFonts w:hint="eastAsia" w:ascii="仿宋" w:hAnsi="仿宋" w:eastAsia="仿宋" w:cs="仿宋"/>
          <w:kern w:val="0"/>
          <w:szCs w:val="21"/>
          <w:highlight w:val="none"/>
          <w:lang w:val="en-US" w:eastAsia="zh-CN"/>
        </w:rPr>
        <w:t>9</w:t>
      </w:r>
      <w:r>
        <w:rPr>
          <w:rFonts w:hint="eastAsia" w:ascii="仿宋" w:hAnsi="仿宋" w:eastAsia="仿宋" w:cs="仿宋"/>
          <w:kern w:val="0"/>
          <w:szCs w:val="21"/>
          <w:highlight w:val="none"/>
        </w:rPr>
        <w:t xml:space="preserve"> “</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单位”是指与</w:t>
      </w:r>
      <w:r>
        <w:rPr>
          <w:rFonts w:hint="eastAsia" w:ascii="仿宋" w:hAnsi="仿宋" w:eastAsia="仿宋" w:cs="仿宋"/>
          <w:kern w:val="0"/>
          <w:szCs w:val="21"/>
          <w:highlight w:val="none"/>
          <w:lang w:eastAsia="zh-CN"/>
        </w:rPr>
        <w:t>发包人就项目</w:t>
      </w:r>
      <w:r>
        <w:rPr>
          <w:rFonts w:hint="eastAsia" w:ascii="仿宋" w:hAnsi="仿宋" w:eastAsia="仿宋" w:cs="仿宋"/>
          <w:kern w:val="0"/>
          <w:szCs w:val="21"/>
          <w:highlight w:val="none"/>
        </w:rPr>
        <w:t>签订</w:t>
      </w:r>
      <w:r>
        <w:rPr>
          <w:rFonts w:hint="eastAsia" w:ascii="仿宋" w:hAnsi="仿宋" w:eastAsia="仿宋" w:cs="仿宋"/>
          <w:kern w:val="0"/>
          <w:szCs w:val="21"/>
          <w:highlight w:val="none"/>
          <w:lang w:eastAsia="zh-CN"/>
        </w:rPr>
        <w:t>建设工程施工</w:t>
      </w:r>
      <w:r>
        <w:rPr>
          <w:rFonts w:hint="eastAsia" w:ascii="仿宋" w:hAnsi="仿宋" w:eastAsia="仿宋" w:cs="仿宋"/>
          <w:kern w:val="0"/>
          <w:szCs w:val="21"/>
          <w:highlight w:val="none"/>
        </w:rPr>
        <w:t>合同的当事人，及其合法的继承人。</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1.1.</w:t>
      </w:r>
      <w:r>
        <w:rPr>
          <w:rFonts w:hint="eastAsia" w:ascii="仿宋" w:hAnsi="仿宋" w:eastAsia="仿宋" w:cs="仿宋"/>
          <w:kern w:val="0"/>
          <w:szCs w:val="21"/>
          <w:highlight w:val="none"/>
          <w:lang w:val="en-US" w:eastAsia="zh-CN"/>
        </w:rPr>
        <w:t>10</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合同”是指</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为开展项目与</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单位签署的</w:t>
      </w:r>
      <w:r>
        <w:rPr>
          <w:rFonts w:hint="eastAsia" w:ascii="仿宋" w:hAnsi="仿宋" w:eastAsia="仿宋" w:cs="仿宋"/>
          <w:kern w:val="0"/>
          <w:szCs w:val="21"/>
          <w:highlight w:val="none"/>
          <w:lang w:eastAsia="zh-CN"/>
        </w:rPr>
        <w:t>建设工程施工</w:t>
      </w:r>
      <w:r>
        <w:rPr>
          <w:rFonts w:hint="eastAsia" w:ascii="仿宋" w:hAnsi="仿宋" w:eastAsia="仿宋" w:cs="仿宋"/>
          <w:kern w:val="0"/>
          <w:szCs w:val="21"/>
          <w:highlight w:val="none"/>
        </w:rPr>
        <w:t>合同。</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1.1.1</w:t>
      </w: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rPr>
        <w:t>“小时</w:t>
      </w:r>
      <w:r>
        <w:rPr>
          <w:rFonts w:hint="eastAsia" w:ascii="仿宋" w:hAnsi="仿宋" w:eastAsia="仿宋" w:cs="仿宋"/>
          <w:kern w:val="0"/>
          <w:szCs w:val="21"/>
          <w:highlight w:val="none"/>
          <w:lang w:val="en"/>
        </w:rPr>
        <w:t>”</w:t>
      </w:r>
      <w:r>
        <w:rPr>
          <w:rFonts w:hint="eastAsia" w:ascii="仿宋" w:hAnsi="仿宋" w:eastAsia="仿宋" w:cs="仿宋"/>
          <w:kern w:val="0"/>
          <w:szCs w:val="21"/>
          <w:highlight w:val="none"/>
        </w:rPr>
        <w:t>、“天”、“月”、“季度”、“年”：除特别指明外，“小时”指时钟小时；“天”指日历天；“月”指公历从一个月份中任何一天开始到下一个月相应日期的前一天的时间段；“季度”指3个月，根据公历从一个月份中任何一天开始到第三个月相应日期的前一天的时间段；“年”指根据公历从任何一天开始到下一年相应日期的前一天的时间段。合同中约定按小时计算时间的，从发生事件有效时开始计算，不扣除休息时间；约定按天计算时间的，开始当天不计入，从次日开始计算，期限最后一天的截止时间为当天24:00时（即次日零点）。</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1.1.1</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rPr>
        <w:t>“书面形式”是指合同、协议、信件</w:t>
      </w:r>
      <w:r>
        <w:rPr>
          <w:rFonts w:hint="eastAsia" w:ascii="仿宋" w:hAnsi="仿宋" w:eastAsia="仿宋" w:cs="仿宋"/>
          <w:kern w:val="0"/>
          <w:szCs w:val="21"/>
          <w:highlight w:val="none"/>
          <w:lang w:eastAsia="zh-CN"/>
        </w:rPr>
        <w:t>、会议纪要</w:t>
      </w:r>
      <w:r>
        <w:rPr>
          <w:rFonts w:hint="eastAsia" w:ascii="仿宋" w:hAnsi="仿宋" w:eastAsia="仿宋" w:cs="仿宋"/>
          <w:kern w:val="0"/>
          <w:szCs w:val="21"/>
          <w:highlight w:val="none"/>
        </w:rPr>
        <w:t>和数据电文（包括传真、电子邮件</w:t>
      </w:r>
      <w:r>
        <w:rPr>
          <w:rFonts w:hint="eastAsia" w:ascii="仿宋" w:hAnsi="仿宋" w:eastAsia="仿宋" w:cs="仿宋"/>
          <w:kern w:val="0"/>
          <w:szCs w:val="21"/>
          <w:highlight w:val="none"/>
          <w:lang w:eastAsia="zh-CN"/>
        </w:rPr>
        <w:t>、手机短信、微信</w:t>
      </w:r>
      <w:r>
        <w:rPr>
          <w:rFonts w:hint="eastAsia" w:ascii="仿宋" w:hAnsi="仿宋" w:eastAsia="仿宋" w:cs="仿宋"/>
          <w:kern w:val="0"/>
          <w:szCs w:val="21"/>
          <w:highlight w:val="none"/>
        </w:rPr>
        <w:t>等）等可以有形地表现所载内容的形式。</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1.1.13  “缺陷”是指建设工程质量不符合工程建设强制性标准、设计文件，以及施工合同的约定。</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1.1.14 “监理工作量”是指本合同合同价对应实体工程的服务工作量。</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1.1.15 “履约考核”是指发包人</w:t>
      </w:r>
      <w:r>
        <w:rPr>
          <w:rFonts w:hint="eastAsia" w:ascii="仿宋" w:hAnsi="仿宋" w:eastAsia="仿宋" w:cs="仿宋"/>
          <w:kern w:val="0"/>
          <w:szCs w:val="21"/>
          <w:highlight w:val="none"/>
        </w:rPr>
        <w:t>根据相关规定及合同约定，对承包人工作情况进行的考核</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并按合同约定将考核结果作为该阶段计量及支付</w:t>
      </w:r>
      <w:r>
        <w:rPr>
          <w:rFonts w:hint="eastAsia" w:ascii="仿宋" w:hAnsi="仿宋" w:eastAsia="仿宋" w:cs="仿宋"/>
          <w:kern w:val="0"/>
          <w:szCs w:val="21"/>
          <w:highlight w:val="none"/>
          <w:lang w:eastAsia="zh-CN"/>
        </w:rPr>
        <w:t>、信用评价</w:t>
      </w:r>
      <w:r>
        <w:rPr>
          <w:rFonts w:hint="eastAsia" w:ascii="仿宋" w:hAnsi="仿宋" w:eastAsia="仿宋" w:cs="仿宋"/>
          <w:kern w:val="0"/>
          <w:szCs w:val="21"/>
          <w:highlight w:val="none"/>
        </w:rPr>
        <w:t>的依据</w:t>
      </w:r>
      <w:r>
        <w:rPr>
          <w:rFonts w:hint="eastAsia" w:ascii="仿宋" w:hAnsi="仿宋" w:eastAsia="仿宋" w:cs="仿宋"/>
          <w:kern w:val="0"/>
          <w:szCs w:val="21"/>
          <w:highlight w:val="none"/>
          <w:lang w:eastAsia="zh-CN"/>
        </w:rPr>
        <w:t>，分为阶段性考核和部门管理评价。</w:t>
      </w:r>
    </w:p>
    <w:p>
      <w:pPr>
        <w:pStyle w:val="39"/>
        <w:bidi w:val="0"/>
        <w:rPr>
          <w:rFonts w:hint="eastAsia" w:ascii="仿宋" w:hAnsi="仿宋"/>
          <w:lang w:eastAsia="zh-CN"/>
        </w:rPr>
      </w:pPr>
      <w:bookmarkStart w:id="43" w:name="_Toc741121558"/>
      <w:bookmarkStart w:id="44" w:name="_Toc1037053833"/>
      <w:bookmarkStart w:id="45" w:name="_Toc735777977"/>
      <w:r>
        <w:rPr>
          <w:rFonts w:hint="eastAsia" w:ascii="仿宋" w:hAnsi="仿宋"/>
        </w:rPr>
        <w:t xml:space="preserve">1.2 </w:t>
      </w:r>
      <w:r>
        <w:rPr>
          <w:rFonts w:hint="eastAsia" w:ascii="仿宋" w:hAnsi="仿宋"/>
          <w:lang w:eastAsia="zh-CN"/>
        </w:rPr>
        <w:t>本合同</w:t>
      </w:r>
      <w:r>
        <w:rPr>
          <w:rFonts w:hint="eastAsia" w:ascii="仿宋" w:hAnsi="仿宋"/>
        </w:rPr>
        <w:t>适用</w:t>
      </w:r>
      <w:r>
        <w:rPr>
          <w:rFonts w:hint="eastAsia" w:ascii="仿宋" w:hAnsi="仿宋"/>
          <w:lang w:eastAsia="zh-CN"/>
        </w:rPr>
        <w:t>的</w:t>
      </w:r>
      <w:r>
        <w:rPr>
          <w:rFonts w:hint="eastAsia" w:ascii="仿宋" w:hAnsi="仿宋"/>
        </w:rPr>
        <w:t>法律法规</w:t>
      </w:r>
      <w:r>
        <w:rPr>
          <w:rFonts w:hint="eastAsia" w:ascii="仿宋" w:hAnsi="仿宋"/>
          <w:lang w:eastAsia="zh-CN"/>
        </w:rPr>
        <w:t>及规范等</w:t>
      </w:r>
      <w:bookmarkEnd w:id="43"/>
      <w:bookmarkEnd w:id="44"/>
      <w:bookmarkEnd w:id="45"/>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1.2.1 本合同适用中华人民共和国法律、法规和规章。需要明示的法律、法规和规章，由双方在专用条款中约定。</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1.2.2 本项目的监理及相关服务必须符合现行国家、行业及项目所在地地方标准、规范的要求。国家、行业及项目所在地地方标准、规范存在不一致时，双方根据标准、规范的适用范围和本项目的实际情况在专用条款中约定选用的标准、规范名称（原则上应以标准高者为准）。国内没有相应标准、规范的，由</w:t>
      </w:r>
      <w:r>
        <w:rPr>
          <w:rFonts w:hint="eastAsia" w:ascii="仿宋" w:hAnsi="仿宋" w:eastAsia="仿宋" w:cs="仿宋"/>
          <w:kern w:val="0"/>
          <w:szCs w:val="21"/>
          <w:highlight w:val="none"/>
          <w:lang w:eastAsia="zh-CN"/>
        </w:rPr>
        <w:t>发包人及时</w:t>
      </w:r>
      <w:r>
        <w:rPr>
          <w:rFonts w:hint="eastAsia" w:ascii="仿宋" w:hAnsi="仿宋" w:eastAsia="仿宋" w:cs="仿宋"/>
          <w:kern w:val="0"/>
          <w:szCs w:val="21"/>
          <w:highlight w:val="none"/>
        </w:rPr>
        <w:t>向监理人提出监理服务要求，监理人按要求提出监理规划，经</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认可后执行；</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要求使用国外标准、规范的，应在专用条款中明示国外标准、规范名称，并负责提供中文译本。</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1.2.3 本合同履行期间，如以上相关规定有更新的，监理人应按本项目履行时适时有效的规定执行。</w:t>
      </w:r>
    </w:p>
    <w:p>
      <w:pPr>
        <w:pStyle w:val="39"/>
        <w:bidi w:val="0"/>
        <w:rPr>
          <w:rFonts w:hint="eastAsia" w:ascii="仿宋" w:hAnsi="仿宋"/>
        </w:rPr>
      </w:pPr>
      <w:bookmarkStart w:id="46" w:name="_Toc99042152"/>
      <w:bookmarkStart w:id="47" w:name="_Toc311940699"/>
      <w:bookmarkStart w:id="48" w:name="_Toc216505739"/>
      <w:r>
        <w:rPr>
          <w:rFonts w:hint="eastAsia" w:ascii="仿宋" w:hAnsi="仿宋"/>
        </w:rPr>
        <w:t>1.3 语言文字</w:t>
      </w:r>
      <w:bookmarkEnd w:id="46"/>
      <w:bookmarkEnd w:id="47"/>
      <w:bookmarkEnd w:id="48"/>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本合同文件使用汉语语言文字书写、解释和说明。如专用条款约定使用两种以上（含两种）语言文字时,汉语应为解释和说明本合同的标准语言文字。</w:t>
      </w:r>
    </w:p>
    <w:p>
      <w:pPr>
        <w:pStyle w:val="38"/>
        <w:bidi w:val="0"/>
        <w:rPr>
          <w:rFonts w:hint="eastAsia"/>
          <w:lang w:eastAsia="zh-CN"/>
        </w:rPr>
      </w:pPr>
      <w:bookmarkStart w:id="49" w:name="_Toc2099060330"/>
      <w:bookmarkStart w:id="50" w:name="_Toc123249610"/>
      <w:bookmarkStart w:id="51" w:name="_Toc1760541030"/>
      <w:r>
        <w:rPr>
          <w:rFonts w:hint="eastAsia"/>
          <w:lang w:eastAsia="zh-CN"/>
        </w:rPr>
        <w:t>二、监理人义务</w:t>
      </w:r>
      <w:bookmarkEnd w:id="49"/>
      <w:bookmarkEnd w:id="50"/>
      <w:bookmarkEnd w:id="51"/>
    </w:p>
    <w:p>
      <w:pPr>
        <w:pStyle w:val="39"/>
        <w:bidi w:val="0"/>
        <w:rPr>
          <w:rFonts w:hint="eastAsia" w:ascii="仿宋" w:hAnsi="仿宋"/>
        </w:rPr>
      </w:pPr>
      <w:bookmarkStart w:id="52" w:name="_Toc1211022764"/>
      <w:bookmarkStart w:id="53" w:name="_Toc1836506860"/>
      <w:bookmarkStart w:id="54" w:name="_Toc2063439410"/>
      <w:r>
        <w:rPr>
          <w:rFonts w:hint="eastAsia" w:ascii="仿宋" w:hAnsi="仿宋"/>
        </w:rPr>
        <w:t>2.1 监理范围</w:t>
      </w:r>
      <w:bookmarkEnd w:id="52"/>
      <w:bookmarkEnd w:id="53"/>
      <w:bookmarkEnd w:id="54"/>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按照合同协议书约定的监理范围开展本项目的监理及相关服务。</w:t>
      </w:r>
    </w:p>
    <w:p>
      <w:pPr>
        <w:pStyle w:val="39"/>
        <w:bidi w:val="0"/>
        <w:rPr>
          <w:rFonts w:hint="eastAsia" w:ascii="仿宋" w:hAnsi="仿宋"/>
        </w:rPr>
      </w:pPr>
      <w:bookmarkStart w:id="55" w:name="_Toc2062167445"/>
      <w:bookmarkStart w:id="56" w:name="_Toc1511703539"/>
      <w:bookmarkStart w:id="57" w:name="_Toc943626072"/>
      <w:r>
        <w:rPr>
          <w:rFonts w:hint="eastAsia" w:ascii="仿宋" w:hAnsi="仿宋"/>
        </w:rPr>
        <w:t>2.2 监理工作内容</w:t>
      </w:r>
      <w:bookmarkEnd w:id="55"/>
      <w:bookmarkEnd w:id="56"/>
      <w:bookmarkEnd w:id="57"/>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除专用条款另有约定外，监理人应在监理范围内对项目的质量、</w:t>
      </w:r>
      <w:r>
        <w:rPr>
          <w:rFonts w:hint="eastAsia" w:ascii="仿宋" w:hAnsi="仿宋" w:eastAsia="仿宋" w:cs="仿宋"/>
          <w:kern w:val="0"/>
          <w:szCs w:val="21"/>
          <w:highlight w:val="none"/>
          <w:lang w:eastAsia="zh-CN"/>
        </w:rPr>
        <w:t>安全、文明施工、</w:t>
      </w:r>
      <w:r>
        <w:rPr>
          <w:rFonts w:hint="eastAsia" w:ascii="仿宋" w:hAnsi="仿宋" w:eastAsia="仿宋" w:cs="仿宋"/>
          <w:kern w:val="0"/>
          <w:szCs w:val="21"/>
          <w:highlight w:val="none"/>
        </w:rPr>
        <w:t>投资、进度进行</w:t>
      </w:r>
      <w:r>
        <w:rPr>
          <w:rFonts w:hint="eastAsia" w:ascii="仿宋" w:hAnsi="仿宋" w:eastAsia="仿宋" w:cs="仿宋"/>
          <w:kern w:val="0"/>
          <w:szCs w:val="21"/>
          <w:highlight w:val="none"/>
          <w:lang w:eastAsia="zh-CN"/>
        </w:rPr>
        <w:t>严格</w:t>
      </w:r>
      <w:r>
        <w:rPr>
          <w:rFonts w:hint="eastAsia" w:ascii="仿宋" w:hAnsi="仿宋" w:eastAsia="仿宋" w:cs="仿宋"/>
          <w:kern w:val="0"/>
          <w:szCs w:val="21"/>
          <w:highlight w:val="none"/>
        </w:rPr>
        <w:t>控制，对合同、信息进行管理，对项目相关方的关系进行协调，并履行</w:t>
      </w:r>
      <w:r>
        <w:rPr>
          <w:rFonts w:hint="eastAsia" w:ascii="仿宋" w:hAnsi="仿宋" w:eastAsia="仿宋" w:cs="仿宋"/>
          <w:kern w:val="0"/>
          <w:szCs w:val="21"/>
          <w:highlight w:val="none"/>
          <w:lang w:eastAsia="zh-CN"/>
        </w:rPr>
        <w:t>法定及合同约定的</w:t>
      </w:r>
      <w:r>
        <w:rPr>
          <w:rFonts w:hint="eastAsia" w:ascii="仿宋" w:hAnsi="仿宋" w:eastAsia="仿宋" w:cs="仿宋"/>
          <w:kern w:val="0"/>
          <w:szCs w:val="21"/>
          <w:highlight w:val="none"/>
        </w:rPr>
        <w:t>安全生产管理</w:t>
      </w:r>
      <w:r>
        <w:rPr>
          <w:rFonts w:hint="eastAsia" w:ascii="仿宋" w:hAnsi="仿宋" w:eastAsia="仿宋" w:cs="仿宋"/>
          <w:kern w:val="0"/>
          <w:szCs w:val="21"/>
          <w:highlight w:val="none"/>
          <w:lang w:eastAsia="zh-CN"/>
        </w:rPr>
        <w:t>义务</w:t>
      </w:r>
      <w:r>
        <w:rPr>
          <w:rFonts w:hint="eastAsia" w:ascii="仿宋" w:hAnsi="仿宋" w:eastAsia="仿宋" w:cs="仿宋"/>
          <w:kern w:val="0"/>
          <w:szCs w:val="21"/>
          <w:highlight w:val="none"/>
        </w:rPr>
        <w:t>，对项目的有序开展进行有效监督、检查。具体内容包括：</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2.2.1现场及人员管理方面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lang w:eastAsia="zh-CN"/>
        </w:rPr>
        <w:t>如因项目需要，</w:t>
      </w:r>
      <w:r>
        <w:rPr>
          <w:rFonts w:hint="eastAsia" w:ascii="仿宋" w:hAnsi="仿宋" w:eastAsia="仿宋" w:cs="仿宋"/>
          <w:kern w:val="0"/>
          <w:szCs w:val="21"/>
          <w:highlight w:val="none"/>
          <w:lang w:val="en-US" w:eastAsia="zh-CN"/>
        </w:rPr>
        <w:t>监理人应在监理服务期限内，</w:t>
      </w:r>
      <w:r>
        <w:rPr>
          <w:rFonts w:hint="eastAsia" w:ascii="仿宋" w:hAnsi="仿宋" w:eastAsia="仿宋" w:cs="仿宋"/>
          <w:kern w:val="0"/>
          <w:szCs w:val="21"/>
          <w:highlight w:val="none"/>
        </w:rPr>
        <w:t>按发包人要求派出一名</w:t>
      </w:r>
      <w:r>
        <w:rPr>
          <w:rFonts w:hint="eastAsia" w:ascii="仿宋" w:hAnsi="仿宋" w:eastAsia="仿宋" w:cs="仿宋"/>
          <w:kern w:val="0"/>
          <w:szCs w:val="21"/>
          <w:highlight w:val="none"/>
          <w:lang w:eastAsia="zh-CN"/>
        </w:rPr>
        <w:t>中级工程师以上的</w:t>
      </w:r>
      <w:r>
        <w:rPr>
          <w:rFonts w:hint="eastAsia" w:ascii="仿宋" w:hAnsi="仿宋" w:eastAsia="仿宋" w:cs="仿宋"/>
          <w:kern w:val="0"/>
          <w:szCs w:val="21"/>
          <w:highlight w:val="none"/>
        </w:rPr>
        <w:t>有相关</w:t>
      </w:r>
      <w:r>
        <w:rPr>
          <w:rFonts w:hint="eastAsia" w:ascii="仿宋" w:hAnsi="仿宋" w:eastAsia="仿宋" w:cs="仿宋"/>
          <w:kern w:val="0"/>
          <w:szCs w:val="21"/>
          <w:highlight w:val="none"/>
          <w:lang w:eastAsia="zh-CN"/>
        </w:rPr>
        <w:t>工程管理</w:t>
      </w:r>
      <w:r>
        <w:rPr>
          <w:rFonts w:hint="eastAsia" w:ascii="仿宋" w:hAnsi="仿宋" w:eastAsia="仿宋" w:cs="仿宋"/>
          <w:kern w:val="0"/>
          <w:szCs w:val="21"/>
          <w:highlight w:val="none"/>
        </w:rPr>
        <w:t>经验的综合类人员，在发包人办公地点驻场办公，协助发包人完成各类施工手续（含施工许可证、交通疏解方案审批、占道许可证、水上水下施工许可证等）、项目征地拆迁、管线迁改及绿化迁移等工作。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eastAsia="zh-CN"/>
        </w:rPr>
        <w:t>如因项目需要，</w:t>
      </w:r>
      <w:r>
        <w:rPr>
          <w:rFonts w:hint="eastAsia" w:ascii="仿宋" w:hAnsi="仿宋" w:eastAsia="仿宋" w:cs="仿宋"/>
          <w:kern w:val="0"/>
          <w:szCs w:val="21"/>
          <w:highlight w:val="none"/>
          <w:lang w:val="en-US" w:eastAsia="zh-CN"/>
        </w:rPr>
        <w:t>监理人应在监理服务期限内，按发包人的要求派出一名有相关经验的造价人员并自备电脑等设备，在发包人办公地点驻场办公，协助发包人完成造价指标分析、计量审核、变更审核、结算审核等工作。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（３）上述经发包人确认的该驻场人员，须按发包人要求按时上班，接受发包人的考勤管理，在合同履行期间不得更换，确因客观情况需更换的，应提前7天书面通知发包人并征得发包人书面同意后方可更换。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eastAsia="zh-CN"/>
        </w:rPr>
        <w:t>（４）</w:t>
      </w:r>
      <w:r>
        <w:rPr>
          <w:rFonts w:hint="eastAsia" w:ascii="仿宋" w:hAnsi="仿宋" w:eastAsia="仿宋" w:cs="仿宋"/>
          <w:b w:val="0"/>
          <w:bCs w:val="0"/>
          <w:kern w:val="0"/>
          <w:szCs w:val="21"/>
          <w:highlight w:val="none"/>
          <w:lang w:val="en-US" w:eastAsia="zh-CN"/>
        </w:rPr>
        <w:t>发包人要求的本项目</w:t>
      </w:r>
      <w:r>
        <w:rPr>
          <w:rFonts w:hint="eastAsia" w:ascii="仿宋" w:hAnsi="仿宋" w:eastAsia="仿宋" w:cs="仿宋"/>
          <w:kern w:val="0"/>
          <w:szCs w:val="21"/>
          <w:highlight w:val="none"/>
          <w:lang w:eastAsia="zh-CN"/>
        </w:rPr>
        <w:t>其他</w:t>
      </w:r>
      <w:r>
        <w:rPr>
          <w:rFonts w:hint="eastAsia" w:ascii="仿宋" w:hAnsi="仿宋" w:eastAsia="仿宋" w:cs="仿宋"/>
          <w:kern w:val="0"/>
          <w:szCs w:val="21"/>
          <w:highlight w:val="none"/>
          <w:lang w:val="en-US" w:eastAsia="zh-CN"/>
        </w:rPr>
        <w:t>现场及人员管理方面要求在专用条款约定。</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2.2.2质量控制方面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rPr>
        <w:t>负责跟进施工材料进场验收工作，要求施工单位编制材料进场计划并审核，且每批材料进场前报监理人，监理人对材料规格、型号、尺寸等进行初步检查，并书面形成材料进场记录。</w:t>
      </w:r>
      <w:r>
        <w:rPr>
          <w:rFonts w:hint="eastAsia" w:ascii="仿宋" w:hAnsi="仿宋" w:eastAsia="仿宋" w:cs="仿宋"/>
          <w:kern w:val="0"/>
          <w:szCs w:val="21"/>
          <w:highlight w:val="none"/>
          <w:lang w:val="en-US" w:eastAsia="zh-CN"/>
        </w:rPr>
        <w:t>对进场的材料、构配件和设备按照监理合同、施工合同的约定及有关工程质量管理文件规定的比例采用平行检验或见证取样方式进行抽检。</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（2）核查施工过程中的主要部位、环节以及隐蔽工程的施工验收签证，对隐蔽工程的隐蔽过程、下道工序施工完成后难以检查的重点部位工序进行全过程旁站管理，</w:t>
      </w:r>
      <w:r>
        <w:rPr>
          <w:rFonts w:hint="eastAsia" w:ascii="仿宋" w:hAnsi="仿宋" w:eastAsia="仿宋" w:cs="仿宋"/>
          <w:kern w:val="0"/>
          <w:szCs w:val="21"/>
          <w:highlight w:val="none"/>
        </w:rPr>
        <w:t>并</w:t>
      </w:r>
      <w:r>
        <w:rPr>
          <w:rFonts w:hint="eastAsia" w:ascii="仿宋" w:hAnsi="仿宋" w:eastAsia="仿宋" w:cs="仿宋"/>
          <w:kern w:val="0"/>
          <w:szCs w:val="21"/>
          <w:highlight w:val="none"/>
          <w:lang w:eastAsia="zh-CN"/>
        </w:rPr>
        <w:t>拍摄</w:t>
      </w:r>
      <w:r>
        <w:rPr>
          <w:rFonts w:hint="eastAsia" w:ascii="仿宋" w:hAnsi="仿宋" w:eastAsia="仿宋" w:cs="仿宋"/>
          <w:kern w:val="0"/>
          <w:szCs w:val="21"/>
          <w:highlight w:val="none"/>
        </w:rPr>
        <w:t>留存影像资料</w:t>
      </w:r>
      <w:r>
        <w:rPr>
          <w:rFonts w:hint="eastAsia" w:ascii="仿宋" w:hAnsi="仿宋" w:eastAsia="仿宋" w:cs="仿宋"/>
          <w:kern w:val="0"/>
          <w:szCs w:val="21"/>
          <w:highlight w:val="none"/>
          <w:lang w:eastAsia="zh-CN"/>
        </w:rPr>
        <w:t>整理归档</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控制工程质量。对监（检）测工作进行监督检查，要求监（检）测单位每次进场开展工作前，应先向驻场监理报备；监（检）测工作作业时须对其进行旁站并对工程量进行确认，对监（检）测作业完成后的数据留档。</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3）在施工招标阶段或项目施工前，总监理工程师应组织测量专业的监理人员对发包人提供的勘察单位的地形测量资料进行审查，使用自备仪器按一定比例随机抽点复核地形图的准确性，并就地形图的可靠性、真实性和存在的问题等向发包人提交书面意见和建议。</w:t>
      </w:r>
      <w:r>
        <w:rPr>
          <w:rFonts w:hint="default" w:ascii="仿宋" w:hAnsi="仿宋" w:eastAsia="仿宋" w:cs="仿宋"/>
          <w:b w:val="0"/>
          <w:bCs w:val="0"/>
          <w:strike w:val="0"/>
          <w:dstrike w:val="0"/>
          <w:color w:val="auto"/>
          <w:kern w:val="0"/>
          <w:sz w:val="21"/>
          <w:szCs w:val="21"/>
          <w:highlight w:val="none"/>
          <w:lang w:val="en-US" w:eastAsia="zh-CN"/>
        </w:rPr>
        <w:t>施工过程中，检查施工单位或其他项目服务单位报送的测量放线控制成果及保护措施，对符合要求的施工测量成果予以签认。</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4）</w:t>
      </w:r>
      <w:r>
        <w:rPr>
          <w:rFonts w:hint="eastAsia" w:ascii="仿宋" w:hAnsi="仿宋" w:eastAsia="仿宋" w:cs="仿宋"/>
          <w:kern w:val="0"/>
          <w:szCs w:val="21"/>
          <w:highlight w:val="none"/>
        </w:rPr>
        <w:t xml:space="preserve"> </w:t>
      </w:r>
      <w:r>
        <w:rPr>
          <w:rFonts w:hint="eastAsia" w:ascii="仿宋" w:hAnsi="仿宋" w:eastAsia="仿宋" w:cs="仿宋"/>
          <w:kern w:val="0"/>
          <w:szCs w:val="21"/>
          <w:highlight w:val="none"/>
          <w:lang w:eastAsia="zh-CN"/>
        </w:rPr>
        <w:t>按照监理规范及合同约定对施工单位的相关作业进行全过程旁站，对于不符合规范、质量标准及设计图纸要求的施工作业，</w:t>
      </w:r>
      <w:r>
        <w:rPr>
          <w:rFonts w:hint="eastAsia" w:ascii="仿宋" w:hAnsi="仿宋" w:eastAsia="仿宋" w:cs="仿宋"/>
          <w:kern w:val="0"/>
          <w:szCs w:val="21"/>
          <w:highlight w:val="none"/>
          <w:lang w:val="en-US" w:eastAsia="zh-CN"/>
        </w:rPr>
        <w:t>应</w:t>
      </w:r>
      <w:r>
        <w:rPr>
          <w:rFonts w:hint="eastAsia" w:ascii="仿宋" w:hAnsi="仿宋" w:eastAsia="仿宋" w:cs="仿宋"/>
          <w:kern w:val="0"/>
          <w:szCs w:val="21"/>
          <w:highlight w:val="none"/>
          <w:lang w:eastAsia="zh-CN"/>
        </w:rPr>
        <w:t>通知施工单位停工整改、返工，并在施工单位落实整改后及时通知复工</w:t>
      </w:r>
      <w:r>
        <w:rPr>
          <w:rFonts w:hint="eastAsia" w:ascii="仿宋" w:hAnsi="仿宋" w:eastAsia="仿宋" w:cs="仿宋"/>
          <w:kern w:val="0"/>
          <w:szCs w:val="21"/>
          <w:highlight w:val="none"/>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5）</w:t>
      </w:r>
      <w:r>
        <w:rPr>
          <w:rFonts w:hint="eastAsia" w:ascii="仿宋" w:hAnsi="仿宋" w:eastAsia="仿宋" w:cs="仿宋"/>
          <w:kern w:val="0"/>
          <w:szCs w:val="21"/>
          <w:highlight w:val="none"/>
        </w:rPr>
        <w:t xml:space="preserve"> 审查</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单位用于</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的材料和设备清单及其所列的规格与质量，</w:t>
      </w:r>
      <w:r>
        <w:rPr>
          <w:rFonts w:hint="eastAsia" w:ascii="仿宋" w:hAnsi="仿宋" w:eastAsia="仿宋" w:cs="仿宋"/>
          <w:kern w:val="0"/>
          <w:szCs w:val="21"/>
          <w:highlight w:val="none"/>
          <w:lang w:eastAsia="zh-CN"/>
        </w:rPr>
        <w:t>审查施工</w:t>
      </w:r>
      <w:r>
        <w:rPr>
          <w:rFonts w:hint="eastAsia" w:ascii="仿宋" w:hAnsi="仿宋" w:eastAsia="仿宋" w:cs="仿宋"/>
          <w:kern w:val="0"/>
          <w:szCs w:val="21"/>
          <w:highlight w:val="none"/>
        </w:rPr>
        <w:t>的主要设备及关键材料是否符合设计文件或</w:t>
      </w:r>
      <w:r>
        <w:rPr>
          <w:rFonts w:hint="eastAsia" w:ascii="仿宋" w:hAnsi="仿宋" w:eastAsia="仿宋" w:cs="仿宋"/>
          <w:kern w:val="0"/>
          <w:szCs w:val="21"/>
          <w:highlight w:val="none"/>
          <w:lang w:eastAsia="zh-CN"/>
        </w:rPr>
        <w:t>施工合同</w:t>
      </w:r>
      <w:r>
        <w:rPr>
          <w:rFonts w:hint="eastAsia" w:ascii="仿宋" w:hAnsi="仿宋" w:eastAsia="仿宋" w:cs="仿宋"/>
          <w:kern w:val="0"/>
          <w:szCs w:val="21"/>
          <w:highlight w:val="none"/>
        </w:rPr>
        <w:t>所要求的厂家、型号、规格、数量以及质量标准</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审核</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的主要材料、构件的出厂合格证、材质化验单等资料</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审查施工投入的机械及电气等相关设备是否满足国家及行业相关规定并满足现场作业要求</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对不符合设计要求</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合同约定及国家质量标准的材料、构配件、设备，</w:t>
      </w:r>
      <w:r>
        <w:rPr>
          <w:rFonts w:hint="eastAsia" w:ascii="仿宋" w:hAnsi="仿宋" w:eastAsia="仿宋" w:cs="仿宋"/>
          <w:kern w:val="0"/>
          <w:szCs w:val="21"/>
          <w:highlight w:val="none"/>
          <w:lang w:val="en-US" w:eastAsia="zh-CN"/>
        </w:rPr>
        <w:t>应</w:t>
      </w:r>
      <w:r>
        <w:rPr>
          <w:rFonts w:hint="eastAsia" w:ascii="仿宋" w:hAnsi="仿宋" w:eastAsia="仿宋" w:cs="仿宋"/>
          <w:kern w:val="0"/>
          <w:szCs w:val="21"/>
          <w:highlight w:val="none"/>
        </w:rPr>
        <w:t>通知</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单位停止使用、更换材料，避免不符合要求的材料、设备、构配件等用于项目。</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6</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建立健全的质量管理制度及体系（包括但不限于：质量责任及落实、质量验收、质量问题发现与整改、技术交底、质量保障措施、科研与技术创新等）</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7）</w:t>
      </w:r>
      <w:r>
        <w:rPr>
          <w:rFonts w:hint="eastAsia" w:ascii="仿宋" w:hAnsi="仿宋" w:eastAsia="仿宋" w:cs="仿宋"/>
          <w:kern w:val="0"/>
          <w:szCs w:val="21"/>
          <w:highlight w:val="none"/>
          <w:lang w:eastAsia="zh-CN"/>
        </w:rPr>
        <w:t>督促施工单位按照国家、地方相关规定及施工合同约定，做好施工现场</w:t>
      </w:r>
      <w:r>
        <w:rPr>
          <w:rFonts w:hint="eastAsia" w:ascii="仿宋" w:hAnsi="仿宋" w:eastAsia="仿宋" w:cs="仿宋"/>
          <w:kern w:val="0"/>
          <w:szCs w:val="21"/>
          <w:highlight w:val="none"/>
        </w:rPr>
        <w:t>（含发包人或施工单位以工程项目名义临时借用的相关场地及设施）</w:t>
      </w:r>
      <w:r>
        <w:rPr>
          <w:rFonts w:hint="eastAsia" w:ascii="仿宋" w:hAnsi="仿宋" w:eastAsia="仿宋" w:cs="仿宋"/>
          <w:kern w:val="0"/>
          <w:szCs w:val="21"/>
          <w:highlight w:val="none"/>
          <w:lang w:eastAsia="zh-CN"/>
        </w:rPr>
        <w:t>管理，包括但不限于按相关行政主管部门要求对施工现场进行视频监控管理，以督促施工单位提升工程质量和文明施工水平；检查、督促施工单位按设计图纸、国家或地方规定的施工规范、文明施工、安全防护、工程质量等要求进行施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（8） 监理人发现施工单位存在违反相关规定或施工合同约定的情形，应及时要求施工单位限期完成整改，并督促施工单位按期按质落实整改责任，</w:t>
      </w:r>
      <w:r>
        <w:rPr>
          <w:rFonts w:hint="eastAsia" w:ascii="仿宋" w:hAnsi="仿宋" w:eastAsia="仿宋" w:cs="仿宋"/>
          <w:kern w:val="0"/>
          <w:szCs w:val="21"/>
          <w:highlight w:val="none"/>
        </w:rPr>
        <w:t>如施工单位拒绝整改或多次整改不到位的，监理人需书面及时报告发包人</w:t>
      </w:r>
      <w:r>
        <w:rPr>
          <w:rFonts w:hint="eastAsia" w:ascii="仿宋" w:hAnsi="仿宋" w:eastAsia="仿宋" w:cs="仿宋"/>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（9）监理人应执行首件验收制度。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（10）如施工单位拟采用新材料、新工艺、新技术、新设备，应要求其提交相关论证材料并以利于优化及安全角度进行审核及验收。</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11）</w:t>
      </w:r>
      <w:r>
        <w:rPr>
          <w:rFonts w:hint="eastAsia" w:ascii="仿宋" w:hAnsi="仿宋" w:eastAsia="仿宋" w:cs="仿宋"/>
          <w:kern w:val="0"/>
          <w:szCs w:val="21"/>
          <w:highlight w:val="none"/>
          <w:lang w:eastAsia="zh-CN"/>
        </w:rPr>
        <w:t>根据相关规定及施工合同约定，组织或参与工序验收、分部分项工程验收、隐蔽工程验收、质量验收、专项验收、竣工验收等相关验收工作，审核施工单位或其他相关单位提供的验收资料并提供验收意见，配合发包人完成验收相关流程。</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（12）工程缺陷责任期及质量保修期内，按专用条款约定到项目现场进行巡检或执行其他监理工作，并向发包人提交书面检查报告，若发现存在质量问题，应及时通知施工单位进行修复。</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（13）</w:t>
      </w:r>
      <w:r>
        <w:rPr>
          <w:rFonts w:hint="eastAsia" w:ascii="仿宋" w:hAnsi="仿宋" w:eastAsia="仿宋" w:cs="仿宋"/>
          <w:kern w:val="0"/>
          <w:szCs w:val="21"/>
          <w:highlight w:val="none"/>
        </w:rPr>
        <w:t>监督、检查</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w:t>
      </w:r>
      <w:r>
        <w:rPr>
          <w:rFonts w:hint="eastAsia" w:ascii="仿宋" w:hAnsi="仿宋" w:eastAsia="仿宋" w:cs="仿宋"/>
          <w:kern w:val="0"/>
          <w:szCs w:val="21"/>
          <w:highlight w:val="none"/>
          <w:lang w:eastAsia="zh-CN"/>
        </w:rPr>
        <w:t>严格按照施工合同约定</w:t>
      </w:r>
      <w:r>
        <w:rPr>
          <w:rFonts w:hint="eastAsia" w:ascii="仿宋" w:hAnsi="仿宋" w:eastAsia="仿宋" w:cs="仿宋"/>
          <w:kern w:val="0"/>
          <w:szCs w:val="21"/>
          <w:highlight w:val="none"/>
        </w:rPr>
        <w:t>落实</w:t>
      </w:r>
      <w:r>
        <w:rPr>
          <w:rFonts w:hint="eastAsia" w:ascii="仿宋" w:hAnsi="仿宋" w:eastAsia="仿宋" w:cs="仿宋"/>
          <w:kern w:val="0"/>
          <w:szCs w:val="21"/>
          <w:highlight w:val="none"/>
          <w:lang w:eastAsia="zh-CN"/>
        </w:rPr>
        <w:t>施工进度</w:t>
      </w:r>
      <w:r>
        <w:rPr>
          <w:rFonts w:hint="eastAsia" w:ascii="仿宋" w:hAnsi="仿宋" w:eastAsia="仿宋" w:cs="仿宋"/>
          <w:kern w:val="0"/>
          <w:szCs w:val="21"/>
          <w:highlight w:val="none"/>
        </w:rPr>
        <w:t>计划、</w:t>
      </w:r>
      <w:r>
        <w:rPr>
          <w:rFonts w:hint="eastAsia" w:ascii="仿宋" w:hAnsi="仿宋" w:eastAsia="仿宋" w:cs="仿宋"/>
          <w:kern w:val="0"/>
          <w:szCs w:val="21"/>
          <w:highlight w:val="none"/>
          <w:lang w:eastAsia="zh-CN"/>
        </w:rPr>
        <w:t>实施</w:t>
      </w:r>
      <w:r>
        <w:rPr>
          <w:rFonts w:hint="eastAsia" w:ascii="仿宋" w:hAnsi="仿宋" w:eastAsia="仿宋" w:cs="仿宋"/>
          <w:kern w:val="0"/>
          <w:szCs w:val="21"/>
          <w:highlight w:val="none"/>
        </w:rPr>
        <w:t>方案、</w:t>
      </w:r>
      <w:r>
        <w:rPr>
          <w:rFonts w:hint="eastAsia" w:ascii="仿宋" w:hAnsi="仿宋" w:eastAsia="仿宋" w:cs="仿宋"/>
          <w:kern w:val="0"/>
          <w:szCs w:val="21"/>
          <w:highlight w:val="none"/>
          <w:lang w:eastAsia="zh-CN"/>
        </w:rPr>
        <w:t>质量安全保障措施、相关</w:t>
      </w:r>
      <w:r>
        <w:rPr>
          <w:rFonts w:hint="eastAsia" w:ascii="仿宋" w:hAnsi="仿宋" w:eastAsia="仿宋" w:cs="仿宋"/>
          <w:kern w:val="0"/>
          <w:szCs w:val="21"/>
          <w:highlight w:val="none"/>
        </w:rPr>
        <w:t>人员</w:t>
      </w:r>
      <w:r>
        <w:rPr>
          <w:rFonts w:hint="eastAsia" w:ascii="仿宋" w:hAnsi="仿宋" w:eastAsia="仿宋" w:cs="仿宋"/>
          <w:kern w:val="0"/>
          <w:szCs w:val="21"/>
          <w:highlight w:val="none"/>
          <w:lang w:eastAsia="zh-CN"/>
        </w:rPr>
        <w:t>配备及</w:t>
      </w:r>
      <w:r>
        <w:rPr>
          <w:rFonts w:hint="eastAsia" w:ascii="仿宋" w:hAnsi="仿宋" w:eastAsia="仿宋" w:cs="仿宋"/>
          <w:kern w:val="0"/>
          <w:szCs w:val="21"/>
          <w:highlight w:val="none"/>
        </w:rPr>
        <w:t>资格</w:t>
      </w:r>
      <w:r>
        <w:rPr>
          <w:rFonts w:hint="eastAsia" w:ascii="仿宋" w:hAnsi="仿宋" w:eastAsia="仿宋" w:cs="仿宋"/>
          <w:kern w:val="0"/>
          <w:szCs w:val="21"/>
          <w:highlight w:val="none"/>
          <w:lang w:eastAsia="zh-CN"/>
        </w:rPr>
        <w:t>要求</w:t>
      </w:r>
      <w:r>
        <w:rPr>
          <w:rFonts w:hint="eastAsia" w:ascii="仿宋" w:hAnsi="仿宋" w:eastAsia="仿宋" w:cs="仿宋"/>
          <w:kern w:val="0"/>
          <w:szCs w:val="21"/>
          <w:highlight w:val="none"/>
        </w:rPr>
        <w:t>等情况</w:t>
      </w:r>
      <w:r>
        <w:rPr>
          <w:rFonts w:hint="eastAsia" w:ascii="仿宋" w:hAnsi="仿宋" w:eastAsia="仿宋" w:cs="仿宋"/>
          <w:kern w:val="0"/>
          <w:szCs w:val="21"/>
          <w:highlight w:val="none"/>
          <w:lang w:eastAsia="zh-CN"/>
        </w:rPr>
        <w:t>，监督、检查施工</w:t>
      </w:r>
      <w:r>
        <w:rPr>
          <w:rFonts w:hint="eastAsia" w:ascii="仿宋" w:hAnsi="仿宋" w:eastAsia="仿宋" w:cs="仿宋"/>
          <w:kern w:val="0"/>
          <w:szCs w:val="21"/>
          <w:highlight w:val="none"/>
        </w:rPr>
        <w:t>单位严格按照国家技术规范、标准以及设计图纸文件的要求</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；在项目通车试运行至正式转运维期间，监理</w:t>
      </w:r>
      <w:r>
        <w:rPr>
          <w:rFonts w:hint="eastAsia" w:ascii="仿宋" w:hAnsi="仿宋" w:eastAsia="仿宋" w:cs="仿宋"/>
          <w:kern w:val="0"/>
          <w:szCs w:val="21"/>
          <w:highlight w:val="none"/>
          <w:lang w:eastAsia="zh-CN"/>
        </w:rPr>
        <w:t>人</w:t>
      </w:r>
      <w:r>
        <w:rPr>
          <w:rFonts w:hint="eastAsia" w:ascii="仿宋" w:hAnsi="仿宋" w:eastAsia="仿宋" w:cs="仿宋"/>
          <w:kern w:val="0"/>
          <w:szCs w:val="21"/>
          <w:highlight w:val="none"/>
        </w:rPr>
        <w:t>应派出有运维管理经验专业监理工程师加强现场巡查，并督促施工单位做好项目现场运维管理工作</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14）</w:t>
      </w:r>
      <w:r>
        <w:rPr>
          <w:rFonts w:hint="eastAsia" w:ascii="仿宋" w:hAnsi="仿宋" w:eastAsia="仿宋" w:cs="仿宋"/>
          <w:kern w:val="0"/>
          <w:szCs w:val="21"/>
          <w:highlight w:val="none"/>
          <w:lang w:eastAsia="zh-CN"/>
        </w:rPr>
        <w:t>定期巡查，监督、检查施工</w:t>
      </w:r>
      <w:r>
        <w:rPr>
          <w:rFonts w:hint="eastAsia" w:ascii="仿宋" w:hAnsi="仿宋" w:eastAsia="仿宋" w:cs="仿宋"/>
          <w:kern w:val="0"/>
          <w:szCs w:val="21"/>
          <w:highlight w:val="none"/>
        </w:rPr>
        <w:t>单位作业前</w:t>
      </w:r>
      <w:r>
        <w:rPr>
          <w:rFonts w:hint="eastAsia" w:ascii="仿宋" w:hAnsi="仿宋" w:eastAsia="仿宋" w:cs="仿宋"/>
          <w:kern w:val="0"/>
          <w:szCs w:val="21"/>
          <w:highlight w:val="none"/>
          <w:lang w:eastAsia="zh-CN"/>
        </w:rPr>
        <w:t>临时用地、用海、占用航道、占用水域等报批，</w:t>
      </w:r>
      <w:r>
        <w:rPr>
          <w:rFonts w:hint="eastAsia" w:ascii="仿宋" w:hAnsi="仿宋" w:eastAsia="仿宋" w:cs="仿宋"/>
          <w:kern w:val="0"/>
          <w:szCs w:val="21"/>
          <w:highlight w:val="none"/>
        </w:rPr>
        <w:t>占道报备及现场防护措施</w:t>
      </w:r>
      <w:r>
        <w:rPr>
          <w:rFonts w:hint="eastAsia" w:ascii="仿宋" w:hAnsi="仿宋" w:eastAsia="仿宋" w:cs="仿宋"/>
          <w:kern w:val="0"/>
          <w:szCs w:val="21"/>
          <w:highlight w:val="none"/>
          <w:lang w:eastAsia="zh-CN"/>
        </w:rPr>
        <w:t>等情况，</w:t>
      </w:r>
      <w:r>
        <w:rPr>
          <w:rFonts w:hint="eastAsia" w:ascii="仿宋" w:hAnsi="仿宋" w:eastAsia="仿宋" w:cs="仿宋"/>
          <w:kern w:val="0"/>
          <w:szCs w:val="21"/>
          <w:highlight w:val="none"/>
        </w:rPr>
        <w:t>以及现场施工完成后场地恢复、验收及移交等情况</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督促</w:t>
      </w:r>
      <w:r>
        <w:rPr>
          <w:rFonts w:hint="eastAsia" w:ascii="仿宋" w:hAnsi="仿宋" w:eastAsia="仿宋" w:cs="仿宋"/>
          <w:kern w:val="0"/>
          <w:szCs w:val="21"/>
          <w:highlight w:val="none"/>
          <w:lang w:eastAsia="zh-CN"/>
        </w:rPr>
        <w:t>施工单位</w:t>
      </w:r>
      <w:r>
        <w:rPr>
          <w:rFonts w:hint="eastAsia" w:ascii="仿宋" w:hAnsi="仿宋" w:eastAsia="仿宋" w:cs="仿宋"/>
          <w:kern w:val="0"/>
          <w:szCs w:val="21"/>
          <w:highlight w:val="none"/>
        </w:rPr>
        <w:t>及时</w:t>
      </w:r>
      <w:r>
        <w:rPr>
          <w:rFonts w:hint="eastAsia" w:ascii="仿宋" w:hAnsi="仿宋" w:eastAsia="仿宋" w:cs="仿宋"/>
          <w:kern w:val="0"/>
          <w:szCs w:val="21"/>
          <w:highlight w:val="none"/>
          <w:lang w:eastAsia="zh-CN"/>
        </w:rPr>
        <w:t>消除隐患</w:t>
      </w:r>
      <w:r>
        <w:rPr>
          <w:rFonts w:hint="eastAsia" w:ascii="仿宋" w:hAnsi="仿宋" w:eastAsia="仿宋" w:cs="仿宋"/>
          <w:kern w:val="0"/>
          <w:szCs w:val="21"/>
          <w:highlight w:val="none"/>
        </w:rPr>
        <w:t>。</w:t>
      </w:r>
    </w:p>
    <w:p>
      <w:pPr>
        <w:widowControl/>
        <w:spacing w:line="240" w:lineRule="auto"/>
        <w:ind w:firstLine="420" w:firstLineChars="200"/>
        <w:jc w:val="left"/>
        <w:outlineLvl w:val="9"/>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val="en-US" w:eastAsia="zh-CN"/>
        </w:rPr>
        <w:t>（15）发包人要求的本项目其他质量控制方面的工作。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val="en-US" w:eastAsia="zh-CN"/>
        </w:rPr>
        <w:t>2.2.3投资控制方面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val="en-US" w:eastAsia="zh-CN"/>
        </w:rPr>
        <w:t>（1）施工过程中，检查施工单位或其他项目服务单位报送的测量放线控制成果及保护措施，对符合要求的施工测量成果予以签认。</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val="en-US" w:eastAsia="zh-CN"/>
        </w:rPr>
        <w:t>（2）在施工招标管理阶段，协助发包人对招标涉及的主要材料、构配件和主要设备的厂家、型号、规格、单价等进行咨询以及摸查，以便对招标限价提出好的建议以及后续的施工管理。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3）</w:t>
      </w:r>
      <w:r>
        <w:rPr>
          <w:rFonts w:hint="eastAsia" w:ascii="仿宋" w:hAnsi="仿宋" w:eastAsia="仿宋" w:cs="仿宋"/>
          <w:b w:val="0"/>
          <w:bCs w:val="0"/>
          <w:kern w:val="0"/>
          <w:szCs w:val="21"/>
          <w:highlight w:val="none"/>
          <w:lang w:eastAsia="zh-CN"/>
        </w:rPr>
        <w:t>审核施工单位申报的用款计划（如有）；负责根据项目实施情况进行现场签证、工程量确认；审核施工单位及监测、检测等服务单位申报的涉及工作量计量、签证、支付申请、变更、结算等资料的合法性、真实性、完整性；</w:t>
      </w:r>
      <w:r>
        <w:rPr>
          <w:rFonts w:hint="eastAsia" w:ascii="仿宋" w:hAnsi="仿宋" w:eastAsia="仿宋" w:cs="仿宋"/>
          <w:b w:val="0"/>
          <w:bCs w:val="0"/>
          <w:kern w:val="0"/>
          <w:szCs w:val="21"/>
          <w:highlight w:val="none"/>
        </w:rPr>
        <w:t>审核</w:t>
      </w:r>
      <w:r>
        <w:rPr>
          <w:rFonts w:hint="eastAsia" w:ascii="仿宋" w:hAnsi="仿宋" w:eastAsia="仿宋" w:cs="仿宋"/>
          <w:b w:val="0"/>
          <w:bCs w:val="0"/>
          <w:kern w:val="0"/>
          <w:szCs w:val="21"/>
          <w:highlight w:val="none"/>
          <w:lang w:eastAsia="zh-CN"/>
        </w:rPr>
        <w:t>施工图纸</w:t>
      </w:r>
      <w:r>
        <w:rPr>
          <w:rFonts w:hint="eastAsia" w:ascii="仿宋" w:hAnsi="仿宋" w:eastAsia="仿宋" w:cs="仿宋"/>
          <w:b w:val="0"/>
          <w:bCs w:val="0"/>
          <w:kern w:val="0"/>
          <w:szCs w:val="21"/>
          <w:highlight w:val="none"/>
        </w:rPr>
        <w:t>及预算、包干系数（如有）和包干范围外的技术经济变更文件</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所有涉及工程造价的文件，需造价工程师及总监理工程师审核签认，未经造价工程师及总监理工程师签字确认，</w:t>
      </w:r>
      <w:r>
        <w:rPr>
          <w:rFonts w:hint="eastAsia" w:ascii="仿宋" w:hAnsi="仿宋" w:eastAsia="仿宋" w:cs="仿宋"/>
          <w:b w:val="0"/>
          <w:bCs w:val="0"/>
          <w:kern w:val="0"/>
          <w:szCs w:val="21"/>
          <w:highlight w:val="none"/>
          <w:lang w:eastAsia="zh-CN"/>
        </w:rPr>
        <w:t>发包人</w:t>
      </w:r>
      <w:r>
        <w:rPr>
          <w:rFonts w:hint="eastAsia" w:ascii="仿宋" w:hAnsi="仿宋" w:eastAsia="仿宋" w:cs="仿宋"/>
          <w:b w:val="0"/>
          <w:bCs w:val="0"/>
          <w:kern w:val="0"/>
          <w:szCs w:val="21"/>
          <w:highlight w:val="none"/>
        </w:rPr>
        <w:t>不支付</w:t>
      </w:r>
      <w:r>
        <w:rPr>
          <w:rFonts w:hint="eastAsia" w:ascii="仿宋" w:hAnsi="仿宋" w:eastAsia="仿宋" w:cs="仿宋"/>
          <w:b w:val="0"/>
          <w:bCs w:val="0"/>
          <w:kern w:val="0"/>
          <w:szCs w:val="21"/>
          <w:highlight w:val="none"/>
          <w:lang w:eastAsia="zh-CN"/>
        </w:rPr>
        <w:t>相应</w:t>
      </w:r>
      <w:r>
        <w:rPr>
          <w:rFonts w:hint="eastAsia" w:ascii="仿宋" w:hAnsi="仿宋" w:eastAsia="仿宋" w:cs="仿宋"/>
          <w:b w:val="0"/>
          <w:bCs w:val="0"/>
          <w:kern w:val="0"/>
          <w:szCs w:val="21"/>
          <w:highlight w:val="none"/>
        </w:rPr>
        <w:t>价款</w:t>
      </w:r>
      <w:r>
        <w:rPr>
          <w:rFonts w:hint="eastAsia" w:ascii="仿宋" w:hAnsi="仿宋" w:eastAsia="仿宋" w:cs="仿宋"/>
          <w:b w:val="0"/>
          <w:bCs w:val="0"/>
          <w:kern w:val="0"/>
          <w:szCs w:val="21"/>
          <w:highlight w:val="none"/>
          <w:lang w:eastAsia="zh-CN"/>
        </w:rPr>
        <w:t>；配合发包人、结算终审单位的项目结算审核工作、督促施工单位按施工合同约定及时提交完整结算资料并及时进行审核后报发包人</w:t>
      </w:r>
      <w:r>
        <w:rPr>
          <w:rFonts w:hint="eastAsia" w:ascii="仿宋" w:hAnsi="仿宋" w:eastAsia="仿宋" w:cs="仿宋"/>
          <w:b w:val="0"/>
          <w:bCs w:val="0"/>
          <w:kern w:val="0"/>
          <w:szCs w:val="21"/>
          <w:highlight w:val="none"/>
        </w:rPr>
        <w:t>。</w:t>
      </w:r>
    </w:p>
    <w:p>
      <w:pPr>
        <w:widowControl/>
        <w:spacing w:line="240" w:lineRule="auto"/>
        <w:ind w:firstLine="420" w:firstLineChars="200"/>
        <w:jc w:val="left"/>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4</w:t>
      </w:r>
      <w:r>
        <w:rPr>
          <w:rFonts w:hint="eastAsia" w:ascii="仿宋" w:hAnsi="仿宋" w:eastAsia="仿宋" w:cs="仿宋"/>
          <w:b w:val="0"/>
          <w:bCs w:val="0"/>
          <w:kern w:val="0"/>
          <w:szCs w:val="21"/>
          <w:highlight w:val="none"/>
          <w:lang w:eastAsia="zh-CN"/>
        </w:rPr>
        <w:t>）按发包人要求，协助发包人做好</w:t>
      </w:r>
      <w:r>
        <w:rPr>
          <w:rFonts w:hint="eastAsia" w:ascii="仿宋" w:hAnsi="仿宋" w:eastAsia="仿宋" w:cs="仿宋"/>
          <w:b w:val="0"/>
          <w:bCs w:val="0"/>
          <w:kern w:val="0"/>
          <w:szCs w:val="21"/>
          <w:highlight w:val="none"/>
          <w:lang w:val="en-US" w:eastAsia="zh-CN"/>
        </w:rPr>
        <w:t>造价指标分析、投资控制方面的台账管理、造价数据信息管理等工作。</w:t>
      </w:r>
    </w:p>
    <w:p>
      <w:pPr>
        <w:widowControl/>
        <w:spacing w:line="240" w:lineRule="auto"/>
        <w:ind w:firstLine="420" w:firstLineChars="200"/>
        <w:jc w:val="left"/>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val="en-US" w:eastAsia="zh-CN"/>
        </w:rPr>
        <w:t>（5）发包人有权调整施工范围，未经发包人确认而实施的工作量，监理人不应予以确认。</w:t>
      </w:r>
    </w:p>
    <w:p>
      <w:pPr>
        <w:widowControl/>
        <w:spacing w:line="240" w:lineRule="auto"/>
        <w:ind w:firstLine="420" w:firstLineChars="200"/>
        <w:jc w:val="left"/>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val="en-US" w:eastAsia="zh-CN"/>
        </w:rPr>
        <w:t>（6）发包人要求的本项目其他投资控制方面的工作。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val="en-US" w:eastAsia="zh-CN"/>
        </w:rPr>
        <w:t>2.2.4进度控制方面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1）及时</w:t>
      </w:r>
      <w:r>
        <w:rPr>
          <w:rFonts w:hint="eastAsia" w:ascii="仿宋" w:hAnsi="仿宋" w:eastAsia="仿宋" w:cs="仿宋"/>
          <w:b w:val="0"/>
          <w:bCs w:val="0"/>
          <w:kern w:val="0"/>
          <w:szCs w:val="21"/>
          <w:highlight w:val="none"/>
        </w:rPr>
        <w:t>审核</w:t>
      </w:r>
      <w:r>
        <w:rPr>
          <w:rFonts w:hint="eastAsia" w:ascii="仿宋" w:hAnsi="仿宋" w:eastAsia="仿宋" w:cs="仿宋"/>
          <w:b w:val="0"/>
          <w:bCs w:val="0"/>
          <w:kern w:val="0"/>
          <w:szCs w:val="21"/>
          <w:highlight w:val="none"/>
          <w:lang w:eastAsia="zh-CN"/>
        </w:rPr>
        <w:t>施工组织设计、施工进度</w:t>
      </w:r>
      <w:r>
        <w:rPr>
          <w:rFonts w:hint="eastAsia" w:ascii="仿宋" w:hAnsi="仿宋" w:eastAsia="仿宋" w:cs="仿宋"/>
          <w:b w:val="0"/>
          <w:bCs w:val="0"/>
          <w:kern w:val="0"/>
          <w:szCs w:val="21"/>
          <w:highlight w:val="none"/>
        </w:rPr>
        <w:t>计划（月度、季度、年度）、</w:t>
      </w:r>
      <w:r>
        <w:rPr>
          <w:rFonts w:hint="eastAsia" w:ascii="仿宋" w:hAnsi="仿宋" w:eastAsia="仿宋" w:cs="仿宋"/>
          <w:b w:val="0"/>
          <w:bCs w:val="0"/>
          <w:kern w:val="0"/>
          <w:szCs w:val="21"/>
          <w:highlight w:val="none"/>
          <w:lang w:eastAsia="zh-CN"/>
        </w:rPr>
        <w:t>施工实施</w:t>
      </w:r>
      <w:r>
        <w:rPr>
          <w:rFonts w:hint="eastAsia" w:ascii="仿宋" w:hAnsi="仿宋" w:eastAsia="仿宋" w:cs="仿宋"/>
          <w:b w:val="0"/>
          <w:bCs w:val="0"/>
          <w:kern w:val="0"/>
          <w:szCs w:val="21"/>
          <w:highlight w:val="none"/>
        </w:rPr>
        <w:t>方案（含交通疏解、安全文明施工等）、突发事件应急预案、等</w:t>
      </w:r>
      <w:r>
        <w:rPr>
          <w:rFonts w:hint="eastAsia" w:ascii="仿宋" w:hAnsi="仿宋" w:eastAsia="仿宋" w:cs="仿宋"/>
          <w:b w:val="0"/>
          <w:bCs w:val="0"/>
          <w:kern w:val="0"/>
          <w:szCs w:val="21"/>
          <w:highlight w:val="none"/>
          <w:lang w:eastAsia="zh-CN"/>
        </w:rPr>
        <w:t>施工</w:t>
      </w:r>
      <w:r>
        <w:rPr>
          <w:rFonts w:hint="eastAsia" w:ascii="仿宋" w:hAnsi="仿宋" w:eastAsia="仿宋" w:cs="仿宋"/>
          <w:b w:val="0"/>
          <w:bCs w:val="0"/>
          <w:kern w:val="0"/>
          <w:szCs w:val="21"/>
          <w:highlight w:val="none"/>
        </w:rPr>
        <w:t>单位的相关文件；做好工程延期文件的</w:t>
      </w:r>
      <w:r>
        <w:rPr>
          <w:rFonts w:hint="eastAsia" w:ascii="仿宋" w:hAnsi="仿宋" w:eastAsia="仿宋" w:cs="仿宋"/>
          <w:b w:val="0"/>
          <w:bCs w:val="0"/>
          <w:kern w:val="0"/>
          <w:szCs w:val="21"/>
          <w:highlight w:val="none"/>
          <w:lang w:eastAsia="zh-CN"/>
        </w:rPr>
        <w:t>签认</w:t>
      </w:r>
      <w:r>
        <w:rPr>
          <w:rFonts w:hint="eastAsia" w:ascii="仿宋" w:hAnsi="仿宋" w:eastAsia="仿宋" w:cs="仿宋"/>
          <w:b w:val="0"/>
          <w:bCs w:val="0"/>
          <w:kern w:val="0"/>
          <w:szCs w:val="21"/>
          <w:highlight w:val="none"/>
        </w:rPr>
        <w:t>和工程延期审批工作</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按照</w:t>
      </w:r>
      <w:r>
        <w:rPr>
          <w:rFonts w:hint="eastAsia" w:ascii="仿宋" w:hAnsi="仿宋" w:eastAsia="仿宋" w:cs="仿宋"/>
          <w:b w:val="0"/>
          <w:bCs w:val="0"/>
          <w:kern w:val="0"/>
          <w:szCs w:val="21"/>
          <w:highlight w:val="none"/>
          <w:lang w:eastAsia="zh-CN"/>
        </w:rPr>
        <w:t>保合法合规、保安全、</w:t>
      </w:r>
      <w:r>
        <w:rPr>
          <w:rFonts w:hint="eastAsia" w:ascii="仿宋" w:hAnsi="仿宋" w:eastAsia="仿宋" w:cs="仿宋"/>
          <w:b w:val="0"/>
          <w:bCs w:val="0"/>
          <w:kern w:val="0"/>
          <w:szCs w:val="21"/>
          <w:highlight w:val="none"/>
        </w:rPr>
        <w:t>保质量、保工期和降低成本的原则，向</w:t>
      </w:r>
      <w:r>
        <w:rPr>
          <w:rFonts w:hint="eastAsia" w:ascii="仿宋" w:hAnsi="仿宋" w:eastAsia="仿宋" w:cs="仿宋"/>
          <w:b w:val="0"/>
          <w:bCs w:val="0"/>
          <w:kern w:val="0"/>
          <w:szCs w:val="21"/>
          <w:highlight w:val="none"/>
          <w:lang w:eastAsia="zh-CN"/>
        </w:rPr>
        <w:t>施工</w:t>
      </w:r>
      <w:r>
        <w:rPr>
          <w:rFonts w:hint="eastAsia" w:ascii="仿宋" w:hAnsi="仿宋" w:eastAsia="仿宋" w:cs="仿宋"/>
          <w:b w:val="0"/>
          <w:bCs w:val="0"/>
          <w:kern w:val="0"/>
          <w:szCs w:val="21"/>
          <w:highlight w:val="none"/>
        </w:rPr>
        <w:t>单位提出建议，并向</w:t>
      </w:r>
      <w:r>
        <w:rPr>
          <w:rFonts w:hint="eastAsia" w:ascii="仿宋" w:hAnsi="仿宋" w:eastAsia="仿宋" w:cs="仿宋"/>
          <w:b w:val="0"/>
          <w:bCs w:val="0"/>
          <w:kern w:val="0"/>
          <w:szCs w:val="21"/>
          <w:highlight w:val="none"/>
          <w:lang w:eastAsia="zh-CN"/>
        </w:rPr>
        <w:t>发包人</w:t>
      </w:r>
      <w:r>
        <w:rPr>
          <w:rFonts w:hint="eastAsia" w:ascii="仿宋" w:hAnsi="仿宋" w:eastAsia="仿宋" w:cs="仿宋"/>
          <w:b w:val="0"/>
          <w:bCs w:val="0"/>
          <w:kern w:val="0"/>
          <w:szCs w:val="21"/>
          <w:highlight w:val="none"/>
        </w:rPr>
        <w:t>提出书面报告；</w:t>
      </w:r>
      <w:r>
        <w:rPr>
          <w:rFonts w:hint="eastAsia" w:ascii="仿宋" w:hAnsi="仿宋" w:eastAsia="仿宋" w:cs="仿宋"/>
          <w:b w:val="0"/>
          <w:bCs w:val="0"/>
          <w:kern w:val="0"/>
          <w:szCs w:val="21"/>
          <w:highlight w:val="none"/>
          <w:lang w:eastAsia="zh-CN"/>
        </w:rPr>
        <w:t>若</w:t>
      </w:r>
      <w:r>
        <w:rPr>
          <w:rFonts w:hint="eastAsia" w:ascii="仿宋" w:hAnsi="仿宋" w:eastAsia="仿宋" w:cs="仿宋"/>
          <w:b w:val="0"/>
          <w:bCs w:val="0"/>
          <w:kern w:val="0"/>
          <w:szCs w:val="21"/>
          <w:highlight w:val="none"/>
        </w:rPr>
        <w:t>拟提出的建议</w:t>
      </w:r>
      <w:r>
        <w:rPr>
          <w:rFonts w:hint="eastAsia" w:ascii="仿宋" w:hAnsi="仿宋" w:eastAsia="仿宋" w:cs="仿宋"/>
          <w:b w:val="0"/>
          <w:bCs w:val="0"/>
          <w:kern w:val="0"/>
          <w:szCs w:val="21"/>
          <w:highlight w:val="none"/>
          <w:lang w:eastAsia="zh-CN"/>
        </w:rPr>
        <w:t>可能引起施工</w:t>
      </w:r>
      <w:r>
        <w:rPr>
          <w:rFonts w:hint="eastAsia" w:ascii="仿宋" w:hAnsi="仿宋" w:eastAsia="仿宋" w:cs="仿宋"/>
          <w:b w:val="0"/>
          <w:bCs w:val="0"/>
          <w:kern w:val="0"/>
          <w:szCs w:val="21"/>
          <w:highlight w:val="none"/>
        </w:rPr>
        <w:t>费用提高、</w:t>
      </w:r>
      <w:r>
        <w:rPr>
          <w:rFonts w:hint="eastAsia" w:ascii="仿宋" w:hAnsi="仿宋" w:eastAsia="仿宋" w:cs="仿宋"/>
          <w:b w:val="0"/>
          <w:bCs w:val="0"/>
          <w:kern w:val="0"/>
          <w:szCs w:val="21"/>
          <w:highlight w:val="none"/>
          <w:lang w:eastAsia="zh-CN"/>
        </w:rPr>
        <w:t>施工</w:t>
      </w:r>
      <w:r>
        <w:rPr>
          <w:rFonts w:hint="eastAsia" w:ascii="仿宋" w:hAnsi="仿宋" w:eastAsia="仿宋" w:cs="仿宋"/>
          <w:b w:val="0"/>
          <w:bCs w:val="0"/>
          <w:kern w:val="0"/>
          <w:szCs w:val="21"/>
          <w:highlight w:val="none"/>
        </w:rPr>
        <w:t>服务期延长</w:t>
      </w:r>
      <w:r>
        <w:rPr>
          <w:rFonts w:hint="eastAsia" w:ascii="仿宋" w:hAnsi="仿宋" w:eastAsia="仿宋" w:cs="仿宋"/>
          <w:b w:val="0"/>
          <w:bCs w:val="0"/>
          <w:kern w:val="0"/>
          <w:szCs w:val="21"/>
          <w:highlight w:val="none"/>
          <w:lang w:eastAsia="zh-CN"/>
        </w:rPr>
        <w:t>的</w:t>
      </w:r>
      <w:r>
        <w:rPr>
          <w:rFonts w:hint="eastAsia" w:ascii="仿宋" w:hAnsi="仿宋" w:eastAsia="仿宋" w:cs="仿宋"/>
          <w:b w:val="0"/>
          <w:bCs w:val="0"/>
          <w:kern w:val="0"/>
          <w:szCs w:val="21"/>
          <w:highlight w:val="none"/>
        </w:rPr>
        <w:t>，应当事先取得</w:t>
      </w:r>
      <w:r>
        <w:rPr>
          <w:rFonts w:hint="eastAsia" w:ascii="仿宋" w:hAnsi="仿宋" w:eastAsia="仿宋" w:cs="仿宋"/>
          <w:b w:val="0"/>
          <w:bCs w:val="0"/>
          <w:kern w:val="0"/>
          <w:szCs w:val="21"/>
          <w:highlight w:val="none"/>
          <w:lang w:eastAsia="zh-CN"/>
        </w:rPr>
        <w:t>发包人</w:t>
      </w:r>
      <w:r>
        <w:rPr>
          <w:rFonts w:hint="eastAsia" w:ascii="仿宋" w:hAnsi="仿宋" w:eastAsia="仿宋" w:cs="仿宋"/>
          <w:b w:val="0"/>
          <w:bCs w:val="0"/>
          <w:kern w:val="0"/>
          <w:szCs w:val="21"/>
          <w:highlight w:val="none"/>
        </w:rPr>
        <w:t>的同意。</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eastAsia="zh-CN"/>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2）</w:t>
      </w:r>
      <w:r>
        <w:rPr>
          <w:rFonts w:hint="eastAsia" w:ascii="仿宋" w:hAnsi="仿宋" w:eastAsia="仿宋" w:cs="仿宋"/>
          <w:b w:val="0"/>
          <w:bCs w:val="0"/>
          <w:kern w:val="0"/>
          <w:szCs w:val="21"/>
          <w:highlight w:val="none"/>
        </w:rPr>
        <w:t>经事先报告并取得</w:t>
      </w:r>
      <w:r>
        <w:rPr>
          <w:rFonts w:hint="eastAsia" w:ascii="仿宋" w:hAnsi="仿宋" w:eastAsia="仿宋" w:cs="仿宋"/>
          <w:b w:val="0"/>
          <w:bCs w:val="0"/>
          <w:kern w:val="0"/>
          <w:szCs w:val="21"/>
          <w:highlight w:val="none"/>
          <w:lang w:eastAsia="zh-CN"/>
        </w:rPr>
        <w:t>发包人</w:t>
      </w:r>
      <w:r>
        <w:rPr>
          <w:rFonts w:hint="eastAsia" w:ascii="仿宋" w:hAnsi="仿宋" w:eastAsia="仿宋" w:cs="仿宋"/>
          <w:b w:val="0"/>
          <w:bCs w:val="0"/>
          <w:kern w:val="0"/>
          <w:szCs w:val="21"/>
          <w:highlight w:val="none"/>
        </w:rPr>
        <w:t>同意后，</w:t>
      </w:r>
      <w:r>
        <w:rPr>
          <w:rFonts w:hint="eastAsia" w:ascii="仿宋" w:hAnsi="仿宋" w:eastAsia="仿宋" w:cs="仿宋"/>
          <w:b w:val="0"/>
          <w:bCs w:val="0"/>
          <w:kern w:val="0"/>
          <w:szCs w:val="21"/>
          <w:highlight w:val="none"/>
          <w:lang w:val="en-US" w:eastAsia="zh-CN"/>
        </w:rPr>
        <w:t>应及时</w:t>
      </w:r>
      <w:r>
        <w:rPr>
          <w:rFonts w:hint="eastAsia" w:ascii="仿宋" w:hAnsi="仿宋" w:eastAsia="仿宋" w:cs="仿宋"/>
          <w:b w:val="0"/>
          <w:bCs w:val="0"/>
          <w:kern w:val="0"/>
          <w:szCs w:val="21"/>
          <w:highlight w:val="none"/>
        </w:rPr>
        <w:t>发布开工令、停工令、复工令、进场通知</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如在紧急情况下未能事先报告时，则应在发布后24小时内向</w:t>
      </w:r>
      <w:r>
        <w:rPr>
          <w:rFonts w:hint="eastAsia" w:ascii="仿宋" w:hAnsi="仿宋" w:eastAsia="仿宋" w:cs="仿宋"/>
          <w:b w:val="0"/>
          <w:bCs w:val="0"/>
          <w:kern w:val="0"/>
          <w:szCs w:val="21"/>
          <w:highlight w:val="none"/>
          <w:lang w:eastAsia="zh-CN"/>
        </w:rPr>
        <w:t>发包人</w:t>
      </w:r>
      <w:r>
        <w:rPr>
          <w:rFonts w:hint="eastAsia" w:ascii="仿宋" w:hAnsi="仿宋" w:eastAsia="仿宋" w:cs="仿宋"/>
          <w:b w:val="0"/>
          <w:bCs w:val="0"/>
          <w:kern w:val="0"/>
          <w:szCs w:val="21"/>
          <w:highlight w:val="none"/>
        </w:rPr>
        <w:t>做出书面报告。</w:t>
      </w:r>
      <w:r>
        <w:rPr>
          <w:rFonts w:hint="eastAsia" w:ascii="仿宋" w:hAnsi="仿宋" w:eastAsia="仿宋" w:cs="仿宋"/>
          <w:b w:val="0"/>
          <w:bCs w:val="0"/>
          <w:kern w:val="0"/>
          <w:szCs w:val="21"/>
          <w:highlight w:val="none"/>
          <w:lang w:eastAsia="zh-CN"/>
        </w:rPr>
        <w:t>对</w:t>
      </w:r>
      <w:r>
        <w:rPr>
          <w:rFonts w:hint="eastAsia" w:ascii="仿宋" w:hAnsi="仿宋" w:eastAsia="仿宋" w:cs="仿宋"/>
          <w:b w:val="0"/>
          <w:bCs w:val="0"/>
          <w:kern w:val="0"/>
          <w:szCs w:val="21"/>
          <w:highlight w:val="none"/>
        </w:rPr>
        <w:t>施工</w:t>
      </w:r>
      <w:r>
        <w:rPr>
          <w:rFonts w:hint="eastAsia" w:ascii="仿宋" w:hAnsi="仿宋" w:eastAsia="仿宋" w:cs="仿宋"/>
          <w:b w:val="0"/>
          <w:bCs w:val="0"/>
          <w:kern w:val="0"/>
          <w:szCs w:val="21"/>
          <w:highlight w:val="none"/>
          <w:lang w:eastAsia="zh-CN"/>
        </w:rPr>
        <w:t>质量、安全、</w:t>
      </w:r>
      <w:r>
        <w:rPr>
          <w:rFonts w:hint="eastAsia" w:ascii="仿宋" w:hAnsi="仿宋" w:eastAsia="仿宋" w:cs="仿宋"/>
          <w:b w:val="0"/>
          <w:bCs w:val="0"/>
          <w:kern w:val="0"/>
          <w:szCs w:val="21"/>
          <w:highlight w:val="none"/>
        </w:rPr>
        <w:t>进度</w:t>
      </w:r>
      <w:r>
        <w:rPr>
          <w:rFonts w:hint="eastAsia" w:ascii="仿宋" w:hAnsi="仿宋" w:eastAsia="仿宋" w:cs="仿宋"/>
          <w:b w:val="0"/>
          <w:bCs w:val="0"/>
          <w:kern w:val="0"/>
          <w:szCs w:val="21"/>
          <w:highlight w:val="none"/>
          <w:lang w:eastAsia="zh-CN"/>
        </w:rPr>
        <w:t>等</w:t>
      </w:r>
      <w:r>
        <w:rPr>
          <w:rFonts w:hint="eastAsia" w:ascii="仿宋" w:hAnsi="仿宋" w:eastAsia="仿宋" w:cs="仿宋"/>
          <w:b w:val="0"/>
          <w:bCs w:val="0"/>
          <w:kern w:val="0"/>
          <w:szCs w:val="21"/>
          <w:highlight w:val="none"/>
        </w:rPr>
        <w:t>的检查、监督权，</w:t>
      </w:r>
      <w:r>
        <w:rPr>
          <w:rFonts w:hint="eastAsia" w:ascii="仿宋" w:hAnsi="仿宋" w:eastAsia="仿宋" w:cs="仿宋"/>
          <w:b w:val="0"/>
          <w:bCs w:val="0"/>
          <w:kern w:val="0"/>
          <w:szCs w:val="21"/>
          <w:highlight w:val="none"/>
          <w:lang w:eastAsia="zh-CN"/>
        </w:rPr>
        <w:t>对项目</w:t>
      </w:r>
      <w:r>
        <w:rPr>
          <w:rFonts w:hint="eastAsia" w:ascii="仿宋" w:hAnsi="仿宋" w:eastAsia="仿宋" w:cs="仿宋"/>
          <w:b w:val="0"/>
          <w:bCs w:val="0"/>
          <w:kern w:val="0"/>
          <w:szCs w:val="21"/>
          <w:highlight w:val="none"/>
        </w:rPr>
        <w:t>实际竣工日期</w:t>
      </w:r>
      <w:r>
        <w:rPr>
          <w:rFonts w:hint="eastAsia" w:ascii="仿宋" w:hAnsi="仿宋" w:eastAsia="仿宋" w:cs="仿宋"/>
          <w:b w:val="0"/>
          <w:bCs w:val="0"/>
          <w:kern w:val="0"/>
          <w:szCs w:val="21"/>
          <w:highlight w:val="none"/>
          <w:lang w:eastAsia="zh-CN"/>
        </w:rPr>
        <w:t>以及是否符合施工合同规定、是否</w:t>
      </w:r>
      <w:r>
        <w:rPr>
          <w:rFonts w:hint="eastAsia" w:ascii="仿宋" w:hAnsi="仿宋" w:eastAsia="仿宋" w:cs="仿宋"/>
          <w:b w:val="0"/>
          <w:bCs w:val="0"/>
          <w:kern w:val="0"/>
          <w:szCs w:val="21"/>
          <w:highlight w:val="none"/>
        </w:rPr>
        <w:t>提前或</w:t>
      </w:r>
      <w:r>
        <w:rPr>
          <w:rFonts w:hint="eastAsia" w:ascii="仿宋" w:hAnsi="仿宋" w:eastAsia="仿宋" w:cs="仿宋"/>
          <w:b w:val="0"/>
          <w:bCs w:val="0"/>
          <w:kern w:val="0"/>
          <w:szCs w:val="21"/>
          <w:highlight w:val="none"/>
          <w:lang w:eastAsia="zh-CN"/>
        </w:rPr>
        <w:t>延期进行</w:t>
      </w:r>
      <w:r>
        <w:rPr>
          <w:rFonts w:hint="eastAsia" w:ascii="仿宋" w:hAnsi="仿宋" w:eastAsia="仿宋" w:cs="仿宋"/>
          <w:b w:val="0"/>
          <w:bCs w:val="0"/>
          <w:kern w:val="0"/>
          <w:szCs w:val="21"/>
          <w:highlight w:val="none"/>
        </w:rPr>
        <w:t>签认</w:t>
      </w:r>
      <w:r>
        <w:rPr>
          <w:rFonts w:hint="eastAsia" w:ascii="仿宋" w:hAnsi="仿宋" w:eastAsia="仿宋" w:cs="仿宋"/>
          <w:b w:val="0"/>
          <w:bCs w:val="0"/>
          <w:kern w:val="0"/>
          <w:szCs w:val="21"/>
          <w:highlight w:val="none"/>
          <w:lang w:eastAsia="zh-CN"/>
        </w:rPr>
        <w:t>。</w:t>
      </w:r>
    </w:p>
    <w:p>
      <w:pPr>
        <w:widowControl/>
        <w:spacing w:line="240" w:lineRule="auto"/>
        <w:ind w:firstLine="420" w:firstLineChars="200"/>
        <w:jc w:val="left"/>
        <w:rPr>
          <w:rFonts w:hint="eastAsia" w:ascii="仿宋" w:hAnsi="仿宋" w:eastAsia="仿宋" w:cs="仿宋"/>
          <w:b w:val="0"/>
          <w:bCs w:val="0"/>
          <w:kern w:val="0"/>
          <w:szCs w:val="21"/>
          <w:highlight w:val="none"/>
          <w:lang w:eastAsia="zh-CN"/>
        </w:rPr>
      </w:pPr>
      <w:r>
        <w:rPr>
          <w:rFonts w:hint="eastAsia" w:ascii="仿宋" w:hAnsi="仿宋" w:eastAsia="仿宋" w:cs="仿宋"/>
          <w:b w:val="0"/>
          <w:bCs w:val="0"/>
          <w:kern w:val="0"/>
          <w:szCs w:val="21"/>
          <w:highlight w:val="none"/>
          <w:lang w:val="en-US" w:eastAsia="zh-CN"/>
        </w:rPr>
        <w:t>（3）发包人要求的本项目其他进度控制方面的工作。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eastAsia="zh-CN"/>
        </w:rPr>
      </w:pPr>
      <w:r>
        <w:rPr>
          <w:rFonts w:hint="eastAsia" w:ascii="仿宋" w:hAnsi="仿宋" w:eastAsia="仿宋" w:cs="仿宋"/>
          <w:b w:val="0"/>
          <w:bCs w:val="0"/>
          <w:kern w:val="0"/>
          <w:szCs w:val="21"/>
          <w:highlight w:val="none"/>
          <w:lang w:val="en-US" w:eastAsia="zh-CN"/>
        </w:rPr>
        <w:t>2.2.5安全文明管理方面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eastAsia="zh-CN"/>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1</w:t>
      </w:r>
      <w:r>
        <w:rPr>
          <w:rFonts w:hint="eastAsia" w:ascii="仿宋" w:hAnsi="仿宋" w:eastAsia="仿宋" w:cs="仿宋"/>
          <w:b w:val="0"/>
          <w:bCs w:val="0"/>
          <w:kern w:val="0"/>
          <w:szCs w:val="21"/>
          <w:highlight w:val="none"/>
          <w:lang w:eastAsia="zh-CN"/>
        </w:rPr>
        <w:t>）建立健全的安全生产管理制度（包括：安全责任、安全投入、安全设施、</w:t>
      </w:r>
      <w:r>
        <w:rPr>
          <w:rFonts w:hint="eastAsia" w:ascii="仿宋" w:hAnsi="仿宋" w:eastAsia="仿宋" w:cs="仿宋"/>
          <w:b w:val="0"/>
          <w:bCs w:val="0"/>
          <w:kern w:val="0"/>
          <w:szCs w:val="21"/>
          <w:highlight w:val="none"/>
        </w:rPr>
        <w:t>技术交底、安全问题发现与整改、</w:t>
      </w:r>
      <w:r>
        <w:rPr>
          <w:rFonts w:hint="eastAsia" w:ascii="仿宋" w:hAnsi="仿宋" w:eastAsia="仿宋" w:cs="仿宋"/>
          <w:b w:val="0"/>
          <w:bCs w:val="0"/>
          <w:kern w:val="0"/>
          <w:szCs w:val="21"/>
          <w:highlight w:val="none"/>
          <w:lang w:eastAsia="zh-CN"/>
        </w:rPr>
        <w:t>安全培训等方面），</w:t>
      </w:r>
      <w:r>
        <w:rPr>
          <w:rFonts w:hint="eastAsia" w:ascii="仿宋" w:hAnsi="仿宋" w:eastAsia="仿宋" w:cs="仿宋"/>
          <w:b w:val="0"/>
          <w:bCs w:val="0"/>
          <w:kern w:val="0"/>
          <w:szCs w:val="21"/>
          <w:highlight w:val="none"/>
        </w:rPr>
        <w:t>落实</w:t>
      </w:r>
      <w:r>
        <w:rPr>
          <w:rFonts w:hint="eastAsia" w:ascii="仿宋" w:hAnsi="仿宋" w:eastAsia="仿宋" w:cs="仿宋"/>
          <w:b w:val="0"/>
          <w:bCs w:val="0"/>
          <w:kern w:val="0"/>
          <w:szCs w:val="21"/>
          <w:highlight w:val="none"/>
          <w:lang w:eastAsia="zh-CN"/>
        </w:rPr>
        <w:t>自身</w:t>
      </w:r>
      <w:r>
        <w:rPr>
          <w:rFonts w:hint="eastAsia" w:ascii="仿宋" w:hAnsi="仿宋" w:eastAsia="仿宋" w:cs="仿宋"/>
          <w:b w:val="0"/>
          <w:bCs w:val="0"/>
          <w:kern w:val="0"/>
          <w:szCs w:val="21"/>
          <w:highlight w:val="none"/>
        </w:rPr>
        <w:t>安全</w:t>
      </w:r>
      <w:r>
        <w:rPr>
          <w:rFonts w:hint="eastAsia" w:ascii="仿宋" w:hAnsi="仿宋" w:eastAsia="仿宋" w:cs="仿宋"/>
          <w:b w:val="0"/>
          <w:bCs w:val="0"/>
          <w:kern w:val="0"/>
          <w:szCs w:val="21"/>
          <w:highlight w:val="none"/>
          <w:lang w:eastAsia="zh-CN"/>
        </w:rPr>
        <w:t>生产</w:t>
      </w:r>
      <w:r>
        <w:rPr>
          <w:rFonts w:hint="eastAsia" w:ascii="仿宋" w:hAnsi="仿宋" w:eastAsia="仿宋" w:cs="仿宋"/>
          <w:b w:val="0"/>
          <w:bCs w:val="0"/>
          <w:kern w:val="0"/>
          <w:szCs w:val="21"/>
          <w:highlight w:val="none"/>
        </w:rPr>
        <w:t>管理责任</w:t>
      </w:r>
      <w:r>
        <w:rPr>
          <w:rFonts w:hint="eastAsia" w:ascii="仿宋" w:hAnsi="仿宋" w:eastAsia="仿宋" w:cs="仿宋"/>
          <w:b w:val="0"/>
          <w:bCs w:val="0"/>
          <w:kern w:val="0"/>
          <w:szCs w:val="21"/>
          <w:highlight w:val="none"/>
          <w:lang w:eastAsia="zh-CN"/>
        </w:rPr>
        <w:t>；根据项目需要组织各类应急演练，并做好总结工作。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eastAsia="zh-CN"/>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2</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监督</w:t>
      </w:r>
      <w:r>
        <w:rPr>
          <w:rFonts w:hint="eastAsia" w:ascii="仿宋" w:hAnsi="仿宋" w:eastAsia="仿宋" w:cs="仿宋"/>
          <w:b w:val="0"/>
          <w:bCs w:val="0"/>
          <w:kern w:val="0"/>
          <w:szCs w:val="21"/>
          <w:highlight w:val="none"/>
          <w:lang w:eastAsia="zh-CN"/>
        </w:rPr>
        <w:t>、检查施工</w:t>
      </w:r>
      <w:r>
        <w:rPr>
          <w:rFonts w:hint="eastAsia" w:ascii="仿宋" w:hAnsi="仿宋" w:eastAsia="仿宋" w:cs="仿宋"/>
          <w:b w:val="0"/>
          <w:bCs w:val="0"/>
          <w:kern w:val="0"/>
          <w:szCs w:val="21"/>
          <w:highlight w:val="none"/>
        </w:rPr>
        <w:t>单位按照</w:t>
      </w:r>
      <w:r>
        <w:rPr>
          <w:rFonts w:hint="eastAsia" w:ascii="仿宋" w:hAnsi="仿宋" w:eastAsia="仿宋" w:cs="仿宋"/>
          <w:b w:val="0"/>
          <w:bCs w:val="0"/>
          <w:kern w:val="0"/>
          <w:szCs w:val="21"/>
          <w:highlight w:val="none"/>
          <w:lang w:eastAsia="zh-CN"/>
        </w:rPr>
        <w:t>施工</w:t>
      </w:r>
      <w:r>
        <w:rPr>
          <w:rFonts w:hint="eastAsia" w:ascii="仿宋" w:hAnsi="仿宋" w:eastAsia="仿宋" w:cs="仿宋"/>
          <w:b w:val="0"/>
          <w:bCs w:val="0"/>
          <w:kern w:val="0"/>
          <w:szCs w:val="21"/>
          <w:highlight w:val="none"/>
        </w:rPr>
        <w:t>合同约定、</w:t>
      </w:r>
      <w:r>
        <w:rPr>
          <w:rFonts w:hint="eastAsia" w:ascii="仿宋" w:hAnsi="仿宋" w:eastAsia="仿宋" w:cs="仿宋"/>
          <w:b w:val="0"/>
          <w:bCs w:val="0"/>
          <w:kern w:val="0"/>
          <w:szCs w:val="21"/>
          <w:highlight w:val="none"/>
          <w:lang w:eastAsia="zh-CN"/>
        </w:rPr>
        <w:t>发包人</w:t>
      </w:r>
      <w:r>
        <w:rPr>
          <w:rFonts w:hint="eastAsia" w:ascii="仿宋" w:hAnsi="仿宋" w:eastAsia="仿宋" w:cs="仿宋"/>
          <w:b w:val="0"/>
          <w:bCs w:val="0"/>
          <w:kern w:val="0"/>
          <w:szCs w:val="21"/>
          <w:highlight w:val="none"/>
        </w:rPr>
        <w:t>及有关行政主管部门要求落实安全生产</w:t>
      </w:r>
      <w:r>
        <w:rPr>
          <w:rFonts w:hint="eastAsia" w:ascii="仿宋" w:hAnsi="仿宋" w:eastAsia="仿宋" w:cs="仿宋"/>
          <w:b w:val="0"/>
          <w:bCs w:val="0"/>
          <w:kern w:val="0"/>
          <w:szCs w:val="21"/>
          <w:highlight w:val="none"/>
          <w:lang w:eastAsia="zh-CN"/>
        </w:rPr>
        <w:t>及质量</w:t>
      </w:r>
      <w:r>
        <w:rPr>
          <w:rFonts w:hint="eastAsia" w:ascii="仿宋" w:hAnsi="仿宋" w:eastAsia="仿宋" w:cs="仿宋"/>
          <w:b w:val="0"/>
          <w:bCs w:val="0"/>
          <w:kern w:val="0"/>
          <w:szCs w:val="21"/>
          <w:highlight w:val="none"/>
        </w:rPr>
        <w:t>管理</w:t>
      </w:r>
      <w:r>
        <w:rPr>
          <w:rFonts w:hint="eastAsia" w:ascii="仿宋" w:hAnsi="仿宋" w:eastAsia="仿宋" w:cs="仿宋"/>
          <w:b w:val="0"/>
          <w:bCs w:val="0"/>
          <w:kern w:val="0"/>
          <w:szCs w:val="21"/>
          <w:highlight w:val="none"/>
          <w:lang w:eastAsia="zh-CN"/>
        </w:rPr>
        <w:t>责任</w:t>
      </w:r>
      <w:r>
        <w:rPr>
          <w:rFonts w:hint="eastAsia" w:ascii="仿宋" w:hAnsi="仿宋" w:eastAsia="仿宋" w:cs="仿宋"/>
          <w:b w:val="0"/>
          <w:bCs w:val="0"/>
          <w:kern w:val="0"/>
          <w:szCs w:val="21"/>
          <w:highlight w:val="none"/>
        </w:rPr>
        <w:t>（包括：安全责任、安全投入、安全设施、</w:t>
      </w:r>
      <w:r>
        <w:rPr>
          <w:rFonts w:hint="eastAsia" w:ascii="仿宋" w:hAnsi="仿宋" w:eastAsia="仿宋" w:cs="仿宋"/>
          <w:b w:val="0"/>
          <w:bCs w:val="0"/>
          <w:kern w:val="0"/>
          <w:szCs w:val="21"/>
          <w:highlight w:val="none"/>
          <w:lang w:eastAsia="zh-CN"/>
        </w:rPr>
        <w:t>技术交底、</w:t>
      </w:r>
      <w:r>
        <w:rPr>
          <w:rFonts w:hint="eastAsia" w:ascii="仿宋" w:hAnsi="仿宋" w:eastAsia="仿宋" w:cs="仿宋"/>
          <w:b w:val="0"/>
          <w:bCs w:val="0"/>
          <w:kern w:val="0"/>
          <w:szCs w:val="21"/>
          <w:highlight w:val="none"/>
        </w:rPr>
        <w:t>安全培训等）</w:t>
      </w:r>
      <w:r>
        <w:rPr>
          <w:rFonts w:hint="eastAsia" w:ascii="仿宋" w:hAnsi="仿宋" w:eastAsia="仿宋" w:cs="仿宋"/>
          <w:b w:val="0"/>
          <w:bCs w:val="0"/>
          <w:kern w:val="0"/>
          <w:szCs w:val="21"/>
          <w:highlight w:val="none"/>
          <w:lang w:eastAsia="zh-CN"/>
        </w:rPr>
        <w:t>的情况</w:t>
      </w:r>
      <w:r>
        <w:rPr>
          <w:rFonts w:hint="eastAsia" w:ascii="仿宋" w:hAnsi="仿宋" w:eastAsia="仿宋" w:cs="仿宋"/>
          <w:b w:val="0"/>
          <w:bCs w:val="0"/>
          <w:kern w:val="0"/>
          <w:szCs w:val="21"/>
          <w:highlight w:val="none"/>
        </w:rPr>
        <w:t>；</w:t>
      </w:r>
      <w:r>
        <w:rPr>
          <w:rFonts w:hint="eastAsia" w:ascii="仿宋" w:hAnsi="仿宋" w:eastAsia="仿宋" w:cs="仿宋"/>
          <w:b w:val="0"/>
          <w:bCs w:val="0"/>
          <w:kern w:val="0"/>
          <w:szCs w:val="21"/>
          <w:highlight w:val="none"/>
          <w:lang w:eastAsia="zh-CN"/>
        </w:rPr>
        <w:t>监督、检查施工</w:t>
      </w:r>
      <w:r>
        <w:rPr>
          <w:rFonts w:hint="eastAsia" w:ascii="仿宋" w:hAnsi="仿宋" w:eastAsia="仿宋" w:cs="仿宋"/>
          <w:b w:val="0"/>
          <w:bCs w:val="0"/>
          <w:kern w:val="0"/>
          <w:szCs w:val="21"/>
          <w:highlight w:val="none"/>
        </w:rPr>
        <w:t>单位项目经理、专职安全员等关键岗位管理人员履约</w:t>
      </w:r>
      <w:r>
        <w:rPr>
          <w:rFonts w:hint="eastAsia" w:ascii="仿宋" w:hAnsi="仿宋" w:eastAsia="仿宋" w:cs="仿宋"/>
          <w:b w:val="0"/>
          <w:bCs w:val="0"/>
          <w:kern w:val="0"/>
          <w:szCs w:val="21"/>
          <w:highlight w:val="none"/>
          <w:lang w:eastAsia="zh-CN"/>
        </w:rPr>
        <w:t>到位情况；</w:t>
      </w:r>
      <w:r>
        <w:rPr>
          <w:rFonts w:hint="eastAsia" w:ascii="仿宋" w:hAnsi="仿宋" w:eastAsia="仿宋" w:cs="仿宋"/>
          <w:b w:val="0"/>
          <w:bCs w:val="0"/>
          <w:kern w:val="0"/>
          <w:szCs w:val="21"/>
          <w:highlight w:val="none"/>
        </w:rPr>
        <w:t>督促</w:t>
      </w:r>
      <w:r>
        <w:rPr>
          <w:rFonts w:hint="eastAsia" w:ascii="仿宋" w:hAnsi="仿宋" w:eastAsia="仿宋" w:cs="仿宋"/>
          <w:b w:val="0"/>
          <w:bCs w:val="0"/>
          <w:kern w:val="0"/>
          <w:szCs w:val="21"/>
          <w:highlight w:val="none"/>
          <w:lang w:eastAsia="zh-CN"/>
        </w:rPr>
        <w:t>施工</w:t>
      </w:r>
      <w:r>
        <w:rPr>
          <w:rFonts w:hint="eastAsia" w:ascii="仿宋" w:hAnsi="仿宋" w:eastAsia="仿宋" w:cs="仿宋"/>
          <w:b w:val="0"/>
          <w:bCs w:val="0"/>
          <w:kern w:val="0"/>
          <w:szCs w:val="21"/>
          <w:highlight w:val="none"/>
        </w:rPr>
        <w:t>单位根据项目情况开展安全培训、应急演练等</w:t>
      </w:r>
      <w:r>
        <w:rPr>
          <w:rFonts w:hint="eastAsia" w:ascii="仿宋" w:hAnsi="仿宋" w:eastAsia="仿宋" w:cs="仿宋"/>
          <w:b w:val="0"/>
          <w:bCs w:val="0"/>
          <w:kern w:val="0"/>
          <w:szCs w:val="21"/>
          <w:highlight w:val="none"/>
          <w:lang w:eastAsia="zh-CN"/>
        </w:rPr>
        <w:t>；监督、</w:t>
      </w:r>
      <w:r>
        <w:rPr>
          <w:rFonts w:hint="eastAsia" w:ascii="仿宋" w:hAnsi="仿宋" w:eastAsia="仿宋" w:cs="仿宋"/>
          <w:b w:val="0"/>
          <w:bCs w:val="0"/>
          <w:kern w:val="0"/>
          <w:szCs w:val="21"/>
          <w:highlight w:val="none"/>
        </w:rPr>
        <w:t>检查</w:t>
      </w:r>
      <w:r>
        <w:rPr>
          <w:rFonts w:hint="eastAsia" w:ascii="仿宋" w:hAnsi="仿宋" w:eastAsia="仿宋" w:cs="仿宋"/>
          <w:b w:val="0"/>
          <w:bCs w:val="0"/>
          <w:kern w:val="0"/>
          <w:szCs w:val="21"/>
          <w:highlight w:val="none"/>
          <w:lang w:eastAsia="zh-CN"/>
        </w:rPr>
        <w:t>施工</w:t>
      </w:r>
      <w:r>
        <w:rPr>
          <w:rFonts w:hint="eastAsia" w:ascii="仿宋" w:hAnsi="仿宋" w:eastAsia="仿宋" w:cs="仿宋"/>
          <w:b w:val="0"/>
          <w:bCs w:val="0"/>
          <w:kern w:val="0"/>
          <w:szCs w:val="21"/>
          <w:highlight w:val="none"/>
        </w:rPr>
        <w:t>单位的安全文明施工及防护措施</w:t>
      </w:r>
      <w:r>
        <w:rPr>
          <w:rFonts w:hint="eastAsia" w:ascii="仿宋" w:hAnsi="仿宋" w:eastAsia="仿宋" w:cs="仿宋"/>
          <w:b w:val="0"/>
          <w:bCs w:val="0"/>
          <w:kern w:val="0"/>
          <w:szCs w:val="21"/>
          <w:highlight w:val="none"/>
          <w:lang w:eastAsia="zh-CN"/>
        </w:rPr>
        <w:t>落实情况</w:t>
      </w:r>
      <w:r>
        <w:rPr>
          <w:rFonts w:hint="eastAsia" w:ascii="仿宋" w:hAnsi="仿宋" w:eastAsia="仿宋" w:cs="仿宋"/>
          <w:b w:val="0"/>
          <w:bCs w:val="0"/>
          <w:kern w:val="0"/>
          <w:szCs w:val="21"/>
          <w:highlight w:val="none"/>
        </w:rPr>
        <w:t>，</w:t>
      </w:r>
      <w:r>
        <w:rPr>
          <w:rFonts w:hint="eastAsia" w:ascii="仿宋" w:hAnsi="仿宋" w:eastAsia="仿宋" w:cs="仿宋"/>
          <w:b w:val="0"/>
          <w:bCs w:val="0"/>
          <w:kern w:val="0"/>
          <w:szCs w:val="21"/>
          <w:highlight w:val="none"/>
          <w:lang w:eastAsia="zh-CN"/>
        </w:rPr>
        <w:t>并</w:t>
      </w:r>
      <w:r>
        <w:rPr>
          <w:rFonts w:hint="eastAsia" w:ascii="仿宋" w:hAnsi="仿宋" w:eastAsia="仿宋" w:cs="仿宋"/>
          <w:b w:val="0"/>
          <w:bCs w:val="0"/>
          <w:kern w:val="0"/>
          <w:szCs w:val="21"/>
          <w:highlight w:val="none"/>
        </w:rPr>
        <w:t>在</w:t>
      </w:r>
      <w:r>
        <w:rPr>
          <w:rFonts w:hint="eastAsia" w:ascii="仿宋" w:hAnsi="仿宋" w:eastAsia="仿宋" w:cs="仿宋"/>
          <w:b w:val="0"/>
          <w:bCs w:val="0"/>
          <w:kern w:val="0"/>
          <w:szCs w:val="21"/>
          <w:highlight w:val="none"/>
          <w:lang w:eastAsia="zh-CN"/>
        </w:rPr>
        <w:t>施工</w:t>
      </w:r>
      <w:r>
        <w:rPr>
          <w:rFonts w:hint="eastAsia" w:ascii="仿宋" w:hAnsi="仿宋" w:eastAsia="仿宋" w:cs="仿宋"/>
          <w:b w:val="0"/>
          <w:bCs w:val="0"/>
          <w:kern w:val="0"/>
          <w:szCs w:val="21"/>
          <w:highlight w:val="none"/>
        </w:rPr>
        <w:t>、应急抢险、突发事件等过程中做好旁站监督工作</w:t>
      </w:r>
      <w:r>
        <w:rPr>
          <w:rFonts w:hint="eastAsia" w:ascii="仿宋" w:hAnsi="仿宋" w:eastAsia="仿宋" w:cs="仿宋"/>
          <w:b w:val="0"/>
          <w:bCs w:val="0"/>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3</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发生</w:t>
      </w:r>
      <w:r>
        <w:rPr>
          <w:rFonts w:hint="eastAsia" w:ascii="仿宋" w:hAnsi="仿宋" w:eastAsia="仿宋" w:cs="仿宋"/>
          <w:b w:val="0"/>
          <w:bCs w:val="0"/>
          <w:kern w:val="0"/>
          <w:szCs w:val="21"/>
          <w:highlight w:val="none"/>
          <w:lang w:eastAsia="zh-CN"/>
        </w:rPr>
        <w:t>现场突发事件或</w:t>
      </w:r>
      <w:r>
        <w:rPr>
          <w:rFonts w:hint="eastAsia" w:ascii="仿宋" w:hAnsi="仿宋" w:eastAsia="仿宋" w:cs="仿宋"/>
          <w:b w:val="0"/>
          <w:bCs w:val="0"/>
          <w:kern w:val="0"/>
          <w:szCs w:val="21"/>
          <w:highlight w:val="none"/>
        </w:rPr>
        <w:t>安</w:t>
      </w:r>
      <w:r>
        <w:rPr>
          <w:rFonts w:hint="eastAsia" w:ascii="仿宋" w:hAnsi="仿宋" w:eastAsia="仿宋" w:cs="仿宋"/>
          <w:b w:val="0"/>
          <w:bCs w:val="0"/>
          <w:kern w:val="0"/>
          <w:szCs w:val="21"/>
          <w:highlight w:val="none"/>
          <w:lang w:eastAsia="zh-CN"/>
        </w:rPr>
        <w:t>全、质量</w:t>
      </w:r>
      <w:r>
        <w:rPr>
          <w:rFonts w:hint="eastAsia" w:ascii="仿宋" w:hAnsi="仿宋" w:eastAsia="仿宋" w:cs="仿宋"/>
          <w:b w:val="0"/>
          <w:bCs w:val="0"/>
          <w:kern w:val="0"/>
          <w:szCs w:val="21"/>
          <w:highlight w:val="none"/>
        </w:rPr>
        <w:t>事故时，</w:t>
      </w:r>
      <w:r>
        <w:rPr>
          <w:rFonts w:hint="eastAsia" w:ascii="仿宋" w:hAnsi="仿宋" w:eastAsia="仿宋" w:cs="仿宋"/>
          <w:b w:val="0"/>
          <w:bCs w:val="0"/>
          <w:kern w:val="0"/>
          <w:szCs w:val="21"/>
          <w:highlight w:val="none"/>
          <w:lang w:eastAsia="zh-CN"/>
        </w:rPr>
        <w:t>应</w:t>
      </w:r>
      <w:r>
        <w:rPr>
          <w:rFonts w:hint="eastAsia" w:ascii="仿宋" w:hAnsi="仿宋" w:eastAsia="仿宋" w:cs="仿宋"/>
          <w:b w:val="0"/>
          <w:bCs w:val="0"/>
          <w:kern w:val="0"/>
          <w:szCs w:val="21"/>
          <w:highlight w:val="none"/>
        </w:rPr>
        <w:t>迅速采取</w:t>
      </w:r>
      <w:r>
        <w:rPr>
          <w:rFonts w:hint="eastAsia" w:ascii="仿宋" w:hAnsi="仿宋" w:eastAsia="仿宋" w:cs="仿宋"/>
          <w:b w:val="0"/>
          <w:bCs w:val="0"/>
          <w:kern w:val="0"/>
          <w:szCs w:val="21"/>
          <w:highlight w:val="none"/>
          <w:lang w:eastAsia="zh-CN"/>
        </w:rPr>
        <w:t>有效</w:t>
      </w:r>
      <w:r>
        <w:rPr>
          <w:rFonts w:hint="eastAsia" w:ascii="仿宋" w:hAnsi="仿宋" w:eastAsia="仿宋" w:cs="仿宋"/>
          <w:b w:val="0"/>
          <w:bCs w:val="0"/>
          <w:kern w:val="0"/>
          <w:szCs w:val="21"/>
          <w:highlight w:val="none"/>
        </w:rPr>
        <w:t>措施，</w:t>
      </w:r>
      <w:r>
        <w:rPr>
          <w:rFonts w:hint="eastAsia" w:ascii="仿宋" w:hAnsi="仿宋" w:eastAsia="仿宋" w:cs="仿宋"/>
          <w:b w:val="0"/>
          <w:bCs w:val="0"/>
          <w:kern w:val="0"/>
          <w:szCs w:val="21"/>
          <w:highlight w:val="none"/>
          <w:lang w:eastAsia="zh-CN"/>
        </w:rPr>
        <w:t>并按要求及时、逐层向发包人、有关行政主管部门等报告，以</w:t>
      </w:r>
      <w:r>
        <w:rPr>
          <w:rFonts w:hint="eastAsia" w:ascii="仿宋" w:hAnsi="仿宋" w:eastAsia="仿宋" w:cs="仿宋"/>
          <w:b w:val="0"/>
          <w:bCs w:val="0"/>
          <w:kern w:val="0"/>
          <w:szCs w:val="21"/>
          <w:highlight w:val="none"/>
        </w:rPr>
        <w:t>减少</w:t>
      </w:r>
      <w:r>
        <w:rPr>
          <w:rFonts w:hint="eastAsia" w:ascii="仿宋" w:hAnsi="仿宋" w:eastAsia="仿宋" w:cs="仿宋"/>
          <w:b w:val="0"/>
          <w:bCs w:val="0"/>
          <w:kern w:val="0"/>
          <w:szCs w:val="21"/>
          <w:highlight w:val="none"/>
          <w:lang w:eastAsia="zh-CN"/>
        </w:rPr>
        <w:t>突发事件或</w:t>
      </w:r>
      <w:r>
        <w:rPr>
          <w:rFonts w:hint="eastAsia" w:ascii="仿宋" w:hAnsi="仿宋" w:eastAsia="仿宋" w:cs="仿宋"/>
          <w:b w:val="0"/>
          <w:bCs w:val="0"/>
          <w:kern w:val="0"/>
          <w:szCs w:val="21"/>
          <w:highlight w:val="none"/>
        </w:rPr>
        <w:t>事故对项目的影响</w:t>
      </w:r>
      <w:r>
        <w:rPr>
          <w:rFonts w:hint="eastAsia" w:ascii="仿宋" w:hAnsi="仿宋" w:eastAsia="仿宋" w:cs="仿宋"/>
          <w:b w:val="0"/>
          <w:bCs w:val="0"/>
          <w:kern w:val="0"/>
          <w:szCs w:val="21"/>
          <w:highlight w:val="none"/>
          <w:lang w:eastAsia="zh-CN"/>
        </w:rPr>
        <w:t>；协助、主持调查突发事件或事故发生原因</w:t>
      </w:r>
      <w:r>
        <w:rPr>
          <w:rFonts w:hint="eastAsia" w:ascii="仿宋" w:hAnsi="仿宋" w:eastAsia="仿宋" w:cs="仿宋"/>
          <w:b w:val="0"/>
          <w:bCs w:val="0"/>
          <w:kern w:val="0"/>
          <w:szCs w:val="21"/>
          <w:highlight w:val="none"/>
        </w:rPr>
        <w:t>，厘清责任，提出处理意见</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配合有关部门查明事故原因。</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4）</w:t>
      </w:r>
      <w:r>
        <w:rPr>
          <w:rFonts w:hint="eastAsia" w:ascii="仿宋" w:hAnsi="仿宋" w:eastAsia="仿宋" w:cs="仿宋"/>
          <w:b w:val="0"/>
          <w:bCs w:val="0"/>
          <w:kern w:val="0"/>
          <w:szCs w:val="21"/>
          <w:highlight w:val="none"/>
        </w:rPr>
        <w:t xml:space="preserve"> 按照安全和优化的原则，</w:t>
      </w:r>
      <w:r>
        <w:rPr>
          <w:rFonts w:hint="eastAsia" w:ascii="仿宋" w:hAnsi="仿宋" w:eastAsia="仿宋" w:cs="仿宋"/>
          <w:b w:val="0"/>
          <w:bCs w:val="0"/>
          <w:kern w:val="0"/>
          <w:szCs w:val="21"/>
          <w:highlight w:val="none"/>
          <w:lang w:eastAsia="zh-CN"/>
        </w:rPr>
        <w:t>就施工</w:t>
      </w:r>
      <w:r>
        <w:rPr>
          <w:rFonts w:hint="eastAsia" w:ascii="仿宋" w:hAnsi="仿宋" w:eastAsia="仿宋" w:cs="仿宋"/>
          <w:b w:val="0"/>
          <w:bCs w:val="0"/>
          <w:kern w:val="0"/>
          <w:szCs w:val="21"/>
          <w:highlight w:val="none"/>
        </w:rPr>
        <w:t>中与</w:t>
      </w:r>
      <w:r>
        <w:rPr>
          <w:rFonts w:hint="eastAsia" w:ascii="仿宋" w:hAnsi="仿宋" w:eastAsia="仿宋" w:cs="仿宋"/>
          <w:b w:val="0"/>
          <w:bCs w:val="0"/>
          <w:kern w:val="0"/>
          <w:szCs w:val="21"/>
          <w:highlight w:val="none"/>
          <w:lang w:eastAsia="zh-CN"/>
        </w:rPr>
        <w:t>施工</w:t>
      </w:r>
      <w:r>
        <w:rPr>
          <w:rFonts w:hint="eastAsia" w:ascii="仿宋" w:hAnsi="仿宋" w:eastAsia="仿宋" w:cs="仿宋"/>
          <w:b w:val="0"/>
          <w:bCs w:val="0"/>
          <w:kern w:val="0"/>
          <w:szCs w:val="21"/>
          <w:highlight w:val="none"/>
        </w:rPr>
        <w:t>规模、</w:t>
      </w:r>
      <w:r>
        <w:rPr>
          <w:rFonts w:hint="eastAsia" w:ascii="仿宋" w:hAnsi="仿宋" w:eastAsia="仿宋" w:cs="仿宋"/>
          <w:b w:val="0"/>
          <w:bCs w:val="0"/>
          <w:kern w:val="0"/>
          <w:szCs w:val="21"/>
          <w:highlight w:val="none"/>
          <w:lang w:eastAsia="zh-CN"/>
        </w:rPr>
        <w:t>施工</w:t>
      </w:r>
      <w:r>
        <w:rPr>
          <w:rFonts w:hint="eastAsia" w:ascii="仿宋" w:hAnsi="仿宋" w:eastAsia="仿宋" w:cs="仿宋"/>
          <w:b w:val="0"/>
          <w:bCs w:val="0"/>
          <w:kern w:val="0"/>
          <w:szCs w:val="21"/>
          <w:highlight w:val="none"/>
        </w:rPr>
        <w:t>范围、工程设计标准、规划设计、生产工艺设计和使用功能要求等有关事项，向</w:t>
      </w:r>
      <w:r>
        <w:rPr>
          <w:rFonts w:hint="eastAsia" w:ascii="仿宋" w:hAnsi="仿宋" w:eastAsia="仿宋" w:cs="仿宋"/>
          <w:b w:val="0"/>
          <w:bCs w:val="0"/>
          <w:kern w:val="0"/>
          <w:szCs w:val="21"/>
          <w:highlight w:val="none"/>
          <w:lang w:eastAsia="zh-CN"/>
        </w:rPr>
        <w:t>发包人</w:t>
      </w:r>
      <w:r>
        <w:rPr>
          <w:rFonts w:hint="eastAsia" w:ascii="仿宋" w:hAnsi="仿宋" w:eastAsia="仿宋" w:cs="仿宋"/>
          <w:b w:val="0"/>
          <w:bCs w:val="0"/>
          <w:kern w:val="0"/>
          <w:szCs w:val="21"/>
          <w:highlight w:val="none"/>
        </w:rPr>
        <w:t>提出建议</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涉及结构安全的重大维修改造和技术洽商，除提出监理意见外，应征</w:t>
      </w:r>
      <w:r>
        <w:rPr>
          <w:rFonts w:hint="eastAsia" w:ascii="仿宋" w:hAnsi="仿宋" w:eastAsia="仿宋" w:cs="仿宋"/>
          <w:b w:val="0"/>
          <w:bCs w:val="0"/>
          <w:kern w:val="0"/>
          <w:szCs w:val="21"/>
          <w:highlight w:val="none"/>
          <w:lang w:eastAsia="zh-CN"/>
        </w:rPr>
        <w:t>求发包人</w:t>
      </w:r>
      <w:r>
        <w:rPr>
          <w:rFonts w:hint="eastAsia" w:ascii="仿宋" w:hAnsi="仿宋" w:eastAsia="仿宋" w:cs="仿宋"/>
          <w:b w:val="0"/>
          <w:bCs w:val="0"/>
          <w:kern w:val="0"/>
          <w:szCs w:val="21"/>
          <w:highlight w:val="none"/>
        </w:rPr>
        <w:t>及原设计人的意见并修改</w:t>
      </w:r>
      <w:r>
        <w:rPr>
          <w:rFonts w:hint="eastAsia" w:ascii="仿宋" w:hAnsi="仿宋" w:eastAsia="仿宋" w:cs="仿宋"/>
          <w:b w:val="0"/>
          <w:bCs w:val="0"/>
          <w:kern w:val="0"/>
          <w:szCs w:val="21"/>
          <w:highlight w:val="none"/>
          <w:lang w:eastAsia="zh-CN"/>
        </w:rPr>
        <w:t>；若</w:t>
      </w:r>
      <w:r>
        <w:rPr>
          <w:rFonts w:hint="eastAsia" w:ascii="仿宋" w:hAnsi="仿宋" w:eastAsia="仿宋" w:cs="仿宋"/>
          <w:b w:val="0"/>
          <w:bCs w:val="0"/>
          <w:kern w:val="0"/>
          <w:szCs w:val="21"/>
          <w:highlight w:val="none"/>
        </w:rPr>
        <w:t>拟提出的建议可能</w:t>
      </w:r>
      <w:r>
        <w:rPr>
          <w:rFonts w:hint="eastAsia" w:ascii="仿宋" w:hAnsi="仿宋" w:eastAsia="仿宋" w:cs="仿宋"/>
          <w:b w:val="0"/>
          <w:bCs w:val="0"/>
          <w:kern w:val="0"/>
          <w:szCs w:val="21"/>
          <w:highlight w:val="none"/>
          <w:lang w:eastAsia="zh-CN"/>
        </w:rPr>
        <w:t>引起施工费用</w:t>
      </w:r>
      <w:r>
        <w:rPr>
          <w:rFonts w:hint="eastAsia" w:ascii="仿宋" w:hAnsi="仿宋" w:eastAsia="仿宋" w:cs="仿宋"/>
          <w:b w:val="0"/>
          <w:bCs w:val="0"/>
          <w:kern w:val="0"/>
          <w:szCs w:val="21"/>
          <w:highlight w:val="none"/>
        </w:rPr>
        <w:t>提高</w:t>
      </w:r>
      <w:r>
        <w:rPr>
          <w:rFonts w:hint="eastAsia" w:ascii="仿宋" w:hAnsi="仿宋" w:eastAsia="仿宋" w:cs="仿宋"/>
          <w:b w:val="0"/>
          <w:bCs w:val="0"/>
          <w:kern w:val="0"/>
          <w:szCs w:val="21"/>
          <w:highlight w:val="none"/>
          <w:lang w:eastAsia="zh-CN"/>
        </w:rPr>
        <w:t>、施工</w:t>
      </w:r>
      <w:r>
        <w:rPr>
          <w:rFonts w:hint="eastAsia" w:ascii="仿宋" w:hAnsi="仿宋" w:eastAsia="仿宋" w:cs="仿宋"/>
          <w:b w:val="0"/>
          <w:bCs w:val="0"/>
          <w:kern w:val="0"/>
          <w:szCs w:val="21"/>
          <w:highlight w:val="none"/>
        </w:rPr>
        <w:t>服务期延长</w:t>
      </w:r>
      <w:r>
        <w:rPr>
          <w:rFonts w:hint="eastAsia" w:ascii="仿宋" w:hAnsi="仿宋" w:eastAsia="仿宋" w:cs="仿宋"/>
          <w:b w:val="0"/>
          <w:bCs w:val="0"/>
          <w:kern w:val="0"/>
          <w:szCs w:val="21"/>
          <w:highlight w:val="none"/>
          <w:lang w:eastAsia="zh-CN"/>
        </w:rPr>
        <w:t>的</w:t>
      </w:r>
      <w:r>
        <w:rPr>
          <w:rFonts w:hint="eastAsia" w:ascii="仿宋" w:hAnsi="仿宋" w:eastAsia="仿宋" w:cs="仿宋"/>
          <w:b w:val="0"/>
          <w:bCs w:val="0"/>
          <w:kern w:val="0"/>
          <w:szCs w:val="21"/>
          <w:highlight w:val="none"/>
        </w:rPr>
        <w:t>，应当事先征得</w:t>
      </w:r>
      <w:r>
        <w:rPr>
          <w:rFonts w:hint="eastAsia" w:ascii="仿宋" w:hAnsi="仿宋" w:eastAsia="仿宋" w:cs="仿宋"/>
          <w:b w:val="0"/>
          <w:bCs w:val="0"/>
          <w:kern w:val="0"/>
          <w:szCs w:val="21"/>
          <w:highlight w:val="none"/>
          <w:lang w:eastAsia="zh-CN"/>
        </w:rPr>
        <w:t>发包人</w:t>
      </w:r>
      <w:r>
        <w:rPr>
          <w:rFonts w:hint="eastAsia" w:ascii="仿宋" w:hAnsi="仿宋" w:eastAsia="仿宋" w:cs="仿宋"/>
          <w:b w:val="0"/>
          <w:bCs w:val="0"/>
          <w:kern w:val="0"/>
          <w:szCs w:val="21"/>
          <w:highlight w:val="none"/>
        </w:rPr>
        <w:t>同意</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当发现工程设计不符合国家颁布的工程质量标准或设计合同约定的质量标准</w:t>
      </w:r>
      <w:r>
        <w:rPr>
          <w:rFonts w:hint="eastAsia" w:ascii="仿宋" w:hAnsi="仿宋" w:eastAsia="仿宋" w:cs="仿宋"/>
          <w:b w:val="0"/>
          <w:bCs w:val="0"/>
          <w:kern w:val="0"/>
          <w:szCs w:val="21"/>
          <w:highlight w:val="none"/>
          <w:lang w:eastAsia="zh-CN"/>
        </w:rPr>
        <w:t>或现场实际情况</w:t>
      </w:r>
      <w:r>
        <w:rPr>
          <w:rFonts w:hint="eastAsia" w:ascii="仿宋" w:hAnsi="仿宋" w:eastAsia="仿宋" w:cs="仿宋"/>
          <w:b w:val="0"/>
          <w:bCs w:val="0"/>
          <w:kern w:val="0"/>
          <w:szCs w:val="21"/>
          <w:highlight w:val="none"/>
        </w:rPr>
        <w:t>时，应当书面报告</w:t>
      </w:r>
      <w:r>
        <w:rPr>
          <w:rFonts w:hint="eastAsia" w:ascii="仿宋" w:hAnsi="仿宋" w:eastAsia="仿宋" w:cs="仿宋"/>
          <w:b w:val="0"/>
          <w:bCs w:val="0"/>
          <w:kern w:val="0"/>
          <w:szCs w:val="21"/>
          <w:highlight w:val="none"/>
          <w:lang w:eastAsia="zh-CN"/>
        </w:rPr>
        <w:t>发包人</w:t>
      </w:r>
      <w:r>
        <w:rPr>
          <w:rFonts w:hint="eastAsia" w:ascii="仿宋" w:hAnsi="仿宋" w:eastAsia="仿宋" w:cs="仿宋"/>
          <w:b w:val="0"/>
          <w:bCs w:val="0"/>
          <w:kern w:val="0"/>
          <w:szCs w:val="21"/>
          <w:highlight w:val="none"/>
        </w:rPr>
        <w:t>并要求设计单位更正。</w:t>
      </w:r>
    </w:p>
    <w:p>
      <w:pPr>
        <w:widowControl/>
        <w:spacing w:line="240" w:lineRule="auto"/>
        <w:ind w:firstLine="420" w:firstLineChars="200"/>
        <w:jc w:val="left"/>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val="en-US" w:eastAsia="zh-CN"/>
        </w:rPr>
        <w:t>（5）发包人要求的本项目其他安全文明控制方面的工作。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val="en-US" w:eastAsia="zh-CN"/>
        </w:rPr>
        <w:t>2.2.6文件资料、档案管理方面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val="en-US" w:eastAsia="zh-CN"/>
        </w:rPr>
        <w:t>（1）</w:t>
      </w:r>
      <w:r>
        <w:rPr>
          <w:rFonts w:hint="eastAsia" w:ascii="仿宋" w:hAnsi="仿宋" w:eastAsia="仿宋" w:cs="仿宋"/>
          <w:b w:val="0"/>
          <w:bCs w:val="0"/>
          <w:kern w:val="0"/>
          <w:szCs w:val="21"/>
          <w:highlight w:val="none"/>
          <w:lang w:eastAsia="zh-CN"/>
        </w:rPr>
        <w:t>应按发包人要求收集、整理监理服务档案，</w:t>
      </w:r>
      <w:r>
        <w:rPr>
          <w:rFonts w:hint="eastAsia" w:ascii="仿宋" w:hAnsi="仿宋" w:eastAsia="仿宋" w:cs="仿宋"/>
          <w:b w:val="0"/>
          <w:bCs w:val="0"/>
          <w:kern w:val="0"/>
          <w:szCs w:val="21"/>
          <w:highlight w:val="none"/>
        </w:rPr>
        <w:t>督促</w:t>
      </w:r>
      <w:r>
        <w:rPr>
          <w:rFonts w:hint="eastAsia" w:ascii="仿宋" w:hAnsi="仿宋" w:eastAsia="仿宋" w:cs="仿宋"/>
          <w:b w:val="0"/>
          <w:bCs w:val="0"/>
          <w:kern w:val="0"/>
          <w:szCs w:val="21"/>
          <w:highlight w:val="none"/>
          <w:lang w:eastAsia="zh-CN"/>
        </w:rPr>
        <w:t>施工</w:t>
      </w:r>
      <w:r>
        <w:rPr>
          <w:rFonts w:hint="eastAsia" w:ascii="仿宋" w:hAnsi="仿宋" w:eastAsia="仿宋" w:cs="仿宋"/>
          <w:b w:val="0"/>
          <w:bCs w:val="0"/>
          <w:kern w:val="0"/>
          <w:szCs w:val="21"/>
          <w:highlight w:val="none"/>
        </w:rPr>
        <w:t>单位</w:t>
      </w:r>
      <w:r>
        <w:rPr>
          <w:rFonts w:hint="eastAsia" w:ascii="仿宋" w:hAnsi="仿宋" w:eastAsia="仿宋" w:cs="仿宋"/>
          <w:b w:val="0"/>
          <w:bCs w:val="0"/>
          <w:kern w:val="0"/>
          <w:szCs w:val="21"/>
          <w:highlight w:val="none"/>
          <w:lang w:eastAsia="zh-CN"/>
        </w:rPr>
        <w:t>及相关单位收集、整理</w:t>
      </w:r>
      <w:r>
        <w:rPr>
          <w:rFonts w:hint="eastAsia" w:ascii="仿宋" w:hAnsi="仿宋" w:eastAsia="仿宋" w:cs="仿宋"/>
          <w:b w:val="0"/>
          <w:bCs w:val="0"/>
          <w:kern w:val="0"/>
          <w:szCs w:val="21"/>
          <w:highlight w:val="none"/>
        </w:rPr>
        <w:t>各阶段</w:t>
      </w:r>
      <w:r>
        <w:rPr>
          <w:rFonts w:hint="eastAsia" w:ascii="仿宋" w:hAnsi="仿宋" w:eastAsia="仿宋" w:cs="仿宋"/>
          <w:b w:val="0"/>
          <w:bCs w:val="0"/>
          <w:kern w:val="0"/>
          <w:szCs w:val="21"/>
          <w:highlight w:val="none"/>
          <w:lang w:eastAsia="zh-CN"/>
        </w:rPr>
        <w:t>施工</w:t>
      </w:r>
      <w:r>
        <w:rPr>
          <w:rFonts w:hint="eastAsia" w:ascii="仿宋" w:hAnsi="仿宋" w:eastAsia="仿宋" w:cs="仿宋"/>
          <w:b w:val="0"/>
          <w:bCs w:val="0"/>
          <w:kern w:val="0"/>
          <w:szCs w:val="21"/>
          <w:highlight w:val="none"/>
        </w:rPr>
        <w:t>工作档案，检查</w:t>
      </w:r>
      <w:r>
        <w:rPr>
          <w:rFonts w:hint="eastAsia" w:ascii="仿宋" w:hAnsi="仿宋" w:eastAsia="仿宋" w:cs="仿宋"/>
          <w:b w:val="0"/>
          <w:bCs w:val="0"/>
          <w:kern w:val="0"/>
          <w:szCs w:val="21"/>
          <w:highlight w:val="none"/>
          <w:lang w:eastAsia="zh-CN"/>
        </w:rPr>
        <w:t>各</w:t>
      </w:r>
      <w:r>
        <w:rPr>
          <w:rFonts w:hint="eastAsia" w:ascii="仿宋" w:hAnsi="仿宋" w:eastAsia="仿宋" w:cs="仿宋"/>
          <w:b w:val="0"/>
          <w:bCs w:val="0"/>
          <w:kern w:val="0"/>
          <w:szCs w:val="21"/>
          <w:highlight w:val="none"/>
        </w:rPr>
        <w:t>档案资料的完备性、真实性，并按</w:t>
      </w:r>
      <w:r>
        <w:rPr>
          <w:rFonts w:hint="eastAsia" w:ascii="仿宋" w:hAnsi="仿宋" w:eastAsia="仿宋" w:cs="仿宋"/>
          <w:b w:val="0"/>
          <w:bCs w:val="0"/>
          <w:kern w:val="0"/>
          <w:szCs w:val="21"/>
          <w:highlight w:val="none"/>
          <w:lang w:eastAsia="zh-CN"/>
        </w:rPr>
        <w:t>发包人</w:t>
      </w:r>
      <w:r>
        <w:rPr>
          <w:rFonts w:hint="eastAsia" w:ascii="仿宋" w:hAnsi="仿宋" w:eastAsia="仿宋" w:cs="仿宋"/>
          <w:b w:val="0"/>
          <w:bCs w:val="0"/>
          <w:kern w:val="0"/>
          <w:szCs w:val="21"/>
          <w:highlight w:val="none"/>
        </w:rPr>
        <w:t>要求做好归档工作。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lang w:val="en-US" w:eastAsia="zh-CN"/>
        </w:rPr>
        <w:t>（2）监理人应</w:t>
      </w:r>
      <w:r>
        <w:rPr>
          <w:rFonts w:hint="eastAsia" w:ascii="仿宋" w:hAnsi="仿宋" w:eastAsia="仿宋" w:cs="仿宋"/>
          <w:b w:val="0"/>
          <w:bCs w:val="0"/>
          <w:kern w:val="0"/>
          <w:szCs w:val="21"/>
          <w:highlight w:val="none"/>
        </w:rPr>
        <w:t>建立质量信息档案。组织落实政府部门、发包人及其他单位的质量检查整改要求，收集、整理和分析质量缺陷及整改情况，并纳入档案。</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3</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监理人应</w:t>
      </w:r>
      <w:r>
        <w:rPr>
          <w:rFonts w:hint="eastAsia" w:ascii="仿宋" w:hAnsi="仿宋" w:eastAsia="仿宋" w:cs="仿宋"/>
          <w:b w:val="0"/>
          <w:bCs w:val="0"/>
          <w:kern w:val="0"/>
          <w:szCs w:val="21"/>
          <w:highlight w:val="none"/>
        </w:rPr>
        <w:t>建立</w:t>
      </w:r>
      <w:r>
        <w:rPr>
          <w:rFonts w:hint="eastAsia" w:ascii="仿宋" w:hAnsi="仿宋" w:eastAsia="仿宋" w:cs="仿宋"/>
          <w:b w:val="0"/>
          <w:bCs w:val="0"/>
          <w:kern w:val="0"/>
          <w:szCs w:val="21"/>
          <w:highlight w:val="none"/>
          <w:lang w:eastAsia="zh-CN"/>
        </w:rPr>
        <w:t>造价管理</w:t>
      </w:r>
      <w:r>
        <w:rPr>
          <w:rFonts w:hint="eastAsia" w:ascii="仿宋" w:hAnsi="仿宋" w:eastAsia="仿宋" w:cs="仿宋"/>
          <w:b w:val="0"/>
          <w:bCs w:val="0"/>
          <w:kern w:val="0"/>
          <w:szCs w:val="21"/>
          <w:highlight w:val="none"/>
        </w:rPr>
        <w:t>档案</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收集、整理和分析</w:t>
      </w:r>
      <w:r>
        <w:rPr>
          <w:rFonts w:hint="eastAsia" w:ascii="仿宋" w:hAnsi="仿宋" w:eastAsia="仿宋" w:cs="仿宋"/>
          <w:b w:val="0"/>
          <w:bCs w:val="0"/>
          <w:kern w:val="0"/>
          <w:szCs w:val="21"/>
          <w:highlight w:val="none"/>
          <w:lang w:eastAsia="zh-CN"/>
        </w:rPr>
        <w:t>项目投资造价</w:t>
      </w:r>
      <w:r>
        <w:rPr>
          <w:rFonts w:hint="eastAsia" w:ascii="仿宋" w:hAnsi="仿宋" w:eastAsia="仿宋" w:cs="仿宋"/>
          <w:b w:val="0"/>
          <w:bCs w:val="0"/>
          <w:kern w:val="0"/>
          <w:szCs w:val="21"/>
          <w:highlight w:val="none"/>
        </w:rPr>
        <w:t>情况，并纳入档案。</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eastAsia="zh-CN"/>
        </w:rPr>
      </w:pPr>
      <w:r>
        <w:rPr>
          <w:rFonts w:hint="eastAsia" w:ascii="仿宋" w:hAnsi="仿宋" w:eastAsia="仿宋" w:cs="仿宋"/>
          <w:b w:val="0"/>
          <w:bCs w:val="0"/>
          <w:kern w:val="0"/>
          <w:szCs w:val="21"/>
          <w:highlight w:val="none"/>
          <w:lang w:val="en-US" w:eastAsia="zh-CN"/>
        </w:rPr>
        <w:t>2.2.7</w:t>
      </w:r>
      <w:r>
        <w:rPr>
          <w:rFonts w:hint="eastAsia" w:ascii="仿宋" w:hAnsi="仿宋" w:eastAsia="仿宋" w:cs="仿宋"/>
          <w:b w:val="0"/>
          <w:bCs w:val="0"/>
          <w:kern w:val="0"/>
          <w:szCs w:val="21"/>
          <w:highlight w:val="none"/>
          <w:lang w:eastAsia="zh-CN"/>
        </w:rPr>
        <w:t>组织协调方面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eastAsia="zh-CN"/>
        </w:rPr>
      </w:pPr>
      <w:r>
        <w:rPr>
          <w:rFonts w:hint="eastAsia" w:ascii="仿宋" w:hAnsi="仿宋" w:eastAsia="仿宋" w:cs="仿宋"/>
          <w:b w:val="0"/>
          <w:bCs w:val="0"/>
          <w:kern w:val="0"/>
          <w:szCs w:val="21"/>
          <w:highlight w:val="none"/>
          <w:lang w:val="en-US" w:eastAsia="zh-CN"/>
        </w:rPr>
        <w:t>（1）</w:t>
      </w:r>
      <w:r>
        <w:rPr>
          <w:rFonts w:hint="eastAsia" w:ascii="仿宋" w:hAnsi="仿宋" w:eastAsia="仿宋" w:cs="仿宋"/>
          <w:b w:val="0"/>
          <w:bCs w:val="0"/>
          <w:kern w:val="0"/>
          <w:szCs w:val="21"/>
          <w:highlight w:val="none"/>
          <w:lang w:eastAsia="zh-CN"/>
        </w:rPr>
        <w:t>组织协调项目施工有关协作单位，重要协调事项应事先书面报告发包人；若施工合同履行过程中发生争议，监理人应根据相关规定及事实进行调解，在发包人要求的期限内对相关争议提出处理意见或建议并协助发包人收集相关凭证。</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2）</w:t>
      </w:r>
      <w:r>
        <w:rPr>
          <w:rFonts w:hint="eastAsia" w:ascii="仿宋" w:hAnsi="仿宋" w:eastAsia="仿宋" w:cs="仿宋"/>
          <w:b w:val="0"/>
          <w:bCs w:val="0"/>
          <w:kern w:val="0"/>
          <w:szCs w:val="21"/>
          <w:highlight w:val="none"/>
        </w:rPr>
        <w:t>定期组织</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主持例会</w:t>
      </w:r>
      <w:r>
        <w:rPr>
          <w:rFonts w:hint="eastAsia" w:ascii="仿宋" w:hAnsi="仿宋" w:eastAsia="仿宋" w:cs="仿宋"/>
          <w:b w:val="0"/>
          <w:bCs w:val="0"/>
          <w:kern w:val="0"/>
          <w:szCs w:val="21"/>
          <w:highlight w:val="none"/>
          <w:lang w:eastAsia="zh-CN"/>
        </w:rPr>
        <w:t>，并根据项目需要或发包人要求主持或参加项目专题会议或其他相关会议；协助发包人</w:t>
      </w:r>
      <w:r>
        <w:rPr>
          <w:rFonts w:hint="eastAsia" w:ascii="仿宋" w:hAnsi="仿宋" w:eastAsia="仿宋" w:cs="仿宋"/>
          <w:b w:val="0"/>
          <w:bCs w:val="0"/>
          <w:kern w:val="0"/>
          <w:szCs w:val="21"/>
          <w:highlight w:val="none"/>
        </w:rPr>
        <w:t>开展考核评价</w:t>
      </w:r>
      <w:r>
        <w:rPr>
          <w:rFonts w:hint="eastAsia" w:ascii="仿宋" w:hAnsi="仿宋" w:eastAsia="仿宋" w:cs="仿宋"/>
          <w:b w:val="0"/>
          <w:bCs w:val="0"/>
          <w:kern w:val="0"/>
          <w:szCs w:val="21"/>
          <w:highlight w:val="none"/>
          <w:lang w:eastAsia="zh-CN"/>
        </w:rPr>
        <w:t>、合同履约验收</w:t>
      </w:r>
      <w:r>
        <w:rPr>
          <w:rFonts w:hint="eastAsia" w:ascii="仿宋" w:hAnsi="仿宋" w:eastAsia="仿宋" w:cs="仿宋"/>
          <w:b w:val="0"/>
          <w:bCs w:val="0"/>
          <w:kern w:val="0"/>
          <w:szCs w:val="21"/>
          <w:highlight w:val="none"/>
        </w:rPr>
        <w:t>，负责组织、协调各</w:t>
      </w:r>
      <w:r>
        <w:rPr>
          <w:rFonts w:hint="eastAsia" w:ascii="仿宋" w:hAnsi="仿宋" w:eastAsia="仿宋" w:cs="仿宋"/>
          <w:b w:val="0"/>
          <w:bCs w:val="0"/>
          <w:kern w:val="0"/>
          <w:szCs w:val="21"/>
          <w:highlight w:val="none"/>
          <w:lang w:eastAsia="zh-CN"/>
        </w:rPr>
        <w:t>施工</w:t>
      </w:r>
      <w:r>
        <w:rPr>
          <w:rFonts w:hint="eastAsia" w:ascii="仿宋" w:hAnsi="仿宋" w:eastAsia="仿宋" w:cs="仿宋"/>
          <w:b w:val="0"/>
          <w:bCs w:val="0"/>
          <w:kern w:val="0"/>
          <w:szCs w:val="21"/>
          <w:highlight w:val="none"/>
        </w:rPr>
        <w:t>单位；组织各类检查，配合</w:t>
      </w:r>
      <w:r>
        <w:rPr>
          <w:rFonts w:hint="eastAsia" w:ascii="仿宋" w:hAnsi="仿宋" w:eastAsia="仿宋" w:cs="仿宋"/>
          <w:b w:val="0"/>
          <w:bCs w:val="0"/>
          <w:kern w:val="0"/>
          <w:szCs w:val="21"/>
          <w:highlight w:val="none"/>
          <w:lang w:eastAsia="zh-CN"/>
        </w:rPr>
        <w:t>发包人</w:t>
      </w:r>
      <w:r>
        <w:rPr>
          <w:rFonts w:hint="eastAsia" w:ascii="仿宋" w:hAnsi="仿宋" w:eastAsia="仿宋" w:cs="仿宋"/>
          <w:b w:val="0"/>
          <w:bCs w:val="0"/>
          <w:kern w:val="0"/>
          <w:szCs w:val="21"/>
          <w:highlight w:val="none"/>
        </w:rPr>
        <w:t>、行政主管部门做好相关专项检查工作</w:t>
      </w:r>
      <w:r>
        <w:rPr>
          <w:rFonts w:hint="eastAsia" w:ascii="仿宋" w:hAnsi="仿宋" w:eastAsia="仿宋" w:cs="仿宋"/>
          <w:b w:val="0"/>
          <w:bCs w:val="0"/>
          <w:kern w:val="0"/>
          <w:szCs w:val="21"/>
          <w:highlight w:val="none"/>
          <w:lang w:eastAsia="zh-CN"/>
        </w:rPr>
        <w:t>及后续工作；</w:t>
      </w:r>
      <w:r>
        <w:rPr>
          <w:rFonts w:hint="eastAsia" w:ascii="仿宋" w:hAnsi="仿宋" w:eastAsia="仿宋" w:cs="仿宋"/>
          <w:b w:val="0"/>
          <w:bCs w:val="0"/>
          <w:kern w:val="0"/>
          <w:szCs w:val="21"/>
          <w:highlight w:val="none"/>
        </w:rPr>
        <w:t>审核第三方服务单位的相关文件，包括但不限于监测、检测预算及清单，监测、检测方案，房屋鉴定方案、各类安全评估报告等。</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3）</w:t>
      </w:r>
      <w:r>
        <w:rPr>
          <w:rFonts w:hint="eastAsia" w:ascii="仿宋" w:hAnsi="仿宋" w:eastAsia="仿宋" w:cs="仿宋"/>
          <w:b w:val="0"/>
          <w:bCs w:val="0"/>
          <w:kern w:val="0"/>
          <w:szCs w:val="21"/>
          <w:highlight w:val="none"/>
        </w:rPr>
        <w:t>协助发包人开展项目必要的对外协调工作。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val="en-US" w:eastAsia="zh-CN"/>
        </w:rPr>
        <w:t>2.2.8涉及其他监理范围</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val="en-US" w:eastAsia="zh-CN"/>
        </w:rPr>
        <w:t>（1）如本合同项目含征地拆迁及管线迁改工作内容的，监理人应按发包人要求针对本项目所涉征地拆迁、管线迁改工作提供相关监理服务。</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val="en-US" w:eastAsia="zh-CN"/>
        </w:rPr>
        <w:t>（</w:t>
      </w:r>
      <w:r>
        <w:rPr>
          <w:rFonts w:hint="default" w:ascii="仿宋" w:hAnsi="仿宋" w:eastAsia="仿宋" w:cs="仿宋"/>
          <w:b w:val="0"/>
          <w:bCs w:val="0"/>
          <w:color w:val="auto"/>
          <w:kern w:val="0"/>
          <w:sz w:val="21"/>
          <w:szCs w:val="21"/>
          <w:highlight w:val="none"/>
          <w:lang w:val="en-US" w:eastAsia="zh-CN"/>
        </w:rPr>
        <w:t>2</w:t>
      </w:r>
      <w:r>
        <w:rPr>
          <w:rFonts w:hint="eastAsia" w:ascii="仿宋" w:hAnsi="仿宋" w:eastAsia="仿宋" w:cs="仿宋"/>
          <w:b w:val="0"/>
          <w:bCs w:val="0"/>
          <w:kern w:val="0"/>
          <w:szCs w:val="21"/>
          <w:highlight w:val="none"/>
          <w:lang w:val="en-US" w:eastAsia="zh-CN"/>
        </w:rPr>
        <w:t>）如监理范围涵盖项目勘察阶段的，监理人应在勘察、物探阶段或勘察、物探工作在施工阶段开展的，监理人应针对勘察、物探工作提交监理工作计划；协助发包人组织勘察、物探单位，会同勘查、物探工程所涉及的建构筑物、地下管线、文物单位，开展钻探现场技术交底、钻孔位置放线等工作；在勘察、物探作业期间进行旁站，对勘察、物探单位提交的成果报告中的工程量进行审核确认。</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val="en-US" w:eastAsia="zh-CN"/>
        </w:rPr>
        <w:t>（</w:t>
      </w:r>
      <w:r>
        <w:rPr>
          <w:rFonts w:hint="default" w:ascii="仿宋" w:hAnsi="仿宋" w:eastAsia="仿宋" w:cs="仿宋"/>
          <w:b w:val="0"/>
          <w:bCs w:val="0"/>
          <w:color w:val="auto"/>
          <w:kern w:val="0"/>
          <w:sz w:val="21"/>
          <w:szCs w:val="21"/>
          <w:highlight w:val="none"/>
          <w:lang w:val="en-US" w:eastAsia="zh-CN"/>
        </w:rPr>
        <w:t>3）</w:t>
      </w:r>
      <w:r>
        <w:rPr>
          <w:rFonts w:hint="eastAsia" w:ascii="仿宋" w:hAnsi="仿宋" w:eastAsia="仿宋" w:cs="仿宋"/>
          <w:b w:val="0"/>
          <w:bCs w:val="0"/>
          <w:kern w:val="0"/>
          <w:szCs w:val="21"/>
          <w:highlight w:val="none"/>
          <w:lang w:eastAsia="zh-CN"/>
        </w:rPr>
        <w:t>如监理范围涉及地铁、铁路、高快速路等建构筑物的安全保护和监测工作的，监理人应配备相应经验人员，对上述工作进行驻场监督管理。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lang w:val="en-US" w:eastAsia="zh-CN"/>
        </w:rPr>
        <w:t>2.2.9 其他工作内容</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1）</w:t>
      </w:r>
      <w:r>
        <w:rPr>
          <w:rFonts w:hint="eastAsia" w:ascii="仿宋" w:hAnsi="仿宋" w:eastAsia="仿宋" w:cs="仿宋"/>
          <w:b w:val="0"/>
          <w:bCs w:val="0"/>
          <w:kern w:val="0"/>
          <w:szCs w:val="21"/>
          <w:highlight w:val="none"/>
        </w:rPr>
        <w:t>负责跟进、监督原材料试验检测、实体监（检）测落实情况，收集整理施工单位自检计划、第三方监（检）测计划，统计监（检）测完成情况，于每月月底将当月监（检）测完成情况及下月监（检）测计划报发包人。</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2）</w:t>
      </w:r>
      <w:r>
        <w:rPr>
          <w:rFonts w:hint="eastAsia" w:ascii="仿宋" w:hAnsi="仿宋" w:eastAsia="仿宋" w:cs="仿宋"/>
          <w:b w:val="0"/>
          <w:bCs w:val="0"/>
          <w:kern w:val="0"/>
          <w:szCs w:val="21"/>
          <w:highlight w:val="none"/>
        </w:rPr>
        <w:t>负责整理汇总项目年度总结，包括本年度现场施工完成情况（含重要节点完成记录、分部分项工程验收记录等）、投资完成情况、各类监督检查及整改情况、参评及获奖情况、施工及监理单位人员变更情况等，每年12月底之前报发包人</w:t>
      </w:r>
      <w:r>
        <w:rPr>
          <w:rFonts w:hint="eastAsia" w:ascii="仿宋" w:hAnsi="仿宋" w:eastAsia="仿宋" w:cs="仿宋"/>
          <w:b w:val="0"/>
          <w:bCs w:val="0"/>
          <w:kern w:val="0"/>
          <w:szCs w:val="21"/>
          <w:highlight w:val="none"/>
          <w:lang w:eastAsia="zh-CN"/>
        </w:rPr>
        <w:t>（或按项目实际推进情况报发包人）。</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val="en-US" w:eastAsia="zh-CN"/>
        </w:rPr>
        <w:t>（3）在订货前，根据实际需要并经发包人同意可对生产厂家进行了解考察，所发生的差旅费用由采购方负担。</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eastAsia="zh-CN"/>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4）</w:t>
      </w:r>
      <w:r>
        <w:rPr>
          <w:rFonts w:hint="eastAsia" w:ascii="仿宋" w:hAnsi="仿宋" w:eastAsia="仿宋" w:cs="仿宋"/>
          <w:b w:val="0"/>
          <w:bCs w:val="0"/>
          <w:kern w:val="0"/>
          <w:szCs w:val="21"/>
          <w:highlight w:val="none"/>
          <w:lang w:eastAsia="zh-CN"/>
        </w:rPr>
        <w:t>检查、督促施工单位严格履行相关规定及施工合同约定的其他义务，包括但不限于履行用工实名制、工人工资分账管理、工人工资保证金、</w:t>
      </w:r>
      <w:r>
        <w:rPr>
          <w:rFonts w:hint="default" w:ascii="仿宋" w:hAnsi="仿宋" w:eastAsia="仿宋" w:cs="仿宋"/>
          <w:b w:val="0"/>
          <w:bCs w:val="0"/>
          <w:strike w:val="0"/>
          <w:dstrike w:val="0"/>
          <w:color w:val="auto"/>
          <w:kern w:val="0"/>
          <w:sz w:val="21"/>
          <w:szCs w:val="21"/>
          <w:highlight w:val="none"/>
          <w:lang w:val="en-US" w:eastAsia="zh-CN"/>
        </w:rPr>
        <w:t>人员设备</w:t>
      </w:r>
      <w:r>
        <w:rPr>
          <w:rFonts w:hint="eastAsia" w:ascii="仿宋" w:hAnsi="仿宋" w:eastAsia="仿宋" w:cs="仿宋"/>
          <w:b w:val="0"/>
          <w:bCs w:val="0"/>
          <w:strike w:val="0"/>
          <w:dstrike w:val="0"/>
          <w:color w:val="auto"/>
          <w:kern w:val="0"/>
          <w:sz w:val="21"/>
          <w:szCs w:val="21"/>
          <w:highlight w:val="none"/>
          <w:lang w:val="en-US" w:eastAsia="zh-CN"/>
        </w:rPr>
        <w:t>材料</w:t>
      </w:r>
      <w:r>
        <w:rPr>
          <w:rFonts w:hint="default" w:ascii="仿宋" w:hAnsi="仿宋" w:eastAsia="仿宋" w:cs="仿宋"/>
          <w:b w:val="0"/>
          <w:bCs w:val="0"/>
          <w:strike w:val="0"/>
          <w:dstrike w:val="0"/>
          <w:color w:val="auto"/>
          <w:kern w:val="0"/>
          <w:sz w:val="21"/>
          <w:szCs w:val="21"/>
          <w:highlight w:val="none"/>
          <w:lang w:val="en-US" w:eastAsia="zh-CN"/>
        </w:rPr>
        <w:t>投入（核实数量、资质、进退场情况、相关保险等）</w:t>
      </w:r>
      <w:r>
        <w:rPr>
          <w:rFonts w:hint="eastAsia" w:ascii="仿宋" w:hAnsi="仿宋" w:eastAsia="仿宋" w:cs="仿宋"/>
          <w:b w:val="0"/>
          <w:bCs w:val="0"/>
          <w:strike w:val="0"/>
          <w:dstrike w:val="0"/>
          <w:color w:val="auto"/>
          <w:kern w:val="0"/>
          <w:sz w:val="21"/>
          <w:szCs w:val="21"/>
          <w:highlight w:val="none"/>
          <w:lang w:val="en-US" w:eastAsia="zh-CN"/>
        </w:rPr>
        <w:t>、分包管理</w:t>
      </w:r>
      <w:r>
        <w:rPr>
          <w:rFonts w:hint="default" w:ascii="仿宋" w:hAnsi="仿宋" w:eastAsia="仿宋" w:cs="仿宋"/>
          <w:b w:val="0"/>
          <w:bCs w:val="0"/>
          <w:strike w:val="0"/>
          <w:dstrike w:val="0"/>
          <w:color w:val="auto"/>
          <w:kern w:val="0"/>
          <w:sz w:val="21"/>
          <w:szCs w:val="21"/>
          <w:highlight w:val="none"/>
          <w:lang w:val="en-US" w:eastAsia="zh-CN"/>
        </w:rPr>
        <w:t>、</w:t>
      </w:r>
      <w:r>
        <w:rPr>
          <w:rFonts w:hint="eastAsia" w:ascii="仿宋" w:hAnsi="仿宋" w:eastAsia="仿宋" w:cs="仿宋"/>
          <w:b w:val="0"/>
          <w:bCs w:val="0"/>
          <w:kern w:val="0"/>
          <w:szCs w:val="21"/>
          <w:highlight w:val="none"/>
        </w:rPr>
        <w:t>信息化/</w:t>
      </w:r>
      <w:r>
        <w:rPr>
          <w:rFonts w:hint="eastAsia" w:ascii="仿宋" w:hAnsi="仿宋" w:eastAsia="仿宋" w:cs="仿宋"/>
          <w:b w:val="0"/>
          <w:bCs w:val="0"/>
          <w:kern w:val="0"/>
          <w:szCs w:val="21"/>
          <w:highlight w:val="none"/>
          <w:lang w:val="en-US" w:eastAsia="zh-CN"/>
        </w:rPr>
        <w:t>BIM系统应用（如有）、</w:t>
      </w:r>
      <w:r>
        <w:rPr>
          <w:rFonts w:hint="eastAsia" w:ascii="仿宋" w:hAnsi="仿宋" w:eastAsia="仿宋" w:cs="仿宋"/>
          <w:b w:val="0"/>
          <w:bCs w:val="0"/>
          <w:kern w:val="0"/>
          <w:szCs w:val="21"/>
          <w:highlight w:val="none"/>
        </w:rPr>
        <w:t>工程档案整理及归档</w:t>
      </w:r>
      <w:r>
        <w:rPr>
          <w:rFonts w:hint="eastAsia" w:ascii="仿宋" w:hAnsi="仿宋" w:eastAsia="仿宋" w:cs="仿宋"/>
          <w:b w:val="0"/>
          <w:bCs w:val="0"/>
          <w:kern w:val="0"/>
          <w:szCs w:val="21"/>
          <w:highlight w:val="none"/>
          <w:lang w:eastAsia="zh-CN"/>
        </w:rPr>
        <w:t>等规定或约定。</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5）</w:t>
      </w:r>
      <w:r>
        <w:rPr>
          <w:rFonts w:hint="eastAsia" w:ascii="仿宋" w:hAnsi="仿宋" w:eastAsia="仿宋" w:cs="仿宋"/>
          <w:b w:val="0"/>
          <w:bCs w:val="0"/>
          <w:kern w:val="0"/>
          <w:szCs w:val="21"/>
          <w:highlight w:val="none"/>
        </w:rPr>
        <w:t>编制、报送项目的监理规划、监理实施细则等监理工作文件</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经</w:t>
      </w:r>
      <w:r>
        <w:rPr>
          <w:rFonts w:hint="eastAsia" w:ascii="仿宋" w:hAnsi="仿宋" w:eastAsia="仿宋" w:cs="仿宋"/>
          <w:b w:val="0"/>
          <w:bCs w:val="0"/>
          <w:kern w:val="0"/>
          <w:szCs w:val="21"/>
          <w:highlight w:val="none"/>
          <w:lang w:eastAsia="zh-CN"/>
        </w:rPr>
        <w:t>发包人</w:t>
      </w:r>
      <w:r>
        <w:rPr>
          <w:rFonts w:hint="eastAsia" w:ascii="仿宋" w:hAnsi="仿宋" w:eastAsia="仿宋" w:cs="仿宋"/>
          <w:b w:val="0"/>
          <w:bCs w:val="0"/>
          <w:kern w:val="0"/>
          <w:szCs w:val="21"/>
          <w:highlight w:val="none"/>
        </w:rPr>
        <w:t>审核后，严格按照监理规划、监理实施细则进行项目监理及相关服务</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在编制监理实施细则时，应按监理规范</w:t>
      </w:r>
      <w:r>
        <w:rPr>
          <w:rFonts w:hint="eastAsia" w:ascii="仿宋" w:hAnsi="仿宋" w:eastAsia="仿宋" w:cs="仿宋"/>
          <w:b w:val="0"/>
          <w:bCs w:val="0"/>
          <w:kern w:val="0"/>
          <w:szCs w:val="21"/>
          <w:highlight w:val="none"/>
          <w:lang w:eastAsia="zh-CN"/>
        </w:rPr>
        <w:t>、发包人要求等</w:t>
      </w:r>
      <w:r>
        <w:rPr>
          <w:rFonts w:hint="eastAsia" w:ascii="仿宋" w:hAnsi="仿宋" w:eastAsia="仿宋" w:cs="仿宋"/>
          <w:b w:val="0"/>
          <w:bCs w:val="0"/>
          <w:kern w:val="0"/>
          <w:szCs w:val="21"/>
          <w:highlight w:val="none"/>
        </w:rPr>
        <w:t>列明需监理人旁站的工序。在项目实施过程中发包人认为监理规划、监理实施细则难以满足项目实施需求时，监理</w:t>
      </w:r>
      <w:r>
        <w:rPr>
          <w:rFonts w:hint="eastAsia" w:ascii="仿宋" w:hAnsi="仿宋" w:eastAsia="仿宋" w:cs="仿宋"/>
          <w:b w:val="0"/>
          <w:bCs w:val="0"/>
          <w:kern w:val="0"/>
          <w:szCs w:val="21"/>
          <w:highlight w:val="none"/>
          <w:lang w:eastAsia="zh-CN"/>
        </w:rPr>
        <w:t>人</w:t>
      </w:r>
      <w:r>
        <w:rPr>
          <w:rFonts w:hint="eastAsia" w:ascii="仿宋" w:hAnsi="仿宋" w:eastAsia="仿宋" w:cs="仿宋"/>
          <w:b w:val="0"/>
          <w:bCs w:val="0"/>
          <w:kern w:val="0"/>
          <w:szCs w:val="21"/>
          <w:highlight w:val="none"/>
        </w:rPr>
        <w:t>需重新修编并报</w:t>
      </w:r>
      <w:r>
        <w:rPr>
          <w:rFonts w:hint="eastAsia" w:ascii="仿宋" w:hAnsi="仿宋" w:eastAsia="仿宋" w:cs="仿宋"/>
          <w:b w:val="0"/>
          <w:bCs w:val="0"/>
          <w:kern w:val="0"/>
          <w:szCs w:val="21"/>
          <w:highlight w:val="none"/>
          <w:lang w:eastAsia="zh-CN"/>
        </w:rPr>
        <w:t>送新编制的</w:t>
      </w:r>
      <w:r>
        <w:rPr>
          <w:rFonts w:hint="eastAsia" w:ascii="仿宋" w:hAnsi="仿宋" w:eastAsia="仿宋" w:cs="仿宋"/>
          <w:b w:val="0"/>
          <w:bCs w:val="0"/>
          <w:kern w:val="0"/>
          <w:szCs w:val="21"/>
          <w:highlight w:val="none"/>
        </w:rPr>
        <w:t>监理规划及</w:t>
      </w:r>
      <w:r>
        <w:rPr>
          <w:rFonts w:hint="eastAsia" w:ascii="仿宋" w:hAnsi="仿宋" w:eastAsia="仿宋" w:cs="仿宋"/>
          <w:b w:val="0"/>
          <w:bCs w:val="0"/>
          <w:kern w:val="0"/>
          <w:szCs w:val="21"/>
          <w:highlight w:val="none"/>
          <w:lang w:eastAsia="zh-CN"/>
        </w:rPr>
        <w:t>监理</w:t>
      </w:r>
      <w:r>
        <w:rPr>
          <w:rFonts w:hint="eastAsia" w:ascii="仿宋" w:hAnsi="仿宋" w:eastAsia="仿宋" w:cs="仿宋"/>
          <w:b w:val="0"/>
          <w:bCs w:val="0"/>
          <w:kern w:val="0"/>
          <w:szCs w:val="21"/>
          <w:highlight w:val="none"/>
        </w:rPr>
        <w:t>实施细则</w:t>
      </w:r>
      <w:r>
        <w:rPr>
          <w:rFonts w:hint="eastAsia" w:ascii="仿宋" w:hAnsi="仿宋" w:eastAsia="仿宋" w:cs="仿宋"/>
          <w:b w:val="0"/>
          <w:bCs w:val="0"/>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eastAsia="zh-CN"/>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6）</w:t>
      </w:r>
      <w:r>
        <w:rPr>
          <w:rFonts w:hint="eastAsia" w:ascii="仿宋" w:hAnsi="仿宋" w:eastAsia="仿宋" w:cs="仿宋"/>
          <w:b w:val="0"/>
          <w:bCs w:val="0"/>
          <w:kern w:val="0"/>
          <w:szCs w:val="21"/>
          <w:highlight w:val="none"/>
        </w:rPr>
        <w:t>对选择</w:t>
      </w:r>
      <w:r>
        <w:rPr>
          <w:rFonts w:hint="eastAsia" w:ascii="仿宋" w:hAnsi="仿宋" w:eastAsia="仿宋" w:cs="仿宋"/>
          <w:b w:val="0"/>
          <w:bCs w:val="0"/>
          <w:kern w:val="0"/>
          <w:szCs w:val="21"/>
          <w:highlight w:val="none"/>
          <w:lang w:eastAsia="zh-CN"/>
        </w:rPr>
        <w:t>施工</w:t>
      </w:r>
      <w:r>
        <w:rPr>
          <w:rFonts w:hint="eastAsia" w:ascii="仿宋" w:hAnsi="仿宋" w:eastAsia="仿宋" w:cs="仿宋"/>
          <w:b w:val="0"/>
          <w:bCs w:val="0"/>
          <w:kern w:val="0"/>
          <w:szCs w:val="21"/>
          <w:highlight w:val="none"/>
        </w:rPr>
        <w:t>单位、工程设计单位提出建议</w:t>
      </w:r>
      <w:r>
        <w:rPr>
          <w:rFonts w:hint="eastAsia" w:ascii="仿宋" w:hAnsi="仿宋" w:eastAsia="仿宋" w:cs="仿宋"/>
          <w:b w:val="0"/>
          <w:bCs w:val="0"/>
          <w:kern w:val="0"/>
          <w:szCs w:val="21"/>
          <w:highlight w:val="none"/>
          <w:lang w:eastAsia="zh-CN"/>
        </w:rPr>
        <w:t>（如需）</w:t>
      </w:r>
      <w:r>
        <w:rPr>
          <w:rFonts w:hint="eastAsia" w:ascii="仿宋" w:hAnsi="仿宋" w:eastAsia="仿宋" w:cs="仿宋"/>
          <w:b w:val="0"/>
          <w:bCs w:val="0"/>
          <w:kern w:val="0"/>
          <w:szCs w:val="21"/>
          <w:highlight w:val="none"/>
        </w:rPr>
        <w:t>；对选择</w:t>
      </w:r>
      <w:r>
        <w:rPr>
          <w:rFonts w:hint="eastAsia" w:ascii="仿宋" w:hAnsi="仿宋" w:eastAsia="仿宋" w:cs="仿宋"/>
          <w:b w:val="0"/>
          <w:bCs w:val="0"/>
          <w:kern w:val="0"/>
          <w:szCs w:val="21"/>
          <w:highlight w:val="none"/>
          <w:lang w:eastAsia="zh-CN"/>
        </w:rPr>
        <w:t>施工</w:t>
      </w:r>
      <w:r>
        <w:rPr>
          <w:rFonts w:hint="eastAsia" w:ascii="仿宋" w:hAnsi="仿宋" w:eastAsia="仿宋" w:cs="仿宋"/>
          <w:b w:val="0"/>
          <w:bCs w:val="0"/>
          <w:kern w:val="0"/>
          <w:szCs w:val="21"/>
          <w:highlight w:val="none"/>
        </w:rPr>
        <w:t>分包单位、工程设计分包单位进行</w:t>
      </w:r>
      <w:r>
        <w:rPr>
          <w:rFonts w:hint="eastAsia" w:ascii="仿宋" w:hAnsi="仿宋" w:eastAsia="仿宋" w:cs="仿宋"/>
          <w:b w:val="0"/>
          <w:bCs w:val="0"/>
          <w:kern w:val="0"/>
          <w:szCs w:val="21"/>
          <w:highlight w:val="none"/>
          <w:lang w:eastAsia="zh-CN"/>
        </w:rPr>
        <w:t>审核后报发包人</w:t>
      </w:r>
      <w:r>
        <w:rPr>
          <w:rFonts w:hint="eastAsia" w:ascii="仿宋" w:hAnsi="仿宋" w:eastAsia="仿宋" w:cs="仿宋"/>
          <w:b w:val="0"/>
          <w:bCs w:val="0"/>
          <w:kern w:val="0"/>
          <w:szCs w:val="21"/>
          <w:highlight w:val="none"/>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kern w:val="0"/>
          <w:szCs w:val="21"/>
          <w:highlight w:val="none"/>
          <w:lang w:val="en-US" w:eastAsia="zh-CN"/>
        </w:rPr>
      </w:pPr>
      <w:r>
        <w:rPr>
          <w:rFonts w:hint="eastAsia" w:ascii="仿宋" w:hAnsi="仿宋" w:eastAsia="仿宋" w:cs="仿宋"/>
          <w:b w:val="0"/>
          <w:bCs w:val="0"/>
          <w:kern w:val="0"/>
          <w:szCs w:val="21"/>
          <w:highlight w:val="none"/>
        </w:rPr>
        <w:t>（</w:t>
      </w:r>
      <w:r>
        <w:rPr>
          <w:rFonts w:hint="eastAsia" w:ascii="仿宋" w:hAnsi="仿宋" w:eastAsia="仿宋" w:cs="仿宋"/>
          <w:b w:val="0"/>
          <w:bCs w:val="0"/>
          <w:kern w:val="0"/>
          <w:szCs w:val="21"/>
          <w:highlight w:val="none"/>
          <w:lang w:val="en-US" w:eastAsia="zh-CN"/>
        </w:rPr>
        <w:t>7</w:t>
      </w:r>
      <w:r>
        <w:rPr>
          <w:rFonts w:hint="eastAsia" w:ascii="仿宋" w:hAnsi="仿宋" w:eastAsia="仿宋" w:cs="仿宋"/>
          <w:b w:val="0"/>
          <w:bCs w:val="0"/>
          <w:kern w:val="0"/>
          <w:szCs w:val="21"/>
          <w:highlight w:val="none"/>
        </w:rPr>
        <w:t>）根据水保方案、环评报告行政审批的要求，对需要落实的水保、环保工作的实施开展监督管理</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对水保监测、环保监测等进行监控、记录，并整理汇总、编制相关总结报告</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配合相关验收工作。</w:t>
      </w:r>
    </w:p>
    <w:p>
      <w:pPr>
        <w:pageBreakBefore w:val="0"/>
        <w:widowControl/>
        <w:kinsoku/>
        <w:wordWrap/>
        <w:overflowPunct/>
        <w:topLinePunct w:val="0"/>
        <w:bidi w:val="0"/>
        <w:adjustRightInd/>
        <w:snapToGrid/>
        <w:spacing w:line="240" w:lineRule="auto"/>
        <w:ind w:firstLine="420" w:firstLineChars="200"/>
        <w:jc w:val="left"/>
        <w:textAlignment w:val="auto"/>
        <w:outlineLvl w:val="9"/>
        <w:rPr>
          <w:rFonts w:hint="eastAsia" w:ascii="仿宋" w:hAnsi="仿宋" w:eastAsia="仿宋" w:cs="仿宋"/>
          <w:b w:val="0"/>
          <w:bCs w:val="0"/>
          <w:kern w:val="0"/>
          <w:szCs w:val="21"/>
          <w:highlight w:val="none"/>
          <w:lang w:eastAsia="zh-CN"/>
        </w:rPr>
      </w:pP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lang w:val="en-US" w:eastAsia="zh-CN"/>
        </w:rPr>
        <w:t>8）</w:t>
      </w:r>
      <w:r>
        <w:rPr>
          <w:rFonts w:hint="eastAsia" w:ascii="仿宋" w:hAnsi="仿宋" w:eastAsia="仿宋" w:cs="仿宋"/>
          <w:b w:val="0"/>
          <w:bCs w:val="0"/>
          <w:kern w:val="0"/>
          <w:szCs w:val="21"/>
          <w:highlight w:val="none"/>
        </w:rPr>
        <w:t>配合</w:t>
      </w:r>
      <w:r>
        <w:rPr>
          <w:rFonts w:hint="eastAsia" w:ascii="仿宋" w:hAnsi="仿宋" w:eastAsia="仿宋" w:cs="仿宋"/>
          <w:b w:val="0"/>
          <w:bCs w:val="0"/>
          <w:kern w:val="0"/>
          <w:szCs w:val="21"/>
          <w:highlight w:val="none"/>
          <w:lang w:eastAsia="zh-CN"/>
        </w:rPr>
        <w:t>发包人</w:t>
      </w:r>
      <w:r>
        <w:rPr>
          <w:rFonts w:hint="eastAsia" w:ascii="仿宋" w:hAnsi="仿宋" w:eastAsia="仿宋" w:cs="仿宋"/>
          <w:b w:val="0"/>
          <w:bCs w:val="0"/>
          <w:kern w:val="0"/>
          <w:szCs w:val="21"/>
          <w:highlight w:val="none"/>
        </w:rPr>
        <w:t>处理与本项目有关的日常信访、12345热线投诉，以及公安</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交通、路政、属地监督等第三方反馈的各类</w:t>
      </w:r>
      <w:r>
        <w:rPr>
          <w:rFonts w:hint="eastAsia" w:ascii="仿宋" w:hAnsi="仿宋" w:eastAsia="仿宋" w:cs="仿宋"/>
          <w:b w:val="0"/>
          <w:bCs w:val="0"/>
          <w:kern w:val="0"/>
          <w:szCs w:val="21"/>
          <w:highlight w:val="none"/>
          <w:lang w:eastAsia="zh-CN"/>
        </w:rPr>
        <w:t>施工</w:t>
      </w:r>
      <w:r>
        <w:rPr>
          <w:rFonts w:hint="eastAsia" w:ascii="仿宋" w:hAnsi="仿宋" w:eastAsia="仿宋" w:cs="仿宋"/>
          <w:b w:val="0"/>
          <w:bCs w:val="0"/>
          <w:kern w:val="0"/>
          <w:szCs w:val="21"/>
          <w:highlight w:val="none"/>
        </w:rPr>
        <w:t>问题</w:t>
      </w:r>
      <w:r>
        <w:rPr>
          <w:rFonts w:hint="eastAsia" w:ascii="仿宋" w:hAnsi="仿宋" w:eastAsia="仿宋" w:cs="仿宋"/>
          <w:b w:val="0"/>
          <w:bCs w:val="0"/>
          <w:kern w:val="0"/>
          <w:szCs w:val="21"/>
          <w:highlight w:val="none"/>
          <w:lang w:eastAsia="zh-CN"/>
        </w:rPr>
        <w:t>。</w:t>
      </w:r>
    </w:p>
    <w:p>
      <w:pPr>
        <w:pageBreakBefore w:val="0"/>
        <w:widowControl/>
        <w:kinsoku/>
        <w:wordWrap/>
        <w:overflowPunct/>
        <w:topLinePunct w:val="0"/>
        <w:bidi w:val="0"/>
        <w:adjustRightInd/>
        <w:snapToGrid/>
        <w:spacing w:line="240" w:lineRule="auto"/>
        <w:ind w:firstLine="420" w:firstLineChars="200"/>
        <w:jc w:val="left"/>
        <w:textAlignment w:val="auto"/>
        <w:outlineLvl w:val="9"/>
        <w:rPr>
          <w:rFonts w:hint="eastAsia" w:ascii="仿宋" w:hAnsi="仿宋" w:eastAsia="仿宋" w:cs="仿宋"/>
          <w:b w:val="0"/>
          <w:bCs w:val="0"/>
          <w:kern w:val="0"/>
          <w:szCs w:val="21"/>
          <w:highlight w:val="none"/>
          <w:lang w:eastAsia="zh-CN"/>
        </w:rPr>
      </w:pPr>
      <w:r>
        <w:rPr>
          <w:rFonts w:hint="eastAsia" w:ascii="仿宋" w:hAnsi="仿宋" w:eastAsia="仿宋" w:cs="仿宋"/>
          <w:b w:val="0"/>
          <w:bCs w:val="0"/>
          <w:kern w:val="0"/>
          <w:szCs w:val="21"/>
          <w:highlight w:val="none"/>
          <w:lang w:val="en-US" w:eastAsia="zh-CN"/>
        </w:rPr>
        <w:t>2.2.10 如发包人就本合同项目全部或部分委托了建设管理服务单位，应在专用条款中明确。监理人须按发包人要求接受建设管理服务单位的管理。本合同或施工合同等约定需发包人审批、同意、确认、认可、批准或回复的相关事宜或文件资料，监理人应先通过建设管理服务单位审核后报发包人，监理人应根据审核流程自行把控时间，保证不超过合同约定上报发包人的期限。</w:t>
      </w:r>
    </w:p>
    <w:p>
      <w:pPr>
        <w:pStyle w:val="39"/>
        <w:bidi w:val="0"/>
        <w:rPr>
          <w:rFonts w:hint="eastAsia" w:ascii="仿宋" w:hAnsi="仿宋"/>
        </w:rPr>
      </w:pPr>
      <w:bookmarkStart w:id="58" w:name="_Toc18875280"/>
      <w:bookmarkStart w:id="59" w:name="_Toc525589023"/>
      <w:bookmarkStart w:id="60" w:name="_Toc1732977853"/>
      <w:r>
        <w:rPr>
          <w:rFonts w:hint="eastAsia" w:ascii="仿宋" w:hAnsi="仿宋"/>
        </w:rPr>
        <w:t>2.3 项目监理机构和人员</w:t>
      </w:r>
      <w:bookmarkEnd w:id="58"/>
      <w:bookmarkEnd w:id="59"/>
      <w:bookmarkEnd w:id="60"/>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2.3.1 监理机构组建</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（1）监理人应按专用条款约定组建、配备项目监理机构，项目监理机构的监理人员应专业配套，并保证充足的监理人员从事本合同约定及</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要求的全部监理工作。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（2）监理</w:t>
      </w:r>
      <w:r>
        <w:rPr>
          <w:rFonts w:hint="eastAsia" w:ascii="仿宋" w:hAnsi="仿宋" w:eastAsia="仿宋" w:cs="仿宋"/>
          <w:kern w:val="0"/>
          <w:szCs w:val="21"/>
          <w:highlight w:val="none"/>
          <w:lang w:eastAsia="zh-CN"/>
        </w:rPr>
        <w:t>人</w:t>
      </w:r>
      <w:r>
        <w:rPr>
          <w:rFonts w:hint="eastAsia" w:ascii="仿宋" w:hAnsi="仿宋" w:eastAsia="仿宋" w:cs="仿宋"/>
          <w:kern w:val="0"/>
          <w:szCs w:val="21"/>
          <w:highlight w:val="none"/>
        </w:rPr>
        <w:t>员，应包括总监理工程师、专业监理工程师、</w:t>
      </w:r>
      <w:r>
        <w:rPr>
          <w:rFonts w:hint="eastAsia" w:ascii="仿宋" w:hAnsi="仿宋" w:eastAsia="仿宋" w:cs="仿宋"/>
          <w:kern w:val="0"/>
          <w:szCs w:val="21"/>
          <w:highlight w:val="none"/>
          <w:lang w:eastAsia="zh-CN"/>
        </w:rPr>
        <w:t>监理员、</w:t>
      </w:r>
      <w:r>
        <w:rPr>
          <w:rFonts w:hint="eastAsia" w:ascii="仿宋" w:hAnsi="仿宋" w:eastAsia="仿宋" w:cs="仿宋"/>
          <w:kern w:val="0"/>
          <w:szCs w:val="21"/>
          <w:highlight w:val="none"/>
        </w:rPr>
        <w:t>造价人员和内业资料员，必要时可配备总监理工程师代表。本合同实行总监理工程师负责制，由总监理工程师或总监理工程师代表负责与</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进行正常工作联系。</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（3）监理</w:t>
      </w:r>
      <w:r>
        <w:rPr>
          <w:rFonts w:hint="eastAsia" w:ascii="仿宋" w:hAnsi="仿宋" w:eastAsia="仿宋" w:cs="仿宋"/>
          <w:kern w:val="0"/>
          <w:szCs w:val="21"/>
          <w:highlight w:val="none"/>
          <w:lang w:eastAsia="zh-CN"/>
        </w:rPr>
        <w:t>人</w:t>
      </w:r>
      <w:r>
        <w:rPr>
          <w:rFonts w:hint="eastAsia" w:ascii="仿宋" w:hAnsi="仿宋" w:eastAsia="仿宋" w:cs="仿宋"/>
          <w:kern w:val="0"/>
          <w:szCs w:val="21"/>
          <w:highlight w:val="none"/>
        </w:rPr>
        <w:t>员应当按照专用条款约定的时间进场，并在本合同授权范围内行使合同约定的权利，履行相应的职责。</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2.3.2 监理人员职业道德</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监理人必须加强监理人员职业操守的教育，并应严格要求本项目监理人员遵守监理人员职业道德守则及以下内容：</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（1）禁止向</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及</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单位推销材料、设备，或以倾向性、排他性变相推销；</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（2）禁止与</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单位串通，对不合格材料、产品、工程进行包庇及验收；</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（3）禁止与</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w:t>
      </w:r>
      <w:r>
        <w:rPr>
          <w:rFonts w:hint="eastAsia" w:ascii="仿宋" w:hAnsi="仿宋" w:eastAsia="仿宋" w:cs="仿宋"/>
          <w:kern w:val="0"/>
          <w:szCs w:val="21"/>
          <w:highlight w:val="none"/>
          <w:lang w:eastAsia="zh-CN"/>
        </w:rPr>
        <w:t>、服务单位等</w:t>
      </w:r>
      <w:r>
        <w:rPr>
          <w:rFonts w:hint="eastAsia" w:ascii="仿宋" w:hAnsi="仿宋" w:eastAsia="仿宋" w:cs="仿宋"/>
          <w:kern w:val="0"/>
          <w:szCs w:val="21"/>
          <w:highlight w:val="none"/>
        </w:rPr>
        <w:t>串通，对工程量</w:t>
      </w:r>
      <w:r>
        <w:rPr>
          <w:rFonts w:hint="eastAsia" w:ascii="仿宋" w:hAnsi="仿宋" w:eastAsia="仿宋" w:cs="仿宋"/>
          <w:kern w:val="0"/>
          <w:szCs w:val="21"/>
          <w:highlight w:val="none"/>
          <w:lang w:eastAsia="zh-CN"/>
        </w:rPr>
        <w:t>（工作量）</w:t>
      </w:r>
      <w:r>
        <w:rPr>
          <w:rFonts w:hint="eastAsia" w:ascii="仿宋" w:hAnsi="仿宋" w:eastAsia="仿宋" w:cs="仿宋"/>
          <w:kern w:val="0"/>
          <w:szCs w:val="21"/>
          <w:highlight w:val="none"/>
        </w:rPr>
        <w:t>进行虚假签认；</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（4）禁止与</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单位串通，不合理提高施工难度及增加材料用量，以增大</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费用，获取不正当收益；</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（5）禁止接受</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w:t>
      </w:r>
      <w:r>
        <w:rPr>
          <w:rFonts w:hint="eastAsia" w:ascii="仿宋" w:hAnsi="仿宋" w:eastAsia="仿宋" w:cs="仿宋"/>
          <w:kern w:val="0"/>
          <w:szCs w:val="21"/>
          <w:highlight w:val="none"/>
          <w:lang w:eastAsia="zh-CN"/>
        </w:rPr>
        <w:t>、项目服务单位等</w:t>
      </w:r>
      <w:r>
        <w:rPr>
          <w:rFonts w:hint="eastAsia" w:ascii="仿宋" w:hAnsi="仿宋" w:eastAsia="仿宋" w:cs="仿宋"/>
          <w:kern w:val="0"/>
          <w:szCs w:val="21"/>
          <w:highlight w:val="none"/>
        </w:rPr>
        <w:t>请吃送礼，或变相受礼；</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（6）禁止</w:t>
      </w:r>
      <w:r>
        <w:rPr>
          <w:rFonts w:hint="eastAsia" w:ascii="仿宋" w:hAnsi="仿宋" w:eastAsia="仿宋" w:cs="仿宋"/>
          <w:kern w:val="0"/>
          <w:szCs w:val="21"/>
          <w:highlight w:val="none"/>
          <w:lang w:eastAsia="zh-CN"/>
        </w:rPr>
        <w:t>利用监理职权对施工</w:t>
      </w:r>
      <w:r>
        <w:rPr>
          <w:rFonts w:hint="eastAsia" w:ascii="仿宋" w:hAnsi="仿宋" w:eastAsia="仿宋" w:cs="仿宋"/>
          <w:kern w:val="0"/>
          <w:szCs w:val="21"/>
          <w:highlight w:val="none"/>
        </w:rPr>
        <w:t>单位</w:t>
      </w:r>
      <w:r>
        <w:rPr>
          <w:rFonts w:hint="eastAsia" w:ascii="仿宋" w:hAnsi="仿宋" w:eastAsia="仿宋" w:cs="仿宋"/>
          <w:kern w:val="0"/>
          <w:szCs w:val="21"/>
          <w:highlight w:val="none"/>
          <w:lang w:eastAsia="zh-CN"/>
        </w:rPr>
        <w:t>、项目服务单位等</w:t>
      </w:r>
      <w:r>
        <w:rPr>
          <w:rFonts w:hint="eastAsia" w:ascii="仿宋" w:hAnsi="仿宋" w:eastAsia="仿宋" w:cs="仿宋"/>
          <w:kern w:val="0"/>
          <w:szCs w:val="21"/>
          <w:highlight w:val="none"/>
        </w:rPr>
        <w:t>谋取</w:t>
      </w:r>
      <w:r>
        <w:rPr>
          <w:rFonts w:hint="eastAsia" w:ascii="仿宋" w:hAnsi="仿宋" w:eastAsia="仿宋" w:cs="仿宋"/>
          <w:kern w:val="0"/>
          <w:szCs w:val="21"/>
          <w:highlight w:val="none"/>
          <w:lang w:eastAsia="zh-CN"/>
        </w:rPr>
        <w:t>不正当利益</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eastAsia="zh-CN"/>
        </w:rPr>
        <w:t>或</w:t>
      </w:r>
      <w:r>
        <w:rPr>
          <w:rFonts w:hint="eastAsia" w:ascii="仿宋" w:hAnsi="仿宋" w:eastAsia="仿宋" w:cs="仿宋"/>
          <w:kern w:val="0"/>
          <w:szCs w:val="21"/>
          <w:highlight w:val="none"/>
        </w:rPr>
        <w:t>损害</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的合法利益</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7</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禁止使用施工单位</w:t>
      </w:r>
      <w:r>
        <w:rPr>
          <w:rFonts w:hint="eastAsia" w:ascii="仿宋" w:hAnsi="仿宋" w:eastAsia="仿宋" w:cs="仿宋"/>
          <w:kern w:val="0"/>
          <w:szCs w:val="21"/>
          <w:highlight w:val="none"/>
          <w:lang w:eastAsia="zh-CN"/>
        </w:rPr>
        <w:t>提供的</w:t>
      </w:r>
      <w:r>
        <w:rPr>
          <w:rFonts w:hint="eastAsia" w:ascii="仿宋" w:hAnsi="仿宋" w:eastAsia="仿宋" w:cs="仿宋"/>
          <w:kern w:val="0"/>
          <w:szCs w:val="21"/>
          <w:highlight w:val="none"/>
        </w:rPr>
        <w:t>办公场所及宿舍。</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2.3.3 监理人员更换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（1）监理人必须保证参与本项目监理人员的稳定性，未事先征得</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书面同意不可撤换，否则应承担违约责任。</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（2）监理人</w:t>
      </w:r>
      <w:r>
        <w:rPr>
          <w:rFonts w:hint="eastAsia" w:ascii="仿宋" w:hAnsi="仿宋" w:eastAsia="仿宋" w:cs="仿宋"/>
          <w:kern w:val="0"/>
          <w:szCs w:val="21"/>
          <w:highlight w:val="none"/>
          <w:lang w:eastAsia="zh-CN"/>
        </w:rPr>
        <w:t>更换</w:t>
      </w:r>
      <w:r>
        <w:rPr>
          <w:rFonts w:hint="eastAsia" w:ascii="仿宋" w:hAnsi="仿宋" w:eastAsia="仿宋" w:cs="仿宋"/>
          <w:kern w:val="0"/>
          <w:szCs w:val="21"/>
          <w:highlight w:val="none"/>
        </w:rPr>
        <w:t>总监理工程师，须符合《广州市住房和城乡建设局关于加强建筑工程项目负责人管理的通知》（穗建质规字〔2020〕32号</w:t>
      </w:r>
      <w:r>
        <w:rPr>
          <w:rFonts w:hint="eastAsia" w:ascii="仿宋" w:hAnsi="仿宋" w:eastAsia="仿宋" w:cs="仿宋"/>
          <w:kern w:val="0"/>
          <w:szCs w:val="21"/>
          <w:highlight w:val="none"/>
          <w:lang w:eastAsia="zh-CN"/>
        </w:rPr>
        <w:t>，如规定有更新，按合同履行期间适时有效的规定执行</w:t>
      </w:r>
      <w:r>
        <w:rPr>
          <w:rFonts w:hint="eastAsia" w:ascii="仿宋" w:hAnsi="仿宋" w:eastAsia="仿宋" w:cs="仿宋"/>
          <w:kern w:val="0"/>
          <w:szCs w:val="21"/>
          <w:highlight w:val="none"/>
        </w:rPr>
        <w:t>）的要求，并提供有效的证明资料，</w:t>
      </w:r>
      <w:r>
        <w:rPr>
          <w:rFonts w:hint="eastAsia" w:ascii="仿宋" w:hAnsi="仿宋" w:eastAsia="仿宋" w:cs="仿宋"/>
          <w:kern w:val="0"/>
          <w:szCs w:val="21"/>
          <w:highlight w:val="none"/>
          <w:lang w:eastAsia="zh-CN"/>
        </w:rPr>
        <w:t>按发包人要求</w:t>
      </w:r>
      <w:r>
        <w:rPr>
          <w:rFonts w:hint="eastAsia" w:ascii="仿宋" w:hAnsi="仿宋" w:eastAsia="仿宋" w:cs="仿宋"/>
          <w:kern w:val="0"/>
          <w:szCs w:val="21"/>
          <w:highlight w:val="none"/>
        </w:rPr>
        <w:t>提前向</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书面提出并征得发包人同意，发包人有权要求新更换的总监理工程师进行面试答辩</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拟更换的总监理工程师，需通过发包人的考察期后方可正式更换</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监理人因工作安排或其他原因需要更换</w:t>
      </w:r>
      <w:r>
        <w:rPr>
          <w:rFonts w:hint="eastAsia" w:ascii="仿宋" w:hAnsi="仿宋" w:eastAsia="仿宋" w:cs="仿宋"/>
          <w:kern w:val="0"/>
          <w:szCs w:val="21"/>
          <w:highlight w:val="none"/>
          <w:lang w:val="en-US" w:eastAsia="zh-CN"/>
        </w:rPr>
        <w:t>其他</w:t>
      </w:r>
      <w:r>
        <w:rPr>
          <w:rFonts w:hint="eastAsia" w:ascii="仿宋" w:hAnsi="仿宋" w:eastAsia="仿宋" w:cs="仿宋"/>
          <w:kern w:val="0"/>
          <w:szCs w:val="21"/>
          <w:highlight w:val="none"/>
        </w:rPr>
        <w:t>监理人员的，应提前一个月向</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书面提出并取得</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同意</w:t>
      </w:r>
      <w:r>
        <w:rPr>
          <w:rFonts w:hint="eastAsia" w:ascii="仿宋" w:hAnsi="仿宋" w:eastAsia="仿宋" w:cs="仿宋"/>
          <w:kern w:val="0"/>
          <w:szCs w:val="21"/>
          <w:highlight w:val="none"/>
          <w:lang w:eastAsia="zh-CN"/>
        </w:rPr>
        <w:t>，且应注明更换人员的必要原因</w:t>
      </w:r>
      <w:r>
        <w:rPr>
          <w:rFonts w:hint="eastAsia" w:ascii="仿宋" w:hAnsi="仿宋" w:eastAsia="仿宋" w:cs="仿宋"/>
          <w:kern w:val="0"/>
          <w:szCs w:val="21"/>
          <w:highlight w:val="none"/>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监理人更换</w:t>
      </w:r>
      <w:r>
        <w:rPr>
          <w:rFonts w:hint="eastAsia" w:ascii="仿宋" w:hAnsi="仿宋" w:eastAsia="仿宋" w:cs="仿宋"/>
          <w:kern w:val="0"/>
          <w:szCs w:val="21"/>
          <w:highlight w:val="none"/>
          <w:lang w:val="en-US" w:eastAsia="zh-CN"/>
        </w:rPr>
        <w:t>第2.2.1项要求的</w:t>
      </w:r>
      <w:r>
        <w:rPr>
          <w:rFonts w:hint="eastAsia" w:ascii="仿宋" w:hAnsi="仿宋" w:eastAsia="仿宋" w:cs="仿宋"/>
          <w:kern w:val="0"/>
          <w:szCs w:val="21"/>
          <w:highlight w:val="none"/>
          <w:lang w:eastAsia="zh-CN"/>
        </w:rPr>
        <w:t>驻场</w:t>
      </w:r>
      <w:r>
        <w:rPr>
          <w:rFonts w:hint="eastAsia" w:ascii="仿宋" w:hAnsi="仿宋" w:eastAsia="仿宋" w:cs="仿宋"/>
          <w:kern w:val="0"/>
          <w:szCs w:val="21"/>
          <w:highlight w:val="none"/>
        </w:rPr>
        <w:t>人员</w:t>
      </w:r>
      <w:r>
        <w:rPr>
          <w:rFonts w:hint="eastAsia" w:ascii="仿宋" w:hAnsi="仿宋" w:eastAsia="仿宋" w:cs="仿宋"/>
          <w:kern w:val="0"/>
          <w:szCs w:val="21"/>
          <w:highlight w:val="none"/>
          <w:lang w:eastAsia="zh-CN"/>
        </w:rPr>
        <w:t>的，</w:t>
      </w:r>
      <w:r>
        <w:rPr>
          <w:rFonts w:hint="eastAsia" w:ascii="仿宋" w:hAnsi="仿宋" w:eastAsia="仿宋" w:cs="仿宋"/>
          <w:kern w:val="0"/>
          <w:szCs w:val="21"/>
          <w:highlight w:val="none"/>
        </w:rPr>
        <w:t>应提前</w:t>
      </w:r>
      <w:r>
        <w:rPr>
          <w:rFonts w:hint="eastAsia" w:ascii="仿宋" w:hAnsi="仿宋" w:eastAsia="仿宋" w:cs="仿宋"/>
          <w:kern w:val="0"/>
          <w:szCs w:val="21"/>
          <w:highlight w:val="none"/>
          <w:lang w:eastAsia="zh-CN"/>
        </w:rPr>
        <w:t>至少</w:t>
      </w:r>
      <w:r>
        <w:rPr>
          <w:rFonts w:hint="eastAsia" w:ascii="仿宋" w:hAnsi="仿宋" w:eastAsia="仿宋" w:cs="仿宋"/>
          <w:kern w:val="0"/>
          <w:szCs w:val="21"/>
          <w:highlight w:val="none"/>
          <w:lang w:val="en-US" w:eastAsia="zh-CN"/>
        </w:rPr>
        <w:t>7天</w:t>
      </w:r>
      <w:r>
        <w:rPr>
          <w:rFonts w:hint="eastAsia" w:ascii="仿宋" w:hAnsi="仿宋" w:eastAsia="仿宋" w:cs="仿宋"/>
          <w:kern w:val="0"/>
          <w:szCs w:val="21"/>
          <w:highlight w:val="none"/>
        </w:rPr>
        <w:t>向</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书面提出并取得</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同意，</w:t>
      </w:r>
      <w:r>
        <w:rPr>
          <w:rFonts w:hint="eastAsia" w:ascii="仿宋" w:hAnsi="仿宋" w:eastAsia="仿宋" w:cs="仿宋"/>
          <w:kern w:val="0"/>
          <w:szCs w:val="21"/>
          <w:highlight w:val="none"/>
          <w:lang w:eastAsia="zh-CN"/>
        </w:rPr>
        <w:t>且须</w:t>
      </w:r>
      <w:r>
        <w:rPr>
          <w:rFonts w:hint="eastAsia" w:ascii="仿宋" w:hAnsi="仿宋" w:eastAsia="仿宋" w:cs="仿宋"/>
          <w:kern w:val="0"/>
          <w:szCs w:val="21"/>
          <w:highlight w:val="none"/>
        </w:rPr>
        <w:t>对替代的</w:t>
      </w:r>
      <w:r>
        <w:rPr>
          <w:rFonts w:hint="eastAsia" w:ascii="仿宋" w:hAnsi="仿宋" w:eastAsia="仿宋" w:cs="仿宋"/>
          <w:kern w:val="0"/>
          <w:szCs w:val="21"/>
          <w:highlight w:val="none"/>
          <w:lang w:eastAsia="zh-CN"/>
        </w:rPr>
        <w:t>驻场</w:t>
      </w:r>
      <w:r>
        <w:rPr>
          <w:rFonts w:hint="eastAsia" w:ascii="仿宋" w:hAnsi="仿宋" w:eastAsia="仿宋" w:cs="仿宋"/>
          <w:kern w:val="0"/>
          <w:szCs w:val="21"/>
          <w:highlight w:val="none"/>
        </w:rPr>
        <w:t>人员做好岗前培训及工作交接。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（3）监理人员存在以下情形之一的，</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有权要求监理人更换相关监理人员，且监理人应按照本合同约定承担违约责任：</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①监理人员</w:t>
      </w:r>
      <w:r>
        <w:rPr>
          <w:rFonts w:hint="eastAsia" w:ascii="仿宋" w:hAnsi="仿宋" w:eastAsia="仿宋" w:cs="仿宋"/>
          <w:kern w:val="0"/>
          <w:szCs w:val="21"/>
          <w:highlight w:val="none"/>
          <w:lang w:eastAsia="zh-CN"/>
        </w:rPr>
        <w:t>不能胜任工作、对监理工作不负责任、未</w:t>
      </w:r>
      <w:r>
        <w:rPr>
          <w:rFonts w:hint="eastAsia" w:ascii="仿宋" w:hAnsi="仿宋" w:eastAsia="仿宋" w:cs="仿宋"/>
          <w:kern w:val="0"/>
          <w:szCs w:val="21"/>
          <w:highlight w:val="none"/>
        </w:rPr>
        <w:t>按合同约定履行监理职责或工作不力的；</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②监理人员违反监理职业道德。</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（4）不论是</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要求或同意更换监理人员的，替代人员的资质、能力应事先获得</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认可</w:t>
      </w:r>
      <w:r>
        <w:rPr>
          <w:rFonts w:hint="eastAsia" w:ascii="仿宋" w:hAnsi="仿宋" w:eastAsia="仿宋" w:cs="仿宋"/>
          <w:kern w:val="0"/>
          <w:szCs w:val="21"/>
          <w:highlight w:val="none"/>
          <w:lang w:val="en-US" w:eastAsia="zh-CN"/>
        </w:rPr>
        <w:t>且</w:t>
      </w:r>
      <w:r>
        <w:rPr>
          <w:rFonts w:hint="eastAsia" w:ascii="仿宋" w:hAnsi="仿宋" w:eastAsia="仿宋" w:cs="仿宋"/>
          <w:kern w:val="0"/>
          <w:szCs w:val="21"/>
          <w:highlight w:val="none"/>
        </w:rPr>
        <w:t>不得低于投标</w:t>
      </w:r>
      <w:r>
        <w:rPr>
          <w:rFonts w:hint="eastAsia" w:ascii="仿宋" w:hAnsi="仿宋" w:eastAsia="仿宋" w:cs="仿宋"/>
          <w:kern w:val="0"/>
          <w:szCs w:val="21"/>
          <w:highlight w:val="none"/>
          <w:lang w:eastAsia="zh-CN"/>
        </w:rPr>
        <w:t>文件（或报价文件，下同）</w:t>
      </w:r>
      <w:r>
        <w:rPr>
          <w:rFonts w:hint="eastAsia" w:ascii="仿宋" w:hAnsi="仿宋" w:eastAsia="仿宋" w:cs="仿宋"/>
          <w:kern w:val="0"/>
          <w:szCs w:val="21"/>
          <w:highlight w:val="none"/>
        </w:rPr>
        <w:t>中所承诺人员的</w:t>
      </w:r>
      <w:r>
        <w:rPr>
          <w:rFonts w:hint="eastAsia" w:ascii="仿宋" w:hAnsi="仿宋" w:eastAsia="仿宋" w:cs="仿宋"/>
          <w:kern w:val="0"/>
          <w:szCs w:val="21"/>
          <w:highlight w:val="none"/>
          <w:lang w:eastAsia="zh-CN"/>
        </w:rPr>
        <w:t>条件</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eastAsia="zh-CN"/>
        </w:rPr>
        <w:t>替代人员应为监理人正式聘用的员工，</w:t>
      </w:r>
      <w:r>
        <w:rPr>
          <w:rFonts w:hint="eastAsia" w:ascii="仿宋" w:hAnsi="仿宋" w:eastAsia="仿宋" w:cs="仿宋"/>
          <w:kern w:val="0"/>
          <w:szCs w:val="21"/>
          <w:highlight w:val="none"/>
        </w:rPr>
        <w:t>因更换人员引起的费用</w:t>
      </w:r>
      <w:r>
        <w:rPr>
          <w:rFonts w:hint="eastAsia" w:ascii="仿宋" w:hAnsi="仿宋" w:eastAsia="仿宋" w:cs="仿宋"/>
          <w:kern w:val="0"/>
          <w:szCs w:val="21"/>
          <w:highlight w:val="none"/>
          <w:lang w:eastAsia="zh-CN"/>
        </w:rPr>
        <w:t>、延误的工期或违约责任</w:t>
      </w:r>
      <w:r>
        <w:rPr>
          <w:rFonts w:hint="eastAsia" w:ascii="仿宋" w:hAnsi="仿宋" w:eastAsia="仿宋" w:cs="仿宋"/>
          <w:kern w:val="0"/>
          <w:szCs w:val="21"/>
          <w:highlight w:val="none"/>
        </w:rPr>
        <w:t>由监理人承担。</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2.3.4 如</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认为监理人员数量、监理人员的业务水平、监理人员的专业配置不能满足监理工作所需时，</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有权另行聘请符合工作需要的监理人员；所聘请监理人员的工资已包括在本合同监理酬金内，此费用由监理人向所聘监理人员支付。必要时</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有权从本合同监理酬金中直接支付。</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2.3.5 监理人员必须</w:t>
      </w:r>
      <w:r>
        <w:rPr>
          <w:rFonts w:hint="eastAsia" w:ascii="仿宋" w:hAnsi="仿宋" w:eastAsia="仿宋" w:cs="仿宋"/>
          <w:kern w:val="0"/>
          <w:szCs w:val="21"/>
          <w:highlight w:val="none"/>
          <w:lang w:eastAsia="zh-CN"/>
        </w:rPr>
        <w:t>按发包人要求</w:t>
      </w:r>
      <w:r>
        <w:rPr>
          <w:rFonts w:hint="eastAsia" w:ascii="仿宋" w:hAnsi="仿宋" w:eastAsia="仿宋" w:cs="仿宋"/>
          <w:kern w:val="0"/>
          <w:szCs w:val="21"/>
          <w:highlight w:val="none"/>
        </w:rPr>
        <w:t>常驻项目所在地</w:t>
      </w:r>
      <w:r>
        <w:rPr>
          <w:rFonts w:hint="eastAsia" w:ascii="仿宋" w:hAnsi="仿宋" w:eastAsia="仿宋" w:cs="仿宋"/>
          <w:kern w:val="0"/>
          <w:szCs w:val="21"/>
          <w:highlight w:val="none"/>
          <w:lang w:eastAsia="zh-CN"/>
        </w:rPr>
        <w:t>、发包人办公地点</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eastAsia="zh-CN"/>
        </w:rPr>
        <w:t>熟悉项目管理有关的表格、要求、相关规定等，并配合做好发包人要求的相关工作。驻地监理人员应按</w:t>
      </w:r>
      <w:r>
        <w:rPr>
          <w:rFonts w:hint="eastAsia" w:ascii="仿宋" w:hAnsi="仿宋" w:eastAsia="仿宋" w:cs="仿宋"/>
          <w:kern w:val="0"/>
          <w:szCs w:val="21"/>
          <w:highlight w:val="none"/>
        </w:rPr>
        <w:t>《广东省住房和城乡建设厅关于进一步强化用工实名制管理促进在建房屋市政工程项目现场关键岗位管理人员到岗履职的通知》（粤建市函[2021]755号）</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如有新</w:t>
      </w:r>
      <w:r>
        <w:rPr>
          <w:rFonts w:hint="eastAsia" w:ascii="仿宋" w:hAnsi="仿宋" w:eastAsia="仿宋" w:cs="仿宋"/>
          <w:kern w:val="0"/>
          <w:szCs w:val="21"/>
          <w:highlight w:val="none"/>
          <w:lang w:eastAsia="zh-CN"/>
        </w:rPr>
        <w:t>规定</w:t>
      </w:r>
      <w:r>
        <w:rPr>
          <w:rFonts w:hint="eastAsia" w:ascii="仿宋" w:hAnsi="仿宋" w:eastAsia="仿宋" w:cs="仿宋"/>
          <w:kern w:val="0"/>
          <w:szCs w:val="21"/>
          <w:highlight w:val="none"/>
        </w:rPr>
        <w:t>，按适时有效的新规定执行</w:t>
      </w:r>
      <w:r>
        <w:rPr>
          <w:rFonts w:hint="eastAsia" w:ascii="仿宋" w:hAnsi="仿宋" w:eastAsia="仿宋" w:cs="仿宋"/>
          <w:kern w:val="0"/>
          <w:szCs w:val="21"/>
          <w:highlight w:val="none"/>
          <w:lang w:eastAsia="zh-CN"/>
        </w:rPr>
        <w:t>）在</w:t>
      </w:r>
      <w:r>
        <w:rPr>
          <w:rFonts w:hint="eastAsia" w:ascii="仿宋" w:hAnsi="仿宋" w:eastAsia="仿宋" w:cs="仿宋"/>
          <w:kern w:val="0"/>
          <w:szCs w:val="21"/>
          <w:highlight w:val="none"/>
        </w:rPr>
        <w:t>工程建设管理</w:t>
      </w:r>
      <w:r>
        <w:rPr>
          <w:rFonts w:hint="eastAsia" w:ascii="仿宋" w:hAnsi="仿宋" w:eastAsia="仿宋" w:cs="仿宋"/>
          <w:kern w:val="0"/>
          <w:szCs w:val="21"/>
          <w:highlight w:val="none"/>
          <w:lang w:eastAsia="zh-CN"/>
        </w:rPr>
        <w:t>系统进行打卡。</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2.3.6 总监理工程师离开项目所在地需报</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批准</w:t>
      </w:r>
      <w:r>
        <w:rPr>
          <w:rFonts w:hint="eastAsia" w:ascii="仿宋" w:hAnsi="仿宋" w:eastAsia="仿宋" w:cs="仿宋"/>
          <w:kern w:val="0"/>
          <w:szCs w:val="21"/>
          <w:highlight w:val="none"/>
          <w:lang w:eastAsia="zh-CN"/>
        </w:rPr>
        <w:t>，否则</w:t>
      </w:r>
      <w:r>
        <w:rPr>
          <w:rFonts w:hint="eastAsia" w:ascii="仿宋" w:hAnsi="仿宋" w:eastAsia="仿宋" w:cs="仿宋"/>
          <w:kern w:val="0"/>
          <w:szCs w:val="21"/>
          <w:highlight w:val="none"/>
          <w:lang w:val="en-US" w:eastAsia="zh-CN"/>
        </w:rPr>
        <w:t>视为脱岗。</w:t>
      </w:r>
      <w:r>
        <w:rPr>
          <w:rFonts w:hint="eastAsia" w:ascii="仿宋" w:hAnsi="仿宋" w:eastAsia="仿宋" w:cs="仿宋"/>
          <w:kern w:val="0"/>
          <w:szCs w:val="21"/>
          <w:highlight w:val="none"/>
        </w:rPr>
        <w:t>在其请假离开的时间段内应书面委托其他监理工程师（需具有相应资质和能力）全权代表其行使职权。</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 xml:space="preserve"> </w:t>
      </w:r>
      <w:r>
        <w:rPr>
          <w:rFonts w:hint="eastAsia" w:ascii="仿宋" w:hAnsi="仿宋" w:eastAsia="仿宋" w:cs="仿宋"/>
          <w:kern w:val="0"/>
          <w:szCs w:val="21"/>
          <w:highlight w:val="none"/>
          <w:lang w:eastAsia="zh-CN"/>
        </w:rPr>
        <w:t>各专业监理人员离开项目所在地</w:t>
      </w:r>
      <w:r>
        <w:rPr>
          <w:rFonts w:hint="eastAsia" w:ascii="仿宋" w:hAnsi="仿宋" w:eastAsia="仿宋" w:cs="仿宋"/>
          <w:kern w:val="0"/>
          <w:szCs w:val="21"/>
          <w:highlight w:val="none"/>
          <w:lang w:val="en-US" w:eastAsia="zh-CN"/>
        </w:rPr>
        <w:t>1天</w:t>
      </w:r>
      <w:r>
        <w:rPr>
          <w:rFonts w:hint="eastAsia" w:ascii="仿宋" w:hAnsi="仿宋" w:eastAsia="仿宋" w:cs="仿宋"/>
          <w:kern w:val="0"/>
          <w:szCs w:val="21"/>
          <w:highlight w:val="none"/>
          <w:lang w:eastAsia="zh-CN"/>
        </w:rPr>
        <w:t>需</w:t>
      </w:r>
      <w:r>
        <w:rPr>
          <w:rFonts w:hint="eastAsia" w:ascii="仿宋" w:hAnsi="仿宋" w:eastAsia="仿宋" w:cs="仿宋"/>
          <w:kern w:val="0"/>
          <w:szCs w:val="21"/>
          <w:highlight w:val="none"/>
          <w:lang w:val="en-US" w:eastAsia="zh-CN"/>
        </w:rPr>
        <w:t>取得总监理工程师批准，并</w:t>
      </w:r>
      <w:r>
        <w:rPr>
          <w:rFonts w:hint="eastAsia" w:ascii="仿宋" w:hAnsi="仿宋" w:eastAsia="仿宋" w:cs="仿宋"/>
          <w:kern w:val="0"/>
          <w:szCs w:val="21"/>
          <w:highlight w:val="none"/>
          <w:lang w:eastAsia="zh-CN"/>
        </w:rPr>
        <w:t>提前</w:t>
      </w:r>
      <w:r>
        <w:rPr>
          <w:rFonts w:hint="eastAsia" w:ascii="仿宋" w:hAnsi="仿宋" w:eastAsia="仿宋" w:cs="仿宋"/>
          <w:kern w:val="0"/>
          <w:szCs w:val="21"/>
          <w:highlight w:val="none"/>
          <w:lang w:val="en-US" w:eastAsia="zh-CN"/>
        </w:rPr>
        <w:t>2天向发包人报备，未按时向发包人书面报备的，视为脱岗。离开项目所在地2天及以上的，需要得到发包人批准</w:t>
      </w:r>
      <w:r>
        <w:rPr>
          <w:rFonts w:hint="eastAsia" w:ascii="仿宋" w:hAnsi="仿宋" w:eastAsia="仿宋" w:cs="仿宋"/>
          <w:kern w:val="0"/>
          <w:szCs w:val="21"/>
          <w:highlight w:val="none"/>
          <w:lang w:eastAsia="zh-CN"/>
        </w:rPr>
        <w:t>，否则</w:t>
      </w:r>
      <w:r>
        <w:rPr>
          <w:rFonts w:hint="eastAsia" w:ascii="仿宋" w:hAnsi="仿宋" w:eastAsia="仿宋" w:cs="仿宋"/>
          <w:kern w:val="0"/>
          <w:szCs w:val="21"/>
          <w:highlight w:val="none"/>
          <w:lang w:val="en-US" w:eastAsia="zh-CN"/>
        </w:rPr>
        <w:t>视为脱岗。</w:t>
      </w:r>
      <w:r>
        <w:rPr>
          <w:rFonts w:hint="eastAsia" w:ascii="仿宋" w:hAnsi="仿宋" w:eastAsia="仿宋" w:cs="仿宋"/>
          <w:kern w:val="0"/>
          <w:szCs w:val="21"/>
          <w:highlight w:val="none"/>
        </w:rPr>
        <w:t>在其请假离开的时间段内应书面委托其他监理工程师（需具有相应资质和能力）全权代表其行使职权。</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2.3.7 监理人应对其派驻的监理人员人身安全</w:t>
      </w:r>
      <w:r>
        <w:rPr>
          <w:rFonts w:hint="eastAsia" w:ascii="仿宋" w:hAnsi="仿宋" w:eastAsia="仿宋" w:cs="仿宋"/>
          <w:kern w:val="0"/>
          <w:szCs w:val="21"/>
          <w:highlight w:val="none"/>
          <w:lang w:eastAsia="zh-CN"/>
        </w:rPr>
        <w:t>负责，应按相关规定为其监理人员</w:t>
      </w:r>
      <w:r>
        <w:rPr>
          <w:rFonts w:hint="eastAsia" w:ascii="仿宋" w:hAnsi="仿宋" w:eastAsia="仿宋" w:cs="仿宋"/>
          <w:kern w:val="0"/>
          <w:szCs w:val="21"/>
          <w:highlight w:val="none"/>
        </w:rPr>
        <w:t>配置劳动保障用品、购买保险</w:t>
      </w:r>
      <w:r>
        <w:rPr>
          <w:rFonts w:hint="eastAsia" w:ascii="仿宋" w:hAnsi="仿宋" w:eastAsia="仿宋" w:cs="仿宋"/>
          <w:kern w:val="0"/>
          <w:szCs w:val="21"/>
          <w:highlight w:val="none"/>
          <w:lang w:eastAsia="zh-CN"/>
        </w:rPr>
        <w:t>（按需购买人身意外险等）、办理平安卡等</w:t>
      </w:r>
      <w:r>
        <w:rPr>
          <w:rFonts w:hint="eastAsia" w:ascii="仿宋" w:hAnsi="仿宋" w:eastAsia="仿宋" w:cs="仿宋"/>
          <w:kern w:val="0"/>
          <w:szCs w:val="21"/>
          <w:highlight w:val="none"/>
        </w:rPr>
        <w:t>。</w:t>
      </w:r>
    </w:p>
    <w:p>
      <w:pPr>
        <w:pStyle w:val="39"/>
        <w:bidi w:val="0"/>
        <w:rPr>
          <w:rFonts w:hint="eastAsia" w:ascii="仿宋" w:hAnsi="仿宋"/>
        </w:rPr>
      </w:pPr>
      <w:bookmarkStart w:id="61" w:name="_Toc1268173997"/>
      <w:bookmarkStart w:id="62" w:name="_Toc1839552037"/>
      <w:bookmarkStart w:id="63" w:name="_Toc913485482"/>
      <w:r>
        <w:rPr>
          <w:rFonts w:hint="eastAsia" w:ascii="仿宋" w:hAnsi="仿宋"/>
        </w:rPr>
        <w:t>2.4 履行职责</w:t>
      </w:r>
      <w:bookmarkEnd w:id="61"/>
      <w:bookmarkEnd w:id="62"/>
      <w:bookmarkEnd w:id="63"/>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2.4.1 监理人在履行本合同期间，应认真、勤奋地提供监理及相关服务，为</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提供与其水平相适应的咨询意见，公正维护各方面的合法权益。未经发包人</w:t>
      </w:r>
      <w:r>
        <w:rPr>
          <w:rFonts w:hint="eastAsia" w:ascii="仿宋" w:hAnsi="仿宋" w:eastAsia="仿宋" w:cs="仿宋"/>
          <w:kern w:val="0"/>
          <w:szCs w:val="21"/>
          <w:highlight w:val="none"/>
          <w:lang w:eastAsia="zh-CN"/>
        </w:rPr>
        <w:t>书面</w:t>
      </w:r>
      <w:r>
        <w:rPr>
          <w:rFonts w:hint="eastAsia" w:ascii="仿宋" w:hAnsi="仿宋" w:eastAsia="仿宋" w:cs="仿宋"/>
          <w:kern w:val="0"/>
          <w:szCs w:val="21"/>
          <w:highlight w:val="none"/>
        </w:rPr>
        <w:t>同意，监理人不得将本合同</w:t>
      </w:r>
      <w:r>
        <w:rPr>
          <w:rFonts w:hint="eastAsia" w:ascii="仿宋" w:hAnsi="仿宋" w:eastAsia="仿宋" w:cs="仿宋"/>
          <w:kern w:val="0"/>
          <w:szCs w:val="21"/>
          <w:highlight w:val="none"/>
          <w:lang w:eastAsia="zh-CN"/>
        </w:rPr>
        <w:t>任何</w:t>
      </w:r>
      <w:r>
        <w:rPr>
          <w:rFonts w:hint="eastAsia" w:ascii="仿宋" w:hAnsi="仿宋" w:eastAsia="仿宋" w:cs="仿宋"/>
          <w:kern w:val="0"/>
          <w:szCs w:val="21"/>
          <w:highlight w:val="none"/>
        </w:rPr>
        <w:t>权利、义务全部或部分转让予第三方</w:t>
      </w:r>
      <w:r>
        <w:rPr>
          <w:rFonts w:hint="eastAsia" w:ascii="仿宋" w:hAnsi="仿宋" w:eastAsia="仿宋" w:cs="仿宋"/>
          <w:kern w:val="0"/>
          <w:szCs w:val="21"/>
          <w:highlight w:val="none"/>
          <w:lang w:eastAsia="zh-CN"/>
        </w:rPr>
        <w:t>，否则转让无效。</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2.4.2 监理人应在监理范围内对</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负责，在执行和遵守国家有关法律法规的前提下，维护</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的正当权益。</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2.4.3 在委托的项目范围内，</w:t>
      </w:r>
      <w:r>
        <w:rPr>
          <w:rFonts w:hint="eastAsia" w:ascii="仿宋" w:hAnsi="仿宋" w:eastAsia="仿宋" w:cs="仿宋"/>
          <w:kern w:val="0"/>
          <w:szCs w:val="21"/>
          <w:highlight w:val="none"/>
          <w:lang w:eastAsia="zh-CN"/>
        </w:rPr>
        <w:t>监理人应按发包人要求做好协调工作</w:t>
      </w:r>
      <w:r>
        <w:rPr>
          <w:rFonts w:hint="eastAsia" w:ascii="仿宋" w:hAnsi="仿宋" w:eastAsia="仿宋" w:cs="仿宋"/>
          <w:kern w:val="0"/>
          <w:szCs w:val="21"/>
          <w:highlight w:val="none"/>
        </w:rPr>
        <w:t>。当</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和</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单位发生争议时，监理人应根据自己的职能，以独立的身份判断，公正地进行调解。当双方的争议由政府建设行政主管部门调解或仲裁机关仲裁时，应当提供作证的事实材料。</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2.4.4 监理人应按照专用条款约定履行</w:t>
      </w:r>
      <w:r>
        <w:rPr>
          <w:rFonts w:hint="eastAsia" w:ascii="仿宋" w:hAnsi="仿宋" w:eastAsia="仿宋" w:cs="仿宋"/>
          <w:kern w:val="0"/>
          <w:szCs w:val="21"/>
          <w:highlight w:val="none"/>
          <w:lang w:eastAsia="zh-CN"/>
        </w:rPr>
        <w:t>其他</w:t>
      </w:r>
      <w:r>
        <w:rPr>
          <w:rFonts w:hint="eastAsia" w:ascii="仿宋" w:hAnsi="仿宋" w:eastAsia="仿宋" w:cs="仿宋"/>
          <w:kern w:val="0"/>
          <w:szCs w:val="21"/>
          <w:highlight w:val="none"/>
        </w:rPr>
        <w:t>相关职责。</w:t>
      </w:r>
    </w:p>
    <w:p>
      <w:pPr>
        <w:pStyle w:val="39"/>
        <w:bidi w:val="0"/>
        <w:rPr>
          <w:rFonts w:hint="eastAsia" w:ascii="仿宋" w:hAnsi="仿宋"/>
        </w:rPr>
      </w:pPr>
      <w:bookmarkStart w:id="64" w:name="_Toc1623450688"/>
      <w:bookmarkStart w:id="65" w:name="_Toc1167064772"/>
      <w:bookmarkStart w:id="66" w:name="_Toc254144837"/>
      <w:bookmarkStart w:id="67" w:name="_Hlk116840354"/>
      <w:r>
        <w:rPr>
          <w:rFonts w:hint="eastAsia" w:ascii="仿宋" w:hAnsi="仿宋"/>
        </w:rPr>
        <w:t>2.5 提交报告</w:t>
      </w:r>
      <w:bookmarkEnd w:id="64"/>
      <w:bookmarkEnd w:id="65"/>
      <w:bookmarkEnd w:id="66"/>
    </w:p>
    <w:bookmarkEnd w:id="67"/>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监理人按照专用条款约定提交报告，</w:t>
      </w:r>
      <w:r>
        <w:rPr>
          <w:rFonts w:hint="eastAsia" w:ascii="仿宋" w:hAnsi="仿宋" w:eastAsia="仿宋" w:cs="仿宋"/>
          <w:kern w:val="0"/>
          <w:szCs w:val="21"/>
          <w:highlight w:val="none"/>
        </w:rPr>
        <w:t>在履行合同义务期间，定期向</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报告监理工作。</w:t>
      </w:r>
    </w:p>
    <w:p>
      <w:pPr>
        <w:pStyle w:val="39"/>
        <w:bidi w:val="0"/>
        <w:rPr>
          <w:rFonts w:hint="eastAsia" w:ascii="仿宋" w:hAnsi="仿宋"/>
        </w:rPr>
      </w:pPr>
      <w:bookmarkStart w:id="68" w:name="_Toc845098777"/>
      <w:bookmarkStart w:id="69" w:name="_Toc1795522575"/>
      <w:bookmarkStart w:id="70" w:name="_Toc157431274"/>
      <w:r>
        <w:rPr>
          <w:rFonts w:hint="eastAsia" w:ascii="仿宋" w:hAnsi="仿宋"/>
        </w:rPr>
        <w:t>2.6 文件资料</w:t>
      </w:r>
      <w:bookmarkEnd w:id="68"/>
      <w:bookmarkEnd w:id="69"/>
      <w:bookmarkEnd w:id="70"/>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在本合同履行期内，监理人应保留工作所用的图纸、报告及记录监理工作的相关文件；项目</w:t>
      </w:r>
      <w:r>
        <w:rPr>
          <w:rFonts w:hint="eastAsia" w:ascii="仿宋" w:hAnsi="仿宋" w:eastAsia="仿宋" w:cs="仿宋"/>
          <w:kern w:val="0"/>
          <w:szCs w:val="21"/>
          <w:highlight w:val="none"/>
          <w:lang w:eastAsia="zh-CN"/>
        </w:rPr>
        <w:t>移交</w:t>
      </w:r>
      <w:r>
        <w:rPr>
          <w:rFonts w:hint="eastAsia" w:ascii="仿宋" w:hAnsi="仿宋" w:eastAsia="仿宋" w:cs="仿宋"/>
          <w:kern w:val="0"/>
          <w:szCs w:val="21"/>
          <w:highlight w:val="none"/>
        </w:rPr>
        <w:t>时，应当按照档案管理</w:t>
      </w:r>
      <w:r>
        <w:rPr>
          <w:rFonts w:hint="eastAsia" w:ascii="仿宋" w:hAnsi="仿宋" w:eastAsia="仿宋" w:cs="仿宋"/>
          <w:kern w:val="0"/>
          <w:szCs w:val="21"/>
          <w:highlight w:val="none"/>
          <w:lang w:eastAsia="zh-CN"/>
        </w:rPr>
        <w:t>要求</w:t>
      </w:r>
      <w:r>
        <w:rPr>
          <w:rFonts w:hint="eastAsia" w:ascii="仿宋" w:hAnsi="仿宋" w:eastAsia="仿宋" w:cs="仿宋"/>
          <w:kern w:val="0"/>
          <w:szCs w:val="21"/>
          <w:highlight w:val="none"/>
        </w:rPr>
        <w:t>将监理有关文件归档。</w:t>
      </w:r>
    </w:p>
    <w:p>
      <w:pPr>
        <w:pStyle w:val="39"/>
        <w:bidi w:val="0"/>
        <w:rPr>
          <w:rFonts w:hint="eastAsia" w:ascii="仿宋" w:hAnsi="仿宋"/>
        </w:rPr>
      </w:pPr>
      <w:bookmarkStart w:id="71" w:name="_Toc200806335"/>
      <w:bookmarkStart w:id="72" w:name="_Toc200183383"/>
      <w:bookmarkStart w:id="73" w:name="_Toc90091553"/>
      <w:r>
        <w:rPr>
          <w:rFonts w:hint="eastAsia" w:ascii="仿宋" w:hAnsi="仿宋"/>
        </w:rPr>
        <w:t>2.7 使用</w:t>
      </w:r>
      <w:r>
        <w:rPr>
          <w:rFonts w:hint="eastAsia" w:ascii="仿宋" w:hAnsi="仿宋"/>
          <w:lang w:eastAsia="zh-CN"/>
        </w:rPr>
        <w:t>发包人</w:t>
      </w:r>
      <w:r>
        <w:rPr>
          <w:rFonts w:hint="eastAsia" w:ascii="仿宋" w:hAnsi="仿宋"/>
        </w:rPr>
        <w:t>的财产</w:t>
      </w:r>
      <w:bookmarkEnd w:id="71"/>
      <w:bookmarkEnd w:id="72"/>
      <w:bookmarkEnd w:id="73"/>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监理人使用</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提供的设施和物品属</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的财产。在监理工作完成或中止时，应将其设施和剩余的物品按</w:t>
      </w:r>
      <w:r>
        <w:rPr>
          <w:rFonts w:hint="eastAsia" w:ascii="仿宋" w:hAnsi="仿宋" w:eastAsia="仿宋" w:cs="仿宋"/>
          <w:kern w:val="0"/>
          <w:szCs w:val="21"/>
          <w:highlight w:val="none"/>
          <w:lang w:eastAsia="zh-CN"/>
        </w:rPr>
        <w:t>专用条款约定的</w:t>
      </w:r>
      <w:r>
        <w:rPr>
          <w:rFonts w:hint="eastAsia" w:ascii="仿宋" w:hAnsi="仿宋" w:eastAsia="仿宋" w:cs="仿宋"/>
          <w:kern w:val="0"/>
          <w:szCs w:val="21"/>
          <w:highlight w:val="none"/>
        </w:rPr>
        <w:t>时间和方式移交给</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w:t>
      </w:r>
    </w:p>
    <w:p>
      <w:pPr>
        <w:pStyle w:val="39"/>
        <w:bidi w:val="0"/>
        <w:rPr>
          <w:rFonts w:hint="eastAsia" w:ascii="仿宋" w:hAnsi="仿宋"/>
        </w:rPr>
      </w:pPr>
      <w:bookmarkStart w:id="74" w:name="_Toc1088363786"/>
      <w:bookmarkStart w:id="75" w:name="_Toc1233250261"/>
      <w:bookmarkStart w:id="76" w:name="_Toc880953347"/>
      <w:r>
        <w:rPr>
          <w:rFonts w:hint="eastAsia" w:ascii="仿宋" w:hAnsi="仿宋"/>
        </w:rPr>
        <w:t>2.8 履约担保</w:t>
      </w:r>
      <w:bookmarkEnd w:id="74"/>
      <w:bookmarkEnd w:id="75"/>
      <w:bookmarkEnd w:id="76"/>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发包人需要监理人提供履约担保的，由合同当事人</w:t>
      </w:r>
      <w:r>
        <w:rPr>
          <w:rFonts w:hint="eastAsia" w:ascii="仿宋" w:hAnsi="仿宋" w:eastAsia="仿宋" w:cs="仿宋"/>
          <w:kern w:val="0"/>
          <w:szCs w:val="21"/>
          <w:highlight w:val="none"/>
        </w:rPr>
        <w:t>在专用条款中约定履约</w:t>
      </w:r>
      <w:r>
        <w:rPr>
          <w:rFonts w:hint="eastAsia" w:ascii="仿宋" w:hAnsi="仿宋" w:eastAsia="仿宋" w:cs="仿宋"/>
          <w:kern w:val="0"/>
          <w:szCs w:val="21"/>
          <w:highlight w:val="none"/>
          <w:lang w:eastAsia="zh-CN"/>
        </w:rPr>
        <w:t>担保的方式、金额及提交、退还的时间等。</w:t>
      </w:r>
    </w:p>
    <w:p>
      <w:pPr>
        <w:pStyle w:val="39"/>
        <w:bidi w:val="0"/>
        <w:rPr>
          <w:rFonts w:hint="eastAsia" w:ascii="仿宋" w:hAnsi="仿宋"/>
          <w:lang w:val="en-US" w:eastAsia="zh-CN"/>
        </w:rPr>
      </w:pPr>
      <w:r>
        <w:rPr>
          <w:rFonts w:hint="eastAsia" w:ascii="仿宋" w:hAnsi="仿宋"/>
          <w:lang w:val="en-US" w:eastAsia="zh-CN"/>
        </w:rPr>
        <w:t>2.9 驻地办公要求</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监理人应按专用条款约定驻地办公。</w:t>
      </w:r>
    </w:p>
    <w:p>
      <w:pPr>
        <w:pStyle w:val="38"/>
        <w:bidi w:val="0"/>
        <w:rPr>
          <w:rFonts w:hint="eastAsia"/>
          <w:lang w:eastAsia="zh-CN"/>
        </w:rPr>
      </w:pPr>
      <w:bookmarkStart w:id="77" w:name="_Toc1001409674"/>
      <w:bookmarkStart w:id="78" w:name="_Toc420867564"/>
      <w:bookmarkStart w:id="79" w:name="_Toc1443230129"/>
      <w:r>
        <w:rPr>
          <w:rFonts w:hint="eastAsia"/>
          <w:lang w:eastAsia="zh-CN"/>
        </w:rPr>
        <w:t>三、发包人义务</w:t>
      </w:r>
      <w:bookmarkEnd w:id="77"/>
      <w:bookmarkEnd w:id="78"/>
      <w:bookmarkEnd w:id="79"/>
    </w:p>
    <w:p>
      <w:pPr>
        <w:pStyle w:val="39"/>
        <w:bidi w:val="0"/>
        <w:rPr>
          <w:rFonts w:hint="eastAsia" w:ascii="仿宋" w:hAnsi="仿宋"/>
        </w:rPr>
      </w:pPr>
      <w:bookmarkStart w:id="80" w:name="_Toc1118494031"/>
      <w:bookmarkStart w:id="81" w:name="_Toc1155240415"/>
      <w:bookmarkStart w:id="82" w:name="_Toc1801382295"/>
      <w:r>
        <w:rPr>
          <w:rFonts w:hint="eastAsia" w:ascii="仿宋" w:hAnsi="仿宋"/>
        </w:rPr>
        <w:t>3.1 告知</w:t>
      </w:r>
      <w:bookmarkEnd w:id="80"/>
      <w:bookmarkEnd w:id="81"/>
      <w:bookmarkEnd w:id="82"/>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3.1.1 依法确定</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单位、项目工程设计单位</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签订相关合同，并及时告知监理人。</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3.1.2 </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应当将授予监理人的监理权利，以及监理人主要成员的职能分工、监理权限及时书面通知已选定的</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w:t>
      </w:r>
    </w:p>
    <w:p>
      <w:pPr>
        <w:pStyle w:val="39"/>
        <w:bidi w:val="0"/>
        <w:rPr>
          <w:rFonts w:hint="eastAsia" w:ascii="仿宋" w:hAnsi="仿宋"/>
        </w:rPr>
      </w:pPr>
      <w:bookmarkStart w:id="83" w:name="_Toc309243821"/>
      <w:bookmarkStart w:id="84" w:name="_Toc2005721026"/>
      <w:bookmarkStart w:id="85" w:name="_Toc646943082"/>
      <w:bookmarkStart w:id="86" w:name="_Hlk116822581"/>
      <w:r>
        <w:rPr>
          <w:rFonts w:hint="eastAsia" w:ascii="仿宋" w:hAnsi="仿宋"/>
        </w:rPr>
        <w:t>3.2 提供资料</w:t>
      </w:r>
      <w:bookmarkEnd w:id="83"/>
      <w:bookmarkEnd w:id="84"/>
      <w:bookmarkEnd w:id="85"/>
    </w:p>
    <w:bookmarkEnd w:id="86"/>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应按照专用条款约定的时间及份数，免费向监理人提供与项目有关的且为监理工作所需要的项目资料。</w:t>
      </w:r>
    </w:p>
    <w:p>
      <w:pPr>
        <w:pStyle w:val="39"/>
        <w:bidi w:val="0"/>
        <w:rPr>
          <w:rFonts w:hint="eastAsia" w:ascii="仿宋" w:hAnsi="仿宋"/>
        </w:rPr>
      </w:pPr>
      <w:bookmarkStart w:id="87" w:name="_Toc886855237"/>
      <w:bookmarkStart w:id="88" w:name="_Toc221477675"/>
      <w:bookmarkStart w:id="89" w:name="_Toc2018848707"/>
      <w:r>
        <w:rPr>
          <w:rFonts w:hint="eastAsia" w:ascii="仿宋" w:hAnsi="仿宋"/>
        </w:rPr>
        <w:t>3.3 提供工作条件</w:t>
      </w:r>
      <w:bookmarkEnd w:id="87"/>
      <w:bookmarkEnd w:id="88"/>
      <w:bookmarkEnd w:id="89"/>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3.3.1 </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负责完善项目</w:t>
      </w:r>
      <w:r>
        <w:rPr>
          <w:rFonts w:hint="eastAsia" w:ascii="仿宋" w:hAnsi="仿宋" w:eastAsia="仿宋" w:cs="仿宋"/>
          <w:kern w:val="0"/>
          <w:szCs w:val="21"/>
          <w:highlight w:val="none"/>
          <w:lang w:eastAsia="zh-CN"/>
        </w:rPr>
        <w:t>开展</w:t>
      </w:r>
      <w:r>
        <w:rPr>
          <w:rFonts w:hint="eastAsia" w:ascii="仿宋" w:hAnsi="仿宋" w:eastAsia="仿宋" w:cs="仿宋"/>
          <w:kern w:val="0"/>
          <w:szCs w:val="21"/>
          <w:highlight w:val="none"/>
        </w:rPr>
        <w:t>的前提条件，获得政府有关部门的批准文件，并承担因此产生的费用。</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3.3.</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rPr>
        <w:t xml:space="preserve"> </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按照专用条款约定免费向监理人提供</w:t>
      </w:r>
      <w:r>
        <w:rPr>
          <w:rFonts w:hint="eastAsia" w:ascii="仿宋" w:hAnsi="仿宋" w:eastAsia="仿宋" w:cs="仿宋"/>
          <w:kern w:val="0"/>
          <w:szCs w:val="21"/>
          <w:highlight w:val="none"/>
          <w:lang w:eastAsia="zh-CN"/>
        </w:rPr>
        <w:t>设施（如</w:t>
      </w:r>
      <w:r>
        <w:rPr>
          <w:rFonts w:hint="eastAsia" w:ascii="仿宋" w:hAnsi="仿宋" w:eastAsia="仿宋" w:cs="仿宋"/>
          <w:kern w:val="0"/>
          <w:szCs w:val="21"/>
          <w:highlight w:val="none"/>
        </w:rPr>
        <w:t>办公用房、通讯设施、监理人员工地住房等</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，按照专用条款约定对监理人自备设施给予补偿。</w:t>
      </w:r>
    </w:p>
    <w:p>
      <w:pPr>
        <w:pStyle w:val="39"/>
        <w:bidi w:val="0"/>
        <w:rPr>
          <w:rFonts w:hint="eastAsia" w:ascii="仿宋" w:hAnsi="仿宋"/>
        </w:rPr>
      </w:pPr>
      <w:bookmarkStart w:id="90" w:name="_Toc1479995337"/>
      <w:bookmarkStart w:id="91" w:name="_Toc214315284"/>
      <w:bookmarkStart w:id="92" w:name="_Toc481407427"/>
      <w:r>
        <w:rPr>
          <w:rFonts w:hint="eastAsia" w:ascii="仿宋" w:hAnsi="仿宋"/>
        </w:rPr>
        <w:t xml:space="preserve">3.4 </w:t>
      </w:r>
      <w:r>
        <w:rPr>
          <w:rFonts w:hint="eastAsia" w:ascii="仿宋" w:hAnsi="仿宋"/>
          <w:lang w:eastAsia="zh-CN"/>
        </w:rPr>
        <w:t>发包人</w:t>
      </w:r>
      <w:r>
        <w:rPr>
          <w:rFonts w:hint="eastAsia" w:ascii="仿宋" w:hAnsi="仿宋"/>
        </w:rPr>
        <w:t>代表</w:t>
      </w:r>
      <w:bookmarkEnd w:id="90"/>
      <w:bookmarkEnd w:id="91"/>
      <w:bookmarkEnd w:id="92"/>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应当授权一名熟悉项目情况、能在约定时间内作出决定的常驻代表，负责与监理人联系。更换常驻代表，要</w:t>
      </w:r>
      <w:r>
        <w:rPr>
          <w:rFonts w:hint="eastAsia" w:ascii="仿宋" w:hAnsi="仿宋" w:eastAsia="仿宋" w:cs="仿宋"/>
          <w:kern w:val="0"/>
          <w:szCs w:val="21"/>
          <w:highlight w:val="none"/>
          <w:lang w:eastAsia="zh-CN"/>
        </w:rPr>
        <w:t>及时</w:t>
      </w:r>
      <w:r>
        <w:rPr>
          <w:rFonts w:hint="eastAsia" w:ascii="仿宋" w:hAnsi="仿宋" w:eastAsia="仿宋" w:cs="仿宋"/>
          <w:kern w:val="0"/>
          <w:szCs w:val="21"/>
          <w:highlight w:val="none"/>
        </w:rPr>
        <w:t>通知监理人。</w:t>
      </w:r>
    </w:p>
    <w:p>
      <w:pPr>
        <w:pStyle w:val="39"/>
        <w:bidi w:val="0"/>
        <w:rPr>
          <w:rFonts w:hint="eastAsia" w:ascii="仿宋" w:hAnsi="仿宋"/>
        </w:rPr>
      </w:pPr>
      <w:bookmarkStart w:id="93" w:name="_Toc2086102864"/>
      <w:bookmarkStart w:id="94" w:name="_Toc1002706135"/>
      <w:bookmarkStart w:id="95" w:name="_Toc239991938"/>
      <w:r>
        <w:rPr>
          <w:rFonts w:hint="eastAsia" w:ascii="仿宋" w:hAnsi="仿宋"/>
        </w:rPr>
        <w:t xml:space="preserve">3.5 </w:t>
      </w:r>
      <w:r>
        <w:rPr>
          <w:rFonts w:hint="eastAsia" w:ascii="仿宋" w:hAnsi="仿宋"/>
          <w:lang w:eastAsia="zh-CN"/>
        </w:rPr>
        <w:t>发包人</w:t>
      </w:r>
      <w:r>
        <w:rPr>
          <w:rFonts w:hint="eastAsia" w:ascii="仿宋" w:hAnsi="仿宋"/>
        </w:rPr>
        <w:t>意见或要求</w:t>
      </w:r>
      <w:bookmarkEnd w:id="93"/>
      <w:bookmarkEnd w:id="94"/>
      <w:bookmarkEnd w:id="95"/>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在本合同约定的监理与相关服务工作范围内，</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对</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单位的任何意见或要求应通知监理人，由监理人向</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单位发出相应指令。</w:t>
      </w:r>
    </w:p>
    <w:p>
      <w:pPr>
        <w:pStyle w:val="39"/>
        <w:bidi w:val="0"/>
        <w:rPr>
          <w:rFonts w:hint="eastAsia" w:ascii="仿宋" w:hAnsi="仿宋"/>
        </w:rPr>
      </w:pPr>
      <w:bookmarkStart w:id="96" w:name="_Toc1609547944"/>
      <w:bookmarkStart w:id="97" w:name="_Toc782967998"/>
      <w:bookmarkStart w:id="98" w:name="_Toc501760052"/>
      <w:r>
        <w:rPr>
          <w:rFonts w:hint="eastAsia" w:ascii="仿宋" w:hAnsi="仿宋"/>
        </w:rPr>
        <w:t>3.6 答复</w:t>
      </w:r>
      <w:bookmarkEnd w:id="96"/>
      <w:bookmarkEnd w:id="97"/>
      <w:bookmarkEnd w:id="98"/>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应当按照专用条款约定的时间内就监理人书面提交并要求作出决定的一切事宜作出书面决定。</w:t>
      </w:r>
    </w:p>
    <w:p>
      <w:pPr>
        <w:pStyle w:val="39"/>
        <w:bidi w:val="0"/>
        <w:rPr>
          <w:rFonts w:hint="eastAsia" w:ascii="仿宋" w:hAnsi="仿宋"/>
        </w:rPr>
      </w:pPr>
      <w:bookmarkStart w:id="99" w:name="_Toc1498424837"/>
      <w:bookmarkStart w:id="100" w:name="_Toc1682425592"/>
      <w:bookmarkStart w:id="101" w:name="_Toc1113184162"/>
      <w:r>
        <w:rPr>
          <w:rFonts w:hint="eastAsia" w:ascii="仿宋" w:hAnsi="仿宋"/>
        </w:rPr>
        <w:t>3.7 支付</w:t>
      </w:r>
      <w:bookmarkEnd w:id="99"/>
      <w:bookmarkEnd w:id="100"/>
      <w:bookmarkEnd w:id="101"/>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应按照本合同约定及时、足额向监理人支付监理报酬。</w:t>
      </w:r>
    </w:p>
    <w:p>
      <w:pPr>
        <w:pStyle w:val="39"/>
        <w:bidi w:val="0"/>
        <w:rPr>
          <w:rFonts w:hint="eastAsia" w:ascii="仿宋" w:hAnsi="仿宋"/>
        </w:rPr>
      </w:pPr>
      <w:bookmarkStart w:id="102" w:name="_Toc1486780880"/>
      <w:bookmarkStart w:id="103" w:name="_Toc1447806895"/>
      <w:bookmarkStart w:id="104" w:name="_Toc900328805"/>
      <w:r>
        <w:rPr>
          <w:rFonts w:hint="eastAsia" w:ascii="仿宋" w:hAnsi="仿宋"/>
        </w:rPr>
        <w:t>3.8 其他义务</w:t>
      </w:r>
      <w:bookmarkEnd w:id="102"/>
      <w:bookmarkEnd w:id="103"/>
      <w:bookmarkEnd w:id="104"/>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应按照专用条款约定履行相关义务。</w:t>
      </w:r>
    </w:p>
    <w:p>
      <w:pPr>
        <w:pStyle w:val="38"/>
        <w:bidi w:val="0"/>
        <w:rPr>
          <w:rFonts w:hint="eastAsia"/>
          <w:lang w:eastAsia="zh-CN"/>
        </w:rPr>
      </w:pPr>
      <w:bookmarkStart w:id="105" w:name="_Toc294541071"/>
      <w:bookmarkStart w:id="106" w:name="_Toc1755969182"/>
      <w:bookmarkStart w:id="107" w:name="_Toc766246396"/>
      <w:r>
        <w:rPr>
          <w:rFonts w:hint="eastAsia"/>
          <w:lang w:eastAsia="zh-CN"/>
        </w:rPr>
        <w:t>四、违约责任</w:t>
      </w:r>
      <w:bookmarkEnd w:id="105"/>
      <w:bookmarkEnd w:id="106"/>
      <w:bookmarkEnd w:id="107"/>
    </w:p>
    <w:p>
      <w:pPr>
        <w:pStyle w:val="39"/>
        <w:bidi w:val="0"/>
        <w:rPr>
          <w:rFonts w:hint="eastAsia" w:ascii="仿宋" w:hAnsi="仿宋"/>
        </w:rPr>
      </w:pPr>
      <w:bookmarkStart w:id="108" w:name="_Toc1189066527"/>
      <w:bookmarkStart w:id="109" w:name="_Toc984990013"/>
      <w:bookmarkStart w:id="110" w:name="_Toc593655615"/>
      <w:r>
        <w:rPr>
          <w:rFonts w:hint="eastAsia" w:ascii="仿宋" w:hAnsi="仿宋"/>
        </w:rPr>
        <w:t>4.1 监理人的违约责任</w:t>
      </w:r>
      <w:bookmarkEnd w:id="108"/>
      <w:bookmarkEnd w:id="109"/>
      <w:bookmarkEnd w:id="110"/>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4.1.1 监理人违约的情形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监理人及其监理人员</w:t>
      </w:r>
      <w:r>
        <w:rPr>
          <w:rFonts w:hint="eastAsia" w:ascii="仿宋" w:hAnsi="仿宋" w:eastAsia="仿宋" w:cs="仿宋"/>
          <w:kern w:val="0"/>
          <w:szCs w:val="21"/>
          <w:highlight w:val="none"/>
          <w:lang w:eastAsia="zh-CN"/>
        </w:rPr>
        <w:t>未</w:t>
      </w:r>
      <w:r>
        <w:rPr>
          <w:rFonts w:hint="eastAsia" w:ascii="仿宋" w:hAnsi="仿宋" w:eastAsia="仿宋" w:cs="仿宋"/>
          <w:kern w:val="0"/>
          <w:szCs w:val="21"/>
          <w:highlight w:val="none"/>
        </w:rPr>
        <w:t>按</w:t>
      </w:r>
      <w:r>
        <w:rPr>
          <w:rFonts w:hint="eastAsia" w:ascii="仿宋" w:hAnsi="仿宋" w:eastAsia="仿宋" w:cs="仿宋"/>
          <w:kern w:val="0"/>
          <w:szCs w:val="21"/>
          <w:highlight w:val="none"/>
          <w:lang w:eastAsia="zh-CN"/>
        </w:rPr>
        <w:t>本</w:t>
      </w:r>
      <w:r>
        <w:rPr>
          <w:rFonts w:hint="eastAsia" w:ascii="仿宋" w:hAnsi="仿宋" w:eastAsia="仿宋" w:cs="仿宋"/>
          <w:kern w:val="0"/>
          <w:szCs w:val="21"/>
          <w:highlight w:val="none"/>
        </w:rPr>
        <w:t>合同约定履行义务或监理职责的</w:t>
      </w:r>
      <w:r>
        <w:rPr>
          <w:rFonts w:hint="eastAsia" w:ascii="仿宋" w:hAnsi="仿宋" w:eastAsia="仿宋" w:cs="仿宋"/>
          <w:kern w:val="0"/>
          <w:szCs w:val="21"/>
          <w:highlight w:val="none"/>
          <w:lang w:eastAsia="zh-CN"/>
        </w:rPr>
        <w:t>，均属于监理人违约的情形</w:t>
      </w:r>
      <w:r>
        <w:rPr>
          <w:rFonts w:hint="eastAsia" w:ascii="仿宋" w:hAnsi="仿宋" w:eastAsia="仿宋" w:cs="仿宋"/>
          <w:kern w:val="0"/>
          <w:szCs w:val="21"/>
          <w:highlight w:val="none"/>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4.1.2 监理人违约的责任</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监理人因违约所产生的责任，按照专用条款约定执行。</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4.1.3 监理人向</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提出赔偿要求不能成立时，监理人应当补偿由于该索赔所导致</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的各种费用支出。</w:t>
      </w:r>
    </w:p>
    <w:p>
      <w:pPr>
        <w:pStyle w:val="39"/>
        <w:bidi w:val="0"/>
        <w:rPr>
          <w:rFonts w:hint="eastAsia" w:ascii="仿宋" w:hAnsi="仿宋"/>
        </w:rPr>
      </w:pPr>
      <w:bookmarkStart w:id="111" w:name="_Toc1575509653"/>
      <w:bookmarkStart w:id="112" w:name="_Toc928774654"/>
      <w:bookmarkStart w:id="113" w:name="_Toc535833"/>
      <w:r>
        <w:rPr>
          <w:rFonts w:hint="eastAsia" w:ascii="仿宋" w:hAnsi="仿宋"/>
        </w:rPr>
        <w:t xml:space="preserve">4.2 </w:t>
      </w:r>
      <w:r>
        <w:rPr>
          <w:rFonts w:hint="eastAsia" w:ascii="仿宋" w:hAnsi="仿宋"/>
          <w:lang w:eastAsia="zh-CN"/>
        </w:rPr>
        <w:t>发包人</w:t>
      </w:r>
      <w:r>
        <w:rPr>
          <w:rFonts w:hint="eastAsia" w:ascii="仿宋" w:hAnsi="仿宋"/>
        </w:rPr>
        <w:t>的违约责任</w:t>
      </w:r>
      <w:bookmarkEnd w:id="111"/>
      <w:bookmarkEnd w:id="112"/>
      <w:bookmarkEnd w:id="113"/>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4.2.1 </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违约的情形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（1）因</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原因未能按合同约定支付监理报酬的；</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（2）</w:t>
      </w:r>
      <w:r>
        <w:rPr>
          <w:rFonts w:hint="eastAsia" w:ascii="仿宋" w:hAnsi="仿宋" w:eastAsia="仿宋" w:cs="仿宋"/>
          <w:kern w:val="0"/>
          <w:szCs w:val="21"/>
          <w:highlight w:val="none"/>
          <w:lang w:eastAsia="zh-CN"/>
        </w:rPr>
        <w:t>发包人未按合同约定履行义务的</w:t>
      </w:r>
      <w:r>
        <w:rPr>
          <w:rFonts w:hint="eastAsia" w:ascii="仿宋" w:hAnsi="仿宋" w:eastAsia="仿宋" w:cs="仿宋"/>
          <w:kern w:val="0"/>
          <w:szCs w:val="21"/>
          <w:highlight w:val="none"/>
        </w:rPr>
        <w:t>其他</w:t>
      </w:r>
      <w:r>
        <w:rPr>
          <w:rFonts w:hint="eastAsia" w:ascii="仿宋" w:hAnsi="仿宋" w:eastAsia="仿宋" w:cs="仿宋"/>
          <w:kern w:val="0"/>
          <w:szCs w:val="21"/>
          <w:highlight w:val="none"/>
          <w:lang w:eastAsia="zh-CN"/>
        </w:rPr>
        <w:t>情形。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4.2.2 </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违约的责任</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发包人因违约所产生的责任，按照专用条款约定执行。</w:t>
      </w:r>
    </w:p>
    <w:p>
      <w:pPr>
        <w:pStyle w:val="39"/>
        <w:bidi w:val="0"/>
        <w:rPr>
          <w:rFonts w:hint="eastAsia" w:ascii="仿宋" w:hAnsi="仿宋"/>
        </w:rPr>
      </w:pPr>
      <w:bookmarkStart w:id="114" w:name="_Toc237554301"/>
      <w:bookmarkStart w:id="115" w:name="_Toc372165007"/>
      <w:bookmarkStart w:id="116" w:name="_Toc127934296"/>
      <w:r>
        <w:rPr>
          <w:rFonts w:hint="eastAsia" w:ascii="仿宋" w:hAnsi="仿宋"/>
        </w:rPr>
        <w:t>4.3 除外责任</w:t>
      </w:r>
      <w:bookmarkEnd w:id="114"/>
      <w:bookmarkEnd w:id="115"/>
      <w:bookmarkEnd w:id="116"/>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存在以下情形之一时，不承担责任：</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单位违反</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合同约定的质量、安全、文明施工等方面要求时，监理人应按照本合同有关约定承担</w:t>
      </w:r>
      <w:r>
        <w:rPr>
          <w:rFonts w:hint="eastAsia" w:ascii="仿宋" w:hAnsi="仿宋" w:eastAsia="仿宋" w:cs="仿宋"/>
          <w:kern w:val="0"/>
          <w:szCs w:val="21"/>
          <w:highlight w:val="none"/>
          <w:lang w:eastAsia="zh-CN"/>
        </w:rPr>
        <w:t>相应</w:t>
      </w:r>
      <w:r>
        <w:rPr>
          <w:rFonts w:hint="eastAsia" w:ascii="仿宋" w:hAnsi="仿宋" w:eastAsia="仿宋" w:cs="仿宋"/>
          <w:kern w:val="0"/>
          <w:szCs w:val="21"/>
          <w:highlight w:val="none"/>
        </w:rPr>
        <w:t>违约责任，除非有充分的证据证明监理人严格履行了本合同的责任和义务且上述问题的发生仅为</w:t>
      </w:r>
      <w:r>
        <w:rPr>
          <w:rFonts w:hint="eastAsia" w:ascii="仿宋" w:hAnsi="仿宋" w:eastAsia="仿宋" w:cs="仿宋"/>
          <w:kern w:val="0"/>
          <w:szCs w:val="21"/>
          <w:highlight w:val="none"/>
          <w:lang w:eastAsia="zh-CN"/>
        </w:rPr>
        <w:t>施工</w:t>
      </w:r>
      <w:r>
        <w:rPr>
          <w:rFonts w:hint="eastAsia" w:ascii="仿宋" w:hAnsi="仿宋" w:eastAsia="仿宋" w:cs="仿宋"/>
          <w:kern w:val="0"/>
          <w:szCs w:val="21"/>
          <w:highlight w:val="none"/>
        </w:rPr>
        <w:t>单位自身原因所致；</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（2）因不可抗力导致本合同不能全部或部分履行。</w:t>
      </w:r>
    </w:p>
    <w:p>
      <w:pPr>
        <w:pStyle w:val="39"/>
        <w:bidi w:val="0"/>
        <w:rPr>
          <w:rFonts w:hint="eastAsia" w:ascii="仿宋" w:hAnsi="仿宋"/>
        </w:rPr>
      </w:pPr>
      <w:bookmarkStart w:id="117" w:name="_Toc103621046"/>
      <w:bookmarkStart w:id="118" w:name="_Toc1649454832"/>
      <w:bookmarkStart w:id="119" w:name="_Toc1729517641"/>
      <w:r>
        <w:rPr>
          <w:rFonts w:hint="eastAsia" w:ascii="仿宋" w:hAnsi="仿宋"/>
        </w:rPr>
        <w:t>4.4 违约责任的认定方式及送达程序</w:t>
      </w:r>
      <w:bookmarkEnd w:id="117"/>
      <w:bookmarkEnd w:id="118"/>
      <w:bookmarkEnd w:id="119"/>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4.4.1 监理人的违约责任认定方式及送达程序</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（1）认定方式：以</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发出的通知、通报、会议纪要等书面文件确定的内容为准。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（2）送达程序：</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通过下列方式之一将违约处理决定送达监理人：</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①监理人项目监理机构工作人员签收；</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②监理人其他工作人员签收；</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③发包人</w:t>
      </w:r>
      <w:r>
        <w:rPr>
          <w:rFonts w:hint="eastAsia" w:ascii="仿宋" w:hAnsi="仿宋" w:eastAsia="仿宋" w:cs="仿宋"/>
          <w:kern w:val="0"/>
          <w:szCs w:val="21"/>
          <w:highlight w:val="none"/>
        </w:rPr>
        <w:t>邮寄送达。</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以书面形式作出的违约处理决定一经送达监理人立即生效。监理人如有足够证据证明不应由其承担违约责任的，应在收到违约处理决定后</w:t>
      </w:r>
      <w:r>
        <w:rPr>
          <w:rFonts w:hint="eastAsia" w:ascii="仿宋" w:hAnsi="仿宋" w:eastAsia="仿宋" w:cs="仿宋"/>
          <w:kern w:val="0"/>
          <w:szCs w:val="21"/>
          <w:highlight w:val="none"/>
          <w:lang w:val="en-US" w:eastAsia="zh-CN"/>
        </w:rPr>
        <w:t>7</w:t>
      </w:r>
      <w:r>
        <w:rPr>
          <w:rFonts w:hint="eastAsia" w:ascii="仿宋" w:hAnsi="仿宋" w:eastAsia="仿宋" w:cs="仿宋"/>
          <w:kern w:val="0"/>
          <w:szCs w:val="21"/>
          <w:highlight w:val="none"/>
        </w:rPr>
        <w:t>天内以书面形式向</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提出异议并附上有关证据。</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在收到监理人的异议后</w:t>
      </w:r>
      <w:r>
        <w:rPr>
          <w:rFonts w:hint="eastAsia" w:ascii="仿宋" w:hAnsi="仿宋" w:eastAsia="仿宋" w:cs="仿宋"/>
          <w:kern w:val="0"/>
          <w:szCs w:val="21"/>
          <w:highlight w:val="none"/>
          <w:lang w:val="en-US" w:eastAsia="zh-CN"/>
        </w:rPr>
        <w:t>14</w:t>
      </w:r>
      <w:r>
        <w:rPr>
          <w:rFonts w:hint="eastAsia" w:ascii="仿宋" w:hAnsi="仿宋" w:eastAsia="仿宋" w:cs="仿宋"/>
          <w:kern w:val="0"/>
          <w:szCs w:val="21"/>
          <w:highlight w:val="none"/>
        </w:rPr>
        <w:t>天内审核完毕，作出书面决定并通知监理人。</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4.4.2 </w:t>
      </w:r>
      <w:r>
        <w:rPr>
          <w:rFonts w:hint="eastAsia" w:ascii="仿宋" w:hAnsi="仿宋" w:eastAsia="仿宋" w:cs="仿宋"/>
          <w:kern w:val="0"/>
          <w:szCs w:val="21"/>
          <w:highlight w:val="none"/>
          <w:lang w:eastAsia="zh-CN"/>
        </w:rPr>
        <w:t>发包人</w:t>
      </w:r>
      <w:r>
        <w:rPr>
          <w:rFonts w:hint="eastAsia" w:ascii="仿宋" w:hAnsi="仿宋" w:eastAsia="仿宋" w:cs="仿宋"/>
          <w:kern w:val="0"/>
          <w:szCs w:val="21"/>
          <w:highlight w:val="none"/>
        </w:rPr>
        <w:t>的违约责任认定及送达程序</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参照合同4.4.</w:t>
      </w: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rPr>
        <w:t>监理人的违约责任认定及送达程序执行。</w:t>
      </w:r>
    </w:p>
    <w:p>
      <w:pPr>
        <w:pStyle w:val="38"/>
        <w:bidi w:val="0"/>
        <w:rPr>
          <w:rFonts w:hint="eastAsia"/>
          <w:lang w:eastAsia="zh-CN"/>
        </w:rPr>
      </w:pPr>
      <w:bookmarkStart w:id="120" w:name="_Toc1740901111"/>
      <w:bookmarkStart w:id="121" w:name="_Toc1066981443"/>
      <w:bookmarkStart w:id="122" w:name="_Toc1951871802"/>
      <w:r>
        <w:rPr>
          <w:rFonts w:hint="eastAsia"/>
          <w:lang w:eastAsia="zh-CN"/>
        </w:rPr>
        <w:t>五、监理报酬</w:t>
      </w:r>
      <w:bookmarkEnd w:id="120"/>
      <w:bookmarkEnd w:id="121"/>
      <w:bookmarkEnd w:id="122"/>
    </w:p>
    <w:p>
      <w:pPr>
        <w:pStyle w:val="39"/>
        <w:bidi w:val="0"/>
        <w:rPr>
          <w:rFonts w:hint="eastAsia" w:ascii="仿宋" w:hAnsi="仿宋"/>
        </w:rPr>
      </w:pPr>
      <w:bookmarkStart w:id="123" w:name="_Toc593859431"/>
      <w:bookmarkStart w:id="124" w:name="_Toc731133932"/>
      <w:bookmarkStart w:id="125" w:name="_Toc1550359850"/>
      <w:r>
        <w:rPr>
          <w:rFonts w:hint="eastAsia" w:ascii="仿宋" w:hAnsi="仿宋"/>
        </w:rPr>
        <w:t>5.1 支付货币</w:t>
      </w:r>
      <w:bookmarkEnd w:id="123"/>
      <w:bookmarkEnd w:id="124"/>
      <w:bookmarkEnd w:id="125"/>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支付监理报酬所采取的货币币种、汇率在专用条款中约定。</w:t>
      </w:r>
    </w:p>
    <w:p>
      <w:pPr>
        <w:pStyle w:val="39"/>
        <w:bidi w:val="0"/>
        <w:rPr>
          <w:rFonts w:hint="eastAsia" w:ascii="仿宋" w:hAnsi="仿宋"/>
        </w:rPr>
      </w:pPr>
      <w:bookmarkStart w:id="126" w:name="_Toc218910716"/>
      <w:bookmarkStart w:id="127" w:name="_Toc788374481"/>
      <w:bookmarkStart w:id="128" w:name="_Toc77783296"/>
      <w:r>
        <w:rPr>
          <w:rFonts w:hint="eastAsia" w:ascii="仿宋" w:hAnsi="仿宋"/>
        </w:rPr>
        <w:t>5.2 支付监理报酬</w:t>
      </w:r>
      <w:bookmarkEnd w:id="126"/>
      <w:bookmarkEnd w:id="127"/>
      <w:bookmarkEnd w:id="128"/>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本合同监理报酬按照专用条款约定计算，并按约定的时间或数额支付。</w:t>
      </w:r>
    </w:p>
    <w:p>
      <w:pPr>
        <w:pStyle w:val="39"/>
        <w:bidi w:val="0"/>
        <w:rPr>
          <w:rFonts w:hint="eastAsia" w:ascii="仿宋" w:hAnsi="仿宋"/>
          <w:lang w:eastAsia="zh-CN"/>
        </w:rPr>
      </w:pPr>
      <w:bookmarkStart w:id="129" w:name="_Toc1028383299"/>
      <w:bookmarkStart w:id="130" w:name="_Toc1754762066"/>
      <w:bookmarkStart w:id="131" w:name="_Toc1081325635"/>
      <w:r>
        <w:rPr>
          <w:rFonts w:hint="eastAsia" w:ascii="仿宋" w:hAnsi="仿宋"/>
        </w:rPr>
        <w:t xml:space="preserve">5.3 </w:t>
      </w:r>
      <w:r>
        <w:rPr>
          <w:rFonts w:hint="eastAsia" w:ascii="仿宋" w:hAnsi="仿宋"/>
          <w:lang w:eastAsia="zh-CN"/>
        </w:rPr>
        <w:t>结算</w:t>
      </w:r>
      <w:bookmarkEnd w:id="129"/>
      <w:bookmarkEnd w:id="130"/>
      <w:bookmarkEnd w:id="131"/>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5.3.1 监理人应按专用条款约定的期限和要求提交结算申请。</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5.3.2 结算原则</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本合同结算价按照专用条款约定确定。</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5.3.3 结算审核与支付</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1）除专用条款另有约定外，发包人应在收到监理人提交完整的结算申请后28天内完成审核。发包人对结算申请有异议的，有权要求监理人限期进行修正和提供补充资料，监理人应按时提交修正后的结算申请。发包人在约定时间内未审核或未提出具体意见的，监理人提交的结算申请视为已经发包人同意。</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（2）除专用条款另有约定外，发包人应在审核结算价后的14天内，向结算终审单位报送结算评审。</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（3）在结算终审单位审定最终结算价后，监理人对审定的最终结算价有异议的，对于有异议部分应与结算终审单位提出，并在限期内提供补充资料。</w:t>
      </w:r>
    </w:p>
    <w:p>
      <w:pPr>
        <w:pStyle w:val="39"/>
        <w:bidi w:val="0"/>
        <w:rPr>
          <w:rFonts w:hint="eastAsia" w:ascii="仿宋" w:hAnsi="仿宋"/>
        </w:rPr>
      </w:pPr>
      <w:bookmarkStart w:id="132" w:name="_Toc1518230349"/>
      <w:bookmarkStart w:id="133" w:name="_Toc2069830667"/>
      <w:bookmarkStart w:id="134" w:name="_Toc1507640046"/>
      <w:r>
        <w:rPr>
          <w:rFonts w:hint="eastAsia" w:ascii="仿宋" w:hAnsi="仿宋"/>
          <w:lang w:val="en-US" w:eastAsia="zh-CN"/>
        </w:rPr>
        <w:t xml:space="preserve">5.4 </w:t>
      </w:r>
      <w:r>
        <w:rPr>
          <w:rFonts w:hint="eastAsia" w:ascii="仿宋" w:hAnsi="仿宋"/>
        </w:rPr>
        <w:t>有争议部分的付款</w:t>
      </w:r>
      <w:bookmarkEnd w:id="132"/>
      <w:bookmarkEnd w:id="133"/>
      <w:bookmarkEnd w:id="134"/>
    </w:p>
    <w:p>
      <w:pPr>
        <w:widowControl/>
        <w:spacing w:line="240" w:lineRule="auto"/>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如果发包人对监理人提交的支付通知中报酬或部分报酬项目提出异议，应当在收到支付通知书</w:t>
      </w:r>
      <w:r>
        <w:rPr>
          <w:rFonts w:hint="eastAsia" w:ascii="仿宋" w:hAnsi="仿宋" w:eastAsia="仿宋" w:cs="仿宋"/>
          <w:kern w:val="0"/>
          <w:szCs w:val="21"/>
          <w:highlight w:val="none"/>
          <w:lang w:val="en-US" w:eastAsia="zh-CN"/>
        </w:rPr>
        <w:t>5天</w:t>
      </w:r>
      <w:r>
        <w:rPr>
          <w:rFonts w:hint="eastAsia" w:ascii="仿宋" w:hAnsi="仿宋" w:eastAsia="仿宋" w:cs="仿宋"/>
          <w:kern w:val="0"/>
          <w:szCs w:val="21"/>
          <w:highlight w:val="none"/>
          <w:lang w:eastAsia="zh-CN"/>
        </w:rPr>
        <w:t>内向监理人发出表示异议的通知，但发包人不得拖延其他无异议报酬项目的支付。</w:t>
      </w:r>
    </w:p>
    <w:p>
      <w:pPr>
        <w:pStyle w:val="38"/>
        <w:bidi w:val="0"/>
        <w:rPr>
          <w:rFonts w:hint="eastAsia"/>
          <w:lang w:eastAsia="zh-CN"/>
        </w:rPr>
      </w:pPr>
      <w:bookmarkStart w:id="135" w:name="_Toc643645333"/>
      <w:bookmarkStart w:id="136" w:name="_Toc240463515"/>
      <w:bookmarkStart w:id="137" w:name="_Toc228618103"/>
      <w:r>
        <w:rPr>
          <w:rFonts w:hint="eastAsia"/>
          <w:lang w:eastAsia="zh-CN"/>
        </w:rPr>
        <w:t>六、合同生效、变更、解除与终止</w:t>
      </w:r>
      <w:bookmarkEnd w:id="135"/>
      <w:bookmarkEnd w:id="136"/>
      <w:bookmarkEnd w:id="137"/>
    </w:p>
    <w:p>
      <w:pPr>
        <w:pStyle w:val="39"/>
        <w:bidi w:val="0"/>
        <w:rPr>
          <w:rFonts w:hint="eastAsia" w:ascii="仿宋" w:hAnsi="仿宋"/>
        </w:rPr>
      </w:pPr>
      <w:bookmarkStart w:id="138" w:name="_Toc644332251"/>
      <w:bookmarkStart w:id="139" w:name="_Toc1764161276"/>
      <w:bookmarkStart w:id="140" w:name="_Toc1822447194"/>
      <w:r>
        <w:rPr>
          <w:rFonts w:hint="eastAsia" w:ascii="仿宋" w:hAnsi="仿宋"/>
        </w:rPr>
        <w:t>6.1 生效</w:t>
      </w:r>
      <w:bookmarkEnd w:id="138"/>
      <w:bookmarkEnd w:id="139"/>
      <w:bookmarkEnd w:id="140"/>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本合同生效以合同协议书约定为准。</w:t>
      </w:r>
    </w:p>
    <w:p>
      <w:pPr>
        <w:pStyle w:val="39"/>
        <w:bidi w:val="0"/>
        <w:rPr>
          <w:rFonts w:hint="eastAsia" w:ascii="仿宋" w:hAnsi="仿宋"/>
        </w:rPr>
      </w:pPr>
      <w:bookmarkStart w:id="141" w:name="_Toc1606682198"/>
      <w:bookmarkStart w:id="142" w:name="_Toc1830171048"/>
      <w:bookmarkStart w:id="143" w:name="_Toc138852759"/>
      <w:r>
        <w:rPr>
          <w:rFonts w:hint="eastAsia" w:ascii="仿宋" w:hAnsi="仿宋"/>
        </w:rPr>
        <w:t>6.2 变更</w:t>
      </w:r>
      <w:bookmarkEnd w:id="141"/>
      <w:bookmarkEnd w:id="142"/>
      <w:bookmarkEnd w:id="143"/>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对本合同的任何变更或修订，均应由发包人、监理人协商一致并以书面形式确定，但变更或修订的内容不得违反法律法规的强制性规定，不得损害国家利益和社会公共利益。</w:t>
      </w:r>
    </w:p>
    <w:p>
      <w:pPr>
        <w:pStyle w:val="39"/>
        <w:bidi w:val="0"/>
        <w:rPr>
          <w:rFonts w:hint="eastAsia" w:ascii="仿宋" w:hAnsi="仿宋"/>
        </w:rPr>
      </w:pPr>
      <w:bookmarkStart w:id="144" w:name="_Toc1989159133"/>
      <w:bookmarkStart w:id="145" w:name="_Toc192040197"/>
      <w:bookmarkStart w:id="146" w:name="_Toc766894943"/>
      <w:r>
        <w:rPr>
          <w:rFonts w:hint="eastAsia" w:ascii="仿宋" w:hAnsi="仿宋"/>
        </w:rPr>
        <w:t>6.3 解除</w:t>
      </w:r>
      <w:bookmarkEnd w:id="144"/>
      <w:bookmarkEnd w:id="145"/>
      <w:bookmarkEnd w:id="146"/>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6</w:t>
      </w:r>
      <w:r>
        <w:rPr>
          <w:rFonts w:hint="eastAsia" w:ascii="仿宋" w:hAnsi="仿宋" w:eastAsia="仿宋" w:cs="仿宋"/>
          <w:kern w:val="0"/>
          <w:szCs w:val="21"/>
          <w:highlight w:val="none"/>
          <w:lang w:eastAsia="zh-CN"/>
        </w:rPr>
        <w:t>.3.1 解除合同情形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（1）经协商一致的，双方可以解除合同；</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（2）因不可抗力致使合同无法继续履行的，双方可以解除合同；</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（3）监理人存在以下情形之一的，发包人有权单方解除合同：</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①监理人无正当理由未履行监理义务，且在发包人向监理人发出指明其未履行义务的通知后21日内没有收到答复的；</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②专用条款约定的其他情形。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4</w:t>
      </w:r>
      <w:r>
        <w:rPr>
          <w:rFonts w:hint="eastAsia" w:ascii="仿宋" w:hAnsi="仿宋" w:eastAsia="仿宋" w:cs="仿宋"/>
          <w:kern w:val="0"/>
          <w:szCs w:val="21"/>
          <w:highlight w:val="none"/>
          <w:lang w:eastAsia="zh-CN"/>
        </w:rPr>
        <w:t>）发包人存在以下情形之一的，监理人有权单方解除合同：</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①无正当理由不按本合同约定的期限和方式向监理人支付监理报酬的，致使监理人合同目的不能实现；</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②专用条款约定的其他情形。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6.3.2 解除程序</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（1）因6.3.1-（1）、（2）目约定解除合同的，合同当事人双方应签订关于本合同的解除协议并按解除协议执行。</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（2）发包人向监理人发出部分</w:t>
      </w:r>
      <w:r>
        <w:rPr>
          <w:rFonts w:hint="eastAsia" w:ascii="仿宋" w:hAnsi="仿宋" w:eastAsia="仿宋" w:cs="仿宋"/>
          <w:kern w:val="0"/>
          <w:szCs w:val="21"/>
          <w:highlight w:val="none"/>
          <w:lang w:val="en-US" w:eastAsia="zh-CN"/>
        </w:rPr>
        <w:t>或全部</w:t>
      </w:r>
      <w:r>
        <w:rPr>
          <w:rFonts w:hint="eastAsia" w:ascii="仿宋" w:hAnsi="仿宋" w:eastAsia="仿宋" w:cs="仿宋"/>
          <w:kern w:val="0"/>
          <w:szCs w:val="21"/>
          <w:highlight w:val="none"/>
          <w:lang w:eastAsia="zh-CN"/>
        </w:rPr>
        <w:t>解除合同通知后，该合同部分</w:t>
      </w:r>
      <w:r>
        <w:rPr>
          <w:rFonts w:hint="eastAsia" w:ascii="仿宋" w:hAnsi="仿宋" w:eastAsia="仿宋" w:cs="仿宋"/>
          <w:kern w:val="0"/>
          <w:szCs w:val="21"/>
          <w:highlight w:val="none"/>
          <w:lang w:val="en-US" w:eastAsia="zh-CN"/>
        </w:rPr>
        <w:t>或全部</w:t>
      </w:r>
      <w:r>
        <w:rPr>
          <w:rFonts w:hint="eastAsia" w:ascii="仿宋" w:hAnsi="仿宋" w:eastAsia="仿宋" w:cs="仿宋"/>
          <w:kern w:val="0"/>
          <w:szCs w:val="21"/>
          <w:highlight w:val="none"/>
          <w:lang w:eastAsia="zh-CN"/>
        </w:rPr>
        <w:t>的解除效力即时生效；监理人必须在解除效力生效之日起7日内停止被解除部分</w:t>
      </w:r>
      <w:r>
        <w:rPr>
          <w:rFonts w:hint="eastAsia" w:ascii="仿宋" w:hAnsi="仿宋" w:eastAsia="仿宋" w:cs="仿宋"/>
          <w:kern w:val="0"/>
          <w:szCs w:val="21"/>
          <w:highlight w:val="none"/>
          <w:lang w:val="en-US" w:eastAsia="zh-CN"/>
        </w:rPr>
        <w:t>或全部</w:t>
      </w:r>
      <w:r>
        <w:rPr>
          <w:rFonts w:hint="eastAsia" w:ascii="仿宋" w:hAnsi="仿宋" w:eastAsia="仿宋" w:cs="仿宋"/>
          <w:kern w:val="0"/>
          <w:szCs w:val="21"/>
          <w:highlight w:val="none"/>
          <w:lang w:eastAsia="zh-CN"/>
        </w:rPr>
        <w:t>的工作，在解除效力生效之日起14日内配合发包人完成现场工作和有关资料的移交，所交接资料必须完整。监理人无特殊原因未在约定期限内完成移交和撤出，或交接资料不完整的，发包人有权处理其留在现场的材料、设备和其他物件，处理费用由监理人承担；因监理人拒交或延误交接现场工作、有关资料而导致发包人损失的，发包人有权要求监理人赔偿有关损失。发包人在发出部分</w:t>
      </w:r>
      <w:r>
        <w:rPr>
          <w:rFonts w:hint="eastAsia" w:ascii="仿宋" w:hAnsi="仿宋" w:eastAsia="仿宋" w:cs="仿宋"/>
          <w:kern w:val="0"/>
          <w:szCs w:val="21"/>
          <w:highlight w:val="none"/>
          <w:lang w:val="en-US" w:eastAsia="zh-CN"/>
        </w:rPr>
        <w:t>或全部</w:t>
      </w:r>
      <w:r>
        <w:rPr>
          <w:rFonts w:hint="eastAsia" w:ascii="仿宋" w:hAnsi="仿宋" w:eastAsia="仿宋" w:cs="仿宋"/>
          <w:kern w:val="0"/>
          <w:szCs w:val="21"/>
          <w:highlight w:val="none"/>
          <w:lang w:eastAsia="zh-CN"/>
        </w:rPr>
        <w:t>解除合同的通知后，发包人即可委托新的监理人承接该部分</w:t>
      </w:r>
      <w:r>
        <w:rPr>
          <w:rFonts w:hint="eastAsia" w:ascii="仿宋" w:hAnsi="仿宋" w:eastAsia="仿宋" w:cs="仿宋"/>
          <w:kern w:val="0"/>
          <w:szCs w:val="21"/>
          <w:highlight w:val="none"/>
          <w:lang w:val="en-US" w:eastAsia="zh-CN"/>
        </w:rPr>
        <w:t>或全部</w:t>
      </w:r>
      <w:r>
        <w:rPr>
          <w:rFonts w:hint="eastAsia" w:ascii="仿宋" w:hAnsi="仿宋" w:eastAsia="仿宋" w:cs="仿宋"/>
          <w:kern w:val="0"/>
          <w:szCs w:val="21"/>
          <w:highlight w:val="none"/>
          <w:lang w:eastAsia="zh-CN"/>
        </w:rPr>
        <w:t>工程。同时，监理人不得影响或阻碍新的监理人办理进场手续和相关工作。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6.3.3 合同解除后，不影响合同中结算和清理条款的效力。</w:t>
      </w:r>
    </w:p>
    <w:p>
      <w:pPr>
        <w:pStyle w:val="39"/>
        <w:bidi w:val="0"/>
        <w:rPr>
          <w:rFonts w:hint="eastAsia" w:ascii="仿宋" w:hAnsi="仿宋"/>
          <w:lang w:eastAsia="zh-CN"/>
        </w:rPr>
      </w:pPr>
      <w:bookmarkStart w:id="147" w:name="_Toc827700393"/>
      <w:bookmarkStart w:id="148" w:name="_Toc1738402956"/>
      <w:bookmarkStart w:id="149" w:name="_Toc333355463"/>
      <w:r>
        <w:rPr>
          <w:rFonts w:hint="eastAsia" w:ascii="仿宋" w:hAnsi="仿宋"/>
          <w:lang w:eastAsia="zh-CN"/>
        </w:rPr>
        <w:t>6.4 终止</w:t>
      </w:r>
      <w:bookmarkEnd w:id="147"/>
      <w:bookmarkEnd w:id="148"/>
      <w:bookmarkEnd w:id="149"/>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双方履行本合同全部义务，且不存在争议的，本合同即告终止。合同终止后，双方均应遵循诚实信用原则，履行通知、协助、保密等义务。</w:t>
      </w:r>
    </w:p>
    <w:p>
      <w:pPr>
        <w:pStyle w:val="38"/>
        <w:bidi w:val="0"/>
        <w:rPr>
          <w:rFonts w:hint="eastAsia"/>
          <w:lang w:eastAsia="zh-CN"/>
        </w:rPr>
      </w:pPr>
      <w:bookmarkStart w:id="150" w:name="_Toc626313472"/>
      <w:bookmarkStart w:id="151" w:name="_Toc1650556298"/>
      <w:bookmarkStart w:id="152" w:name="_Toc1521365995"/>
      <w:r>
        <w:rPr>
          <w:rFonts w:hint="eastAsia"/>
          <w:lang w:eastAsia="zh-CN"/>
        </w:rPr>
        <w:t>七、争议解决</w:t>
      </w:r>
      <w:bookmarkEnd w:id="150"/>
      <w:bookmarkEnd w:id="151"/>
      <w:bookmarkEnd w:id="152"/>
    </w:p>
    <w:p>
      <w:pPr>
        <w:pStyle w:val="39"/>
        <w:bidi w:val="0"/>
        <w:rPr>
          <w:rFonts w:hint="eastAsia" w:ascii="仿宋" w:hAnsi="仿宋"/>
          <w:lang w:eastAsia="zh-CN"/>
        </w:rPr>
      </w:pPr>
      <w:bookmarkStart w:id="153" w:name="_Toc1574653338"/>
      <w:bookmarkStart w:id="154" w:name="_Toc785770223"/>
      <w:bookmarkStart w:id="155" w:name="_Toc717629220"/>
      <w:r>
        <w:rPr>
          <w:rFonts w:hint="eastAsia" w:ascii="仿宋" w:hAnsi="仿宋"/>
          <w:lang w:eastAsia="zh-CN"/>
        </w:rPr>
        <w:t>7.1 和解</w:t>
      </w:r>
      <w:bookmarkEnd w:id="153"/>
      <w:bookmarkEnd w:id="154"/>
      <w:bookmarkEnd w:id="155"/>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合同当事人可以就争议自行和解，自行和解达成协议的经双方签字并盖章后作为合同补充文件，双方均应遵照执行。</w:t>
      </w:r>
    </w:p>
    <w:p>
      <w:pPr>
        <w:pStyle w:val="39"/>
        <w:bidi w:val="0"/>
        <w:rPr>
          <w:rFonts w:hint="eastAsia" w:ascii="仿宋" w:hAnsi="仿宋"/>
          <w:lang w:eastAsia="zh-CN"/>
        </w:rPr>
      </w:pPr>
      <w:bookmarkStart w:id="156" w:name="_Toc25423853"/>
      <w:bookmarkStart w:id="157" w:name="_Toc504404791"/>
      <w:bookmarkStart w:id="158" w:name="_Toc2095874390"/>
      <w:r>
        <w:rPr>
          <w:rFonts w:hint="eastAsia" w:ascii="仿宋" w:hAnsi="仿宋"/>
          <w:lang w:eastAsia="zh-CN"/>
        </w:rPr>
        <w:t>7.2 调解</w:t>
      </w:r>
      <w:bookmarkEnd w:id="156"/>
      <w:bookmarkEnd w:id="157"/>
      <w:bookmarkEnd w:id="158"/>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合同当事人可以就争议请求行业行政主管部门、行业协会或其他第三方进行调解，调解达成协议的，经双方签字盖章后作为合同补充文件，双方均应遵照执行。</w:t>
      </w:r>
    </w:p>
    <w:p>
      <w:pPr>
        <w:pStyle w:val="39"/>
        <w:bidi w:val="0"/>
        <w:rPr>
          <w:rFonts w:hint="eastAsia" w:ascii="仿宋" w:hAnsi="仿宋"/>
          <w:lang w:eastAsia="zh-CN"/>
        </w:rPr>
      </w:pPr>
      <w:bookmarkStart w:id="159" w:name="_Toc997333035"/>
      <w:bookmarkStart w:id="160" w:name="_Toc670137423"/>
      <w:bookmarkStart w:id="161" w:name="_Toc880458309"/>
      <w:r>
        <w:rPr>
          <w:rFonts w:hint="eastAsia" w:ascii="仿宋" w:hAnsi="仿宋"/>
          <w:lang w:eastAsia="zh-CN"/>
        </w:rPr>
        <w:t>7.3 仲裁或诉讼</w:t>
      </w:r>
      <w:bookmarkEnd w:id="159"/>
      <w:bookmarkEnd w:id="160"/>
      <w:bookmarkEnd w:id="161"/>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因合同及合同有关事项产生的争议，和解或调解不成的，合同当事人可以在专用条款中约定以下一种方式解决争议：</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（1）向约定的仲裁委员会申请仲裁；</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（2）向有管辖权的人民法院起诉。</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0"/>
          <w:sz w:val="24"/>
          <w:szCs w:val="24"/>
          <w:highlight w:val="none"/>
          <w:lang w:eastAsia="zh-CN"/>
        </w:rPr>
      </w:pPr>
      <w:bookmarkStart w:id="162" w:name="_Toc875060494"/>
      <w:bookmarkStart w:id="163" w:name="_Toc272268467"/>
      <w:bookmarkStart w:id="164" w:name="_Toc433809150"/>
      <w:r>
        <w:rPr>
          <w:rFonts w:hint="eastAsia" w:ascii="仿宋" w:hAnsi="仿宋" w:eastAsia="仿宋" w:cs="仿宋"/>
          <w:b/>
          <w:bCs/>
          <w:kern w:val="0"/>
          <w:sz w:val="24"/>
          <w:szCs w:val="24"/>
          <w:highlight w:val="none"/>
          <w:lang w:eastAsia="zh-CN"/>
        </w:rPr>
        <w:t>八、其他</w:t>
      </w:r>
      <w:bookmarkEnd w:id="162"/>
      <w:bookmarkEnd w:id="163"/>
      <w:bookmarkEnd w:id="164"/>
    </w:p>
    <w:p>
      <w:pPr>
        <w:pStyle w:val="39"/>
        <w:bidi w:val="0"/>
        <w:rPr>
          <w:rFonts w:hint="eastAsia" w:ascii="仿宋" w:hAnsi="仿宋"/>
          <w:lang w:eastAsia="zh-CN"/>
        </w:rPr>
      </w:pPr>
      <w:bookmarkStart w:id="165" w:name="_Toc38482296"/>
      <w:bookmarkStart w:id="166" w:name="_Toc704588174"/>
      <w:bookmarkStart w:id="167" w:name="_Toc226230188"/>
      <w:r>
        <w:rPr>
          <w:rFonts w:hint="eastAsia" w:ascii="仿宋" w:hAnsi="仿宋"/>
          <w:lang w:eastAsia="zh-CN"/>
        </w:rPr>
        <w:t>8.1 检测费用</w:t>
      </w:r>
      <w:bookmarkEnd w:id="165"/>
      <w:bookmarkEnd w:id="166"/>
      <w:bookmarkEnd w:id="167"/>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经发包人同意，监理人进行材料和设备检测所发生的费用，由监理人</w:t>
      </w:r>
      <w:r>
        <w:rPr>
          <w:rFonts w:hint="eastAsia" w:ascii="仿宋" w:hAnsi="仿宋" w:eastAsia="仿宋" w:cs="仿宋"/>
          <w:kern w:val="0"/>
          <w:szCs w:val="21"/>
          <w:highlight w:val="none"/>
          <w:lang w:val="en-US" w:eastAsia="zh-CN"/>
        </w:rPr>
        <w:t>承担</w:t>
      </w:r>
      <w:r>
        <w:rPr>
          <w:rFonts w:hint="eastAsia" w:ascii="仿宋" w:hAnsi="仿宋" w:eastAsia="仿宋" w:cs="仿宋"/>
          <w:kern w:val="0"/>
          <w:szCs w:val="21"/>
          <w:highlight w:val="none"/>
          <w:lang w:eastAsia="zh-CN"/>
        </w:rPr>
        <w:t>。</w:t>
      </w:r>
    </w:p>
    <w:p>
      <w:pPr>
        <w:pStyle w:val="39"/>
        <w:bidi w:val="0"/>
        <w:rPr>
          <w:rFonts w:hint="eastAsia" w:ascii="仿宋" w:hAnsi="仿宋"/>
          <w:lang w:eastAsia="zh-CN"/>
        </w:rPr>
      </w:pPr>
      <w:bookmarkStart w:id="168" w:name="_Toc1878286383"/>
      <w:bookmarkStart w:id="169" w:name="_Toc1758501209"/>
      <w:bookmarkStart w:id="170" w:name="_Toc2113708570"/>
      <w:r>
        <w:rPr>
          <w:rFonts w:hint="eastAsia" w:ascii="仿宋" w:hAnsi="仿宋"/>
          <w:lang w:eastAsia="zh-CN"/>
        </w:rPr>
        <w:t>8.</w:t>
      </w:r>
      <w:r>
        <w:rPr>
          <w:rFonts w:hint="eastAsia" w:ascii="仿宋" w:hAnsi="仿宋"/>
          <w:lang w:val="en-US" w:eastAsia="zh-CN"/>
        </w:rPr>
        <w:t>2</w:t>
      </w:r>
      <w:r>
        <w:rPr>
          <w:rFonts w:hint="eastAsia" w:ascii="仿宋" w:hAnsi="仿宋"/>
          <w:lang w:eastAsia="zh-CN"/>
        </w:rPr>
        <w:t xml:space="preserve"> 咨询费用</w:t>
      </w:r>
      <w:bookmarkEnd w:id="168"/>
      <w:bookmarkEnd w:id="169"/>
      <w:bookmarkEnd w:id="170"/>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在监理业务范围内，如需聘用专家咨询或协助，由监理人聘用的，其费用由监理人承担；由发包人聘用的，其费用由发包人承担。</w:t>
      </w:r>
    </w:p>
    <w:p>
      <w:pPr>
        <w:pStyle w:val="39"/>
        <w:bidi w:val="0"/>
        <w:rPr>
          <w:rFonts w:hint="eastAsia" w:ascii="仿宋" w:hAnsi="仿宋"/>
          <w:lang w:eastAsia="zh-CN"/>
        </w:rPr>
      </w:pPr>
      <w:bookmarkStart w:id="171" w:name="_Toc1876470168"/>
      <w:bookmarkStart w:id="172" w:name="_Toc854676714"/>
      <w:bookmarkStart w:id="173" w:name="_Toc1715498597"/>
      <w:r>
        <w:rPr>
          <w:rFonts w:hint="eastAsia" w:ascii="仿宋" w:hAnsi="仿宋"/>
          <w:lang w:eastAsia="zh-CN"/>
        </w:rPr>
        <w:t>8.</w:t>
      </w:r>
      <w:r>
        <w:rPr>
          <w:rFonts w:hint="eastAsia" w:ascii="仿宋" w:hAnsi="仿宋"/>
          <w:lang w:val="en-US" w:eastAsia="zh-CN"/>
        </w:rPr>
        <w:t>3</w:t>
      </w:r>
      <w:r>
        <w:rPr>
          <w:rFonts w:hint="eastAsia" w:ascii="仿宋" w:hAnsi="仿宋"/>
          <w:lang w:eastAsia="zh-CN"/>
        </w:rPr>
        <w:t xml:space="preserve"> 奖励</w:t>
      </w:r>
      <w:bookmarkEnd w:id="171"/>
      <w:bookmarkEnd w:id="172"/>
      <w:bookmarkEnd w:id="173"/>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监理人在监理工作过程中提出的合理化建议，使发包人得到了经济效益，除专用条款另有约定，发包人不给予经济奖励。</w:t>
      </w:r>
    </w:p>
    <w:p>
      <w:pPr>
        <w:pStyle w:val="39"/>
        <w:bidi w:val="0"/>
        <w:rPr>
          <w:rFonts w:hint="eastAsia" w:ascii="仿宋" w:hAnsi="仿宋"/>
          <w:lang w:eastAsia="zh-CN"/>
        </w:rPr>
      </w:pPr>
      <w:bookmarkStart w:id="174" w:name="_Toc2027612484"/>
      <w:bookmarkStart w:id="175" w:name="_Toc1823082206"/>
      <w:bookmarkStart w:id="176" w:name="_Toc1193722711"/>
      <w:r>
        <w:rPr>
          <w:rFonts w:hint="eastAsia" w:ascii="仿宋" w:hAnsi="仿宋"/>
          <w:lang w:eastAsia="zh-CN"/>
        </w:rPr>
        <w:t>8</w:t>
      </w:r>
      <w:r>
        <w:rPr>
          <w:rFonts w:hint="eastAsia" w:ascii="仿宋" w:hAnsi="仿宋"/>
          <w:lang w:val="en-US" w:eastAsia="zh-CN"/>
        </w:rPr>
        <w:t>.4 守法诚信</w:t>
      </w:r>
      <w:bookmarkEnd w:id="174"/>
      <w:bookmarkEnd w:id="175"/>
      <w:bookmarkEnd w:id="176"/>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监理人的项目监理机构及其人员不得接受施工单位的任何报酬或者经济利益，不得参与可能与合同约定或与发包人利益相冲突的任何活动。</w:t>
      </w:r>
    </w:p>
    <w:p>
      <w:pPr>
        <w:pStyle w:val="39"/>
        <w:bidi w:val="0"/>
        <w:rPr>
          <w:rFonts w:hint="eastAsia" w:ascii="仿宋" w:hAnsi="仿宋"/>
          <w:lang w:eastAsia="zh-CN"/>
        </w:rPr>
      </w:pPr>
      <w:bookmarkStart w:id="177" w:name="_Toc1971945949"/>
      <w:bookmarkStart w:id="178" w:name="_Toc257960643"/>
      <w:bookmarkStart w:id="179" w:name="_Toc40046556"/>
      <w:r>
        <w:rPr>
          <w:rFonts w:hint="eastAsia" w:ascii="仿宋" w:hAnsi="仿宋"/>
          <w:lang w:eastAsia="zh-CN"/>
        </w:rPr>
        <w:t>8.</w:t>
      </w:r>
      <w:r>
        <w:rPr>
          <w:rFonts w:hint="eastAsia" w:ascii="仿宋" w:hAnsi="仿宋"/>
          <w:lang w:val="en-US" w:eastAsia="zh-CN"/>
        </w:rPr>
        <w:t>5</w:t>
      </w:r>
      <w:r>
        <w:rPr>
          <w:rFonts w:hint="eastAsia" w:ascii="仿宋" w:hAnsi="仿宋"/>
          <w:lang w:eastAsia="zh-CN"/>
        </w:rPr>
        <w:t xml:space="preserve"> 保密</w:t>
      </w:r>
      <w:bookmarkEnd w:id="177"/>
      <w:bookmarkEnd w:id="178"/>
      <w:bookmarkEnd w:id="179"/>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在合同期内或合同终止后，未征得有关方（包括但不限于双方、设计人、施工单位等）同意，不得泄露与本工程、本合同业务有关的保密资料及保密信息，保密事项在专用条款中约定。</w:t>
      </w:r>
    </w:p>
    <w:p>
      <w:pPr>
        <w:pStyle w:val="39"/>
        <w:bidi w:val="0"/>
        <w:rPr>
          <w:rFonts w:hint="eastAsia" w:ascii="仿宋" w:hAnsi="仿宋"/>
          <w:lang w:eastAsia="zh-CN"/>
        </w:rPr>
      </w:pPr>
      <w:bookmarkStart w:id="180" w:name="_Toc2097947843"/>
      <w:bookmarkStart w:id="181" w:name="_Toc1586863656"/>
      <w:bookmarkStart w:id="182" w:name="_Toc1741531951"/>
      <w:r>
        <w:rPr>
          <w:rFonts w:hint="eastAsia" w:ascii="仿宋" w:hAnsi="仿宋"/>
          <w:lang w:eastAsia="zh-CN"/>
        </w:rPr>
        <w:t>8.</w:t>
      </w:r>
      <w:r>
        <w:rPr>
          <w:rFonts w:hint="eastAsia" w:ascii="仿宋" w:hAnsi="仿宋"/>
          <w:lang w:val="en-US" w:eastAsia="zh-CN"/>
        </w:rPr>
        <w:t>6</w:t>
      </w:r>
      <w:r>
        <w:rPr>
          <w:rFonts w:hint="eastAsia" w:ascii="仿宋" w:hAnsi="仿宋"/>
          <w:lang w:eastAsia="zh-CN"/>
        </w:rPr>
        <w:t xml:space="preserve"> 通知与送达</w:t>
      </w:r>
      <w:bookmarkEnd w:id="180"/>
      <w:bookmarkEnd w:id="181"/>
      <w:bookmarkEnd w:id="182"/>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8.</w:t>
      </w:r>
      <w:r>
        <w:rPr>
          <w:rFonts w:hint="eastAsia" w:ascii="仿宋" w:hAnsi="仿宋" w:eastAsia="仿宋" w:cs="仿宋"/>
          <w:kern w:val="0"/>
          <w:szCs w:val="21"/>
          <w:highlight w:val="none"/>
          <w:lang w:val="en-US" w:eastAsia="zh-CN"/>
        </w:rPr>
        <w:t>6</w:t>
      </w:r>
      <w:r>
        <w:rPr>
          <w:rFonts w:hint="eastAsia" w:ascii="仿宋" w:hAnsi="仿宋" w:eastAsia="仿宋" w:cs="仿宋"/>
          <w:kern w:val="0"/>
          <w:szCs w:val="21"/>
          <w:highlight w:val="none"/>
          <w:lang w:eastAsia="zh-CN"/>
        </w:rPr>
        <w:t>.1 致监理人通知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根据本合同由发包人发给监理人的一切通知、指令等均应发送或派专人送达监理人在本合同中明确的地址或监理人为此指定的其他地址。</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8.</w:t>
      </w:r>
      <w:r>
        <w:rPr>
          <w:rFonts w:hint="eastAsia" w:ascii="仿宋" w:hAnsi="仿宋" w:eastAsia="仿宋" w:cs="仿宋"/>
          <w:kern w:val="0"/>
          <w:szCs w:val="21"/>
          <w:highlight w:val="none"/>
          <w:lang w:val="en-US" w:eastAsia="zh-CN"/>
        </w:rPr>
        <w:t>6</w:t>
      </w:r>
      <w:r>
        <w:rPr>
          <w:rFonts w:hint="eastAsia" w:ascii="仿宋" w:hAnsi="仿宋" w:eastAsia="仿宋" w:cs="仿宋"/>
          <w:kern w:val="0"/>
          <w:szCs w:val="21"/>
          <w:highlight w:val="none"/>
          <w:lang w:eastAsia="zh-CN"/>
        </w:rPr>
        <w:t>.2 致发包人通知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根据本合同由监理人发给发包人的一切通知、请求等均应发送或派专人送达发包人在本合同中明确的地址或发包人为此指定的其他地址。</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8.</w:t>
      </w:r>
      <w:r>
        <w:rPr>
          <w:rFonts w:hint="eastAsia" w:ascii="仿宋" w:hAnsi="仿宋" w:eastAsia="仿宋" w:cs="仿宋"/>
          <w:kern w:val="0"/>
          <w:szCs w:val="21"/>
          <w:highlight w:val="none"/>
          <w:lang w:val="en-US" w:eastAsia="zh-CN"/>
        </w:rPr>
        <w:t>6</w:t>
      </w:r>
      <w:r>
        <w:rPr>
          <w:rFonts w:hint="eastAsia" w:ascii="仿宋" w:hAnsi="仿宋" w:eastAsia="仿宋" w:cs="仿宋"/>
          <w:kern w:val="0"/>
          <w:szCs w:val="21"/>
          <w:highlight w:val="none"/>
          <w:lang w:eastAsia="zh-CN"/>
        </w:rPr>
        <w:t>.3 送达</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与合同有关的通知、批准、证明、证书、指示、指令、要求、请求、同意、意见、确定和决定等，均应采用书面形式，并应在合同约定的期限内（如无约定，应在合理期限内）通过特快专递或专人、挂号信、传真或双方商定的电子传输方式邮寄至收件地址。</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发包人、监理人应当及时签收另一方通过约定的送达方式送达至收件地址的来往文件。</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如一方拒绝签收另一方通知，另一方以特快专递等专用条款约定的方式将通知送至本合同明确的地址，视为送达。无正当理由拒不签收的，由此增加的费用和（或）延误的工期和（或）引发的相关责任,由拒绝接收一方承担。</w:t>
      </w:r>
    </w:p>
    <w:p>
      <w:pPr>
        <w:pStyle w:val="39"/>
        <w:bidi w:val="0"/>
        <w:rPr>
          <w:rFonts w:hint="eastAsia" w:ascii="仿宋" w:hAnsi="仿宋"/>
          <w:lang w:eastAsia="zh-CN"/>
        </w:rPr>
      </w:pPr>
      <w:bookmarkStart w:id="183" w:name="_Toc94444120"/>
      <w:bookmarkStart w:id="184" w:name="_Toc157005985"/>
      <w:bookmarkStart w:id="185" w:name="_Toc526234400"/>
      <w:r>
        <w:rPr>
          <w:rFonts w:hint="eastAsia" w:ascii="仿宋" w:hAnsi="仿宋"/>
          <w:lang w:eastAsia="zh-CN"/>
        </w:rPr>
        <w:t>8.</w:t>
      </w:r>
      <w:r>
        <w:rPr>
          <w:rFonts w:hint="eastAsia" w:ascii="仿宋" w:hAnsi="仿宋"/>
          <w:lang w:val="en-US" w:eastAsia="zh-CN"/>
        </w:rPr>
        <w:t>7</w:t>
      </w:r>
      <w:r>
        <w:rPr>
          <w:rFonts w:hint="eastAsia" w:ascii="仿宋" w:hAnsi="仿宋"/>
          <w:lang w:eastAsia="zh-CN"/>
        </w:rPr>
        <w:t xml:space="preserve"> 知识产权</w:t>
      </w:r>
      <w:bookmarkEnd w:id="183"/>
      <w:bookmarkEnd w:id="184"/>
      <w:bookmarkEnd w:id="185"/>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合同涉及的知识产权归属，由双方在专用条款另行约定。</w:t>
      </w:r>
    </w:p>
    <w:p>
      <w:pPr>
        <w:pStyle w:val="39"/>
        <w:bidi w:val="0"/>
        <w:rPr>
          <w:rFonts w:hint="eastAsia" w:ascii="仿宋" w:hAnsi="仿宋"/>
          <w:lang w:val="en-US" w:eastAsia="zh-CN"/>
        </w:rPr>
      </w:pPr>
      <w:r>
        <w:rPr>
          <w:rFonts w:hint="eastAsia" w:ascii="仿宋" w:hAnsi="仿宋"/>
          <w:lang w:val="en-US" w:eastAsia="zh-CN"/>
        </w:rPr>
        <w:t>8.8特殊约定</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合同的</w:t>
      </w:r>
      <w:r>
        <w:rPr>
          <w:rFonts w:hint="eastAsia" w:ascii="仿宋" w:hAnsi="仿宋" w:eastAsia="仿宋" w:cs="仿宋"/>
          <w:kern w:val="0"/>
          <w:szCs w:val="21"/>
          <w:highlight w:val="none"/>
          <w:lang w:val="en-US" w:eastAsia="zh-CN"/>
        </w:rPr>
        <w:t>特殊约定</w:t>
      </w:r>
      <w:r>
        <w:rPr>
          <w:rFonts w:hint="eastAsia" w:ascii="仿宋" w:hAnsi="仿宋" w:eastAsia="仿宋" w:cs="仿宋"/>
          <w:kern w:val="0"/>
          <w:szCs w:val="21"/>
          <w:highlight w:val="none"/>
          <w:lang w:eastAsia="zh-CN"/>
        </w:rPr>
        <w:t>，由双方在专用条款另行约定。</w:t>
      </w:r>
    </w:p>
    <w:p>
      <w:pPr>
        <w:widowControl/>
        <w:spacing w:line="240" w:lineRule="auto"/>
        <w:ind w:firstLine="560" w:firstLineChars="200"/>
        <w:jc w:val="left"/>
        <w:rPr>
          <w:rFonts w:hint="eastAsia" w:ascii="Times New Roman" w:hAnsi="Times New Roman" w:eastAsia="仿宋" w:cs="仿宋"/>
          <w:color w:val="000000" w:themeColor="text1"/>
          <w:sz w:val="28"/>
          <w:szCs w:val="28"/>
          <w:highlight w:val="none"/>
          <w14:textFill>
            <w14:solidFill>
              <w14:schemeClr w14:val="tx1"/>
            </w14:solidFill>
          </w14:textFill>
        </w:rPr>
      </w:pPr>
      <w:r>
        <w:rPr>
          <w:rFonts w:hint="eastAsia" w:ascii="Times New Roman" w:hAnsi="Times New Roman" w:eastAsia="仿宋" w:cs="仿宋"/>
          <w:color w:val="000000" w:themeColor="text1"/>
          <w:sz w:val="28"/>
          <w:szCs w:val="28"/>
          <w:highlight w:val="none"/>
          <w14:textFill>
            <w14:solidFill>
              <w14:schemeClr w14:val="tx1"/>
            </w14:solidFill>
          </w14:textFill>
        </w:rPr>
        <w:br w:type="page"/>
      </w:r>
    </w:p>
    <w:p>
      <w:pPr>
        <w:widowControl/>
        <w:spacing w:line="360" w:lineRule="auto"/>
        <w:jc w:val="center"/>
        <w:outlineLvl w:val="0"/>
        <w:rPr>
          <w:rFonts w:hint="eastAsia" w:ascii="Times New Roman" w:hAnsi="Times New Roman" w:eastAsia="仿宋" w:cs="仿宋"/>
          <w:b/>
          <w:bCs/>
          <w:color w:val="000000" w:themeColor="text1"/>
          <w:sz w:val="32"/>
          <w:szCs w:val="32"/>
          <w:highlight w:val="none"/>
          <w14:textFill>
            <w14:solidFill>
              <w14:schemeClr w14:val="tx1"/>
            </w14:solidFill>
          </w14:textFill>
        </w:rPr>
      </w:pPr>
      <w:bookmarkStart w:id="186" w:name="_Toc196579859"/>
      <w:bookmarkStart w:id="187" w:name="_Toc827168436"/>
      <w:bookmarkStart w:id="188" w:name="_Toc280038494"/>
      <w:r>
        <w:rPr>
          <w:rFonts w:hint="eastAsia" w:ascii="Times New Roman" w:hAnsi="Times New Roman" w:eastAsia="仿宋" w:cs="仿宋"/>
          <w:b/>
          <w:bCs/>
          <w:color w:val="000000" w:themeColor="text1"/>
          <w:sz w:val="32"/>
          <w:szCs w:val="32"/>
          <w:highlight w:val="none"/>
          <w14:textFill>
            <w14:solidFill>
              <w14:schemeClr w14:val="tx1"/>
            </w14:solidFill>
          </w14:textFill>
        </w:rPr>
        <w:t>第三部分  专用条款</w:t>
      </w:r>
      <w:bookmarkEnd w:id="186"/>
      <w:bookmarkEnd w:id="187"/>
      <w:bookmarkEnd w:id="188"/>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本专用条款是对本合同通用条款中有需要进行定义、解释或具体约定的条款内容进行补充、删除或修改，其条款序号与通用条款中的一一对应，并且专用条款较通用条款具优先解释权。专用条款中缺号的条款表示按通用条款中对应的条款执行。</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0"/>
          <w:sz w:val="24"/>
          <w:szCs w:val="24"/>
          <w:highlight w:val="none"/>
          <w:lang w:eastAsia="zh-CN"/>
        </w:rPr>
      </w:pPr>
      <w:bookmarkStart w:id="189" w:name="_Toc2088623708"/>
      <w:bookmarkStart w:id="190" w:name="_Toc377016301"/>
      <w:bookmarkStart w:id="191" w:name="_Toc1560012139"/>
      <w:r>
        <w:rPr>
          <w:rFonts w:hint="eastAsia" w:ascii="仿宋" w:hAnsi="仿宋" w:eastAsia="仿宋" w:cs="仿宋"/>
          <w:b/>
          <w:bCs/>
          <w:kern w:val="0"/>
          <w:sz w:val="24"/>
          <w:szCs w:val="24"/>
          <w:highlight w:val="none"/>
          <w:lang w:eastAsia="zh-CN"/>
        </w:rPr>
        <w:t>一、总则</w:t>
      </w:r>
      <w:bookmarkEnd w:id="189"/>
      <w:bookmarkEnd w:id="190"/>
      <w:bookmarkEnd w:id="191"/>
    </w:p>
    <w:p>
      <w:pPr>
        <w:pStyle w:val="39"/>
        <w:bidi w:val="0"/>
        <w:rPr>
          <w:rFonts w:hint="eastAsia" w:ascii="仿宋" w:hAnsi="仿宋"/>
          <w:lang w:eastAsia="zh-CN"/>
        </w:rPr>
      </w:pPr>
      <w:bookmarkStart w:id="192" w:name="_Toc166465668"/>
      <w:bookmarkStart w:id="193" w:name="_Toc1096908665"/>
      <w:bookmarkStart w:id="194" w:name="_Toc1727845389"/>
      <w:r>
        <w:rPr>
          <w:rFonts w:hint="eastAsia" w:ascii="仿宋" w:hAnsi="仿宋"/>
          <w:lang w:eastAsia="zh-CN"/>
        </w:rPr>
        <w:t>1.2 本合同适用的法律法规及规范等</w:t>
      </w:r>
      <w:bookmarkEnd w:id="192"/>
      <w:bookmarkEnd w:id="193"/>
      <w:bookmarkEnd w:id="194"/>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1.2.1 本合同适用的法律、法规、规章，包括但不限于：</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（1）《中华人民共和国民法典》；</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（2）《建设工程质量管理条例》；</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（3）其他：</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1.2.2 本项目监理及相关服务适用的国家、行业及项目所在地地方标准、规范，包括但不限于：</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（1）《建设工程监理规范》（GB</w:t>
      </w:r>
      <w:r>
        <w:rPr>
          <w:rFonts w:hint="eastAsia" w:ascii="仿宋" w:hAnsi="仿宋" w:eastAsia="仿宋" w:cs="仿宋"/>
          <w:kern w:val="0"/>
          <w:szCs w:val="21"/>
          <w:highlight w:val="none"/>
          <w:lang w:val="en-US" w:eastAsia="zh-CN"/>
        </w:rPr>
        <w:t xml:space="preserve"> </w:t>
      </w:r>
      <w:r>
        <w:rPr>
          <w:rFonts w:hint="eastAsia" w:ascii="仿宋" w:hAnsi="仿宋" w:eastAsia="仿宋" w:cs="仿宋"/>
          <w:kern w:val="0"/>
          <w:szCs w:val="21"/>
          <w:highlight w:val="none"/>
          <w:lang w:eastAsia="zh-CN"/>
        </w:rPr>
        <w:t>50319－2013）；</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lang w:eastAsia="zh-CN"/>
        </w:rPr>
        <w:t>）《公路工程施工监理规范》（JTG G10-2016）；</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3</w:t>
      </w:r>
      <w:r>
        <w:rPr>
          <w:rFonts w:hint="eastAsia" w:ascii="仿宋" w:hAnsi="仿宋" w:eastAsia="仿宋" w:cs="仿宋"/>
          <w:kern w:val="0"/>
          <w:szCs w:val="21"/>
          <w:highlight w:val="none"/>
          <w:lang w:eastAsia="zh-CN"/>
        </w:rPr>
        <w:t>）广东省、广州市颁布的与监理有关的政策、法规等文件；</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4</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广州地区现行的有关工程预结算定额和文件；</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5</w:t>
      </w:r>
      <w:r>
        <w:rPr>
          <w:rFonts w:hint="eastAsia" w:ascii="仿宋" w:hAnsi="仿宋" w:eastAsia="仿宋" w:cs="仿宋"/>
          <w:kern w:val="0"/>
          <w:szCs w:val="21"/>
          <w:highlight w:val="none"/>
          <w:lang w:eastAsia="zh-CN"/>
        </w:rPr>
        <w:t>）国家及广东省、广州市现行的设计规范（规程）、施工技术规范和质量检验评定标准、验收标准；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6）</w:t>
      </w:r>
      <w:r>
        <w:rPr>
          <w:rFonts w:hint="eastAsia" w:ascii="仿宋" w:hAnsi="仿宋" w:eastAsia="仿宋" w:cs="仿宋"/>
          <w:kern w:val="0"/>
          <w:szCs w:val="21"/>
          <w:highlight w:val="none"/>
          <w:lang w:eastAsia="zh-CN"/>
        </w:rPr>
        <w:t>其他：</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1.2.3 其他监理依据</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（1）发包人和监理人签订的合同及补充协议或备忘录；</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（2）发包人签订的与本项目相关的建设管理合同；</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（3）经发包人审查认可的本工程正式的工程地质勘察报告、施工图纸、说明以及会审记录、有关工程洽商的技术、施工洽商记录、设计修改和变更文件；</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（4）经发包人审批认可，由监理人编制的监理大纲、监理规划、监理实施细则；</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（5）发包人发出的指令。</w:t>
      </w:r>
    </w:p>
    <w:p>
      <w:pPr>
        <w:pStyle w:val="39"/>
        <w:bidi w:val="0"/>
        <w:rPr>
          <w:rFonts w:hint="eastAsia" w:ascii="仿宋" w:hAnsi="仿宋"/>
          <w:lang w:eastAsia="zh-CN"/>
        </w:rPr>
      </w:pPr>
      <w:bookmarkStart w:id="195" w:name="_Toc1168497674"/>
      <w:bookmarkStart w:id="196" w:name="_Toc235681131"/>
      <w:bookmarkStart w:id="197" w:name="_Toc1143262697"/>
      <w:r>
        <w:rPr>
          <w:rFonts w:hint="eastAsia" w:ascii="仿宋" w:hAnsi="仿宋"/>
          <w:lang w:eastAsia="zh-CN"/>
        </w:rPr>
        <w:t>1.3 语言文字</w:t>
      </w:r>
      <w:bookmarkEnd w:id="195"/>
      <w:bookmarkEnd w:id="196"/>
      <w:bookmarkEnd w:id="197"/>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本合同使用的语言文字：</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0"/>
          <w:sz w:val="24"/>
          <w:szCs w:val="24"/>
          <w:highlight w:val="none"/>
          <w:lang w:eastAsia="zh-CN"/>
        </w:rPr>
      </w:pPr>
      <w:bookmarkStart w:id="198" w:name="_Toc45134648"/>
      <w:bookmarkStart w:id="199" w:name="_Toc654831959"/>
      <w:bookmarkStart w:id="200" w:name="_Toc697013702"/>
      <w:r>
        <w:rPr>
          <w:rFonts w:hint="eastAsia" w:ascii="仿宋" w:hAnsi="仿宋" w:eastAsia="仿宋" w:cs="仿宋"/>
          <w:b/>
          <w:bCs/>
          <w:kern w:val="0"/>
          <w:sz w:val="24"/>
          <w:szCs w:val="24"/>
          <w:highlight w:val="none"/>
          <w:lang w:eastAsia="zh-CN"/>
        </w:rPr>
        <w:t>二、监理人义务</w:t>
      </w:r>
      <w:bookmarkEnd w:id="198"/>
      <w:bookmarkEnd w:id="199"/>
      <w:bookmarkEnd w:id="200"/>
    </w:p>
    <w:p>
      <w:pPr>
        <w:pStyle w:val="39"/>
        <w:bidi w:val="0"/>
        <w:rPr>
          <w:rFonts w:hint="eastAsia" w:ascii="仿宋" w:hAnsi="仿宋"/>
          <w:lang w:eastAsia="zh-CN"/>
        </w:rPr>
      </w:pPr>
      <w:bookmarkStart w:id="201" w:name="_Toc509136395"/>
      <w:bookmarkStart w:id="202" w:name="_Toc167001501"/>
      <w:bookmarkStart w:id="203" w:name="_Toc524934670"/>
      <w:r>
        <w:rPr>
          <w:rFonts w:hint="eastAsia" w:ascii="仿宋" w:hAnsi="仿宋"/>
          <w:lang w:eastAsia="zh-CN"/>
        </w:rPr>
        <w:t>2.2 监理工作内容</w:t>
      </w:r>
      <w:bookmarkEnd w:id="201"/>
      <w:bookmarkEnd w:id="202"/>
      <w:bookmarkEnd w:id="203"/>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strike w:val="0"/>
          <w:color w:val="auto"/>
          <w:kern w:val="0"/>
          <w:sz w:val="21"/>
          <w:szCs w:val="21"/>
          <w:highlight w:val="none"/>
          <w:u w:val="none"/>
          <w:lang w:val="en-US" w:eastAsia="zh-CN"/>
        </w:rPr>
        <w:t>在通用条款</w:t>
      </w:r>
      <w:r>
        <w:rPr>
          <w:rFonts w:hint="eastAsia" w:ascii="仿宋" w:hAnsi="仿宋" w:eastAsia="仿宋" w:cs="仿宋"/>
          <w:kern w:val="0"/>
          <w:szCs w:val="21"/>
          <w:highlight w:val="none"/>
          <w:lang w:val="en-US" w:eastAsia="zh-CN"/>
        </w:rPr>
        <w:t>的</w:t>
      </w:r>
      <w:r>
        <w:rPr>
          <w:rFonts w:hint="eastAsia" w:ascii="仿宋" w:hAnsi="仿宋" w:eastAsia="仿宋" w:cs="仿宋"/>
          <w:strike w:val="0"/>
          <w:color w:val="auto"/>
          <w:kern w:val="0"/>
          <w:sz w:val="21"/>
          <w:szCs w:val="21"/>
          <w:highlight w:val="none"/>
          <w:u w:val="none"/>
          <w:lang w:val="en-US" w:eastAsia="zh-CN"/>
        </w:rPr>
        <w:t>基础上补充</w:t>
      </w:r>
      <w:r>
        <w:rPr>
          <w:rFonts w:hint="eastAsia" w:ascii="仿宋" w:hAnsi="仿宋" w:eastAsia="仿宋" w:cs="仿宋"/>
          <w:kern w:val="0"/>
          <w:szCs w:val="21"/>
          <w:highlight w:val="none"/>
          <w:lang w:val="en-US" w:eastAsia="zh-CN"/>
        </w:rPr>
        <w:t>以下内容：</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u w:val="single"/>
          <w:lang w:eastAsia="zh-CN"/>
        </w:rPr>
      </w:pPr>
      <w:r>
        <w:rPr>
          <w:rFonts w:hint="eastAsia" w:ascii="仿宋" w:hAnsi="仿宋" w:eastAsia="仿宋" w:cs="仿宋"/>
          <w:kern w:val="0"/>
          <w:szCs w:val="21"/>
          <w:highlight w:val="none"/>
          <w:lang w:eastAsia="zh-CN"/>
        </w:rPr>
        <w:t>2.2.1（４）其他</w:t>
      </w:r>
      <w:r>
        <w:rPr>
          <w:rFonts w:hint="eastAsia" w:ascii="仿宋" w:hAnsi="仿宋" w:eastAsia="仿宋" w:cs="仿宋"/>
          <w:kern w:val="0"/>
          <w:szCs w:val="21"/>
          <w:highlight w:val="none"/>
          <w:lang w:val="en-US" w:eastAsia="zh-CN"/>
        </w:rPr>
        <w:t>现场及人员管理方面要求：</w:t>
      </w:r>
      <w:r>
        <w:rPr>
          <w:rFonts w:hint="eastAsia" w:ascii="仿宋" w:hAnsi="仿宋" w:eastAsia="仿宋" w:cs="仿宋"/>
          <w:color w:val="auto"/>
          <w:kern w:val="0"/>
          <w:sz w:val="21"/>
          <w:szCs w:val="21"/>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u w:val="single"/>
          <w:lang w:val="en-US" w:eastAsia="zh-CN"/>
        </w:rPr>
      </w:pPr>
      <w:r>
        <w:rPr>
          <w:rFonts w:hint="eastAsia" w:ascii="仿宋" w:hAnsi="仿宋" w:eastAsia="仿宋" w:cs="仿宋"/>
          <w:kern w:val="0"/>
          <w:szCs w:val="21"/>
          <w:highlight w:val="none"/>
          <w:lang w:val="en-US" w:eastAsia="zh-CN"/>
        </w:rPr>
        <w:t>2.2.2 （11）监理人提供验收意见的期限：</w:t>
      </w:r>
      <w:r>
        <w:rPr>
          <w:rFonts w:hint="eastAsia" w:ascii="仿宋" w:hAnsi="仿宋" w:eastAsia="仿宋" w:cs="仿宋"/>
          <w:color w:val="auto"/>
          <w:kern w:val="0"/>
          <w:sz w:val="21"/>
          <w:szCs w:val="21"/>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（12）工程缺陷责任期内，监理人到现场巡检的频率：</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kern w:val="0"/>
          <w:szCs w:val="21"/>
          <w:highlight w:val="none"/>
          <w:lang w:val="en-US" w:eastAsia="zh-CN"/>
        </w:rPr>
        <w:t xml:space="preserve">     </w:t>
      </w:r>
    </w:p>
    <w:p>
      <w:pPr>
        <w:widowControl/>
        <w:spacing w:line="240" w:lineRule="auto"/>
        <w:ind w:firstLine="1050" w:firstLineChars="5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项目质量保修期内，监理工作要求：</w:t>
      </w:r>
      <w:r>
        <w:rPr>
          <w:rFonts w:hint="eastAsia" w:ascii="仿宋" w:hAnsi="仿宋" w:eastAsia="仿宋" w:cs="仿宋"/>
          <w:kern w:val="0"/>
          <w:szCs w:val="21"/>
          <w:highlight w:val="none"/>
          <w:u w:val="single"/>
          <w:lang w:val="en-US" w:eastAsia="zh-CN"/>
        </w:rPr>
        <w:t>按发包人要求</w:t>
      </w:r>
      <w:r>
        <w:rPr>
          <w:rFonts w:hint="eastAsia" w:ascii="仿宋" w:hAnsi="仿宋" w:eastAsia="仿宋" w:cs="仿宋"/>
          <w:kern w:val="0"/>
          <w:szCs w:val="21"/>
          <w:highlight w:val="none"/>
          <w:lang w:val="en-US" w:eastAsia="zh-CN"/>
        </w:rPr>
        <w:t>。</w:t>
      </w:r>
    </w:p>
    <w:p>
      <w:pPr>
        <w:widowControl/>
        <w:autoSpaceDE/>
        <w:autoSpaceDN/>
        <w:adjustRightInd/>
        <w:spacing w:line="240" w:lineRule="auto"/>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 xml:space="preserve">（14）定期巡查频率： </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w:t>
      </w:r>
    </w:p>
    <w:p>
      <w:pPr>
        <w:widowControl/>
        <w:autoSpaceDE/>
        <w:autoSpaceDN/>
        <w:adjustRightInd/>
        <w:spacing w:line="240" w:lineRule="auto"/>
        <w:ind w:firstLine="420" w:firstLineChars="200"/>
        <w:jc w:val="left"/>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（15）发包人要求的本项目其他质量控制方面的工作：</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2.2.3 （3）监理人完成支付审核、变更审核、结算资料审核的期限：</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如涉及调价的，监理人应督促施工单位或项目服务单位提供详细计算方式及依据，并负责根据相关规定及相应合同约定对其真实性、合法性、完整性进行审核提供意见后上报发包人。</w:t>
      </w:r>
    </w:p>
    <w:p>
      <w:pPr>
        <w:widowControl/>
        <w:spacing w:line="240" w:lineRule="auto"/>
        <w:ind w:firstLine="420" w:firstLineChars="200"/>
        <w:jc w:val="lef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（6）发包人要求的本项目其他投资控制方面的工作：</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eastAsia="zh-CN"/>
        </w:rPr>
        <w:t>2.2.</w:t>
      </w:r>
      <w:r>
        <w:rPr>
          <w:rFonts w:hint="eastAsia" w:ascii="仿宋" w:hAnsi="仿宋" w:eastAsia="仿宋" w:cs="仿宋"/>
          <w:kern w:val="0"/>
          <w:szCs w:val="21"/>
          <w:highlight w:val="none"/>
          <w:lang w:val="en-US" w:eastAsia="zh-CN"/>
        </w:rPr>
        <w:t>6</w:t>
      </w:r>
      <w:r>
        <w:rPr>
          <w:rFonts w:hint="eastAsia" w:ascii="仿宋" w:hAnsi="仿宋" w:eastAsia="仿宋" w:cs="仿宋"/>
          <w:kern w:val="0"/>
          <w:szCs w:val="21"/>
          <w:highlight w:val="none"/>
          <w:lang w:eastAsia="zh-CN"/>
        </w:rPr>
        <w:t>监理人收集、整理、向发包人移交监理服务档案的时间要求：</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2.2.7（2） 监理人定期例会频率：</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2.2.9</w:t>
      </w:r>
      <w:r>
        <w:rPr>
          <w:rFonts w:hint="eastAsia" w:ascii="仿宋" w:hAnsi="仿宋" w:eastAsia="仿宋" w:cs="仿宋"/>
          <w:color w:val="auto"/>
          <w:kern w:val="0"/>
          <w:sz w:val="21"/>
          <w:szCs w:val="21"/>
          <w:highlight w:val="none"/>
          <w:lang w:val="en-US" w:eastAsia="zh-CN"/>
        </w:rPr>
        <w:t>（2）监理人通知施工单位进行整改的期限：</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（5）</w:t>
      </w:r>
      <w:r>
        <w:rPr>
          <w:rFonts w:hint="eastAsia" w:ascii="仿宋" w:hAnsi="仿宋" w:eastAsia="仿宋" w:cs="仿宋"/>
          <w:kern w:val="0"/>
          <w:szCs w:val="21"/>
          <w:highlight w:val="none"/>
          <w:lang w:eastAsia="zh-CN"/>
        </w:rPr>
        <w:t>编制、报送监理规划、监理实施细则等监理工作文件的期限：</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w:t>
      </w:r>
      <w:r>
        <w:rPr>
          <w:rFonts w:hint="eastAsia" w:ascii="仿宋" w:hAnsi="仿宋" w:eastAsia="仿宋" w:cs="仿宋"/>
          <w:kern w:val="0"/>
          <w:szCs w:val="21"/>
          <w:highlight w:val="none"/>
          <w:lang w:eastAsia="zh-CN"/>
        </w:rPr>
        <w:t>发包人要求的需监理人旁站的重点工序（包括但不限于）：</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w:t>
      </w:r>
      <w:r>
        <w:rPr>
          <w:rFonts w:hint="eastAsia" w:ascii="仿宋" w:hAnsi="仿宋" w:eastAsia="仿宋" w:cs="仿宋"/>
          <w:kern w:val="0"/>
          <w:szCs w:val="21"/>
          <w:highlight w:val="none"/>
          <w:lang w:eastAsia="zh-CN"/>
        </w:rPr>
        <w:t>重点工序的旁站，除施工时的旁站外，第三方检测单位检测及需要旁站见证的第三方服务单位开展工作时也须进行旁站，及时取得检测结果并将检测结果与相关设计要求进行比对。</w:t>
      </w:r>
    </w:p>
    <w:p>
      <w:pPr>
        <w:spacing w:line="240" w:lineRule="auto"/>
        <w:ind w:firstLine="420" w:firstLineChars="200"/>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 xml:space="preserve"> 2.2.10 建设管理服务单位</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名    称：</w:t>
      </w:r>
      <w:r>
        <w:rPr>
          <w:rFonts w:hint="eastAsia" w:ascii="仿宋" w:hAnsi="仿宋" w:eastAsia="仿宋" w:cs="仿宋"/>
          <w:kern w:val="0"/>
          <w:szCs w:val="21"/>
          <w:highlight w:val="none"/>
          <w:u w:val="single"/>
          <w:lang w:val="en-US" w:eastAsia="zh-CN"/>
        </w:rPr>
        <w:t xml:space="preserve">               </w:t>
      </w:r>
      <w:r>
        <w:rPr>
          <w:rFonts w:hint="eastAsia" w:ascii="仿宋" w:hAnsi="仿宋" w:eastAsia="仿宋" w:cs="仿宋"/>
          <w:kern w:val="0"/>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u w:val="single"/>
          <w:lang w:val="en-US" w:eastAsia="zh-CN"/>
        </w:rPr>
      </w:pPr>
      <w:r>
        <w:rPr>
          <w:rFonts w:hint="eastAsia" w:ascii="仿宋" w:hAnsi="仿宋" w:eastAsia="仿宋" w:cs="仿宋"/>
          <w:kern w:val="0"/>
          <w:szCs w:val="21"/>
          <w:highlight w:val="none"/>
          <w:lang w:val="en-US" w:eastAsia="zh-CN"/>
        </w:rPr>
        <w:t>联 系 人：</w:t>
      </w:r>
      <w:r>
        <w:rPr>
          <w:rFonts w:hint="eastAsia" w:ascii="仿宋" w:hAnsi="仿宋" w:eastAsia="仿宋" w:cs="仿宋"/>
          <w:kern w:val="0"/>
          <w:szCs w:val="21"/>
          <w:highlight w:val="none"/>
          <w:u w:val="single"/>
          <w:lang w:val="en-US" w:eastAsia="zh-CN"/>
        </w:rPr>
        <w:t xml:space="preserve">               </w:t>
      </w:r>
      <w:r>
        <w:rPr>
          <w:rFonts w:hint="eastAsia" w:ascii="仿宋" w:hAnsi="仿宋" w:eastAsia="仿宋" w:cs="仿宋"/>
          <w:kern w:val="0"/>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联系电话：</w:t>
      </w:r>
      <w:r>
        <w:rPr>
          <w:rFonts w:hint="eastAsia" w:ascii="仿宋" w:hAnsi="仿宋" w:eastAsia="仿宋" w:cs="仿宋"/>
          <w:kern w:val="0"/>
          <w:szCs w:val="21"/>
          <w:highlight w:val="none"/>
          <w:u w:val="single"/>
          <w:lang w:val="en-US" w:eastAsia="zh-CN"/>
        </w:rPr>
        <w:t>                </w:t>
      </w:r>
      <w:r>
        <w:rPr>
          <w:rFonts w:hint="eastAsia" w:ascii="仿宋" w:hAnsi="仿宋" w:eastAsia="仿宋" w:cs="仿宋"/>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电子信箱：</w:t>
      </w:r>
      <w:r>
        <w:rPr>
          <w:rFonts w:hint="eastAsia" w:ascii="仿宋" w:hAnsi="仿宋" w:eastAsia="仿宋" w:cs="仿宋"/>
          <w:kern w:val="0"/>
          <w:szCs w:val="21"/>
          <w:highlight w:val="none"/>
          <w:u w:val="single"/>
          <w:lang w:val="en-US" w:eastAsia="zh-CN"/>
        </w:rPr>
        <w:t>                </w:t>
      </w:r>
      <w:r>
        <w:rPr>
          <w:rFonts w:hint="eastAsia" w:ascii="仿宋" w:hAnsi="仿宋" w:eastAsia="仿宋" w:cs="仿宋"/>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u w:val="single"/>
          <w:lang w:val="en-US" w:eastAsia="zh-CN"/>
        </w:rPr>
      </w:pPr>
      <w:r>
        <w:rPr>
          <w:rFonts w:hint="eastAsia" w:ascii="仿宋" w:hAnsi="仿宋" w:eastAsia="仿宋" w:cs="仿宋"/>
          <w:kern w:val="0"/>
          <w:szCs w:val="21"/>
          <w:highlight w:val="none"/>
          <w:lang w:val="en-US" w:eastAsia="zh-CN"/>
        </w:rPr>
        <w:t>通信地址：</w:t>
      </w:r>
      <w:r>
        <w:rPr>
          <w:rFonts w:hint="eastAsia" w:ascii="仿宋" w:hAnsi="仿宋" w:eastAsia="仿宋" w:cs="仿宋"/>
          <w:kern w:val="0"/>
          <w:szCs w:val="21"/>
          <w:highlight w:val="none"/>
          <w:u w:val="single"/>
          <w:lang w:val="en-US" w:eastAsia="zh-CN"/>
        </w:rPr>
        <w:t>                。</w:t>
      </w:r>
    </w:p>
    <w:p>
      <w:pPr>
        <w:pStyle w:val="39"/>
        <w:bidi w:val="0"/>
        <w:rPr>
          <w:rFonts w:hint="eastAsia" w:ascii="仿宋" w:hAnsi="仿宋"/>
          <w:lang w:eastAsia="zh-CN"/>
        </w:rPr>
      </w:pPr>
      <w:bookmarkStart w:id="204" w:name="_Toc1515427705"/>
      <w:bookmarkStart w:id="205" w:name="_Toc473235433"/>
      <w:bookmarkStart w:id="206" w:name="_Toc1296431970"/>
      <w:r>
        <w:rPr>
          <w:rFonts w:hint="eastAsia" w:ascii="仿宋" w:hAnsi="仿宋"/>
          <w:lang w:eastAsia="zh-CN"/>
        </w:rPr>
        <w:t>2.3 项目监理机构和人员</w:t>
      </w:r>
      <w:bookmarkEnd w:id="204"/>
      <w:bookmarkEnd w:id="205"/>
      <w:bookmarkEnd w:id="206"/>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2.3.1 监理机构组建</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（1）监理机构：</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2）监理人员：</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（3）监理人员进场实施监理及相关服务的时间： 监理人在项目开工前至少</w:t>
      </w:r>
      <w:r>
        <w:rPr>
          <w:rFonts w:hint="eastAsia" w:ascii="仿宋" w:hAnsi="仿宋" w:eastAsia="仿宋" w:cs="仿宋"/>
          <w:kern w:val="0"/>
          <w:szCs w:val="21"/>
          <w:highlight w:val="none"/>
          <w:lang w:val="en-US" w:eastAsia="zh-CN"/>
        </w:rPr>
        <w:t>7天，向发包人提交拟投入监理人员及工作计划、实施方案，并按发包人审核确认的计划及方案投入人员及提供服务；</w:t>
      </w:r>
      <w:r>
        <w:rPr>
          <w:rFonts w:hint="eastAsia" w:ascii="仿宋" w:hAnsi="仿宋" w:eastAsia="仿宋" w:cs="仿宋"/>
          <w:color w:val="auto"/>
          <w:kern w:val="0"/>
          <w:sz w:val="21"/>
          <w:szCs w:val="21"/>
          <w:highlight w:val="none"/>
          <w:u w:val="none"/>
          <w:lang w:val="en-US" w:eastAsia="zh-CN"/>
        </w:rPr>
        <w:t>每月月末</w:t>
      </w:r>
      <w:r>
        <w:rPr>
          <w:rFonts w:hint="eastAsia" w:ascii="仿宋" w:hAnsi="仿宋" w:eastAsia="仿宋" w:cs="仿宋"/>
          <w:kern w:val="0"/>
          <w:szCs w:val="21"/>
          <w:highlight w:val="none"/>
          <w:lang w:val="en-US" w:eastAsia="zh-CN"/>
        </w:rPr>
        <w:t>提交下月拟投入人员工作安排，并在当期请款时提交当期实际的投入人员及现场工作时间</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（4）其他约定：</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pStyle w:val="39"/>
        <w:bidi w:val="0"/>
        <w:rPr>
          <w:rFonts w:hint="eastAsia"/>
          <w:lang w:eastAsia="zh-CN"/>
        </w:rPr>
      </w:pPr>
      <w:bookmarkStart w:id="207" w:name="_Toc758453006"/>
      <w:bookmarkStart w:id="208" w:name="_Toc279047695"/>
      <w:bookmarkStart w:id="209" w:name="_Toc1694589480"/>
      <w:r>
        <w:rPr>
          <w:rFonts w:hint="eastAsia"/>
          <w:lang w:eastAsia="zh-CN"/>
        </w:rPr>
        <w:t>2.4 履行职责</w:t>
      </w:r>
      <w:bookmarkEnd w:id="207"/>
      <w:bookmarkEnd w:id="208"/>
      <w:bookmarkEnd w:id="209"/>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eastAsia="zh-CN"/>
        </w:rPr>
        <w:t>2.4.4 需监理人履行的其他职责：</w:t>
      </w:r>
      <w:r>
        <w:rPr>
          <w:rFonts w:hint="eastAsia" w:ascii="仿宋" w:hAnsi="仿宋" w:eastAsia="仿宋" w:cs="仿宋"/>
          <w:kern w:val="0"/>
          <w:szCs w:val="21"/>
          <w:highlight w:val="none"/>
          <w:u w:val="single"/>
          <w:lang w:eastAsia="zh-CN"/>
        </w:rPr>
        <w:t xml:space="preserve">  根据相关规定履行职责，不得存在不良行为（以上级行政主管单位发布的认定标准为依据） </w:t>
      </w:r>
      <w:r>
        <w:rPr>
          <w:rFonts w:hint="eastAsia" w:ascii="仿宋" w:hAnsi="仿宋" w:eastAsia="仿宋" w:cs="仿宋"/>
          <w:kern w:val="0"/>
          <w:szCs w:val="21"/>
          <w:highlight w:val="none"/>
          <w:lang w:eastAsia="zh-CN"/>
        </w:rPr>
        <w:t>。</w:t>
      </w:r>
    </w:p>
    <w:p>
      <w:pPr>
        <w:pStyle w:val="39"/>
        <w:bidi w:val="0"/>
        <w:rPr>
          <w:rFonts w:hint="eastAsia"/>
          <w:lang w:eastAsia="zh-CN"/>
        </w:rPr>
      </w:pPr>
      <w:bookmarkStart w:id="210" w:name="_Toc1576117838"/>
      <w:bookmarkStart w:id="211" w:name="_Toc1907902613"/>
      <w:bookmarkStart w:id="212" w:name="_Toc329322825"/>
      <w:r>
        <w:rPr>
          <w:rFonts w:hint="eastAsia"/>
          <w:lang w:eastAsia="zh-CN"/>
        </w:rPr>
        <w:t>2.5 提交报告</w:t>
      </w:r>
      <w:bookmarkEnd w:id="210"/>
      <w:bookmarkEnd w:id="211"/>
      <w:bookmarkEnd w:id="212"/>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提交报告的类型：</w:t>
      </w:r>
      <w:r>
        <w:rPr>
          <w:rFonts w:hint="eastAsia" w:ascii="仿宋" w:hAnsi="仿宋" w:eastAsia="仿宋" w:cs="仿宋"/>
          <w:kern w:val="0"/>
          <w:szCs w:val="21"/>
          <w:highlight w:val="none"/>
          <w:u w:val="single"/>
          <w:lang w:eastAsia="zh-CN"/>
        </w:rPr>
        <w:t xml:space="preserve"> 按发包人要求提供监理日志、安全监理日志、监理月报、监理业务报告（</w:t>
      </w:r>
      <w:r>
        <w:rPr>
          <w:rFonts w:hint="eastAsia" w:ascii="仿宋" w:hAnsi="仿宋" w:eastAsia="仿宋" w:cs="仿宋"/>
          <w:kern w:val="0"/>
          <w:szCs w:val="21"/>
          <w:highlight w:val="none"/>
          <w:u w:val="single"/>
          <w:lang w:val="en-US" w:eastAsia="zh-CN"/>
        </w:rPr>
        <w:sym w:font="Wingdings 2" w:char="00A3"/>
      </w:r>
      <w:r>
        <w:rPr>
          <w:rFonts w:hint="eastAsia" w:ascii="仿宋" w:hAnsi="仿宋" w:eastAsia="仿宋" w:cs="仿宋"/>
          <w:kern w:val="0"/>
          <w:szCs w:val="21"/>
          <w:highlight w:val="none"/>
          <w:u w:val="single"/>
          <w:lang w:val="en-US" w:eastAsia="zh-CN"/>
        </w:rPr>
        <w:t>月度、</w:t>
      </w:r>
      <w:r>
        <w:rPr>
          <w:rFonts w:hint="eastAsia" w:ascii="仿宋" w:hAnsi="仿宋" w:eastAsia="仿宋" w:cs="仿宋"/>
          <w:kern w:val="0"/>
          <w:szCs w:val="21"/>
          <w:highlight w:val="none"/>
          <w:u w:val="single"/>
          <w:lang w:val="en-US" w:eastAsia="zh-CN"/>
        </w:rPr>
        <w:sym w:font="Wingdings 2" w:char="00A3"/>
      </w:r>
      <w:r>
        <w:rPr>
          <w:rFonts w:hint="eastAsia" w:ascii="仿宋" w:hAnsi="仿宋" w:eastAsia="仿宋" w:cs="仿宋"/>
          <w:kern w:val="0"/>
          <w:szCs w:val="21"/>
          <w:highlight w:val="none"/>
          <w:u w:val="single"/>
          <w:lang w:val="en-US" w:eastAsia="zh-CN"/>
        </w:rPr>
        <w:t>季度、</w:t>
      </w:r>
      <w:r>
        <w:rPr>
          <w:rFonts w:hint="eastAsia" w:ascii="仿宋" w:hAnsi="仿宋" w:eastAsia="仿宋" w:cs="仿宋"/>
          <w:kern w:val="0"/>
          <w:szCs w:val="21"/>
          <w:highlight w:val="none"/>
          <w:u w:val="single"/>
          <w:lang w:val="en-US" w:eastAsia="zh-CN"/>
        </w:rPr>
        <w:sym w:font="Wingdings 2" w:char="00A3"/>
      </w:r>
      <w:r>
        <w:rPr>
          <w:rFonts w:hint="eastAsia" w:ascii="仿宋" w:hAnsi="仿宋" w:eastAsia="仿宋" w:cs="仿宋"/>
          <w:kern w:val="0"/>
          <w:szCs w:val="21"/>
          <w:highlight w:val="none"/>
          <w:u w:val="single"/>
          <w:lang w:val="en-US" w:eastAsia="zh-CN"/>
        </w:rPr>
        <w:t>半年度、</w:t>
      </w:r>
      <w:r>
        <w:rPr>
          <w:rFonts w:hint="eastAsia" w:ascii="仿宋" w:hAnsi="仿宋" w:eastAsia="仿宋" w:cs="仿宋"/>
          <w:kern w:val="0"/>
          <w:szCs w:val="21"/>
          <w:highlight w:val="none"/>
          <w:u w:val="single"/>
          <w:lang w:val="en-US" w:eastAsia="zh-CN"/>
        </w:rPr>
        <w:sym w:font="Wingdings 2" w:char="00A3"/>
      </w:r>
      <w:r>
        <w:rPr>
          <w:rFonts w:hint="eastAsia" w:ascii="仿宋" w:hAnsi="仿宋" w:eastAsia="仿宋" w:cs="仿宋"/>
          <w:kern w:val="0"/>
          <w:szCs w:val="21"/>
          <w:highlight w:val="none"/>
          <w:u w:val="single"/>
          <w:lang w:val="en-US" w:eastAsia="zh-CN"/>
        </w:rPr>
        <w:t>年度</w:t>
      </w:r>
      <w:r>
        <w:rPr>
          <w:rFonts w:hint="eastAsia" w:ascii="仿宋" w:hAnsi="仿宋" w:eastAsia="仿宋" w:cs="仿宋"/>
          <w:kern w:val="0"/>
          <w:szCs w:val="21"/>
          <w:highlight w:val="none"/>
          <w:u w:val="single"/>
          <w:lang w:eastAsia="zh-CN"/>
        </w:rPr>
        <w:t>）、质量评估报告、监理总结报告等，</w:t>
      </w:r>
      <w:r>
        <w:rPr>
          <w:rFonts w:hint="eastAsia" w:ascii="仿宋" w:hAnsi="仿宋" w:eastAsia="仿宋" w:cs="仿宋"/>
          <w:kern w:val="0"/>
          <w:szCs w:val="21"/>
          <w:highlight w:val="none"/>
          <w:u w:val="single"/>
          <w:lang w:val="en-US" w:eastAsia="zh-CN"/>
        </w:rPr>
        <w:t>还应针对施工合同执行情况编制执行情况小结并重点分析工程投资控制及工程造价指标，</w:t>
      </w:r>
      <w:r>
        <w:rPr>
          <w:rFonts w:hint="eastAsia" w:ascii="仿宋" w:hAnsi="仿宋" w:eastAsia="仿宋" w:cs="仿宋"/>
          <w:kern w:val="0"/>
          <w:szCs w:val="21"/>
          <w:highlight w:val="none"/>
          <w:u w:val="single"/>
          <w:lang w:eastAsia="zh-CN"/>
        </w:rPr>
        <w:t xml:space="preserve">并保证前述文件的准确性、完整性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提交报告的时间：</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 xml:space="preserve"> 。</w:t>
      </w:r>
    </w:p>
    <w:p>
      <w:pPr>
        <w:pStyle w:val="39"/>
        <w:bidi w:val="0"/>
        <w:rPr>
          <w:rFonts w:hint="eastAsia"/>
          <w:lang w:eastAsia="zh-CN"/>
        </w:rPr>
      </w:pPr>
      <w:bookmarkStart w:id="213" w:name="_Toc1890291402"/>
      <w:bookmarkStart w:id="214" w:name="_Toc2023595283"/>
      <w:bookmarkStart w:id="215" w:name="_Toc99077989"/>
      <w:r>
        <w:rPr>
          <w:rFonts w:hint="eastAsia"/>
          <w:lang w:eastAsia="zh-CN"/>
        </w:rPr>
        <w:t>2.7 使用发包人的财产</w:t>
      </w:r>
      <w:bookmarkEnd w:id="213"/>
      <w:bookmarkEnd w:id="214"/>
      <w:bookmarkEnd w:id="215"/>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eastAsia="zh-CN"/>
        </w:rPr>
        <w:t>发包人提供的设施和物品：</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移交发包人财产的时间和方式：</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pStyle w:val="39"/>
        <w:bidi w:val="0"/>
        <w:rPr>
          <w:rFonts w:hint="eastAsia"/>
          <w:lang w:eastAsia="zh-CN"/>
        </w:rPr>
      </w:pPr>
      <w:bookmarkStart w:id="216" w:name="_Toc497958411"/>
      <w:bookmarkStart w:id="217" w:name="_Toc836236302"/>
      <w:bookmarkStart w:id="218" w:name="_Toc335480313"/>
      <w:r>
        <w:rPr>
          <w:rFonts w:hint="eastAsia"/>
          <w:lang w:eastAsia="zh-CN"/>
        </w:rPr>
        <w:t>2.8 履约担保</w:t>
      </w:r>
      <w:bookmarkEnd w:id="216"/>
      <w:bookmarkEnd w:id="217"/>
      <w:bookmarkEnd w:id="218"/>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监理人是否提供履约担保：□是</w:t>
      </w:r>
      <w:r>
        <w:rPr>
          <w:rFonts w:hint="eastAsia" w:ascii="仿宋" w:hAnsi="仿宋" w:eastAsia="仿宋" w:cs="仿宋"/>
          <w:kern w:val="0"/>
          <w:szCs w:val="21"/>
          <w:highlight w:val="none"/>
          <w:lang w:val="en-US" w:eastAsia="zh-CN"/>
        </w:rPr>
        <w:t xml:space="preserve">   </w:t>
      </w:r>
      <w:r>
        <w:rPr>
          <w:rFonts w:hint="eastAsia" w:ascii="仿宋" w:hAnsi="仿宋" w:eastAsia="仿宋" w:cs="仿宋"/>
          <w:kern w:val="0"/>
          <w:szCs w:val="21"/>
          <w:highlight w:val="none"/>
          <w:lang w:eastAsia="zh-CN"/>
        </w:rPr>
        <w:t>□否。若监理人需要提交履约担保的，具体内容如下：</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 xml:space="preserve">2.8.1 </w:t>
      </w:r>
      <w:r>
        <w:rPr>
          <w:rFonts w:hint="eastAsia" w:ascii="仿宋" w:hAnsi="仿宋" w:eastAsia="仿宋" w:cs="仿宋"/>
          <w:kern w:val="0"/>
          <w:szCs w:val="21"/>
          <w:highlight w:val="none"/>
          <w:lang w:eastAsia="zh-CN"/>
        </w:rPr>
        <w:t>履约担保金额：签约合同价</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widowControl/>
        <w:spacing w:line="240" w:lineRule="auto"/>
        <w:ind w:firstLine="420" w:firstLineChars="20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kern w:val="0"/>
          <w:szCs w:val="21"/>
          <w:highlight w:val="none"/>
          <w:lang w:val="en-US" w:eastAsia="zh-CN"/>
        </w:rPr>
        <w:t>注：监理人</w:t>
      </w:r>
      <w:r>
        <w:rPr>
          <w:rFonts w:hint="eastAsia" w:ascii="仿宋" w:hAnsi="仿宋" w:eastAsia="仿宋" w:cs="仿宋"/>
          <w:color w:val="auto"/>
          <w:kern w:val="0"/>
          <w:sz w:val="21"/>
          <w:szCs w:val="21"/>
          <w:highlight w:val="none"/>
        </w:rPr>
        <w:t>应在签订本合同后</w:t>
      </w:r>
      <w:r>
        <w:rPr>
          <w:rFonts w:hint="eastAsia" w:ascii="仿宋" w:hAnsi="仿宋" w:eastAsia="仿宋" w:cs="仿宋"/>
          <w:color w:val="auto"/>
          <w:kern w:val="0"/>
          <w:sz w:val="21"/>
          <w:szCs w:val="21"/>
          <w:highlight w:val="none"/>
          <w:u w:val="single"/>
        </w:rPr>
        <w:t xml:space="preserve"> 30 </w:t>
      </w:r>
      <w:r>
        <w:rPr>
          <w:rFonts w:hint="eastAsia" w:ascii="仿宋" w:hAnsi="仿宋" w:eastAsia="仿宋" w:cs="仿宋"/>
          <w:color w:val="auto"/>
          <w:kern w:val="0"/>
          <w:sz w:val="21"/>
          <w:szCs w:val="21"/>
          <w:highlight w:val="none"/>
          <w:lang w:eastAsia="zh-CN"/>
        </w:rPr>
        <w:t>个工作日</w:t>
      </w:r>
      <w:r>
        <w:rPr>
          <w:rFonts w:hint="eastAsia" w:ascii="仿宋" w:hAnsi="仿宋" w:eastAsia="仿宋" w:cs="仿宋"/>
          <w:color w:val="auto"/>
          <w:kern w:val="0"/>
          <w:sz w:val="21"/>
          <w:szCs w:val="21"/>
          <w:highlight w:val="none"/>
        </w:rPr>
        <w:t>内向</w:t>
      </w:r>
      <w:r>
        <w:rPr>
          <w:rFonts w:hint="eastAsia" w:ascii="仿宋" w:hAnsi="仿宋" w:eastAsia="仿宋" w:cs="仿宋"/>
          <w:kern w:val="0"/>
          <w:szCs w:val="21"/>
          <w:highlight w:val="none"/>
          <w:lang w:eastAsia="zh-CN"/>
        </w:rPr>
        <w:t>发包</w:t>
      </w:r>
      <w:r>
        <w:rPr>
          <w:rFonts w:hint="eastAsia" w:ascii="仿宋" w:hAnsi="仿宋" w:eastAsia="仿宋" w:cs="仿宋"/>
          <w:color w:val="auto"/>
          <w:kern w:val="0"/>
          <w:sz w:val="21"/>
          <w:szCs w:val="21"/>
          <w:highlight w:val="none"/>
          <w:lang w:eastAsia="zh-CN"/>
        </w:rPr>
        <w:t>人</w:t>
      </w:r>
      <w:r>
        <w:rPr>
          <w:rFonts w:hint="eastAsia" w:ascii="仿宋" w:hAnsi="仿宋" w:eastAsia="仿宋" w:cs="仿宋"/>
          <w:color w:val="auto"/>
          <w:kern w:val="0"/>
          <w:sz w:val="21"/>
          <w:szCs w:val="21"/>
          <w:highlight w:val="none"/>
        </w:rPr>
        <w:t>提交在</w:t>
      </w:r>
      <w:r>
        <w:rPr>
          <w:rFonts w:hint="eastAsia" w:ascii="仿宋" w:hAnsi="仿宋" w:eastAsia="仿宋" w:cs="仿宋"/>
          <w:color w:val="auto"/>
          <w:kern w:val="0"/>
          <w:sz w:val="21"/>
          <w:szCs w:val="21"/>
          <w:highlight w:val="none"/>
          <w:u w:val="single"/>
        </w:rPr>
        <w:t>中国注册的银行</w:t>
      </w:r>
      <w:r>
        <w:rPr>
          <w:rFonts w:hint="eastAsia" w:ascii="仿宋" w:hAnsi="仿宋" w:eastAsia="仿宋" w:cs="仿宋"/>
          <w:kern w:val="0"/>
          <w:szCs w:val="21"/>
          <w:highlight w:val="none"/>
          <w:u w:val="single"/>
          <w:lang w:val="en-US" w:eastAsia="zh-CN"/>
        </w:rPr>
        <w:t>/保险机构</w:t>
      </w:r>
      <w:r>
        <w:rPr>
          <w:rFonts w:hint="eastAsia" w:ascii="仿宋" w:hAnsi="仿宋" w:eastAsia="仿宋" w:cs="仿宋"/>
          <w:color w:val="auto"/>
          <w:kern w:val="0"/>
          <w:sz w:val="21"/>
          <w:szCs w:val="21"/>
          <w:highlight w:val="none"/>
        </w:rPr>
        <w:t>开出的担保金额为</w:t>
      </w:r>
      <w:r>
        <w:rPr>
          <w:rFonts w:hint="eastAsia" w:ascii="仿宋" w:hAnsi="仿宋" w:eastAsia="仿宋" w:cs="仿宋"/>
          <w:kern w:val="0"/>
          <w:szCs w:val="21"/>
          <w:highlight w:val="none"/>
          <w:lang w:val="en-US" w:eastAsia="zh-CN"/>
        </w:rPr>
        <w:t>签约</w:t>
      </w:r>
      <w:r>
        <w:rPr>
          <w:rFonts w:hint="eastAsia" w:ascii="仿宋" w:hAnsi="仿宋" w:eastAsia="仿宋" w:cs="仿宋"/>
          <w:color w:val="auto"/>
          <w:kern w:val="0"/>
          <w:sz w:val="21"/>
          <w:szCs w:val="21"/>
          <w:highlight w:val="none"/>
        </w:rPr>
        <w:t>合同价款的</w:t>
      </w:r>
      <w:r>
        <w:rPr>
          <w:rFonts w:hint="eastAsia" w:ascii="仿宋" w:hAnsi="仿宋" w:eastAsia="仿宋" w:cs="仿宋"/>
          <w:color w:val="auto"/>
          <w:kern w:val="0"/>
          <w:sz w:val="21"/>
          <w:szCs w:val="21"/>
          <w:highlight w:val="none"/>
          <w:u w:val="single"/>
        </w:rPr>
        <w:t>10%</w:t>
      </w:r>
      <w:r>
        <w:rPr>
          <w:rFonts w:hint="eastAsia" w:ascii="仿宋" w:hAnsi="仿宋" w:eastAsia="仿宋" w:cs="仿宋"/>
          <w:b w:val="0"/>
          <w:bCs w:val="0"/>
          <w:color w:val="auto"/>
          <w:kern w:val="0"/>
          <w:sz w:val="21"/>
          <w:szCs w:val="21"/>
          <w:highlight w:val="none"/>
          <w:lang w:eastAsia="zh-CN"/>
        </w:rPr>
        <w:t>（中小企业为</w:t>
      </w:r>
      <w:r>
        <w:rPr>
          <w:rFonts w:hint="eastAsia" w:ascii="仿宋" w:hAnsi="仿宋" w:eastAsia="仿宋" w:cs="仿宋"/>
          <w:b w:val="0"/>
          <w:bCs w:val="0"/>
          <w:color w:val="auto"/>
          <w:kern w:val="0"/>
          <w:sz w:val="21"/>
          <w:szCs w:val="21"/>
          <w:highlight w:val="none"/>
          <w:lang w:val="en-US" w:eastAsia="zh-CN"/>
        </w:rPr>
        <w:t>5%</w:t>
      </w:r>
      <w:r>
        <w:rPr>
          <w:rFonts w:hint="eastAsia" w:ascii="仿宋" w:hAnsi="仿宋" w:eastAsia="仿宋" w:cs="仿宋"/>
          <w:b w:val="0"/>
          <w:bCs w:val="0"/>
          <w:color w:val="auto"/>
          <w:kern w:val="0"/>
          <w:sz w:val="21"/>
          <w:szCs w:val="21"/>
          <w:highlight w:val="none"/>
          <w:lang w:eastAsia="zh-CN"/>
        </w:rPr>
        <w:t>）</w:t>
      </w:r>
      <w:r>
        <w:rPr>
          <w:rFonts w:hint="eastAsia" w:ascii="仿宋" w:hAnsi="仿宋" w:eastAsia="仿宋" w:cs="仿宋"/>
          <w:kern w:val="0"/>
          <w:szCs w:val="21"/>
          <w:highlight w:val="none"/>
          <w:lang w:val="en-US" w:eastAsia="zh-CN"/>
        </w:rPr>
        <w:t>的履约担保。</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 xml:space="preserve">2.8.2 </w:t>
      </w:r>
      <w:r>
        <w:rPr>
          <w:rFonts w:hint="eastAsia" w:ascii="仿宋" w:hAnsi="仿宋" w:eastAsia="仿宋" w:cs="仿宋"/>
          <w:kern w:val="0"/>
          <w:szCs w:val="21"/>
          <w:highlight w:val="none"/>
          <w:lang w:eastAsia="zh-CN"/>
        </w:rPr>
        <w:t>履约担保形式：□银行保函、□保证保险、□担保函（以下统称“履约担保文件”）；□其他：</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合同履行过程中，如因项目实际特殊需要，需改变履约担保形式的，需经发包人审批同意后方可执行。若履约保证金为履约担保文件，监理人应按合同约定的比例，在申请退回原履约保证金前，提交剩余担保金额的履约保证金。</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2.8.3 履约担保</w:t>
      </w:r>
      <w:r>
        <w:rPr>
          <w:rFonts w:hint="eastAsia" w:ascii="仿宋" w:hAnsi="仿宋" w:eastAsia="仿宋" w:cs="仿宋"/>
          <w:kern w:val="0"/>
          <w:szCs w:val="21"/>
          <w:highlight w:val="none"/>
          <w:lang w:eastAsia="zh-CN"/>
        </w:rPr>
        <w:t>提交时间：监理人应在本合同签订后</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个工作日内向发包人提供。</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 xml:space="preserve">2.8.4 </w:t>
      </w:r>
      <w:r>
        <w:rPr>
          <w:rFonts w:hint="eastAsia" w:ascii="仿宋" w:hAnsi="仿宋" w:eastAsia="仿宋" w:cs="仿宋"/>
          <w:kern w:val="0"/>
          <w:szCs w:val="21"/>
          <w:highlight w:val="none"/>
          <w:lang w:eastAsia="zh-CN"/>
        </w:rPr>
        <w:t>履约担保有效期</w:t>
      </w:r>
      <w:r>
        <w:rPr>
          <w:rFonts w:hint="eastAsia" w:ascii="仿宋" w:hAnsi="仿宋" w:eastAsia="仿宋" w:cs="仿宋"/>
          <w:kern w:val="0"/>
          <w:szCs w:val="21"/>
          <w:highlight w:val="none"/>
          <w:u w:val="single"/>
          <w:lang w:eastAsia="zh-CN"/>
        </w:rPr>
        <w:t xml:space="preserve">： 应与本合同监理服务期限一致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2.8.5 监理人因违约需向发包人缴纳违约金、赔偿金及其他费用的，经发包人催促后仍未按照发包人要求支付的，发包人有权直接根据履约担保文件向履约担保单位索赔。</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 xml:space="preserve">2.8.6 </w:t>
      </w:r>
      <w:r>
        <w:rPr>
          <w:rFonts w:hint="eastAsia" w:ascii="仿宋" w:hAnsi="仿宋" w:eastAsia="仿宋" w:cs="仿宋"/>
          <w:kern w:val="0"/>
          <w:szCs w:val="21"/>
          <w:highlight w:val="none"/>
          <w:lang w:eastAsia="zh-CN"/>
        </w:rPr>
        <w:t>履约担保退还条件：</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 xml:space="preserve">2.8.7 </w:t>
      </w:r>
      <w:r>
        <w:rPr>
          <w:rFonts w:hint="eastAsia" w:ascii="仿宋" w:hAnsi="仿宋" w:eastAsia="仿宋" w:cs="仿宋"/>
          <w:kern w:val="0"/>
          <w:szCs w:val="21"/>
          <w:highlight w:val="none"/>
          <w:lang w:eastAsia="zh-CN"/>
        </w:rPr>
        <w:t>履约担保退还时间：</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Style w:val="40"/>
          <w:rFonts w:hint="eastAsia"/>
          <w:lang w:val="en-US" w:eastAsia="zh-CN"/>
        </w:rPr>
        <w:t>2.9 驻地办公要求</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2.9.1监理人应按发包人要求制定驻地办公工作方案，并自发包人发出</w:t>
      </w:r>
      <w:r>
        <w:rPr>
          <w:rFonts w:hint="eastAsia" w:ascii="仿宋" w:hAnsi="仿宋" w:eastAsia="仿宋" w:cs="仿宋"/>
          <w:kern w:val="0"/>
          <w:szCs w:val="21"/>
          <w:highlight w:val="none"/>
          <w:u w:val="single"/>
          <w:lang w:eastAsia="zh-CN"/>
        </w:rPr>
        <w:t>中标通知书/委托书之日</w:t>
      </w:r>
      <w:r>
        <w:rPr>
          <w:rFonts w:hint="eastAsia" w:ascii="仿宋" w:hAnsi="仿宋" w:eastAsia="仿宋" w:cs="仿宋"/>
          <w:kern w:val="0"/>
          <w:szCs w:val="21"/>
          <w:highlight w:val="none"/>
          <w:u w:val="single"/>
          <w:lang w:val="en-US" w:eastAsia="zh-CN"/>
        </w:rPr>
        <w:t>起</w:t>
      </w:r>
      <w:r>
        <w:rPr>
          <w:rFonts w:hint="eastAsia" w:ascii="仿宋" w:hAnsi="仿宋" w:eastAsia="仿宋" w:cs="仿宋"/>
          <w:kern w:val="0"/>
          <w:szCs w:val="21"/>
          <w:highlight w:val="none"/>
          <w:lang w:val="en-US" w:eastAsia="zh-CN"/>
        </w:rPr>
        <w:t>7天内将经常驻代表确认后的驻地办公工作方案（含驻地工作场所）</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2.9.2监理人必须严格控制因监理办公设施、设备、生活、交通等产生的费用，保证相关费用真实、有效发生，且不得超过监理报酬清单中列明的费用。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0"/>
          <w:sz w:val="24"/>
          <w:szCs w:val="24"/>
          <w:highlight w:val="none"/>
          <w:lang w:eastAsia="zh-CN"/>
        </w:rPr>
      </w:pPr>
      <w:bookmarkStart w:id="219" w:name="_Toc1357706124"/>
      <w:bookmarkStart w:id="220" w:name="_Toc1183396257"/>
      <w:bookmarkStart w:id="221" w:name="_Toc841744600"/>
      <w:r>
        <w:rPr>
          <w:rFonts w:hint="eastAsia" w:ascii="仿宋" w:hAnsi="仿宋" w:eastAsia="仿宋" w:cs="仿宋"/>
          <w:b/>
          <w:bCs/>
          <w:kern w:val="0"/>
          <w:sz w:val="24"/>
          <w:szCs w:val="24"/>
          <w:highlight w:val="none"/>
          <w:lang w:eastAsia="zh-CN"/>
        </w:rPr>
        <w:t>三、发包人义务</w:t>
      </w:r>
      <w:bookmarkEnd w:id="219"/>
      <w:bookmarkEnd w:id="220"/>
      <w:bookmarkEnd w:id="221"/>
    </w:p>
    <w:p>
      <w:pPr>
        <w:pStyle w:val="39"/>
        <w:bidi w:val="0"/>
        <w:rPr>
          <w:rFonts w:hint="eastAsia"/>
          <w:lang w:eastAsia="zh-CN"/>
        </w:rPr>
      </w:pPr>
      <w:bookmarkStart w:id="222" w:name="_Toc1261038103"/>
      <w:bookmarkStart w:id="223" w:name="_Toc1945942303"/>
      <w:bookmarkStart w:id="224" w:name="_Toc1606718035"/>
      <w:r>
        <w:rPr>
          <w:rFonts w:hint="eastAsia"/>
          <w:lang w:eastAsia="zh-CN"/>
        </w:rPr>
        <w:t>3.2 提供资料</w:t>
      </w:r>
      <w:bookmarkEnd w:id="222"/>
      <w:bookmarkEnd w:id="223"/>
      <w:bookmarkEnd w:id="224"/>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3.2.1 提供资料的时间：</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3.2.1 提供的项目资料，包括：</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（1）本项目施工合同；</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lang w:eastAsia="zh-CN"/>
        </w:rPr>
        <w:t>）与本项目合作的原材料、构配件、机械设备等生产厂家名录（如有）；</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3</w:t>
      </w:r>
      <w:r>
        <w:rPr>
          <w:rFonts w:hint="eastAsia" w:ascii="仿宋" w:hAnsi="仿宋" w:eastAsia="仿宋" w:cs="仿宋"/>
          <w:kern w:val="0"/>
          <w:szCs w:val="21"/>
          <w:highlight w:val="none"/>
          <w:lang w:eastAsia="zh-CN"/>
        </w:rPr>
        <w:t>）提供与本项目有关的协作单位、配合单位的名录；</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4</w:t>
      </w:r>
      <w:r>
        <w:rPr>
          <w:rFonts w:hint="eastAsia" w:ascii="仿宋" w:hAnsi="仿宋" w:eastAsia="仿宋" w:cs="仿宋"/>
          <w:kern w:val="0"/>
          <w:szCs w:val="21"/>
          <w:highlight w:val="none"/>
          <w:lang w:eastAsia="zh-CN"/>
        </w:rPr>
        <w:t>）其他与项目有关的且为监理工作所需的资料：</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 xml:space="preserve"> 。</w:t>
      </w:r>
    </w:p>
    <w:p>
      <w:pPr>
        <w:pStyle w:val="39"/>
        <w:bidi w:val="0"/>
        <w:rPr>
          <w:rFonts w:hint="eastAsia"/>
          <w:lang w:eastAsia="zh-CN"/>
        </w:rPr>
      </w:pPr>
      <w:bookmarkStart w:id="225" w:name="_Toc979125646"/>
      <w:bookmarkStart w:id="226" w:name="_Toc1064854405"/>
      <w:bookmarkStart w:id="227" w:name="_Toc738421926"/>
      <w:r>
        <w:rPr>
          <w:rFonts w:hint="eastAsia"/>
          <w:lang w:eastAsia="zh-CN"/>
        </w:rPr>
        <w:t>3.3 提供工作条件</w:t>
      </w:r>
      <w:bookmarkEnd w:id="225"/>
      <w:bookmarkEnd w:id="226"/>
      <w:bookmarkEnd w:id="227"/>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3.3.</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lang w:eastAsia="zh-CN"/>
        </w:rPr>
        <w:t xml:space="preserve"> 发包人免费向监理人提供的设施</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对监理人自备设施的经济补偿：</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pStyle w:val="39"/>
        <w:bidi w:val="0"/>
        <w:rPr>
          <w:rFonts w:hint="eastAsia"/>
          <w:lang w:eastAsia="zh-CN"/>
        </w:rPr>
      </w:pPr>
      <w:bookmarkStart w:id="228" w:name="_Toc516708146"/>
      <w:bookmarkStart w:id="229" w:name="_Toc974383753"/>
      <w:bookmarkStart w:id="230" w:name="_Toc1827728508"/>
      <w:r>
        <w:rPr>
          <w:rFonts w:hint="eastAsia"/>
          <w:lang w:eastAsia="zh-CN"/>
        </w:rPr>
        <w:t>3.4 发包人代表</w:t>
      </w:r>
      <w:bookmarkEnd w:id="228"/>
      <w:bookmarkEnd w:id="229"/>
      <w:bookmarkEnd w:id="230"/>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发包人的常驻代表：</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；联系方式：</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 xml:space="preserve"> 。</w:t>
      </w:r>
    </w:p>
    <w:p>
      <w:pPr>
        <w:pStyle w:val="39"/>
        <w:bidi w:val="0"/>
        <w:rPr>
          <w:rFonts w:hint="eastAsia"/>
          <w:lang w:eastAsia="zh-CN"/>
        </w:rPr>
      </w:pPr>
      <w:bookmarkStart w:id="231" w:name="_Toc1065916585"/>
      <w:bookmarkStart w:id="232" w:name="_Toc943725503"/>
      <w:bookmarkStart w:id="233" w:name="_Toc2084795062"/>
      <w:r>
        <w:rPr>
          <w:rFonts w:hint="eastAsia"/>
          <w:lang w:eastAsia="zh-CN"/>
        </w:rPr>
        <w:t>3.6 答复</w:t>
      </w:r>
      <w:bookmarkEnd w:id="231"/>
      <w:bookmarkEnd w:id="232"/>
      <w:bookmarkEnd w:id="233"/>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发包人原则上应在</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u w:val="single"/>
          <w:lang w:val="en-US" w:eastAsia="zh-CN"/>
        </w:rPr>
        <w:t>7</w:t>
      </w:r>
      <w:r>
        <w:rPr>
          <w:rFonts w:hint="eastAsia" w:ascii="仿宋" w:hAnsi="仿宋" w:eastAsia="仿宋" w:cs="仿宋"/>
          <w:kern w:val="0"/>
          <w:szCs w:val="21"/>
          <w:highlight w:val="none"/>
          <w:lang w:eastAsia="zh-CN"/>
        </w:rPr>
        <w:t>天内就监理人书面提交并要求作出决定的事宜作出书面答复；重大事件回复时间可适当延长；特殊情况下，发包人应根据情况按监理人要求的时限答复。</w:t>
      </w:r>
    </w:p>
    <w:p>
      <w:pPr>
        <w:pStyle w:val="39"/>
        <w:bidi w:val="0"/>
        <w:rPr>
          <w:rFonts w:hint="eastAsia"/>
          <w:lang w:eastAsia="zh-CN"/>
        </w:rPr>
      </w:pPr>
      <w:bookmarkStart w:id="234" w:name="_Toc1746020589"/>
      <w:bookmarkStart w:id="235" w:name="_Toc930462123"/>
      <w:bookmarkStart w:id="236" w:name="_Toc906529891"/>
      <w:r>
        <w:rPr>
          <w:rFonts w:hint="eastAsia"/>
          <w:lang w:eastAsia="zh-CN"/>
        </w:rPr>
        <w:t>3.8 其他义务</w:t>
      </w:r>
      <w:bookmarkEnd w:id="234"/>
      <w:bookmarkEnd w:id="235"/>
      <w:bookmarkEnd w:id="236"/>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3.8.1 发包人应结合监理人对项目中与施工规模、施工范围、工程设计标准、规划设计、生产工艺设计和使用功能要求等有关事项的建议，对有关事项做出决策，对工程设计变更进行审批。</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3.8.2 发包人负责组织项目完工、竣工验收和移交。</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3.8.3 发包人应履行的其他义务：</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0"/>
          <w:sz w:val="24"/>
          <w:szCs w:val="24"/>
          <w:highlight w:val="none"/>
          <w:lang w:eastAsia="zh-CN"/>
        </w:rPr>
      </w:pPr>
      <w:bookmarkStart w:id="237" w:name="_Toc107627455"/>
      <w:bookmarkStart w:id="238" w:name="_Toc1802084146"/>
      <w:bookmarkStart w:id="239" w:name="_Toc13600324"/>
      <w:r>
        <w:rPr>
          <w:rFonts w:hint="eastAsia" w:ascii="仿宋" w:hAnsi="仿宋" w:eastAsia="仿宋" w:cs="仿宋"/>
          <w:b/>
          <w:bCs/>
          <w:kern w:val="0"/>
          <w:sz w:val="24"/>
          <w:szCs w:val="24"/>
          <w:highlight w:val="none"/>
          <w:lang w:eastAsia="zh-CN"/>
        </w:rPr>
        <w:t>四、违约责任</w:t>
      </w:r>
      <w:bookmarkEnd w:id="237"/>
      <w:bookmarkEnd w:id="238"/>
      <w:bookmarkEnd w:id="239"/>
    </w:p>
    <w:p>
      <w:pPr>
        <w:pStyle w:val="39"/>
        <w:bidi w:val="0"/>
        <w:rPr>
          <w:rFonts w:hint="eastAsia"/>
          <w:lang w:eastAsia="zh-CN"/>
        </w:rPr>
      </w:pPr>
      <w:bookmarkStart w:id="240" w:name="_Toc1570038975"/>
      <w:bookmarkStart w:id="241" w:name="_Toc1587867712"/>
      <w:bookmarkStart w:id="242" w:name="_Toc439798933"/>
      <w:r>
        <w:rPr>
          <w:rFonts w:hint="eastAsia"/>
          <w:lang w:val="en-US" w:eastAsia="zh-CN"/>
        </w:rPr>
        <w:t xml:space="preserve">4.1 </w:t>
      </w:r>
      <w:r>
        <w:rPr>
          <w:rFonts w:hint="eastAsia"/>
          <w:lang w:eastAsia="zh-CN"/>
        </w:rPr>
        <w:t>监理人违约责任</w:t>
      </w:r>
      <w:bookmarkEnd w:id="240"/>
      <w:bookmarkEnd w:id="241"/>
      <w:bookmarkEnd w:id="242"/>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4.1.2 监理人违约的责任</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监理人因违约所产生的责任，具体详见合同附件</w:t>
      </w:r>
      <w:r>
        <w:rPr>
          <w:rFonts w:hint="eastAsia" w:ascii="仿宋" w:hAnsi="仿宋" w:eastAsia="仿宋" w:cs="仿宋"/>
          <w:kern w:val="0"/>
          <w:szCs w:val="21"/>
          <w:highlight w:val="none"/>
          <w:lang w:val="en-US" w:eastAsia="zh-CN"/>
        </w:rPr>
        <w:t>3</w:t>
      </w:r>
      <w:r>
        <w:rPr>
          <w:rFonts w:hint="eastAsia" w:ascii="仿宋" w:hAnsi="仿宋" w:eastAsia="仿宋" w:cs="仿宋"/>
          <w:kern w:val="0"/>
          <w:szCs w:val="21"/>
          <w:highlight w:val="none"/>
          <w:lang w:eastAsia="zh-CN"/>
        </w:rPr>
        <w:t>《违约责任明细表》。</w:t>
      </w:r>
    </w:p>
    <w:p>
      <w:pPr>
        <w:pStyle w:val="39"/>
        <w:bidi w:val="0"/>
        <w:rPr>
          <w:rFonts w:hint="eastAsia"/>
          <w:lang w:eastAsia="zh-CN"/>
        </w:rPr>
      </w:pPr>
      <w:bookmarkStart w:id="243" w:name="_Toc1648091343"/>
      <w:bookmarkStart w:id="244" w:name="_Toc333699581"/>
      <w:bookmarkStart w:id="245" w:name="_Toc384307164"/>
      <w:r>
        <w:rPr>
          <w:rFonts w:hint="eastAsia"/>
          <w:lang w:val="en-US" w:eastAsia="zh-CN"/>
        </w:rPr>
        <w:t>4.2</w:t>
      </w:r>
      <w:r>
        <w:rPr>
          <w:rFonts w:hint="eastAsia"/>
          <w:lang w:eastAsia="zh-CN"/>
        </w:rPr>
        <w:t>发包人违约责任</w:t>
      </w:r>
      <w:bookmarkEnd w:id="243"/>
      <w:bookmarkEnd w:id="244"/>
      <w:bookmarkEnd w:id="245"/>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4.2.1 发包人违约的情形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eastAsia="zh-CN"/>
        </w:rPr>
        <w:t>（2）违约的其他情形：</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4.2.2 发包人违约的责任</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（1）发包人违反其他本合同约定，在监理人能够提交足够证据并经查证属实的情况下，发包人应赔偿其直接经济损失。</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2）其他违约责任：</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0"/>
          <w:sz w:val="24"/>
          <w:szCs w:val="24"/>
          <w:highlight w:val="none"/>
          <w:lang w:eastAsia="zh-CN"/>
        </w:rPr>
      </w:pPr>
      <w:bookmarkStart w:id="246" w:name="_Toc612032246"/>
      <w:bookmarkStart w:id="247" w:name="_Toc39024177"/>
      <w:bookmarkStart w:id="248" w:name="_Toc1750474888"/>
      <w:r>
        <w:rPr>
          <w:rFonts w:hint="eastAsia" w:ascii="仿宋" w:hAnsi="仿宋" w:eastAsia="仿宋" w:cs="仿宋"/>
          <w:b/>
          <w:bCs/>
          <w:kern w:val="0"/>
          <w:sz w:val="24"/>
          <w:szCs w:val="24"/>
          <w:highlight w:val="none"/>
          <w:lang w:eastAsia="zh-CN"/>
        </w:rPr>
        <w:t>五、监理报酬</w:t>
      </w:r>
      <w:bookmarkEnd w:id="246"/>
      <w:bookmarkEnd w:id="247"/>
      <w:bookmarkEnd w:id="248"/>
    </w:p>
    <w:p>
      <w:pPr>
        <w:pStyle w:val="39"/>
        <w:bidi w:val="0"/>
        <w:rPr>
          <w:rFonts w:hint="eastAsia"/>
          <w:lang w:eastAsia="zh-CN"/>
        </w:rPr>
      </w:pPr>
      <w:bookmarkStart w:id="249" w:name="_Toc303013636"/>
      <w:bookmarkStart w:id="250" w:name="_Toc1437131968"/>
      <w:bookmarkStart w:id="251" w:name="_Toc110521487"/>
      <w:r>
        <w:rPr>
          <w:rFonts w:hint="eastAsia"/>
          <w:lang w:eastAsia="zh-CN"/>
        </w:rPr>
        <w:t>5.1 支付货币</w:t>
      </w:r>
      <w:bookmarkEnd w:id="249"/>
      <w:bookmarkEnd w:id="250"/>
      <w:bookmarkEnd w:id="251"/>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本合同采用的货币币种：</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本合同采用的汇率：</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pStyle w:val="39"/>
        <w:bidi w:val="0"/>
        <w:rPr>
          <w:rFonts w:hint="eastAsia"/>
          <w:lang w:eastAsia="zh-CN"/>
        </w:rPr>
      </w:pPr>
      <w:bookmarkStart w:id="252" w:name="_Toc375668189"/>
      <w:bookmarkStart w:id="253" w:name="_Toc818116314"/>
      <w:bookmarkStart w:id="254" w:name="_Toc605968049"/>
      <w:r>
        <w:rPr>
          <w:rFonts w:hint="eastAsia"/>
          <w:lang w:eastAsia="zh-CN"/>
        </w:rPr>
        <w:t>5.2 支付监理报酬</w:t>
      </w:r>
      <w:bookmarkEnd w:id="252"/>
      <w:bookmarkEnd w:id="253"/>
      <w:bookmarkEnd w:id="254"/>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5.2.1 监理报酬的计算方式</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（1）正常监理报酬</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①本合同协议书明确的签约合同价为本项目的正常监理报酬，为￥</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元（大写：人民币</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元整）。其中中标</w:t>
      </w:r>
      <w:r>
        <w:rPr>
          <w:rFonts w:hint="eastAsia" w:ascii="仿宋" w:hAnsi="仿宋" w:eastAsia="仿宋" w:cs="仿宋"/>
          <w:kern w:val="0"/>
          <w:szCs w:val="21"/>
          <w:highlight w:val="none"/>
          <w:lang w:val="en-US" w:eastAsia="zh-CN"/>
        </w:rPr>
        <w:t>/成交报价</w:t>
      </w:r>
      <w:r>
        <w:rPr>
          <w:rFonts w:hint="eastAsia" w:ascii="仿宋" w:hAnsi="仿宋" w:eastAsia="仿宋" w:cs="仿宋"/>
          <w:kern w:val="0"/>
          <w:szCs w:val="21"/>
          <w:highlight w:val="none"/>
          <w:lang w:eastAsia="zh-CN"/>
        </w:rPr>
        <w:t>下浮率为</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②</w:t>
      </w:r>
      <w:r>
        <w:rPr>
          <w:rFonts w:hint="eastAsia" w:ascii="仿宋" w:hAnsi="仿宋" w:eastAsia="仿宋" w:cs="仿宋"/>
          <w:kern w:val="0"/>
          <w:szCs w:val="21"/>
          <w:highlight w:val="none"/>
          <w:lang w:val="en-US" w:eastAsia="zh-CN"/>
        </w:rPr>
        <w:t>项目合同正常监理报酬参照《关于印发〈建设工程监理与相关服务收费管理规定〉的通知》(发改价格〔2007〕670号)、《国家发展改革委关于降低部分建设项目收费标准规范收费行为等有关问题的通知》（发改价格〔2011〕534号）文件所规定的计价方式，按成交监理费及报价下浮率作为暂定签约合同价，实行总价包干（约定可以调整的除外），其中：专业调整系数</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、工程复杂程度调整系数</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、高程调整系数</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w:t>
      </w:r>
    </w:p>
    <w:p>
      <w:pPr>
        <w:widowControl/>
        <w:spacing w:line="240" w:lineRule="auto"/>
        <w:ind w:firstLine="420" w:firstLineChars="200"/>
        <w:jc w:val="left"/>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监理费暂定签约合同价＝成交监理费基价×（1-成交报价下浮率）×专业调整系数×工程复杂程度调整系数×高程调整系数。正常监理报酬为监理单位完成正常监理工作所需的费用总和，包括但不限于所有的成本、利润、税金等。</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③本合同签约合同价为暂定合同价</w:t>
      </w:r>
      <w:r>
        <w:rPr>
          <w:rFonts w:hint="eastAsia" w:ascii="仿宋" w:hAnsi="仿宋" w:eastAsia="仿宋" w:cs="仿宋"/>
          <w:kern w:val="0"/>
          <w:szCs w:val="21"/>
          <w:highlight w:val="none"/>
          <w:lang w:val="en-US" w:eastAsia="zh-CN"/>
        </w:rPr>
        <w:t>，参照《关于印发〈建设工程监理与相关服务收费管理规定〉的通知》(发改价格〔2007〕670号)、《国家发展改革委关于降低部分建设项目收费标准规范收费行为等有关问题的通知》（发改价格〔2011〕534号）文件所规定的计价方式，按施工中标的建安费（建筑安装工程费、设备购置费和联合试运转费之和）为计费基数重新计算正常监理报酬调整后签约合同价，其中：专业调整系数</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、工程复杂程度调整系数</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、高程调整系数</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w:t>
      </w:r>
      <w:r>
        <w:rPr>
          <w:rFonts w:hint="eastAsia" w:ascii="仿宋" w:hAnsi="仿宋" w:eastAsia="仿宋" w:cs="仿宋"/>
          <w:kern w:val="0"/>
          <w:szCs w:val="21"/>
          <w:highlight w:val="none"/>
          <w:lang w:eastAsia="zh-CN"/>
        </w:rPr>
        <w:t>计算公式如下：</w:t>
      </w:r>
    </w:p>
    <w:p>
      <w:pPr>
        <w:widowControl/>
        <w:numPr>
          <w:ilvl w:val="0"/>
          <w:numId w:val="0"/>
        </w:numPr>
        <w:spacing w:line="240" w:lineRule="auto"/>
        <w:ind w:firstLine="420" w:firstLineChars="2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调整后签约合同价=以施工中标建安费为基数计算的监理费×（1-成交报价下浮率）×专业调整系数×工程复杂程度调整系数×高程调整系数，调整后签约合同价不得超过签约合同价。</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④正常监理报酬调整</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A.如项目实施过程中建设规模等发生重大变化，导致预算调整，则正常监理报酬按最终批复的工程预算投资额为计费基数重新计算。一般监理报酬不得超过签约合同价。</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B.如项目发生甩项（指工程范围减少、单项工程或分部分项工程取消），导致不能按施工合同内容全部实施，则正常监理报酬的按施工合同实际实施的工作内容为基数计算。</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附加监理报酬</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发包人委托监理范围以外，通过书面协议另外增加的工作内容（包括但不限于合同外的咨询、鉴定等）所需费用，结合报价下浮率，按附加工作的特点和项目合同的标准另行协商确定。按照广州市（含市辖区）、项目主管部门资金支付管理等文件的操作程序，监理单位凭有效发票原件及上述文件要求的申请资料向发包人提出申请，发包人审批后，并根据共同签订的补充合同的约定，向监理单位支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（3）额外监理报酬</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合同双方一致同意，不计监理额外工作的监理报酬。</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（4）监理费用结算</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eastAsia="zh-CN"/>
        </w:rPr>
        <w:t>①</w:t>
      </w:r>
      <w:r>
        <w:rPr>
          <w:rFonts w:hint="eastAsia" w:ascii="仿宋" w:hAnsi="仿宋" w:eastAsia="仿宋" w:cs="仿宋"/>
          <w:kern w:val="0"/>
          <w:szCs w:val="21"/>
          <w:highlight w:val="none"/>
          <w:lang w:val="en-US" w:eastAsia="zh-CN"/>
        </w:rPr>
        <w:t>按实际工程施工内容完成施工结算后，以结算批复的工程费用结算价作为正常监理报酬最终监理费基价的计费基数，计取监理费最终合同价，计算方式如下：</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监理费最终合同价＝以建安费结算批复为基数的监理费基价×（1-成交报价下浮率）×专业调整系数×工程复杂程度调整系数×高程调整系数＋监理费附加工作报酬（如有）。</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eastAsia="zh-CN"/>
        </w:rPr>
        <w:t>②</w:t>
      </w:r>
      <w:r>
        <w:rPr>
          <w:rFonts w:hint="eastAsia" w:ascii="仿宋" w:hAnsi="仿宋" w:eastAsia="仿宋" w:cs="仿宋"/>
          <w:kern w:val="0"/>
          <w:szCs w:val="21"/>
          <w:highlight w:val="none"/>
          <w:lang w:val="en-US" w:eastAsia="zh-CN"/>
        </w:rPr>
        <w:t>监理费最终结算价以采购人或结算终审单位按合同约定审定的结算价为准。最终监理费不得超过签约合同价。</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③若项目被审计机关纳入审计的，则双方同意以审计机关出具的审计报告作为最终结算依据；若审计机关出具的审计报告与甲、乙双方的结算数额不一致的，甲、乙双方应根据审计机关出具的审计报告进行多退少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5.2.2 监理报酬的支付方式</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（1）正常监理报酬进度款支付方式</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按如下第</w:t>
      </w:r>
      <w:r>
        <w:rPr>
          <w:rFonts w:hint="eastAsia" w:ascii="仿宋" w:hAnsi="仿宋" w:eastAsia="仿宋" w:cs="仿宋"/>
          <w:kern w:val="0"/>
          <w:szCs w:val="21"/>
          <w:highlight w:val="none"/>
          <w:u w:val="single"/>
          <w:lang w:val="en-US" w:eastAsia="zh-CN"/>
        </w:rPr>
        <w:t xml:space="preserve">   二  </w:t>
      </w:r>
      <w:r>
        <w:rPr>
          <w:rFonts w:hint="eastAsia" w:ascii="仿宋" w:hAnsi="仿宋" w:eastAsia="仿宋" w:cs="仿宋"/>
          <w:kern w:val="0"/>
          <w:szCs w:val="21"/>
          <w:highlight w:val="none"/>
          <w:lang w:val="en-US" w:eastAsia="zh-CN"/>
        </w:rPr>
        <w:t>种方式</w:t>
      </w:r>
      <w:r>
        <w:rPr>
          <w:rFonts w:hint="eastAsia" w:ascii="仿宋" w:hAnsi="仿宋" w:eastAsia="仿宋" w:cs="仿宋"/>
          <w:kern w:val="0"/>
          <w:szCs w:val="21"/>
          <w:highlight w:val="none"/>
          <w:lang w:eastAsia="zh-CN"/>
        </w:rPr>
        <w:t>支付（财政投资项目付款时间以财政部门批准为准）：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方式一：按监理工作量支付</w:t>
      </w:r>
    </w:p>
    <w:p>
      <w:pPr>
        <w:widowControl/>
        <w:numPr>
          <w:ilvl w:val="0"/>
          <w:numId w:val="0"/>
        </w:numPr>
        <w:spacing w:line="240" w:lineRule="auto"/>
        <w:ind w:left="0" w:firstLine="420" w:firstLineChars="2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①本合同生效且完成施工标招标后，监理单位可申请支付正常监理报酬调整后签约合同价的10 %作为首付款，首付款计入合同正常监理报酬的累计支付额，不另行扣回；</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②在监理工作量完成20%时，根据项目实际情况累计最多可支付至调整后签约合同价的20%；</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③在监理工作量完成40%时，根据项目实际情况累计最多可支付至调整后签约合同价的30%；</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④在监理工作量完成60%时，根据项目实际情况累计最多可支付至调整后签约合同价的45%；</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⑤在监理工作量完成80%时，根据项目实际情况累计最多可支付至调整后签约合同价的60%；</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⑥在项目完工且监理工作量完成100%后，根据项目实际情况累计最多可支付至调整后签约合同价的80%；</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eastAsia="zh-CN"/>
        </w:rPr>
        <w:t>⑦</w:t>
      </w:r>
      <w:r>
        <w:rPr>
          <w:rFonts w:hint="eastAsia" w:ascii="仿宋" w:hAnsi="仿宋" w:eastAsia="仿宋" w:cs="仿宋"/>
          <w:kern w:val="0"/>
          <w:szCs w:val="21"/>
          <w:highlight w:val="none"/>
          <w:lang w:val="en-US" w:eastAsia="zh-CN"/>
        </w:rPr>
        <w:t>工程结算经</w:t>
      </w:r>
      <w:r>
        <w:rPr>
          <w:rFonts w:hint="eastAsia" w:ascii="仿宋" w:hAnsi="仿宋" w:eastAsia="仿宋" w:cs="仿宋"/>
          <w:kern w:val="0"/>
          <w:szCs w:val="21"/>
          <w:highlight w:val="none"/>
          <w:u w:val="none"/>
          <w:lang w:val="en-US" w:eastAsia="zh-CN"/>
        </w:rPr>
        <w:t>项目结算终审单位</w:t>
      </w:r>
      <w:r>
        <w:rPr>
          <w:rFonts w:hint="eastAsia" w:ascii="仿宋" w:hAnsi="仿宋" w:eastAsia="仿宋" w:cs="仿宋"/>
          <w:kern w:val="0"/>
          <w:szCs w:val="21"/>
          <w:highlight w:val="none"/>
          <w:lang w:val="en-US" w:eastAsia="zh-CN"/>
        </w:rPr>
        <w:t>审核后，按</w:t>
      </w:r>
      <w:r>
        <w:rPr>
          <w:rFonts w:hint="eastAsia" w:ascii="仿宋" w:hAnsi="仿宋" w:eastAsia="仿宋" w:cs="仿宋"/>
          <w:kern w:val="0"/>
          <w:szCs w:val="21"/>
          <w:highlight w:val="none"/>
          <w:u w:val="none"/>
          <w:lang w:val="en-US" w:eastAsia="zh-CN"/>
        </w:rPr>
        <w:t>项目结算终审单位</w:t>
      </w:r>
      <w:r>
        <w:rPr>
          <w:rFonts w:hint="eastAsia" w:ascii="仿宋" w:hAnsi="仿宋" w:eastAsia="仿宋" w:cs="仿宋"/>
          <w:kern w:val="0"/>
          <w:szCs w:val="21"/>
          <w:highlight w:val="none"/>
          <w:lang w:val="en-US" w:eastAsia="zh-CN"/>
        </w:rPr>
        <w:t>审核价最多可支付至最终结算价的95%。</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以上分期支付监理单位视实际情况，经发包人同意后可合并申请。</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监理单位申请支付款项前应按发包人财务管理制度办理相关请款手续并提供合法有效的可报销凭证。</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⑧因本项目款项的支付需经市财政部门审批，若发包人已在约定时间内办理申请财政支付手续，因财政审批造成支付延误的，或财政资金不足以全额支付已达支付条件的合同进度款，可在财政资金额度内支付部分合同进度款，余下部分待资金到位后再支付，以上情况均不视为发包人违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工程进度款除应符合上述约定外，还应与发包人对承包人的履约考核结果（如有）挂钩，详见《履约考核办法》（见附件12）。</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方式二：按工程进度支付</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①本合同生效且完成施工标招标后，监理单位可申请支付正常监理报酬调整后签约合同价的10 %作为首付款，首付款计入合同正常监理报酬的累计支付额，不另行扣回；</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②按工程进度支付监理报酬，每次支付额为（本期完成工程量/合同工程量）</w:t>
      </w:r>
      <w:r>
        <w:rPr>
          <w:rFonts w:hint="eastAsia" w:ascii="仿宋" w:hAnsi="仿宋" w:eastAsia="仿宋" w:cs="仿宋"/>
          <w:snapToGrid/>
          <w:color w:val="auto"/>
          <w:spacing w:val="0"/>
          <w:kern w:val="0"/>
          <w:sz w:val="21"/>
          <w:szCs w:val="21"/>
          <w:highlight w:val="none"/>
          <w:lang w:val="en-US" w:eastAsia="zh-CN"/>
        </w:rPr>
        <w:t>×</w:t>
      </w:r>
      <w:r>
        <w:rPr>
          <w:rFonts w:hint="eastAsia" w:ascii="仿宋" w:hAnsi="仿宋" w:eastAsia="仿宋" w:cs="仿宋"/>
          <w:kern w:val="0"/>
          <w:szCs w:val="21"/>
          <w:highlight w:val="none"/>
          <w:lang w:val="en-US" w:eastAsia="zh-CN"/>
        </w:rPr>
        <w:t>调整后签约合同价</w:t>
      </w:r>
      <w:r>
        <w:rPr>
          <w:rFonts w:hint="eastAsia" w:ascii="仿宋" w:hAnsi="仿宋" w:eastAsia="仿宋" w:cs="仿宋"/>
          <w:snapToGrid/>
          <w:color w:val="auto"/>
          <w:spacing w:val="0"/>
          <w:kern w:val="0"/>
          <w:sz w:val="21"/>
          <w:szCs w:val="21"/>
          <w:highlight w:val="none"/>
          <w:lang w:val="en-US" w:eastAsia="zh-CN"/>
        </w:rPr>
        <w:t>×</w:t>
      </w:r>
      <w:r>
        <w:rPr>
          <w:rFonts w:hint="eastAsia" w:ascii="仿宋" w:hAnsi="仿宋" w:eastAsia="仿宋" w:cs="仿宋"/>
          <w:kern w:val="0"/>
          <w:szCs w:val="21"/>
          <w:highlight w:val="none"/>
          <w:lang w:val="en-US" w:eastAsia="zh-CN"/>
        </w:rPr>
        <w:t>75%，根据项目实际情况累计最多可支付至调整后签约</w:t>
      </w:r>
      <w:bookmarkStart w:id="331" w:name="_GoBack"/>
      <w:bookmarkEnd w:id="331"/>
      <w:r>
        <w:rPr>
          <w:rFonts w:hint="eastAsia" w:ascii="仿宋" w:hAnsi="仿宋" w:eastAsia="仿宋" w:cs="仿宋"/>
          <w:kern w:val="0"/>
          <w:szCs w:val="21"/>
          <w:highlight w:val="none"/>
          <w:lang w:val="en-US" w:eastAsia="zh-CN"/>
        </w:rPr>
        <w:t>合同价的75%；</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③监理人完成全部合同变更审核并不存在违约的情况下，根据项目实际情况累计最多可支付至调整后签约合同价的80%；</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④工程结算经</w:t>
      </w:r>
      <w:r>
        <w:rPr>
          <w:rFonts w:hint="eastAsia" w:ascii="仿宋" w:hAnsi="仿宋" w:eastAsia="仿宋" w:cs="仿宋"/>
          <w:kern w:val="0"/>
          <w:szCs w:val="21"/>
          <w:highlight w:val="none"/>
          <w:u w:val="none"/>
          <w:lang w:val="en-US" w:eastAsia="zh-CN"/>
        </w:rPr>
        <w:t>项目结算终审单位</w:t>
      </w:r>
      <w:r>
        <w:rPr>
          <w:rFonts w:hint="eastAsia" w:ascii="仿宋" w:hAnsi="仿宋" w:eastAsia="仿宋" w:cs="仿宋"/>
          <w:kern w:val="0"/>
          <w:szCs w:val="21"/>
          <w:highlight w:val="none"/>
          <w:lang w:val="en-US" w:eastAsia="zh-CN"/>
        </w:rPr>
        <w:t>审核后，按</w:t>
      </w:r>
      <w:r>
        <w:rPr>
          <w:rFonts w:hint="eastAsia" w:ascii="仿宋" w:hAnsi="仿宋" w:eastAsia="仿宋" w:cs="仿宋"/>
          <w:kern w:val="0"/>
          <w:szCs w:val="21"/>
          <w:highlight w:val="none"/>
          <w:u w:val="none"/>
          <w:lang w:val="en-US" w:eastAsia="zh-CN"/>
        </w:rPr>
        <w:t>项目结算终审单位</w:t>
      </w:r>
      <w:r>
        <w:rPr>
          <w:rFonts w:hint="eastAsia" w:ascii="仿宋" w:hAnsi="仿宋" w:eastAsia="仿宋" w:cs="仿宋"/>
          <w:kern w:val="0"/>
          <w:szCs w:val="21"/>
          <w:highlight w:val="none"/>
          <w:lang w:val="en-US" w:eastAsia="zh-CN"/>
        </w:rPr>
        <w:t>审核价最多可支付至最终结算价的95%。</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以上分期支付监理单位视实际情况，经发包人同意后可合并申请。</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监理单位申请支付款项前应按发包人财务管理制度办理相关请款手续并提供合法有效的可报销凭证。</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⑤因本项目款项的支付需经市财政部门审批，若发包人已在约定时间内办理申请财政支付手续，因财政审批造成支付延误的，或财政资金不足以全额支付已达支付条件的合同进度款，可在财政资金额度内支付部分合同进度款，余下部分待资金到位后再支付，以上情况均不视为发包人违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工程进度款除应符合上述约定外，还应与发包人对承包人的履约考核结果（如有）挂钩，详见《履约考核办法》（见附件12）。</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方式三：按月支付</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①本合同生效且完成施工标招标后，监理单位可申请支付正常监理报酬调整后签约合同价的10 %作为首付款，首付款计入合同正常监理报酬的累计支付额，不另行扣回；</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kern w:val="0"/>
          <w:szCs w:val="21"/>
          <w:highlight w:val="none"/>
          <w:lang w:val="en-US" w:eastAsia="zh-CN"/>
        </w:rPr>
        <w:t>②每月</w:t>
      </w:r>
      <w:r>
        <w:rPr>
          <w:rFonts w:hint="eastAsia" w:ascii="仿宋" w:hAnsi="仿宋" w:eastAsia="仿宋" w:cs="仿宋"/>
          <w:snapToGrid/>
          <w:color w:val="auto"/>
          <w:spacing w:val="0"/>
          <w:kern w:val="0"/>
          <w:sz w:val="21"/>
          <w:szCs w:val="21"/>
          <w:highlight w:val="none"/>
          <w:lang w:eastAsia="zh-CN"/>
        </w:rPr>
        <w:t>按监理工作量的完成比例并结合履约考核结果控制支付，监理工作量完成比例</w:t>
      </w:r>
      <w:r>
        <w:rPr>
          <w:rFonts w:hint="eastAsia" w:ascii="仿宋" w:hAnsi="仿宋" w:eastAsia="仿宋" w:cs="仿宋"/>
          <w:snapToGrid/>
          <w:color w:val="auto"/>
          <w:spacing w:val="0"/>
          <w:kern w:val="0"/>
          <w:sz w:val="21"/>
          <w:szCs w:val="21"/>
          <w:highlight w:val="none"/>
          <w:lang w:val="en-US" w:eastAsia="zh-CN"/>
        </w:rPr>
        <w:t>=（</w:t>
      </w:r>
      <w:r>
        <w:rPr>
          <w:rFonts w:hint="eastAsia" w:ascii="仿宋" w:hAnsi="仿宋" w:eastAsia="仿宋" w:cs="仿宋"/>
          <w:snapToGrid/>
          <w:color w:val="auto"/>
          <w:spacing w:val="0"/>
          <w:kern w:val="0"/>
          <w:sz w:val="21"/>
          <w:szCs w:val="21"/>
          <w:highlight w:val="none"/>
          <w:lang w:eastAsia="zh-CN"/>
        </w:rPr>
        <w:t>实际投入人员</w:t>
      </w:r>
      <w:r>
        <w:rPr>
          <w:rFonts w:hint="eastAsia" w:ascii="仿宋" w:hAnsi="仿宋" w:eastAsia="仿宋" w:cs="仿宋"/>
          <w:snapToGrid/>
          <w:color w:val="auto"/>
          <w:spacing w:val="0"/>
          <w:kern w:val="0"/>
          <w:sz w:val="21"/>
          <w:szCs w:val="21"/>
          <w:highlight w:val="none"/>
          <w:lang w:val="en-US" w:eastAsia="zh-CN"/>
        </w:rPr>
        <w:t>×现场工作时间）/（拟投入总人员×合同工程工期时间）</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③监理人完成全部合同变更审核并不存在违约的情况下，根据项目实际情况累计最多可支付至调整后签约合同价的80%；</w:t>
      </w:r>
    </w:p>
    <w:p>
      <w:pPr>
        <w:widowControl/>
        <w:numPr>
          <w:ilvl w:val="0"/>
          <w:numId w:val="0"/>
        </w:numPr>
        <w:spacing w:line="240" w:lineRule="auto"/>
        <w:ind w:firstLine="420" w:firstLineChars="200"/>
        <w:jc w:val="left"/>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Cs w:val="21"/>
          <w:highlight w:val="none"/>
          <w:lang w:val="en-US" w:eastAsia="zh-CN"/>
        </w:rPr>
        <w:t>④工程结算经</w:t>
      </w:r>
      <w:r>
        <w:rPr>
          <w:rFonts w:hint="eastAsia" w:ascii="仿宋" w:hAnsi="仿宋" w:eastAsia="仿宋" w:cs="仿宋"/>
          <w:kern w:val="0"/>
          <w:szCs w:val="21"/>
          <w:highlight w:val="none"/>
          <w:u w:val="none"/>
          <w:lang w:val="en-US" w:eastAsia="zh-CN"/>
        </w:rPr>
        <w:t>项目结算终审单位</w:t>
      </w:r>
      <w:r>
        <w:rPr>
          <w:rFonts w:hint="eastAsia" w:ascii="仿宋" w:hAnsi="仿宋" w:eastAsia="仿宋" w:cs="仿宋"/>
          <w:kern w:val="0"/>
          <w:szCs w:val="21"/>
          <w:highlight w:val="none"/>
          <w:lang w:val="en-US" w:eastAsia="zh-CN"/>
        </w:rPr>
        <w:t>审核后，按</w:t>
      </w:r>
      <w:r>
        <w:rPr>
          <w:rFonts w:hint="eastAsia" w:ascii="仿宋" w:hAnsi="仿宋" w:eastAsia="仿宋" w:cs="仿宋"/>
          <w:kern w:val="0"/>
          <w:szCs w:val="21"/>
          <w:highlight w:val="none"/>
          <w:u w:val="none"/>
          <w:lang w:val="en-US" w:eastAsia="zh-CN"/>
        </w:rPr>
        <w:t>项目结算终审单位</w:t>
      </w:r>
      <w:r>
        <w:rPr>
          <w:rFonts w:hint="eastAsia" w:ascii="仿宋" w:hAnsi="仿宋" w:eastAsia="仿宋" w:cs="仿宋"/>
          <w:kern w:val="0"/>
          <w:szCs w:val="21"/>
          <w:highlight w:val="none"/>
          <w:lang w:val="en-US" w:eastAsia="zh-CN"/>
        </w:rPr>
        <w:t>审核价最多可支付至最终结算价的95%。</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以上分期支付监理单位视实际情况，经发包人同意后可合并申请。</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监理单位申请支付款项前应按发包人财务管理制度办理相关请款手续并提供合法有效的可报销凭证。</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⑤因本项目款项的支付需经市财政部门审批，若发包人已在约定时间内办理申请财政支付手续，因财政审批造成支付延误的，或财政资金不足以全额支付已达支付条件的合同进度款，可在财政资金额度内支付部分合同进度款，余下部分待资金到位后再支付，以上情况均不视为发包人违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工程进度款除应符合上述约定外，还应与发包人对承包人的履约考核结果（如有）挂钩，详见《履约考核办法》（见附件12）。</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lang w:eastAsia="zh-CN"/>
        </w:rPr>
        <w:t>）附加监理报酬支付方式</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 xml:space="preserve">合同双方一致同意，附加监理报酬支付方式按附加监理报酬补充协议另行约定。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3</w:t>
      </w:r>
      <w:r>
        <w:rPr>
          <w:rFonts w:hint="eastAsia" w:ascii="仿宋" w:hAnsi="仿宋" w:eastAsia="仿宋" w:cs="仿宋"/>
          <w:kern w:val="0"/>
          <w:szCs w:val="21"/>
          <w:highlight w:val="none"/>
          <w:lang w:eastAsia="zh-CN"/>
        </w:rPr>
        <w:t>）额外监理报酬支付方式</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合同双方一致同意，不支付监理额外工作的监理报酬。</w:t>
      </w:r>
    </w:p>
    <w:p>
      <w:pPr>
        <w:pStyle w:val="39"/>
        <w:bidi w:val="0"/>
        <w:rPr>
          <w:rFonts w:hint="eastAsia"/>
          <w:lang w:eastAsia="zh-CN"/>
        </w:rPr>
      </w:pPr>
      <w:bookmarkStart w:id="255" w:name="_Toc1788957184"/>
      <w:bookmarkStart w:id="256" w:name="_Toc265254365"/>
      <w:bookmarkStart w:id="257" w:name="_Toc1316620420"/>
      <w:r>
        <w:rPr>
          <w:rFonts w:hint="eastAsia"/>
          <w:lang w:val="en-US" w:eastAsia="zh-CN"/>
        </w:rPr>
        <w:t xml:space="preserve">5.3 </w:t>
      </w:r>
      <w:r>
        <w:rPr>
          <w:rFonts w:hint="eastAsia"/>
          <w:lang w:eastAsia="zh-CN"/>
        </w:rPr>
        <w:t>结算</w:t>
      </w:r>
      <w:bookmarkEnd w:id="255"/>
      <w:bookmarkEnd w:id="256"/>
      <w:bookmarkEnd w:id="257"/>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 xml:space="preserve">5.3.1 </w:t>
      </w:r>
      <w:r>
        <w:rPr>
          <w:rFonts w:hint="eastAsia" w:ascii="仿宋" w:hAnsi="仿宋" w:eastAsia="仿宋" w:cs="仿宋"/>
          <w:kern w:val="0"/>
          <w:szCs w:val="21"/>
          <w:highlight w:val="none"/>
          <w:lang w:eastAsia="zh-CN"/>
        </w:rPr>
        <w:t>结算申请提交期限：</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结算申请提交要求：</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5.3.2 结算原则</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bCs/>
          <w:kern w:val="0"/>
          <w:szCs w:val="21"/>
          <w:highlight w:val="none"/>
          <w:u w:val="single"/>
          <w:lang w:val="en-US" w:eastAsia="zh-CN"/>
        </w:rPr>
      </w:pPr>
      <w:r>
        <w:rPr>
          <w:rFonts w:hint="eastAsia" w:ascii="仿宋" w:hAnsi="仿宋" w:eastAsia="仿宋" w:cs="仿宋"/>
          <w:b/>
          <w:bCs/>
          <w:kern w:val="0"/>
          <w:szCs w:val="21"/>
          <w:highlight w:val="none"/>
          <w:u w:val="single"/>
          <w:lang w:val="en-US" w:eastAsia="zh-CN"/>
        </w:rPr>
        <w:t>结算尾款应与发包人组织的履约考核结果（如有）挂钩，详见《履约考核办法》（见附件12）。</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正常监理报酬实行总价包干，具体计算方式详见5.2约定。</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5.3.3合同双方一致同意，</w:t>
      </w:r>
      <w:r>
        <w:rPr>
          <w:rFonts w:hint="eastAsia" w:ascii="仿宋" w:hAnsi="仿宋" w:eastAsia="仿宋" w:cs="仿宋"/>
          <w:kern w:val="0"/>
          <w:szCs w:val="21"/>
          <w:highlight w:val="none"/>
          <w:u w:val="single"/>
          <w:lang w:val="en-US" w:eastAsia="zh-CN"/>
        </w:rPr>
        <w:t>本合同最终结算价以项目结算终审单位根据本合同约定审定的终审价为准</w:t>
      </w:r>
      <w:r>
        <w:rPr>
          <w:rFonts w:hint="eastAsia" w:ascii="仿宋" w:hAnsi="仿宋" w:eastAsia="仿宋" w:cs="仿宋"/>
          <w:kern w:val="0"/>
          <w:szCs w:val="21"/>
          <w:highlight w:val="none"/>
          <w:lang w:val="en-US" w:eastAsia="zh-CN"/>
        </w:rPr>
        <w:t>。如审计部门对本项目提出审计意见的，双方同意按审计意见进行整改。</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 xml:space="preserve">5.3.4 </w:t>
      </w:r>
      <w:r>
        <w:rPr>
          <w:rFonts w:hint="eastAsia" w:ascii="仿宋" w:hAnsi="仿宋" w:eastAsia="仿宋" w:cs="仿宋"/>
          <w:kern w:val="0"/>
          <w:szCs w:val="21"/>
          <w:highlight w:val="none"/>
          <w:lang w:eastAsia="zh-CN"/>
        </w:rPr>
        <w:t>结算审核与支付</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lang w:eastAsia="zh-CN"/>
        </w:rPr>
        <w:t>）发包人审核结算的期限</w:t>
      </w:r>
      <w:r>
        <w:rPr>
          <w:rFonts w:hint="eastAsia" w:ascii="仿宋" w:hAnsi="仿宋" w:eastAsia="仿宋" w:cs="仿宋"/>
          <w:kern w:val="0"/>
          <w:szCs w:val="21"/>
          <w:highlight w:val="none"/>
          <w:u w:val="none"/>
          <w:lang w:eastAsia="zh-CN"/>
        </w:rPr>
        <w:t>：</w:t>
      </w:r>
      <w:r>
        <w:rPr>
          <w:rFonts w:hint="eastAsia" w:ascii="仿宋" w:hAnsi="仿宋" w:eastAsia="仿宋" w:cs="仿宋"/>
          <w:kern w:val="0"/>
          <w:szCs w:val="21"/>
          <w:highlight w:val="none"/>
          <w:u w:val="single"/>
          <w:lang w:val="en-US" w:eastAsia="zh-CN"/>
        </w:rPr>
        <w:t xml:space="preserve"> 28天 </w:t>
      </w:r>
      <w:r>
        <w:rPr>
          <w:rFonts w:hint="eastAsia" w:ascii="仿宋" w:hAnsi="仿宋" w:eastAsia="仿宋" w:cs="仿宋"/>
          <w:kern w:val="0"/>
          <w:szCs w:val="21"/>
          <w:highlight w:val="none"/>
          <w:lang w:val="en-US" w:eastAsia="zh-CN"/>
        </w:rPr>
        <w:t>。发包人的结算审核期限不含项目结算终审单位的审核时间，发包人需在完成审核后及时向项目结算终审单位报审。</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lang w:eastAsia="zh-CN"/>
        </w:rPr>
        <w:t>）在监理人完成施工单位的结算审核、按发包人要求提交本合同完整结算资料、</w:t>
      </w:r>
      <w:r>
        <w:rPr>
          <w:rFonts w:hint="eastAsia" w:ascii="仿宋" w:hAnsi="仿宋" w:eastAsia="仿宋" w:cs="仿宋"/>
          <w:kern w:val="0"/>
          <w:szCs w:val="21"/>
          <w:highlight w:val="none"/>
          <w:lang w:val="en-US" w:eastAsia="zh-CN"/>
        </w:rPr>
        <w:t>监理范围内所有工程的缺陷责任期结束且均已签订质量保修协议书、</w:t>
      </w:r>
      <w:r>
        <w:rPr>
          <w:rFonts w:hint="eastAsia" w:ascii="仿宋" w:hAnsi="仿宋" w:eastAsia="仿宋" w:cs="仿宋"/>
          <w:kern w:val="0"/>
          <w:szCs w:val="21"/>
          <w:highlight w:val="none"/>
          <w:lang w:eastAsia="zh-CN"/>
        </w:rPr>
        <w:t>双方完成本合同验收且验收合格，并经发包人或项目结算终审单位审定后支付结算余款（即最终结算价的</w:t>
      </w:r>
      <w:r>
        <w:rPr>
          <w:rFonts w:hint="eastAsia" w:ascii="仿宋" w:hAnsi="仿宋" w:eastAsia="仿宋" w:cs="仿宋"/>
          <w:kern w:val="0"/>
          <w:szCs w:val="21"/>
          <w:highlight w:val="none"/>
          <w:lang w:val="en-US" w:eastAsia="zh-CN"/>
        </w:rPr>
        <w:t>5%</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4</w:t>
      </w:r>
      <w:r>
        <w:rPr>
          <w:rFonts w:hint="eastAsia" w:ascii="仿宋" w:hAnsi="仿宋" w:eastAsia="仿宋" w:cs="仿宋"/>
          <w:kern w:val="0"/>
          <w:szCs w:val="21"/>
          <w:highlight w:val="none"/>
          <w:lang w:eastAsia="zh-CN"/>
        </w:rPr>
        <w:t>）监理人未按合同约定提交完整结算资料或者未按约定提交修正后的结算申请，经发包人催促后14天内仍未按要求提交且无正当理由的，发包人或项目结算终审单位有权根据已有资料进行审核，且该审定价视同是经监理人认可的结算合同总价和结算付款金额。</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5</w:t>
      </w:r>
      <w:r>
        <w:rPr>
          <w:rFonts w:hint="eastAsia" w:ascii="仿宋" w:hAnsi="仿宋" w:eastAsia="仿宋" w:cs="仿宋"/>
          <w:kern w:val="0"/>
          <w:szCs w:val="21"/>
          <w:highlight w:val="none"/>
          <w:lang w:eastAsia="zh-CN"/>
        </w:rPr>
        <w:t>）监理人没有充分依据而不确认发包人或项目结算终审单位的审核价，经发包人催促后14天内仍不确认或未按要求完整补充结算资料的，自发出催促后第15天起，发包人有权向结算终审单位确认以其审核价为最终结算价，且该审定价视同是经监理人认可的结算合同总价和结算付款金额。</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6）结算终审单位审定后，发包人发现监理报酬超付，则监理人必须在发包人发出通知后14日内无条件退还发包人人，若监理人迟延退还监理报酬，除向发包人退还超付监理报酬，还应向发包人支付该超付监理报酬的违约金，该违约金按应退还超付监理报酬总额的每日千分之一计算。</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 xml:space="preserve">5.3.5 </w:t>
      </w:r>
      <w:bookmarkStart w:id="258" w:name="_Hlk116841534"/>
      <w:r>
        <w:rPr>
          <w:rFonts w:hint="eastAsia" w:ascii="仿宋" w:hAnsi="仿宋" w:eastAsia="仿宋" w:cs="仿宋"/>
          <w:kern w:val="0"/>
          <w:szCs w:val="21"/>
          <w:highlight w:val="none"/>
          <w:lang w:eastAsia="zh-CN"/>
        </w:rPr>
        <w:t>在合同履行过程中，如因国家政策变化、政府对本合同项目的计划调整或不可抗力等非发包人主观原因</w:t>
      </w:r>
      <w:bookmarkEnd w:id="258"/>
      <w:r>
        <w:rPr>
          <w:rFonts w:hint="eastAsia" w:ascii="仿宋" w:hAnsi="仿宋" w:eastAsia="仿宋" w:cs="仿宋"/>
          <w:kern w:val="0"/>
          <w:szCs w:val="21"/>
          <w:highlight w:val="none"/>
          <w:lang w:eastAsia="zh-CN"/>
        </w:rPr>
        <w:t>，致使本项目暂停或终止的，监理人应当配合发包人做好相关暂停或终止工作，双方根据监理人在本合同监理范围内已实际完成的监理工作及相关服务进行清算、结算。</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0"/>
          <w:sz w:val="24"/>
          <w:szCs w:val="24"/>
          <w:highlight w:val="none"/>
          <w:lang w:eastAsia="zh-CN"/>
        </w:rPr>
      </w:pPr>
      <w:bookmarkStart w:id="259" w:name="_Toc1167934703"/>
      <w:bookmarkStart w:id="260" w:name="_Toc269238558"/>
      <w:bookmarkStart w:id="261" w:name="_Toc1869022696"/>
      <w:r>
        <w:rPr>
          <w:rFonts w:hint="eastAsia" w:ascii="仿宋" w:hAnsi="仿宋" w:eastAsia="仿宋" w:cs="仿宋"/>
          <w:b/>
          <w:bCs/>
          <w:kern w:val="0"/>
          <w:sz w:val="24"/>
          <w:szCs w:val="24"/>
          <w:highlight w:val="none"/>
          <w:lang w:eastAsia="zh-CN"/>
        </w:rPr>
        <w:t>六、合同生效、变更、解除与终止</w:t>
      </w:r>
      <w:bookmarkEnd w:id="259"/>
      <w:bookmarkEnd w:id="260"/>
      <w:bookmarkEnd w:id="261"/>
    </w:p>
    <w:p>
      <w:pPr>
        <w:pStyle w:val="39"/>
        <w:bidi w:val="0"/>
        <w:rPr>
          <w:rFonts w:hint="eastAsia"/>
          <w:lang w:eastAsia="zh-CN"/>
        </w:rPr>
      </w:pPr>
      <w:bookmarkStart w:id="262" w:name="_Toc104654710"/>
      <w:bookmarkStart w:id="263" w:name="_Toc173982998"/>
      <w:bookmarkStart w:id="264" w:name="_Toc1672793028"/>
      <w:r>
        <w:rPr>
          <w:rFonts w:hint="eastAsia"/>
          <w:lang w:eastAsia="zh-CN"/>
        </w:rPr>
        <w:t>6.3 解除</w:t>
      </w:r>
      <w:bookmarkEnd w:id="262"/>
      <w:bookmarkEnd w:id="263"/>
      <w:bookmarkEnd w:id="264"/>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6.3.1 解除合同情形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（3）监理人存在以下情形之一的，发包人有权单方解除合同：</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②其他情形：</w:t>
      </w:r>
      <w:r>
        <w:rPr>
          <w:rFonts w:hint="eastAsia" w:ascii="仿宋" w:hAnsi="仿宋" w:eastAsia="仿宋" w:cs="仿宋"/>
          <w:kern w:val="0"/>
          <w:szCs w:val="21"/>
          <w:highlight w:val="none"/>
          <w:u w:val="single"/>
          <w:lang w:eastAsia="zh-CN"/>
        </w:rPr>
        <w:t xml:space="preserve"> 详见附件</w:t>
      </w:r>
      <w:r>
        <w:rPr>
          <w:rFonts w:hint="eastAsia" w:ascii="仿宋" w:hAnsi="仿宋" w:eastAsia="仿宋" w:cs="仿宋"/>
          <w:kern w:val="0"/>
          <w:szCs w:val="21"/>
          <w:highlight w:val="none"/>
          <w:u w:val="single"/>
          <w:lang w:val="en-US" w:eastAsia="zh-CN"/>
        </w:rPr>
        <w:t>3</w:t>
      </w:r>
      <w:r>
        <w:rPr>
          <w:rFonts w:hint="eastAsia" w:ascii="仿宋" w:hAnsi="仿宋" w:eastAsia="仿宋" w:cs="仿宋"/>
          <w:kern w:val="0"/>
          <w:szCs w:val="21"/>
          <w:highlight w:val="none"/>
          <w:u w:val="single"/>
          <w:lang w:eastAsia="zh-CN"/>
        </w:rPr>
        <w:t xml:space="preserve">《违约责任明细表》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（4）发包人存在以下情形之一的，监理人有权单方解除合同：</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②其他情形：</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0"/>
          <w:sz w:val="24"/>
          <w:szCs w:val="24"/>
          <w:highlight w:val="none"/>
          <w:lang w:eastAsia="zh-CN"/>
        </w:rPr>
      </w:pPr>
      <w:bookmarkStart w:id="265" w:name="_Toc992218978"/>
      <w:bookmarkStart w:id="266" w:name="_Toc835196247"/>
      <w:bookmarkStart w:id="267" w:name="_Toc145383201"/>
      <w:r>
        <w:rPr>
          <w:rFonts w:hint="eastAsia" w:ascii="仿宋" w:hAnsi="仿宋" w:eastAsia="仿宋" w:cs="仿宋"/>
          <w:b/>
          <w:bCs/>
          <w:kern w:val="0"/>
          <w:sz w:val="24"/>
          <w:szCs w:val="24"/>
          <w:highlight w:val="none"/>
          <w:lang w:eastAsia="zh-CN"/>
        </w:rPr>
        <w:t>七、争议解决</w:t>
      </w:r>
      <w:bookmarkEnd w:id="265"/>
      <w:bookmarkEnd w:id="266"/>
      <w:bookmarkEnd w:id="267"/>
    </w:p>
    <w:p>
      <w:pPr>
        <w:pStyle w:val="39"/>
        <w:bidi w:val="0"/>
        <w:rPr>
          <w:rFonts w:hint="eastAsia"/>
          <w:lang w:eastAsia="zh-CN"/>
        </w:rPr>
      </w:pPr>
      <w:bookmarkStart w:id="268" w:name="_Toc93700859"/>
      <w:bookmarkStart w:id="269" w:name="_Toc1207981259"/>
      <w:bookmarkStart w:id="270" w:name="_Toc2126983339"/>
      <w:r>
        <w:rPr>
          <w:rFonts w:hint="eastAsia"/>
          <w:lang w:eastAsia="zh-CN"/>
        </w:rPr>
        <w:t>7.3 仲裁或诉讼</w:t>
      </w:r>
      <w:bookmarkEnd w:id="268"/>
      <w:bookmarkEnd w:id="269"/>
      <w:bookmarkEnd w:id="270"/>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7.3.1 双方约定，凡因执行本合同所发生的与本合同有关的一切争议，当和解或调解不成时，双方当事人同意通过以下第</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lang w:eastAsia="zh-CN"/>
        </w:rPr>
        <w:t>种解决。</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（1）仲裁机构：</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（2）人民法院：</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 xml:space="preserve"> 。</w:t>
      </w:r>
    </w:p>
    <w:p>
      <w:pPr>
        <w:pStyle w:val="39"/>
        <w:bidi w:val="0"/>
        <w:rPr>
          <w:rFonts w:hint="eastAsia"/>
          <w:lang w:eastAsia="zh-CN"/>
        </w:rPr>
      </w:pPr>
      <w:bookmarkStart w:id="271" w:name="_Toc1266841331"/>
      <w:bookmarkStart w:id="272" w:name="_Toc1760846654"/>
      <w:bookmarkStart w:id="273" w:name="_Toc55118905"/>
      <w:r>
        <w:rPr>
          <w:rFonts w:hint="eastAsia"/>
          <w:lang w:eastAsia="zh-CN"/>
        </w:rPr>
        <w:t>7.</w:t>
      </w:r>
      <w:r>
        <w:rPr>
          <w:rFonts w:hint="eastAsia"/>
          <w:lang w:val="en-US" w:eastAsia="zh-CN"/>
        </w:rPr>
        <w:t>4</w:t>
      </w:r>
      <w:r>
        <w:rPr>
          <w:rFonts w:hint="eastAsia"/>
          <w:lang w:eastAsia="zh-CN"/>
        </w:rPr>
        <w:t xml:space="preserve"> 因争议产生的费用承担</w:t>
      </w:r>
      <w:bookmarkEnd w:id="271"/>
      <w:bookmarkEnd w:id="272"/>
      <w:bookmarkEnd w:id="273"/>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因一方（违约方）原因给另一方（守约方）造成的损失（包括但不限于实际经济损失、预期利益损失以及因追究违约方责任所产生的律师费、诉讼费、保全费、担保费、保险费、评估费、鉴定费、差旅费等合理费用），守约方有权要求违约方承担全额赔偿责任。</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若一方向另一方提出赔偿或支付相关款项等要求不成立时，提出方应赔偿因前述要求（或诉求）所导致另一方的各种费用支出（包括但不限于因提出方原因导致另一方支出的律师费、诉讼费、保全费、担保费、保险费、评估费、鉴定费、差旅费等合理费用）。</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合同双方任一方就本合同相关纠纷提起诉讼的，若最终以双方和解或法院调解形式解决的，因该纠纷产生的一切费用（包括但不限于双方因该纠纷支出的律师费、诉讼费、保全费、担保费、保险费、评估费、鉴定费、差旅费等合理费用）按和解或调解结果承担。</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0"/>
          <w:sz w:val="24"/>
          <w:szCs w:val="24"/>
          <w:highlight w:val="none"/>
          <w:lang w:eastAsia="zh-CN"/>
        </w:rPr>
      </w:pPr>
      <w:bookmarkStart w:id="274" w:name="_Toc1149224963"/>
      <w:bookmarkStart w:id="275" w:name="_Toc239827321"/>
      <w:bookmarkStart w:id="276" w:name="_Toc1361430648"/>
      <w:r>
        <w:rPr>
          <w:rFonts w:hint="eastAsia" w:ascii="仿宋" w:hAnsi="仿宋" w:eastAsia="仿宋" w:cs="仿宋"/>
          <w:b/>
          <w:bCs/>
          <w:kern w:val="0"/>
          <w:sz w:val="24"/>
          <w:szCs w:val="24"/>
          <w:highlight w:val="none"/>
          <w:lang w:eastAsia="zh-CN"/>
        </w:rPr>
        <w:t>八、其他</w:t>
      </w:r>
      <w:bookmarkEnd w:id="274"/>
      <w:bookmarkEnd w:id="275"/>
      <w:bookmarkEnd w:id="276"/>
    </w:p>
    <w:p>
      <w:pPr>
        <w:pStyle w:val="39"/>
        <w:bidi w:val="0"/>
        <w:rPr>
          <w:rFonts w:hint="eastAsia"/>
          <w:lang w:eastAsia="zh-CN"/>
        </w:rPr>
      </w:pPr>
      <w:bookmarkStart w:id="277" w:name="_Toc920869296"/>
      <w:bookmarkStart w:id="278" w:name="_Toc1488019753"/>
      <w:bookmarkStart w:id="279" w:name="_Toc176079551"/>
      <w:r>
        <w:rPr>
          <w:rFonts w:hint="eastAsia"/>
          <w:lang w:eastAsia="zh-CN"/>
        </w:rPr>
        <w:t>8.1 检测费用</w:t>
      </w:r>
      <w:bookmarkEnd w:id="277"/>
      <w:bookmarkEnd w:id="278"/>
      <w:bookmarkEnd w:id="279"/>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外出考察费用：由</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u w:val="single"/>
          <w:lang w:eastAsia="zh-CN"/>
        </w:rPr>
        <w:t>监理人</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lang w:val="en-US" w:eastAsia="zh-CN"/>
        </w:rPr>
        <w:t>承担。</w:t>
      </w:r>
    </w:p>
    <w:p>
      <w:pPr>
        <w:pStyle w:val="39"/>
        <w:bidi w:val="0"/>
        <w:rPr>
          <w:rFonts w:hint="eastAsia"/>
          <w:lang w:eastAsia="zh-CN"/>
        </w:rPr>
      </w:pPr>
      <w:bookmarkStart w:id="280" w:name="_Toc1615131045"/>
      <w:bookmarkStart w:id="281" w:name="_Toc1701986714"/>
      <w:bookmarkStart w:id="282" w:name="_Toc1643857632"/>
      <w:r>
        <w:rPr>
          <w:rFonts w:hint="eastAsia"/>
          <w:lang w:eastAsia="zh-CN"/>
        </w:rPr>
        <w:t>8.</w:t>
      </w:r>
      <w:r>
        <w:rPr>
          <w:rFonts w:hint="eastAsia"/>
          <w:lang w:val="en-US" w:eastAsia="zh-CN"/>
        </w:rPr>
        <w:t>3</w:t>
      </w:r>
      <w:r>
        <w:rPr>
          <w:rFonts w:hint="eastAsia"/>
          <w:lang w:eastAsia="zh-CN"/>
        </w:rPr>
        <w:t xml:space="preserve"> 奖励</w:t>
      </w:r>
      <w:bookmarkEnd w:id="280"/>
      <w:bookmarkEnd w:id="281"/>
      <w:bookmarkEnd w:id="282"/>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经济奖励：</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u w:val="single"/>
          <w:lang w:val="en-US" w:eastAsia="zh-CN"/>
        </w:rPr>
        <w:t>/</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pStyle w:val="39"/>
        <w:bidi w:val="0"/>
        <w:rPr>
          <w:rFonts w:hint="eastAsia"/>
          <w:lang w:eastAsia="zh-CN"/>
        </w:rPr>
      </w:pPr>
      <w:bookmarkStart w:id="283" w:name="_Toc657172138"/>
      <w:bookmarkStart w:id="284" w:name="_Toc1447455604"/>
      <w:bookmarkStart w:id="285" w:name="_Toc1422606992"/>
      <w:r>
        <w:rPr>
          <w:rFonts w:hint="eastAsia"/>
          <w:lang w:eastAsia="zh-CN"/>
        </w:rPr>
        <w:t>8.</w:t>
      </w:r>
      <w:r>
        <w:rPr>
          <w:rFonts w:hint="eastAsia"/>
          <w:lang w:val="en-US" w:eastAsia="zh-CN"/>
        </w:rPr>
        <w:t>5</w:t>
      </w:r>
      <w:r>
        <w:rPr>
          <w:rFonts w:hint="eastAsia"/>
          <w:lang w:eastAsia="zh-CN"/>
        </w:rPr>
        <w:t xml:space="preserve"> 保密</w:t>
      </w:r>
      <w:bookmarkEnd w:id="283"/>
      <w:bookmarkEnd w:id="284"/>
      <w:bookmarkEnd w:id="285"/>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保密事项：</w:t>
      </w:r>
      <w:r>
        <w:rPr>
          <w:rFonts w:hint="eastAsia" w:ascii="仿宋" w:hAnsi="仿宋" w:eastAsia="仿宋" w:cs="仿宋"/>
          <w:kern w:val="0"/>
          <w:szCs w:val="21"/>
          <w:highlight w:val="none"/>
          <w:u w:val="single"/>
          <w:lang w:eastAsia="zh-CN"/>
        </w:rPr>
        <w:t xml:space="preserve">   详见附件</w:t>
      </w:r>
      <w:r>
        <w:rPr>
          <w:rFonts w:hint="eastAsia" w:ascii="仿宋" w:hAnsi="仿宋" w:eastAsia="仿宋" w:cs="仿宋"/>
          <w:kern w:val="0"/>
          <w:szCs w:val="21"/>
          <w:highlight w:val="none"/>
          <w:u w:val="single"/>
          <w:lang w:val="en-US" w:eastAsia="zh-CN"/>
        </w:rPr>
        <w:t>2</w:t>
      </w:r>
      <w:r>
        <w:rPr>
          <w:rFonts w:hint="eastAsia" w:ascii="仿宋" w:hAnsi="仿宋" w:eastAsia="仿宋" w:cs="仿宋"/>
          <w:kern w:val="0"/>
          <w:szCs w:val="21"/>
          <w:highlight w:val="none"/>
          <w:u w:val="single"/>
          <w:lang w:eastAsia="zh-CN"/>
        </w:rPr>
        <w:t xml:space="preserve">《保密协议》         </w:t>
      </w:r>
      <w:r>
        <w:rPr>
          <w:rFonts w:hint="eastAsia" w:ascii="仿宋" w:hAnsi="仿宋" w:eastAsia="仿宋" w:cs="仿宋"/>
          <w:kern w:val="0"/>
          <w:szCs w:val="21"/>
          <w:highlight w:val="none"/>
          <w:lang w:eastAsia="zh-CN"/>
        </w:rPr>
        <w:t>。</w:t>
      </w:r>
    </w:p>
    <w:p>
      <w:pPr>
        <w:pStyle w:val="39"/>
        <w:bidi w:val="0"/>
        <w:rPr>
          <w:rFonts w:hint="eastAsia"/>
          <w:lang w:eastAsia="zh-CN"/>
        </w:rPr>
      </w:pPr>
      <w:bookmarkStart w:id="286" w:name="_Toc1087334964"/>
      <w:bookmarkStart w:id="287" w:name="_Toc1272988216"/>
      <w:bookmarkStart w:id="288" w:name="_Toc1068381494"/>
      <w:r>
        <w:rPr>
          <w:rFonts w:hint="eastAsia"/>
          <w:lang w:eastAsia="zh-CN"/>
        </w:rPr>
        <w:t>8.</w:t>
      </w:r>
      <w:r>
        <w:rPr>
          <w:rFonts w:hint="eastAsia"/>
          <w:lang w:val="en-US" w:eastAsia="zh-CN"/>
        </w:rPr>
        <w:t>7</w:t>
      </w:r>
      <w:r>
        <w:rPr>
          <w:rFonts w:hint="eastAsia"/>
          <w:lang w:eastAsia="zh-CN"/>
        </w:rPr>
        <w:t xml:space="preserve"> 知识产权</w:t>
      </w:r>
      <w:bookmarkEnd w:id="286"/>
      <w:bookmarkEnd w:id="287"/>
      <w:bookmarkEnd w:id="288"/>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监理人对于其因履行本合同而编制的所有文件拥有署名权，发包人享有前述文件的知识产权。</w:t>
      </w:r>
    </w:p>
    <w:p>
      <w:pPr>
        <w:pStyle w:val="39"/>
        <w:bidi w:val="0"/>
        <w:rPr>
          <w:rFonts w:hint="eastAsia"/>
          <w:lang w:eastAsia="zh-CN"/>
        </w:rPr>
      </w:pPr>
      <w:bookmarkStart w:id="289" w:name="_Toc636145071"/>
      <w:bookmarkStart w:id="290" w:name="_Toc1937667845"/>
      <w:bookmarkStart w:id="291" w:name="_Toc639636682"/>
      <w:r>
        <w:rPr>
          <w:rFonts w:hint="eastAsia"/>
          <w:lang w:eastAsia="zh-CN"/>
        </w:rPr>
        <w:t>8.</w:t>
      </w:r>
      <w:r>
        <w:rPr>
          <w:rFonts w:hint="eastAsia"/>
          <w:lang w:val="en-US" w:eastAsia="zh-CN"/>
        </w:rPr>
        <w:t>8</w:t>
      </w:r>
      <w:r>
        <w:rPr>
          <w:rFonts w:hint="eastAsia"/>
          <w:lang w:eastAsia="zh-CN"/>
        </w:rPr>
        <w:t xml:space="preserve"> 特殊约定</w:t>
      </w:r>
      <w:bookmarkEnd w:id="289"/>
      <w:bookmarkEnd w:id="290"/>
      <w:bookmarkEnd w:id="291"/>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 xml:space="preserve">8.8.1 </w:t>
      </w:r>
      <w:r>
        <w:rPr>
          <w:rFonts w:hint="eastAsia" w:ascii="仿宋" w:hAnsi="仿宋" w:eastAsia="仿宋" w:cs="仿宋"/>
          <w:kern w:val="0"/>
          <w:szCs w:val="21"/>
          <w:highlight w:val="none"/>
          <w:lang w:eastAsia="zh-CN"/>
        </w:rPr>
        <w:t>监理服务期延长</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在项目开展过程中，若出现以下情形之一的，监理人应当将相关情况及可能产生的影响及时通知发包人，且监理服务期相应延长：</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（1）因发包人或施工单位原因使监理工作受到阻碍或延误的；</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（2）在合同履行过程中，如因国家政策变化、政府对本合同项目的计划调整或不可抗力等非发包人原因，导致超出合同协议书明确的监理服务期的；</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（3）其他情形：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8.</w:t>
      </w:r>
      <w:r>
        <w:rPr>
          <w:rFonts w:hint="eastAsia" w:ascii="仿宋" w:hAnsi="仿宋" w:eastAsia="仿宋" w:cs="仿宋"/>
          <w:kern w:val="0"/>
          <w:szCs w:val="21"/>
          <w:highlight w:val="none"/>
          <w:lang w:val="en-US" w:eastAsia="zh-CN"/>
        </w:rPr>
        <w:t>8</w:t>
      </w:r>
      <w:r>
        <w:rPr>
          <w:rFonts w:hint="eastAsia" w:ascii="仿宋" w:hAnsi="仿宋" w:eastAsia="仿宋" w:cs="仿宋"/>
          <w:kern w:val="0"/>
          <w:szCs w:val="21"/>
          <w:highlight w:val="none"/>
          <w:lang w:eastAsia="zh-CN"/>
        </w:rPr>
        <w:t>.2 监理人承诺严格按照合同约定履行义务，并同意发包人有权将其执行国家强制性规范、标准和履行合同义务的情况在发包人网站和项目合法继承人网站及其他媒体上公开披露。</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8.</w:t>
      </w:r>
      <w:r>
        <w:rPr>
          <w:rFonts w:hint="eastAsia" w:ascii="仿宋" w:hAnsi="仿宋" w:eastAsia="仿宋" w:cs="仿宋"/>
          <w:kern w:val="0"/>
          <w:szCs w:val="21"/>
          <w:highlight w:val="none"/>
          <w:lang w:val="en-US" w:eastAsia="zh-CN"/>
        </w:rPr>
        <w:t>8</w:t>
      </w:r>
      <w:r>
        <w:rPr>
          <w:rFonts w:hint="eastAsia" w:ascii="仿宋" w:hAnsi="仿宋" w:eastAsia="仿宋" w:cs="仿宋"/>
          <w:kern w:val="0"/>
          <w:szCs w:val="21"/>
          <w:highlight w:val="none"/>
          <w:lang w:eastAsia="zh-CN"/>
        </w:rPr>
        <w:t>.3 其他约定：</w:t>
      </w:r>
      <w:r>
        <w:rPr>
          <w:rFonts w:hint="eastAsia" w:ascii="仿宋" w:hAnsi="仿宋" w:eastAsia="仿宋" w:cs="仿宋"/>
          <w:kern w:val="0"/>
          <w:szCs w:val="21"/>
          <w:highlight w:val="none"/>
          <w:u w:val="single"/>
          <w:lang w:eastAsia="zh-CN"/>
        </w:rPr>
        <w:t xml:space="preserve">                                       </w:t>
      </w:r>
      <w:r>
        <w:rPr>
          <w:rFonts w:hint="eastAsia" w:ascii="仿宋" w:hAnsi="仿宋" w:eastAsia="仿宋" w:cs="仿宋"/>
          <w:kern w:val="0"/>
          <w:szCs w:val="21"/>
          <w:highlight w:val="none"/>
          <w:lang w:eastAsia="zh-CN"/>
        </w:rPr>
        <w:t>。</w:t>
      </w:r>
    </w:p>
    <w:p>
      <w:pPr>
        <w:pStyle w:val="5"/>
        <w:rPr>
          <w:rFonts w:hint="default"/>
          <w:color w:val="000000" w:themeColor="text1"/>
          <w:highlight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highlight w:val="none"/>
          <w:lang w:val="en-US" w:eastAsia="zh-CN"/>
          <w14:textFill>
            <w14:solidFill>
              <w14:schemeClr w14:val="tx1"/>
            </w14:solidFill>
          </w14:textFill>
        </w:rPr>
        <w:t xml:space="preserve">    </w:t>
      </w:r>
    </w:p>
    <w:p>
      <w:pPr>
        <w:spacing w:line="240" w:lineRule="auto"/>
        <w:ind w:firstLine="560" w:firstLineChars="200"/>
        <w:rPr>
          <w:rFonts w:hint="eastAsia" w:ascii="Times New Roman" w:hAnsi="Times New Roman" w:eastAsia="仿宋" w:cs="仿宋"/>
          <w:color w:val="000000" w:themeColor="text1"/>
          <w:sz w:val="28"/>
          <w:szCs w:val="28"/>
          <w:highlight w:val="none"/>
          <w14:textFill>
            <w14:solidFill>
              <w14:schemeClr w14:val="tx1"/>
            </w14:solidFill>
          </w14:textFill>
        </w:rPr>
      </w:pPr>
      <w:r>
        <w:rPr>
          <w:rFonts w:hint="eastAsia" w:ascii="Times New Roman" w:hAnsi="Times New Roman" w:eastAsia="仿宋" w:cs="仿宋"/>
          <w:color w:val="000000" w:themeColor="text1"/>
          <w:sz w:val="28"/>
          <w:szCs w:val="28"/>
          <w:highlight w:val="none"/>
          <w14:textFill>
            <w14:solidFill>
              <w14:schemeClr w14:val="tx1"/>
            </w14:solidFill>
          </w14:textFill>
        </w:rPr>
        <w:br w:type="page"/>
      </w:r>
    </w:p>
    <w:p>
      <w:pPr>
        <w:widowControl/>
        <w:spacing w:line="360" w:lineRule="auto"/>
        <w:jc w:val="center"/>
        <w:outlineLvl w:val="0"/>
        <w:rPr>
          <w:rFonts w:hint="eastAsia" w:ascii="Times New Roman" w:hAnsi="Times New Roman" w:eastAsia="仿宋" w:cs="仿宋"/>
          <w:b/>
          <w:bCs/>
          <w:color w:val="000000" w:themeColor="text1"/>
          <w:sz w:val="32"/>
          <w:szCs w:val="32"/>
          <w:highlight w:val="none"/>
          <w14:textFill>
            <w14:solidFill>
              <w14:schemeClr w14:val="tx1"/>
            </w14:solidFill>
          </w14:textFill>
        </w:rPr>
      </w:pPr>
      <w:bookmarkStart w:id="292" w:name="_Toc1492590252"/>
      <w:bookmarkStart w:id="293" w:name="_Toc1354185840"/>
      <w:bookmarkStart w:id="294" w:name="_Toc2077438952"/>
      <w:r>
        <w:rPr>
          <w:rFonts w:hint="eastAsia" w:ascii="Times New Roman" w:hAnsi="Times New Roman" w:eastAsia="仿宋" w:cs="仿宋"/>
          <w:b/>
          <w:bCs/>
          <w:color w:val="000000" w:themeColor="text1"/>
          <w:sz w:val="32"/>
          <w:szCs w:val="32"/>
          <w:highlight w:val="none"/>
          <w14:textFill>
            <w14:solidFill>
              <w14:schemeClr w14:val="tx1"/>
            </w14:solidFill>
          </w14:textFill>
        </w:rPr>
        <w:t>第四部分  合同附件</w:t>
      </w:r>
      <w:bookmarkEnd w:id="292"/>
      <w:bookmarkEnd w:id="293"/>
      <w:bookmarkEnd w:id="294"/>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240" w:lineRule="auto"/>
        <w:ind w:firstLine="560" w:firstLineChars="200"/>
        <w:jc w:val="both"/>
        <w:textAlignment w:val="auto"/>
        <w:outlineLvl w:val="9"/>
        <w:rPr>
          <w:rFonts w:hint="eastAsia" w:ascii="Times New Roman" w:hAnsi="Times New Roman" w:eastAsia="仿宋" w:cs="仿宋"/>
          <w:b w:val="0"/>
          <w:bCs/>
          <w:color w:val="000000" w:themeColor="text1"/>
          <w:sz w:val="28"/>
          <w:szCs w:val="28"/>
          <w:highlight w:val="none"/>
          <w14:textFill>
            <w14:solidFill>
              <w14:schemeClr w14:val="tx1"/>
            </w14:solidFill>
          </w14:textFill>
        </w:rPr>
      </w:pP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500" w:lineRule="exact"/>
        <w:ind w:firstLine="560" w:firstLineChars="200"/>
        <w:jc w:val="both"/>
        <w:textAlignment w:val="auto"/>
        <w:outlineLvl w:val="9"/>
        <w:rPr>
          <w:rFonts w:hint="eastAsia" w:ascii="Times New Roman" w:hAnsi="Times New Roman" w:eastAsia="仿宋" w:cs="仿宋"/>
          <w:b w:val="0"/>
          <w:bCs/>
          <w:color w:val="000000" w:themeColor="text1"/>
          <w:sz w:val="28"/>
          <w:szCs w:val="28"/>
          <w:highlight w:val="none"/>
          <w14:textFill>
            <w14:solidFill>
              <w14:schemeClr w14:val="tx1"/>
            </w14:solidFill>
          </w14:textFill>
        </w:rPr>
      </w:pPr>
      <w:r>
        <w:rPr>
          <w:rFonts w:hint="eastAsia" w:ascii="Times New Roman" w:hAnsi="Times New Roman" w:eastAsia="仿宋" w:cs="仿宋"/>
          <w:b w:val="0"/>
          <w:bCs/>
          <w:color w:val="000000" w:themeColor="text1"/>
          <w:sz w:val="28"/>
          <w:szCs w:val="28"/>
          <w:highlight w:val="none"/>
          <w14:textFill>
            <w14:solidFill>
              <w14:schemeClr w14:val="tx1"/>
            </w14:solidFill>
          </w14:textFill>
        </w:rPr>
        <w:t>附件1：廉洁协议</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500" w:lineRule="exact"/>
        <w:ind w:firstLine="560" w:firstLineChars="200"/>
        <w:jc w:val="both"/>
        <w:textAlignment w:val="auto"/>
        <w:outlineLvl w:val="9"/>
        <w:rPr>
          <w:rFonts w:hint="eastAsia" w:ascii="Times New Roman" w:hAnsi="Times New Roman" w:eastAsia="仿宋" w:cs="仿宋"/>
          <w:b w:val="0"/>
          <w:bCs/>
          <w:color w:val="000000" w:themeColor="text1"/>
          <w:sz w:val="28"/>
          <w:szCs w:val="28"/>
          <w:highlight w:val="none"/>
          <w14:textFill>
            <w14:solidFill>
              <w14:schemeClr w14:val="tx1"/>
            </w14:solidFill>
          </w14:textFill>
        </w:rPr>
      </w:pPr>
      <w:r>
        <w:rPr>
          <w:rFonts w:hint="eastAsia" w:ascii="Times New Roman" w:hAnsi="Times New Roman" w:eastAsia="仿宋" w:cs="仿宋"/>
          <w:b w:val="0"/>
          <w:bCs/>
          <w:color w:val="000000" w:themeColor="text1"/>
          <w:sz w:val="28"/>
          <w:szCs w:val="28"/>
          <w:highlight w:val="none"/>
          <w14:textFill>
            <w14:solidFill>
              <w14:schemeClr w14:val="tx1"/>
            </w14:solidFill>
          </w14:textFill>
        </w:rPr>
        <w:t>附件</w:t>
      </w:r>
      <w:r>
        <w:rPr>
          <w:rFonts w:hint="eastAsia" w:ascii="Times New Roman" w:hAnsi="Times New Roman" w:eastAsia="仿宋" w:cs="仿宋"/>
          <w:b w:val="0"/>
          <w:bCs/>
          <w:color w:val="000000" w:themeColor="text1"/>
          <w:sz w:val="28"/>
          <w:szCs w:val="28"/>
          <w:highlight w:val="none"/>
          <w:lang w:val="en-US" w:eastAsia="zh-CN"/>
          <w14:textFill>
            <w14:solidFill>
              <w14:schemeClr w14:val="tx1"/>
            </w14:solidFill>
          </w14:textFill>
        </w:rPr>
        <w:t>2</w:t>
      </w:r>
      <w:r>
        <w:rPr>
          <w:rFonts w:hint="eastAsia" w:ascii="Times New Roman" w:hAnsi="Times New Roman" w:eastAsia="仿宋" w:cs="仿宋"/>
          <w:b w:val="0"/>
          <w:bCs/>
          <w:color w:val="000000" w:themeColor="text1"/>
          <w:sz w:val="28"/>
          <w:szCs w:val="28"/>
          <w:highlight w:val="none"/>
          <w14:textFill>
            <w14:solidFill>
              <w14:schemeClr w14:val="tx1"/>
            </w14:solidFill>
          </w14:textFill>
        </w:rPr>
        <w:t>：保密协议</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500" w:lineRule="exact"/>
        <w:ind w:firstLine="560" w:firstLineChars="200"/>
        <w:jc w:val="both"/>
        <w:textAlignment w:val="auto"/>
        <w:outlineLvl w:val="9"/>
        <w:rPr>
          <w:rFonts w:hint="eastAsia" w:ascii="Times New Roman" w:hAnsi="Times New Roman" w:eastAsia="仿宋" w:cs="仿宋"/>
          <w:b w:val="0"/>
          <w:bCs/>
          <w:color w:val="000000" w:themeColor="text1"/>
          <w:sz w:val="28"/>
          <w:szCs w:val="28"/>
          <w:highlight w:val="none"/>
          <w14:textFill>
            <w14:solidFill>
              <w14:schemeClr w14:val="tx1"/>
            </w14:solidFill>
          </w14:textFill>
        </w:rPr>
      </w:pPr>
      <w:r>
        <w:rPr>
          <w:rFonts w:hint="eastAsia" w:ascii="Times New Roman" w:hAnsi="Times New Roman" w:eastAsia="仿宋" w:cs="仿宋"/>
          <w:b w:val="0"/>
          <w:bCs/>
          <w:color w:val="000000" w:themeColor="text1"/>
          <w:sz w:val="28"/>
          <w:szCs w:val="28"/>
          <w:highlight w:val="none"/>
          <w14:textFill>
            <w14:solidFill>
              <w14:schemeClr w14:val="tx1"/>
            </w14:solidFill>
          </w14:textFill>
        </w:rPr>
        <w:t>附件</w:t>
      </w:r>
      <w:r>
        <w:rPr>
          <w:rFonts w:hint="eastAsia" w:ascii="Times New Roman" w:hAnsi="Times New Roman" w:eastAsia="仿宋" w:cs="仿宋"/>
          <w:b w:val="0"/>
          <w:bCs/>
          <w:color w:val="000000" w:themeColor="text1"/>
          <w:sz w:val="28"/>
          <w:szCs w:val="28"/>
          <w:highlight w:val="none"/>
          <w:lang w:val="en-US" w:eastAsia="zh-CN"/>
          <w14:textFill>
            <w14:solidFill>
              <w14:schemeClr w14:val="tx1"/>
            </w14:solidFill>
          </w14:textFill>
        </w:rPr>
        <w:t>3</w:t>
      </w:r>
      <w:r>
        <w:rPr>
          <w:rFonts w:hint="eastAsia" w:ascii="Times New Roman" w:hAnsi="Times New Roman" w:eastAsia="仿宋" w:cs="仿宋"/>
          <w:b w:val="0"/>
          <w:bCs/>
          <w:color w:val="000000" w:themeColor="text1"/>
          <w:sz w:val="28"/>
          <w:szCs w:val="28"/>
          <w:highlight w:val="none"/>
          <w14:textFill>
            <w14:solidFill>
              <w14:schemeClr w14:val="tx1"/>
            </w14:solidFill>
          </w14:textFill>
        </w:rPr>
        <w:t>：违约责任明细表</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500" w:lineRule="exact"/>
        <w:ind w:firstLine="560" w:firstLineChars="200"/>
        <w:jc w:val="both"/>
        <w:textAlignment w:val="auto"/>
        <w:outlineLvl w:val="9"/>
        <w:rPr>
          <w:rFonts w:hint="eastAsia" w:ascii="Times New Roman" w:hAnsi="Times New Roman" w:eastAsia="仿宋" w:cs="仿宋"/>
          <w:b w:val="0"/>
          <w:bCs/>
          <w:color w:val="000000" w:themeColor="text1"/>
          <w:sz w:val="28"/>
          <w:szCs w:val="28"/>
          <w:highlight w:val="none"/>
          <w14:textFill>
            <w14:solidFill>
              <w14:schemeClr w14:val="tx1"/>
            </w14:solidFill>
          </w14:textFill>
        </w:rPr>
      </w:pPr>
      <w:r>
        <w:rPr>
          <w:rFonts w:hint="eastAsia" w:ascii="Times New Roman" w:hAnsi="Times New Roman" w:eastAsia="仿宋" w:cs="仿宋"/>
          <w:b w:val="0"/>
          <w:bCs/>
          <w:color w:val="000000" w:themeColor="text1"/>
          <w:sz w:val="28"/>
          <w:szCs w:val="28"/>
          <w:highlight w:val="none"/>
          <w14:textFill>
            <w14:solidFill>
              <w14:schemeClr w14:val="tx1"/>
            </w14:solidFill>
          </w14:textFill>
        </w:rPr>
        <w:t>附件</w:t>
      </w:r>
      <w:r>
        <w:rPr>
          <w:rFonts w:hint="eastAsia" w:ascii="Times New Roman" w:hAnsi="Times New Roman" w:eastAsia="仿宋" w:cs="仿宋"/>
          <w:b w:val="0"/>
          <w:bCs/>
          <w:color w:val="000000" w:themeColor="text1"/>
          <w:sz w:val="28"/>
          <w:szCs w:val="28"/>
          <w:highlight w:val="none"/>
          <w:lang w:val="en-US" w:eastAsia="zh-CN"/>
          <w14:textFill>
            <w14:solidFill>
              <w14:schemeClr w14:val="tx1"/>
            </w14:solidFill>
          </w14:textFill>
        </w:rPr>
        <w:t>4</w:t>
      </w:r>
      <w:r>
        <w:rPr>
          <w:rFonts w:hint="eastAsia" w:ascii="Times New Roman" w:hAnsi="Times New Roman" w:eastAsia="仿宋" w:cs="仿宋"/>
          <w:b w:val="0"/>
          <w:bCs/>
          <w:color w:val="000000" w:themeColor="text1"/>
          <w:sz w:val="28"/>
          <w:szCs w:val="28"/>
          <w:highlight w:val="none"/>
          <w14:textFill>
            <w14:solidFill>
              <w14:schemeClr w14:val="tx1"/>
            </w14:solidFill>
          </w14:textFill>
        </w:rPr>
        <w:t>：安全责任书</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500" w:lineRule="exact"/>
        <w:ind w:firstLine="560" w:firstLineChars="200"/>
        <w:jc w:val="both"/>
        <w:textAlignment w:val="auto"/>
        <w:outlineLvl w:val="9"/>
        <w:rPr>
          <w:rFonts w:hint="eastAsia" w:ascii="Times New Roman" w:hAnsi="Times New Roman" w:eastAsia="仿宋" w:cs="仿宋"/>
          <w:b w:val="0"/>
          <w:bCs/>
          <w:color w:val="000000" w:themeColor="text1"/>
          <w:sz w:val="28"/>
          <w:szCs w:val="28"/>
          <w:highlight w:val="none"/>
          <w14:textFill>
            <w14:solidFill>
              <w14:schemeClr w14:val="tx1"/>
            </w14:solidFill>
          </w14:textFill>
        </w:rPr>
      </w:pPr>
      <w:r>
        <w:rPr>
          <w:rFonts w:hint="eastAsia" w:ascii="Times New Roman" w:hAnsi="Times New Roman" w:eastAsia="仿宋" w:cs="仿宋"/>
          <w:b w:val="0"/>
          <w:bCs/>
          <w:color w:val="000000" w:themeColor="text1"/>
          <w:sz w:val="28"/>
          <w:szCs w:val="28"/>
          <w:highlight w:val="none"/>
          <w14:textFill>
            <w14:solidFill>
              <w14:schemeClr w14:val="tx1"/>
            </w14:solidFill>
          </w14:textFill>
        </w:rPr>
        <w:t>附件</w:t>
      </w:r>
      <w:r>
        <w:rPr>
          <w:rFonts w:hint="eastAsia" w:ascii="Times New Roman" w:hAnsi="Times New Roman" w:eastAsia="仿宋" w:cs="仿宋"/>
          <w:b w:val="0"/>
          <w:bCs/>
          <w:color w:val="000000" w:themeColor="text1"/>
          <w:sz w:val="28"/>
          <w:szCs w:val="28"/>
          <w:highlight w:val="none"/>
          <w:lang w:val="en-US" w:eastAsia="zh-CN"/>
          <w14:textFill>
            <w14:solidFill>
              <w14:schemeClr w14:val="tx1"/>
            </w14:solidFill>
          </w14:textFill>
        </w:rPr>
        <w:t>5</w:t>
      </w:r>
      <w:r>
        <w:rPr>
          <w:rFonts w:hint="eastAsia" w:ascii="Times New Roman" w:hAnsi="Times New Roman" w:eastAsia="仿宋" w:cs="仿宋"/>
          <w:b w:val="0"/>
          <w:bCs/>
          <w:color w:val="000000" w:themeColor="text1"/>
          <w:sz w:val="28"/>
          <w:szCs w:val="28"/>
          <w:highlight w:val="none"/>
          <w14:textFill>
            <w14:solidFill>
              <w14:schemeClr w14:val="tx1"/>
            </w14:solidFill>
          </w14:textFill>
        </w:rPr>
        <w:t>：中标通知书/委托书/中选通知书</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500" w:lineRule="exact"/>
        <w:ind w:firstLine="560" w:firstLineChars="200"/>
        <w:jc w:val="both"/>
        <w:textAlignment w:val="auto"/>
        <w:outlineLvl w:val="9"/>
        <w:rPr>
          <w:rFonts w:hint="eastAsia" w:ascii="Times New Roman" w:hAnsi="Times New Roman" w:eastAsia="仿宋" w:cs="仿宋"/>
          <w:b w:val="0"/>
          <w:bCs/>
          <w:color w:val="000000" w:themeColor="text1"/>
          <w:sz w:val="28"/>
          <w:szCs w:val="28"/>
          <w:highlight w:val="none"/>
          <w14:textFill>
            <w14:solidFill>
              <w14:schemeClr w14:val="tx1"/>
            </w14:solidFill>
          </w14:textFill>
        </w:rPr>
      </w:pPr>
      <w:r>
        <w:rPr>
          <w:rFonts w:hint="eastAsia" w:ascii="Times New Roman" w:hAnsi="Times New Roman" w:eastAsia="仿宋" w:cs="仿宋"/>
          <w:b w:val="0"/>
          <w:bCs/>
          <w:color w:val="000000" w:themeColor="text1"/>
          <w:sz w:val="28"/>
          <w:szCs w:val="28"/>
          <w:highlight w:val="none"/>
          <w14:textFill>
            <w14:solidFill>
              <w14:schemeClr w14:val="tx1"/>
            </w14:solidFill>
          </w14:textFill>
        </w:rPr>
        <w:t>附件</w:t>
      </w:r>
      <w:r>
        <w:rPr>
          <w:rFonts w:hint="eastAsia" w:ascii="Times New Roman" w:hAnsi="Times New Roman" w:eastAsia="仿宋" w:cs="仿宋"/>
          <w:b w:val="0"/>
          <w:bCs/>
          <w:color w:val="000000" w:themeColor="text1"/>
          <w:sz w:val="28"/>
          <w:szCs w:val="28"/>
          <w:highlight w:val="none"/>
          <w:lang w:val="en-US" w:eastAsia="zh-CN"/>
          <w14:textFill>
            <w14:solidFill>
              <w14:schemeClr w14:val="tx1"/>
            </w14:solidFill>
          </w14:textFill>
        </w:rPr>
        <w:t>6</w:t>
      </w:r>
      <w:r>
        <w:rPr>
          <w:rFonts w:hint="eastAsia" w:ascii="Times New Roman" w:hAnsi="Times New Roman" w:eastAsia="仿宋" w:cs="仿宋"/>
          <w:b w:val="0"/>
          <w:bCs/>
          <w:color w:val="000000" w:themeColor="text1"/>
          <w:sz w:val="28"/>
          <w:szCs w:val="28"/>
          <w:highlight w:val="none"/>
          <w14:textFill>
            <w14:solidFill>
              <w14:schemeClr w14:val="tx1"/>
            </w14:solidFill>
          </w14:textFill>
        </w:rPr>
        <w:t>：监理人资格资料、</w:t>
      </w:r>
      <w:r>
        <w:rPr>
          <w:rFonts w:hint="eastAsia" w:ascii="Times New Roman" w:hAnsi="Times New Roman" w:eastAsia="仿宋" w:cs="仿宋"/>
          <w:b w:val="0"/>
          <w:bCs/>
          <w:color w:val="000000" w:themeColor="text1"/>
          <w:sz w:val="28"/>
          <w:szCs w:val="28"/>
          <w:highlight w:val="none"/>
          <w:lang w:eastAsia="zh-CN"/>
          <w14:textFill>
            <w14:solidFill>
              <w14:schemeClr w14:val="tx1"/>
            </w14:solidFill>
          </w14:textFill>
        </w:rPr>
        <w:t>监理机构及</w:t>
      </w:r>
      <w:r>
        <w:rPr>
          <w:rFonts w:hint="eastAsia" w:ascii="Times New Roman" w:hAnsi="Times New Roman" w:eastAsia="仿宋" w:cs="仿宋"/>
          <w:b w:val="0"/>
          <w:bCs/>
          <w:color w:val="000000" w:themeColor="text1"/>
          <w:sz w:val="28"/>
          <w:szCs w:val="28"/>
          <w:highlight w:val="none"/>
          <w14:textFill>
            <w14:solidFill>
              <w14:schemeClr w14:val="tx1"/>
            </w14:solidFill>
          </w14:textFill>
        </w:rPr>
        <w:t>主要人员表、主要设备表</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500" w:lineRule="exact"/>
        <w:ind w:firstLine="560" w:firstLineChars="200"/>
        <w:jc w:val="both"/>
        <w:textAlignment w:val="auto"/>
        <w:outlineLvl w:val="9"/>
        <w:rPr>
          <w:rFonts w:hint="eastAsia" w:ascii="Times New Roman" w:hAnsi="Times New Roman" w:eastAsia="仿宋" w:cs="仿宋"/>
          <w:b w:val="0"/>
          <w:bCs/>
          <w:color w:val="000000" w:themeColor="text1"/>
          <w:sz w:val="28"/>
          <w:szCs w:val="28"/>
          <w:highlight w:val="none"/>
          <w14:textFill>
            <w14:solidFill>
              <w14:schemeClr w14:val="tx1"/>
            </w14:solidFill>
          </w14:textFill>
        </w:rPr>
      </w:pPr>
      <w:r>
        <w:rPr>
          <w:rFonts w:hint="eastAsia" w:ascii="Times New Roman" w:hAnsi="Times New Roman" w:eastAsia="仿宋" w:cs="仿宋"/>
          <w:b w:val="0"/>
          <w:bCs/>
          <w:color w:val="000000" w:themeColor="text1"/>
          <w:sz w:val="28"/>
          <w:szCs w:val="28"/>
          <w:highlight w:val="none"/>
          <w14:textFill>
            <w14:solidFill>
              <w14:schemeClr w14:val="tx1"/>
            </w14:solidFill>
          </w14:textFill>
        </w:rPr>
        <w:t>附件</w:t>
      </w:r>
      <w:r>
        <w:rPr>
          <w:rFonts w:hint="eastAsia" w:ascii="Times New Roman" w:hAnsi="Times New Roman" w:eastAsia="仿宋" w:cs="仿宋"/>
          <w:b w:val="0"/>
          <w:bCs/>
          <w:color w:val="000000" w:themeColor="text1"/>
          <w:sz w:val="28"/>
          <w:szCs w:val="28"/>
          <w:highlight w:val="none"/>
          <w:lang w:val="en-US" w:eastAsia="zh-CN"/>
          <w14:textFill>
            <w14:solidFill>
              <w14:schemeClr w14:val="tx1"/>
            </w14:solidFill>
          </w14:textFill>
        </w:rPr>
        <w:t>7</w:t>
      </w:r>
      <w:r>
        <w:rPr>
          <w:rFonts w:hint="eastAsia" w:ascii="Times New Roman" w:hAnsi="Times New Roman" w:eastAsia="仿宋" w:cs="仿宋"/>
          <w:b w:val="0"/>
          <w:bCs/>
          <w:color w:val="000000" w:themeColor="text1"/>
          <w:sz w:val="28"/>
          <w:szCs w:val="28"/>
          <w:highlight w:val="none"/>
          <w14:textFill>
            <w14:solidFill>
              <w14:schemeClr w14:val="tx1"/>
            </w14:solidFill>
          </w14:textFill>
        </w:rPr>
        <w:t>：</w:t>
      </w:r>
      <w:r>
        <w:rPr>
          <w:rFonts w:hint="eastAsia" w:ascii="Times New Roman" w:hAnsi="Times New Roman" w:eastAsia="仿宋" w:cs="仿宋"/>
          <w:b w:val="0"/>
          <w:bCs/>
          <w:color w:val="000000" w:themeColor="text1"/>
          <w:sz w:val="28"/>
          <w:szCs w:val="28"/>
          <w:highlight w:val="none"/>
          <w:lang w:eastAsia="zh-CN"/>
          <w14:textFill>
            <w14:solidFill>
              <w14:schemeClr w14:val="tx1"/>
            </w14:solidFill>
          </w14:textFill>
        </w:rPr>
        <w:t>报价费用</w:t>
      </w:r>
      <w:r>
        <w:rPr>
          <w:rFonts w:hint="eastAsia" w:ascii="Times New Roman" w:hAnsi="Times New Roman" w:eastAsia="仿宋" w:cs="仿宋"/>
          <w:b w:val="0"/>
          <w:bCs/>
          <w:color w:val="000000" w:themeColor="text1"/>
          <w:sz w:val="28"/>
          <w:szCs w:val="28"/>
          <w:highlight w:val="none"/>
          <w14:textFill>
            <w14:solidFill>
              <w14:schemeClr w14:val="tx1"/>
            </w14:solidFill>
          </w14:textFill>
        </w:rPr>
        <w:t>清单</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500" w:lineRule="exact"/>
        <w:ind w:firstLine="560" w:firstLineChars="200"/>
        <w:jc w:val="both"/>
        <w:textAlignment w:val="auto"/>
        <w:outlineLvl w:val="9"/>
        <w:rPr>
          <w:rFonts w:hint="eastAsia" w:ascii="Times New Roman" w:hAnsi="Times New Roman" w:eastAsia="仿宋" w:cs="仿宋"/>
          <w:b w:val="0"/>
          <w:bCs/>
          <w:color w:val="000000" w:themeColor="text1"/>
          <w:sz w:val="28"/>
          <w:szCs w:val="28"/>
          <w:highlight w:val="none"/>
          <w14:textFill>
            <w14:solidFill>
              <w14:schemeClr w14:val="tx1"/>
            </w14:solidFill>
          </w14:textFill>
        </w:rPr>
      </w:pPr>
      <w:r>
        <w:rPr>
          <w:rFonts w:hint="eastAsia" w:ascii="仿宋" w:hAnsi="仿宋" w:eastAsia="仿宋" w:cs="仿宋"/>
          <w:b w:val="0"/>
          <w:bCs/>
          <w:sz w:val="28"/>
          <w:szCs w:val="28"/>
        </w:rPr>
        <w:t>附件</w:t>
      </w:r>
      <w:r>
        <w:rPr>
          <w:rFonts w:hint="eastAsia" w:ascii="仿宋" w:hAnsi="仿宋" w:eastAsia="仿宋" w:cs="仿宋"/>
          <w:b w:val="0"/>
          <w:bCs/>
          <w:sz w:val="28"/>
          <w:szCs w:val="28"/>
          <w:lang w:val="en-US" w:eastAsia="zh-CN"/>
        </w:rPr>
        <w:t>8</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招标</w:t>
      </w:r>
      <w:r>
        <w:rPr>
          <w:rFonts w:hint="eastAsia" w:ascii="仿宋" w:hAnsi="仿宋" w:eastAsia="仿宋" w:cs="仿宋"/>
          <w:b w:val="0"/>
          <w:bCs/>
          <w:sz w:val="28"/>
          <w:szCs w:val="28"/>
          <w:lang w:val="en-US" w:eastAsia="zh-CN"/>
        </w:rPr>
        <w:t>/</w:t>
      </w:r>
      <w:r>
        <w:rPr>
          <w:rFonts w:hint="eastAsia" w:ascii="仿宋" w:hAnsi="仿宋" w:eastAsia="仿宋" w:cs="仿宋"/>
          <w:b w:val="0"/>
          <w:bCs/>
          <w:sz w:val="28"/>
          <w:szCs w:val="28"/>
        </w:rPr>
        <w:t>采购需求</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500" w:lineRule="exact"/>
        <w:ind w:firstLine="560" w:firstLineChars="200"/>
        <w:jc w:val="both"/>
        <w:textAlignment w:val="auto"/>
        <w:outlineLvl w:val="9"/>
        <w:rPr>
          <w:rFonts w:hint="eastAsia" w:ascii="Times New Roman" w:hAnsi="Times New Roman" w:eastAsia="仿宋" w:cs="仿宋"/>
          <w:b w:val="0"/>
          <w:bCs/>
          <w:color w:val="000000" w:themeColor="text1"/>
          <w:sz w:val="28"/>
          <w:szCs w:val="28"/>
          <w:highlight w:val="none"/>
          <w14:textFill>
            <w14:solidFill>
              <w14:schemeClr w14:val="tx1"/>
            </w14:solidFill>
          </w14:textFill>
        </w:rPr>
      </w:pPr>
      <w:r>
        <w:rPr>
          <w:rFonts w:hint="eastAsia" w:ascii="Times New Roman" w:hAnsi="Times New Roman" w:eastAsia="仿宋" w:cs="仿宋"/>
          <w:b w:val="0"/>
          <w:bCs/>
          <w:color w:val="000000" w:themeColor="text1"/>
          <w:sz w:val="28"/>
          <w:szCs w:val="28"/>
          <w:highlight w:val="none"/>
          <w14:textFill>
            <w14:solidFill>
              <w14:schemeClr w14:val="tx1"/>
            </w14:solidFill>
          </w14:textFill>
        </w:rPr>
        <w:t>附件</w:t>
      </w:r>
      <w:r>
        <w:rPr>
          <w:rFonts w:hint="eastAsia" w:ascii="Times New Roman" w:hAnsi="Times New Roman" w:eastAsia="仿宋" w:cs="仿宋"/>
          <w:b w:val="0"/>
          <w:bCs/>
          <w:color w:val="000000" w:themeColor="text1"/>
          <w:sz w:val="28"/>
          <w:szCs w:val="28"/>
          <w:highlight w:val="none"/>
          <w:lang w:val="en-US" w:eastAsia="zh-CN"/>
          <w14:textFill>
            <w14:solidFill>
              <w14:schemeClr w14:val="tx1"/>
            </w14:solidFill>
          </w14:textFill>
        </w:rPr>
        <w:t>9</w:t>
      </w:r>
      <w:r>
        <w:rPr>
          <w:rFonts w:hint="eastAsia" w:ascii="Times New Roman" w:hAnsi="Times New Roman" w:eastAsia="仿宋" w:cs="仿宋"/>
          <w:b w:val="0"/>
          <w:bCs/>
          <w:color w:val="000000" w:themeColor="text1"/>
          <w:sz w:val="28"/>
          <w:szCs w:val="28"/>
          <w:highlight w:val="none"/>
          <w14:textFill>
            <w14:solidFill>
              <w14:schemeClr w14:val="tx1"/>
            </w14:solidFill>
          </w14:textFill>
        </w:rPr>
        <w:t>: 招标</w:t>
      </w:r>
      <w:r>
        <w:rPr>
          <w:rFonts w:hint="eastAsia" w:ascii="Times New Roman" w:hAnsi="Times New Roman" w:eastAsia="仿宋" w:cs="仿宋"/>
          <w:b w:val="0"/>
          <w:bCs/>
          <w:color w:val="000000" w:themeColor="text1"/>
          <w:sz w:val="28"/>
          <w:szCs w:val="28"/>
          <w:highlight w:val="none"/>
          <w:lang w:eastAsia="zh-CN"/>
          <w14:textFill>
            <w14:solidFill>
              <w14:schemeClr w14:val="tx1"/>
            </w14:solidFill>
          </w14:textFill>
        </w:rPr>
        <w:t>（</w:t>
      </w:r>
      <w:r>
        <w:rPr>
          <w:rFonts w:hint="eastAsia" w:ascii="Times New Roman" w:hAnsi="Times New Roman" w:eastAsia="仿宋" w:cs="仿宋"/>
          <w:b w:val="0"/>
          <w:bCs/>
          <w:color w:val="000000" w:themeColor="text1"/>
          <w:sz w:val="28"/>
          <w:szCs w:val="28"/>
          <w:highlight w:val="none"/>
          <w:lang w:val="en-US" w:eastAsia="zh-CN"/>
          <w14:textFill>
            <w14:solidFill>
              <w14:schemeClr w14:val="tx1"/>
            </w14:solidFill>
          </w14:textFill>
        </w:rPr>
        <w:t>采购）</w:t>
      </w:r>
      <w:r>
        <w:rPr>
          <w:rFonts w:hint="eastAsia" w:ascii="Times New Roman" w:hAnsi="Times New Roman" w:eastAsia="仿宋" w:cs="仿宋"/>
          <w:b w:val="0"/>
          <w:bCs/>
          <w:color w:val="000000" w:themeColor="text1"/>
          <w:sz w:val="28"/>
          <w:szCs w:val="28"/>
          <w:highlight w:val="none"/>
          <w14:textFill>
            <w14:solidFill>
              <w14:schemeClr w14:val="tx1"/>
            </w14:solidFill>
          </w14:textFill>
        </w:rPr>
        <w:t>文件（如有，另</w:t>
      </w:r>
      <w:r>
        <w:rPr>
          <w:rFonts w:hint="eastAsia" w:ascii="Times New Roman" w:hAnsi="Times New Roman" w:eastAsia="仿宋" w:cs="仿宋"/>
          <w:b w:val="0"/>
          <w:bCs/>
          <w:color w:val="000000" w:themeColor="text1"/>
          <w:sz w:val="28"/>
          <w:szCs w:val="28"/>
          <w:highlight w:val="none"/>
          <w:lang w:eastAsia="zh-CN"/>
          <w14:textFill>
            <w14:solidFill>
              <w14:schemeClr w14:val="tx1"/>
            </w14:solidFill>
          </w14:textFill>
        </w:rPr>
        <w:t>册</w:t>
      </w:r>
      <w:r>
        <w:rPr>
          <w:rFonts w:hint="eastAsia" w:ascii="Times New Roman" w:hAnsi="Times New Roman" w:eastAsia="仿宋" w:cs="仿宋"/>
          <w:b w:val="0"/>
          <w:bCs/>
          <w:color w:val="000000" w:themeColor="text1"/>
          <w:sz w:val="28"/>
          <w:szCs w:val="28"/>
          <w:highlight w:val="none"/>
          <w14:textFill>
            <w14:solidFill>
              <w14:schemeClr w14:val="tx1"/>
            </w14:solidFill>
          </w14:textFill>
        </w:rPr>
        <w:t>）</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500" w:lineRule="exact"/>
        <w:ind w:firstLine="560" w:firstLineChars="200"/>
        <w:jc w:val="both"/>
        <w:textAlignment w:val="auto"/>
        <w:outlineLvl w:val="9"/>
        <w:rPr>
          <w:rFonts w:hint="eastAsia" w:ascii="Times New Roman" w:hAnsi="Times New Roman" w:eastAsia="仿宋" w:cs="仿宋"/>
          <w:b w:val="0"/>
          <w:bCs/>
          <w:color w:val="000000" w:themeColor="text1"/>
          <w:sz w:val="28"/>
          <w:szCs w:val="28"/>
          <w:highlight w:val="none"/>
          <w14:textFill>
            <w14:solidFill>
              <w14:schemeClr w14:val="tx1"/>
            </w14:solidFill>
          </w14:textFill>
        </w:rPr>
      </w:pPr>
      <w:r>
        <w:rPr>
          <w:rFonts w:hint="eastAsia" w:ascii="Times New Roman" w:hAnsi="Times New Roman" w:eastAsia="仿宋" w:cs="仿宋"/>
          <w:b w:val="0"/>
          <w:bCs/>
          <w:color w:val="000000" w:themeColor="text1"/>
          <w:sz w:val="28"/>
          <w:szCs w:val="28"/>
          <w:highlight w:val="none"/>
          <w14:textFill>
            <w14:solidFill>
              <w14:schemeClr w14:val="tx1"/>
            </w14:solidFill>
          </w14:textFill>
        </w:rPr>
        <w:t>附件1</w:t>
      </w:r>
      <w:r>
        <w:rPr>
          <w:rFonts w:hint="eastAsia" w:ascii="Times New Roman" w:hAnsi="Times New Roman" w:eastAsia="仿宋" w:cs="仿宋"/>
          <w:b w:val="0"/>
          <w:bCs/>
          <w:color w:val="000000" w:themeColor="text1"/>
          <w:sz w:val="28"/>
          <w:szCs w:val="28"/>
          <w:highlight w:val="none"/>
          <w:lang w:val="en-US" w:eastAsia="zh-CN"/>
          <w14:textFill>
            <w14:solidFill>
              <w14:schemeClr w14:val="tx1"/>
            </w14:solidFill>
          </w14:textFill>
        </w:rPr>
        <w:t>0</w:t>
      </w:r>
      <w:r>
        <w:rPr>
          <w:rFonts w:hint="eastAsia" w:ascii="Times New Roman" w:hAnsi="Times New Roman" w:eastAsia="仿宋" w:cs="仿宋"/>
          <w:b w:val="0"/>
          <w:bCs/>
          <w:color w:val="000000" w:themeColor="text1"/>
          <w:sz w:val="28"/>
          <w:szCs w:val="28"/>
          <w:highlight w:val="none"/>
          <w14:textFill>
            <w14:solidFill>
              <w14:schemeClr w14:val="tx1"/>
            </w14:solidFill>
          </w14:textFill>
        </w:rPr>
        <w:t>：投标</w:t>
      </w:r>
      <w:r>
        <w:rPr>
          <w:rFonts w:hint="eastAsia" w:ascii="Times New Roman" w:hAnsi="Times New Roman" w:eastAsia="仿宋" w:cs="仿宋"/>
          <w:b w:val="0"/>
          <w:bCs/>
          <w:color w:val="000000" w:themeColor="text1"/>
          <w:sz w:val="28"/>
          <w:szCs w:val="28"/>
          <w:highlight w:val="none"/>
          <w:lang w:eastAsia="zh-CN"/>
          <w14:textFill>
            <w14:solidFill>
              <w14:schemeClr w14:val="tx1"/>
            </w14:solidFill>
          </w14:textFill>
        </w:rPr>
        <w:t>（</w:t>
      </w:r>
      <w:r>
        <w:rPr>
          <w:rFonts w:hint="eastAsia" w:ascii="Times New Roman" w:hAnsi="Times New Roman" w:eastAsia="仿宋" w:cs="仿宋"/>
          <w:b w:val="0"/>
          <w:bCs/>
          <w:color w:val="000000" w:themeColor="text1"/>
          <w:sz w:val="28"/>
          <w:szCs w:val="28"/>
          <w:highlight w:val="none"/>
          <w:lang w:val="en-US" w:eastAsia="zh-CN"/>
          <w14:textFill>
            <w14:solidFill>
              <w14:schemeClr w14:val="tx1"/>
            </w14:solidFill>
          </w14:textFill>
        </w:rPr>
        <w:t>采购）</w:t>
      </w:r>
      <w:r>
        <w:rPr>
          <w:rFonts w:hint="eastAsia" w:ascii="Times New Roman" w:hAnsi="Times New Roman" w:eastAsia="仿宋" w:cs="仿宋"/>
          <w:b w:val="0"/>
          <w:bCs/>
          <w:color w:val="000000" w:themeColor="text1"/>
          <w:sz w:val="28"/>
          <w:szCs w:val="28"/>
          <w:highlight w:val="none"/>
          <w:lang w:eastAsia="zh-CN"/>
          <w14:textFill>
            <w14:solidFill>
              <w14:schemeClr w14:val="tx1"/>
            </w14:solidFill>
          </w14:textFill>
        </w:rPr>
        <w:t>文件</w:t>
      </w:r>
      <w:r>
        <w:rPr>
          <w:rFonts w:hint="eastAsia" w:ascii="Times New Roman" w:hAnsi="Times New Roman" w:eastAsia="仿宋" w:cs="仿宋"/>
          <w:b w:val="0"/>
          <w:bCs/>
          <w:color w:val="000000" w:themeColor="text1"/>
          <w:sz w:val="28"/>
          <w:szCs w:val="28"/>
          <w:highlight w:val="none"/>
          <w14:textFill>
            <w14:solidFill>
              <w14:schemeClr w14:val="tx1"/>
            </w14:solidFill>
          </w14:textFill>
        </w:rPr>
        <w:t>（如有</w:t>
      </w:r>
      <w:r>
        <w:rPr>
          <w:rFonts w:hint="eastAsia" w:ascii="Times New Roman" w:hAnsi="Times New Roman" w:eastAsia="仿宋" w:cs="仿宋"/>
          <w:b w:val="0"/>
          <w:bCs/>
          <w:color w:val="000000" w:themeColor="text1"/>
          <w:sz w:val="28"/>
          <w:szCs w:val="28"/>
          <w:highlight w:val="none"/>
          <w:lang w:eastAsia="zh-CN"/>
          <w14:textFill>
            <w14:solidFill>
              <w14:schemeClr w14:val="tx1"/>
            </w14:solidFill>
          </w14:textFill>
        </w:rPr>
        <w:t>，另册</w:t>
      </w:r>
      <w:r>
        <w:rPr>
          <w:rFonts w:hint="eastAsia" w:ascii="Times New Roman" w:hAnsi="Times New Roman" w:eastAsia="仿宋" w:cs="仿宋"/>
          <w:b w:val="0"/>
          <w:bCs/>
          <w:color w:val="000000" w:themeColor="text1"/>
          <w:sz w:val="28"/>
          <w:szCs w:val="28"/>
          <w:highlight w:val="none"/>
          <w14:textFill>
            <w14:solidFill>
              <w14:schemeClr w14:val="tx1"/>
            </w14:solidFill>
          </w14:textFill>
        </w:rPr>
        <w:t>）</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500" w:lineRule="exact"/>
        <w:ind w:firstLine="560" w:firstLineChars="200"/>
        <w:jc w:val="both"/>
        <w:textAlignment w:val="auto"/>
        <w:outlineLvl w:val="9"/>
        <w:rPr>
          <w:rFonts w:hint="eastAsia" w:ascii="Times New Roman" w:hAnsi="Times New Roman" w:eastAsia="仿宋" w:cs="仿宋"/>
          <w:b w:val="0"/>
          <w:bCs/>
          <w:color w:val="000000" w:themeColor="text1"/>
          <w:sz w:val="28"/>
          <w:szCs w:val="28"/>
          <w:highlight w:val="none"/>
          <w14:textFill>
            <w14:solidFill>
              <w14:schemeClr w14:val="tx1"/>
            </w14:solidFill>
          </w14:textFill>
        </w:rPr>
      </w:pPr>
      <w:r>
        <w:rPr>
          <w:rFonts w:hint="eastAsia" w:ascii="Times New Roman" w:hAnsi="Times New Roman" w:eastAsia="仿宋" w:cs="仿宋"/>
          <w:b w:val="0"/>
          <w:bCs/>
          <w:color w:val="000000" w:themeColor="text1"/>
          <w:sz w:val="28"/>
          <w:szCs w:val="28"/>
          <w:highlight w:val="none"/>
          <w14:textFill>
            <w14:solidFill>
              <w14:schemeClr w14:val="tx1"/>
            </w14:solidFill>
          </w14:textFill>
        </w:rPr>
        <w:t>附件1</w:t>
      </w:r>
      <w:r>
        <w:rPr>
          <w:rFonts w:hint="eastAsia" w:ascii="Times New Roman" w:hAnsi="Times New Roman" w:eastAsia="仿宋" w:cs="仿宋"/>
          <w:b w:val="0"/>
          <w:bCs/>
          <w:color w:val="000000" w:themeColor="text1"/>
          <w:sz w:val="28"/>
          <w:szCs w:val="28"/>
          <w:highlight w:val="none"/>
          <w:lang w:val="en-US" w:eastAsia="zh-CN"/>
          <w14:textFill>
            <w14:solidFill>
              <w14:schemeClr w14:val="tx1"/>
            </w14:solidFill>
          </w14:textFill>
        </w:rPr>
        <w:t>1</w:t>
      </w:r>
      <w:r>
        <w:rPr>
          <w:rFonts w:hint="eastAsia" w:ascii="Times New Roman" w:hAnsi="Times New Roman" w:eastAsia="仿宋" w:cs="仿宋"/>
          <w:b w:val="0"/>
          <w:bCs/>
          <w:color w:val="000000" w:themeColor="text1"/>
          <w:sz w:val="28"/>
          <w:szCs w:val="28"/>
          <w:highlight w:val="none"/>
          <w14:textFill>
            <w14:solidFill>
              <w14:schemeClr w14:val="tx1"/>
            </w14:solidFill>
          </w14:textFill>
        </w:rPr>
        <w:t>：投标承诺书（如有）</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500" w:lineRule="exact"/>
        <w:ind w:firstLine="560" w:firstLineChars="200"/>
        <w:jc w:val="both"/>
        <w:textAlignment w:val="auto"/>
        <w:outlineLvl w:val="9"/>
        <w:rPr>
          <w:rFonts w:hint="eastAsia" w:ascii="Times New Roman" w:hAnsi="Times New Roman" w:eastAsia="仿宋" w:cs="仿宋"/>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 w:cs="仿宋"/>
          <w:b w:val="0"/>
          <w:bCs/>
          <w:color w:val="000000" w:themeColor="text1"/>
          <w:sz w:val="28"/>
          <w:szCs w:val="28"/>
          <w:highlight w:val="none"/>
          <w:lang w:eastAsia="zh-CN"/>
          <w14:textFill>
            <w14:solidFill>
              <w14:schemeClr w14:val="tx1"/>
            </w14:solidFill>
          </w14:textFill>
        </w:rPr>
        <w:t>附件</w:t>
      </w:r>
      <w:r>
        <w:rPr>
          <w:rFonts w:hint="eastAsia" w:ascii="Times New Roman" w:hAnsi="Times New Roman" w:eastAsia="仿宋" w:cs="仿宋"/>
          <w:b w:val="0"/>
          <w:bCs/>
          <w:color w:val="000000" w:themeColor="text1"/>
          <w:sz w:val="28"/>
          <w:szCs w:val="28"/>
          <w:highlight w:val="none"/>
          <w:lang w:val="en-US" w:eastAsia="zh-CN"/>
          <w14:textFill>
            <w14:solidFill>
              <w14:schemeClr w14:val="tx1"/>
            </w14:solidFill>
          </w14:textFill>
        </w:rPr>
        <w:t>12：履约考核约定</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500" w:lineRule="exact"/>
        <w:ind w:firstLine="560" w:firstLineChars="200"/>
        <w:jc w:val="both"/>
        <w:textAlignment w:val="auto"/>
        <w:outlineLvl w:val="9"/>
        <w:rPr>
          <w:rFonts w:hint="eastAsia" w:ascii="Times New Roman" w:hAnsi="Times New Roman" w:eastAsia="仿宋" w:cs="仿宋"/>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 w:cs="仿宋"/>
          <w:b w:val="0"/>
          <w:bCs/>
          <w:color w:val="000000" w:themeColor="text1"/>
          <w:sz w:val="28"/>
          <w:szCs w:val="28"/>
          <w:highlight w:val="none"/>
          <w:lang w:val="en-US" w:eastAsia="zh-CN"/>
          <w14:textFill>
            <w14:solidFill>
              <w14:schemeClr w14:val="tx1"/>
            </w14:solidFill>
          </w14:textFill>
        </w:rPr>
        <w:t>附件13：阶段性考核表</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500" w:lineRule="exact"/>
        <w:ind w:firstLine="560" w:firstLineChars="200"/>
        <w:jc w:val="both"/>
        <w:textAlignment w:val="auto"/>
        <w:outlineLvl w:val="9"/>
        <w:rPr>
          <w:rFonts w:hint="default" w:ascii="Times New Roman" w:hAnsi="Times New Roman" w:eastAsia="仿宋" w:cs="仿宋"/>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 w:cs="仿宋"/>
          <w:b w:val="0"/>
          <w:bCs/>
          <w:color w:val="000000" w:themeColor="text1"/>
          <w:sz w:val="28"/>
          <w:szCs w:val="28"/>
          <w:highlight w:val="none"/>
          <w:lang w:val="en-US" w:eastAsia="zh-CN"/>
          <w14:textFill>
            <w14:solidFill>
              <w14:schemeClr w14:val="tx1"/>
            </w14:solidFill>
          </w14:textFill>
        </w:rPr>
        <w:t>附件14：</w:t>
      </w:r>
      <w:r>
        <w:rPr>
          <w:rFonts w:hint="default" w:ascii="Times New Roman" w:hAnsi="Times New Roman" w:eastAsia="仿宋" w:cs="仿宋"/>
          <w:b w:val="0"/>
          <w:bCs/>
          <w:color w:val="000000" w:themeColor="text1"/>
          <w:sz w:val="28"/>
          <w:szCs w:val="28"/>
          <w:highlight w:val="none"/>
          <w:lang w:val="en-US" w:eastAsia="zh-CN"/>
          <w14:textFill>
            <w14:solidFill>
              <w14:schemeClr w14:val="tx1"/>
            </w14:solidFill>
          </w14:textFill>
        </w:rPr>
        <w:t>异议申诉书</w:t>
      </w:r>
    </w:p>
    <w:p>
      <w:pPr>
        <w:pStyle w:val="16"/>
        <w:widowControl w:val="0"/>
        <w:kinsoku w:val="0"/>
        <w:overflowPunct w:val="0"/>
        <w:autoSpaceDE w:val="0"/>
        <w:autoSpaceDN w:val="0"/>
        <w:adjustRightInd w:val="0"/>
        <w:snapToGrid w:val="0"/>
        <w:spacing w:before="0" w:beforeAutospacing="0" w:after="0" w:afterAutospacing="0" w:line="360" w:lineRule="auto"/>
        <w:ind w:firstLine="420" w:firstLineChars="200"/>
        <w:jc w:val="both"/>
        <w:rPr>
          <w:rFonts w:hint="eastAsia" w:ascii="Times New Roman" w:hAnsi="Times New Roman" w:eastAsia="仿宋" w:cs="仿宋"/>
          <w:b/>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highlight w:val="none"/>
          <w14:textFill>
            <w14:solidFill>
              <w14:schemeClr w14:val="tx1"/>
            </w14:solidFill>
          </w14:textFill>
        </w:rPr>
        <w:br w:type="page"/>
      </w:r>
    </w:p>
    <w:p>
      <w:pPr>
        <w:widowControl/>
        <w:spacing w:line="360" w:lineRule="auto"/>
        <w:jc w:val="left"/>
        <w:outlineLvl w:val="1"/>
        <w:rPr>
          <w:rFonts w:hint="eastAsia" w:ascii="黑体" w:hAnsi="黑体" w:eastAsia="黑体" w:cs="黑体"/>
          <w:b/>
          <w:bCs/>
          <w:color w:val="000000" w:themeColor="text1"/>
          <w:sz w:val="28"/>
          <w:szCs w:val="28"/>
          <w:highlight w:val="none"/>
          <w14:textFill>
            <w14:solidFill>
              <w14:schemeClr w14:val="tx1"/>
            </w14:solidFill>
          </w14:textFill>
        </w:rPr>
      </w:pPr>
      <w:bookmarkStart w:id="295" w:name="_Toc1797922886"/>
      <w:bookmarkStart w:id="296" w:name="_Toc1254336466"/>
      <w:bookmarkStart w:id="297" w:name="_Toc1577517889"/>
      <w:r>
        <w:rPr>
          <w:rFonts w:hint="eastAsia" w:ascii="黑体" w:hAnsi="黑体" w:eastAsia="黑体" w:cs="黑体"/>
          <w:b/>
          <w:bCs/>
          <w:color w:val="000000" w:themeColor="text1"/>
          <w:sz w:val="28"/>
          <w:szCs w:val="28"/>
          <w:highlight w:val="none"/>
          <w14:textFill>
            <w14:solidFill>
              <w14:schemeClr w14:val="tx1"/>
            </w14:solidFill>
          </w14:textFill>
        </w:rPr>
        <w:t>附件1</w:t>
      </w:r>
    </w:p>
    <w:p>
      <w:pPr>
        <w:widowControl/>
        <w:spacing w:line="360" w:lineRule="auto"/>
        <w:jc w:val="center"/>
        <w:outlineLvl w:val="1"/>
        <w:rPr>
          <w:rFonts w:hint="eastAsia" w:ascii="Times New Roman" w:hAnsi="Times New Roman"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kern w:val="2"/>
          <w:sz w:val="44"/>
          <w:szCs w:val="44"/>
          <w:highlight w:val="none"/>
          <w:lang w:val="en-US" w:eastAsia="zh-CN"/>
        </w:rPr>
        <w:t>廉洁协议</w:t>
      </w:r>
      <w:bookmarkEnd w:id="295"/>
      <w:bookmarkEnd w:id="296"/>
      <w:bookmarkEnd w:id="297"/>
    </w:p>
    <w:p>
      <w:pPr>
        <w:pStyle w:val="16"/>
        <w:keepNext w:val="0"/>
        <w:keepLines w:val="0"/>
        <w:pageBreakBefore w:val="0"/>
        <w:widowControl w:val="0"/>
        <w:kinsoku w:val="0"/>
        <w:wordWrap/>
        <w:overflowPunct w:val="0"/>
        <w:topLinePunct w:val="0"/>
        <w:autoSpaceDE w:val="0"/>
        <w:autoSpaceDN w:val="0"/>
        <w:bidi w:val="0"/>
        <w:adjustRightInd w:val="0"/>
        <w:snapToGrid w:val="0"/>
        <w:spacing w:after="0" w:afterAutospacing="0" w:line="240" w:lineRule="auto"/>
        <w:ind w:firstLine="480" w:firstLineChars="200"/>
        <w:textAlignment w:val="auto"/>
        <w:rPr>
          <w:rFonts w:hint="eastAsia" w:ascii="Times New Roman" w:hAnsi="Times New Roman" w:eastAsia="仿宋" w:cs="仿宋"/>
          <w:b w:val="0"/>
          <w:bCs/>
          <w:color w:val="000000" w:themeColor="text1"/>
          <w:sz w:val="24"/>
          <w:szCs w:val="24"/>
          <w:highlight w:val="none"/>
          <w:lang w:val="zh-CN"/>
          <w14:textFill>
            <w14:solidFill>
              <w14:schemeClr w14:val="tx1"/>
            </w14:solidFill>
          </w14:textFill>
        </w:rPr>
      </w:pPr>
      <w:r>
        <w:rPr>
          <w:rFonts w:hint="eastAsia" w:ascii="Times New Roman" w:hAnsi="Times New Roman" w:eastAsia="仿宋" w:cs="仿宋"/>
          <w:b w:val="0"/>
          <w:bCs/>
          <w:color w:val="000000" w:themeColor="text1"/>
          <w:sz w:val="24"/>
          <w:szCs w:val="24"/>
          <w:highlight w:val="none"/>
          <w:lang w:val="zh-CN"/>
          <w14:textFill>
            <w14:solidFill>
              <w14:schemeClr w14:val="tx1"/>
            </w14:solidFill>
          </w14:textFill>
        </w:rPr>
        <w:t xml:space="preserve">甲方： </w:t>
      </w:r>
      <w:r>
        <w:rPr>
          <w:rFonts w:hint="eastAsia" w:ascii="Times New Roman" w:hAnsi="Times New Roman" w:eastAsia="仿宋" w:cs="仿宋"/>
          <w:b w:val="0"/>
          <w:bCs/>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仿宋" w:cs="仿宋"/>
          <w:b w:val="0"/>
          <w:bCs/>
          <w:color w:val="000000" w:themeColor="text1"/>
          <w:sz w:val="24"/>
          <w:szCs w:val="24"/>
          <w:highlight w:val="none"/>
          <w:lang w:val="zh-CN"/>
          <w14:textFill>
            <w14:solidFill>
              <w14:schemeClr w14:val="tx1"/>
            </w14:solidFill>
          </w14:textFill>
        </w:rPr>
        <w:t>乙方：</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 w:val="0"/>
          <w:bCs/>
          <w:color w:val="000000" w:themeColor="text1"/>
          <w:sz w:val="24"/>
          <w:szCs w:val="24"/>
          <w:highlight w:val="none"/>
          <w:lang w:val="zh-CN"/>
          <w14:textFill>
            <w14:solidFill>
              <w14:schemeClr w14:val="tx1"/>
            </w14:solidFill>
          </w14:textFill>
        </w:rPr>
      </w:pPr>
      <w:r>
        <w:rPr>
          <w:rFonts w:hint="eastAsia" w:ascii="Times New Roman" w:hAnsi="Times New Roman" w:eastAsia="仿宋" w:cs="仿宋"/>
          <w:b w:val="0"/>
          <w:bCs/>
          <w:color w:val="000000" w:themeColor="text1"/>
          <w:sz w:val="24"/>
          <w:szCs w:val="24"/>
          <w:highlight w:val="none"/>
          <w:lang w:val="zh-CN"/>
          <w14:textFill>
            <w14:solidFill>
              <w14:schemeClr w14:val="tx1"/>
            </w14:solidFill>
          </w14:textFill>
        </w:rPr>
        <w:t>法定代表人：</w:t>
      </w:r>
      <w:r>
        <w:rPr>
          <w:rFonts w:hint="eastAsia" w:ascii="Times New Roman" w:hAnsi="Times New Roman" w:eastAsia="仿宋" w:cs="仿宋"/>
          <w:b w:val="0"/>
          <w:bCs/>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仿宋" w:cs="仿宋"/>
          <w:b w:val="0"/>
          <w:bCs/>
          <w:color w:val="000000" w:themeColor="text1"/>
          <w:sz w:val="24"/>
          <w:szCs w:val="24"/>
          <w:highlight w:val="none"/>
          <w:lang w:val="zh-CN"/>
          <w14:textFill>
            <w14:solidFill>
              <w14:schemeClr w14:val="tx1"/>
            </w14:solidFill>
          </w14:textFill>
        </w:rPr>
        <w:t>法定代表人：</w:t>
      </w:r>
    </w:p>
    <w:p>
      <w:pPr>
        <w:pStyle w:val="16"/>
        <w:keepNext w:val="0"/>
        <w:keepLines w:val="0"/>
        <w:pageBreakBefore w:val="0"/>
        <w:widowControl w:val="0"/>
        <w:kinsoku w:val="0"/>
        <w:wordWrap/>
        <w:overflowPunct w:val="0"/>
        <w:topLinePunct w:val="0"/>
        <w:autoSpaceDE w:val="0"/>
        <w:autoSpaceDN w:val="0"/>
        <w:bidi w:val="0"/>
        <w:adjustRightInd w:val="0"/>
        <w:snapToGrid w:val="0"/>
        <w:spacing w:after="0" w:afterAutospacing="0" w:line="240" w:lineRule="auto"/>
        <w:ind w:firstLine="480" w:firstLineChars="200"/>
        <w:textAlignment w:val="auto"/>
        <w:rPr>
          <w:rFonts w:hint="eastAsia" w:ascii="Times New Roman" w:hAnsi="Times New Roman" w:eastAsia="仿宋" w:cs="仿宋"/>
          <w:b w:val="0"/>
          <w:bCs/>
          <w:color w:val="000000" w:themeColor="text1"/>
          <w:sz w:val="24"/>
          <w:szCs w:val="24"/>
          <w:highlight w:val="none"/>
          <w:lang w:val="zh-CN"/>
          <w14:textFill>
            <w14:solidFill>
              <w14:schemeClr w14:val="tx1"/>
            </w14:solidFill>
          </w14:textFill>
        </w:rPr>
      </w:pPr>
      <w:r>
        <w:rPr>
          <w:rFonts w:hint="eastAsia" w:ascii="Times New Roman" w:hAnsi="Times New Roman" w:eastAsia="仿宋" w:cs="仿宋"/>
          <w:b w:val="0"/>
          <w:bCs/>
          <w:color w:val="000000" w:themeColor="text1"/>
          <w:sz w:val="24"/>
          <w:szCs w:val="24"/>
          <w:highlight w:val="none"/>
          <w:lang w:val="zh-CN"/>
          <w14:textFill>
            <w14:solidFill>
              <w14:schemeClr w14:val="tx1"/>
            </w14:solidFill>
          </w14:textFill>
        </w:rPr>
        <w:t>合同名称：</w:t>
      </w:r>
    </w:p>
    <w:p>
      <w:pPr>
        <w:pStyle w:val="16"/>
        <w:keepNext w:val="0"/>
        <w:keepLines w:val="0"/>
        <w:pageBreakBefore w:val="0"/>
        <w:widowControl w:val="0"/>
        <w:kinsoku w:val="0"/>
        <w:wordWrap/>
        <w:overflowPunct w:val="0"/>
        <w:topLinePunct w:val="0"/>
        <w:autoSpaceDE w:val="0"/>
        <w:autoSpaceDN w:val="0"/>
        <w:bidi w:val="0"/>
        <w:adjustRightInd w:val="0"/>
        <w:snapToGrid w:val="0"/>
        <w:spacing w:after="0" w:afterAutospacing="0" w:line="240" w:lineRule="auto"/>
        <w:ind w:firstLine="480" w:firstLineChars="200"/>
        <w:textAlignment w:val="auto"/>
        <w:rPr>
          <w:rFonts w:hint="eastAsia" w:ascii="Times New Roman" w:hAnsi="Times New Roman" w:eastAsia="仿宋" w:cs="仿宋"/>
          <w:b w:val="0"/>
          <w:bCs/>
          <w:color w:val="000000" w:themeColor="text1"/>
          <w:sz w:val="24"/>
          <w:szCs w:val="24"/>
          <w:highlight w:val="none"/>
          <w:lang w:val="zh-CN"/>
          <w14:textFill>
            <w14:solidFill>
              <w14:schemeClr w14:val="tx1"/>
            </w14:solidFill>
          </w14:textFill>
        </w:rPr>
      </w:pPr>
      <w:r>
        <w:rPr>
          <w:rFonts w:hint="eastAsia" w:ascii="Times New Roman" w:hAnsi="Times New Roman" w:eastAsia="仿宋" w:cs="仿宋"/>
          <w:b w:val="0"/>
          <w:bCs/>
          <w:color w:val="000000" w:themeColor="text1"/>
          <w:sz w:val="24"/>
          <w:szCs w:val="24"/>
          <w:highlight w:val="none"/>
          <w:lang w:val="zh-CN"/>
          <w14:textFill>
            <w14:solidFill>
              <w14:schemeClr w14:val="tx1"/>
            </w14:solidFill>
          </w14:textFill>
        </w:rPr>
        <w:t>合同编号：</w:t>
      </w:r>
    </w:p>
    <w:p>
      <w:pPr>
        <w:pStyle w:val="16"/>
        <w:keepNext w:val="0"/>
        <w:keepLines w:val="0"/>
        <w:pageBreakBefore w:val="0"/>
        <w:widowControl w:val="0"/>
        <w:kinsoku w:val="0"/>
        <w:wordWrap/>
        <w:overflowPunct w:val="0"/>
        <w:topLinePunct w:val="0"/>
        <w:autoSpaceDE w:val="0"/>
        <w:autoSpaceDN w:val="0"/>
        <w:bidi w:val="0"/>
        <w:adjustRightInd w:val="0"/>
        <w:snapToGrid w:val="0"/>
        <w:spacing w:after="0" w:afterAutospacing="0" w:line="240" w:lineRule="auto"/>
        <w:ind w:firstLine="480" w:firstLineChars="200"/>
        <w:textAlignment w:val="auto"/>
        <w:rPr>
          <w:rFonts w:hint="eastAsia" w:ascii="Times New Roman" w:hAnsi="Times New Roman" w:eastAsia="仿宋" w:cs="仿宋"/>
          <w:b w:val="0"/>
          <w:bCs/>
          <w:color w:val="000000" w:themeColor="text1"/>
          <w:sz w:val="24"/>
          <w:szCs w:val="24"/>
          <w:highlight w:val="none"/>
          <w:lang w:val="zh-CN"/>
          <w14:textFill>
            <w14:solidFill>
              <w14:schemeClr w14:val="tx1"/>
            </w14:solidFill>
          </w14:textFill>
        </w:rPr>
      </w:pPr>
      <w:r>
        <w:rPr>
          <w:rFonts w:hint="eastAsia" w:ascii="Times New Roman" w:hAnsi="Times New Roman" w:eastAsia="仿宋" w:cs="仿宋"/>
          <w:b w:val="0"/>
          <w:bCs/>
          <w:color w:val="000000" w:themeColor="text1"/>
          <w:sz w:val="24"/>
          <w:szCs w:val="24"/>
          <w:highlight w:val="none"/>
          <w:lang w:val="zh-CN"/>
          <w14:textFill>
            <w14:solidFill>
              <w14:schemeClr w14:val="tx1"/>
            </w14:solidFill>
          </w14:textFill>
        </w:rPr>
        <w:t>合同金额：</w:t>
      </w:r>
    </w:p>
    <w:p>
      <w:pPr>
        <w:pStyle w:val="16"/>
        <w:widowControl w:val="0"/>
        <w:kinsoku w:val="0"/>
        <w:overflowPunct w:val="0"/>
        <w:autoSpaceDE w:val="0"/>
        <w:autoSpaceDN w:val="0"/>
        <w:adjustRightInd w:val="0"/>
        <w:snapToGrid w:val="0"/>
        <w:spacing w:after="0" w:afterAutospacing="0" w:line="240" w:lineRule="auto"/>
        <w:ind w:firstLine="480" w:firstLineChars="200"/>
        <w:jc w:val="both"/>
        <w:rPr>
          <w:rFonts w:hint="eastAsia" w:ascii="Times New Roman" w:hAnsi="Times New Roman" w:eastAsia="仿宋" w:cs="仿宋"/>
          <w:bCs/>
          <w:color w:val="000000" w:themeColor="text1"/>
          <w:sz w:val="24"/>
          <w:szCs w:val="24"/>
          <w:highlight w:val="none"/>
          <w:lang w:val="zh-CN"/>
          <w14:textFill>
            <w14:solidFill>
              <w14:schemeClr w14:val="tx1"/>
            </w14:solidFill>
          </w14:textFill>
        </w:rPr>
      </w:pP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为</w:t>
      </w:r>
      <w:r>
        <w:rPr>
          <w:rFonts w:hint="eastAsia" w:ascii="Times New Roman" w:hAnsi="Times New Roman" w:eastAsia="仿宋" w:cs="仿宋"/>
          <w:bCs/>
          <w:color w:val="000000" w:themeColor="text1"/>
          <w:sz w:val="24"/>
          <w:szCs w:val="24"/>
          <w:highlight w:val="none"/>
          <w14:textFill>
            <w14:solidFill>
              <w14:schemeClr w14:val="tx1"/>
            </w14:solidFill>
          </w14:textFill>
        </w:rPr>
        <w:t>防范双方合同履行中的腐败</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 xml:space="preserve">行为，维护双方合法权益，保证合作关系健康发展，根据《中华人民共和国反不正当竞争法》、国家工商行政管理局《关于禁止商业贿赂行为的暂行规定》（国家工商行政管理局令第60号）等有关法律、法规，经甲乙双方友好协商，达成如下廉洁保证协议，以资双方信守履行： </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Cs/>
          <w:color w:val="000000" w:themeColor="text1"/>
          <w:sz w:val="24"/>
          <w:szCs w:val="24"/>
          <w:highlight w:val="none"/>
          <w:lang w:val="zh-CN"/>
          <w14:textFill>
            <w14:solidFill>
              <w14:schemeClr w14:val="tx1"/>
            </w14:solidFill>
          </w14:textFill>
        </w:rPr>
      </w:pP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一、本协议所称的</w:t>
      </w:r>
      <w:r>
        <w:rPr>
          <w:rFonts w:hint="eastAsia" w:ascii="Times New Roman" w:hAnsi="Times New Roman" w:eastAsia="仿宋" w:cs="仿宋"/>
          <w:bCs/>
          <w:color w:val="000000" w:themeColor="text1"/>
          <w:sz w:val="24"/>
          <w:szCs w:val="24"/>
          <w:highlight w:val="none"/>
          <w14:textFill>
            <w14:solidFill>
              <w14:schemeClr w14:val="tx1"/>
            </w14:solidFill>
          </w14:textFill>
        </w:rPr>
        <w:t>腐败行为</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是在</w:t>
      </w:r>
      <w:r>
        <w:rPr>
          <w:rFonts w:hint="eastAsia" w:ascii="Times New Roman" w:hAnsi="Times New Roman" w:eastAsia="仿宋" w:cs="仿宋"/>
          <w:bCs/>
          <w:color w:val="000000" w:themeColor="text1"/>
          <w:sz w:val="24"/>
          <w:szCs w:val="24"/>
          <w:highlight w:val="none"/>
          <w14:textFill>
            <w14:solidFill>
              <w14:schemeClr w14:val="tx1"/>
            </w14:solidFill>
          </w14:textFill>
        </w:rPr>
        <w:t>合同履行</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中，</w:t>
      </w:r>
      <w:r>
        <w:rPr>
          <w:rFonts w:hint="eastAsia" w:ascii="Times New Roman" w:hAnsi="Times New Roman" w:eastAsia="仿宋" w:cs="仿宋"/>
          <w:bCs/>
          <w:color w:val="000000" w:themeColor="text1"/>
          <w:sz w:val="24"/>
          <w:szCs w:val="24"/>
          <w:highlight w:val="none"/>
          <w14:textFill>
            <w14:solidFill>
              <w14:schemeClr w14:val="tx1"/>
            </w14:solidFill>
          </w14:textFill>
        </w:rPr>
        <w:t>双方</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工作人员利用职务</w:t>
      </w:r>
      <w:r>
        <w:rPr>
          <w:rFonts w:hint="eastAsia" w:ascii="Times New Roman" w:hAnsi="Times New Roman" w:eastAsia="仿宋" w:cs="仿宋"/>
          <w:bCs/>
          <w:color w:val="000000" w:themeColor="text1"/>
          <w:sz w:val="24"/>
          <w:szCs w:val="24"/>
          <w:highlight w:val="none"/>
          <w14:textFill>
            <w14:solidFill>
              <w14:schemeClr w14:val="tx1"/>
            </w14:solidFill>
          </w14:textFill>
        </w:rPr>
        <w:t>或工作中</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的便利，索取他人财物或者非法收受他人财物，为他人谋取利益，</w:t>
      </w:r>
      <w:r>
        <w:rPr>
          <w:rFonts w:hint="eastAsia" w:ascii="Times New Roman" w:hAnsi="Times New Roman" w:eastAsia="仿宋" w:cs="仿宋"/>
          <w:bCs/>
          <w:color w:val="000000" w:themeColor="text1"/>
          <w:sz w:val="24"/>
          <w:szCs w:val="24"/>
          <w:highlight w:val="none"/>
          <w14:textFill>
            <w14:solidFill>
              <w14:schemeClr w14:val="tx1"/>
            </w14:solidFill>
          </w14:textFill>
        </w:rPr>
        <w:t>以及</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乙方采用财物或者其他手段贿赂甲方人员以谋取交易机会或者竞争优势</w:t>
      </w:r>
      <w:r>
        <w:rPr>
          <w:rFonts w:hint="eastAsia" w:ascii="Times New Roman" w:hAnsi="Times New Roman" w:eastAsia="仿宋" w:cs="仿宋"/>
          <w:bCs/>
          <w:color w:val="000000" w:themeColor="text1"/>
          <w:sz w:val="24"/>
          <w:szCs w:val="24"/>
          <w:highlight w:val="none"/>
          <w14:textFill>
            <w14:solidFill>
              <w14:schemeClr w14:val="tx1"/>
            </w14:solidFill>
          </w14:textFill>
        </w:rPr>
        <w:t>等行为</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，具体</w:t>
      </w:r>
      <w:r>
        <w:rPr>
          <w:rFonts w:hint="eastAsia" w:ascii="Times New Roman" w:hAnsi="Times New Roman" w:eastAsia="仿宋" w:cs="仿宋"/>
          <w:bCs/>
          <w:color w:val="000000" w:themeColor="text1"/>
          <w:sz w:val="24"/>
          <w:szCs w:val="24"/>
          <w:highlight w:val="none"/>
          <w14:textFill>
            <w14:solidFill>
              <w14:schemeClr w14:val="tx1"/>
            </w14:solidFill>
          </w14:textFill>
        </w:rPr>
        <w:t>行为的认定以</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检察机关或纪检监察</w:t>
      </w:r>
      <w:r>
        <w:rPr>
          <w:rFonts w:hint="eastAsia" w:ascii="Times New Roman" w:hAnsi="Times New Roman" w:eastAsia="仿宋" w:cs="仿宋"/>
          <w:bCs/>
          <w:color w:val="000000" w:themeColor="text1"/>
          <w:sz w:val="24"/>
          <w:szCs w:val="24"/>
          <w:highlight w:val="none"/>
          <w14:textFill>
            <w14:solidFill>
              <w14:schemeClr w14:val="tx1"/>
            </w14:solidFill>
          </w14:textFill>
        </w:rPr>
        <w:t>机关</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的</w:t>
      </w:r>
      <w:r>
        <w:rPr>
          <w:rFonts w:hint="eastAsia" w:ascii="Times New Roman" w:hAnsi="Times New Roman" w:eastAsia="仿宋" w:cs="仿宋"/>
          <w:bCs/>
          <w:color w:val="000000" w:themeColor="text1"/>
          <w:sz w:val="24"/>
          <w:szCs w:val="24"/>
          <w:highlight w:val="none"/>
          <w14:textFill>
            <w14:solidFill>
              <w14:schemeClr w14:val="tx1"/>
            </w14:solidFill>
          </w14:textFill>
        </w:rPr>
        <w:t>意见为准</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Cs/>
          <w:color w:val="000000" w:themeColor="text1"/>
          <w:sz w:val="24"/>
          <w:szCs w:val="24"/>
          <w:highlight w:val="none"/>
          <w:lang w:val="zh-CN"/>
          <w14:textFill>
            <w14:solidFill>
              <w14:schemeClr w14:val="tx1"/>
            </w14:solidFill>
          </w14:textFill>
        </w:rPr>
      </w:pP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二、甲方</w:t>
      </w:r>
      <w:r>
        <w:rPr>
          <w:rFonts w:hint="eastAsia" w:ascii="Times New Roman" w:hAnsi="Times New Roman" w:eastAsia="仿宋" w:cs="仿宋"/>
          <w:bCs/>
          <w:color w:val="000000" w:themeColor="text1"/>
          <w:sz w:val="24"/>
          <w:szCs w:val="24"/>
          <w:highlight w:val="none"/>
          <w14:textFill>
            <w14:solidFill>
              <w14:schemeClr w14:val="tx1"/>
            </w14:solidFill>
          </w14:textFill>
        </w:rPr>
        <w:t>严禁己方工作</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人员向乙方索取</w:t>
      </w:r>
      <w:r>
        <w:rPr>
          <w:rFonts w:hint="eastAsia" w:ascii="Times New Roman" w:hAnsi="Times New Roman" w:eastAsia="仿宋" w:cs="仿宋"/>
          <w:bCs/>
          <w:color w:val="000000" w:themeColor="text1"/>
          <w:sz w:val="24"/>
          <w:szCs w:val="24"/>
          <w:highlight w:val="none"/>
          <w14:textFill>
            <w14:solidFill>
              <w14:schemeClr w14:val="tx1"/>
            </w14:solidFill>
          </w14:textFill>
        </w:rPr>
        <w:t>贿赂</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w:t>
      </w:r>
      <w:r>
        <w:rPr>
          <w:rFonts w:hint="eastAsia" w:ascii="Times New Roman" w:hAnsi="Times New Roman" w:eastAsia="仿宋" w:cs="仿宋"/>
          <w:bCs/>
          <w:color w:val="000000" w:themeColor="text1"/>
          <w:sz w:val="24"/>
          <w:szCs w:val="24"/>
          <w:highlight w:val="none"/>
          <w14:textFill>
            <w14:solidFill>
              <w14:schemeClr w14:val="tx1"/>
            </w14:solidFill>
          </w14:textFill>
        </w:rPr>
        <w:t>乙方在收到索贿要求时应明确拒绝并及时举报，并有配合甲方或其上级机关调查的义务</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，乙方不配合调查的，将视为违反</w:t>
      </w:r>
      <w:r>
        <w:rPr>
          <w:rFonts w:hint="eastAsia" w:ascii="Times New Roman" w:hAnsi="Times New Roman" w:eastAsia="仿宋" w:cs="仿宋"/>
          <w:bCs/>
          <w:color w:val="000000" w:themeColor="text1"/>
          <w:sz w:val="24"/>
          <w:szCs w:val="24"/>
          <w:highlight w:val="none"/>
          <w14:textFill>
            <w14:solidFill>
              <w14:schemeClr w14:val="tx1"/>
            </w14:solidFill>
          </w14:textFill>
        </w:rPr>
        <w:t>本</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协议。</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Cs/>
          <w:color w:val="000000" w:themeColor="text1"/>
          <w:sz w:val="24"/>
          <w:szCs w:val="24"/>
          <w:highlight w:val="none"/>
          <w14:textFill>
            <w14:solidFill>
              <w14:schemeClr w14:val="tx1"/>
            </w14:solidFill>
          </w14:textFill>
        </w:rPr>
      </w:pP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三、</w:t>
      </w:r>
      <w:r>
        <w:rPr>
          <w:rFonts w:hint="eastAsia" w:ascii="Times New Roman" w:hAnsi="Times New Roman" w:eastAsia="仿宋" w:cs="仿宋"/>
          <w:bCs/>
          <w:color w:val="000000" w:themeColor="text1"/>
          <w:sz w:val="24"/>
          <w:szCs w:val="24"/>
          <w:highlight w:val="none"/>
          <w14:textFill>
            <w14:solidFill>
              <w14:schemeClr w14:val="tx1"/>
            </w14:solidFill>
          </w14:textFill>
        </w:rPr>
        <w:t>乙方或其工作人员不得向甲方人员赠送礼品礼金、提供宴请、娱乐活动或与合同履行无关的服务与便利，不得为甲方单位和个人购置或提供通讯、交通工具或办公用品（合同另有约定的除外），不得为甲方及其工作人员报销应由甲方单位或个人支付的费用等可能影响公正廉洁履职的财物或服务。</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Cs/>
          <w:color w:val="000000" w:themeColor="text1"/>
          <w:sz w:val="24"/>
          <w:szCs w:val="24"/>
          <w:highlight w:val="none"/>
          <w14:textFill>
            <w14:solidFill>
              <w14:schemeClr w14:val="tx1"/>
            </w14:solidFill>
          </w14:textFill>
        </w:rPr>
      </w:pPr>
      <w:r>
        <w:rPr>
          <w:rFonts w:hint="eastAsia" w:ascii="Times New Roman" w:hAnsi="Times New Roman" w:eastAsia="仿宋" w:cs="仿宋"/>
          <w:bCs/>
          <w:color w:val="000000" w:themeColor="text1"/>
          <w:sz w:val="24"/>
          <w:szCs w:val="24"/>
          <w:highlight w:val="none"/>
          <w14:textFill>
            <w14:solidFill>
              <w14:schemeClr w14:val="tx1"/>
            </w14:solidFill>
          </w14:textFill>
        </w:rPr>
        <w:t xml:space="preserve">四、乙方应严格约束参与合同履行的己方工作人员，严格履行人员审核、教育、管理、监督的职责，积极配合响应甲方针对合同履行情况开展的监督检查和整改要求。 </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Cs/>
          <w:color w:val="000000" w:themeColor="text1"/>
          <w:sz w:val="24"/>
          <w:szCs w:val="24"/>
          <w:highlight w:val="none"/>
          <w14:textFill>
            <w14:solidFill>
              <w14:schemeClr w14:val="tx1"/>
            </w14:solidFill>
          </w14:textFill>
        </w:rPr>
      </w:pPr>
      <w:r>
        <w:rPr>
          <w:rFonts w:hint="eastAsia" w:ascii="Times New Roman" w:hAnsi="Times New Roman" w:eastAsia="仿宋" w:cs="仿宋"/>
          <w:bCs/>
          <w:color w:val="000000" w:themeColor="text1"/>
          <w:sz w:val="24"/>
          <w:szCs w:val="24"/>
          <w:highlight w:val="none"/>
          <w14:textFill>
            <w14:solidFill>
              <w14:schemeClr w14:val="tx1"/>
            </w14:solidFill>
          </w14:textFill>
        </w:rPr>
        <w:t>五、乙方或其工作人员不得在履行合同过程中利用职务或工作便利索取、接受与履行合同相关的第三方提供的可能影响公正廉洁履职的财物或服务。</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Cs/>
          <w:color w:val="000000" w:themeColor="text1"/>
          <w:sz w:val="24"/>
          <w:szCs w:val="24"/>
          <w:highlight w:val="none"/>
          <w:lang w:val="zh-CN"/>
          <w14:textFill>
            <w14:solidFill>
              <w14:schemeClr w14:val="tx1"/>
            </w14:solidFill>
          </w14:textFill>
        </w:rPr>
      </w:pPr>
      <w:r>
        <w:rPr>
          <w:rFonts w:hint="eastAsia" w:ascii="Times New Roman" w:hAnsi="Times New Roman" w:eastAsia="仿宋" w:cs="仿宋"/>
          <w:bCs/>
          <w:color w:val="000000" w:themeColor="text1"/>
          <w:sz w:val="24"/>
          <w:szCs w:val="24"/>
          <w:highlight w:val="none"/>
          <w14:textFill>
            <w14:solidFill>
              <w14:schemeClr w14:val="tx1"/>
            </w14:solidFill>
          </w14:textFill>
        </w:rPr>
        <w:t>六、</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乙方或</w:t>
      </w:r>
      <w:r>
        <w:rPr>
          <w:rFonts w:hint="eastAsia" w:ascii="Times New Roman" w:hAnsi="Times New Roman" w:eastAsia="仿宋" w:cs="仿宋"/>
          <w:bCs/>
          <w:color w:val="000000" w:themeColor="text1"/>
          <w:sz w:val="24"/>
          <w:szCs w:val="24"/>
          <w:highlight w:val="none"/>
          <w14:textFill>
            <w14:solidFill>
              <w14:schemeClr w14:val="tx1"/>
            </w14:solidFill>
          </w14:textFill>
        </w:rPr>
        <w:t>其</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工作人员</w:t>
      </w:r>
      <w:r>
        <w:rPr>
          <w:rFonts w:hint="eastAsia" w:ascii="Times New Roman" w:hAnsi="Times New Roman" w:eastAsia="仿宋" w:cs="仿宋"/>
          <w:bCs/>
          <w:color w:val="000000" w:themeColor="text1"/>
          <w:sz w:val="24"/>
          <w:szCs w:val="24"/>
          <w:highlight w:val="none"/>
          <w14:textFill>
            <w14:solidFill>
              <w14:schemeClr w14:val="tx1"/>
            </w14:solidFill>
          </w14:textFill>
        </w:rPr>
        <w:t>发生本协议第一条所述腐败行为</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，被</w:t>
      </w:r>
      <w:r>
        <w:rPr>
          <w:rFonts w:hint="eastAsia" w:ascii="Times New Roman" w:hAnsi="Times New Roman" w:eastAsia="仿宋" w:cs="仿宋"/>
          <w:bCs/>
          <w:color w:val="000000" w:themeColor="text1"/>
          <w:sz w:val="24"/>
          <w:szCs w:val="24"/>
          <w:highlight w:val="none"/>
          <w14:textFill>
            <w14:solidFill>
              <w14:schemeClr w14:val="tx1"/>
            </w14:solidFill>
          </w14:textFill>
        </w:rPr>
        <w:t>公安机关、</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检察机关、纪检监察机关立案查处的，甲方有权立即中止合同，由此导致甲方的损失以及发生的一切费用均由乙方承担。</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Cs/>
          <w:color w:val="000000" w:themeColor="text1"/>
          <w:sz w:val="24"/>
          <w:szCs w:val="24"/>
          <w:highlight w:val="none"/>
          <w:lang w:val="zh-CN"/>
          <w14:textFill>
            <w14:solidFill>
              <w14:schemeClr w14:val="tx1"/>
            </w14:solidFill>
          </w14:textFill>
        </w:rPr>
      </w:pPr>
      <w:r>
        <w:rPr>
          <w:rFonts w:hint="eastAsia" w:ascii="Times New Roman" w:hAnsi="Times New Roman" w:eastAsia="仿宋" w:cs="仿宋"/>
          <w:bCs/>
          <w:color w:val="000000" w:themeColor="text1"/>
          <w:sz w:val="24"/>
          <w:szCs w:val="24"/>
          <w:highlight w:val="none"/>
          <w14:textFill>
            <w14:solidFill>
              <w14:schemeClr w14:val="tx1"/>
            </w14:solidFill>
          </w14:textFill>
        </w:rPr>
        <w:t>七</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、乙方或</w:t>
      </w:r>
      <w:r>
        <w:rPr>
          <w:rFonts w:hint="eastAsia" w:ascii="Times New Roman" w:hAnsi="Times New Roman" w:eastAsia="仿宋" w:cs="仿宋"/>
          <w:bCs/>
          <w:color w:val="000000" w:themeColor="text1"/>
          <w:sz w:val="24"/>
          <w:szCs w:val="24"/>
          <w:highlight w:val="none"/>
          <w14:textFill>
            <w14:solidFill>
              <w14:schemeClr w14:val="tx1"/>
            </w14:solidFill>
          </w14:textFill>
        </w:rPr>
        <w:t>其</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工作人员</w:t>
      </w:r>
      <w:r>
        <w:rPr>
          <w:rFonts w:hint="eastAsia" w:ascii="Times New Roman" w:hAnsi="Times New Roman" w:eastAsia="仿宋" w:cs="仿宋"/>
          <w:bCs/>
          <w:color w:val="000000" w:themeColor="text1"/>
          <w:sz w:val="24"/>
          <w:szCs w:val="24"/>
          <w:highlight w:val="none"/>
          <w14:textFill>
            <w14:solidFill>
              <w14:schemeClr w14:val="tx1"/>
            </w14:solidFill>
          </w14:textFill>
        </w:rPr>
        <w:t>发生前述腐败行为</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，经</w:t>
      </w:r>
      <w:r>
        <w:rPr>
          <w:rFonts w:hint="eastAsia" w:ascii="Times New Roman" w:hAnsi="Times New Roman" w:eastAsia="仿宋" w:cs="仿宋"/>
          <w:bCs/>
          <w:color w:val="000000" w:themeColor="text1"/>
          <w:sz w:val="24"/>
          <w:szCs w:val="24"/>
          <w:highlight w:val="none"/>
          <w14:textFill>
            <w14:solidFill>
              <w14:schemeClr w14:val="tx1"/>
            </w14:solidFill>
          </w14:textFill>
        </w:rPr>
        <w:t>认定属实</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的，</w:t>
      </w:r>
      <w:r>
        <w:rPr>
          <w:rFonts w:hint="eastAsia" w:ascii="Times New Roman" w:hAnsi="Times New Roman" w:eastAsia="仿宋" w:cs="仿宋"/>
          <w:bCs/>
          <w:color w:val="000000" w:themeColor="text1"/>
          <w:sz w:val="24"/>
          <w:szCs w:val="24"/>
          <w:highlight w:val="none"/>
          <w14:textFill>
            <w14:solidFill>
              <w14:schemeClr w14:val="tx1"/>
            </w14:solidFill>
          </w14:textFill>
        </w:rPr>
        <w:t>甲方有权将该信息向广州市公共资源交易中心和广东政府采购智慧云平台予以通报并将乙方纳入广州市交通运输局采购负面记录企业名单，同时</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乙方需向甲方按合同金额支付相应违约金。其中：</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Cs/>
          <w:color w:val="000000" w:themeColor="text1"/>
          <w:sz w:val="24"/>
          <w:szCs w:val="24"/>
          <w:highlight w:val="none"/>
          <w:lang w:val="zh-CN"/>
          <w14:textFill>
            <w14:solidFill>
              <w14:schemeClr w14:val="tx1"/>
            </w14:solidFill>
          </w14:textFill>
        </w:rPr>
      </w:pP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1.金额</w:t>
      </w:r>
      <w:r>
        <w:rPr>
          <w:rFonts w:hint="eastAsia" w:ascii="Times New Roman" w:hAnsi="Times New Roman" w:eastAsia="仿宋" w:cs="仿宋"/>
          <w:bCs/>
          <w:color w:val="000000" w:themeColor="text1"/>
          <w:sz w:val="24"/>
          <w:szCs w:val="24"/>
          <w:highlight w:val="none"/>
          <w14:textFill>
            <w14:solidFill>
              <w14:schemeClr w14:val="tx1"/>
            </w14:solidFill>
          </w14:textFill>
        </w:rPr>
        <w:t>在</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100万元以下的合同，支付</w:t>
      </w:r>
      <w:r>
        <w:rPr>
          <w:rFonts w:hint="eastAsia" w:ascii="Times New Roman" w:hAnsi="Times New Roman" w:eastAsia="仿宋" w:cs="仿宋"/>
          <w:bCs/>
          <w:color w:val="000000" w:themeColor="text1"/>
          <w:sz w:val="24"/>
          <w:szCs w:val="24"/>
          <w:highlight w:val="none"/>
          <w14:textFill>
            <w14:solidFill>
              <w14:schemeClr w14:val="tx1"/>
            </w14:solidFill>
          </w14:textFill>
        </w:rPr>
        <w:t>总</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额20%的违约金；</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Cs/>
          <w:color w:val="000000" w:themeColor="text1"/>
          <w:sz w:val="24"/>
          <w:szCs w:val="24"/>
          <w:highlight w:val="none"/>
          <w:lang w:val="zh-CN"/>
          <w14:textFill>
            <w14:solidFill>
              <w14:schemeClr w14:val="tx1"/>
            </w14:solidFill>
          </w14:textFill>
        </w:rPr>
      </w:pP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2.金额</w:t>
      </w:r>
      <w:r>
        <w:rPr>
          <w:rFonts w:hint="eastAsia" w:ascii="Times New Roman" w:hAnsi="Times New Roman" w:eastAsia="仿宋" w:cs="仿宋"/>
          <w:bCs/>
          <w:color w:val="000000" w:themeColor="text1"/>
          <w:sz w:val="24"/>
          <w:szCs w:val="24"/>
          <w:highlight w:val="none"/>
          <w14:textFill>
            <w14:solidFill>
              <w14:schemeClr w14:val="tx1"/>
            </w14:solidFill>
          </w14:textFill>
        </w:rPr>
        <w:t>为</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100万-1000万元（含）的合同，</w:t>
      </w:r>
      <w:r>
        <w:rPr>
          <w:rFonts w:hint="eastAsia" w:ascii="Times New Roman" w:hAnsi="Times New Roman" w:eastAsia="仿宋" w:cs="仿宋"/>
          <w:bCs/>
          <w:color w:val="000000" w:themeColor="text1"/>
          <w:sz w:val="24"/>
          <w:szCs w:val="24"/>
          <w:highlight w:val="none"/>
          <w14:textFill>
            <w14:solidFill>
              <w14:schemeClr w14:val="tx1"/>
            </w14:solidFill>
          </w14:textFill>
        </w:rPr>
        <w:t>其中</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100万元按20%、超出100万元部分按15%</w:t>
      </w:r>
      <w:r>
        <w:rPr>
          <w:rFonts w:hint="eastAsia" w:ascii="Times New Roman" w:hAnsi="Times New Roman" w:eastAsia="仿宋" w:cs="仿宋"/>
          <w:bCs/>
          <w:color w:val="000000" w:themeColor="text1"/>
          <w:sz w:val="24"/>
          <w:szCs w:val="24"/>
          <w:highlight w:val="none"/>
          <w14:textFill>
            <w14:solidFill>
              <w14:schemeClr w14:val="tx1"/>
            </w14:solidFill>
          </w14:textFill>
        </w:rPr>
        <w:t>计算</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，累计支付违约金；</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Cs/>
          <w:color w:val="000000" w:themeColor="text1"/>
          <w:sz w:val="24"/>
          <w:szCs w:val="24"/>
          <w:highlight w:val="none"/>
          <w:lang w:val="zh-CN"/>
          <w14:textFill>
            <w14:solidFill>
              <w14:schemeClr w14:val="tx1"/>
            </w14:solidFill>
          </w14:textFill>
        </w:rPr>
      </w:pP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3.金额</w:t>
      </w:r>
      <w:r>
        <w:rPr>
          <w:rFonts w:hint="eastAsia" w:ascii="Times New Roman" w:hAnsi="Times New Roman" w:eastAsia="仿宋" w:cs="仿宋"/>
          <w:bCs/>
          <w:color w:val="000000" w:themeColor="text1"/>
          <w:sz w:val="24"/>
          <w:szCs w:val="24"/>
          <w:highlight w:val="none"/>
          <w14:textFill>
            <w14:solidFill>
              <w14:schemeClr w14:val="tx1"/>
            </w14:solidFill>
          </w14:textFill>
        </w:rPr>
        <w:t>在</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1000万元以上的合同，</w:t>
      </w:r>
      <w:r>
        <w:rPr>
          <w:rFonts w:hint="eastAsia" w:ascii="Times New Roman" w:hAnsi="Times New Roman" w:eastAsia="仿宋" w:cs="仿宋"/>
          <w:bCs/>
          <w:color w:val="000000" w:themeColor="text1"/>
          <w:sz w:val="24"/>
          <w:szCs w:val="24"/>
          <w:highlight w:val="none"/>
          <w14:textFill>
            <w14:solidFill>
              <w14:schemeClr w14:val="tx1"/>
            </w14:solidFill>
          </w14:textFill>
        </w:rPr>
        <w:t>其中</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100万元按20%、100万元以上-1000万元（含）</w:t>
      </w:r>
      <w:r>
        <w:rPr>
          <w:rFonts w:hint="eastAsia" w:ascii="Times New Roman" w:hAnsi="Times New Roman" w:eastAsia="仿宋" w:cs="仿宋"/>
          <w:bCs/>
          <w:color w:val="000000" w:themeColor="text1"/>
          <w:sz w:val="24"/>
          <w:szCs w:val="24"/>
          <w:highlight w:val="none"/>
          <w14:textFill>
            <w14:solidFill>
              <w14:schemeClr w14:val="tx1"/>
            </w14:solidFill>
          </w14:textFill>
        </w:rPr>
        <w:t>部分</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按15%、超出1000万元部分按10%</w:t>
      </w:r>
      <w:r>
        <w:rPr>
          <w:rFonts w:hint="eastAsia" w:ascii="Times New Roman" w:hAnsi="Times New Roman" w:eastAsia="仿宋" w:cs="仿宋"/>
          <w:bCs/>
          <w:color w:val="000000" w:themeColor="text1"/>
          <w:sz w:val="24"/>
          <w:szCs w:val="24"/>
          <w:highlight w:val="none"/>
          <w14:textFill>
            <w14:solidFill>
              <w14:schemeClr w14:val="tx1"/>
            </w14:solidFill>
          </w14:textFill>
        </w:rPr>
        <w:t>计算</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，累计支付违约金；</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Cs/>
          <w:color w:val="000000" w:themeColor="text1"/>
          <w:sz w:val="24"/>
          <w:szCs w:val="24"/>
          <w:highlight w:val="none"/>
          <w14:textFill>
            <w14:solidFill>
              <w14:schemeClr w14:val="tx1"/>
            </w14:solidFill>
          </w14:textFill>
        </w:rPr>
      </w:pPr>
      <w:r>
        <w:rPr>
          <w:rFonts w:hint="eastAsia" w:ascii="Times New Roman" w:hAnsi="Times New Roman" w:eastAsia="仿宋" w:cs="仿宋"/>
          <w:bCs/>
          <w:color w:val="000000" w:themeColor="text1"/>
          <w:sz w:val="24"/>
          <w:szCs w:val="24"/>
          <w:highlight w:val="none"/>
          <w14:textFill>
            <w14:solidFill>
              <w14:schemeClr w14:val="tx1"/>
            </w14:solidFill>
          </w14:textFill>
        </w:rPr>
        <w:t>4.属重复发生的，应另额外支付</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合同金额</w:t>
      </w:r>
      <w:r>
        <w:rPr>
          <w:rFonts w:hint="eastAsia" w:ascii="Times New Roman" w:hAnsi="Times New Roman" w:eastAsia="仿宋" w:cs="仿宋"/>
          <w:bCs/>
          <w:color w:val="000000" w:themeColor="text1"/>
          <w:sz w:val="24"/>
          <w:szCs w:val="24"/>
          <w:highlight w:val="none"/>
          <w14:textFill>
            <w14:solidFill>
              <w14:schemeClr w14:val="tx1"/>
            </w14:solidFill>
          </w14:textFill>
        </w:rPr>
        <w:t>10%的违约金。</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Cs/>
          <w:color w:val="000000" w:themeColor="text1"/>
          <w:sz w:val="24"/>
          <w:szCs w:val="24"/>
          <w:highlight w:val="none"/>
          <w14:textFill>
            <w14:solidFill>
              <w14:schemeClr w14:val="tx1"/>
            </w14:solidFill>
          </w14:textFill>
        </w:rPr>
      </w:pPr>
      <w:r>
        <w:rPr>
          <w:rFonts w:hint="eastAsia" w:ascii="Times New Roman" w:hAnsi="Times New Roman" w:eastAsia="仿宋" w:cs="仿宋"/>
          <w:bCs/>
          <w:color w:val="000000" w:themeColor="text1"/>
          <w:sz w:val="24"/>
          <w:szCs w:val="24"/>
          <w:highlight w:val="none"/>
          <w14:textFill>
            <w14:solidFill>
              <w14:schemeClr w14:val="tx1"/>
            </w14:solidFill>
          </w14:textFill>
        </w:rPr>
        <w:t>八</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、乙方</w:t>
      </w:r>
      <w:r>
        <w:rPr>
          <w:rFonts w:hint="eastAsia" w:ascii="Times New Roman" w:hAnsi="Times New Roman" w:eastAsia="仿宋" w:cs="仿宋"/>
          <w:bCs/>
          <w:color w:val="000000" w:themeColor="text1"/>
          <w:sz w:val="24"/>
          <w:szCs w:val="24"/>
          <w:highlight w:val="none"/>
          <w14:textFill>
            <w14:solidFill>
              <w14:schemeClr w14:val="tx1"/>
            </w14:solidFill>
          </w14:textFill>
        </w:rPr>
        <w:t>为履行合同而配备、派遣、临时聘用、转包等的人员，均视为乙方工作人员，乙方应对上述人员在履行合同过程中的行为负责</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w:t>
      </w:r>
      <w:r>
        <w:rPr>
          <w:rFonts w:hint="eastAsia" w:ascii="Times New Roman" w:hAnsi="Times New Roman" w:eastAsia="仿宋" w:cs="仿宋"/>
          <w:bCs/>
          <w:color w:val="000000" w:themeColor="text1"/>
          <w:sz w:val="24"/>
          <w:szCs w:val="24"/>
          <w:highlight w:val="none"/>
          <w14:textFill>
            <w14:solidFill>
              <w14:schemeClr w14:val="tx1"/>
            </w14:solidFill>
          </w14:textFill>
        </w:rPr>
        <w:t>挂靠行为不被甲方认可，且乙方不得以被挂靠为由改变合同履行的义务主体。</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Cs/>
          <w:color w:val="000000" w:themeColor="text1"/>
          <w:sz w:val="24"/>
          <w:szCs w:val="24"/>
          <w:highlight w:val="none"/>
          <w14:textFill>
            <w14:solidFill>
              <w14:schemeClr w14:val="tx1"/>
            </w14:solidFill>
          </w14:textFill>
        </w:rPr>
      </w:pPr>
      <w:r>
        <w:rPr>
          <w:rFonts w:hint="eastAsia" w:ascii="Times New Roman" w:hAnsi="Times New Roman" w:eastAsia="仿宋" w:cs="仿宋"/>
          <w:bCs/>
          <w:color w:val="000000" w:themeColor="text1"/>
          <w:sz w:val="24"/>
          <w:szCs w:val="24"/>
          <w:highlight w:val="none"/>
          <w14:textFill>
            <w14:solidFill>
              <w14:schemeClr w14:val="tx1"/>
            </w14:solidFill>
          </w14:textFill>
        </w:rPr>
        <w:t>九</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、甲方设定专线接受乙方</w:t>
      </w:r>
      <w:r>
        <w:rPr>
          <w:rFonts w:hint="eastAsia" w:ascii="Times New Roman" w:hAnsi="Times New Roman" w:eastAsia="仿宋" w:cs="仿宋"/>
          <w:bCs/>
          <w:color w:val="000000" w:themeColor="text1"/>
          <w:sz w:val="24"/>
          <w:szCs w:val="24"/>
          <w:highlight w:val="none"/>
          <w14:textFill>
            <w14:solidFill>
              <w14:schemeClr w14:val="tx1"/>
            </w14:solidFill>
          </w14:textFill>
        </w:rPr>
        <w:t>举报（</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电话：</w:t>
      </w:r>
      <w:r>
        <w:rPr>
          <w:rFonts w:hint="eastAsia" w:ascii="Times New Roman" w:hAnsi="Times New Roman" w:eastAsia="仿宋" w:cs="仿宋"/>
          <w:bCs/>
          <w:color w:val="000000" w:themeColor="text1"/>
          <w:sz w:val="24"/>
          <w:szCs w:val="24"/>
          <w:highlight w:val="none"/>
          <w:u w:val="single"/>
          <w:lang w:val="en-US" w:eastAsia="zh-CN"/>
          <w14:textFill>
            <w14:solidFill>
              <w14:schemeClr w14:val="tx1"/>
            </w14:solidFill>
          </w14:textFill>
        </w:rPr>
        <w:t xml:space="preserve">      </w:t>
      </w:r>
      <w:r>
        <w:rPr>
          <w:rFonts w:hint="eastAsia" w:ascii="Times New Roman" w:hAnsi="Times New Roman" w:eastAsia="仿宋" w:cs="仿宋"/>
          <w:bCs/>
          <w:color w:val="000000" w:themeColor="text1"/>
          <w:sz w:val="24"/>
          <w:szCs w:val="24"/>
          <w:highlight w:val="none"/>
          <w14:textFill>
            <w14:solidFill>
              <w14:schemeClr w14:val="tx1"/>
            </w14:solidFill>
          </w14:textFill>
        </w:rPr>
        <w:t>），乙方应及时向甲方通报合同履行过程中发现的腐败行为，乙方主动发现己方工作人员腐败行为并及时纠正，未造成重大损失和严重影响的，可与甲方协商减免支付违约金。</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Cs/>
          <w:color w:val="000000" w:themeColor="text1"/>
          <w:sz w:val="24"/>
          <w:szCs w:val="24"/>
          <w:highlight w:val="none"/>
          <w14:textFill>
            <w14:solidFill>
              <w14:schemeClr w14:val="tx1"/>
            </w14:solidFill>
          </w14:textFill>
        </w:rPr>
      </w:pPr>
      <w:r>
        <w:rPr>
          <w:rFonts w:hint="eastAsia" w:ascii="Times New Roman" w:hAnsi="Times New Roman" w:eastAsia="仿宋" w:cs="仿宋"/>
          <w:bCs/>
          <w:color w:val="000000" w:themeColor="text1"/>
          <w:sz w:val="24"/>
          <w:szCs w:val="24"/>
          <w:highlight w:val="none"/>
          <w14:textFill>
            <w14:solidFill>
              <w14:schemeClr w14:val="tx1"/>
            </w14:solidFill>
          </w14:textFill>
        </w:rPr>
        <w:t>十</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、甲乙双方</w:t>
      </w:r>
      <w:r>
        <w:rPr>
          <w:rFonts w:hint="eastAsia" w:ascii="Times New Roman" w:hAnsi="Times New Roman" w:eastAsia="仿宋" w:cs="仿宋"/>
          <w:bCs/>
          <w:color w:val="000000" w:themeColor="text1"/>
          <w:sz w:val="24"/>
          <w:szCs w:val="24"/>
          <w:highlight w:val="none"/>
          <w14:textFill>
            <w14:solidFill>
              <w14:schemeClr w14:val="tx1"/>
            </w14:solidFill>
          </w14:textFill>
        </w:rPr>
        <w:t>提前</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解除合同关系时，本协议自动失效。</w:t>
      </w:r>
      <w:r>
        <w:rPr>
          <w:rFonts w:hint="eastAsia" w:ascii="Times New Roman" w:hAnsi="Times New Roman" w:eastAsia="仿宋" w:cs="仿宋"/>
          <w:bCs/>
          <w:color w:val="000000" w:themeColor="text1"/>
          <w:sz w:val="24"/>
          <w:szCs w:val="24"/>
          <w:highlight w:val="none"/>
          <w14:textFill>
            <w14:solidFill>
              <w14:schemeClr w14:val="tx1"/>
            </w14:solidFill>
          </w14:textFill>
        </w:rPr>
        <w:t>合同履行完毕后发现在合同履行过程中乙方及其工作人员存在腐败行为的，甲方有权以该行为对乙方予以追诉。</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Cs/>
          <w:color w:val="000000" w:themeColor="text1"/>
          <w:sz w:val="24"/>
          <w:szCs w:val="24"/>
          <w:highlight w:val="none"/>
          <w:lang w:val="zh-CN"/>
          <w14:textFill>
            <w14:solidFill>
              <w14:schemeClr w14:val="tx1"/>
            </w14:solidFill>
          </w14:textFill>
        </w:rPr>
      </w:pPr>
      <w:r>
        <w:rPr>
          <w:rFonts w:hint="eastAsia" w:ascii="Times New Roman" w:hAnsi="Times New Roman" w:eastAsia="仿宋" w:cs="仿宋"/>
          <w:bCs/>
          <w:color w:val="000000" w:themeColor="text1"/>
          <w:sz w:val="24"/>
          <w:szCs w:val="24"/>
          <w:highlight w:val="none"/>
          <w14:textFill>
            <w14:solidFill>
              <w14:schemeClr w14:val="tx1"/>
            </w14:solidFill>
          </w14:textFill>
        </w:rPr>
        <w:t>十一</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、本协议作为合同的补充，与合同具有同等效力，其他事宜按合同约定执行。</w:t>
      </w:r>
    </w:p>
    <w:p>
      <w:pPr>
        <w:pStyle w:val="16"/>
        <w:widowControl w:val="0"/>
        <w:kinsoku w:val="0"/>
        <w:overflowPunct w:val="0"/>
        <w:autoSpaceDE w:val="0"/>
        <w:autoSpaceDN w:val="0"/>
        <w:adjustRightInd w:val="0"/>
        <w:snapToGrid w:val="0"/>
        <w:spacing w:after="0" w:afterAutospacing="0" w:line="240" w:lineRule="auto"/>
        <w:ind w:firstLine="480" w:firstLineChars="200"/>
        <w:rPr>
          <w:rFonts w:hint="eastAsia" w:ascii="Times New Roman" w:hAnsi="Times New Roman" w:eastAsia="仿宋" w:cs="仿宋"/>
          <w:bCs/>
          <w:color w:val="000000" w:themeColor="text1"/>
          <w:sz w:val="24"/>
          <w:szCs w:val="24"/>
          <w:highlight w:val="none"/>
          <w:lang w:val="zh-CN"/>
          <w14:textFill>
            <w14:solidFill>
              <w14:schemeClr w14:val="tx1"/>
            </w14:solidFill>
          </w14:textFill>
        </w:rPr>
      </w:pPr>
      <w:r>
        <w:rPr>
          <w:rFonts w:hint="eastAsia" w:ascii="Times New Roman" w:hAnsi="Times New Roman" w:eastAsia="仿宋" w:cs="仿宋"/>
          <w:bCs/>
          <w:color w:val="000000" w:themeColor="text1"/>
          <w:sz w:val="24"/>
          <w:szCs w:val="24"/>
          <w:highlight w:val="none"/>
          <w14:textFill>
            <w14:solidFill>
              <w14:schemeClr w14:val="tx1"/>
            </w14:solidFill>
          </w14:textFill>
        </w:rPr>
        <w:t>十二、</w:t>
      </w:r>
      <w:r>
        <w:rPr>
          <w:rFonts w:hint="eastAsia" w:ascii="Times New Roman" w:hAnsi="Times New Roman" w:eastAsia="仿宋" w:cs="仿宋"/>
          <w:bCs/>
          <w:color w:val="000000" w:themeColor="text1"/>
          <w:sz w:val="24"/>
          <w:szCs w:val="24"/>
          <w:highlight w:val="none"/>
          <w:lang w:val="zh-CN"/>
          <w14:textFill>
            <w14:solidFill>
              <w14:schemeClr w14:val="tx1"/>
            </w14:solidFill>
          </w14:textFill>
        </w:rPr>
        <w:t>本协议自双方法定代表人或授权代表签字且盖章之日起生效。</w:t>
      </w:r>
    </w:p>
    <w:p>
      <w:pPr>
        <w:pStyle w:val="16"/>
        <w:widowControl w:val="0"/>
        <w:kinsoku w:val="0"/>
        <w:overflowPunct w:val="0"/>
        <w:autoSpaceDE w:val="0"/>
        <w:autoSpaceDN w:val="0"/>
        <w:adjustRightInd w:val="0"/>
        <w:snapToGrid w:val="0"/>
        <w:spacing w:after="0" w:afterAutospacing="0" w:line="240" w:lineRule="auto"/>
        <w:ind w:firstLine="0"/>
        <w:rPr>
          <w:rFonts w:hint="eastAsia" w:ascii="Times New Roman" w:hAnsi="Times New Roman" w:eastAsia="仿宋" w:cs="仿宋"/>
          <w:bCs/>
          <w:color w:val="000000" w:themeColor="text1"/>
          <w:sz w:val="24"/>
          <w:szCs w:val="24"/>
          <w:highlight w:val="none"/>
          <w:lang w:val="zh-CN"/>
          <w14:textFill>
            <w14:solidFill>
              <w14:schemeClr w14:val="tx1"/>
            </w14:solidFill>
          </w14:textFill>
        </w:rPr>
      </w:pPr>
    </w:p>
    <w:p>
      <w:pPr>
        <w:pStyle w:val="16"/>
        <w:kinsoku w:val="0"/>
        <w:overflowPunct w:val="0"/>
        <w:autoSpaceDE w:val="0"/>
        <w:autoSpaceDN w:val="0"/>
        <w:adjustRightInd w:val="0"/>
        <w:snapToGrid w:val="0"/>
        <w:spacing w:line="240" w:lineRule="auto"/>
        <w:ind w:left="0" w:firstLine="0" w:firstLineChars="0"/>
        <w:jc w:val="both"/>
        <w:rPr>
          <w:rFonts w:hint="eastAsia" w:ascii="Times New Roman" w:hAnsi="Times New Roman" w:eastAsia="仿宋" w:cs="仿宋"/>
          <w:bCs/>
          <w:color w:val="000000" w:themeColor="text1"/>
          <w:sz w:val="24"/>
          <w:szCs w:val="24"/>
          <w:highlight w:val="none"/>
          <w14:textFill>
            <w14:solidFill>
              <w14:schemeClr w14:val="tx1"/>
            </w14:solidFill>
          </w14:textFill>
        </w:rPr>
      </w:pPr>
      <w:r>
        <w:rPr>
          <w:rFonts w:hint="eastAsia" w:ascii="Times New Roman" w:hAnsi="Times New Roman" w:eastAsia="仿宋" w:cs="仿宋"/>
          <w:bCs/>
          <w:color w:val="000000" w:themeColor="text1"/>
          <w:sz w:val="24"/>
          <w:szCs w:val="24"/>
          <w:highlight w:val="none"/>
          <w14:textFill>
            <w14:solidFill>
              <w14:schemeClr w14:val="tx1"/>
            </w14:solidFill>
          </w14:textFill>
        </w:rPr>
        <w:t xml:space="preserve">甲方(盖章)：    </w:t>
      </w:r>
      <w:r>
        <w:rPr>
          <w:rFonts w:hint="eastAsia" w:ascii="Times New Roman" w:hAnsi="Times New Roman" w:eastAsia="仿宋" w:cs="仿宋"/>
          <w:bCs/>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仿宋" w:cs="仿宋"/>
          <w:bCs/>
          <w:color w:val="000000" w:themeColor="text1"/>
          <w:sz w:val="24"/>
          <w:szCs w:val="24"/>
          <w:highlight w:val="none"/>
          <w14:textFill>
            <w14:solidFill>
              <w14:schemeClr w14:val="tx1"/>
            </w14:solidFill>
          </w14:textFill>
        </w:rPr>
        <w:t>乙方(盖章)：</w:t>
      </w:r>
    </w:p>
    <w:p>
      <w:pPr>
        <w:pStyle w:val="16"/>
        <w:kinsoku w:val="0"/>
        <w:overflowPunct w:val="0"/>
        <w:autoSpaceDE w:val="0"/>
        <w:autoSpaceDN w:val="0"/>
        <w:adjustRightInd w:val="0"/>
        <w:snapToGrid w:val="0"/>
        <w:spacing w:line="240" w:lineRule="auto"/>
        <w:ind w:left="0" w:firstLine="0" w:firstLineChars="0"/>
        <w:jc w:val="both"/>
        <w:rPr>
          <w:rFonts w:hint="eastAsia" w:ascii="Times New Roman" w:hAnsi="Times New Roman" w:eastAsia="仿宋" w:cs="仿宋"/>
          <w:bCs/>
          <w:color w:val="000000" w:themeColor="text1"/>
          <w:sz w:val="24"/>
          <w:szCs w:val="24"/>
          <w:highlight w:val="none"/>
          <w14:textFill>
            <w14:solidFill>
              <w14:schemeClr w14:val="tx1"/>
            </w14:solidFill>
          </w14:textFill>
        </w:rPr>
      </w:pPr>
      <w:r>
        <w:rPr>
          <w:rFonts w:hint="eastAsia" w:ascii="Times New Roman" w:hAnsi="Times New Roman" w:eastAsia="仿宋" w:cs="仿宋"/>
          <w:bCs/>
          <w:color w:val="000000" w:themeColor="text1"/>
          <w:sz w:val="24"/>
          <w:szCs w:val="24"/>
          <w:highlight w:val="none"/>
          <w14:textFill>
            <w14:solidFill>
              <w14:schemeClr w14:val="tx1"/>
            </w14:solidFill>
          </w14:textFill>
        </w:rPr>
        <w:t>甲方代表签字：　　　　            乙方代表签字：</w:t>
      </w:r>
    </w:p>
    <w:p>
      <w:pPr>
        <w:pStyle w:val="16"/>
        <w:widowControl w:val="0"/>
        <w:kinsoku w:val="0"/>
        <w:overflowPunct w:val="0"/>
        <w:autoSpaceDE w:val="0"/>
        <w:autoSpaceDN w:val="0"/>
        <w:adjustRightInd w:val="0"/>
        <w:snapToGrid w:val="0"/>
        <w:spacing w:line="240" w:lineRule="auto"/>
        <w:jc w:val="both"/>
        <w:rPr>
          <w:rFonts w:hint="eastAsia" w:ascii="Times New Roman" w:hAnsi="Times New Roman" w:eastAsia="仿宋" w:cs="仿宋"/>
          <w:bCs/>
          <w:color w:val="000000" w:themeColor="text1"/>
          <w:sz w:val="28"/>
          <w:szCs w:val="28"/>
          <w:highlight w:val="none"/>
          <w14:textFill>
            <w14:solidFill>
              <w14:schemeClr w14:val="tx1"/>
            </w14:solidFill>
          </w14:textFill>
        </w:rPr>
      </w:pPr>
      <w:r>
        <w:rPr>
          <w:rFonts w:hint="eastAsia" w:ascii="Times New Roman" w:hAnsi="Times New Roman" w:eastAsia="仿宋" w:cs="仿宋"/>
          <w:bCs/>
          <w:color w:val="000000" w:themeColor="text1"/>
          <w:sz w:val="24"/>
          <w:szCs w:val="24"/>
          <w:highlight w:val="none"/>
          <w14:textFill>
            <w14:solidFill>
              <w14:schemeClr w14:val="tx1"/>
            </w14:solidFill>
          </w14:textFill>
        </w:rPr>
        <w:t>签约日期：</w:t>
      </w:r>
      <w:r>
        <w:rPr>
          <w:rFonts w:hint="eastAsia" w:ascii="Times New Roman" w:hAnsi="Times New Roman" w:eastAsia="仿宋" w:cs="仿宋"/>
          <w:bCs/>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仿宋" w:cs="仿宋"/>
          <w:bCs/>
          <w:color w:val="000000" w:themeColor="text1"/>
          <w:sz w:val="24"/>
          <w:szCs w:val="24"/>
          <w:highlight w:val="none"/>
          <w14:textFill>
            <w14:solidFill>
              <w14:schemeClr w14:val="tx1"/>
            </w14:solidFill>
          </w14:textFill>
        </w:rPr>
        <w:t>年  月  日　　　　 签约日期：</w:t>
      </w:r>
      <w:r>
        <w:rPr>
          <w:rFonts w:hint="eastAsia" w:ascii="Times New Roman" w:hAnsi="Times New Roman" w:eastAsia="仿宋" w:cs="仿宋"/>
          <w:bCs/>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仿宋" w:cs="仿宋"/>
          <w:bCs/>
          <w:color w:val="000000" w:themeColor="text1"/>
          <w:sz w:val="24"/>
          <w:szCs w:val="24"/>
          <w:highlight w:val="none"/>
          <w14:textFill>
            <w14:solidFill>
              <w14:schemeClr w14:val="tx1"/>
            </w14:solidFill>
          </w14:textFill>
        </w:rPr>
        <w:t>年  月  日</w:t>
      </w:r>
    </w:p>
    <w:p>
      <w:pPr>
        <w:widowControl/>
        <w:spacing w:line="240" w:lineRule="auto"/>
        <w:jc w:val="left"/>
        <w:outlineLvl w:val="9"/>
        <w:rPr>
          <w:rFonts w:hint="eastAsia" w:ascii="Times New Roman" w:hAnsi="Times New Roman" w:eastAsia="仿宋" w:cs="仿宋"/>
          <w:b/>
          <w:bCs/>
          <w:color w:val="000000" w:themeColor="text1"/>
          <w:sz w:val="28"/>
          <w:szCs w:val="28"/>
          <w:highlight w:val="none"/>
          <w14:textFill>
            <w14:solidFill>
              <w14:schemeClr w14:val="tx1"/>
            </w14:solidFill>
          </w14:textFill>
        </w:rPr>
      </w:pPr>
      <w:bookmarkStart w:id="298" w:name="_Toc7580739"/>
      <w:r>
        <w:rPr>
          <w:rFonts w:hint="eastAsia" w:ascii="Times New Roman" w:hAnsi="Times New Roman" w:eastAsia="仿宋" w:cs="仿宋"/>
          <w:b/>
          <w:bCs/>
          <w:color w:val="000000" w:themeColor="text1"/>
          <w:sz w:val="28"/>
          <w:szCs w:val="28"/>
          <w:highlight w:val="none"/>
          <w14:textFill>
            <w14:solidFill>
              <w14:schemeClr w14:val="tx1"/>
            </w14:solidFill>
          </w14:textFill>
        </w:rPr>
        <w:br w:type="page"/>
      </w:r>
    </w:p>
    <w:p>
      <w:pPr>
        <w:widowControl/>
        <w:spacing w:line="360" w:lineRule="auto"/>
        <w:jc w:val="left"/>
        <w:outlineLvl w:val="1"/>
        <w:rPr>
          <w:rFonts w:hint="eastAsia" w:ascii="黑体" w:hAnsi="黑体" w:eastAsia="黑体" w:cs="黑体"/>
          <w:b/>
          <w:bCs/>
          <w:color w:val="000000" w:themeColor="text1"/>
          <w:sz w:val="28"/>
          <w:szCs w:val="28"/>
          <w:highlight w:val="none"/>
          <w14:textFill>
            <w14:solidFill>
              <w14:schemeClr w14:val="tx1"/>
            </w14:solidFill>
          </w14:textFill>
        </w:rPr>
      </w:pPr>
      <w:bookmarkStart w:id="299" w:name="_Toc263419630"/>
      <w:bookmarkStart w:id="300" w:name="_Toc1932577041"/>
      <w:bookmarkStart w:id="301" w:name="_Toc413530428"/>
      <w:r>
        <w:rPr>
          <w:rFonts w:hint="eastAsia" w:ascii="黑体" w:hAnsi="黑体" w:eastAsia="黑体" w:cs="黑体"/>
          <w:b/>
          <w:bCs/>
          <w:color w:val="000000" w:themeColor="text1"/>
          <w:sz w:val="28"/>
          <w:szCs w:val="28"/>
          <w:highlight w:val="none"/>
          <w14:textFill>
            <w14:solidFill>
              <w14:schemeClr w14:val="tx1"/>
            </w14:solidFill>
          </w14:textFill>
        </w:rPr>
        <w:t>附件2</w:t>
      </w:r>
      <w:bookmarkEnd w:id="299"/>
      <w:bookmarkEnd w:id="300"/>
      <w:bookmarkEnd w:id="301"/>
    </w:p>
    <w:p>
      <w:pPr>
        <w:ind w:firstLine="0" w:firstLineChars="0"/>
        <w:jc w:val="center"/>
        <w:rPr>
          <w:rFonts w:ascii="仿宋" w:hAnsi="仿宋" w:eastAsia="仿宋" w:cs="仿宋"/>
        </w:rPr>
      </w:pPr>
      <w:r>
        <w:rPr>
          <w:rFonts w:hint="eastAsia" w:ascii="仿宋" w:hAnsi="仿宋" w:eastAsia="仿宋" w:cs="仿宋"/>
          <w:b/>
          <w:bCs/>
          <w:kern w:val="2"/>
          <w:sz w:val="44"/>
          <w:szCs w:val="44"/>
          <w:highlight w:val="none"/>
          <w:lang w:val="en-US" w:eastAsia="zh-CN"/>
        </w:rPr>
        <w:t>保 密 协 议</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default" w:ascii="Times New Roman" w:hAnsi="Times New Roman" w:eastAsia="仿宋" w:cs="仿宋"/>
          <w:bCs/>
          <w:color w:val="000000" w:themeColor="text1"/>
          <w:sz w:val="22"/>
          <w:szCs w:val="22"/>
          <w:highlight w:val="none"/>
          <w:lang w:val="en-US" w:eastAsia="zh-CN"/>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项目名称：</w:t>
      </w:r>
      <w:r>
        <w:rPr>
          <w:rFonts w:hint="eastAsia" w:ascii="Times New Roman" w:hAnsi="Times New Roman" w:eastAsia="仿宋" w:cs="仿宋"/>
          <w:bCs/>
          <w:color w:val="000000" w:themeColor="text1"/>
          <w:sz w:val="22"/>
          <w:szCs w:val="22"/>
          <w:highlight w:val="none"/>
          <w:u w:val="single"/>
          <w:lang w:val="en-US" w:eastAsia="zh-CN"/>
          <w14:textFill>
            <w14:solidFill>
              <w14:schemeClr w14:val="tx1"/>
            </w14:solidFill>
          </w14:textFill>
        </w:rPr>
        <w:t xml:space="preserve">                              </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u w:val="none"/>
          <w:lang w:eastAsia="zh-CN"/>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发</w:t>
      </w:r>
      <w:r>
        <w:rPr>
          <w:rFonts w:hint="eastAsia" w:ascii="Times New Roman" w:hAnsi="Times New Roman" w:eastAsia="仿宋" w:cs="仿宋"/>
          <w:bCs/>
          <w:color w:val="000000" w:themeColor="text1"/>
          <w:sz w:val="22"/>
          <w:szCs w:val="22"/>
          <w:highlight w:val="none"/>
          <w:lang w:val="en-US" w:eastAsia="zh-CN"/>
          <w14:textFill>
            <w14:solidFill>
              <w14:schemeClr w14:val="tx1"/>
            </w14:solidFill>
          </w14:textFill>
        </w:rPr>
        <w:t xml:space="preserve"> </w:t>
      </w:r>
      <w:r>
        <w:rPr>
          <w:rFonts w:hint="eastAsia" w:ascii="Times New Roman" w:hAnsi="Times New Roman" w:eastAsia="仿宋" w:cs="仿宋"/>
          <w:bCs/>
          <w:color w:val="000000" w:themeColor="text1"/>
          <w:sz w:val="22"/>
          <w:szCs w:val="22"/>
          <w:highlight w:val="none"/>
          <w14:textFill>
            <w14:solidFill>
              <w14:schemeClr w14:val="tx1"/>
            </w14:solidFill>
          </w14:textFill>
        </w:rPr>
        <w:t>包</w:t>
      </w:r>
      <w:r>
        <w:rPr>
          <w:rFonts w:hint="eastAsia" w:ascii="Times New Roman" w:hAnsi="Times New Roman" w:eastAsia="仿宋" w:cs="仿宋"/>
          <w:bCs/>
          <w:color w:val="000000" w:themeColor="text1"/>
          <w:sz w:val="22"/>
          <w:szCs w:val="22"/>
          <w:highlight w:val="none"/>
          <w:lang w:val="en-US" w:eastAsia="zh-CN"/>
          <w14:textFill>
            <w14:solidFill>
              <w14:schemeClr w14:val="tx1"/>
            </w14:solidFill>
          </w14:textFill>
        </w:rPr>
        <w:t xml:space="preserve"> </w:t>
      </w:r>
      <w:r>
        <w:rPr>
          <w:rFonts w:hint="eastAsia" w:ascii="Times New Roman" w:hAnsi="Times New Roman" w:eastAsia="仿宋" w:cs="仿宋"/>
          <w:bCs/>
          <w:color w:val="000000" w:themeColor="text1"/>
          <w:sz w:val="22"/>
          <w:szCs w:val="22"/>
          <w:highlight w:val="none"/>
          <w14:textFill>
            <w14:solidFill>
              <w14:schemeClr w14:val="tx1"/>
            </w14:solidFill>
          </w14:textFill>
        </w:rPr>
        <w:t>人：</w:t>
      </w:r>
      <w:r>
        <w:rPr>
          <w:rFonts w:hint="eastAsia" w:ascii="Times New Roman" w:hAnsi="Times New Roman" w:eastAsia="仿宋" w:cs="仿宋"/>
          <w:bCs/>
          <w:color w:val="000000" w:themeColor="text1"/>
          <w:sz w:val="22"/>
          <w:szCs w:val="22"/>
          <w:highlight w:val="none"/>
          <w:u w:val="single"/>
          <w:lang w:val="en-US" w:eastAsia="zh-CN"/>
          <w14:textFill>
            <w14:solidFill>
              <w14:schemeClr w14:val="tx1"/>
            </w14:solidFill>
          </w14:textFill>
        </w:rPr>
        <w:t xml:space="preserve">                              </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default" w:ascii="Times New Roman" w:hAnsi="Times New Roman" w:eastAsia="仿宋" w:cs="仿宋"/>
          <w:bCs/>
          <w:color w:val="000000" w:themeColor="text1"/>
          <w:sz w:val="22"/>
          <w:szCs w:val="22"/>
          <w:highlight w:val="none"/>
          <w:u w:val="none"/>
          <w:lang w:val="en-US" w:eastAsia="zh-CN"/>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监</w:t>
      </w:r>
      <w:r>
        <w:rPr>
          <w:rFonts w:hint="eastAsia" w:ascii="Times New Roman" w:hAnsi="Times New Roman" w:eastAsia="仿宋" w:cs="仿宋"/>
          <w:bCs/>
          <w:color w:val="000000" w:themeColor="text1"/>
          <w:sz w:val="22"/>
          <w:szCs w:val="22"/>
          <w:highlight w:val="none"/>
          <w:lang w:val="en-US" w:eastAsia="zh-CN"/>
          <w14:textFill>
            <w14:solidFill>
              <w14:schemeClr w14:val="tx1"/>
            </w14:solidFill>
          </w14:textFill>
        </w:rPr>
        <w:t xml:space="preserve"> </w:t>
      </w:r>
      <w:r>
        <w:rPr>
          <w:rFonts w:hint="eastAsia" w:ascii="Times New Roman" w:hAnsi="Times New Roman" w:eastAsia="仿宋" w:cs="仿宋"/>
          <w:bCs/>
          <w:color w:val="000000" w:themeColor="text1"/>
          <w:sz w:val="22"/>
          <w:szCs w:val="22"/>
          <w:highlight w:val="none"/>
          <w14:textFill>
            <w14:solidFill>
              <w14:schemeClr w14:val="tx1"/>
            </w14:solidFill>
          </w14:textFill>
        </w:rPr>
        <w:t>理</w:t>
      </w:r>
      <w:r>
        <w:rPr>
          <w:rFonts w:hint="eastAsia" w:ascii="Times New Roman" w:hAnsi="Times New Roman" w:eastAsia="仿宋" w:cs="仿宋"/>
          <w:bCs/>
          <w:color w:val="000000" w:themeColor="text1"/>
          <w:sz w:val="22"/>
          <w:szCs w:val="22"/>
          <w:highlight w:val="none"/>
          <w:lang w:val="en-US" w:eastAsia="zh-CN"/>
          <w14:textFill>
            <w14:solidFill>
              <w14:schemeClr w14:val="tx1"/>
            </w14:solidFill>
          </w14:textFill>
        </w:rPr>
        <w:t xml:space="preserve"> </w:t>
      </w:r>
      <w:r>
        <w:rPr>
          <w:rFonts w:hint="eastAsia" w:ascii="Times New Roman" w:hAnsi="Times New Roman" w:eastAsia="仿宋" w:cs="仿宋"/>
          <w:bCs/>
          <w:color w:val="000000" w:themeColor="text1"/>
          <w:sz w:val="22"/>
          <w:szCs w:val="22"/>
          <w:highlight w:val="none"/>
          <w14:textFill>
            <w14:solidFill>
              <w14:schemeClr w14:val="tx1"/>
            </w14:solidFill>
          </w14:textFill>
        </w:rPr>
        <w:t>人：</w:t>
      </w:r>
      <w:r>
        <w:rPr>
          <w:rFonts w:hint="eastAsia" w:ascii="Times New Roman" w:hAnsi="Times New Roman" w:eastAsia="仿宋" w:cs="仿宋"/>
          <w:bCs/>
          <w:color w:val="000000" w:themeColor="text1"/>
          <w:sz w:val="22"/>
          <w:szCs w:val="22"/>
          <w:highlight w:val="none"/>
          <w:u w:val="none"/>
          <w:lang w:val="en-US" w:eastAsia="zh-CN"/>
          <w14:textFill>
            <w14:solidFill>
              <w14:schemeClr w14:val="tx1"/>
            </w14:solidFill>
          </w14:textFill>
        </w:rPr>
        <w:t xml:space="preserve"> </w:t>
      </w:r>
      <w:r>
        <w:rPr>
          <w:rFonts w:hint="eastAsia" w:ascii="Times New Roman" w:hAnsi="Times New Roman" w:eastAsia="仿宋" w:cs="仿宋"/>
          <w:bCs/>
          <w:color w:val="000000" w:themeColor="text1"/>
          <w:sz w:val="22"/>
          <w:szCs w:val="22"/>
          <w:highlight w:val="none"/>
          <w:u w:val="single"/>
          <w:lang w:val="en-US" w:eastAsia="zh-CN"/>
          <w14:textFill>
            <w14:solidFill>
              <w14:schemeClr w14:val="tx1"/>
            </w14:solidFill>
          </w14:textFill>
        </w:rPr>
        <w:t xml:space="preserve">                             </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为了保护监理人在提供</w:t>
      </w:r>
      <w:r>
        <w:rPr>
          <w:rFonts w:hint="eastAsia" w:ascii="Times New Roman" w:hAnsi="Times New Roman" w:eastAsia="仿宋" w:cs="仿宋"/>
          <w:bCs/>
          <w:color w:val="000000" w:themeColor="text1"/>
          <w:sz w:val="22"/>
          <w:szCs w:val="22"/>
          <w:highlight w:val="none"/>
          <w:u w:val="none"/>
          <w:lang w:val="zh-CN"/>
          <w14:textFill>
            <w14:solidFill>
              <w14:schemeClr w14:val="tx1"/>
            </w14:solidFill>
          </w14:textFill>
        </w:rPr>
        <w:t>城维计划-市本级市政道路立体人行过街设施提升专项-2024年人行天桥无障碍设施提升</w:t>
      </w:r>
      <w:r>
        <w:rPr>
          <w:rFonts w:hint="eastAsia" w:ascii="Times New Roman" w:hAnsi="Times New Roman" w:eastAsia="仿宋" w:cs="仿宋"/>
          <w:bCs/>
          <w:color w:val="000000" w:themeColor="text1"/>
          <w:sz w:val="22"/>
          <w:szCs w:val="22"/>
          <w:highlight w:val="none"/>
          <w14:textFill>
            <w14:solidFill>
              <w14:schemeClr w14:val="tx1"/>
            </w14:solidFill>
          </w14:textFill>
        </w:rPr>
        <w:t>（以下简称“本项目”）服务过程中涉及的发包人保密信息，经友好协商，发包人、监理人双方签订如下协议：</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一、保密信息所有人：</w:t>
      </w:r>
      <w:r>
        <w:rPr>
          <w:rFonts w:hint="eastAsia" w:ascii="Times New Roman" w:hAnsi="Times New Roman" w:eastAsia="仿宋" w:cs="仿宋"/>
          <w:bCs/>
          <w:color w:val="000000" w:themeColor="text1"/>
          <w:sz w:val="22"/>
          <w:szCs w:val="22"/>
          <w:highlight w:val="none"/>
          <w:u w:val="single"/>
          <w14:textFill>
            <w14:solidFill>
              <w14:schemeClr w14:val="tx1"/>
            </w14:solidFill>
          </w14:textFill>
        </w:rPr>
        <w:t>广州市道路事务中心</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二、保密信息的定义</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本协议所称的“保密信息”是指所有与本项目有关、并由发包人提供给监理人的资料和信息，无论是书面的、口头的、图形的、电子版的、磁盘的或其他形式的信息，上述信息必须以如下形式确定：</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1.对于书面或其它有形的信息，在交付监理人时必须表明为保密信息。</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2.对于口头信息，在透露给监理人前必须声明是保密信息，并进行书面记录。</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三、保密义务</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1.监理人应严格保护发包人向其透露的保密信息，且保护程度不得低于保护己方保密信息之程度。除相关保密信息已被公布或公开外，监理人人员对发包人提供之保密信息负有严格的保密责任。</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2.监理人保证机构内部的其他人员不得向第三方泄露所接触到的发包人交付给监理人的保密信息。</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3.监理人不得复制、仿造或修改发包人提供之保密信息作为己用或提供于他人。</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4.如因涉及材料保密而又影响本项目事务的及时办理时，监理人应以书面形式提出明确要求，发包人应明确作出文字表态，即发包人可选择是否继续进行本项目。</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5.双方在交接保密信息时应当遵循规范的工作流程，若由于有关经办人过错造成泄密的，应由责任方承担相关的违约责任。</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四、使用方式</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监理人提供本项目服务过程中，监理人应当告知并以适当方式要求其参与本项目之雇员遵守本协议规定，若由于参与本项目之雇员违反本协议的规定，监理人应承担连带责任（该损失以因泄密而造成被损害的本项目具体实际损失为限，并需经法院最终确定）。</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五、监理人不承担保密责任的例外情况</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1.发包人已公开或泄露的保密信息。</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2.该保密信息已经被监理人之外的第三方公开。</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3.监理人对保密信息的透露是由于法律、法规、有关政府部门审查、判决、裁定（包括按照传票、法院或政府处理程序）的要求发生的，监理人应当尽快通知发包人，发包人应明确书面指示监理人如何操作，其操作后果由发包人承担一切责任，同时，监理人应当尽最大的努力帮助发包人有效地防止或限制该保密信息的泄露。</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六、保密信息的交回</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1.监理人在本项目完毕后，除法律法规规定可以保留的资料外，应将发包人提供的其它相关保密信息资料（包括所有书面或其它有形的保密信息以及所有描述和概括该保密信息的书面、图形、电子版和磁盘等资料）交回发包人。</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2.没有发包人的许可，监理人不得擅自丢弃和处理任何书面的或其它有形的保密信息资料。</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3.在保密期限内若发生监理人违约而引致发包人保密信息的泄露，监理人除应及时通知发包人，还应积极采取有关的措施对发包人之保密信息进行保密，并应赔偿发包人由此而造成的经济损失（该损失以因泄密而造成被损害的上述事务实际具体损失为限，并需经法院最终确定）。</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七、保密期限</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本协议约定的保密期限，自本项目所需之各项材料交付之日起至相关保密信息被正式公开之日止。</w:t>
      </w:r>
    </w:p>
    <w:p>
      <w:pPr>
        <w:pStyle w:val="16"/>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440" w:lineRule="exact"/>
        <w:ind w:firstLine="440" w:firstLineChars="200"/>
        <w:jc w:val="left"/>
        <w:textAlignment w:val="auto"/>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八、其他</w:t>
      </w:r>
    </w:p>
    <w:p>
      <w:pPr>
        <w:pStyle w:val="16"/>
        <w:widowControl w:val="0"/>
        <w:kinsoku w:val="0"/>
        <w:overflowPunct w:val="0"/>
        <w:autoSpaceDE w:val="0"/>
        <w:autoSpaceDN w:val="0"/>
        <w:adjustRightInd w:val="0"/>
        <w:snapToGrid w:val="0"/>
        <w:spacing w:before="0" w:beforeAutospacing="0" w:after="0" w:afterAutospacing="0" w:line="440" w:lineRule="exact"/>
        <w:ind w:firstLine="440" w:firstLineChars="200"/>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本协议作为本项目合同的附件，与本项目合同具有同等法律效力。</w:t>
      </w:r>
    </w:p>
    <w:p>
      <w:pPr>
        <w:pStyle w:val="16"/>
        <w:widowControl w:val="0"/>
        <w:kinsoku w:val="0"/>
        <w:overflowPunct w:val="0"/>
        <w:autoSpaceDE w:val="0"/>
        <w:autoSpaceDN w:val="0"/>
        <w:adjustRightInd w:val="0"/>
        <w:snapToGrid w:val="0"/>
        <w:spacing w:before="0" w:beforeAutospacing="0" w:after="0" w:afterAutospacing="0" w:line="440" w:lineRule="exact"/>
        <w:ind w:firstLine="440" w:firstLineChars="200"/>
        <w:rPr>
          <w:rFonts w:hint="eastAsia" w:ascii="Times New Roman" w:hAnsi="Times New Roman" w:eastAsia="仿宋" w:cs="仿宋"/>
          <w:bCs/>
          <w:color w:val="000000" w:themeColor="text1"/>
          <w:sz w:val="22"/>
          <w:szCs w:val="22"/>
          <w:highlight w:val="none"/>
          <w14:textFill>
            <w14:solidFill>
              <w14:schemeClr w14:val="tx1"/>
            </w14:solidFill>
          </w14:textFill>
        </w:rPr>
      </w:pPr>
    </w:p>
    <w:p>
      <w:pPr>
        <w:pStyle w:val="16"/>
        <w:widowControl w:val="0"/>
        <w:kinsoku w:val="0"/>
        <w:overflowPunct w:val="0"/>
        <w:autoSpaceDE w:val="0"/>
        <w:autoSpaceDN w:val="0"/>
        <w:adjustRightInd w:val="0"/>
        <w:snapToGrid w:val="0"/>
        <w:spacing w:before="0" w:beforeAutospacing="0" w:after="0" w:afterAutospacing="0" w:line="440" w:lineRule="exact"/>
        <w:ind w:firstLine="440" w:firstLineChars="200"/>
        <w:rPr>
          <w:rFonts w:hint="eastAsia" w:ascii="Times New Roman" w:hAnsi="Times New Roman" w:eastAsia="仿宋" w:cs="仿宋"/>
          <w:bCs/>
          <w:color w:val="000000" w:themeColor="text1"/>
          <w:sz w:val="22"/>
          <w:szCs w:val="22"/>
          <w:highlight w:val="none"/>
          <w14:textFill>
            <w14:solidFill>
              <w14:schemeClr w14:val="tx1"/>
            </w14:solidFill>
          </w14:textFill>
        </w:rPr>
      </w:pPr>
    </w:p>
    <w:p>
      <w:pPr>
        <w:pStyle w:val="16"/>
        <w:widowControl w:val="0"/>
        <w:kinsoku w:val="0"/>
        <w:overflowPunct w:val="0"/>
        <w:autoSpaceDE w:val="0"/>
        <w:autoSpaceDN w:val="0"/>
        <w:adjustRightInd w:val="0"/>
        <w:snapToGrid w:val="0"/>
        <w:spacing w:before="0" w:beforeAutospacing="0" w:after="0" w:afterAutospacing="0" w:line="440" w:lineRule="exact"/>
        <w:ind w:firstLine="440" w:firstLineChars="200"/>
        <w:rPr>
          <w:rFonts w:hint="eastAsia" w:ascii="Times New Roman" w:hAnsi="Times New Roman" w:eastAsia="仿宋" w:cs="仿宋"/>
          <w:bCs/>
          <w:color w:val="000000" w:themeColor="text1"/>
          <w:sz w:val="22"/>
          <w:szCs w:val="22"/>
          <w:highlight w:val="none"/>
          <w14:textFill>
            <w14:solidFill>
              <w14:schemeClr w14:val="tx1"/>
            </w14:solidFill>
          </w14:textFill>
        </w:rPr>
      </w:pPr>
    </w:p>
    <w:p>
      <w:pPr>
        <w:pStyle w:val="16"/>
        <w:kinsoku w:val="0"/>
        <w:overflowPunct w:val="0"/>
        <w:autoSpaceDE w:val="0"/>
        <w:autoSpaceDN w:val="0"/>
        <w:adjustRightInd w:val="0"/>
        <w:snapToGrid w:val="0"/>
        <w:spacing w:beforeAutospacing="0" w:afterAutospacing="0" w:line="440" w:lineRule="exact"/>
        <w:ind w:left="0" w:firstLine="0" w:firstLineChars="0"/>
        <w:jc w:val="left"/>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 xml:space="preserve">发包人：            </w:t>
      </w:r>
      <w:r>
        <w:rPr>
          <w:rFonts w:hint="eastAsia" w:ascii="Times New Roman" w:hAnsi="Times New Roman" w:eastAsia="仿宋" w:cs="仿宋"/>
          <w:bCs/>
          <w:color w:val="000000" w:themeColor="text1"/>
          <w:sz w:val="22"/>
          <w:szCs w:val="22"/>
          <w:highlight w:val="none"/>
          <w:lang w:val="en-US" w:eastAsia="zh-CN"/>
          <w14:textFill>
            <w14:solidFill>
              <w14:schemeClr w14:val="tx1"/>
            </w14:solidFill>
          </w14:textFill>
        </w:rPr>
        <w:t xml:space="preserve">                             </w:t>
      </w:r>
      <w:r>
        <w:rPr>
          <w:rFonts w:hint="eastAsia" w:ascii="Times New Roman" w:hAnsi="Times New Roman" w:eastAsia="仿宋" w:cs="仿宋"/>
          <w:bCs/>
          <w:color w:val="000000" w:themeColor="text1"/>
          <w:sz w:val="22"/>
          <w:szCs w:val="22"/>
          <w:highlight w:val="none"/>
          <w14:textFill>
            <w14:solidFill>
              <w14:schemeClr w14:val="tx1"/>
            </w14:solidFill>
          </w14:textFill>
        </w:rPr>
        <w:t>监理人：</w:t>
      </w:r>
    </w:p>
    <w:p>
      <w:pPr>
        <w:pStyle w:val="16"/>
        <w:kinsoku w:val="0"/>
        <w:overflowPunct w:val="0"/>
        <w:autoSpaceDE w:val="0"/>
        <w:autoSpaceDN w:val="0"/>
        <w:adjustRightInd w:val="0"/>
        <w:snapToGrid w:val="0"/>
        <w:spacing w:beforeAutospacing="0" w:afterAutospacing="0" w:line="440" w:lineRule="exact"/>
        <w:ind w:left="0" w:firstLine="0" w:firstLineChars="0"/>
        <w:jc w:val="left"/>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 xml:space="preserve">（盖章）                    </w:t>
      </w:r>
      <w:r>
        <w:rPr>
          <w:rFonts w:hint="eastAsia" w:ascii="Times New Roman" w:hAnsi="Times New Roman" w:eastAsia="仿宋" w:cs="仿宋"/>
          <w:bCs/>
          <w:color w:val="000000" w:themeColor="text1"/>
          <w:sz w:val="22"/>
          <w:szCs w:val="22"/>
          <w:highlight w:val="none"/>
          <w:lang w:val="en-US" w:eastAsia="zh-CN"/>
          <w14:textFill>
            <w14:solidFill>
              <w14:schemeClr w14:val="tx1"/>
            </w14:solidFill>
          </w14:textFill>
        </w:rPr>
        <w:t xml:space="preserve">                   </w:t>
      </w:r>
      <w:r>
        <w:rPr>
          <w:rFonts w:hint="eastAsia" w:ascii="Times New Roman" w:hAnsi="Times New Roman" w:eastAsia="仿宋" w:cs="仿宋"/>
          <w:bCs/>
          <w:color w:val="000000" w:themeColor="text1"/>
          <w:sz w:val="22"/>
          <w:szCs w:val="22"/>
          <w:highlight w:val="none"/>
          <w14:textFill>
            <w14:solidFill>
              <w14:schemeClr w14:val="tx1"/>
            </w14:solidFill>
          </w14:textFill>
        </w:rPr>
        <w:t xml:space="preserve">   （盖章）</w:t>
      </w:r>
    </w:p>
    <w:p>
      <w:pPr>
        <w:pStyle w:val="16"/>
        <w:widowControl w:val="0"/>
        <w:kinsoku w:val="0"/>
        <w:overflowPunct w:val="0"/>
        <w:autoSpaceDE w:val="0"/>
        <w:autoSpaceDN w:val="0"/>
        <w:adjustRightInd w:val="0"/>
        <w:snapToGrid w:val="0"/>
        <w:spacing w:beforeAutospacing="0" w:afterAutospacing="0" w:line="440" w:lineRule="exact"/>
        <w:jc w:val="left"/>
        <w:rPr>
          <w:rFonts w:hint="eastAsia" w:ascii="Times New Roman" w:hAnsi="Times New Roman" w:eastAsia="仿宋" w:cs="仿宋"/>
          <w:bCs/>
          <w:color w:val="000000" w:themeColor="text1"/>
          <w:sz w:val="22"/>
          <w:szCs w:val="22"/>
          <w:highlight w:val="none"/>
          <w14:textFill>
            <w14:solidFill>
              <w14:schemeClr w14:val="tx1"/>
            </w14:solidFill>
          </w14:textFill>
        </w:rPr>
      </w:pPr>
      <w:r>
        <w:rPr>
          <w:rFonts w:hint="eastAsia" w:ascii="Times New Roman" w:hAnsi="Times New Roman" w:eastAsia="仿宋" w:cs="仿宋"/>
          <w:bCs/>
          <w:color w:val="000000" w:themeColor="text1"/>
          <w:sz w:val="22"/>
          <w:szCs w:val="22"/>
          <w:highlight w:val="none"/>
          <w14:textFill>
            <w14:solidFill>
              <w14:schemeClr w14:val="tx1"/>
            </w14:solidFill>
          </w14:textFill>
        </w:rPr>
        <w:t xml:space="preserve">法定代表人 （签章）：       </w:t>
      </w:r>
      <w:r>
        <w:rPr>
          <w:rFonts w:hint="eastAsia" w:ascii="Times New Roman" w:hAnsi="Times New Roman" w:eastAsia="仿宋" w:cs="仿宋"/>
          <w:bCs/>
          <w:color w:val="000000" w:themeColor="text1"/>
          <w:sz w:val="22"/>
          <w:szCs w:val="22"/>
          <w:highlight w:val="none"/>
          <w:lang w:val="en-US" w:eastAsia="zh-CN"/>
          <w14:textFill>
            <w14:solidFill>
              <w14:schemeClr w14:val="tx1"/>
            </w14:solidFill>
          </w14:textFill>
        </w:rPr>
        <w:t xml:space="preserve">                  </w:t>
      </w:r>
      <w:r>
        <w:rPr>
          <w:rFonts w:hint="eastAsia" w:ascii="Times New Roman" w:hAnsi="Times New Roman" w:eastAsia="仿宋" w:cs="仿宋"/>
          <w:bCs/>
          <w:color w:val="000000" w:themeColor="text1"/>
          <w:sz w:val="22"/>
          <w:szCs w:val="22"/>
          <w:highlight w:val="none"/>
          <w14:textFill>
            <w14:solidFill>
              <w14:schemeClr w14:val="tx1"/>
            </w14:solidFill>
          </w14:textFill>
        </w:rPr>
        <w:t xml:space="preserve">  法定代表人（签章）：</w:t>
      </w:r>
    </w:p>
    <w:p>
      <w:pPr>
        <w:pStyle w:val="16"/>
        <w:widowControl w:val="0"/>
        <w:kinsoku w:val="0"/>
        <w:overflowPunct w:val="0"/>
        <w:autoSpaceDE w:val="0"/>
        <w:autoSpaceDN w:val="0"/>
        <w:adjustRightInd w:val="0"/>
        <w:snapToGrid w:val="0"/>
        <w:spacing w:before="0" w:beforeAutospacing="0" w:after="0" w:afterAutospacing="0" w:line="276" w:lineRule="auto"/>
        <w:jc w:val="both"/>
        <w:rPr>
          <w:rFonts w:hint="eastAsia" w:ascii="Times New Roman" w:hAnsi="Times New Roman" w:eastAsia="仿宋" w:cs="仿宋"/>
          <w:color w:val="000000" w:themeColor="text1"/>
          <w:highlight w:val="none"/>
          <w14:textFill>
            <w14:solidFill>
              <w14:schemeClr w14:val="tx1"/>
            </w14:solidFill>
          </w14:textFill>
        </w:rPr>
      </w:pPr>
      <w:bookmarkStart w:id="302" w:name="_Toc1633233535"/>
      <w:bookmarkStart w:id="303" w:name="_Toc688408310"/>
      <w:r>
        <w:rPr>
          <w:rFonts w:hint="eastAsia" w:ascii="Times New Roman" w:hAnsi="Times New Roman" w:eastAsia="仿宋" w:cs="仿宋"/>
          <w:bCs/>
          <w:color w:val="000000" w:themeColor="text1"/>
          <w:sz w:val="22"/>
          <w:szCs w:val="22"/>
          <w:highlight w:val="none"/>
          <w14:textFill>
            <w14:solidFill>
              <w14:schemeClr w14:val="tx1"/>
            </w14:solidFill>
          </w14:textFill>
        </w:rPr>
        <w:t xml:space="preserve">（或委托代理人）          </w:t>
      </w:r>
      <w:r>
        <w:rPr>
          <w:rFonts w:hint="eastAsia" w:ascii="Times New Roman" w:hAnsi="Times New Roman" w:eastAsia="仿宋" w:cs="仿宋"/>
          <w:bCs/>
          <w:color w:val="000000" w:themeColor="text1"/>
          <w:sz w:val="22"/>
          <w:szCs w:val="22"/>
          <w:highlight w:val="none"/>
          <w:lang w:val="en-US" w:eastAsia="zh-CN"/>
          <w14:textFill>
            <w14:solidFill>
              <w14:schemeClr w14:val="tx1"/>
            </w14:solidFill>
          </w14:textFill>
        </w:rPr>
        <w:t xml:space="preserve">                        </w:t>
      </w:r>
      <w:r>
        <w:rPr>
          <w:rFonts w:hint="eastAsia" w:ascii="Times New Roman" w:hAnsi="Times New Roman" w:eastAsia="仿宋" w:cs="仿宋"/>
          <w:bCs/>
          <w:color w:val="000000" w:themeColor="text1"/>
          <w:sz w:val="22"/>
          <w:szCs w:val="22"/>
          <w:highlight w:val="none"/>
          <w14:textFill>
            <w14:solidFill>
              <w14:schemeClr w14:val="tx1"/>
            </w14:solidFill>
          </w14:textFill>
        </w:rPr>
        <w:t xml:space="preserve"> （或委托代理人）</w:t>
      </w:r>
      <w:bookmarkEnd w:id="298"/>
      <w:bookmarkEnd w:id="302"/>
      <w:bookmarkEnd w:id="303"/>
      <w:r>
        <w:rPr>
          <w:rFonts w:hint="eastAsia" w:ascii="Times New Roman" w:hAnsi="Times New Roman" w:eastAsia="仿宋" w:cs="仿宋"/>
          <w:color w:val="000000" w:themeColor="text1"/>
          <w:highlight w:val="none"/>
          <w14:textFill>
            <w14:solidFill>
              <w14:schemeClr w14:val="tx1"/>
            </w14:solidFill>
          </w14:textFill>
        </w:rPr>
        <w:br w:type="page"/>
      </w:r>
    </w:p>
    <w:p>
      <w:pPr>
        <w:widowControl/>
        <w:spacing w:line="360" w:lineRule="auto"/>
        <w:jc w:val="left"/>
        <w:outlineLvl w:val="1"/>
        <w:rPr>
          <w:rFonts w:hint="eastAsia" w:ascii="黑体" w:hAnsi="黑体" w:eastAsia="黑体" w:cs="黑体"/>
          <w:b/>
          <w:bCs/>
          <w:color w:val="000000" w:themeColor="text1"/>
          <w:sz w:val="28"/>
          <w:szCs w:val="28"/>
          <w:highlight w:val="none"/>
          <w:lang w:val="en-US" w:eastAsia="zh-CN"/>
          <w14:textFill>
            <w14:solidFill>
              <w14:schemeClr w14:val="tx1"/>
            </w14:solidFill>
          </w14:textFill>
        </w:rPr>
      </w:pPr>
      <w:bookmarkStart w:id="304" w:name="_Toc1014755431"/>
      <w:bookmarkStart w:id="305" w:name="_Toc2127245711"/>
      <w:bookmarkStart w:id="306" w:name="_Toc1039696084"/>
      <w:r>
        <w:rPr>
          <w:rFonts w:hint="eastAsia" w:ascii="黑体" w:hAnsi="黑体" w:eastAsia="黑体" w:cs="黑体"/>
          <w:b/>
          <w:bCs/>
          <w:color w:val="000000" w:themeColor="text1"/>
          <w:sz w:val="28"/>
          <w:szCs w:val="28"/>
          <w:highlight w:val="none"/>
          <w14:textFill>
            <w14:solidFill>
              <w14:schemeClr w14:val="tx1"/>
            </w14:solidFill>
          </w14:textFill>
        </w:rPr>
        <w:t>附件</w:t>
      </w: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3</w:t>
      </w:r>
    </w:p>
    <w:p>
      <w:pPr>
        <w:widowControl/>
        <w:spacing w:line="360" w:lineRule="auto"/>
        <w:jc w:val="center"/>
        <w:outlineLvl w:val="1"/>
        <w:rPr>
          <w:rFonts w:hint="eastAsia" w:ascii="Times New Roman" w:hAnsi="Times New Roman"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kern w:val="2"/>
          <w:sz w:val="44"/>
          <w:szCs w:val="44"/>
          <w:highlight w:val="none"/>
          <w:lang w:val="en-US" w:eastAsia="zh-CN"/>
        </w:rPr>
        <w:t>违约责任明细表</w:t>
      </w:r>
      <w:bookmarkEnd w:id="304"/>
      <w:bookmarkEnd w:id="305"/>
      <w:bookmarkEnd w:id="306"/>
    </w:p>
    <w:tbl>
      <w:tblPr>
        <w:tblStyle w:val="1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618"/>
        <w:gridCol w:w="573"/>
        <w:gridCol w:w="428"/>
        <w:gridCol w:w="1327"/>
        <w:gridCol w:w="124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blHeader/>
        </w:trPr>
        <w:tc>
          <w:tcPr>
            <w:tcW w:w="688" w:type="dxa"/>
            <w:noWrap w:val="0"/>
            <w:vAlign w:val="center"/>
          </w:tcPr>
          <w:p>
            <w:pPr>
              <w:spacing w:line="360" w:lineRule="auto"/>
              <w:rPr>
                <w:rFonts w:ascii="Times New Roman" w:hAnsi="Times New Roman" w:eastAsia="仿宋_GB2312" w:cs="仿宋"/>
                <w:b/>
                <w:bCs/>
                <w:color w:val="000000" w:themeColor="text1"/>
                <w:sz w:val="24"/>
                <w:highlight w:val="none"/>
                <w14:textFill>
                  <w14:solidFill>
                    <w14:schemeClr w14:val="tx1"/>
                  </w14:solidFill>
                </w14:textFill>
              </w:rPr>
            </w:pPr>
            <w:r>
              <w:rPr>
                <w:rFonts w:hint="eastAsia" w:ascii="Times New Roman" w:hAnsi="Times New Roman" w:eastAsia="仿宋_GB2312" w:cs="仿宋"/>
                <w:b/>
                <w:bCs/>
                <w:color w:val="000000" w:themeColor="text1"/>
                <w:sz w:val="24"/>
                <w:highlight w:val="none"/>
                <w14:textFill>
                  <w14:solidFill>
                    <w14:schemeClr w14:val="tx1"/>
                  </w14:solidFill>
                </w14:textFill>
              </w:rPr>
              <w:t>序号</w:t>
            </w:r>
          </w:p>
        </w:tc>
        <w:tc>
          <w:tcPr>
            <w:tcW w:w="3618" w:type="dxa"/>
            <w:noWrap w:val="0"/>
            <w:vAlign w:val="center"/>
          </w:tcPr>
          <w:p>
            <w:pPr>
              <w:spacing w:line="360" w:lineRule="auto"/>
              <w:jc w:val="center"/>
              <w:rPr>
                <w:rFonts w:ascii="Times New Roman" w:hAnsi="Times New Roman" w:eastAsia="仿宋_GB2312" w:cs="仿宋"/>
                <w:b/>
                <w:bCs/>
                <w:color w:val="000000" w:themeColor="text1"/>
                <w:sz w:val="24"/>
                <w:highlight w:val="none"/>
                <w14:textFill>
                  <w14:solidFill>
                    <w14:schemeClr w14:val="tx1"/>
                  </w14:solidFill>
                </w14:textFill>
              </w:rPr>
            </w:pPr>
            <w:r>
              <w:rPr>
                <w:rFonts w:hint="eastAsia" w:ascii="Times New Roman" w:hAnsi="Times New Roman" w:eastAsia="仿宋_GB2312" w:cs="仿宋"/>
                <w:b/>
                <w:bCs/>
                <w:color w:val="000000" w:themeColor="text1"/>
                <w:sz w:val="24"/>
                <w:highlight w:val="none"/>
                <w14:textFill>
                  <w14:solidFill>
                    <w14:schemeClr w14:val="tx1"/>
                  </w14:solidFill>
                </w14:textFill>
              </w:rPr>
              <w:t>违约情形</w:t>
            </w:r>
          </w:p>
        </w:tc>
        <w:tc>
          <w:tcPr>
            <w:tcW w:w="4765" w:type="dxa"/>
            <w:gridSpan w:val="5"/>
            <w:noWrap w:val="0"/>
            <w:vAlign w:val="center"/>
          </w:tcPr>
          <w:p>
            <w:pPr>
              <w:widowControl/>
              <w:jc w:val="center"/>
              <w:rPr>
                <w:rFonts w:hint="eastAsia" w:ascii="Times New Roman" w:hAnsi="Times New Roman" w:eastAsia="仿宋_GB2312" w:cs="仿宋"/>
                <w:b/>
                <w:bCs/>
                <w:color w:val="000000" w:themeColor="text1"/>
                <w:sz w:val="24"/>
                <w:highlight w:val="none"/>
                <w:lang w:eastAsia="zh-CN"/>
                <w14:textFill>
                  <w14:solidFill>
                    <w14:schemeClr w14:val="tx1"/>
                  </w14:solidFill>
                </w14:textFill>
              </w:rPr>
            </w:pPr>
            <w:r>
              <w:rPr>
                <w:rFonts w:hint="eastAsia" w:ascii="宋体" w:hAnsi="宋体" w:eastAsia="仿宋_GB2312" w:cs="宋体"/>
                <w:b/>
                <w:bCs/>
                <w:color w:val="000000" w:themeColor="text1"/>
                <w:kern w:val="0"/>
                <w:sz w:val="24"/>
                <w:szCs w:val="24"/>
                <w:highlight w:val="none"/>
                <w:lang w:eastAsia="zh-CN"/>
                <w14:textFill>
                  <w14:solidFill>
                    <w14:schemeClr w14:val="tx1"/>
                  </w14:solidFill>
                </w14:textFill>
              </w:rPr>
              <w:t>具体违约责任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trPr>
        <w:tc>
          <w:tcPr>
            <w:tcW w:w="688" w:type="dxa"/>
            <w:noWrap w:val="0"/>
            <w:vAlign w:val="center"/>
          </w:tcPr>
          <w:p>
            <w:pPr>
              <w:spacing w:line="360" w:lineRule="auto"/>
              <w:ind w:firstLine="240" w:firstLineChars="100"/>
              <w:rPr>
                <w:rFonts w:hint="eastAsia" w:ascii="Times New Roman" w:hAnsi="Times New Roman" w:eastAsia="仿宋_GB2312" w:cs="仿宋"/>
                <w:b/>
                <w:bCs/>
                <w:color w:val="000000" w:themeColor="text1"/>
                <w:sz w:val="24"/>
                <w:highlight w:val="none"/>
                <w14:textFill>
                  <w14:solidFill>
                    <w14:schemeClr w14:val="tx1"/>
                  </w14:solidFill>
                </w14:textFill>
              </w:rPr>
            </w:pPr>
            <w:r>
              <w:rPr>
                <w:rFonts w:hint="eastAsia" w:ascii="Times New Roman" w:hAnsi="Times New Roman" w:eastAsia="仿宋_GB2312" w:cs="仿宋"/>
                <w:b/>
                <w:bCs/>
                <w:color w:val="000000" w:themeColor="text1"/>
                <w:sz w:val="24"/>
                <w:highlight w:val="none"/>
                <w14:textFill>
                  <w14:solidFill>
                    <w14:schemeClr w14:val="tx1"/>
                  </w14:solidFill>
                </w14:textFill>
              </w:rPr>
              <w:t>1</w:t>
            </w:r>
          </w:p>
        </w:tc>
        <w:tc>
          <w:tcPr>
            <w:tcW w:w="3618" w:type="dxa"/>
            <w:noWrap w:val="0"/>
            <w:vAlign w:val="center"/>
          </w:tcPr>
          <w:p>
            <w:pPr>
              <w:spacing w:line="360" w:lineRule="auto"/>
              <w:jc w:val="left"/>
              <w:rPr>
                <w:rFonts w:hint="eastAsia" w:ascii="宋体" w:hAnsi="宋体" w:eastAsia="仿宋_GB2312" w:cs="宋体"/>
                <w:b/>
                <w:bCs/>
                <w:color w:val="000000" w:themeColor="text1"/>
                <w:kern w:val="0"/>
                <w:sz w:val="24"/>
                <w:szCs w:val="24"/>
                <w:highlight w:val="none"/>
                <w:lang w:eastAsia="zh-CN"/>
                <w14:textFill>
                  <w14:solidFill>
                    <w14:schemeClr w14:val="tx1"/>
                  </w14:solidFill>
                </w14:textFill>
              </w:rPr>
            </w:pPr>
            <w:r>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t>现场</w:t>
            </w:r>
            <w:r>
              <w:rPr>
                <w:rFonts w:hint="eastAsia" w:ascii="Times New Roman" w:hAnsi="Times New Roman" w:eastAsia="仿宋_GB2312" w:cs="仿宋_GB2312"/>
                <w:b/>
                <w:bCs/>
                <w:color w:val="000000" w:themeColor="text1"/>
                <w:sz w:val="24"/>
                <w:highlight w:val="none"/>
                <w14:textFill>
                  <w14:solidFill>
                    <w14:schemeClr w14:val="tx1"/>
                  </w14:solidFill>
                </w14:textFill>
              </w:rPr>
              <w:t>及人员管理方面</w:t>
            </w:r>
          </w:p>
        </w:tc>
        <w:tc>
          <w:tcPr>
            <w:tcW w:w="1001" w:type="dxa"/>
            <w:gridSpan w:val="2"/>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spacing w:line="360" w:lineRule="auto"/>
              <w:jc w:val="left"/>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50万元以下</w:t>
            </w:r>
          </w:p>
        </w:tc>
        <w:tc>
          <w:tcPr>
            <w:tcW w:w="1327"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spacing w:line="360" w:lineRule="auto"/>
              <w:jc w:val="left"/>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50万-100万元</w:t>
            </w:r>
          </w:p>
        </w:tc>
        <w:tc>
          <w:tcPr>
            <w:tcW w:w="1245"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spacing w:line="360" w:lineRule="auto"/>
              <w:jc w:val="left"/>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100万-200万元</w:t>
            </w:r>
          </w:p>
        </w:tc>
        <w:tc>
          <w:tcPr>
            <w:tcW w:w="1192"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spacing w:line="360" w:lineRule="auto"/>
              <w:jc w:val="left"/>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200万以上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1.1</w:t>
            </w:r>
          </w:p>
          <w:p>
            <w:pPr>
              <w:spacing w:line="300" w:lineRule="exact"/>
              <w:jc w:val="center"/>
              <w:rPr>
                <w:rFonts w:ascii="Times New Roman" w:hAnsi="Times New Roman" w:eastAsia="仿宋_GB2312" w:cs="仿宋"/>
                <w:color w:val="000000" w:themeColor="text1"/>
                <w:szCs w:val="21"/>
                <w:highlight w:val="none"/>
                <w14:textFill>
                  <w14:solidFill>
                    <w14:schemeClr w14:val="tx1"/>
                  </w14:solidFill>
                </w14:textFill>
              </w:rPr>
            </w:pPr>
          </w:p>
        </w:tc>
        <w:tc>
          <w:tcPr>
            <w:tcW w:w="3618" w:type="dxa"/>
            <w:noWrap w:val="0"/>
            <w:vAlign w:val="center"/>
          </w:tcPr>
          <w:p>
            <w:pPr>
              <w:spacing w:line="300" w:lineRule="exact"/>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在</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书面通知监理人进场后5日内，</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本合同约定</w:t>
            </w:r>
            <w:r>
              <w:rPr>
                <w:rFonts w:hint="eastAsia" w:ascii="Times New Roman" w:hAnsi="Times New Roman" w:eastAsia="仿宋_GB2312" w:cs="仿宋"/>
                <w:color w:val="000000" w:themeColor="text1"/>
                <w:szCs w:val="21"/>
                <w:highlight w:val="none"/>
                <w14:textFill>
                  <w14:solidFill>
                    <w14:schemeClr w14:val="tx1"/>
                  </w14:solidFill>
                </w14:textFill>
              </w:rPr>
              <w:t>的总监理工程师不到位，或到位后又离开，造成该岗位空缺</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的，每空缺一天按右表列明金额支付违约金一次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，并按发包人要求限期整改；若逾期未完成整改的，发包人有权单方解除合同。</w:t>
            </w:r>
          </w:p>
        </w:tc>
        <w:tc>
          <w:tcPr>
            <w:tcW w:w="1001" w:type="dxa"/>
            <w:gridSpan w:val="2"/>
            <w:noWrap w:val="0"/>
            <w:vAlign w:val="center"/>
          </w:tcPr>
          <w:p>
            <w:pPr>
              <w:widowControl/>
              <w:jc w:val="center"/>
              <w:rPr>
                <w:highlight w:val="none"/>
              </w:rPr>
            </w:pPr>
            <w:r>
              <w:rPr>
                <w:rFonts w:hint="eastAsia" w:ascii="宋体" w:hAnsi="宋体" w:eastAsia="宋体" w:cs="宋体"/>
                <w:b/>
                <w:bCs/>
                <w:color w:val="000000" w:themeColor="text1"/>
                <w:kern w:val="0"/>
                <w:sz w:val="20"/>
                <w:highlight w:val="none"/>
                <w:lang w:val="en-US" w:eastAsia="zh-CN"/>
                <w14:textFill>
                  <w14:solidFill>
                    <w14:schemeClr w14:val="tx1"/>
                  </w14:solidFill>
                </w14:textFill>
              </w:rPr>
              <w:t>1500元</w:t>
            </w:r>
          </w:p>
        </w:tc>
        <w:tc>
          <w:tcPr>
            <w:tcW w:w="1327" w:type="dxa"/>
            <w:noWrap w:val="0"/>
            <w:vAlign w:val="center"/>
          </w:tcPr>
          <w:p>
            <w:pPr>
              <w:widowControl/>
              <w:jc w:val="center"/>
              <w:rPr>
                <w:highlight w:val="none"/>
              </w:rPr>
            </w:pPr>
            <w:r>
              <w:rPr>
                <w:rFonts w:hint="eastAsia" w:ascii="宋体" w:hAnsi="宋体" w:eastAsia="宋体" w:cs="宋体"/>
                <w:b/>
                <w:bCs/>
                <w:color w:val="000000" w:themeColor="text1"/>
                <w:kern w:val="0"/>
                <w:sz w:val="20"/>
                <w:highlight w:val="none"/>
                <w:lang w:val="en-US" w:eastAsia="zh-CN"/>
                <w14:textFill>
                  <w14:solidFill>
                    <w14:schemeClr w14:val="tx1"/>
                  </w14:solidFill>
                </w14:textFill>
              </w:rPr>
              <w:t>3000元</w:t>
            </w:r>
          </w:p>
        </w:tc>
        <w:tc>
          <w:tcPr>
            <w:tcW w:w="1245" w:type="dxa"/>
            <w:noWrap w:val="0"/>
            <w:vAlign w:val="center"/>
          </w:tcPr>
          <w:p>
            <w:pPr>
              <w:widowControl/>
              <w:jc w:val="center"/>
              <w:rPr>
                <w:highlight w:val="none"/>
              </w:rPr>
            </w:pPr>
            <w:r>
              <w:rPr>
                <w:rFonts w:hint="eastAsia" w:ascii="宋体" w:hAnsi="宋体" w:eastAsia="宋体" w:cs="宋体"/>
                <w:b/>
                <w:bCs/>
                <w:color w:val="000000" w:themeColor="text1"/>
                <w:kern w:val="0"/>
                <w:sz w:val="20"/>
                <w:highlight w:val="none"/>
                <w:lang w:val="en-US" w:eastAsia="zh-CN"/>
                <w14:textFill>
                  <w14:solidFill>
                    <w14:schemeClr w14:val="tx1"/>
                  </w14:solidFill>
                </w14:textFill>
              </w:rPr>
              <w:t>4500元</w:t>
            </w:r>
          </w:p>
        </w:tc>
        <w:tc>
          <w:tcPr>
            <w:tcW w:w="1192" w:type="dxa"/>
            <w:noWrap w:val="0"/>
            <w:vAlign w:val="center"/>
          </w:tcPr>
          <w:p>
            <w:pPr>
              <w:widowControl/>
              <w:jc w:val="center"/>
              <w:rPr>
                <w:highlight w:val="none"/>
              </w:rPr>
            </w:pPr>
            <w:r>
              <w:rPr>
                <w:rFonts w:hint="eastAsia" w:ascii="宋体" w:hAnsi="宋体" w:eastAsia="宋体" w:cs="宋体"/>
                <w:b/>
                <w:bCs/>
                <w:color w:val="000000" w:themeColor="text1"/>
                <w:kern w:val="0"/>
                <w:sz w:val="20"/>
                <w:highlight w:val="none"/>
                <w:lang w:val="en-US" w:eastAsia="zh-CN"/>
                <w14:textFill>
                  <w14:solidFill>
                    <w14:schemeClr w14:val="tx1"/>
                  </w14:solidFill>
                </w14:textFill>
              </w:rPr>
              <w:t>7000元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1.2</w:t>
            </w:r>
          </w:p>
        </w:tc>
        <w:tc>
          <w:tcPr>
            <w:tcW w:w="3618" w:type="dxa"/>
            <w:noWrap w:val="0"/>
            <w:vAlign w:val="center"/>
          </w:tcPr>
          <w:p>
            <w:pPr>
              <w:spacing w:line="300" w:lineRule="exact"/>
              <w:rPr>
                <w:rFonts w:hint="default" w:ascii="Times New Roman" w:hAnsi="Times New Roman" w:eastAsia="仿宋_GB2312" w:cs="仿宋"/>
                <w:color w:val="000000" w:themeColor="text1"/>
                <w:szCs w:val="21"/>
                <w:highlight w:val="none"/>
                <w:lang w:val="en-US"/>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依据经发包人批准的监理人员进场计划，监理人承诺的监理人员在应进场后3日内尚未进场的，</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每人每空缺一天，按右表列明金额支付违约金一次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，并按发包人要求限期整改；若逾期未完成整改的，发包人有权单方解除合同。</w:t>
            </w:r>
          </w:p>
        </w:tc>
        <w:tc>
          <w:tcPr>
            <w:tcW w:w="1001" w:type="dxa"/>
            <w:gridSpan w:val="2"/>
            <w:noWrap w:val="0"/>
            <w:vAlign w:val="center"/>
          </w:tcPr>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0"/>
                <w:highlight w:val="none"/>
                <w:lang w:val="en-US" w:eastAsia="zh-CN"/>
                <w14:textFill>
                  <w14:solidFill>
                    <w14:schemeClr w14:val="tx1"/>
                  </w14:solidFill>
                </w14:textFill>
              </w:rPr>
              <w:t>500元</w:t>
            </w:r>
          </w:p>
        </w:tc>
        <w:tc>
          <w:tcPr>
            <w:tcW w:w="1327" w:type="dxa"/>
            <w:noWrap w:val="0"/>
            <w:vAlign w:val="center"/>
          </w:tcPr>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1.3</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驻场人员未按合同约定或发包人要求按时到位或到位后又离开，造成该岗位空缺，</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每人每空缺一天，按右表列明金额支付违约金一次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，并按发包人要求限期整改；若逾期未完成整改的，发包人有权单方解除合同。</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kern w:val="0"/>
                <w:sz w:val="20"/>
                <w:highlight w:val="none"/>
                <w:lang w:val="en-US" w:eastAsia="zh-CN"/>
                <w14:textFill>
                  <w14:solidFill>
                    <w14:schemeClr w14:val="tx1"/>
                  </w14:solidFill>
                </w14:textFill>
              </w:rPr>
              <w:t>500元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blHeader/>
        </w:trPr>
        <w:tc>
          <w:tcPr>
            <w:tcW w:w="688" w:type="dxa"/>
            <w:noWrap w:val="0"/>
            <w:vAlign w:val="center"/>
          </w:tcPr>
          <w:p>
            <w:pPr>
              <w:spacing w:line="300" w:lineRule="exact"/>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1.4</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投标文件（或报价文件）中承诺的具有相应监理工程师资质的人数与实际投入不符的，每不符一人应按右表列明金额支付违约金一次，并按发包人要求限期整改；若逾期未完成整改的，发包人有权单方解除合同。</w:t>
            </w:r>
          </w:p>
        </w:tc>
        <w:tc>
          <w:tcPr>
            <w:tcW w:w="1001" w:type="dxa"/>
            <w:gridSpan w:val="2"/>
            <w:noWrap w:val="0"/>
            <w:vAlign w:val="center"/>
          </w:tcPr>
          <w:p>
            <w:pPr>
              <w:widowControl/>
              <w:jc w:val="center"/>
              <w:rPr>
                <w:rFonts w:hint="default" w:ascii="宋体" w:hAnsi="宋体" w:eastAsia="宋体" w:cs="宋体"/>
                <w:b/>
                <w:bCs/>
                <w:color w:val="000000" w:themeColor="text1"/>
                <w:kern w:val="0"/>
                <w:sz w:val="20"/>
                <w:highlight w:val="none"/>
                <w:lang w:val="en-US" w:eastAsia="zh-CN"/>
                <w14:textFill>
                  <w14:solidFill>
                    <w14:schemeClr w14:val="tx1"/>
                  </w14:solidFill>
                </w14:textFill>
              </w:rPr>
            </w:pPr>
            <w:r>
              <w:rPr>
                <w:rFonts w:hint="eastAsia" w:ascii="宋体" w:hAnsi="宋体" w:eastAsia="宋体" w:cs="宋体"/>
                <w:b/>
                <w:bCs/>
                <w:color w:val="000000" w:themeColor="text1"/>
                <w:kern w:val="0"/>
                <w:sz w:val="20"/>
                <w:highlight w:val="none"/>
                <w:lang w:val="en-US" w:eastAsia="zh-CN"/>
                <w14:textFill>
                  <w14:solidFill>
                    <w14:schemeClr w14:val="tx1"/>
                  </w14:solidFill>
                </w14:textFill>
              </w:rPr>
              <w:t>1500元</w:t>
            </w:r>
          </w:p>
        </w:tc>
        <w:tc>
          <w:tcPr>
            <w:tcW w:w="1327" w:type="dxa"/>
            <w:noWrap w:val="0"/>
            <w:vAlign w:val="center"/>
          </w:tcPr>
          <w:p>
            <w:pPr>
              <w:widowControl/>
              <w:jc w:val="center"/>
              <w:rPr>
                <w:rFonts w:hint="default" w:ascii="宋体" w:hAnsi="宋体" w:eastAsia="宋体" w:cs="宋体"/>
                <w:b/>
                <w:bCs/>
                <w:color w:val="000000" w:themeColor="text1"/>
                <w:kern w:val="0"/>
                <w:sz w:val="20"/>
                <w:highlight w:val="none"/>
                <w:lang w:val="en-US" w:eastAsia="zh-CN"/>
                <w14:textFill>
                  <w14:solidFill>
                    <w14:schemeClr w14:val="tx1"/>
                  </w14:solidFill>
                </w14:textFill>
              </w:rPr>
            </w:pPr>
            <w:r>
              <w:rPr>
                <w:rFonts w:hint="eastAsia" w:ascii="宋体" w:hAnsi="宋体" w:eastAsia="宋体" w:cs="宋体"/>
                <w:b/>
                <w:bCs/>
                <w:color w:val="000000" w:themeColor="text1"/>
                <w:kern w:val="0"/>
                <w:sz w:val="20"/>
                <w:highlight w:val="none"/>
                <w:lang w:val="en-US" w:eastAsia="zh-CN"/>
                <w14:textFill>
                  <w14:solidFill>
                    <w14:schemeClr w14:val="tx1"/>
                  </w14:solidFill>
                </w14:textFill>
              </w:rPr>
              <w:t>3000元</w:t>
            </w:r>
          </w:p>
        </w:tc>
        <w:tc>
          <w:tcPr>
            <w:tcW w:w="1245" w:type="dxa"/>
            <w:noWrap w:val="0"/>
            <w:vAlign w:val="center"/>
          </w:tcPr>
          <w:p>
            <w:pPr>
              <w:widowControl/>
              <w:jc w:val="center"/>
              <w:rPr>
                <w:rFonts w:hint="default" w:ascii="宋体" w:hAnsi="宋体" w:eastAsia="宋体" w:cs="宋体"/>
                <w:b/>
                <w:bCs/>
                <w:color w:val="000000" w:themeColor="text1"/>
                <w:kern w:val="0"/>
                <w:sz w:val="20"/>
                <w:highlight w:val="none"/>
                <w:lang w:val="en-US" w:eastAsia="zh-CN"/>
                <w14:textFill>
                  <w14:solidFill>
                    <w14:schemeClr w14:val="tx1"/>
                  </w14:solidFill>
                </w14:textFill>
              </w:rPr>
            </w:pPr>
            <w:r>
              <w:rPr>
                <w:rFonts w:hint="eastAsia" w:ascii="宋体" w:hAnsi="宋体" w:eastAsia="宋体" w:cs="宋体"/>
                <w:b/>
                <w:bCs/>
                <w:color w:val="000000" w:themeColor="text1"/>
                <w:kern w:val="0"/>
                <w:sz w:val="20"/>
                <w:highlight w:val="none"/>
                <w:lang w:val="en-US" w:eastAsia="zh-CN"/>
                <w14:textFill>
                  <w14:solidFill>
                    <w14:schemeClr w14:val="tx1"/>
                  </w14:solidFill>
                </w14:textFill>
              </w:rPr>
              <w:t>4500元</w:t>
            </w:r>
          </w:p>
        </w:tc>
        <w:tc>
          <w:tcPr>
            <w:tcW w:w="1192" w:type="dxa"/>
            <w:noWrap w:val="0"/>
            <w:vAlign w:val="center"/>
          </w:tcPr>
          <w:p>
            <w:pPr>
              <w:widowControl/>
              <w:jc w:val="center"/>
              <w:rPr>
                <w:rFonts w:hint="default" w:ascii="宋体" w:hAnsi="宋体" w:eastAsia="宋体" w:cs="宋体"/>
                <w:b/>
                <w:bCs/>
                <w:color w:val="000000" w:themeColor="text1"/>
                <w:kern w:val="0"/>
                <w:sz w:val="20"/>
                <w:highlight w:val="none"/>
                <w:lang w:val="en-US" w:eastAsia="zh-CN"/>
                <w14:textFill>
                  <w14:solidFill>
                    <w14:schemeClr w14:val="tx1"/>
                  </w14:solidFill>
                </w14:textFill>
              </w:rPr>
            </w:pPr>
            <w:r>
              <w:rPr>
                <w:rFonts w:hint="eastAsia" w:ascii="宋体" w:hAnsi="宋体" w:eastAsia="宋体" w:cs="宋体"/>
                <w:b/>
                <w:bCs/>
                <w:color w:val="000000" w:themeColor="text1"/>
                <w:kern w:val="0"/>
                <w:sz w:val="20"/>
                <w:highlight w:val="none"/>
                <w:lang w:val="en-US" w:eastAsia="zh-CN"/>
                <w14:textFill>
                  <w14:solidFill>
                    <w14:schemeClr w14:val="tx1"/>
                  </w14:solidFill>
                </w14:textFill>
              </w:rPr>
              <w:t>7000元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blHeader/>
        </w:trPr>
        <w:tc>
          <w:tcPr>
            <w:tcW w:w="688" w:type="dxa"/>
            <w:noWrap w:val="0"/>
            <w:vAlign w:val="center"/>
          </w:tcPr>
          <w:p>
            <w:pPr>
              <w:spacing w:line="300" w:lineRule="exact"/>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1.5</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监理人组织或协助组织的工程例会或其他会议，到会单位不齐、人员不符等，未及时通知发包人进行处理的，从第三次开始，每次按右表列明金额支付违约金。</w:t>
            </w:r>
          </w:p>
        </w:tc>
        <w:tc>
          <w:tcPr>
            <w:tcW w:w="1001" w:type="dxa"/>
            <w:gridSpan w:val="2"/>
            <w:noWrap w:val="0"/>
            <w:vAlign w:val="center"/>
          </w:tcPr>
          <w:p>
            <w:pPr>
              <w:widowControl/>
              <w:jc w:val="center"/>
              <w:rPr>
                <w:rFonts w:hint="eastAsia" w:ascii="Times New Roman" w:hAnsi="Times New Roman" w:eastAsia="宋体"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1500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3000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4500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6000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1.</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6</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更换</w:t>
            </w:r>
            <w:r>
              <w:rPr>
                <w:rFonts w:hint="eastAsia" w:ascii="Times New Roman" w:hAnsi="Times New Roman" w:eastAsia="仿宋_GB2312" w:cs="仿宋"/>
                <w:color w:val="000000" w:themeColor="text1"/>
                <w:szCs w:val="21"/>
                <w:highlight w:val="none"/>
                <w14:textFill>
                  <w14:solidFill>
                    <w14:schemeClr w14:val="tx1"/>
                  </w14:solidFill>
                </w14:textFill>
              </w:rPr>
              <w:t>监理人员</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的：</w:t>
            </w:r>
          </w:p>
          <w:p>
            <w:pPr>
              <w:spacing w:line="300" w:lineRule="exact"/>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经发包人同意更换或应发包人要求更换的，</w:t>
            </w:r>
            <w:r>
              <w:rPr>
                <w:rFonts w:hint="eastAsia" w:ascii="Times New Roman" w:hAnsi="Times New Roman" w:eastAsia="仿宋_GB2312" w:cs="仿宋"/>
                <w:color w:val="000000" w:themeColor="text1"/>
                <w:szCs w:val="21"/>
                <w:highlight w:val="none"/>
                <w14:textFill>
                  <w14:solidFill>
                    <w14:schemeClr w14:val="tx1"/>
                  </w14:solidFill>
                </w14:textFill>
              </w:rPr>
              <w:t>每人每次更换，分别</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按右表所列情形及金额支付一次违约金；若未经发包人同意</w:t>
            </w:r>
            <w: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t>擅自更换的，按前述标准的二倍承担违约责任，且若发包人认为更换人员不符合要求的，有权要求限期整改，逾期未完成整改的，发包人有权单方解除合同。</w:t>
            </w:r>
          </w:p>
          <w:p>
            <w:pPr>
              <w:spacing w:line="300" w:lineRule="exact"/>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A</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 xml:space="preserve"> </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：总监理工程师；</w:t>
            </w:r>
            <w:r>
              <w:rPr>
                <w:rFonts w:hint="eastAsia" w:ascii="Times New Roman" w:hAnsi="Times New Roman" w:eastAsia="仿宋_GB2312" w:cs="仿宋"/>
                <w:color w:val="000000" w:themeColor="text1"/>
                <w:szCs w:val="21"/>
                <w:highlight w:val="none"/>
                <w14:textFill>
                  <w14:solidFill>
                    <w14:schemeClr w14:val="tx1"/>
                  </w14:solidFill>
                </w14:textFill>
              </w:rPr>
              <w:t>B</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 xml:space="preserve"> </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14:textFill>
                  <w14:solidFill>
                    <w14:schemeClr w14:val="tx1"/>
                  </w14:solidFill>
                </w14:textFill>
              </w:rPr>
              <w:t>副总监/总监代表、合同管理工程师/计量工程师/造价人员；</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 xml:space="preserve"> C </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14:textFill>
                  <w14:solidFill>
                    <w14:schemeClr w14:val="tx1"/>
                  </w14:solidFill>
                </w14:textFill>
              </w:rPr>
              <w:t>专业监理工程师</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 xml:space="preserve">D </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14:textFill>
                  <w14:solidFill>
                    <w14:schemeClr w14:val="tx1"/>
                  </w14:solidFill>
                </w14:textFill>
              </w:rPr>
              <w:t>一般监理工程师</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w:t>
            </w:r>
          </w:p>
        </w:tc>
        <w:tc>
          <w:tcPr>
            <w:tcW w:w="1001" w:type="dxa"/>
            <w:gridSpan w:val="2"/>
            <w:noWrap w:val="0"/>
            <w:vAlign w:val="center"/>
          </w:tcPr>
          <w:p>
            <w:pPr>
              <w:widowControl/>
              <w:numPr>
                <w:ilvl w:val="0"/>
                <w:numId w:val="4"/>
              </w:numPr>
              <w:jc w:val="center"/>
              <w:rPr>
                <w:rFonts w:hint="eastAsia" w:ascii="宋体" w:hAnsi="宋体" w:eastAsia="宋体" w:cs="宋体"/>
                <w:b/>
                <w:bCs/>
                <w:color w:val="000000" w:themeColor="text1"/>
                <w:kern w:val="0"/>
                <w:sz w:val="20"/>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15000元</w:t>
            </w:r>
          </w:p>
          <w:p>
            <w:pPr>
              <w:widowControl/>
              <w:numPr>
                <w:ilvl w:val="0"/>
                <w:numId w:val="4"/>
              </w:numPr>
              <w:jc w:val="center"/>
              <w:rPr>
                <w:rFonts w:hint="eastAsia" w:ascii="宋体" w:hAnsi="宋体" w:eastAsia="宋体" w:cs="宋体"/>
                <w:b/>
                <w:bCs/>
                <w:color w:val="000000" w:themeColor="text1"/>
                <w:kern w:val="0"/>
                <w:sz w:val="20"/>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numPr>
                <w:ilvl w:val="0"/>
                <w:numId w:val="4"/>
              </w:numPr>
              <w:ind w:left="0" w:leftChars="0" w:firstLine="0" w:firstLineChars="0"/>
              <w:jc w:val="center"/>
              <w:rPr>
                <w:rFonts w:hint="eastAsia" w:ascii="宋体" w:hAnsi="宋体" w:eastAsia="宋体" w:cs="宋体"/>
                <w:b/>
                <w:bCs/>
                <w:color w:val="000000" w:themeColor="text1"/>
                <w:kern w:val="0"/>
                <w:sz w:val="20"/>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 xml:space="preserve"> </w:t>
            </w:r>
            <w:r>
              <w:rPr>
                <w:rFonts w:hint="eastAsia" w:ascii="宋体" w:hAnsi="宋体" w:cs="宋体"/>
                <w:b/>
                <w:bCs/>
                <w:color w:val="000000" w:themeColor="text1"/>
                <w:kern w:val="0"/>
                <w:sz w:val="20"/>
                <w:highlight w:val="none"/>
                <w14:textFill>
                  <w14:solidFill>
                    <w14:schemeClr w14:val="tx1"/>
                  </w14:solidFill>
                </w14:textFill>
              </w:rPr>
              <w:t>5000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numPr>
                <w:ilvl w:val="0"/>
                <w:numId w:val="4"/>
              </w:numPr>
              <w:ind w:left="0" w:leftChars="0" w:firstLine="0" w:firstLineChars="0"/>
              <w:jc w:val="center"/>
              <w:rPr>
                <w:rFonts w:hint="eastAsia" w:ascii="Times New Roman" w:hAnsi="Times New Roman" w:eastAsia="宋体"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 xml:space="preserve"> </w:t>
            </w:r>
            <w:r>
              <w:rPr>
                <w:rFonts w:hint="eastAsia" w:ascii="宋体" w:hAnsi="宋体" w:cs="宋体"/>
                <w:b/>
                <w:bCs/>
                <w:color w:val="000000" w:themeColor="text1"/>
                <w:kern w:val="0"/>
                <w:sz w:val="20"/>
                <w:highlight w:val="none"/>
                <w14:textFill>
                  <w14:solidFill>
                    <w14:schemeClr w14:val="tx1"/>
                  </w14:solidFill>
                </w14:textFill>
              </w:rPr>
              <w:t>2500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numPr>
                <w:ilvl w:val="0"/>
                <w:numId w:val="5"/>
              </w:numPr>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25000元</w:t>
            </w:r>
          </w:p>
          <w:p>
            <w:pPr>
              <w:widowControl/>
              <w:numPr>
                <w:ilvl w:val="0"/>
                <w:numId w:val="5"/>
              </w:numPr>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20000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numPr>
                <w:ilvl w:val="0"/>
                <w:numId w:val="5"/>
              </w:numPr>
              <w:ind w:left="0" w:leftChars="0" w:firstLine="0" w:firstLineChars="0"/>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numPr>
                <w:ilvl w:val="0"/>
                <w:numId w:val="5"/>
              </w:numPr>
              <w:ind w:left="0" w:leftChars="0" w:firstLine="0" w:firstLineChars="0"/>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 xml:space="preserve"> </w:t>
            </w:r>
            <w:r>
              <w:rPr>
                <w:rFonts w:hint="eastAsia" w:ascii="宋体" w:hAnsi="宋体" w:cs="宋体"/>
                <w:b/>
                <w:bCs/>
                <w:color w:val="000000" w:themeColor="text1"/>
                <w:kern w:val="0"/>
                <w:sz w:val="20"/>
                <w:highlight w:val="none"/>
                <w14:textFill>
                  <w14:solidFill>
                    <w14:schemeClr w14:val="tx1"/>
                  </w14:solidFill>
                </w14:textFill>
              </w:rPr>
              <w:t>5000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numPr>
                <w:ilvl w:val="0"/>
                <w:numId w:val="6"/>
              </w:numPr>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35000元</w:t>
            </w:r>
          </w:p>
          <w:p>
            <w:pPr>
              <w:widowControl/>
              <w:numPr>
                <w:ilvl w:val="0"/>
                <w:numId w:val="6"/>
              </w:numPr>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30000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numPr>
                <w:ilvl w:val="0"/>
                <w:numId w:val="6"/>
              </w:numPr>
              <w:ind w:left="0" w:leftChars="0" w:firstLine="0" w:firstLineChars="0"/>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15000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numPr>
                <w:ilvl w:val="0"/>
                <w:numId w:val="6"/>
              </w:numPr>
              <w:ind w:left="0" w:leftChars="0" w:firstLine="0" w:firstLineChars="0"/>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 xml:space="preserve"> </w:t>
            </w:r>
            <w:r>
              <w:rPr>
                <w:rFonts w:hint="eastAsia" w:ascii="宋体" w:hAnsi="宋体" w:cs="宋体"/>
                <w:b/>
                <w:bCs/>
                <w:color w:val="000000" w:themeColor="text1"/>
                <w:kern w:val="0"/>
                <w:sz w:val="20"/>
                <w:highlight w:val="none"/>
                <w14:textFill>
                  <w14:solidFill>
                    <w14:schemeClr w14:val="tx1"/>
                  </w14:solidFill>
                </w14:textFill>
              </w:rPr>
              <w:t>7500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numPr>
                <w:ilvl w:val="0"/>
                <w:numId w:val="7"/>
              </w:numPr>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45000元</w:t>
            </w:r>
          </w:p>
          <w:p>
            <w:pPr>
              <w:widowControl/>
              <w:numPr>
                <w:ilvl w:val="0"/>
                <w:numId w:val="7"/>
              </w:numPr>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40000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numPr>
                <w:ilvl w:val="0"/>
                <w:numId w:val="7"/>
              </w:numPr>
              <w:ind w:left="0" w:leftChars="0" w:firstLine="0" w:firstLineChars="0"/>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20000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numPr>
                <w:ilvl w:val="0"/>
                <w:numId w:val="7"/>
              </w:numPr>
              <w:ind w:left="0" w:leftChars="0" w:firstLine="0" w:firstLineChars="0"/>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10000</w:t>
            </w:r>
            <w:r>
              <w:rPr>
                <w:rFonts w:hint="eastAsia" w:ascii="宋体" w:hAnsi="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1.</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7</w:t>
            </w:r>
          </w:p>
        </w:tc>
        <w:tc>
          <w:tcPr>
            <w:tcW w:w="3618" w:type="dxa"/>
            <w:noWrap w:val="0"/>
            <w:vAlign w:val="center"/>
          </w:tcPr>
          <w:p>
            <w:pPr>
              <w:spacing w:line="300" w:lineRule="exact"/>
              <w:rPr>
                <w:rFonts w:hint="default" w:ascii="Times New Roman" w:hAnsi="Times New Roman" w:eastAsia="仿宋_GB2312" w:cs="仿宋"/>
                <w:color w:val="000000" w:themeColor="text1"/>
                <w:szCs w:val="21"/>
                <w:highlight w:val="none"/>
                <w:lang w:val="en-US"/>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更换</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2.2.1条款约定的人员</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未进行培训或未做好工作交接的，</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每人每次按右表列明金额支付违约金一次。</w:t>
            </w:r>
          </w:p>
        </w:tc>
        <w:tc>
          <w:tcPr>
            <w:tcW w:w="1001" w:type="dxa"/>
            <w:gridSpan w:val="2"/>
            <w:noWrap w:val="0"/>
            <w:vAlign w:val="center"/>
          </w:tcPr>
          <w:p>
            <w:pPr>
              <w:widowControl/>
              <w:jc w:val="center"/>
              <w:rPr>
                <w:highlight w:val="none"/>
              </w:rPr>
            </w:pPr>
            <w:r>
              <w:rPr>
                <w:rFonts w:hint="eastAsia" w:ascii="宋体" w:hAnsi="宋体" w:eastAsia="宋体" w:cs="宋体"/>
                <w:b/>
                <w:bCs/>
                <w:color w:val="000000" w:themeColor="text1"/>
                <w:kern w:val="0"/>
                <w:sz w:val="20"/>
                <w:highlight w:val="none"/>
                <w:lang w:val="en-US" w:eastAsia="zh-CN"/>
                <w14:textFill>
                  <w14:solidFill>
                    <w14:schemeClr w14:val="tx1"/>
                  </w14:solidFill>
                </w14:textFill>
              </w:rPr>
              <w:t>500元</w:t>
            </w:r>
          </w:p>
        </w:tc>
        <w:tc>
          <w:tcPr>
            <w:tcW w:w="1327"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15</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1.</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8</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未能按</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要求更换不称职监理人员的</w:t>
            </w:r>
          </w:p>
        </w:tc>
        <w:tc>
          <w:tcPr>
            <w:tcW w:w="4765" w:type="dxa"/>
            <w:gridSpan w:val="5"/>
            <w:noWrap w:val="0"/>
            <w:vAlign w:val="center"/>
          </w:tcPr>
          <w:p>
            <w:pPr>
              <w:spacing w:line="300" w:lineRule="exact"/>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视为</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监理</w:t>
            </w:r>
            <w:r>
              <w:rPr>
                <w:rFonts w:hint="eastAsia" w:ascii="Times New Roman" w:hAnsi="Times New Roman" w:eastAsia="仿宋_GB2312" w:cs="仿宋"/>
                <w:color w:val="000000" w:themeColor="text1"/>
                <w:szCs w:val="21"/>
                <w:highlight w:val="none"/>
                <w14:textFill>
                  <w14:solidFill>
                    <w14:schemeClr w14:val="tx1"/>
                  </w14:solidFill>
                </w14:textFill>
              </w:rPr>
              <w:t>岗位空缺，监理人应按照本表1.1、1.2</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1.3</w:t>
            </w:r>
            <w:r>
              <w:rPr>
                <w:rFonts w:hint="eastAsia" w:ascii="Times New Roman" w:hAnsi="Times New Roman" w:eastAsia="仿宋_GB2312" w:cs="仿宋"/>
                <w:color w:val="000000" w:themeColor="text1"/>
                <w:szCs w:val="21"/>
                <w:highlight w:val="none"/>
                <w14:textFill>
                  <w14:solidFill>
                    <w14:schemeClr w14:val="tx1"/>
                  </w14:solidFill>
                </w14:textFill>
              </w:rPr>
              <w:t>承担</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相应</w:t>
            </w:r>
            <w:r>
              <w:rPr>
                <w:rFonts w:hint="eastAsia" w:ascii="Times New Roman" w:hAnsi="Times New Roman" w:eastAsia="仿宋_GB2312" w:cs="仿宋"/>
                <w:color w:val="000000" w:themeColor="text1"/>
                <w:szCs w:val="21"/>
                <w:highlight w:val="none"/>
                <w14:textFill>
                  <w14:solidFill>
                    <w14:schemeClr w14:val="tx1"/>
                  </w14:solidFill>
                </w14:textFill>
              </w:rPr>
              <w:t>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1.</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9</w:t>
            </w:r>
          </w:p>
        </w:tc>
        <w:tc>
          <w:tcPr>
            <w:tcW w:w="3618" w:type="dxa"/>
            <w:noWrap w:val="0"/>
            <w:vAlign w:val="center"/>
          </w:tcPr>
          <w:p>
            <w:pPr>
              <w:numPr>
                <w:ilvl w:val="0"/>
                <w:numId w:val="0"/>
              </w:num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监理人未按合同约定驻地办公：</w:t>
            </w:r>
          </w:p>
          <w:p>
            <w:pPr>
              <w:numPr>
                <w:ilvl w:val="0"/>
                <w:numId w:val="8"/>
              </w:num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总监理工程师每月驻场少于20天，</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或</w:t>
            </w:r>
            <w:r>
              <w:rPr>
                <w:rFonts w:hint="eastAsia" w:ascii="Times New Roman" w:hAnsi="Times New Roman" w:eastAsia="仿宋_GB2312" w:cs="仿宋"/>
                <w:color w:val="000000" w:themeColor="text1"/>
                <w:szCs w:val="21"/>
                <w:highlight w:val="none"/>
                <w14:textFill>
                  <w14:solidFill>
                    <w14:schemeClr w14:val="tx1"/>
                  </w14:solidFill>
                </w14:textFill>
              </w:rPr>
              <w:t>工作日未经</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代表批准不在场，每天</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按右表承担一次</w:t>
            </w:r>
            <w:r>
              <w:rPr>
                <w:rFonts w:hint="eastAsia" w:ascii="Times New Roman" w:hAnsi="Times New Roman" w:eastAsia="仿宋_GB2312" w:cs="仿宋"/>
                <w:color w:val="000000" w:themeColor="text1"/>
                <w:szCs w:val="21"/>
                <w:highlight w:val="none"/>
                <w14:textFill>
                  <w14:solidFill>
                    <w14:schemeClr w14:val="tx1"/>
                  </w14:solidFill>
                </w14:textFill>
              </w:rPr>
              <w:t>A</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等违约金</w:t>
            </w:r>
            <w:r>
              <w:rPr>
                <w:rFonts w:hint="eastAsia" w:ascii="Times New Roman" w:hAnsi="Times New Roman" w:eastAsia="仿宋_GB2312" w:cs="仿宋"/>
                <w:color w:val="000000" w:themeColor="text1"/>
                <w:szCs w:val="21"/>
                <w:highlight w:val="none"/>
                <w14:textFill>
                  <w14:solidFill>
                    <w14:schemeClr w14:val="tx1"/>
                  </w14:solidFill>
                </w14:textFill>
              </w:rPr>
              <w:t>。</w:t>
            </w:r>
          </w:p>
          <w:p>
            <w:pPr>
              <w:numPr>
                <w:ilvl w:val="0"/>
                <w:numId w:val="0"/>
              </w:num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2）各专业监理工程师工作日不在场1天以内但未经总监理工程师批准的，或在工作离场2天及以上未经发包人代表批准的，每天按右表承担一次</w:t>
            </w:r>
            <w:r>
              <w:rPr>
                <w:rFonts w:hint="eastAsia" w:ascii="Times New Roman" w:hAnsi="Times New Roman" w:eastAsia="仿宋_GB2312" w:cs="仿宋"/>
                <w:color w:val="000000" w:themeColor="text1"/>
                <w:szCs w:val="21"/>
                <w:highlight w:val="none"/>
                <w14:textFill>
                  <w14:solidFill>
                    <w14:schemeClr w14:val="tx1"/>
                  </w14:solidFill>
                </w14:textFill>
              </w:rPr>
              <w:t>B</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等违约金。</w:t>
            </w:r>
          </w:p>
        </w:tc>
        <w:tc>
          <w:tcPr>
            <w:tcW w:w="1001" w:type="dxa"/>
            <w:gridSpan w:val="2"/>
            <w:noWrap w:val="0"/>
            <w:vAlign w:val="center"/>
          </w:tcPr>
          <w:p>
            <w:pPr>
              <w:widowControl/>
              <w:numPr>
                <w:ilvl w:val="0"/>
                <w:numId w:val="9"/>
              </w:numPr>
              <w:jc w:val="center"/>
              <w:rPr>
                <w:rFonts w:hint="eastAsia" w:ascii="宋体" w:hAnsi="宋体" w:eastAsia="宋体" w:cs="宋体"/>
                <w:b/>
                <w:bCs/>
                <w:color w:val="000000" w:themeColor="text1"/>
                <w:kern w:val="0"/>
                <w:sz w:val="20"/>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numPr>
                <w:ilvl w:val="0"/>
                <w:numId w:val="10"/>
              </w:numPr>
              <w:jc w:val="center"/>
              <w:rPr>
                <w:rFonts w:hint="eastAsia" w:ascii="Times New Roman" w:hAnsi="Times New Roman" w:eastAsia="宋体"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500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宋体" w:hAnsi="宋体" w:eastAsia="宋体" w:cs="宋体"/>
                <w:b/>
                <w:bCs/>
                <w:color w:val="000000" w:themeColor="text1"/>
                <w:kern w:val="0"/>
                <w:sz w:val="20"/>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A.1000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jc w:val="center"/>
              <w:rPr>
                <w:rFonts w:hint="eastAsia" w:ascii="Times New Roman" w:hAnsi="Times New Roman" w:eastAsia="宋体"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B.</w:t>
            </w:r>
            <w:r>
              <w:rPr>
                <w:rFonts w:hint="eastAsia" w:ascii="宋体" w:hAnsi="宋体" w:cs="宋体"/>
                <w:b/>
                <w:bCs/>
                <w:color w:val="000000" w:themeColor="text1"/>
                <w:kern w:val="0"/>
                <w:sz w:val="20"/>
                <w:highlight w:val="none"/>
                <w:lang w:val="en-US" w:eastAsia="zh-CN"/>
                <w14:textFill>
                  <w14:solidFill>
                    <w14:schemeClr w14:val="tx1"/>
                  </w14:solidFill>
                </w14:textFill>
              </w:rPr>
              <w:t xml:space="preserve"> </w:t>
            </w:r>
            <w:r>
              <w:rPr>
                <w:rFonts w:hint="eastAsia" w:ascii="宋体" w:hAnsi="宋体" w:cs="宋体"/>
                <w:b/>
                <w:bCs/>
                <w:color w:val="000000" w:themeColor="text1"/>
                <w:kern w:val="0"/>
                <w:sz w:val="20"/>
                <w:highlight w:val="none"/>
                <w14:textFill>
                  <w14:solidFill>
                    <w14:schemeClr w14:val="tx1"/>
                  </w14:solidFill>
                </w14:textFill>
              </w:rPr>
              <w:t>500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宋体" w:hAnsi="宋体" w:eastAsia="宋体" w:cs="宋体"/>
                <w:b/>
                <w:bCs/>
                <w:color w:val="000000" w:themeColor="text1"/>
                <w:kern w:val="0"/>
                <w:sz w:val="20"/>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A.2000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jc w:val="center"/>
              <w:rPr>
                <w:rFonts w:hint="eastAsia" w:ascii="Times New Roman" w:hAnsi="Times New Roman" w:eastAsia="宋体"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B.1000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A.2000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B.1000</w:t>
            </w:r>
            <w:r>
              <w:rPr>
                <w:rFonts w:hint="eastAsia" w:ascii="宋体" w:hAnsi="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1.1</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0</w:t>
            </w:r>
          </w:p>
        </w:tc>
        <w:tc>
          <w:tcPr>
            <w:tcW w:w="3618" w:type="dxa"/>
            <w:noWrap w:val="0"/>
            <w:vAlign w:val="center"/>
          </w:tcPr>
          <w:p>
            <w:pPr>
              <w:spacing w:line="300" w:lineRule="exact"/>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监理人员经</w:t>
            </w:r>
            <w:r>
              <w:rPr>
                <w:rFonts w:hint="eastAsia" w:ascii="Times New Roman" w:hAnsi="Times New Roman" w:eastAsia="仿宋_GB2312" w:cs="仿宋"/>
                <w:color w:val="000000" w:themeColor="text1"/>
                <w:szCs w:val="21"/>
                <w:highlight w:val="none"/>
                <w14:textFill>
                  <w14:solidFill>
                    <w14:schemeClr w14:val="tx1"/>
                  </w14:solidFill>
                </w14:textFill>
              </w:rPr>
              <w:t>审批后在离开期间未按要求委托其他监理工程师（需具有相应资质和能力）全权代表其行使职权的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p>
        </w:tc>
        <w:tc>
          <w:tcPr>
            <w:tcW w:w="1001" w:type="dxa"/>
            <w:gridSpan w:val="2"/>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10000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300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50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1.1</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1</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未经</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同意，总监理工程师未按</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合同约定或发包人</w:t>
            </w:r>
            <w:r>
              <w:rPr>
                <w:rFonts w:hint="eastAsia" w:ascii="Times New Roman" w:hAnsi="Times New Roman" w:eastAsia="仿宋_GB2312" w:cs="仿宋"/>
                <w:color w:val="000000" w:themeColor="text1"/>
                <w:szCs w:val="21"/>
                <w:highlight w:val="none"/>
                <w14:textFill>
                  <w14:solidFill>
                    <w14:schemeClr w14:val="tx1"/>
                  </w14:solidFill>
                </w14:textFill>
              </w:rPr>
              <w:t>要求参与会议</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（包括：例会、发包人召开的协调会及发包人认为必须总监理工程师参与的会议）或相关检查</w:t>
            </w:r>
            <w:r>
              <w:rPr>
                <w:rFonts w:hint="eastAsia" w:ascii="Times New Roman" w:hAnsi="Times New Roman" w:eastAsia="仿宋_GB2312" w:cs="仿宋"/>
                <w:color w:val="000000" w:themeColor="text1"/>
                <w:szCs w:val="21"/>
                <w:highlight w:val="none"/>
                <w14:textFill>
                  <w14:solidFill>
                    <w14:schemeClr w14:val="tx1"/>
                  </w14:solidFill>
                </w14:textFill>
              </w:rPr>
              <w:t>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p>
        </w:tc>
        <w:tc>
          <w:tcPr>
            <w:tcW w:w="1001" w:type="dxa"/>
            <w:gridSpan w:val="2"/>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5000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10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200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30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1.1</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2</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在</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上级主管部门组织的现场检查中，总监理工程师累计不在现场</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三次及以上</w:t>
            </w:r>
            <w:r>
              <w:rPr>
                <w:rFonts w:hint="eastAsia" w:ascii="Times New Roman" w:hAnsi="Times New Roman" w:eastAsia="仿宋_GB2312" w:cs="仿宋"/>
                <w:color w:val="000000" w:themeColor="text1"/>
                <w:szCs w:val="21"/>
                <w:highlight w:val="none"/>
                <w14:textFill>
                  <w14:solidFill>
                    <w14:schemeClr w14:val="tx1"/>
                  </w14:solidFill>
                </w14:textFill>
              </w:rPr>
              <w:t>，</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或</w:t>
            </w:r>
            <w:r>
              <w:rPr>
                <w:rFonts w:hint="eastAsia" w:ascii="Times New Roman" w:hAnsi="Times New Roman" w:eastAsia="仿宋_GB2312" w:cs="仿宋"/>
                <w:color w:val="000000" w:themeColor="text1"/>
                <w:szCs w:val="21"/>
                <w:highlight w:val="none"/>
                <w14:textFill>
                  <w14:solidFill>
                    <w14:schemeClr w14:val="tx1"/>
                  </w14:solidFill>
                </w14:textFill>
              </w:rPr>
              <w:t>专业监理工程师累计不在现场</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三次及以上的，从第三次开始，每次按右表列明金额支付违约金。</w:t>
            </w:r>
          </w:p>
        </w:tc>
        <w:tc>
          <w:tcPr>
            <w:tcW w:w="1001" w:type="dxa"/>
            <w:gridSpan w:val="2"/>
            <w:noWrap w:val="0"/>
            <w:vAlign w:val="center"/>
          </w:tcPr>
          <w:p>
            <w:pPr>
              <w:widowControl/>
              <w:jc w:val="center"/>
              <w:rPr>
                <w:rFonts w:hint="eastAsia" w:ascii="Times New Roman" w:hAnsi="Times New Roman" w:eastAsia="宋体"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2500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5000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7500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10000</w:t>
            </w:r>
            <w:r>
              <w:rPr>
                <w:rFonts w:hint="eastAsia" w:ascii="宋体" w:hAnsi="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1.1</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3</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监理人员在履职过程中未</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按合同约定</w:t>
            </w:r>
            <w:r>
              <w:rPr>
                <w:rFonts w:hint="eastAsia" w:ascii="Times New Roman" w:hAnsi="Times New Roman" w:eastAsia="仿宋_GB2312" w:cs="仿宋"/>
                <w:color w:val="000000" w:themeColor="text1"/>
                <w:szCs w:val="21"/>
                <w:highlight w:val="none"/>
                <w14:textFill>
                  <w14:solidFill>
                    <w14:schemeClr w14:val="tx1"/>
                  </w14:solidFill>
                </w14:textFill>
              </w:rPr>
              <w:t>遵守职业道德</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要求的，</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每人</w:t>
            </w:r>
            <w:r>
              <w:rPr>
                <w:rFonts w:hint="eastAsia" w:ascii="Times New Roman" w:hAnsi="Times New Roman" w:eastAsia="仿宋_GB2312" w:cs="仿宋"/>
                <w:color w:val="000000" w:themeColor="text1"/>
                <w:szCs w:val="21"/>
                <w:highlight w:val="none"/>
                <w14:textFill>
                  <w14:solidFill>
                    <w14:schemeClr w14:val="tx1"/>
                  </w14:solidFill>
                </w14:textFill>
              </w:rPr>
              <w:t>每违约一次，</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按右边列明金额支付违约金一次，</w:t>
            </w:r>
            <w:r>
              <w:rPr>
                <w:rFonts w:hint="eastAsia" w:ascii="Times New Roman" w:hAnsi="Times New Roman" w:eastAsia="仿宋_GB2312" w:cs="仿宋"/>
                <w:color w:val="000000" w:themeColor="text1"/>
                <w:szCs w:val="21"/>
                <w:highlight w:val="none"/>
                <w14:textFill>
                  <w14:solidFill>
                    <w14:schemeClr w14:val="tx1"/>
                  </w14:solidFill>
                </w14:textFill>
              </w:rPr>
              <w:t>情节严重的，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有权</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按前述标准的2倍要求监理人支付违约金，并</w:t>
            </w:r>
            <w:r>
              <w:rPr>
                <w:rFonts w:hint="eastAsia" w:ascii="Times New Roman" w:hAnsi="Times New Roman" w:eastAsia="仿宋_GB2312" w:cs="仿宋"/>
                <w:color w:val="000000" w:themeColor="text1"/>
                <w:szCs w:val="21"/>
                <w:highlight w:val="none"/>
                <w14:textFill>
                  <w14:solidFill>
                    <w14:schemeClr w14:val="tx1"/>
                  </w14:solidFill>
                </w14:textFill>
              </w:rPr>
              <w:t>向有关主管部门反映情况、追究监理人及有关责任人相关责任、要求赔偿损失，并将上述违反职业道德的行为通过新闻媒体公诸于众、移交司法机关追究法律责任。</w:t>
            </w:r>
          </w:p>
        </w:tc>
        <w:tc>
          <w:tcPr>
            <w:tcW w:w="1001" w:type="dxa"/>
            <w:gridSpan w:val="2"/>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10000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300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50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4" w:hRule="atLeast"/>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1.14</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 w:val="18"/>
                <w:szCs w:val="18"/>
                <w:highlight w:val="none"/>
                <w:lang w:eastAsia="zh-CN"/>
                <w14:textFill>
                  <w14:solidFill>
                    <w14:schemeClr w14:val="tx1"/>
                  </w14:solidFill>
                </w14:textFill>
              </w:rPr>
              <w:t>发包人或相关部门</w:t>
            </w:r>
            <w:r>
              <w:rPr>
                <w:rFonts w:hint="eastAsia" w:ascii="Times New Roman" w:hAnsi="Times New Roman" w:eastAsia="仿宋_GB2312" w:cs="仿宋"/>
                <w:color w:val="000000" w:themeColor="text1"/>
                <w:sz w:val="18"/>
                <w:szCs w:val="18"/>
                <w:highlight w:val="none"/>
                <w14:textFill>
                  <w14:solidFill>
                    <w14:schemeClr w14:val="tx1"/>
                  </w14:solidFill>
                </w14:textFill>
              </w:rPr>
              <w:t>核查监理人的《广州市建筑施工实名制管理办法》</w:t>
            </w:r>
            <w:r>
              <w:rPr>
                <w:rFonts w:hint="eastAsia" w:ascii="Times New Roman" w:hAnsi="Times New Roman" w:eastAsia="仿宋_GB2312" w:cs="仿宋"/>
                <w:color w:val="000000" w:themeColor="text1"/>
                <w:sz w:val="18"/>
                <w:szCs w:val="18"/>
                <w:highlight w:val="none"/>
                <w:lang w:eastAsia="zh-CN"/>
                <w14:textFill>
                  <w14:solidFill>
                    <w14:schemeClr w14:val="tx1"/>
                  </w14:solidFill>
                </w14:textFill>
              </w:rPr>
              <w:t>（如有新规定，以适时有效的规定为准）</w:t>
            </w:r>
            <w:r>
              <w:rPr>
                <w:rFonts w:hint="eastAsia" w:ascii="Times New Roman" w:hAnsi="Times New Roman" w:eastAsia="仿宋_GB2312" w:cs="仿宋"/>
                <w:color w:val="000000" w:themeColor="text1"/>
                <w:sz w:val="18"/>
                <w:szCs w:val="18"/>
                <w:highlight w:val="none"/>
                <w14:textFill>
                  <w14:solidFill>
                    <w14:schemeClr w14:val="tx1"/>
                  </w14:solidFill>
                </w14:textFill>
              </w:rPr>
              <w:t>执行情况时，如现场人员与合同约定的人员名单不符且经核实为非监理人本单位人员的，</w:t>
            </w:r>
            <w:r>
              <w:rPr>
                <w:rFonts w:hint="eastAsia" w:ascii="Times New Roman" w:hAnsi="Times New Roman" w:eastAsia="仿宋_GB2312" w:cs="仿宋"/>
                <w:color w:val="000000" w:themeColor="text1"/>
                <w:sz w:val="18"/>
                <w:szCs w:val="18"/>
                <w:highlight w:val="none"/>
                <w:lang w:eastAsia="zh-CN"/>
                <w14:textFill>
                  <w14:solidFill>
                    <w14:schemeClr w14:val="tx1"/>
                  </w14:solidFill>
                </w14:textFill>
              </w:rPr>
              <w:t>每人次须支付一次</w:t>
            </w:r>
            <w:r>
              <w:rPr>
                <w:rFonts w:hint="eastAsia" w:ascii="Times New Roman" w:hAnsi="Times New Roman" w:eastAsia="仿宋_GB2312" w:cs="仿宋"/>
                <w:color w:val="000000" w:themeColor="text1"/>
                <w:sz w:val="18"/>
                <w:szCs w:val="18"/>
                <w:highlight w:val="none"/>
                <w:lang w:val="en-US" w:eastAsia="zh-CN"/>
                <w14:textFill>
                  <w14:solidFill>
                    <w14:schemeClr w14:val="tx1"/>
                  </w14:solidFill>
                </w14:textFill>
              </w:rPr>
              <w:t>B等</w:t>
            </w:r>
            <w:r>
              <w:rPr>
                <w:rFonts w:hint="eastAsia" w:ascii="Times New Roman" w:hAnsi="Times New Roman" w:eastAsia="仿宋_GB2312" w:cs="仿宋"/>
                <w:color w:val="000000" w:themeColor="text1"/>
                <w:sz w:val="18"/>
                <w:szCs w:val="18"/>
                <w:highlight w:val="none"/>
                <w:lang w:eastAsia="zh-CN"/>
                <w14:textFill>
                  <w14:solidFill>
                    <w14:schemeClr w14:val="tx1"/>
                  </w14:solidFill>
                </w14:textFill>
              </w:rPr>
              <w:t>违约金并按发包人要求限期整改；若监理人相关行为，被相关部门认定为违法转包、分包，或逾期未按发包人要求完成整改的，</w:t>
            </w:r>
            <w:r>
              <w:rPr>
                <w:rFonts w:hint="eastAsia" w:ascii="Times New Roman" w:hAnsi="Times New Roman" w:eastAsia="仿宋_GB2312" w:cs="仿宋"/>
                <w:strike w:val="0"/>
                <w:dstrike w:val="0"/>
                <w:color w:val="000000" w:themeColor="text1"/>
                <w:sz w:val="18"/>
                <w:szCs w:val="18"/>
                <w:highlight w:val="none"/>
                <w:lang w:eastAsia="zh-CN"/>
                <w14:textFill>
                  <w14:solidFill>
                    <w14:schemeClr w14:val="tx1"/>
                  </w14:solidFill>
                </w14:textFill>
              </w:rPr>
              <w:t>均</w:t>
            </w:r>
            <w:r>
              <w:rPr>
                <w:rFonts w:hint="eastAsia" w:ascii="Times New Roman" w:hAnsi="Times New Roman" w:eastAsia="仿宋_GB2312" w:cs="仿宋"/>
                <w:color w:val="000000" w:themeColor="text1"/>
                <w:sz w:val="18"/>
                <w:szCs w:val="18"/>
                <w:highlight w:val="none"/>
                <w14:textFill>
                  <w14:solidFill>
                    <w14:schemeClr w14:val="tx1"/>
                  </w14:solidFill>
                </w14:textFill>
              </w:rPr>
              <w:t>视为</w:t>
            </w:r>
            <w:r>
              <w:rPr>
                <w:rFonts w:hint="eastAsia" w:ascii="Times New Roman" w:hAnsi="Times New Roman" w:eastAsia="仿宋_GB2312" w:cs="仿宋"/>
                <w:color w:val="000000" w:themeColor="text1"/>
                <w:sz w:val="18"/>
                <w:szCs w:val="18"/>
                <w:highlight w:val="none"/>
                <w:lang w:eastAsia="zh-CN"/>
                <w14:textFill>
                  <w14:solidFill>
                    <w14:schemeClr w14:val="tx1"/>
                  </w14:solidFill>
                </w14:textFill>
              </w:rPr>
              <w:t>违反合同约定转让合同全部或部分权利义务的情形</w:t>
            </w:r>
            <w:r>
              <w:rPr>
                <w:rFonts w:hint="eastAsia" w:ascii="Times New Roman" w:hAnsi="Times New Roman" w:eastAsia="仿宋_GB2312" w:cs="仿宋"/>
                <w:color w:val="000000" w:themeColor="text1"/>
                <w:sz w:val="18"/>
                <w:szCs w:val="18"/>
                <w:highlight w:val="none"/>
                <w14:textFill>
                  <w14:solidFill>
                    <w14:schemeClr w14:val="tx1"/>
                  </w14:solidFill>
                </w14:textFill>
              </w:rPr>
              <w:t>，</w:t>
            </w:r>
            <w:r>
              <w:rPr>
                <w:rFonts w:hint="eastAsia" w:ascii="Times New Roman" w:hAnsi="Times New Roman" w:eastAsia="仿宋_GB2312" w:cs="仿宋"/>
                <w:color w:val="000000" w:themeColor="text1"/>
                <w:sz w:val="18"/>
                <w:szCs w:val="18"/>
                <w:highlight w:val="none"/>
                <w:lang w:eastAsia="zh-CN"/>
                <w14:textFill>
                  <w14:solidFill>
                    <w14:schemeClr w14:val="tx1"/>
                  </w14:solidFill>
                </w14:textFill>
              </w:rPr>
              <w:t>每人</w:t>
            </w:r>
            <w:r>
              <w:rPr>
                <w:rFonts w:hint="eastAsia" w:ascii="Times New Roman" w:hAnsi="Times New Roman" w:eastAsia="仿宋_GB2312" w:cs="仿宋"/>
                <w:color w:val="000000" w:themeColor="text1"/>
                <w:sz w:val="18"/>
                <w:szCs w:val="18"/>
                <w:highlight w:val="none"/>
                <w:lang w:val="en-US" w:eastAsia="zh-CN"/>
                <w14:textFill>
                  <w14:solidFill>
                    <w14:schemeClr w14:val="tx1"/>
                  </w14:solidFill>
                </w14:textFill>
              </w:rPr>
              <w:t>每</w:t>
            </w:r>
            <w:r>
              <w:rPr>
                <w:rFonts w:hint="eastAsia" w:ascii="Times New Roman" w:hAnsi="Times New Roman" w:eastAsia="仿宋_GB2312" w:cs="仿宋"/>
                <w:color w:val="000000" w:themeColor="text1"/>
                <w:sz w:val="18"/>
                <w:szCs w:val="18"/>
                <w:highlight w:val="none"/>
                <w:lang w:eastAsia="zh-CN"/>
                <w14:textFill>
                  <w14:solidFill>
                    <w14:schemeClr w14:val="tx1"/>
                  </w14:solidFill>
                </w14:textFill>
              </w:rPr>
              <w:t>次须支付一次</w:t>
            </w:r>
            <w:r>
              <w:rPr>
                <w:rFonts w:hint="eastAsia" w:ascii="Times New Roman" w:hAnsi="Times New Roman" w:eastAsia="仿宋_GB2312" w:cs="仿宋"/>
                <w:color w:val="000000" w:themeColor="text1"/>
                <w:sz w:val="18"/>
                <w:szCs w:val="18"/>
                <w:highlight w:val="none"/>
                <w:lang w:val="en-US" w:eastAsia="zh-CN"/>
                <w14:textFill>
                  <w14:solidFill>
                    <w14:schemeClr w14:val="tx1"/>
                  </w14:solidFill>
                </w14:textFill>
              </w:rPr>
              <w:t>A等</w:t>
            </w:r>
            <w:r>
              <w:rPr>
                <w:rFonts w:hint="eastAsia" w:ascii="Times New Roman" w:hAnsi="Times New Roman" w:eastAsia="仿宋_GB2312" w:cs="仿宋"/>
                <w:color w:val="000000" w:themeColor="text1"/>
                <w:sz w:val="18"/>
                <w:szCs w:val="18"/>
                <w:highlight w:val="none"/>
                <w:lang w:eastAsia="zh-CN"/>
                <w14:textFill>
                  <w14:solidFill>
                    <w14:schemeClr w14:val="tx1"/>
                  </w14:solidFill>
                </w14:textFill>
              </w:rPr>
              <w:t>违约金，还将按发包人相关规定在</w:t>
            </w:r>
            <w:r>
              <w:rPr>
                <w:rFonts w:hint="eastAsia" w:ascii="Times New Roman" w:hAnsi="Times New Roman" w:eastAsia="仿宋_GB2312" w:cs="仿宋"/>
                <w:color w:val="000000" w:themeColor="text1"/>
                <w:sz w:val="18"/>
                <w:szCs w:val="18"/>
                <w:highlight w:val="none"/>
                <w14:textFill>
                  <w14:solidFill>
                    <w14:schemeClr w14:val="tx1"/>
                  </w14:solidFill>
                </w14:textFill>
              </w:rPr>
              <w:t>诚信系统相应扣分</w:t>
            </w:r>
            <w:r>
              <w:rPr>
                <w:rFonts w:hint="eastAsia" w:ascii="Times New Roman" w:hAnsi="Times New Roman" w:eastAsia="仿宋_GB2312" w:cs="仿宋"/>
                <w:color w:val="000000" w:themeColor="text1"/>
                <w:sz w:val="18"/>
                <w:szCs w:val="18"/>
                <w:highlight w:val="none"/>
                <w:lang w:eastAsia="zh-CN"/>
                <w14:textFill>
                  <w14:solidFill>
                    <w14:schemeClr w14:val="tx1"/>
                  </w14:solidFill>
                </w14:textFill>
              </w:rPr>
              <w:t>，且发包人有权单方解除合同；</w:t>
            </w:r>
            <w:r>
              <w:rPr>
                <w:rFonts w:hint="eastAsia" w:ascii="Times New Roman" w:hAnsi="Times New Roman" w:eastAsia="仿宋_GB2312" w:cs="仿宋"/>
                <w:color w:val="000000" w:themeColor="text1"/>
                <w:sz w:val="18"/>
                <w:szCs w:val="18"/>
                <w:highlight w:val="none"/>
                <w14:textFill>
                  <w14:solidFill>
                    <w14:schemeClr w14:val="tx1"/>
                  </w14:solidFill>
                </w14:textFill>
              </w:rPr>
              <w:t>情节严重的将列入黑名单，</w:t>
            </w:r>
            <w:r>
              <w:rPr>
                <w:rFonts w:hint="eastAsia" w:ascii="Times New Roman" w:hAnsi="Times New Roman" w:eastAsia="仿宋_GB2312" w:cs="仿宋"/>
                <w:color w:val="000000" w:themeColor="text1"/>
                <w:sz w:val="18"/>
                <w:szCs w:val="18"/>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 w:val="18"/>
                <w:szCs w:val="18"/>
                <w:highlight w:val="none"/>
                <w14:textFill>
                  <w14:solidFill>
                    <w14:schemeClr w14:val="tx1"/>
                  </w14:solidFill>
                </w14:textFill>
              </w:rPr>
              <w:t>将视情况停止监理人在</w:t>
            </w:r>
            <w:r>
              <w:rPr>
                <w:rFonts w:hint="eastAsia" w:ascii="Times New Roman" w:hAnsi="Times New Roman" w:eastAsia="仿宋_GB2312" w:cs="仿宋"/>
                <w:color w:val="000000" w:themeColor="text1"/>
                <w:sz w:val="18"/>
                <w:szCs w:val="18"/>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 w:val="18"/>
                <w:szCs w:val="18"/>
                <w:highlight w:val="none"/>
                <w14:textFill>
                  <w14:solidFill>
                    <w14:schemeClr w14:val="tx1"/>
                  </w14:solidFill>
                </w14:textFill>
              </w:rPr>
              <w:t>项目中一年</w:t>
            </w:r>
            <w:r>
              <w:rPr>
                <w:rFonts w:hint="eastAsia" w:ascii="Times New Roman" w:hAnsi="Times New Roman" w:eastAsia="仿宋_GB2312" w:cs="仿宋"/>
                <w:color w:val="000000" w:themeColor="text1"/>
                <w:sz w:val="18"/>
                <w:szCs w:val="18"/>
                <w:highlight w:val="none"/>
                <w:lang w:eastAsia="zh-CN"/>
                <w14:textFill>
                  <w14:solidFill>
                    <w14:schemeClr w14:val="tx1"/>
                  </w14:solidFill>
                </w14:textFill>
              </w:rPr>
              <w:t>（</w:t>
            </w:r>
            <w:r>
              <w:rPr>
                <w:rFonts w:hint="eastAsia" w:ascii="Times New Roman" w:hAnsi="Times New Roman" w:eastAsia="仿宋_GB2312" w:cs="仿宋"/>
                <w:color w:val="000000" w:themeColor="text1"/>
                <w:sz w:val="18"/>
                <w:szCs w:val="18"/>
                <w:highlight w:val="none"/>
                <w14:textFill>
                  <w14:solidFill>
                    <w14:schemeClr w14:val="tx1"/>
                  </w14:solidFill>
                </w14:textFill>
              </w:rPr>
              <w:t>自发布《工程处罚通知书》之日起</w:t>
            </w:r>
            <w:r>
              <w:rPr>
                <w:rFonts w:hint="eastAsia" w:ascii="Times New Roman" w:hAnsi="Times New Roman" w:eastAsia="仿宋_GB2312" w:cs="仿宋"/>
                <w:color w:val="000000" w:themeColor="text1"/>
                <w:sz w:val="18"/>
                <w:szCs w:val="18"/>
                <w:highlight w:val="none"/>
                <w:lang w:eastAsia="zh-CN"/>
                <w14:textFill>
                  <w14:solidFill>
                    <w14:schemeClr w14:val="tx1"/>
                  </w14:solidFill>
                </w14:textFill>
              </w:rPr>
              <w:t>算）</w:t>
            </w:r>
            <w:r>
              <w:rPr>
                <w:rFonts w:hint="eastAsia" w:ascii="Times New Roman" w:hAnsi="Times New Roman" w:eastAsia="仿宋_GB2312" w:cs="仿宋"/>
                <w:color w:val="000000" w:themeColor="text1"/>
                <w:sz w:val="18"/>
                <w:szCs w:val="18"/>
                <w:highlight w:val="none"/>
                <w14:textFill>
                  <w14:solidFill>
                    <w14:schemeClr w14:val="tx1"/>
                  </w14:solidFill>
                </w14:textFill>
              </w:rPr>
              <w:t>的投标资格。</w:t>
            </w:r>
          </w:p>
        </w:tc>
        <w:tc>
          <w:tcPr>
            <w:tcW w:w="1001" w:type="dxa"/>
            <w:gridSpan w:val="2"/>
            <w:noWrap w:val="0"/>
            <w:vAlign w:val="center"/>
          </w:tcPr>
          <w:p>
            <w:pPr>
              <w:widowControl/>
              <w:numPr>
                <w:ilvl w:val="0"/>
                <w:numId w:val="11"/>
              </w:numPr>
              <w:ind w:leftChars="0"/>
              <w:jc w:val="both"/>
              <w:rPr>
                <w:rFonts w:hint="eastAsia" w:ascii="宋体" w:hAnsi="宋体" w:eastAsia="宋体" w:cs="宋体"/>
                <w:b/>
                <w:bCs/>
                <w:color w:val="000000" w:themeColor="text1"/>
                <w:kern w:val="0"/>
                <w:sz w:val="20"/>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5000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numPr>
                <w:ilvl w:val="0"/>
                <w:numId w:val="11"/>
              </w:numPr>
              <w:ind w:left="0" w:leftChars="0" w:firstLine="0" w:firstLineChars="0"/>
              <w:jc w:val="both"/>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2500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numPr>
                <w:ilvl w:val="0"/>
                <w:numId w:val="12"/>
              </w:numPr>
              <w:ind w:leftChars="0"/>
              <w:jc w:val="both"/>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numPr>
                <w:ilvl w:val="0"/>
                <w:numId w:val="12"/>
              </w:numPr>
              <w:ind w:left="0" w:leftChars="0" w:firstLine="0" w:firstLineChars="0"/>
              <w:jc w:val="both"/>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 xml:space="preserve"> </w:t>
            </w:r>
            <w:r>
              <w:rPr>
                <w:rFonts w:hint="eastAsia" w:ascii="宋体" w:hAnsi="宋体" w:cs="宋体"/>
                <w:b/>
                <w:bCs/>
                <w:color w:val="000000" w:themeColor="text1"/>
                <w:kern w:val="0"/>
                <w:sz w:val="20"/>
                <w:highlight w:val="none"/>
                <w14:textFill>
                  <w14:solidFill>
                    <w14:schemeClr w14:val="tx1"/>
                  </w14:solidFill>
                </w14:textFill>
              </w:rPr>
              <w:t>5000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numPr>
                <w:ilvl w:val="0"/>
                <w:numId w:val="13"/>
              </w:numPr>
              <w:ind w:leftChars="0"/>
              <w:jc w:val="both"/>
              <w:rPr>
                <w:rFonts w:hint="default" w:ascii="宋体" w:hAnsi="宋体" w:cs="宋体"/>
                <w:b/>
                <w:bCs/>
                <w:color w:val="000000" w:themeColor="text1"/>
                <w:kern w:val="0"/>
                <w:sz w:val="20"/>
                <w:highlight w:val="none"/>
                <w:lang w:val="en-US"/>
                <w14:textFill>
                  <w14:solidFill>
                    <w14:schemeClr w14:val="tx1"/>
                  </w14:solidFill>
                </w14:textFill>
              </w:rPr>
            </w:pPr>
            <w:r>
              <w:rPr>
                <w:rFonts w:hint="default" w:ascii="宋体" w:hAnsi="宋体" w:cs="宋体"/>
                <w:b/>
                <w:bCs/>
                <w:color w:val="000000" w:themeColor="text1"/>
                <w:kern w:val="0"/>
                <w:sz w:val="20"/>
                <w:highlight w:val="none"/>
                <w:lang w:val="en-US"/>
                <w14:textFill>
                  <w14:solidFill>
                    <w14:schemeClr w14:val="tx1"/>
                  </w14:solidFill>
                </w14:textFill>
              </w:rPr>
              <w:t>15000</w:t>
            </w:r>
            <w:r>
              <w:rPr>
                <w:rFonts w:hint="default" w:ascii="宋体" w:hAnsi="宋体" w:cs="宋体"/>
                <w:b/>
                <w:bCs/>
                <w:color w:val="000000" w:themeColor="text1"/>
                <w:kern w:val="0"/>
                <w:sz w:val="20"/>
                <w:highlight w:val="none"/>
                <w:lang w:val="en-US" w:eastAsia="zh-CN"/>
                <w14:textFill>
                  <w14:solidFill>
                    <w14:schemeClr w14:val="tx1"/>
                  </w14:solidFill>
                </w14:textFill>
              </w:rPr>
              <w:t>元</w:t>
            </w:r>
          </w:p>
          <w:p>
            <w:pPr>
              <w:widowControl/>
              <w:numPr>
                <w:ilvl w:val="0"/>
                <w:numId w:val="13"/>
              </w:numPr>
              <w:ind w:left="0" w:leftChars="0" w:firstLine="0" w:firstLineChars="0"/>
              <w:jc w:val="both"/>
              <w:rPr>
                <w:rFonts w:hint="default" w:ascii="Times New Roman" w:hAnsi="Times New Roman" w:eastAsia="仿宋_GB2312" w:cs="仿宋"/>
                <w:color w:val="000000" w:themeColor="text1"/>
                <w:szCs w:val="21"/>
                <w:highlight w:val="none"/>
                <w:lang w:val="en-US"/>
                <w14:textFill>
                  <w14:solidFill>
                    <w14:schemeClr w14:val="tx1"/>
                  </w14:solidFill>
                </w14:textFill>
              </w:rPr>
            </w:pPr>
            <w:r>
              <w:rPr>
                <w:rFonts w:hint="default" w:ascii="宋体" w:hAnsi="宋体" w:cs="宋体"/>
                <w:b/>
                <w:bCs/>
                <w:color w:val="000000" w:themeColor="text1"/>
                <w:kern w:val="0"/>
                <w:sz w:val="20"/>
                <w:highlight w:val="none"/>
                <w:lang w:val="en-US" w:eastAsia="zh-CN"/>
                <w14:textFill>
                  <w14:solidFill>
                    <w14:schemeClr w14:val="tx1"/>
                  </w14:solidFill>
                </w14:textFill>
              </w:rPr>
              <w:t xml:space="preserve"> </w:t>
            </w:r>
            <w:r>
              <w:rPr>
                <w:rFonts w:hint="default" w:ascii="宋体" w:hAnsi="宋体" w:cs="宋体"/>
                <w:b/>
                <w:bCs/>
                <w:color w:val="000000" w:themeColor="text1"/>
                <w:kern w:val="0"/>
                <w:sz w:val="20"/>
                <w:highlight w:val="none"/>
                <w:lang w:val="en-US"/>
                <w14:textFill>
                  <w14:solidFill>
                    <w14:schemeClr w14:val="tx1"/>
                  </w14:solidFill>
                </w14:textFill>
              </w:rPr>
              <w:t>7500</w:t>
            </w:r>
            <w:r>
              <w:rPr>
                <w:rFonts w:hint="default" w:ascii="宋体" w:hAnsi="宋体" w:cs="宋体"/>
                <w:b/>
                <w:bCs/>
                <w:color w:val="000000" w:themeColor="text1"/>
                <w:kern w:val="0"/>
                <w:sz w:val="20"/>
                <w:highlight w:val="none"/>
                <w:lang w:val="en-US" w:eastAsia="zh-CN"/>
                <w14:textFill>
                  <w14:solidFill>
                    <w14:schemeClr w14:val="tx1"/>
                  </w14:solidFill>
                </w14:textFill>
              </w:rPr>
              <w:t>元</w:t>
            </w:r>
          </w:p>
        </w:tc>
        <w:tc>
          <w:tcPr>
            <w:tcW w:w="1192" w:type="dxa"/>
            <w:noWrap w:val="0"/>
            <w:vAlign w:val="center"/>
          </w:tcPr>
          <w:p>
            <w:pPr>
              <w:widowControl/>
              <w:numPr>
                <w:ilvl w:val="0"/>
                <w:numId w:val="14"/>
              </w:numPr>
              <w:ind w:leftChars="0"/>
              <w:jc w:val="both"/>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20000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numPr>
                <w:ilvl w:val="0"/>
                <w:numId w:val="14"/>
              </w:numPr>
              <w:ind w:left="0" w:leftChars="0" w:firstLine="0" w:firstLineChars="0"/>
              <w:jc w:val="both"/>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10000</w:t>
            </w:r>
            <w:r>
              <w:rPr>
                <w:rFonts w:hint="eastAsia" w:ascii="宋体" w:hAnsi="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1.15</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现场处理管线、房屋拆迁或迁移问题，监理人不到场的，每次按右表列明金额支付违约金。</w:t>
            </w:r>
          </w:p>
        </w:tc>
        <w:tc>
          <w:tcPr>
            <w:tcW w:w="1001" w:type="dxa"/>
            <w:gridSpan w:val="2"/>
            <w:noWrap w:val="0"/>
            <w:vAlign w:val="center"/>
          </w:tcPr>
          <w:p>
            <w:pPr>
              <w:widowControl/>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1500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宋体" w:hAnsi="宋体" w:cs="宋体"/>
                <w:b/>
                <w:bCs/>
                <w:color w:val="000000" w:themeColor="text1"/>
                <w:kern w:val="0"/>
                <w:sz w:val="20"/>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3000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245" w:type="dxa"/>
            <w:noWrap w:val="0"/>
            <w:vAlign w:val="center"/>
          </w:tcPr>
          <w:p>
            <w:pPr>
              <w:widowControl/>
              <w:jc w:val="center"/>
              <w:rPr>
                <w:rFonts w:hint="eastAsia" w:ascii="宋体" w:hAnsi="宋体" w:cs="宋体"/>
                <w:b/>
                <w:bCs/>
                <w:color w:val="000000" w:themeColor="text1"/>
                <w:kern w:val="0"/>
                <w:sz w:val="20"/>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4500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192" w:type="dxa"/>
            <w:noWrap w:val="0"/>
            <w:vAlign w:val="center"/>
          </w:tcPr>
          <w:p>
            <w:pPr>
              <w:widowControl/>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6000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1.16</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施工</w:t>
            </w:r>
            <w:r>
              <w:rPr>
                <w:rFonts w:hint="eastAsia" w:ascii="Times New Roman" w:hAnsi="Times New Roman" w:eastAsia="仿宋_GB2312" w:cs="仿宋"/>
                <w:color w:val="000000" w:themeColor="text1"/>
                <w:szCs w:val="21"/>
                <w:highlight w:val="none"/>
                <w14:textFill>
                  <w14:solidFill>
                    <w14:schemeClr w14:val="tx1"/>
                  </w14:solidFill>
                </w14:textFill>
              </w:rPr>
              <w:t>单位</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存在如下情形之一时，监理人</w:t>
            </w:r>
            <w:r>
              <w:rPr>
                <w:rFonts w:hint="eastAsia" w:ascii="Times New Roman" w:hAnsi="Times New Roman" w:eastAsia="仿宋_GB2312" w:cs="仿宋"/>
                <w:color w:val="000000" w:themeColor="text1"/>
                <w:szCs w:val="21"/>
                <w:highlight w:val="none"/>
                <w14:textFill>
                  <w14:solidFill>
                    <w14:schemeClr w14:val="tx1"/>
                  </w14:solidFill>
                </w14:textFill>
              </w:rPr>
              <w:t>不进行有效检查、督促</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整改、</w:t>
            </w:r>
            <w:r>
              <w:rPr>
                <w:rFonts w:hint="eastAsia" w:ascii="Times New Roman" w:hAnsi="Times New Roman" w:eastAsia="仿宋_GB2312" w:cs="仿宋"/>
                <w:color w:val="000000" w:themeColor="text1"/>
                <w:szCs w:val="21"/>
                <w:highlight w:val="none"/>
                <w14:textFill>
                  <w14:solidFill>
                    <w14:schemeClr w14:val="tx1"/>
                  </w14:solidFill>
                </w14:textFill>
              </w:rPr>
              <w:t>不向</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报告的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p>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1</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）施工单位</w:t>
            </w:r>
            <w:r>
              <w:rPr>
                <w:rFonts w:hint="eastAsia" w:ascii="Times New Roman" w:hAnsi="Times New Roman" w:eastAsia="仿宋_GB2312" w:cs="仿宋"/>
                <w:color w:val="000000" w:themeColor="text1"/>
                <w:szCs w:val="21"/>
                <w:highlight w:val="none"/>
                <w14:textFill>
                  <w14:solidFill>
                    <w14:schemeClr w14:val="tx1"/>
                  </w14:solidFill>
                </w14:textFill>
              </w:rPr>
              <w:t>现场管理人员不到位、擅自离场，</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或</w:t>
            </w:r>
            <w:r>
              <w:rPr>
                <w:rFonts w:hint="eastAsia" w:ascii="Times New Roman" w:hAnsi="Times New Roman" w:eastAsia="仿宋_GB2312" w:cs="仿宋"/>
                <w:color w:val="000000" w:themeColor="text1"/>
                <w:szCs w:val="21"/>
                <w:highlight w:val="none"/>
                <w14:textFill>
                  <w14:solidFill>
                    <w14:schemeClr w14:val="tx1"/>
                  </w14:solidFill>
                </w14:textFill>
              </w:rPr>
              <w:t>管理人员工作能力存在严重不足等</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p>
          <w:p>
            <w:pPr>
              <w:spacing w:line="300" w:lineRule="exact"/>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2</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）施工</w:t>
            </w:r>
            <w:r>
              <w:rPr>
                <w:rFonts w:hint="eastAsia" w:ascii="Times New Roman" w:hAnsi="Times New Roman" w:eastAsia="仿宋_GB2312" w:cs="仿宋"/>
                <w:color w:val="000000" w:themeColor="text1"/>
                <w:szCs w:val="21"/>
                <w:highlight w:val="none"/>
                <w14:textFill>
                  <w14:solidFill>
                    <w14:schemeClr w14:val="tx1"/>
                  </w14:solidFill>
                </w14:textFill>
              </w:rPr>
              <w:t>单位未按承诺投入机械、设备、材料等</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p>
        </w:tc>
        <w:tc>
          <w:tcPr>
            <w:tcW w:w="1001" w:type="dxa"/>
            <w:gridSpan w:val="2"/>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5000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10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200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30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1.17</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发包人或相关部门在检查中发现监理人或监理人员其他</w:t>
            </w:r>
            <w:r>
              <w:rPr>
                <w:rFonts w:hint="eastAsia" w:ascii="Times New Roman" w:hAnsi="Times New Roman" w:eastAsia="仿宋_GB2312" w:cs="仿宋"/>
                <w:color w:val="000000" w:themeColor="text1"/>
                <w:szCs w:val="21"/>
                <w:highlight w:val="none"/>
                <w14:textFill>
                  <w14:solidFill>
                    <w14:schemeClr w14:val="tx1"/>
                  </w14:solidFill>
                </w14:textFill>
              </w:rPr>
              <w:t>不履行监理职责、怠于履行职责</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的情形，每人次须按右表列明金额支付违约金。</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2000</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3000</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60" w:lineRule="auto"/>
              <w:jc w:val="center"/>
              <w:rPr>
                <w:rFonts w:ascii="Times New Roman" w:hAnsi="Times New Roman" w:eastAsia="仿宋_GB2312" w:cs="仿宋_GB2312"/>
                <w:b/>
                <w:bCs/>
                <w:color w:val="000000" w:themeColor="text1"/>
                <w:sz w:val="24"/>
                <w:highlight w:val="none"/>
                <w14:textFill>
                  <w14:solidFill>
                    <w14:schemeClr w14:val="tx1"/>
                  </w14:solidFill>
                </w14:textFill>
              </w:rPr>
            </w:pPr>
            <w:r>
              <w:rPr>
                <w:rFonts w:hint="eastAsia" w:ascii="Times New Roman" w:hAnsi="Times New Roman" w:eastAsia="仿宋_GB2312" w:cs="仿宋_GB2312"/>
                <w:b/>
                <w:bCs/>
                <w:color w:val="000000" w:themeColor="text1"/>
                <w:sz w:val="24"/>
                <w:highlight w:val="none"/>
                <w14:textFill>
                  <w14:solidFill>
                    <w14:schemeClr w14:val="tx1"/>
                  </w14:solidFill>
                </w14:textFill>
              </w:rPr>
              <w:t>2</w:t>
            </w:r>
          </w:p>
        </w:tc>
        <w:tc>
          <w:tcPr>
            <w:tcW w:w="3618" w:type="dxa"/>
            <w:noWrap w:val="0"/>
            <w:vAlign w:val="center"/>
          </w:tcPr>
          <w:p>
            <w:pPr>
              <w:spacing w:line="360" w:lineRule="auto"/>
              <w:rPr>
                <w:rFonts w:ascii="Times New Roman" w:hAnsi="Times New Roman" w:eastAsia="仿宋_GB2312" w:cs="仿宋_GB2312"/>
                <w:b/>
                <w:bCs/>
                <w:color w:val="000000" w:themeColor="text1"/>
                <w:sz w:val="24"/>
                <w:highlight w:val="none"/>
                <w14:textFill>
                  <w14:solidFill>
                    <w14:schemeClr w14:val="tx1"/>
                  </w14:solidFill>
                </w14:textFill>
              </w:rPr>
            </w:pPr>
            <w:r>
              <w:rPr>
                <w:rFonts w:hint="eastAsia" w:ascii="Times New Roman" w:hAnsi="Times New Roman" w:eastAsia="仿宋_GB2312" w:cs="仿宋_GB2312"/>
                <w:b/>
                <w:bCs/>
                <w:color w:val="000000" w:themeColor="text1"/>
                <w:sz w:val="24"/>
                <w:highlight w:val="none"/>
                <w14:textFill>
                  <w14:solidFill>
                    <w14:schemeClr w14:val="tx1"/>
                  </w14:solidFill>
                </w14:textFill>
              </w:rPr>
              <w:t>质量控制方面</w:t>
            </w:r>
          </w:p>
        </w:tc>
        <w:tc>
          <w:tcPr>
            <w:tcW w:w="1001" w:type="dxa"/>
            <w:gridSpan w:val="2"/>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_GB2312"/>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50万元以下</w:t>
            </w:r>
          </w:p>
        </w:tc>
        <w:tc>
          <w:tcPr>
            <w:tcW w:w="1327"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_GB2312"/>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50万-100万元</w:t>
            </w:r>
          </w:p>
        </w:tc>
        <w:tc>
          <w:tcPr>
            <w:tcW w:w="1245"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_GB2312"/>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100万-200万元</w:t>
            </w:r>
          </w:p>
        </w:tc>
        <w:tc>
          <w:tcPr>
            <w:tcW w:w="1192"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_GB2312"/>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200万以上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trPr>
        <w:tc>
          <w:tcPr>
            <w:tcW w:w="688" w:type="dxa"/>
            <w:noWrap w:val="0"/>
            <w:vAlign w:val="center"/>
          </w:tcPr>
          <w:p>
            <w:pPr>
              <w:spacing w:line="300" w:lineRule="exact"/>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2</w:t>
            </w:r>
            <w:r>
              <w:rPr>
                <w:rFonts w:ascii="Times New Roman" w:hAnsi="Times New Roman" w:eastAsia="仿宋_GB2312" w:cs="仿宋"/>
                <w:color w:val="000000" w:themeColor="text1"/>
                <w:szCs w:val="21"/>
                <w:highlight w:val="none"/>
                <w14:textFill>
                  <w14:solidFill>
                    <w14:schemeClr w14:val="tx1"/>
                  </w14:solidFill>
                </w14:textFill>
              </w:rPr>
              <w:t>.1</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对</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施工</w:t>
            </w:r>
            <w:r>
              <w:rPr>
                <w:rFonts w:hint="eastAsia" w:ascii="Times New Roman" w:hAnsi="Times New Roman" w:eastAsia="仿宋_GB2312" w:cs="仿宋"/>
                <w:color w:val="000000" w:themeColor="text1"/>
                <w:szCs w:val="21"/>
                <w:highlight w:val="none"/>
                <w14:textFill>
                  <w14:solidFill>
                    <w14:schemeClr w14:val="tx1"/>
                  </w14:solidFill>
                </w14:textFill>
              </w:rPr>
              <w:t>单位未提交合理的专项施工方案、未按照方案进行施工或者未提交相关的结构计算书，而允许</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施工</w:t>
            </w:r>
            <w:r>
              <w:rPr>
                <w:rFonts w:hint="eastAsia" w:ascii="Times New Roman" w:hAnsi="Times New Roman" w:eastAsia="仿宋_GB2312" w:cs="仿宋"/>
                <w:color w:val="000000" w:themeColor="text1"/>
                <w:szCs w:val="21"/>
                <w:highlight w:val="none"/>
                <w14:textFill>
                  <w14:solidFill>
                    <w14:schemeClr w14:val="tx1"/>
                  </w14:solidFill>
                </w14:textFill>
              </w:rPr>
              <w:t>单位施工的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造成经济损失达</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10万元/次以上的，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有权</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按前述标准的2倍要求监理人支付违约金。</w:t>
            </w:r>
          </w:p>
        </w:tc>
        <w:tc>
          <w:tcPr>
            <w:tcW w:w="1001" w:type="dxa"/>
            <w:gridSpan w:val="2"/>
            <w:noWrap w:val="0"/>
            <w:vAlign w:val="center"/>
          </w:tcPr>
          <w:p>
            <w:pPr>
              <w:widowControl/>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trPr>
        <w:tc>
          <w:tcPr>
            <w:tcW w:w="688" w:type="dxa"/>
            <w:noWrap w:val="0"/>
            <w:vAlign w:val="center"/>
          </w:tcPr>
          <w:p>
            <w:pPr>
              <w:spacing w:line="300" w:lineRule="exact"/>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2</w:t>
            </w:r>
            <w:r>
              <w:rPr>
                <w:rFonts w:ascii="Times New Roman" w:hAnsi="Times New Roman" w:eastAsia="仿宋_GB2312" w:cs="仿宋"/>
                <w:color w:val="000000" w:themeColor="text1"/>
                <w:szCs w:val="21"/>
                <w:highlight w:val="none"/>
                <w14:textFill>
                  <w14:solidFill>
                    <w14:schemeClr w14:val="tx1"/>
                  </w14:solidFill>
                </w14:textFill>
              </w:rPr>
              <w:t>.2</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对</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施工</w:t>
            </w:r>
            <w:r>
              <w:rPr>
                <w:rFonts w:hint="eastAsia" w:ascii="Times New Roman" w:hAnsi="Times New Roman" w:eastAsia="仿宋_GB2312" w:cs="仿宋"/>
                <w:color w:val="000000" w:themeColor="text1"/>
                <w:szCs w:val="21"/>
                <w:highlight w:val="none"/>
                <w14:textFill>
                  <w14:solidFill>
                    <w14:schemeClr w14:val="tx1"/>
                  </w14:solidFill>
                </w14:textFill>
              </w:rPr>
              <w:t>单位每次进场材料不进行检查和登记，或者对已进场的材料不按有关规定及时进行抽查、送检的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r>
              <w:rPr>
                <w:rFonts w:hint="eastAsia" w:ascii="Times New Roman" w:hAnsi="Times New Roman" w:eastAsia="仿宋_GB2312" w:cs="仿宋"/>
                <w:color w:val="000000" w:themeColor="text1"/>
                <w:szCs w:val="21"/>
                <w:highlight w:val="none"/>
                <w14:textFill>
                  <w14:solidFill>
                    <w14:schemeClr w14:val="tx1"/>
                  </w14:solidFill>
                </w14:textFill>
              </w:rPr>
              <w:t>如</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导致不合格材料用于项目，且项目出现质量缺陷的，发包人</w:t>
            </w:r>
            <w:r>
              <w:rPr>
                <w:rFonts w:hint="eastAsia" w:ascii="Times New Roman" w:hAnsi="Times New Roman" w:eastAsia="仿宋_GB2312" w:cs="仿宋"/>
                <w:color w:val="000000" w:themeColor="text1"/>
                <w:szCs w:val="21"/>
                <w:highlight w:val="none"/>
                <w14:textFill>
                  <w14:solidFill>
                    <w14:schemeClr w14:val="tx1"/>
                  </w14:solidFill>
                </w14:textFill>
              </w:rPr>
              <w:t>有权</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按前述标准的2倍要求监理人支付违约金。</w:t>
            </w:r>
          </w:p>
        </w:tc>
        <w:tc>
          <w:tcPr>
            <w:tcW w:w="1001" w:type="dxa"/>
            <w:gridSpan w:val="2"/>
            <w:noWrap w:val="0"/>
            <w:vAlign w:val="center"/>
          </w:tcPr>
          <w:p>
            <w:pPr>
              <w:widowControl/>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trPr>
        <w:tc>
          <w:tcPr>
            <w:tcW w:w="688" w:type="dxa"/>
            <w:noWrap w:val="0"/>
            <w:vAlign w:val="center"/>
          </w:tcPr>
          <w:p>
            <w:pPr>
              <w:spacing w:line="300" w:lineRule="exact"/>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2</w:t>
            </w:r>
            <w:r>
              <w:rPr>
                <w:rFonts w:ascii="Times New Roman" w:hAnsi="Times New Roman" w:eastAsia="仿宋_GB2312" w:cs="仿宋"/>
                <w:color w:val="000000" w:themeColor="text1"/>
                <w:szCs w:val="21"/>
                <w:highlight w:val="none"/>
                <w14:textFill>
                  <w14:solidFill>
                    <w14:schemeClr w14:val="tx1"/>
                  </w14:solidFill>
                </w14:textFill>
              </w:rPr>
              <w:t>.3</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施工</w:t>
            </w:r>
            <w:r>
              <w:rPr>
                <w:rFonts w:hint="eastAsia" w:ascii="Times New Roman" w:hAnsi="Times New Roman" w:eastAsia="仿宋_GB2312" w:cs="仿宋"/>
                <w:color w:val="000000" w:themeColor="text1"/>
                <w:szCs w:val="21"/>
                <w:highlight w:val="none"/>
                <w14:textFill>
                  <w14:solidFill>
                    <w14:schemeClr w14:val="tx1"/>
                  </w14:solidFill>
                </w14:textFill>
              </w:rPr>
              <w:t>单位的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服务</w:t>
            </w:r>
            <w:r>
              <w:rPr>
                <w:rFonts w:hint="eastAsia" w:ascii="Times New Roman" w:hAnsi="Times New Roman" w:eastAsia="仿宋_GB2312" w:cs="仿宋"/>
                <w:color w:val="000000" w:themeColor="text1"/>
                <w:szCs w:val="21"/>
                <w:highlight w:val="none"/>
                <w14:textFill>
                  <w14:solidFill>
                    <w14:schemeClr w14:val="tx1"/>
                  </w14:solidFill>
                </w14:textFill>
              </w:rPr>
              <w:t>质量经监理人检验为合格，但经</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或</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第三方</w:t>
            </w:r>
            <w:r>
              <w:rPr>
                <w:rFonts w:hint="eastAsia" w:ascii="Times New Roman" w:hAnsi="Times New Roman" w:eastAsia="仿宋_GB2312" w:cs="仿宋"/>
                <w:color w:val="000000" w:themeColor="text1"/>
                <w:szCs w:val="21"/>
                <w:highlight w:val="none"/>
                <w14:textFill>
                  <w14:solidFill>
                    <w14:schemeClr w14:val="tx1"/>
                  </w14:solidFill>
                </w14:textFill>
              </w:rPr>
              <w:t>机构抽查，发现存在质量不合格或未按设计要求和有关规范进行</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施工</w:t>
            </w:r>
            <w:r>
              <w:rPr>
                <w:rFonts w:hint="eastAsia" w:ascii="Times New Roman" w:hAnsi="Times New Roman" w:eastAsia="仿宋_GB2312" w:cs="仿宋"/>
                <w:color w:val="000000" w:themeColor="text1"/>
                <w:szCs w:val="21"/>
                <w:highlight w:val="none"/>
                <w14:textFill>
                  <w14:solidFill>
                    <w14:schemeClr w14:val="tx1"/>
                  </w14:solidFill>
                </w14:textFill>
              </w:rPr>
              <w:t>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每违约一次，按右边列明金额支付违约金一次；情节严重的，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有权</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按前述标准的2倍要求监理人支付违约金。</w:t>
            </w:r>
          </w:p>
        </w:tc>
        <w:tc>
          <w:tcPr>
            <w:tcW w:w="1001" w:type="dxa"/>
            <w:gridSpan w:val="2"/>
            <w:noWrap w:val="0"/>
            <w:vAlign w:val="center"/>
          </w:tcPr>
          <w:p>
            <w:pPr>
              <w:widowControl/>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88" w:type="dxa"/>
            <w:vMerge w:val="restart"/>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2</w:t>
            </w:r>
            <w:r>
              <w:rPr>
                <w:rFonts w:ascii="Times New Roman" w:hAnsi="Times New Roman" w:eastAsia="仿宋_GB2312" w:cs="仿宋"/>
                <w:color w:val="000000" w:themeColor="text1"/>
                <w:szCs w:val="21"/>
                <w:highlight w:val="none"/>
                <w14:textFill>
                  <w14:solidFill>
                    <w14:schemeClr w14:val="tx1"/>
                  </w14:solidFill>
                </w14:textFill>
              </w:rPr>
              <w:t>.4</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bCs/>
                <w:color w:val="000000" w:themeColor="text1"/>
                <w:szCs w:val="21"/>
                <w:highlight w:val="none"/>
                <w14:textFill>
                  <w14:solidFill>
                    <w14:schemeClr w14:val="tx1"/>
                  </w14:solidFill>
                </w14:textFill>
              </w:rPr>
              <w:t>按合同要求</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或监理规范规定应进行旁站的未旁站或旁站时未尽监督管理职责</w:t>
            </w:r>
            <w:r>
              <w:rPr>
                <w:rFonts w:hint="eastAsia" w:ascii="Times New Roman" w:hAnsi="Times New Roman" w:eastAsia="仿宋_GB2312" w:cs="仿宋"/>
                <w:bCs/>
                <w:color w:val="000000" w:themeColor="text1"/>
                <w:szCs w:val="21"/>
                <w:highlight w:val="none"/>
                <w14:textFill>
                  <w14:solidFill>
                    <w14:schemeClr w14:val="tx1"/>
                  </w14:solidFill>
                </w14:textFill>
              </w:rPr>
              <w:t>或未按要求拍摄并归档隐蔽工程验收影像记录</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的，</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trPr>
        <w:tc>
          <w:tcPr>
            <w:tcW w:w="688" w:type="dxa"/>
            <w:vMerge w:val="continue"/>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p>
        </w:tc>
        <w:tc>
          <w:tcPr>
            <w:tcW w:w="3618" w:type="dxa"/>
            <w:noWrap w:val="0"/>
            <w:vAlign w:val="center"/>
          </w:tcPr>
          <w:p>
            <w:pPr>
              <w:spacing w:line="300" w:lineRule="exact"/>
              <w:rPr>
                <w:rFonts w:hint="eastAsia" w:ascii="Times New Roman" w:hAnsi="Times New Roman" w:eastAsia="仿宋_GB2312" w:cs="仿宋"/>
                <w:bCs/>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因未尽旁站职责导致质量问题或隐患但未造成质量事故的，</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p>
        </w:tc>
        <w:tc>
          <w:tcPr>
            <w:tcW w:w="1001" w:type="dxa"/>
            <w:gridSpan w:val="2"/>
            <w:noWrap w:val="0"/>
            <w:vAlign w:val="center"/>
          </w:tcPr>
          <w:p>
            <w:pPr>
              <w:widowControl/>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2.5</w:t>
            </w:r>
          </w:p>
        </w:tc>
        <w:tc>
          <w:tcPr>
            <w:tcW w:w="3618" w:type="dxa"/>
            <w:noWrap w:val="0"/>
            <w:vAlign w:val="center"/>
          </w:tcPr>
          <w:p>
            <w:pPr>
              <w:spacing w:line="300" w:lineRule="exact"/>
              <w:rPr>
                <w:rFonts w:hint="eastAsia" w:ascii="Times New Roman" w:hAnsi="Times New Roman" w:eastAsia="仿宋_GB2312" w:cs="仿宋"/>
                <w:bCs/>
                <w:color w:val="000000" w:themeColor="text1"/>
                <w:szCs w:val="21"/>
                <w:highlight w:val="none"/>
                <w14:textFill>
                  <w14:solidFill>
                    <w14:schemeClr w14:val="tx1"/>
                  </w14:solidFill>
                </w14:textFill>
              </w:rPr>
            </w:pPr>
            <w:r>
              <w:rPr>
                <w:rFonts w:hint="eastAsia" w:ascii="Times New Roman" w:hAnsi="Times New Roman" w:eastAsia="仿宋_GB2312" w:cs="仿宋"/>
                <w:bCs/>
                <w:color w:val="000000" w:themeColor="text1"/>
                <w:szCs w:val="21"/>
                <w:highlight w:val="none"/>
                <w14:textFill>
                  <w14:solidFill>
                    <w14:schemeClr w14:val="tx1"/>
                  </w14:solidFill>
                </w14:textFill>
              </w:rPr>
              <w:t>发现</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施工现场存在</w:t>
            </w:r>
            <w:r>
              <w:rPr>
                <w:rFonts w:hint="eastAsia" w:ascii="Times New Roman" w:hAnsi="Times New Roman" w:eastAsia="仿宋_GB2312" w:cs="仿宋"/>
                <w:bCs/>
                <w:color w:val="000000" w:themeColor="text1"/>
                <w:szCs w:val="21"/>
                <w:highlight w:val="none"/>
                <w14:textFill>
                  <w14:solidFill>
                    <w14:schemeClr w14:val="tx1"/>
                  </w14:solidFill>
                </w14:textFill>
              </w:rPr>
              <w:t>质量</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、安全</w:t>
            </w:r>
            <w:r>
              <w:rPr>
                <w:rFonts w:hint="eastAsia" w:ascii="Times New Roman" w:hAnsi="Times New Roman" w:eastAsia="仿宋_GB2312" w:cs="仿宋"/>
                <w:bCs/>
                <w:color w:val="000000" w:themeColor="text1"/>
                <w:szCs w:val="21"/>
                <w:highlight w:val="none"/>
                <w14:textFill>
                  <w14:solidFill>
                    <w14:schemeClr w14:val="tx1"/>
                  </w14:solidFill>
                </w14:textFill>
              </w:rPr>
              <w:t>问题</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或隐患</w:t>
            </w:r>
            <w:r>
              <w:rPr>
                <w:rFonts w:hint="eastAsia" w:ascii="Times New Roman" w:hAnsi="Times New Roman" w:eastAsia="仿宋_GB2312" w:cs="仿宋"/>
                <w:bCs/>
                <w:color w:val="000000" w:themeColor="text1"/>
                <w:szCs w:val="21"/>
                <w:highlight w:val="none"/>
                <w14:textFill>
                  <w14:solidFill>
                    <w14:schemeClr w14:val="tx1"/>
                  </w14:solidFill>
                </w14:textFill>
              </w:rPr>
              <w:t>未及时</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要求施工单位整改，</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2</w:t>
            </w:r>
            <w:r>
              <w:rPr>
                <w:rFonts w:ascii="Times New Roman" w:hAnsi="Times New Roman" w:eastAsia="仿宋_GB2312" w:cs="仿宋"/>
                <w:color w:val="000000" w:themeColor="text1"/>
                <w:szCs w:val="21"/>
                <w:highlight w:val="none"/>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6</w:t>
            </w:r>
          </w:p>
        </w:tc>
        <w:tc>
          <w:tcPr>
            <w:tcW w:w="3618" w:type="dxa"/>
            <w:noWrap w:val="0"/>
            <w:vAlign w:val="center"/>
          </w:tcPr>
          <w:p>
            <w:pPr>
              <w:spacing w:line="300" w:lineRule="exact"/>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未按合同约定或相关规定落实首件验收制度，每违约一次，按右边列明金额支付违约金一次；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造成经济损失达</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10万元/次以上的，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有权</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按前述标准的2倍要求监理人支付违约金。</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2.7</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发出错误指令或自身失误或失职等因监理人责任需要返工的，每违约一次，按右边列明金额支付违约金一次，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并</w:t>
            </w:r>
            <w:r>
              <w:rPr>
                <w:rFonts w:hint="eastAsia" w:ascii="Times New Roman" w:hAnsi="Times New Roman" w:eastAsia="仿宋_GB2312" w:cs="仿宋"/>
                <w:color w:val="000000" w:themeColor="text1"/>
                <w:szCs w:val="21"/>
                <w:highlight w:val="none"/>
                <w14:textFill>
                  <w14:solidFill>
                    <w14:schemeClr w14:val="tx1"/>
                  </w14:solidFill>
                </w14:textFill>
              </w:rPr>
              <w:t>扣减该部分的监理报酬</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2.8</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发出错误指令或自身失误或失职等因监理人责任所导致工程（各分部、单位及整体工程）质量一次性验收不符合质量目标的，每违约一次，按右边列明金额支付违约金一次，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并</w:t>
            </w:r>
            <w:r>
              <w:rPr>
                <w:rFonts w:hint="eastAsia" w:ascii="Times New Roman" w:hAnsi="Times New Roman" w:eastAsia="仿宋_GB2312" w:cs="仿宋"/>
                <w:color w:val="000000" w:themeColor="text1"/>
                <w:szCs w:val="21"/>
                <w:highlight w:val="none"/>
                <w14:textFill>
                  <w14:solidFill>
                    <w14:schemeClr w14:val="tx1"/>
                  </w14:solidFill>
                </w14:textFill>
              </w:rPr>
              <w:t>按相应工程造价占总工程造价的比例扣除监理报酬。</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2.9</w:t>
            </w:r>
          </w:p>
        </w:tc>
        <w:tc>
          <w:tcPr>
            <w:tcW w:w="3618" w:type="dxa"/>
            <w:noWrap w:val="0"/>
            <w:vAlign w:val="center"/>
          </w:tcPr>
          <w:p>
            <w:pPr>
              <w:spacing w:line="300" w:lineRule="exact"/>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其他因</w:t>
            </w:r>
            <w:r>
              <w:rPr>
                <w:rFonts w:hint="eastAsia" w:ascii="Times New Roman" w:hAnsi="Times New Roman" w:eastAsia="仿宋_GB2312" w:cs="仿宋"/>
                <w:color w:val="000000" w:themeColor="text1"/>
                <w:szCs w:val="21"/>
                <w:highlight w:val="none"/>
                <w14:textFill>
                  <w14:solidFill>
                    <w14:schemeClr w14:val="tx1"/>
                  </w14:solidFill>
                </w14:textFill>
              </w:rPr>
              <w:t>监理人</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履职不到位</w:t>
            </w:r>
            <w:r>
              <w:rPr>
                <w:rFonts w:hint="eastAsia" w:ascii="Times New Roman" w:hAnsi="Times New Roman" w:eastAsia="仿宋_GB2312" w:cs="仿宋"/>
                <w:color w:val="000000" w:themeColor="text1"/>
                <w:szCs w:val="21"/>
                <w:highlight w:val="none"/>
                <w14:textFill>
                  <w14:solidFill>
                    <w14:schemeClr w14:val="tx1"/>
                  </w14:solidFill>
                </w14:textFill>
              </w:rPr>
              <w:t>导致</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项目</w:t>
            </w:r>
            <w:r>
              <w:rPr>
                <w:rFonts w:hint="eastAsia" w:ascii="Times New Roman" w:hAnsi="Times New Roman" w:eastAsia="仿宋_GB2312" w:cs="仿宋"/>
                <w:color w:val="000000" w:themeColor="text1"/>
                <w:szCs w:val="21"/>
                <w:highlight w:val="none"/>
                <w14:textFill>
                  <w14:solidFill>
                    <w14:schemeClr w14:val="tx1"/>
                  </w14:solidFill>
                </w14:textFill>
              </w:rPr>
              <w:t>出现质量问题或缺陷的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情形，</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60" w:lineRule="auto"/>
              <w:jc w:val="center"/>
              <w:rPr>
                <w:rFonts w:ascii="Times New Roman" w:hAnsi="Times New Roman" w:eastAsia="仿宋_GB2312" w:cs="仿宋_GB2312"/>
                <w:b/>
                <w:bCs/>
                <w:color w:val="000000" w:themeColor="text1"/>
                <w:sz w:val="24"/>
                <w:highlight w:val="none"/>
                <w14:textFill>
                  <w14:solidFill>
                    <w14:schemeClr w14:val="tx1"/>
                  </w14:solidFill>
                </w14:textFill>
              </w:rPr>
            </w:pPr>
            <w:r>
              <w:rPr>
                <w:rFonts w:hint="eastAsia" w:ascii="Times New Roman" w:hAnsi="Times New Roman" w:eastAsia="仿宋_GB2312" w:cs="仿宋_GB2312"/>
                <w:b/>
                <w:bCs/>
                <w:color w:val="000000" w:themeColor="text1"/>
                <w:sz w:val="24"/>
                <w:highlight w:val="none"/>
                <w14:textFill>
                  <w14:solidFill>
                    <w14:schemeClr w14:val="tx1"/>
                  </w14:solidFill>
                </w14:textFill>
              </w:rPr>
              <w:t>3</w:t>
            </w:r>
          </w:p>
        </w:tc>
        <w:tc>
          <w:tcPr>
            <w:tcW w:w="3618" w:type="dxa"/>
            <w:noWrap w:val="0"/>
            <w:vAlign w:val="center"/>
          </w:tcPr>
          <w:p>
            <w:pPr>
              <w:spacing w:line="360" w:lineRule="auto"/>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pPr>
            <w:r>
              <w:rPr>
                <w:rFonts w:hint="eastAsia" w:ascii="Times New Roman" w:hAnsi="Times New Roman" w:eastAsia="仿宋_GB2312" w:cs="仿宋_GB2312"/>
                <w:b/>
                <w:bCs/>
                <w:color w:val="000000" w:themeColor="text1"/>
                <w:sz w:val="24"/>
                <w:highlight w:val="none"/>
                <w14:textFill>
                  <w14:solidFill>
                    <w14:schemeClr w14:val="tx1"/>
                  </w14:solidFill>
                </w14:textFill>
              </w:rPr>
              <w:t>投资控制方面</w:t>
            </w:r>
          </w:p>
        </w:tc>
        <w:tc>
          <w:tcPr>
            <w:tcW w:w="1001" w:type="dxa"/>
            <w:gridSpan w:val="2"/>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50万元以下</w:t>
            </w:r>
          </w:p>
        </w:tc>
        <w:tc>
          <w:tcPr>
            <w:tcW w:w="1327"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50万-100万元</w:t>
            </w:r>
          </w:p>
        </w:tc>
        <w:tc>
          <w:tcPr>
            <w:tcW w:w="1245"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100万-200万元</w:t>
            </w:r>
          </w:p>
        </w:tc>
        <w:tc>
          <w:tcPr>
            <w:tcW w:w="1192"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200万以上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trPr>
        <w:tc>
          <w:tcPr>
            <w:tcW w:w="688" w:type="dxa"/>
            <w:noWrap w:val="0"/>
            <w:vAlign w:val="center"/>
          </w:tcPr>
          <w:p>
            <w:pPr>
              <w:spacing w:line="300" w:lineRule="exact"/>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3</w:t>
            </w:r>
            <w:r>
              <w:rPr>
                <w:rFonts w:ascii="Times New Roman" w:hAnsi="Times New Roman" w:eastAsia="仿宋_GB2312" w:cs="仿宋"/>
                <w:color w:val="000000" w:themeColor="text1"/>
                <w:szCs w:val="21"/>
                <w:highlight w:val="none"/>
                <w14:textFill>
                  <w14:solidFill>
                    <w14:schemeClr w14:val="tx1"/>
                  </w14:solidFill>
                </w14:textFill>
              </w:rPr>
              <w:t>.1</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对现场签证资料，监理人未有准确、真实的现场原始记录</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14:textFill>
                  <w14:solidFill>
                    <w14:schemeClr w14:val="tx1"/>
                  </w14:solidFill>
                </w14:textFill>
              </w:rPr>
              <w:t>或不进行现场复核就给予签认</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的，</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r>
              <w:rPr>
                <w:rFonts w:hint="eastAsia" w:ascii="Times New Roman" w:hAnsi="Times New Roman" w:eastAsia="仿宋_GB2312" w:cs="仿宋"/>
                <w:color w:val="000000" w:themeColor="text1"/>
                <w:szCs w:val="21"/>
                <w:highlight w:val="none"/>
                <w14:textFill>
                  <w14:solidFill>
                    <w14:schemeClr w14:val="tx1"/>
                  </w14:solidFill>
                </w14:textFill>
              </w:rPr>
              <w:t>若</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因此造成发包人</w:t>
            </w:r>
            <w:r>
              <w:rPr>
                <w:rFonts w:hint="eastAsia" w:ascii="Times New Roman" w:hAnsi="Times New Roman" w:eastAsia="仿宋_GB2312" w:cs="仿宋"/>
                <w:color w:val="000000" w:themeColor="text1"/>
                <w:szCs w:val="21"/>
                <w:highlight w:val="none"/>
                <w14:textFill>
                  <w14:solidFill>
                    <w14:schemeClr w14:val="tx1"/>
                  </w14:solidFill>
                </w14:textFill>
              </w:rPr>
              <w:t>直接经济损失50万元以上的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，则发包人</w:t>
            </w:r>
            <w:r>
              <w:rPr>
                <w:rFonts w:hint="eastAsia" w:ascii="Times New Roman" w:hAnsi="Times New Roman" w:eastAsia="仿宋_GB2312" w:cs="仿宋"/>
                <w:color w:val="000000" w:themeColor="text1"/>
                <w:szCs w:val="21"/>
                <w:highlight w:val="none"/>
                <w14:textFill>
                  <w14:solidFill>
                    <w14:schemeClr w14:val="tx1"/>
                  </w14:solidFill>
                </w14:textFill>
              </w:rPr>
              <w:t>有权</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按前述标准的2倍要求监理人支付违约金</w:t>
            </w:r>
            <w:r>
              <w:rPr>
                <w:rFonts w:hint="eastAsia" w:ascii="Times New Roman" w:hAnsi="Times New Roman" w:eastAsia="仿宋_GB2312" w:cs="仿宋"/>
                <w:color w:val="000000" w:themeColor="text1"/>
                <w:szCs w:val="21"/>
                <w:highlight w:val="none"/>
                <w14:textFill>
                  <w14:solidFill>
                    <w14:schemeClr w14:val="tx1"/>
                  </w14:solidFill>
                </w14:textFill>
              </w:rPr>
              <w:t>。</w:t>
            </w:r>
          </w:p>
        </w:tc>
        <w:tc>
          <w:tcPr>
            <w:tcW w:w="1001" w:type="dxa"/>
            <w:gridSpan w:val="2"/>
            <w:noWrap w:val="0"/>
            <w:vAlign w:val="center"/>
          </w:tcPr>
          <w:p>
            <w:pPr>
              <w:widowControl/>
              <w:jc w:val="center"/>
              <w:rPr>
                <w:rFonts w:ascii="Calibri" w:hAnsi="Calibri" w:eastAsia="宋体" w:cs="Times New Roman"/>
                <w:kern w:val="2"/>
                <w:sz w:val="21"/>
                <w:szCs w:val="24"/>
                <w:highlight w:val="none"/>
                <w:lang w:val="en-US" w:eastAsia="zh-CN" w:bidi="ar-SA"/>
              </w:rPr>
            </w:pPr>
            <w:r>
              <w:rPr>
                <w:rFonts w:hint="eastAsia" w:ascii="宋体" w:hAnsi="宋体" w:cs="宋体"/>
                <w:b/>
                <w:bCs/>
                <w:color w:val="000000" w:themeColor="text1"/>
                <w:kern w:val="0"/>
                <w:sz w:val="20"/>
                <w:highlight w:val="none"/>
                <w:lang w:val="en-US" w:eastAsia="zh-CN"/>
                <w14:textFill>
                  <w14:solidFill>
                    <w14:schemeClr w14:val="tx1"/>
                  </w14:solidFill>
                </w14:textFill>
              </w:rPr>
              <w:t>5000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ascii="Calibri" w:hAnsi="Calibri" w:eastAsia="宋体" w:cs="Times New Roman"/>
                <w:kern w:val="2"/>
                <w:sz w:val="21"/>
                <w:szCs w:val="24"/>
                <w:highlight w:val="none"/>
                <w:lang w:val="en-US" w:eastAsia="zh-CN" w:bidi="ar-SA"/>
              </w:rPr>
            </w:pPr>
            <w:r>
              <w:rPr>
                <w:rFonts w:hint="eastAsia" w:ascii="宋体" w:hAnsi="宋体" w:cs="宋体"/>
                <w:b/>
                <w:bCs/>
                <w:color w:val="000000" w:themeColor="text1"/>
                <w:kern w:val="0"/>
                <w:sz w:val="20"/>
                <w:highlight w:val="none"/>
                <w:lang w:val="en-US" w:eastAsia="zh-CN"/>
                <w14:textFill>
                  <w14:solidFill>
                    <w14:schemeClr w14:val="tx1"/>
                  </w14:solidFill>
                </w14:textFill>
              </w:rPr>
              <w:t>10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ascii="Calibri" w:hAnsi="Calibri" w:eastAsia="宋体" w:cs="Times New Roman"/>
                <w:kern w:val="2"/>
                <w:sz w:val="21"/>
                <w:szCs w:val="24"/>
                <w:highlight w:val="none"/>
                <w:lang w:val="en-US" w:eastAsia="zh-CN" w:bidi="ar-SA"/>
              </w:rPr>
            </w:pPr>
            <w:r>
              <w:rPr>
                <w:rFonts w:hint="eastAsia" w:ascii="宋体" w:hAnsi="宋体" w:cs="宋体"/>
                <w:b/>
                <w:bCs/>
                <w:color w:val="000000" w:themeColor="text1"/>
                <w:kern w:val="0"/>
                <w:sz w:val="20"/>
                <w:highlight w:val="none"/>
                <w:lang w:val="en-US" w:eastAsia="zh-CN"/>
                <w14:textFill>
                  <w14:solidFill>
                    <w14:schemeClr w14:val="tx1"/>
                  </w14:solidFill>
                </w14:textFill>
              </w:rPr>
              <w:t>200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ascii="Calibri" w:hAnsi="Calibri" w:eastAsia="宋体" w:cs="Times New Roman"/>
                <w:kern w:val="2"/>
                <w:sz w:val="21"/>
                <w:szCs w:val="24"/>
                <w:highlight w:val="none"/>
                <w:lang w:val="en-US" w:eastAsia="zh-CN" w:bidi="ar-SA"/>
              </w:rPr>
            </w:pPr>
            <w:r>
              <w:rPr>
                <w:rFonts w:hint="eastAsia" w:ascii="宋体" w:hAnsi="宋体" w:cs="宋体"/>
                <w:b/>
                <w:bCs/>
                <w:color w:val="000000" w:themeColor="text1"/>
                <w:kern w:val="0"/>
                <w:sz w:val="20"/>
                <w:highlight w:val="none"/>
                <w:lang w:val="en-US" w:eastAsia="zh-CN"/>
                <w14:textFill>
                  <w14:solidFill>
                    <w14:schemeClr w14:val="tx1"/>
                  </w14:solidFill>
                </w14:textFill>
              </w:rPr>
              <w:t>30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trPr>
        <w:tc>
          <w:tcPr>
            <w:tcW w:w="688" w:type="dxa"/>
            <w:noWrap w:val="0"/>
            <w:vAlign w:val="center"/>
          </w:tcPr>
          <w:p>
            <w:pPr>
              <w:spacing w:line="300" w:lineRule="exact"/>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3</w:t>
            </w:r>
            <w:r>
              <w:rPr>
                <w:rFonts w:ascii="Times New Roman" w:hAnsi="Times New Roman" w:eastAsia="仿宋_GB2312" w:cs="仿宋"/>
                <w:color w:val="000000" w:themeColor="text1"/>
                <w:szCs w:val="21"/>
                <w:highlight w:val="none"/>
                <w14:textFill>
                  <w14:solidFill>
                    <w14:schemeClr w14:val="tx1"/>
                  </w14:solidFill>
                </w14:textFill>
              </w:rPr>
              <w:t>.2</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对</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施工</w:t>
            </w:r>
            <w:r>
              <w:rPr>
                <w:rFonts w:hint="eastAsia" w:ascii="Times New Roman" w:hAnsi="Times New Roman" w:eastAsia="仿宋_GB2312" w:cs="仿宋"/>
                <w:color w:val="000000" w:themeColor="text1"/>
                <w:szCs w:val="21"/>
                <w:highlight w:val="none"/>
                <w14:textFill>
                  <w14:solidFill>
                    <w14:schemeClr w14:val="tx1"/>
                  </w14:solidFill>
                </w14:textFill>
              </w:rPr>
              <w:t>单位施工方案、设计变更等技术文件明显</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存在</w:t>
            </w:r>
            <w:r>
              <w:rPr>
                <w:rFonts w:hint="eastAsia" w:ascii="Times New Roman" w:hAnsi="Times New Roman" w:eastAsia="仿宋_GB2312" w:cs="仿宋"/>
                <w:color w:val="000000" w:themeColor="text1"/>
                <w:szCs w:val="21"/>
                <w:highlight w:val="none"/>
                <w14:textFill>
                  <w14:solidFill>
                    <w14:schemeClr w14:val="tx1"/>
                  </w14:solidFill>
                </w14:textFill>
              </w:rPr>
              <w:t>不符合现场实际、会引起</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投资增加</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等情况</w:t>
            </w:r>
            <w:r>
              <w:rPr>
                <w:rFonts w:hint="eastAsia" w:ascii="Times New Roman" w:hAnsi="Times New Roman" w:eastAsia="仿宋_GB2312" w:cs="仿宋"/>
                <w:color w:val="000000" w:themeColor="text1"/>
                <w:szCs w:val="21"/>
                <w:highlight w:val="none"/>
                <w14:textFill>
                  <w14:solidFill>
                    <w14:schemeClr w14:val="tx1"/>
                  </w14:solidFill>
                </w14:textFill>
              </w:rPr>
              <w:t>，监理人未认真审核、不进行优化就给予同意的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每违约一次，按右边列明金额支付违约金一次；情节严重的，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有权</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按前述标准的2倍要求监理人支付违约金。</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3" w:hRule="atLeast"/>
          <w:tblHeader/>
        </w:trPr>
        <w:tc>
          <w:tcPr>
            <w:tcW w:w="688" w:type="dxa"/>
            <w:noWrap w:val="0"/>
            <w:vAlign w:val="center"/>
          </w:tcPr>
          <w:p>
            <w:pPr>
              <w:spacing w:line="300" w:lineRule="exact"/>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3</w:t>
            </w:r>
            <w:r>
              <w:rPr>
                <w:rFonts w:ascii="Times New Roman" w:hAnsi="Times New Roman" w:eastAsia="仿宋_GB2312" w:cs="仿宋"/>
                <w:color w:val="000000" w:themeColor="text1"/>
                <w:szCs w:val="21"/>
                <w:highlight w:val="none"/>
                <w14:textFill>
                  <w14:solidFill>
                    <w14:schemeClr w14:val="tx1"/>
                  </w14:solidFill>
                </w14:textFill>
              </w:rPr>
              <w:t>.3</w:t>
            </w:r>
          </w:p>
        </w:tc>
        <w:tc>
          <w:tcPr>
            <w:tcW w:w="3618" w:type="dxa"/>
            <w:noWrap w:val="0"/>
            <w:vAlign w:val="center"/>
          </w:tcPr>
          <w:p>
            <w:pPr>
              <w:spacing w:line="300" w:lineRule="exact"/>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对</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施工单位或项目其他服务单位</w:t>
            </w:r>
            <w:r>
              <w:rPr>
                <w:rFonts w:hint="eastAsia" w:ascii="Times New Roman" w:hAnsi="Times New Roman" w:eastAsia="仿宋_GB2312" w:cs="仿宋"/>
                <w:color w:val="000000" w:themeColor="text1"/>
                <w:szCs w:val="21"/>
                <w:highlight w:val="none"/>
                <w14:textFill>
                  <w14:solidFill>
                    <w14:schemeClr w14:val="tx1"/>
                  </w14:solidFill>
                </w14:textFill>
              </w:rPr>
              <w:t>提交的请款报告，监理人未按实际完成的工作量进行审核，或对不合格</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工作进行确认、计量</w:t>
            </w:r>
            <w:r>
              <w:rPr>
                <w:rFonts w:hint="eastAsia" w:ascii="Times New Roman" w:hAnsi="Times New Roman" w:eastAsia="仿宋_GB2312" w:cs="仿宋"/>
                <w:color w:val="000000" w:themeColor="text1"/>
                <w:szCs w:val="21"/>
                <w:highlight w:val="none"/>
                <w14:textFill>
                  <w14:solidFill>
                    <w14:schemeClr w14:val="tx1"/>
                  </w14:solidFill>
                </w14:textFill>
              </w:rPr>
              <w:t>，或者计量资料不齐全却同意计量支付，或不按本合同要求签署计量支付意见的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r>
              <w:rPr>
                <w:rFonts w:hint="eastAsia" w:ascii="Times New Roman" w:hAnsi="Times New Roman" w:eastAsia="仿宋_GB2312" w:cs="仿宋"/>
                <w:color w:val="000000" w:themeColor="text1"/>
                <w:szCs w:val="21"/>
                <w:highlight w:val="none"/>
                <w14:textFill>
                  <w14:solidFill>
                    <w14:schemeClr w14:val="tx1"/>
                  </w14:solidFill>
                </w14:textFill>
              </w:rPr>
              <w:t>若已支付从而造成</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超付</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款项</w:t>
            </w:r>
            <w:r>
              <w:rPr>
                <w:rFonts w:hint="eastAsia" w:ascii="Times New Roman" w:hAnsi="Times New Roman" w:eastAsia="仿宋_GB2312" w:cs="仿宋"/>
                <w:color w:val="000000" w:themeColor="text1"/>
                <w:szCs w:val="21"/>
                <w:highlight w:val="none"/>
                <w14:textFill>
                  <w14:solidFill>
                    <w14:schemeClr w14:val="tx1"/>
                  </w14:solidFill>
                </w14:textFill>
              </w:rPr>
              <w:t>达10万元以上，或审核的当期支付金额与</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复核的实际应付金额存在正负10％以上误差的</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有权</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按右边列明金额的1.5倍标准要求监理人支付违约金；情节严重的，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有权</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按右边列明金额的2倍标准要求监理人支付违约金。</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3.4</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项目</w:t>
            </w:r>
            <w:r>
              <w:rPr>
                <w:rFonts w:hint="eastAsia" w:ascii="Times New Roman" w:hAnsi="Times New Roman" w:eastAsia="仿宋_GB2312" w:cs="仿宋"/>
                <w:color w:val="000000" w:themeColor="text1"/>
                <w:szCs w:val="21"/>
                <w:highlight w:val="none"/>
                <w14:textFill>
                  <w14:solidFill>
                    <w14:schemeClr w14:val="tx1"/>
                  </w14:solidFill>
                </w14:textFill>
              </w:rPr>
              <w:t>出现变更时，监理人未按</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合同约定或相关规定的</w:t>
            </w:r>
            <w:r>
              <w:rPr>
                <w:rFonts w:hint="eastAsia" w:ascii="Times New Roman" w:hAnsi="Times New Roman" w:eastAsia="仿宋_GB2312" w:cs="仿宋"/>
                <w:color w:val="000000" w:themeColor="text1"/>
                <w:szCs w:val="21"/>
                <w:highlight w:val="none"/>
                <w14:textFill>
                  <w14:solidFill>
                    <w14:schemeClr w14:val="tx1"/>
                  </w14:solidFill>
                </w14:textFill>
              </w:rPr>
              <w:t>变更</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程序</w:t>
            </w:r>
            <w:r>
              <w:rPr>
                <w:rFonts w:hint="eastAsia" w:ascii="Times New Roman" w:hAnsi="Times New Roman" w:eastAsia="仿宋_GB2312" w:cs="仿宋"/>
                <w:color w:val="000000" w:themeColor="text1"/>
                <w:szCs w:val="21"/>
                <w:highlight w:val="none"/>
                <w14:textFill>
                  <w14:solidFill>
                    <w14:schemeClr w14:val="tx1"/>
                  </w14:solidFill>
                </w14:textFill>
              </w:rPr>
              <w:t>执行，或未经</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批准即签发变更指令的</w:t>
            </w:r>
          </w:p>
        </w:tc>
        <w:tc>
          <w:tcPr>
            <w:tcW w:w="4765" w:type="dxa"/>
            <w:gridSpan w:val="5"/>
            <w:noWrap w:val="0"/>
            <w:vAlign w:val="center"/>
          </w:tcPr>
          <w:p>
            <w:pPr>
              <w:spacing w:line="300" w:lineRule="exact"/>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strike w:val="0"/>
                <w:dstrike w:val="0"/>
                <w:color w:val="000000" w:themeColor="text1"/>
                <w:szCs w:val="21"/>
                <w:highlight w:val="none"/>
                <w14:textFill>
                  <w14:solidFill>
                    <w14:schemeClr w14:val="tx1"/>
                  </w14:solidFill>
                </w14:textFill>
              </w:rPr>
              <w:t>按变更金额比例扣除监理费。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3.5</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b/>
                <w:bCs/>
                <w:color w:val="000000" w:themeColor="text1"/>
                <w:szCs w:val="21"/>
                <w:highlight w:val="none"/>
                <w:lang w:eastAsia="zh-CN"/>
                <w14:textFill>
                  <w14:solidFill>
                    <w14:schemeClr w14:val="tx1"/>
                  </w14:solidFill>
                </w14:textFill>
              </w:rPr>
              <w:t>变更审核工作</w:t>
            </w:r>
          </w:p>
        </w:tc>
        <w:tc>
          <w:tcPr>
            <w:tcW w:w="1001" w:type="dxa"/>
            <w:gridSpan w:val="2"/>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strike w:val="0"/>
                <w:dstrike w:val="0"/>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50万元以下</w:t>
            </w:r>
          </w:p>
        </w:tc>
        <w:tc>
          <w:tcPr>
            <w:tcW w:w="1327"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strike w:val="0"/>
                <w:dstrike w:val="0"/>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50万-100万元</w:t>
            </w:r>
          </w:p>
        </w:tc>
        <w:tc>
          <w:tcPr>
            <w:tcW w:w="1245"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strike w:val="0"/>
                <w:dstrike w:val="0"/>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100万-200万元</w:t>
            </w:r>
          </w:p>
        </w:tc>
        <w:tc>
          <w:tcPr>
            <w:tcW w:w="1192"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strike w:val="0"/>
                <w:dstrike w:val="0"/>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200万以上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3.5.1</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无正当理由未按合同约定期限完成变更审核的，每迟延一天按右表列明金额支付违约金。</w:t>
            </w:r>
          </w:p>
        </w:tc>
        <w:tc>
          <w:tcPr>
            <w:tcW w:w="1001" w:type="dxa"/>
            <w:gridSpan w:val="2"/>
            <w:noWrap w:val="0"/>
            <w:vAlign w:val="center"/>
          </w:tcPr>
          <w:p>
            <w:pPr>
              <w:widowControl/>
              <w:jc w:val="center"/>
              <w:rPr>
                <w:rFonts w:hint="default" w:ascii="Times New Roman" w:hAnsi="Times New Roman" w:eastAsia="宋体" w:cs="仿宋"/>
                <w:strike w:val="0"/>
                <w:dstrike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w:t>
            </w:r>
            <w:r>
              <w:rPr>
                <w:rFonts w:hint="eastAsia" w:ascii="宋体" w:hAnsi="宋体" w:cs="宋体"/>
                <w:b/>
                <w:bCs/>
                <w:color w:val="000000" w:themeColor="text1"/>
                <w:kern w:val="0"/>
                <w:sz w:val="20"/>
                <w:highlight w:val="none"/>
                <w14:textFill>
                  <w14:solidFill>
                    <w14:schemeClr w14:val="tx1"/>
                  </w14:solidFill>
                </w14:textFill>
              </w:rPr>
              <w:t>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strike w:val="0"/>
                <w:dstrike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Times New Roman" w:hAnsi="Times New Roman" w:eastAsia="仿宋_GB2312" w:cs="仿宋"/>
                <w:strike w:val="0"/>
                <w:dstrike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w:t>
            </w:r>
            <w:r>
              <w:rPr>
                <w:rFonts w:hint="eastAsia" w:ascii="宋体" w:hAnsi="宋体" w:cs="宋体"/>
                <w:b/>
                <w:bCs/>
                <w:color w:val="000000" w:themeColor="text1"/>
                <w:kern w:val="0"/>
                <w:sz w:val="20"/>
                <w:highlight w:val="none"/>
                <w:lang w:val="en-US" w:eastAsia="zh-CN"/>
                <w14:textFill>
                  <w14:solidFill>
                    <w14:schemeClr w14:val="tx1"/>
                  </w14:solidFill>
                </w14:textFill>
              </w:rPr>
              <w:t>0</w:t>
            </w:r>
            <w:r>
              <w:rPr>
                <w:rFonts w:hint="eastAsia" w:ascii="宋体" w:hAnsi="宋体" w:cs="宋体"/>
                <w:b/>
                <w:bCs/>
                <w:color w:val="000000" w:themeColor="text1"/>
                <w:kern w:val="0"/>
                <w:sz w:val="20"/>
                <w:highlight w:val="none"/>
                <w14:textFill>
                  <w14:solidFill>
                    <w14:schemeClr w14:val="tx1"/>
                  </w14:solidFill>
                </w14:textFill>
              </w:rPr>
              <w:t>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Times New Roman" w:hAnsi="Times New Roman" w:eastAsia="仿宋_GB2312" w:cs="仿宋"/>
                <w:strike w:val="0"/>
                <w:dstrike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15</w:t>
            </w:r>
            <w:r>
              <w:rPr>
                <w:rFonts w:hint="eastAsia" w:ascii="宋体" w:hAnsi="宋体" w:cs="宋体"/>
                <w:b/>
                <w:bCs/>
                <w:color w:val="000000" w:themeColor="text1"/>
                <w:kern w:val="0"/>
                <w:sz w:val="20"/>
                <w:highlight w:val="none"/>
                <w14:textFill>
                  <w14:solidFill>
                    <w14:schemeClr w14:val="tx1"/>
                  </w14:solidFill>
                </w14:textFill>
              </w:rPr>
              <w:t>00</w:t>
            </w:r>
            <w:r>
              <w:rPr>
                <w:rFonts w:hint="eastAsia" w:ascii="宋体" w:hAnsi="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3.5.2</w:t>
            </w:r>
          </w:p>
        </w:tc>
        <w:tc>
          <w:tcPr>
            <w:tcW w:w="3618" w:type="dxa"/>
            <w:noWrap w:val="0"/>
            <w:vAlign w:val="center"/>
          </w:tcPr>
          <w:p>
            <w:pPr>
              <w:numPr>
                <w:ilvl w:val="0"/>
                <w:numId w:val="0"/>
              </w:num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变更终审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单位</w:t>
            </w:r>
            <w:r>
              <w:rPr>
                <w:rFonts w:hint="eastAsia" w:ascii="Times New Roman" w:hAnsi="Times New Roman" w:eastAsia="仿宋_GB2312" w:cs="仿宋"/>
                <w:color w:val="000000" w:themeColor="text1"/>
                <w:szCs w:val="21"/>
                <w:highlight w:val="none"/>
                <w14:textFill>
                  <w14:solidFill>
                    <w14:schemeClr w14:val="tx1"/>
                  </w14:solidFill>
                </w14:textFill>
              </w:rPr>
              <w:t>审定的单份工程变更金额较监理人审定金额误差</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在正负</w:t>
            </w:r>
            <w:r>
              <w:rPr>
                <w:rFonts w:hint="eastAsia" w:ascii="Times New Roman" w:hAnsi="Times New Roman" w:eastAsia="仿宋_GB2312" w:cs="仿宋"/>
                <w:color w:val="000000" w:themeColor="text1"/>
                <w:szCs w:val="21"/>
                <w:highlight w:val="none"/>
                <w14:textFill>
                  <w14:solidFill>
                    <w14:schemeClr w14:val="tx1"/>
                  </w14:solidFill>
                </w14:textFill>
              </w:rPr>
              <w:t>10%</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以上</w:t>
            </w:r>
            <w:r>
              <w:rPr>
                <w:rFonts w:hint="eastAsia" w:ascii="Times New Roman" w:hAnsi="Times New Roman" w:eastAsia="仿宋_GB2312" w:cs="仿宋"/>
                <w:color w:val="000000" w:themeColor="text1"/>
                <w:szCs w:val="21"/>
                <w:highlight w:val="none"/>
                <w14:textFill>
                  <w14:solidFill>
                    <w14:schemeClr w14:val="tx1"/>
                  </w14:solidFill>
                </w14:textFill>
              </w:rPr>
              <w:t>的情况累计出现3宗及以上</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3.5.3</w:t>
            </w:r>
          </w:p>
        </w:tc>
        <w:tc>
          <w:tcPr>
            <w:tcW w:w="3618" w:type="dxa"/>
            <w:noWrap w:val="0"/>
            <w:vAlign w:val="center"/>
          </w:tcPr>
          <w:p>
            <w:pPr>
              <w:numPr>
                <w:ilvl w:val="0"/>
                <w:numId w:val="0"/>
              </w:num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变更终审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单位</w:t>
            </w:r>
            <w:r>
              <w:rPr>
                <w:rFonts w:hint="eastAsia" w:ascii="Times New Roman" w:hAnsi="Times New Roman" w:eastAsia="仿宋_GB2312" w:cs="仿宋"/>
                <w:color w:val="000000" w:themeColor="text1"/>
                <w:szCs w:val="21"/>
                <w:highlight w:val="none"/>
                <w14:textFill>
                  <w14:solidFill>
                    <w14:schemeClr w14:val="tx1"/>
                  </w14:solidFill>
                </w14:textFill>
              </w:rPr>
              <w:t>审定的单个合同的变更累计金额较监理人审定的变更累计金额的误差</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在正负</w:t>
            </w:r>
            <w:r>
              <w:rPr>
                <w:rFonts w:hint="eastAsia" w:ascii="Times New Roman" w:hAnsi="Times New Roman" w:eastAsia="仿宋_GB2312" w:cs="仿宋"/>
                <w:color w:val="000000" w:themeColor="text1"/>
                <w:szCs w:val="21"/>
                <w:highlight w:val="none"/>
                <w14:textFill>
                  <w14:solidFill>
                    <w14:schemeClr w14:val="tx1"/>
                  </w14:solidFill>
                </w14:textFill>
              </w:rPr>
              <w:t>10%</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以上且正负</w:t>
            </w:r>
            <w:r>
              <w:rPr>
                <w:rFonts w:hint="eastAsia" w:ascii="Times New Roman" w:hAnsi="Times New Roman" w:eastAsia="仿宋_GB2312" w:cs="仿宋"/>
                <w:color w:val="000000" w:themeColor="text1"/>
                <w:szCs w:val="21"/>
                <w:highlight w:val="none"/>
                <w14:textFill>
                  <w14:solidFill>
                    <w14:schemeClr w14:val="tx1"/>
                  </w14:solidFill>
                </w14:textFill>
              </w:rPr>
              <w:t>20％</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以下</w:t>
            </w:r>
            <w:r>
              <w:rPr>
                <w:rFonts w:hint="eastAsia" w:ascii="Times New Roman" w:hAnsi="Times New Roman" w:eastAsia="仿宋_GB2312" w:cs="仿宋"/>
                <w:color w:val="000000" w:themeColor="text1"/>
                <w:szCs w:val="21"/>
                <w:highlight w:val="none"/>
                <w14:textFill>
                  <w14:solidFill>
                    <w14:schemeClr w14:val="tx1"/>
                  </w14:solidFill>
                </w14:textFill>
              </w:rPr>
              <w:t>的情况</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累计</w:t>
            </w:r>
            <w:r>
              <w:rPr>
                <w:rFonts w:hint="eastAsia" w:ascii="Times New Roman" w:hAnsi="Times New Roman" w:eastAsia="仿宋_GB2312" w:cs="仿宋"/>
                <w:color w:val="000000" w:themeColor="text1"/>
                <w:szCs w:val="21"/>
                <w:highlight w:val="none"/>
                <w14:textFill>
                  <w14:solidFill>
                    <w14:schemeClr w14:val="tx1"/>
                  </w14:solidFill>
                </w14:textFill>
              </w:rPr>
              <w:t>出现3宗及以上</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的，发包人</w:t>
            </w:r>
            <w:r>
              <w:rPr>
                <w:rFonts w:hint="eastAsia" w:ascii="Times New Roman" w:hAnsi="Times New Roman" w:eastAsia="仿宋_GB2312" w:cs="仿宋"/>
                <w:color w:val="000000" w:themeColor="text1"/>
                <w:szCs w:val="21"/>
                <w:highlight w:val="none"/>
                <w14:textFill>
                  <w14:solidFill>
                    <w14:schemeClr w14:val="tx1"/>
                  </w14:solidFill>
                </w14:textFill>
              </w:rPr>
              <w:t>有权</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按前述标准的1.5倍要求监理人支付违约金。</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3.5.4</w:t>
            </w:r>
          </w:p>
        </w:tc>
        <w:tc>
          <w:tcPr>
            <w:tcW w:w="3618" w:type="dxa"/>
            <w:noWrap w:val="0"/>
            <w:vAlign w:val="center"/>
          </w:tcPr>
          <w:p>
            <w:pPr>
              <w:numPr>
                <w:ilvl w:val="0"/>
                <w:numId w:val="0"/>
              </w:num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变更终审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单位</w:t>
            </w:r>
            <w:r>
              <w:rPr>
                <w:rFonts w:hint="eastAsia" w:ascii="Times New Roman" w:hAnsi="Times New Roman" w:eastAsia="仿宋_GB2312" w:cs="仿宋"/>
                <w:color w:val="000000" w:themeColor="text1"/>
                <w:szCs w:val="21"/>
                <w:highlight w:val="none"/>
                <w14:textFill>
                  <w14:solidFill>
                    <w14:schemeClr w14:val="tx1"/>
                  </w14:solidFill>
                </w14:textFill>
              </w:rPr>
              <w:t>审定的单个合同的变更累计金额较监理人审定的变更累计金额的误差</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在正负</w:t>
            </w:r>
            <w:r>
              <w:rPr>
                <w:rFonts w:hint="eastAsia" w:ascii="Times New Roman" w:hAnsi="Times New Roman" w:eastAsia="仿宋_GB2312" w:cs="仿宋"/>
                <w:color w:val="000000" w:themeColor="text1"/>
                <w:szCs w:val="21"/>
                <w:highlight w:val="none"/>
                <w14:textFill>
                  <w14:solidFill>
                    <w14:schemeClr w14:val="tx1"/>
                  </w14:solidFill>
                </w14:textFill>
              </w:rPr>
              <w:t>20％</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以上，</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p>
        </w:tc>
        <w:tc>
          <w:tcPr>
            <w:tcW w:w="8383" w:type="dxa"/>
            <w:gridSpan w:val="6"/>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注：</w:t>
            </w:r>
            <w:r>
              <w:rPr>
                <w:rFonts w:hint="eastAsia" w:ascii="Times New Roman" w:hAnsi="Times New Roman" w:eastAsia="仿宋_GB2312" w:cs="仿宋"/>
                <w:color w:val="000000" w:themeColor="text1"/>
                <w:szCs w:val="21"/>
                <w:highlight w:val="none"/>
                <w14:textFill>
                  <w14:solidFill>
                    <w14:schemeClr w14:val="tx1"/>
                  </w14:solidFill>
                </w14:textFill>
              </w:rPr>
              <w:t>变更审核误差=（监理人审核的单份工程变更金额（或单个合同变更累计金额）</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14:textFill>
                  <w14:solidFill>
                    <w14:schemeClr w14:val="tx1"/>
                  </w14:solidFill>
                </w14:textFill>
              </w:rPr>
              <w:t>变更终审部门审定的单份工程变更金额（或单个合同变更累计金额）/监理人审核的单份工程变更金额（或单个合同变更累计金额）</w:t>
            </w:r>
            <w:r>
              <w:rPr>
                <w:rFonts w:hint="eastAsia" w:ascii="仿宋" w:hAnsi="仿宋" w:eastAsia="仿宋" w:cs="仿宋"/>
                <w:snapToGrid/>
                <w:color w:val="auto"/>
                <w:spacing w:val="0"/>
                <w:kern w:val="0"/>
                <w:sz w:val="21"/>
                <w:szCs w:val="21"/>
                <w:highlight w:val="none"/>
                <w:lang w:val="en-US" w:eastAsia="zh-CN"/>
              </w:rPr>
              <w:t>×</w:t>
            </w:r>
            <w:r>
              <w:rPr>
                <w:rFonts w:hint="eastAsia" w:ascii="Times New Roman" w:hAnsi="Times New Roman" w:eastAsia="仿宋_GB2312" w:cs="仿宋"/>
                <w:color w:val="000000" w:themeColor="text1"/>
                <w:szCs w:val="21"/>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3.6</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因监理人原因</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，项目</w:t>
            </w:r>
            <w:r>
              <w:rPr>
                <w:rFonts w:hint="eastAsia" w:ascii="Times New Roman" w:hAnsi="Times New Roman" w:eastAsia="仿宋_GB2312" w:cs="仿宋"/>
                <w:color w:val="000000" w:themeColor="text1"/>
                <w:szCs w:val="21"/>
                <w:highlight w:val="none"/>
                <w14:textFill>
                  <w14:solidFill>
                    <w14:schemeClr w14:val="tx1"/>
                  </w14:solidFill>
                </w14:textFill>
              </w:rPr>
              <w:t>达不到投资控制目标</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的</w:t>
            </w:r>
          </w:p>
        </w:tc>
        <w:tc>
          <w:tcPr>
            <w:tcW w:w="4765" w:type="dxa"/>
            <w:gridSpan w:val="5"/>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根据工程投资的增加额与本合同监理报酬数额的比率，按相应比例扣减监理报酬。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3.7</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结算审核工作</w:t>
            </w:r>
          </w:p>
        </w:tc>
        <w:tc>
          <w:tcPr>
            <w:tcW w:w="1001" w:type="dxa"/>
            <w:gridSpan w:val="2"/>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50万元以下</w:t>
            </w:r>
          </w:p>
        </w:tc>
        <w:tc>
          <w:tcPr>
            <w:tcW w:w="1327"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50万-100万元</w:t>
            </w:r>
          </w:p>
        </w:tc>
        <w:tc>
          <w:tcPr>
            <w:tcW w:w="1245"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100万-200万元</w:t>
            </w:r>
          </w:p>
        </w:tc>
        <w:tc>
          <w:tcPr>
            <w:tcW w:w="1192"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200万以上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3.7.1</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无正当理由未按合同约定期限完成结算审核工作，每迟延一天按右表列明金额支付违约金。</w:t>
            </w:r>
          </w:p>
        </w:tc>
        <w:tc>
          <w:tcPr>
            <w:tcW w:w="1001" w:type="dxa"/>
            <w:gridSpan w:val="2"/>
            <w:noWrap w:val="0"/>
            <w:vAlign w:val="center"/>
          </w:tcPr>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500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1500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2000</w:t>
            </w:r>
            <w:r>
              <w:rPr>
                <w:rFonts w:hint="eastAsia" w:ascii="宋体" w:hAnsi="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3.7.2</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经监理人审核确认的单个施工合同结算价与结算终审单位审核价的误差在正负5%以上且正负10%以下的（施工单位自愿放弃的除外），</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并扣减监理报酬。</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3.7.3</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经监理人审核确认的单个施工合同结算价与结算终审单位审核价的误差在正负10%以上的，</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并扣减监理报酬。</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30000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50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1000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lang w:val="en-US" w:eastAsia="zh-CN"/>
                <w14:textFill>
                  <w14:solidFill>
                    <w14:schemeClr w14:val="tx1"/>
                  </w14:solidFill>
                </w14:textFill>
              </w:rPr>
              <w:t>200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p>
        </w:tc>
        <w:tc>
          <w:tcPr>
            <w:tcW w:w="8383" w:type="dxa"/>
            <w:gridSpan w:val="6"/>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扣减监理报酬的</w:t>
            </w:r>
            <w:r>
              <w:rPr>
                <w:rFonts w:hint="eastAsia" w:ascii="Times New Roman" w:hAnsi="Times New Roman" w:eastAsia="仿宋_GB2312" w:cs="仿宋"/>
                <w:color w:val="000000" w:themeColor="text1"/>
                <w:szCs w:val="21"/>
                <w:highlight w:val="none"/>
                <w14:textFill>
                  <w14:solidFill>
                    <w14:schemeClr w14:val="tx1"/>
                  </w14:solidFill>
                </w14:textFill>
              </w:rPr>
              <w:t>金额=(︱（监理人审核的结算价</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14:textFill>
                  <w14:solidFill>
                    <w14:schemeClr w14:val="tx1"/>
                  </w14:solidFill>
                </w14:textFill>
              </w:rPr>
              <w:t>财政评审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最终</w:t>
            </w:r>
            <w:r>
              <w:rPr>
                <w:rFonts w:hint="eastAsia" w:ascii="Times New Roman" w:hAnsi="Times New Roman" w:eastAsia="仿宋_GB2312" w:cs="仿宋"/>
                <w:color w:val="000000" w:themeColor="text1"/>
                <w:szCs w:val="21"/>
                <w:highlight w:val="none"/>
                <w14:textFill>
                  <w14:solidFill>
                    <w14:schemeClr w14:val="tx1"/>
                  </w14:solidFill>
                </w14:textFill>
              </w:rPr>
              <w:t>结算价）/监理人审核的结算价</w:t>
            </w:r>
            <w:r>
              <w:rPr>
                <w:rFonts w:hint="eastAsia" w:ascii="仿宋" w:hAnsi="仿宋" w:eastAsia="仿宋" w:cs="仿宋"/>
                <w:snapToGrid/>
                <w:color w:val="auto"/>
                <w:spacing w:val="0"/>
                <w:kern w:val="0"/>
                <w:sz w:val="21"/>
                <w:szCs w:val="21"/>
                <w:highlight w:val="none"/>
                <w:lang w:val="en-US" w:eastAsia="zh-CN"/>
              </w:rPr>
              <w:t>×</w:t>
            </w:r>
            <w:r>
              <w:rPr>
                <w:rFonts w:hint="eastAsia" w:ascii="Times New Roman" w:hAnsi="Times New Roman" w:eastAsia="仿宋_GB2312" w:cs="仿宋"/>
                <w:color w:val="000000" w:themeColor="text1"/>
                <w:szCs w:val="21"/>
                <w:highlight w:val="none"/>
                <w14:textFill>
                  <w14:solidFill>
                    <w14:schemeClr w14:val="tx1"/>
                  </w14:solidFill>
                </w14:textFill>
              </w:rPr>
              <w:t>100%︱</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14:textFill>
                  <w14:solidFill>
                    <w14:schemeClr w14:val="tx1"/>
                  </w14:solidFill>
                </w14:textFill>
              </w:rPr>
              <w:t>5%）</w:t>
            </w:r>
            <w:r>
              <w:rPr>
                <w:rFonts w:hint="eastAsia" w:ascii="仿宋" w:hAnsi="仿宋" w:eastAsia="仿宋" w:cs="仿宋"/>
                <w:snapToGrid/>
                <w:color w:val="auto"/>
                <w:spacing w:val="0"/>
                <w:kern w:val="0"/>
                <w:sz w:val="21"/>
                <w:szCs w:val="21"/>
                <w:highlight w:val="none"/>
                <w:lang w:val="en-US" w:eastAsia="zh-CN"/>
              </w:rPr>
              <w:t>×</w:t>
            </w:r>
            <w:r>
              <w:rPr>
                <w:rFonts w:hint="eastAsia" w:ascii="Times New Roman" w:hAnsi="Times New Roman" w:eastAsia="仿宋_GB2312" w:cs="仿宋"/>
                <w:color w:val="000000" w:themeColor="text1"/>
                <w:szCs w:val="21"/>
                <w:highlight w:val="none"/>
                <w14:textFill>
                  <w14:solidFill>
                    <w14:schemeClr w14:val="tx1"/>
                  </w14:solidFill>
                </w14:textFill>
              </w:rPr>
              <w:t>（该合同的财政评审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最终</w:t>
            </w:r>
            <w:r>
              <w:rPr>
                <w:rFonts w:hint="eastAsia" w:ascii="Times New Roman" w:hAnsi="Times New Roman" w:eastAsia="仿宋_GB2312" w:cs="仿宋"/>
                <w:color w:val="000000" w:themeColor="text1"/>
                <w:szCs w:val="21"/>
                <w:highlight w:val="none"/>
                <w14:textFill>
                  <w14:solidFill>
                    <w14:schemeClr w14:val="tx1"/>
                  </w14:solidFill>
                </w14:textFill>
              </w:rPr>
              <w:t>结算价</w:t>
            </w:r>
            <w:r>
              <w:rPr>
                <w:rFonts w:hint="eastAsia" w:ascii="仿宋" w:hAnsi="仿宋" w:eastAsia="仿宋" w:cs="仿宋"/>
                <w:snapToGrid/>
                <w:color w:val="auto"/>
                <w:spacing w:val="0"/>
                <w:kern w:val="0"/>
                <w:sz w:val="21"/>
                <w:szCs w:val="21"/>
                <w:highlight w:val="none"/>
                <w:lang w:val="en-US" w:eastAsia="zh-CN"/>
              </w:rPr>
              <w:t>×</w:t>
            </w:r>
            <w:r>
              <w:rPr>
                <w:rFonts w:hint="eastAsia" w:ascii="Times New Roman" w:hAnsi="Times New Roman" w:eastAsia="仿宋_GB2312" w:cs="仿宋"/>
                <w:color w:val="000000" w:themeColor="text1"/>
                <w:szCs w:val="21"/>
                <w:highlight w:val="none"/>
                <w14:textFill>
                  <w14:solidFill>
                    <w14:schemeClr w14:val="tx1"/>
                  </w14:solidFill>
                </w14:textFill>
              </w:rPr>
              <w:t>1.13/概算投资额）</w:t>
            </w:r>
            <w:r>
              <w:rPr>
                <w:rFonts w:hint="eastAsia" w:ascii="仿宋" w:hAnsi="仿宋" w:eastAsia="仿宋" w:cs="仿宋"/>
                <w:snapToGrid/>
                <w:color w:val="auto"/>
                <w:spacing w:val="0"/>
                <w:kern w:val="0"/>
                <w:sz w:val="21"/>
                <w:szCs w:val="21"/>
                <w:highlight w:val="none"/>
                <w:lang w:val="en-US" w:eastAsia="zh-CN"/>
              </w:rPr>
              <w:t>×</w:t>
            </w:r>
            <w:r>
              <w:rPr>
                <w:rFonts w:hint="eastAsia" w:ascii="Times New Roman" w:hAnsi="Times New Roman" w:eastAsia="仿宋_GB2312" w:cs="仿宋"/>
                <w:color w:val="000000" w:themeColor="text1"/>
                <w:szCs w:val="21"/>
                <w:highlight w:val="none"/>
                <w14:textFill>
                  <w14:solidFill>
                    <w14:schemeClr w14:val="tx1"/>
                  </w14:solidFill>
                </w14:textFill>
              </w:rPr>
              <w:t>监理合同价；</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扣减</w:t>
            </w:r>
            <w:r>
              <w:rPr>
                <w:rFonts w:hint="eastAsia" w:ascii="Times New Roman" w:hAnsi="Times New Roman" w:eastAsia="仿宋_GB2312" w:cs="仿宋"/>
                <w:color w:val="000000" w:themeColor="text1"/>
                <w:szCs w:val="21"/>
                <w:highlight w:val="none"/>
                <w14:textFill>
                  <w14:solidFill>
                    <w14:schemeClr w14:val="tx1"/>
                  </w14:solidFill>
                </w14:textFill>
              </w:rPr>
              <w:t>金额在监理</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报酬</w:t>
            </w:r>
            <w:r>
              <w:rPr>
                <w:rFonts w:hint="eastAsia" w:ascii="Times New Roman" w:hAnsi="Times New Roman" w:eastAsia="仿宋_GB2312" w:cs="仿宋"/>
                <w:color w:val="000000" w:themeColor="text1"/>
                <w:szCs w:val="21"/>
                <w:highlight w:val="none"/>
                <w14:textFill>
                  <w14:solidFill>
                    <w14:schemeClr w14:val="tx1"/>
                  </w14:solidFill>
                </w14:textFill>
              </w:rPr>
              <w:t>结算时扣减，累计不超过</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监理报酬结算价</w:t>
            </w:r>
            <w:r>
              <w:rPr>
                <w:rFonts w:hint="eastAsia" w:ascii="Times New Roman" w:hAnsi="Times New Roman" w:eastAsia="仿宋_GB2312" w:cs="仿宋"/>
                <w:color w:val="000000" w:themeColor="text1"/>
                <w:szCs w:val="21"/>
                <w:highlight w:val="none"/>
                <w14:textFill>
                  <w14:solidFill>
                    <w14:schemeClr w14:val="tx1"/>
                  </w14:solidFill>
                </w14:textFill>
              </w:rPr>
              <w:t xml:space="preserve">的15%。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60" w:lineRule="auto"/>
              <w:jc w:val="center"/>
              <w:rPr>
                <w:rFonts w:ascii="Times New Roman" w:hAnsi="Times New Roman" w:eastAsia="仿宋_GB2312" w:cs="仿宋_GB2312"/>
                <w:b/>
                <w:bCs/>
                <w:color w:val="000000" w:themeColor="text1"/>
                <w:sz w:val="24"/>
                <w:highlight w:val="none"/>
                <w14:textFill>
                  <w14:solidFill>
                    <w14:schemeClr w14:val="tx1"/>
                  </w14:solidFill>
                </w14:textFill>
              </w:rPr>
            </w:pPr>
            <w:r>
              <w:rPr>
                <w:rFonts w:hint="eastAsia" w:ascii="Times New Roman" w:hAnsi="Times New Roman" w:eastAsia="仿宋_GB2312" w:cs="仿宋_GB2312"/>
                <w:b/>
                <w:bCs/>
                <w:color w:val="000000" w:themeColor="text1"/>
                <w:sz w:val="24"/>
                <w:highlight w:val="none"/>
                <w14:textFill>
                  <w14:solidFill>
                    <w14:schemeClr w14:val="tx1"/>
                  </w14:solidFill>
                </w14:textFill>
              </w:rPr>
              <w:t>4</w:t>
            </w:r>
          </w:p>
        </w:tc>
        <w:tc>
          <w:tcPr>
            <w:tcW w:w="8383" w:type="dxa"/>
            <w:gridSpan w:val="6"/>
            <w:noWrap w:val="0"/>
            <w:vAlign w:val="center"/>
          </w:tcPr>
          <w:p>
            <w:pPr>
              <w:spacing w:line="360" w:lineRule="auto"/>
              <w:rPr>
                <w:rFonts w:ascii="Times New Roman" w:hAnsi="Times New Roman" w:eastAsia="仿宋_GB2312" w:cs="仿宋_GB2312"/>
                <w:b/>
                <w:bCs/>
                <w:color w:val="000000" w:themeColor="text1"/>
                <w:sz w:val="24"/>
                <w:highlight w:val="none"/>
                <w14:textFill>
                  <w14:solidFill>
                    <w14:schemeClr w14:val="tx1"/>
                  </w14:solidFill>
                </w14:textFill>
              </w:rPr>
            </w:pPr>
            <w:r>
              <w:rPr>
                <w:rFonts w:hint="eastAsia" w:ascii="Times New Roman" w:hAnsi="Times New Roman" w:eastAsia="仿宋_GB2312" w:cs="仿宋_GB2312"/>
                <w:b/>
                <w:bCs/>
                <w:color w:val="000000" w:themeColor="text1"/>
                <w:sz w:val="24"/>
                <w:highlight w:val="none"/>
                <w14:textFill>
                  <w14:solidFill>
                    <w14:schemeClr w14:val="tx1"/>
                  </w14:solidFill>
                </w14:textFill>
              </w:rPr>
              <w:t>进度控制方面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blHeader/>
        </w:trPr>
        <w:tc>
          <w:tcPr>
            <w:tcW w:w="688" w:type="dxa"/>
            <w:vMerge w:val="restart"/>
            <w:noWrap w:val="0"/>
            <w:vAlign w:val="center"/>
          </w:tcPr>
          <w:p>
            <w:pPr>
              <w:spacing w:line="300" w:lineRule="exact"/>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4</w:t>
            </w:r>
            <w:r>
              <w:rPr>
                <w:rFonts w:ascii="Times New Roman" w:hAnsi="Times New Roman" w:eastAsia="仿宋_GB2312" w:cs="仿宋"/>
                <w:color w:val="000000" w:themeColor="text1"/>
                <w:szCs w:val="21"/>
                <w:highlight w:val="none"/>
                <w14:textFill>
                  <w14:solidFill>
                    <w14:schemeClr w14:val="tx1"/>
                  </w14:solidFill>
                </w14:textFill>
              </w:rPr>
              <w:t>.1</w:t>
            </w:r>
          </w:p>
        </w:tc>
        <w:tc>
          <w:tcPr>
            <w:tcW w:w="3618" w:type="dxa"/>
            <w:vMerge w:val="restart"/>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项目</w:t>
            </w:r>
            <w:r>
              <w:rPr>
                <w:rFonts w:hint="eastAsia" w:ascii="Times New Roman" w:hAnsi="Times New Roman" w:eastAsia="仿宋_GB2312" w:cs="仿宋"/>
                <w:color w:val="000000" w:themeColor="text1"/>
                <w:szCs w:val="21"/>
                <w:highlight w:val="none"/>
                <w14:textFill>
                  <w14:solidFill>
                    <w14:schemeClr w14:val="tx1"/>
                  </w14:solidFill>
                </w14:textFill>
              </w:rPr>
              <w:t>施工的关键线路/节点工期因</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施工单位</w:t>
            </w:r>
            <w:r>
              <w:rPr>
                <w:rFonts w:hint="eastAsia" w:ascii="Times New Roman" w:hAnsi="Times New Roman" w:eastAsia="仿宋_GB2312" w:cs="仿宋"/>
                <w:color w:val="000000" w:themeColor="text1"/>
                <w:szCs w:val="21"/>
                <w:highlight w:val="none"/>
                <w14:textFill>
                  <w14:solidFill>
                    <w14:schemeClr w14:val="tx1"/>
                  </w14:solidFill>
                </w14:textFill>
              </w:rPr>
              <w:t>原因比计划滞后7日</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及</w:t>
            </w:r>
            <w:r>
              <w:rPr>
                <w:rFonts w:hint="eastAsia" w:ascii="Times New Roman" w:hAnsi="Times New Roman" w:eastAsia="仿宋_GB2312" w:cs="仿宋"/>
                <w:color w:val="000000" w:themeColor="text1"/>
                <w:szCs w:val="21"/>
                <w:highlight w:val="none"/>
                <w14:textFill>
                  <w14:solidFill>
                    <w14:schemeClr w14:val="tx1"/>
                  </w14:solidFill>
                </w14:textFill>
              </w:rPr>
              <w:t>以上，监理人未及时预见、未及时提出整改措施，</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或</w:t>
            </w:r>
            <w:r>
              <w:rPr>
                <w:rFonts w:hint="eastAsia" w:ascii="Times New Roman" w:hAnsi="Times New Roman" w:eastAsia="仿宋_GB2312" w:cs="仿宋"/>
                <w:color w:val="000000" w:themeColor="text1"/>
                <w:szCs w:val="21"/>
                <w:highlight w:val="none"/>
                <w14:textFill>
                  <w14:solidFill>
                    <w14:schemeClr w14:val="tx1"/>
                  </w14:solidFill>
                </w14:textFill>
              </w:rPr>
              <w:t>未及时监督承包人整改</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14:textFill>
                  <w14:solidFill>
                    <w14:schemeClr w14:val="tx1"/>
                  </w14:solidFill>
                </w14:textFill>
              </w:rPr>
              <w:t>未及时向</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报告，对整个</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项目</w:t>
            </w:r>
            <w:r>
              <w:rPr>
                <w:rFonts w:hint="eastAsia" w:ascii="Times New Roman" w:hAnsi="Times New Roman" w:eastAsia="仿宋_GB2312" w:cs="仿宋"/>
                <w:color w:val="000000" w:themeColor="text1"/>
                <w:szCs w:val="21"/>
                <w:highlight w:val="none"/>
                <w14:textFill>
                  <w14:solidFill>
                    <w14:schemeClr w14:val="tx1"/>
                  </w14:solidFill>
                </w14:textFill>
              </w:rPr>
              <w:t>的按期完工</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起不良影响的，</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若导致</w:t>
            </w:r>
            <w:r>
              <w:rPr>
                <w:rFonts w:hint="eastAsia" w:ascii="Times New Roman" w:hAnsi="Times New Roman" w:eastAsia="仿宋_GB2312" w:cs="仿宋"/>
                <w:color w:val="000000" w:themeColor="text1"/>
                <w:szCs w:val="21"/>
                <w:highlight w:val="none"/>
                <w14:textFill>
                  <w14:solidFill>
                    <w14:schemeClr w14:val="tx1"/>
                  </w14:solidFill>
                </w14:textFill>
              </w:rPr>
              <w:t>关键线路/工期滞后14天</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及</w:t>
            </w:r>
            <w:r>
              <w:rPr>
                <w:rFonts w:hint="eastAsia" w:ascii="Times New Roman" w:hAnsi="Times New Roman" w:eastAsia="仿宋_GB2312" w:cs="仿宋"/>
                <w:color w:val="000000" w:themeColor="text1"/>
                <w:szCs w:val="21"/>
                <w:highlight w:val="none"/>
                <w14:textFill>
                  <w14:solidFill>
                    <w14:schemeClr w14:val="tx1"/>
                  </w14:solidFill>
                </w14:textFill>
              </w:rPr>
              <w:t>以上</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的</w:t>
            </w:r>
            <w:r>
              <w:rPr>
                <w:rFonts w:hint="eastAsia" w:ascii="Times New Roman" w:hAnsi="Times New Roman" w:eastAsia="仿宋_GB2312" w:cs="仿宋"/>
                <w:color w:val="000000" w:themeColor="text1"/>
                <w:szCs w:val="21"/>
                <w:highlight w:val="none"/>
                <w14:textFill>
                  <w14:solidFill>
                    <w14:schemeClr w14:val="tx1"/>
                  </w14:solidFill>
                </w14:textFill>
              </w:rPr>
              <w:t>，</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有权</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按前述标准的2倍要求监理人支付违约金；</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若导致</w:t>
            </w:r>
            <w:r>
              <w:rPr>
                <w:rFonts w:hint="eastAsia" w:ascii="Times New Roman" w:hAnsi="Times New Roman" w:eastAsia="仿宋_GB2312" w:cs="仿宋"/>
                <w:color w:val="000000" w:themeColor="text1"/>
                <w:szCs w:val="21"/>
                <w:highlight w:val="none"/>
                <w14:textFill>
                  <w14:solidFill>
                    <w14:schemeClr w14:val="tx1"/>
                  </w14:solidFill>
                </w14:textFill>
              </w:rPr>
              <w:t>关键线路/节点工期滞后21天</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及</w:t>
            </w:r>
            <w:r>
              <w:rPr>
                <w:rFonts w:hint="eastAsia" w:ascii="Times New Roman" w:hAnsi="Times New Roman" w:eastAsia="仿宋_GB2312" w:cs="仿宋"/>
                <w:color w:val="000000" w:themeColor="text1"/>
                <w:szCs w:val="21"/>
                <w:highlight w:val="none"/>
                <w14:textFill>
                  <w14:solidFill>
                    <w14:schemeClr w14:val="tx1"/>
                  </w14:solidFill>
                </w14:textFill>
              </w:rPr>
              <w:t>以上</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且发包人认为</w:t>
            </w:r>
            <w:r>
              <w:rPr>
                <w:rFonts w:hint="eastAsia" w:ascii="Times New Roman" w:hAnsi="Times New Roman" w:eastAsia="仿宋_GB2312" w:cs="仿宋"/>
                <w:color w:val="000000" w:themeColor="text1"/>
                <w:szCs w:val="21"/>
                <w:highlight w:val="none"/>
                <w14:textFill>
                  <w14:solidFill>
                    <w14:schemeClr w14:val="tx1"/>
                  </w14:solidFill>
                </w14:textFill>
              </w:rPr>
              <w:t>监理人在进度控制上作用失效</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的</w:t>
            </w:r>
            <w:r>
              <w:rPr>
                <w:rFonts w:hint="eastAsia" w:ascii="Times New Roman" w:hAnsi="Times New Roman" w:eastAsia="仿宋_GB2312" w:cs="仿宋"/>
                <w:color w:val="000000" w:themeColor="text1"/>
                <w:szCs w:val="21"/>
                <w:highlight w:val="none"/>
                <w14:textFill>
                  <w14:solidFill>
                    <w14:schemeClr w14:val="tx1"/>
                  </w14:solidFill>
                </w14:textFill>
              </w:rPr>
              <w:t>，</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有权部分或全部解除合同。</w:t>
            </w:r>
          </w:p>
        </w:tc>
        <w:tc>
          <w:tcPr>
            <w:tcW w:w="1001" w:type="dxa"/>
            <w:gridSpan w:val="2"/>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50万元以下</w:t>
            </w:r>
          </w:p>
        </w:tc>
        <w:tc>
          <w:tcPr>
            <w:tcW w:w="1327"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50万-100万元</w:t>
            </w:r>
          </w:p>
        </w:tc>
        <w:tc>
          <w:tcPr>
            <w:tcW w:w="1245"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100万-200万元</w:t>
            </w:r>
          </w:p>
        </w:tc>
        <w:tc>
          <w:tcPr>
            <w:tcW w:w="1192"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200万以上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blHeader/>
        </w:trPr>
        <w:tc>
          <w:tcPr>
            <w:tcW w:w="688" w:type="dxa"/>
            <w:vMerge w:val="continue"/>
            <w:noWrap w:val="0"/>
            <w:vAlign w:val="center"/>
          </w:tcPr>
          <w:p>
            <w:pPr>
              <w:spacing w:line="300" w:lineRule="exact"/>
              <w:rPr>
                <w:highlight w:val="none"/>
              </w:rPr>
            </w:pPr>
          </w:p>
        </w:tc>
        <w:tc>
          <w:tcPr>
            <w:tcW w:w="3618" w:type="dxa"/>
            <w:vMerge w:val="continue"/>
            <w:noWrap w:val="0"/>
            <w:vAlign w:val="center"/>
          </w:tcPr>
          <w:p>
            <w:pPr>
              <w:spacing w:line="300" w:lineRule="exact"/>
              <w:rPr>
                <w:highlight w:val="none"/>
              </w:rPr>
            </w:pPr>
          </w:p>
        </w:tc>
        <w:tc>
          <w:tcPr>
            <w:tcW w:w="1001" w:type="dxa"/>
            <w:gridSpan w:val="2"/>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10000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300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50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4.2</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发出错误指令或自身失误或失职等因监理人责任导致工程竣工</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时间</w:t>
            </w:r>
            <w:r>
              <w:rPr>
                <w:rFonts w:hint="eastAsia" w:ascii="Times New Roman" w:hAnsi="Times New Roman" w:eastAsia="仿宋_GB2312" w:cs="仿宋"/>
                <w:color w:val="000000" w:themeColor="text1"/>
                <w:szCs w:val="21"/>
                <w:highlight w:val="none"/>
                <w14:textFill>
                  <w14:solidFill>
                    <w14:schemeClr w14:val="tx1"/>
                  </w14:solidFill>
                </w14:textFill>
              </w:rPr>
              <w:t>拖延的</w:t>
            </w:r>
          </w:p>
        </w:tc>
        <w:tc>
          <w:tcPr>
            <w:tcW w:w="4765" w:type="dxa"/>
            <w:gridSpan w:val="5"/>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每迟延一天，</w:t>
            </w:r>
            <w:r>
              <w:rPr>
                <w:rFonts w:hint="eastAsia" w:ascii="Times New Roman" w:hAnsi="Times New Roman" w:eastAsia="仿宋_GB2312" w:cs="仿宋"/>
                <w:color w:val="000000" w:themeColor="text1"/>
                <w:szCs w:val="21"/>
                <w:highlight w:val="none"/>
                <w14:textFill>
                  <w14:solidFill>
                    <w14:schemeClr w14:val="tx1"/>
                  </w14:solidFill>
                </w14:textFill>
              </w:rPr>
              <w:t>按监理报酬总额的 5 %支付违约金。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60" w:lineRule="auto"/>
              <w:jc w:val="center"/>
              <w:rPr>
                <w:rFonts w:hint="eastAsia" w:ascii="Times New Roman" w:hAnsi="Times New Roman" w:eastAsia="仿宋_GB2312" w:cs="仿宋"/>
                <w:b/>
                <w:bCs/>
                <w:color w:val="000000" w:themeColor="text1"/>
                <w:sz w:val="24"/>
                <w:highlight w:val="none"/>
                <w:lang w:eastAsia="zh-CN"/>
                <w14:textFill>
                  <w14:solidFill>
                    <w14:schemeClr w14:val="tx1"/>
                  </w14:solidFill>
                </w14:textFill>
              </w:rPr>
            </w:pPr>
            <w:r>
              <w:rPr>
                <w:rFonts w:hint="eastAsia" w:ascii="Times New Roman" w:hAnsi="Times New Roman" w:eastAsia="仿宋_GB2312" w:cs="仿宋"/>
                <w:b/>
                <w:bCs/>
                <w:color w:val="000000" w:themeColor="text1"/>
                <w:sz w:val="24"/>
                <w:highlight w:val="none"/>
                <w:lang w:val="en-US" w:eastAsia="zh-CN"/>
                <w14:textFill>
                  <w14:solidFill>
                    <w14:schemeClr w14:val="tx1"/>
                  </w14:solidFill>
                </w14:textFill>
              </w:rPr>
              <w:t>5</w:t>
            </w:r>
          </w:p>
        </w:tc>
        <w:tc>
          <w:tcPr>
            <w:tcW w:w="3618" w:type="dxa"/>
            <w:noWrap w:val="0"/>
            <w:vAlign w:val="center"/>
          </w:tcPr>
          <w:p>
            <w:pPr>
              <w:spacing w:line="360" w:lineRule="auto"/>
              <w:rPr>
                <w:rFonts w:ascii="Times New Roman" w:hAnsi="Times New Roman" w:eastAsia="仿宋_GB2312" w:cs="仿宋"/>
                <w:b/>
                <w:bCs/>
                <w:color w:val="000000" w:themeColor="text1"/>
                <w:sz w:val="24"/>
                <w:highlight w:val="none"/>
                <w14:textFill>
                  <w14:solidFill>
                    <w14:schemeClr w14:val="tx1"/>
                  </w14:solidFill>
                </w14:textFill>
              </w:rPr>
            </w:pPr>
            <w:r>
              <w:rPr>
                <w:rFonts w:hint="eastAsia" w:ascii="Times New Roman" w:hAnsi="Times New Roman" w:eastAsia="仿宋_GB2312" w:cs="仿宋"/>
                <w:b/>
                <w:bCs/>
                <w:color w:val="000000" w:themeColor="text1"/>
                <w:sz w:val="24"/>
                <w:highlight w:val="none"/>
                <w14:textFill>
                  <w14:solidFill>
                    <w14:schemeClr w14:val="tx1"/>
                  </w14:solidFill>
                </w14:textFill>
              </w:rPr>
              <w:t>安全文明管理方面</w:t>
            </w:r>
          </w:p>
        </w:tc>
        <w:tc>
          <w:tcPr>
            <w:tcW w:w="1001" w:type="dxa"/>
            <w:gridSpan w:val="2"/>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50万元以下</w:t>
            </w:r>
          </w:p>
        </w:tc>
        <w:tc>
          <w:tcPr>
            <w:tcW w:w="1327"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50万-100万元</w:t>
            </w:r>
          </w:p>
        </w:tc>
        <w:tc>
          <w:tcPr>
            <w:tcW w:w="1245"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100万-200万元</w:t>
            </w:r>
          </w:p>
        </w:tc>
        <w:tc>
          <w:tcPr>
            <w:tcW w:w="1192"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200万以上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blHeader/>
        </w:trPr>
        <w:tc>
          <w:tcPr>
            <w:tcW w:w="688" w:type="dxa"/>
            <w:noWrap w:val="0"/>
            <w:vAlign w:val="center"/>
          </w:tcPr>
          <w:p>
            <w:pPr>
              <w:spacing w:line="300" w:lineRule="exact"/>
              <w:jc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5</w:t>
            </w:r>
            <w:r>
              <w:rPr>
                <w:rFonts w:hint="eastAsia" w:ascii="Times New Roman" w:hAnsi="Times New Roman" w:eastAsia="仿宋_GB2312" w:cs="仿宋"/>
                <w:color w:val="000000" w:themeColor="text1"/>
                <w:szCs w:val="21"/>
                <w:highlight w:val="none"/>
                <w14:textFill>
                  <w14:solidFill>
                    <w14:schemeClr w14:val="tx1"/>
                  </w14:solidFill>
                </w14:textFill>
              </w:rPr>
              <w:t>.1</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施工</w:t>
            </w:r>
            <w:r>
              <w:rPr>
                <w:rFonts w:hint="eastAsia" w:ascii="Times New Roman" w:hAnsi="Times New Roman" w:eastAsia="仿宋_GB2312" w:cs="仿宋"/>
                <w:color w:val="000000" w:themeColor="text1"/>
                <w:szCs w:val="21"/>
                <w:highlight w:val="none"/>
                <w14:textFill>
                  <w14:solidFill>
                    <w14:schemeClr w14:val="tx1"/>
                  </w14:solidFill>
                </w14:textFill>
              </w:rPr>
              <w:t>单位</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存在如下情形之一时，监理人未能及时发现，或不督促施工单位整改，或未及时进行处理，或未及时向发包人报告的，</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r>
              <w:rPr>
                <w:rFonts w:hint="eastAsia" w:ascii="Times New Roman" w:hAnsi="Times New Roman" w:eastAsia="仿宋_GB2312" w:cs="仿宋"/>
                <w:color w:val="000000" w:themeColor="text1"/>
                <w:szCs w:val="21"/>
                <w:highlight w:val="none"/>
                <w14:textFill>
                  <w14:solidFill>
                    <w14:schemeClr w14:val="tx1"/>
                  </w14:solidFill>
                </w14:textFill>
              </w:rPr>
              <w:t>被上级主管部门通报批评、被新闻媒体曝光</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或引起投诉</w:t>
            </w:r>
            <w:r>
              <w:rPr>
                <w:rFonts w:hint="eastAsia" w:ascii="Times New Roman" w:hAnsi="Times New Roman" w:eastAsia="仿宋_GB2312" w:cs="仿宋"/>
                <w:color w:val="000000" w:themeColor="text1"/>
                <w:szCs w:val="21"/>
                <w:highlight w:val="none"/>
                <w14:textFill>
                  <w14:solidFill>
                    <w14:schemeClr w14:val="tx1"/>
                  </w14:solidFill>
                </w14:textFill>
              </w:rPr>
              <w:t>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有权</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按前述标准的2倍要求监理人支付违约金。</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p>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1</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）施工单位未按要求做好文明施工措施等文明施工责任；</w:t>
            </w:r>
          </w:p>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2</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）施工单位未按要求履行安全生产责任。</w:t>
            </w:r>
          </w:p>
        </w:tc>
        <w:tc>
          <w:tcPr>
            <w:tcW w:w="1001" w:type="dxa"/>
            <w:gridSpan w:val="2"/>
            <w:noWrap w:val="0"/>
            <w:vAlign w:val="center"/>
          </w:tcPr>
          <w:p>
            <w:pPr>
              <w:widowControl/>
              <w:jc w:val="center"/>
              <w:rPr>
                <w:rFonts w:hint="eastAsia" w:ascii="Calibri" w:hAnsi="Calibri" w:eastAsia="宋体" w:cs="Times New Roman"/>
                <w:kern w:val="2"/>
                <w:sz w:val="21"/>
                <w:szCs w:val="24"/>
                <w:highlight w:val="none"/>
                <w:lang w:val="en-US" w:eastAsia="zh-CN" w:bidi="ar-SA"/>
              </w:rPr>
            </w:pPr>
            <w:r>
              <w:rPr>
                <w:rFonts w:hint="eastAsia" w:ascii="宋体" w:hAnsi="宋体" w:cs="宋体"/>
                <w:b/>
                <w:bCs/>
                <w:color w:val="000000" w:themeColor="text1"/>
                <w:kern w:val="0"/>
                <w:sz w:val="20"/>
                <w:highlight w:val="none"/>
                <w14:textFill>
                  <w14:solidFill>
                    <w14:schemeClr w14:val="tx1"/>
                  </w14:solidFill>
                </w14:textFill>
              </w:rPr>
              <w:t>5000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Calibri" w:hAnsi="Calibri" w:eastAsia="宋体" w:cs="Times New Roman"/>
                <w:kern w:val="2"/>
                <w:sz w:val="21"/>
                <w:szCs w:val="24"/>
                <w:highlight w:val="none"/>
                <w:lang w:val="en-US" w:eastAsia="zh-CN" w:bidi="ar-SA"/>
              </w:rPr>
            </w:pPr>
            <w:r>
              <w:rPr>
                <w:rFonts w:hint="eastAsia" w:ascii="宋体" w:hAnsi="宋体" w:cs="宋体"/>
                <w:b/>
                <w:bCs/>
                <w:color w:val="000000" w:themeColor="text1"/>
                <w:kern w:val="0"/>
                <w:sz w:val="20"/>
                <w:highlight w:val="none"/>
                <w14:textFill>
                  <w14:solidFill>
                    <w14:schemeClr w14:val="tx1"/>
                  </w14:solidFill>
                </w14:textFill>
              </w:rPr>
              <w:t>10000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Calibri" w:hAnsi="Calibri" w:eastAsia="宋体" w:cs="Times New Roman"/>
                <w:kern w:val="2"/>
                <w:sz w:val="21"/>
                <w:szCs w:val="24"/>
                <w:highlight w:val="none"/>
                <w:lang w:val="en-US" w:eastAsia="zh-CN" w:bidi="ar-SA"/>
              </w:rPr>
            </w:pPr>
            <w:r>
              <w:rPr>
                <w:rFonts w:hint="eastAsia" w:ascii="宋体" w:hAnsi="宋体" w:cs="宋体"/>
                <w:b/>
                <w:bCs/>
                <w:color w:val="000000" w:themeColor="text1"/>
                <w:kern w:val="0"/>
                <w:sz w:val="20"/>
                <w:highlight w:val="none"/>
                <w14:textFill>
                  <w14:solidFill>
                    <w14:schemeClr w14:val="tx1"/>
                  </w14:solidFill>
                </w14:textFill>
              </w:rPr>
              <w:t>15000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Calibri" w:hAnsi="Calibri" w:eastAsia="宋体" w:cs="Times New Roman"/>
                <w:kern w:val="2"/>
                <w:sz w:val="21"/>
                <w:szCs w:val="24"/>
                <w:highlight w:val="none"/>
                <w:lang w:val="en-US" w:eastAsia="zh-CN" w:bidi="ar-SA"/>
              </w:rPr>
            </w:pPr>
            <w:r>
              <w:rPr>
                <w:rFonts w:hint="eastAsia" w:ascii="宋体" w:hAnsi="宋体" w:cs="宋体"/>
                <w:b/>
                <w:bCs/>
                <w:color w:val="000000" w:themeColor="text1"/>
                <w:kern w:val="0"/>
                <w:sz w:val="20"/>
                <w:highlight w:val="none"/>
                <w14:textFill>
                  <w14:solidFill>
                    <w14:schemeClr w14:val="tx1"/>
                  </w14:solidFill>
                </w14:textFill>
              </w:rPr>
              <w:t>20000</w:t>
            </w:r>
            <w:r>
              <w:rPr>
                <w:rFonts w:hint="eastAsia" w:ascii="宋体" w:hAnsi="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5.2</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未按合同约定或相关规定要求健全安全生产相关制度的，</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r>
              <w:rPr>
                <w:rFonts w:hint="eastAsia" w:ascii="Times New Roman" w:hAnsi="Times New Roman" w:eastAsia="仿宋_GB2312" w:cs="仿宋"/>
                <w:color w:val="000000" w:themeColor="text1"/>
                <w:szCs w:val="21"/>
                <w:highlight w:val="none"/>
                <w14:textFill>
                  <w14:solidFill>
                    <w14:schemeClr w14:val="tx1"/>
                  </w14:solidFill>
                </w14:textFill>
              </w:rPr>
              <w:t>被上级主管部门通报批评、被新闻媒体曝光</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或引起投诉</w:t>
            </w:r>
            <w:r>
              <w:rPr>
                <w:rFonts w:hint="eastAsia" w:ascii="Times New Roman" w:hAnsi="Times New Roman" w:eastAsia="仿宋_GB2312" w:cs="仿宋"/>
                <w:color w:val="000000" w:themeColor="text1"/>
                <w:szCs w:val="21"/>
                <w:highlight w:val="none"/>
                <w14:textFill>
                  <w14:solidFill>
                    <w14:schemeClr w14:val="tx1"/>
                  </w14:solidFill>
                </w14:textFill>
              </w:rPr>
              <w:t>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有权</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按前述标准的2倍要求监理人支付违约金。</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5000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15000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20000</w:t>
            </w:r>
            <w:r>
              <w:rPr>
                <w:rFonts w:hint="eastAsia" w:ascii="宋体" w:hAnsi="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5.3</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发生事故时，未及时报告</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、上级主管部门，或瞒报，或未及时采取有效措施降低损失的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r>
              <w:rPr>
                <w:rFonts w:hint="eastAsia" w:ascii="Times New Roman" w:hAnsi="Times New Roman" w:eastAsia="仿宋_GB2312" w:cs="仿宋"/>
                <w:color w:val="000000" w:themeColor="text1"/>
                <w:szCs w:val="21"/>
                <w:highlight w:val="none"/>
                <w14:textFill>
                  <w14:solidFill>
                    <w14:schemeClr w14:val="tx1"/>
                  </w14:solidFill>
                </w14:textFill>
              </w:rPr>
              <w:t>被上级主管部门通报批评、被新闻媒体曝光</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或引起投诉</w:t>
            </w:r>
            <w:r>
              <w:rPr>
                <w:rFonts w:hint="eastAsia" w:ascii="Times New Roman" w:hAnsi="Times New Roman" w:eastAsia="仿宋_GB2312" w:cs="仿宋"/>
                <w:color w:val="000000" w:themeColor="text1"/>
                <w:szCs w:val="21"/>
                <w:highlight w:val="none"/>
                <w14:textFill>
                  <w14:solidFill>
                    <w14:schemeClr w14:val="tx1"/>
                  </w14:solidFill>
                </w14:textFill>
              </w:rPr>
              <w:t>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有权</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按前述标准的2倍要求监理人支付违约金。</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5000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15000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20000</w:t>
            </w:r>
            <w:r>
              <w:rPr>
                <w:rFonts w:hint="eastAsia" w:ascii="宋体" w:hAnsi="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5.4</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项目在安全文明施工方面被通报批评、投诉或媒体曝光的，</w:t>
            </w:r>
            <w:r>
              <w:rPr>
                <w:rFonts w:hint="eastAsia" w:ascii="Times New Roman" w:hAnsi="Times New Roman" w:eastAsia="仿宋_GB2312" w:cs="仿宋"/>
                <w:snapToGrid/>
                <w:color w:val="000000" w:themeColor="text1"/>
                <w:spacing w:val="0"/>
                <w:kern w:val="2"/>
                <w:sz w:val="21"/>
                <w:szCs w:val="21"/>
                <w:highlight w:val="none"/>
                <w:lang w:val="en-US" w:eastAsia="zh-CN" w:bidi="ar-SA"/>
                <w14:textFill>
                  <w14:solidFill>
                    <w14:schemeClr w14:val="tx1"/>
                  </w14:solidFill>
                </w14:textFill>
              </w:rPr>
              <w:t>每次按右表列明金额支付违约金。</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5000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15000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20000</w:t>
            </w:r>
            <w:r>
              <w:rPr>
                <w:rFonts w:hint="eastAsia" w:ascii="宋体" w:hAnsi="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60" w:lineRule="auto"/>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24"/>
                <w:highlight w:val="none"/>
                <w:lang w:val="en-US" w:eastAsia="zh-CN"/>
                <w14:textFill>
                  <w14:solidFill>
                    <w14:schemeClr w14:val="tx1"/>
                  </w14:solidFill>
                </w14:textFill>
              </w:rPr>
              <w:t>6</w:t>
            </w:r>
          </w:p>
        </w:tc>
        <w:tc>
          <w:tcPr>
            <w:tcW w:w="3618" w:type="dxa"/>
            <w:noWrap w:val="0"/>
            <w:vAlign w:val="center"/>
          </w:tcPr>
          <w:p>
            <w:pPr>
              <w:spacing w:line="360" w:lineRule="auto"/>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t>文件资料、档案管理方面</w:t>
            </w:r>
          </w:p>
        </w:tc>
        <w:tc>
          <w:tcPr>
            <w:tcW w:w="1001" w:type="dxa"/>
            <w:gridSpan w:val="2"/>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50万元以下</w:t>
            </w:r>
          </w:p>
        </w:tc>
        <w:tc>
          <w:tcPr>
            <w:tcW w:w="1327"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50万-100万元</w:t>
            </w:r>
          </w:p>
        </w:tc>
        <w:tc>
          <w:tcPr>
            <w:tcW w:w="1245"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100万-200万元</w:t>
            </w:r>
          </w:p>
        </w:tc>
        <w:tc>
          <w:tcPr>
            <w:tcW w:w="1192"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200万以上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60" w:lineRule="auto"/>
              <w:jc w:val="center"/>
              <w:rPr>
                <w:rFonts w:hint="default" w:ascii="Times New Roman" w:hAnsi="Times New Roman" w:eastAsia="仿宋_GB2312" w:cs="仿宋_GB2312"/>
                <w:b/>
                <w:bCs/>
                <w:color w:val="000000" w:themeColor="text1"/>
                <w:sz w:val="24"/>
                <w:highlight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4"/>
                <w:highlight w:val="none"/>
                <w:lang w:val="en-US" w:eastAsia="zh-CN"/>
                <w14:textFill>
                  <w14:solidFill>
                    <w14:schemeClr w14:val="tx1"/>
                  </w14:solidFill>
                </w14:textFill>
              </w:rPr>
              <w:t>6.1</w:t>
            </w:r>
          </w:p>
        </w:tc>
        <w:tc>
          <w:tcPr>
            <w:tcW w:w="3618" w:type="dxa"/>
            <w:noWrap w:val="0"/>
            <w:vAlign w:val="center"/>
          </w:tcPr>
          <w:p>
            <w:pPr>
              <w:spacing w:line="240" w:lineRule="auto"/>
              <w:rPr>
                <w:rFonts w:hint="default" w:ascii="Times New Roman" w:hAnsi="Times New Roman" w:eastAsia="仿宋_GB2312" w:cs="仿宋"/>
                <w:snapToGrid/>
                <w:color w:val="000000" w:themeColor="text1"/>
                <w:spacing w:val="0"/>
                <w:kern w:val="2"/>
                <w:sz w:val="21"/>
                <w:szCs w:val="21"/>
                <w:highlight w:val="none"/>
                <w:lang w:val="en-US" w:eastAsia="zh-CN" w:bidi="ar-SA"/>
                <w14:textFill>
                  <w14:solidFill>
                    <w14:schemeClr w14:val="tx1"/>
                  </w14:solidFill>
                </w14:textFill>
              </w:rPr>
            </w:pPr>
            <w:r>
              <w:rPr>
                <w:rFonts w:hint="eastAsia" w:ascii="Times New Roman" w:hAnsi="Times New Roman" w:eastAsia="仿宋_GB2312" w:cs="仿宋"/>
                <w:snapToGrid/>
                <w:color w:val="000000" w:themeColor="text1"/>
                <w:spacing w:val="0"/>
                <w:kern w:val="2"/>
                <w:sz w:val="21"/>
                <w:szCs w:val="21"/>
                <w:highlight w:val="none"/>
                <w:lang w:val="en-US" w:eastAsia="zh-CN" w:bidi="ar-SA"/>
                <w14:textFill>
                  <w14:solidFill>
                    <w14:schemeClr w14:val="tx1"/>
                  </w14:solidFill>
                </w14:textFill>
              </w:rPr>
              <w:t>工程监理资料管理混乱的，每发现一次，按右表支付A等违约金；导致原始资料缺损的，每件按右表支付B等违约金。</w:t>
            </w:r>
          </w:p>
        </w:tc>
        <w:tc>
          <w:tcPr>
            <w:tcW w:w="1001" w:type="dxa"/>
            <w:gridSpan w:val="2"/>
            <w:noWrap w:val="0"/>
            <w:vAlign w:val="center"/>
          </w:tcPr>
          <w:p>
            <w:pPr>
              <w:widowControl/>
              <w:jc w:val="center"/>
              <w:rPr>
                <w:rFonts w:hint="eastAsia" w:ascii="宋体" w:hAnsi="宋体" w:eastAsia="宋体" w:cs="宋体"/>
                <w:b/>
                <w:bCs/>
                <w:color w:val="000000" w:themeColor="text1"/>
                <w:kern w:val="0"/>
                <w:sz w:val="20"/>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A.2500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B.500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A.2500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B.500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A.5000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B.1000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A.5000</w:t>
            </w:r>
            <w:r>
              <w:rPr>
                <w:rFonts w:hint="eastAsia" w:ascii="宋体" w:hAnsi="宋体" w:cs="宋体"/>
                <w:b/>
                <w:bCs/>
                <w:color w:val="000000" w:themeColor="text1"/>
                <w:kern w:val="0"/>
                <w:sz w:val="20"/>
                <w:highlight w:val="none"/>
                <w:lang w:eastAsia="zh-CN"/>
                <w14:textFill>
                  <w14:solidFill>
                    <w14:schemeClr w14:val="tx1"/>
                  </w14:solidFill>
                </w14:textFill>
              </w:rPr>
              <w:t>元</w:t>
            </w:r>
          </w:p>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B.1000</w:t>
            </w:r>
            <w:r>
              <w:rPr>
                <w:rFonts w:hint="eastAsia" w:ascii="宋体" w:hAnsi="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blHeader/>
        </w:trPr>
        <w:tc>
          <w:tcPr>
            <w:tcW w:w="688" w:type="dxa"/>
            <w:noWrap w:val="0"/>
            <w:vAlign w:val="center"/>
          </w:tcPr>
          <w:p>
            <w:pPr>
              <w:spacing w:line="36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6.2</w:t>
            </w:r>
          </w:p>
        </w:tc>
        <w:tc>
          <w:tcPr>
            <w:tcW w:w="3618" w:type="dxa"/>
            <w:noWrap w:val="0"/>
            <w:vAlign w:val="center"/>
          </w:tcPr>
          <w:p>
            <w:pPr>
              <w:pStyle w:val="31"/>
              <w:numPr>
                <w:ilvl w:val="0"/>
                <w:numId w:val="0"/>
              </w:numPr>
              <w:spacing w:line="240" w:lineRule="auto"/>
              <w:ind w:left="0" w:leftChars="0" w:firstLine="0" w:firstLineChars="0"/>
              <w:rPr>
                <w:rFonts w:hint="eastAsia" w:ascii="Times New Roman" w:hAnsi="Times New Roman" w:eastAsia="仿宋_GB2312" w:cs="仿宋"/>
                <w:snapToGrid/>
                <w:color w:val="000000" w:themeColor="text1"/>
                <w:spacing w:val="0"/>
                <w:kern w:val="2"/>
                <w:sz w:val="21"/>
                <w:szCs w:val="21"/>
                <w:highlight w:val="none"/>
                <w:lang w:val="en-US" w:eastAsia="zh-CN" w:bidi="ar-SA"/>
                <w14:textFill>
                  <w14:solidFill>
                    <w14:schemeClr w14:val="tx1"/>
                  </w14:solidFill>
                </w14:textFill>
              </w:rPr>
            </w:pPr>
            <w:r>
              <w:rPr>
                <w:rFonts w:hint="eastAsia" w:ascii="Times New Roman" w:hAnsi="Times New Roman" w:eastAsia="仿宋_GB2312" w:cs="仿宋"/>
                <w:snapToGrid/>
                <w:color w:val="000000" w:themeColor="text1"/>
                <w:spacing w:val="0"/>
                <w:kern w:val="2"/>
                <w:sz w:val="21"/>
                <w:szCs w:val="21"/>
                <w:highlight w:val="none"/>
                <w:lang w:val="en-US" w:eastAsia="zh-CN" w:bidi="ar-SA"/>
                <w14:textFill>
                  <w14:solidFill>
                    <w14:schemeClr w14:val="tx1"/>
                  </w14:solidFill>
                </w14:textFill>
              </w:rPr>
              <w:t>监理人应对承包人提交的所有工程资料的真实性、合理性、合法性及时予以确认或提出质疑；若对明显不真实、不合理、不合法的资料不提出质疑且予以确认而上交发包人的，则每次按右表列明金额支付违约金。</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2500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5000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7500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blHeader/>
        </w:trPr>
        <w:tc>
          <w:tcPr>
            <w:tcW w:w="688" w:type="dxa"/>
            <w:noWrap w:val="0"/>
            <w:vAlign w:val="center"/>
          </w:tcPr>
          <w:p>
            <w:pPr>
              <w:spacing w:line="36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6.3</w:t>
            </w:r>
          </w:p>
        </w:tc>
        <w:tc>
          <w:tcPr>
            <w:tcW w:w="3618" w:type="dxa"/>
            <w:noWrap w:val="0"/>
            <w:vAlign w:val="center"/>
          </w:tcPr>
          <w:p>
            <w:pPr>
              <w:pStyle w:val="31"/>
              <w:numPr>
                <w:ilvl w:val="0"/>
                <w:numId w:val="0"/>
              </w:numPr>
              <w:spacing w:line="240" w:lineRule="auto"/>
              <w:ind w:left="0" w:leftChars="0" w:firstLine="0" w:firstLineChars="0"/>
              <w:rPr>
                <w:rFonts w:hint="eastAsia" w:ascii="Times New Roman" w:hAnsi="Times New Roman" w:eastAsia="仿宋_GB2312" w:cs="仿宋"/>
                <w:bCs/>
                <w:color w:val="000000" w:themeColor="text1"/>
                <w:szCs w:val="21"/>
                <w:highlight w:val="none"/>
                <w14:textFill>
                  <w14:solidFill>
                    <w14:schemeClr w14:val="tx1"/>
                  </w14:solidFill>
                </w14:textFill>
              </w:rPr>
            </w:pPr>
            <w:r>
              <w:rPr>
                <w:rFonts w:hint="eastAsia" w:ascii="Times New Roman" w:hAnsi="Times New Roman" w:eastAsia="仿宋_GB2312" w:cs="仿宋"/>
                <w:snapToGrid/>
                <w:color w:val="000000" w:themeColor="text1"/>
                <w:spacing w:val="0"/>
                <w:kern w:val="2"/>
                <w:sz w:val="21"/>
                <w:szCs w:val="21"/>
                <w:highlight w:val="none"/>
                <w:lang w:val="en-US" w:eastAsia="zh-CN" w:bidi="ar-SA"/>
                <w14:textFill>
                  <w14:solidFill>
                    <w14:schemeClr w14:val="tx1"/>
                  </w14:solidFill>
                </w14:textFill>
              </w:rPr>
              <w:t>未按合同约定按时按质完成监理档案收集、整理并完整向发包人移交，否则，每迟延一天，按右表列明金额支付违约金。</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500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1500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blHeader/>
        </w:trPr>
        <w:tc>
          <w:tcPr>
            <w:tcW w:w="688" w:type="dxa"/>
            <w:noWrap w:val="0"/>
            <w:vAlign w:val="center"/>
          </w:tcPr>
          <w:p>
            <w:pPr>
              <w:spacing w:line="360" w:lineRule="auto"/>
              <w:jc w:val="center"/>
              <w:rPr>
                <w:rFonts w:hint="default" w:ascii="Times New Roman" w:hAnsi="Times New Roman" w:eastAsia="仿宋_GB2312" w:cs="仿宋_GB2312"/>
                <w:b/>
                <w:bCs/>
                <w:color w:val="000000" w:themeColor="text1"/>
                <w:sz w:val="24"/>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24"/>
                <w:highlight w:val="none"/>
                <w:lang w:val="en-US" w:eastAsia="zh-CN"/>
                <w14:textFill>
                  <w14:solidFill>
                    <w14:schemeClr w14:val="tx1"/>
                  </w14:solidFill>
                </w14:textFill>
              </w:rPr>
              <w:t>7</w:t>
            </w:r>
          </w:p>
        </w:tc>
        <w:tc>
          <w:tcPr>
            <w:tcW w:w="3618" w:type="dxa"/>
            <w:noWrap w:val="0"/>
            <w:vAlign w:val="center"/>
          </w:tcPr>
          <w:p>
            <w:pPr>
              <w:spacing w:line="360" w:lineRule="auto"/>
              <w:rPr>
                <w:rFonts w:hint="eastAsia" w:ascii="Times New Roman" w:hAnsi="Times New Roman" w:eastAsia="仿宋_GB2312" w:cs="仿宋_GB2312"/>
                <w:b/>
                <w:bCs/>
                <w:color w:val="000000" w:themeColor="text1"/>
                <w:sz w:val="24"/>
                <w:highlight w:val="none"/>
                <w14:textFill>
                  <w14:solidFill>
                    <w14:schemeClr w14:val="tx1"/>
                  </w14:solidFill>
                </w14:textFill>
              </w:rPr>
            </w:pPr>
            <w:r>
              <w:rPr>
                <w:rFonts w:hint="eastAsia" w:ascii="Times New Roman" w:hAnsi="Times New Roman" w:eastAsia="仿宋_GB2312" w:cs="仿宋_GB2312"/>
                <w:b/>
                <w:bCs/>
                <w:color w:val="000000" w:themeColor="text1"/>
                <w:sz w:val="24"/>
                <w:highlight w:val="none"/>
                <w14:textFill>
                  <w14:solidFill>
                    <w14:schemeClr w14:val="tx1"/>
                  </w14:solidFill>
                </w14:textFill>
              </w:rPr>
              <w:t>其他</w:t>
            </w:r>
            <w:r>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t>监理义务及职责</w:t>
            </w:r>
          </w:p>
        </w:tc>
        <w:tc>
          <w:tcPr>
            <w:tcW w:w="1001" w:type="dxa"/>
            <w:gridSpan w:val="2"/>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50万元以下</w:t>
            </w:r>
          </w:p>
        </w:tc>
        <w:tc>
          <w:tcPr>
            <w:tcW w:w="1327"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50万-100万元</w:t>
            </w:r>
          </w:p>
        </w:tc>
        <w:tc>
          <w:tcPr>
            <w:tcW w:w="1245"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100万-200万元</w:t>
            </w:r>
          </w:p>
        </w:tc>
        <w:tc>
          <w:tcPr>
            <w:tcW w:w="1192" w:type="dxa"/>
            <w:noWrap w:val="0"/>
            <w:vAlign w:val="center"/>
          </w:tcPr>
          <w:p>
            <w:pPr>
              <w:widowControl/>
              <w:jc w:val="center"/>
              <w:rPr>
                <w:rFonts w:hint="eastAsia" w:ascii="宋体" w:hAnsi="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14:textFill>
                  <w14:solidFill>
                    <w14:schemeClr w14:val="tx1"/>
                  </w14:solidFill>
                </w14:textFill>
              </w:rPr>
              <w:t>监理报酬</w:t>
            </w:r>
          </w:p>
          <w:p>
            <w:pPr>
              <w:widowControl/>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200万以上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eastAsia" w:ascii="Times New Roman" w:hAnsi="Times New Roman" w:eastAsia="仿宋_GB2312" w:cs="仿宋_GB2312"/>
                <w:b/>
                <w:bCs/>
                <w:color w:val="000000" w:themeColor="text1"/>
                <w:sz w:val="24"/>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7</w:t>
            </w:r>
            <w:r>
              <w:rPr>
                <w:rFonts w:hint="eastAsia" w:ascii="Times New Roman" w:hAnsi="Times New Roman" w:eastAsia="仿宋_GB2312" w:cs="仿宋"/>
                <w:color w:val="000000" w:themeColor="text1"/>
                <w:szCs w:val="21"/>
                <w:highlight w:val="none"/>
                <w14:textFill>
                  <w14:solidFill>
                    <w14:schemeClr w14:val="tx1"/>
                  </w14:solidFill>
                </w14:textFill>
              </w:rPr>
              <w:t>.1</w:t>
            </w:r>
          </w:p>
        </w:tc>
        <w:tc>
          <w:tcPr>
            <w:tcW w:w="3618" w:type="dxa"/>
            <w:noWrap w:val="0"/>
            <w:vAlign w:val="center"/>
          </w:tcPr>
          <w:p>
            <w:pPr>
              <w:spacing w:line="300" w:lineRule="exact"/>
              <w:rPr>
                <w:rFonts w:hint="eastAsia" w:ascii="Times New Roman" w:hAnsi="Times New Roman" w:eastAsia="仿宋_GB2312" w:cs="仿宋_GB2312"/>
                <w:b/>
                <w:bCs/>
                <w:color w:val="000000" w:themeColor="text1"/>
                <w:sz w:val="24"/>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未经发包人同意，</w:t>
            </w:r>
            <w:r>
              <w:rPr>
                <w:rFonts w:hint="eastAsia" w:ascii="Times New Roman" w:hAnsi="Times New Roman" w:eastAsia="仿宋_GB2312" w:cs="仿宋"/>
                <w:color w:val="000000" w:themeColor="text1"/>
                <w:szCs w:val="21"/>
                <w:highlight w:val="none"/>
                <w14:textFill>
                  <w14:solidFill>
                    <w14:schemeClr w14:val="tx1"/>
                  </w14:solidFill>
                </w14:textFill>
              </w:rPr>
              <w:t>未在开工前将监理规划、监理实施细则报送</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color w:val="000000" w:themeColor="text1"/>
                <w:szCs w:val="21"/>
                <w:highlight w:val="none"/>
                <w14:textFill>
                  <w14:solidFill>
                    <w14:schemeClr w14:val="tx1"/>
                  </w14:solidFill>
                </w14:textFill>
              </w:rPr>
              <w:t>的</w:t>
            </w:r>
          </w:p>
        </w:tc>
        <w:tc>
          <w:tcPr>
            <w:tcW w:w="1001" w:type="dxa"/>
            <w:gridSpan w:val="2"/>
            <w:noWrap w:val="0"/>
            <w:vAlign w:val="center"/>
          </w:tcPr>
          <w:p>
            <w:pPr>
              <w:widowControl/>
              <w:jc w:val="center"/>
              <w:rPr>
                <w:rFonts w:hint="eastAsia" w:ascii="宋体" w:hAnsi="宋体" w:eastAsia="宋体" w:cs="宋体"/>
                <w:b/>
                <w:bCs/>
                <w:color w:val="000000" w:themeColor="text1"/>
                <w:kern w:val="0"/>
                <w:sz w:val="20"/>
                <w:highlight w:val="none"/>
                <w:lang w:eastAsia="zh-CN"/>
                <w14:textFill>
                  <w14:solidFill>
                    <w14:schemeClr w14:val="tx1"/>
                  </w14:solidFill>
                </w14:textFill>
              </w:rPr>
            </w:pPr>
            <w:r>
              <w:rPr>
                <w:rFonts w:hint="eastAsia" w:ascii="宋体" w:hAnsi="宋体" w:eastAsia="宋体" w:cs="宋体"/>
                <w:b/>
                <w:bCs/>
                <w:color w:val="000000" w:themeColor="text1"/>
                <w:kern w:val="0"/>
                <w:sz w:val="20"/>
                <w:highlight w:val="none"/>
                <w14:textFill>
                  <w14:solidFill>
                    <w14:schemeClr w14:val="tx1"/>
                  </w14:solidFill>
                </w14:textFill>
              </w:rPr>
              <w:t>500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default" w:ascii="宋体" w:hAnsi="宋体" w:eastAsia="宋体" w:cs="宋体"/>
                <w:b/>
                <w:bCs/>
                <w:color w:val="000000" w:themeColor="text1"/>
                <w:kern w:val="0"/>
                <w:sz w:val="20"/>
                <w:highlight w:val="none"/>
                <w:lang w:val="en-US" w:eastAsia="zh-CN"/>
                <w14:textFill>
                  <w14:solidFill>
                    <w14:schemeClr w14:val="tx1"/>
                  </w14:solidFill>
                </w14:textFill>
              </w:rPr>
            </w:pPr>
            <w:r>
              <w:rPr>
                <w:rFonts w:hint="eastAsia" w:ascii="宋体" w:hAnsi="宋体" w:eastAsia="宋体" w:cs="宋体"/>
                <w:b/>
                <w:bCs/>
                <w:color w:val="000000" w:themeColor="text1"/>
                <w:kern w:val="0"/>
                <w:sz w:val="20"/>
                <w:highlight w:val="none"/>
                <w:lang w:val="en-US" w:eastAsia="zh-CN"/>
                <w14:textFill>
                  <w14:solidFill>
                    <w14:schemeClr w14:val="tx1"/>
                  </w14:solidFill>
                </w14:textFill>
              </w:rPr>
              <w:t>1000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宋体" w:hAnsi="宋体" w:eastAsia="宋体" w:cs="宋体"/>
                <w:b/>
                <w:bCs/>
                <w:color w:val="000000" w:themeColor="text1"/>
                <w:kern w:val="0"/>
                <w:sz w:val="20"/>
                <w:highlight w:val="none"/>
                <w:lang w:val="en-US" w:eastAsia="zh-CN"/>
                <w14:textFill>
                  <w14:solidFill>
                    <w14:schemeClr w14:val="tx1"/>
                  </w14:solidFill>
                </w14:textFill>
              </w:rPr>
            </w:pPr>
            <w:r>
              <w:rPr>
                <w:rFonts w:hint="eastAsia" w:ascii="宋体" w:hAnsi="宋体" w:eastAsia="宋体" w:cs="宋体"/>
                <w:b/>
                <w:bCs/>
                <w:color w:val="000000" w:themeColor="text1"/>
                <w:kern w:val="0"/>
                <w:sz w:val="20"/>
                <w:highlight w:val="none"/>
                <w14:textFill>
                  <w14:solidFill>
                    <w14:schemeClr w14:val="tx1"/>
                  </w14:solidFill>
                </w14:textFill>
              </w:rPr>
              <w:t>5000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宋体" w:hAnsi="宋体" w:eastAsia="宋体" w:cs="宋体"/>
                <w:b/>
                <w:bCs/>
                <w:color w:val="000000" w:themeColor="text1"/>
                <w:kern w:val="0"/>
                <w:sz w:val="20"/>
                <w:highlight w:val="none"/>
                <w:lang w:val="en-US" w:eastAsia="zh-CN"/>
                <w14:textFill>
                  <w14:solidFill>
                    <w14:schemeClr w14:val="tx1"/>
                  </w14:solidFill>
                </w14:textFill>
              </w:rPr>
            </w:pPr>
            <w:r>
              <w:rPr>
                <w:rFonts w:hint="eastAsia" w:ascii="宋体" w:hAnsi="宋体" w:eastAsia="宋体" w:cs="宋体"/>
                <w:b/>
                <w:bCs/>
                <w:color w:val="000000" w:themeColor="text1"/>
                <w:kern w:val="0"/>
                <w:sz w:val="20"/>
                <w:highlight w:val="none"/>
                <w14:textFill>
                  <w14:solidFill>
                    <w14:schemeClr w14:val="tx1"/>
                  </w14:solidFill>
                </w14:textFill>
              </w:rPr>
              <w:t>5000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7</w:t>
            </w:r>
            <w:r>
              <w:rPr>
                <w:rFonts w:hint="eastAsia" w:ascii="Times New Roman" w:hAnsi="Times New Roman" w:eastAsia="仿宋_GB2312" w:cs="仿宋"/>
                <w:color w:val="000000" w:themeColor="text1"/>
                <w:szCs w:val="21"/>
                <w:highlight w:val="none"/>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2</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对涉及</w:t>
            </w:r>
            <w:r>
              <w:rPr>
                <w:rFonts w:hint="eastAsia" w:ascii="Times New Roman" w:hAnsi="Times New Roman" w:eastAsia="仿宋_GB2312" w:cs="仿宋"/>
                <w:bCs/>
                <w:color w:val="000000" w:themeColor="text1"/>
                <w:szCs w:val="21"/>
                <w:highlight w:val="none"/>
                <w14:textFill>
                  <w14:solidFill>
                    <w14:schemeClr w14:val="tx1"/>
                  </w14:solidFill>
                </w14:textFill>
              </w:rPr>
              <w:t>工程费用索赔、</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施工</w:t>
            </w:r>
            <w:r>
              <w:rPr>
                <w:rFonts w:hint="eastAsia" w:ascii="Times New Roman" w:hAnsi="Times New Roman" w:eastAsia="仿宋_GB2312" w:cs="仿宋"/>
                <w:bCs/>
                <w:color w:val="000000" w:themeColor="text1"/>
                <w:szCs w:val="21"/>
                <w:highlight w:val="none"/>
                <w14:textFill>
                  <w14:solidFill>
                    <w14:schemeClr w14:val="tx1"/>
                  </w14:solidFill>
                </w14:textFill>
              </w:rPr>
              <w:t>合同争议或解除的调解和处理，监理人不履行</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或怠于履行相应监理义务的</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3000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4000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blHeader/>
        </w:trPr>
        <w:tc>
          <w:tcPr>
            <w:tcW w:w="688" w:type="dxa"/>
            <w:noWrap w:val="0"/>
            <w:vAlign w:val="center"/>
          </w:tcPr>
          <w:p>
            <w:pPr>
              <w:spacing w:line="300" w:lineRule="exact"/>
              <w:jc w:val="center"/>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7</w:t>
            </w:r>
            <w:r>
              <w:rPr>
                <w:rFonts w:hint="eastAsia" w:ascii="Times New Roman" w:hAnsi="Times New Roman" w:eastAsia="仿宋_GB2312" w:cs="仿宋"/>
                <w:color w:val="000000" w:themeColor="text1"/>
                <w:szCs w:val="21"/>
                <w:highlight w:val="none"/>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3</w:t>
            </w:r>
          </w:p>
        </w:tc>
        <w:tc>
          <w:tcPr>
            <w:tcW w:w="3618" w:type="dxa"/>
            <w:noWrap w:val="0"/>
            <w:vAlign w:val="center"/>
          </w:tcPr>
          <w:p>
            <w:pPr>
              <w:spacing w:line="300" w:lineRule="exact"/>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pP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未按合同约定</w:t>
            </w:r>
            <w:r>
              <w:rPr>
                <w:rFonts w:hint="eastAsia" w:ascii="Times New Roman" w:hAnsi="Times New Roman" w:eastAsia="仿宋_GB2312" w:cs="仿宋"/>
                <w:bCs/>
                <w:color w:val="000000" w:themeColor="text1"/>
                <w:szCs w:val="21"/>
                <w:highlight w:val="none"/>
                <w14:textFill>
                  <w14:solidFill>
                    <w14:schemeClr w14:val="tx1"/>
                  </w14:solidFill>
                </w14:textFill>
              </w:rPr>
              <w:t>提交</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监理日志、安全监理日志、</w:t>
            </w:r>
            <w:r>
              <w:rPr>
                <w:rFonts w:hint="eastAsia" w:ascii="Times New Roman" w:hAnsi="Times New Roman" w:eastAsia="仿宋_GB2312" w:cs="仿宋"/>
                <w:bCs/>
                <w:color w:val="000000" w:themeColor="text1"/>
                <w:szCs w:val="21"/>
                <w:highlight w:val="none"/>
                <w14:textFill>
                  <w14:solidFill>
                    <w14:schemeClr w14:val="tx1"/>
                  </w14:solidFill>
                </w14:textFill>
              </w:rPr>
              <w:t>监理月报、监理总结</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报告</w:t>
            </w:r>
            <w:r>
              <w:rPr>
                <w:rFonts w:hint="eastAsia" w:ascii="Times New Roman" w:hAnsi="Times New Roman" w:eastAsia="仿宋_GB2312" w:cs="仿宋"/>
                <w:bCs/>
                <w:color w:val="000000" w:themeColor="text1"/>
                <w:szCs w:val="21"/>
                <w:highlight w:val="none"/>
                <w14:textFill>
                  <w14:solidFill>
                    <w14:schemeClr w14:val="tx1"/>
                  </w14:solidFill>
                </w14:textFill>
              </w:rPr>
              <w:t>、</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监理业务报告、</w:t>
            </w:r>
            <w:r>
              <w:rPr>
                <w:rFonts w:hint="eastAsia" w:ascii="Times New Roman" w:hAnsi="Times New Roman" w:eastAsia="仿宋_GB2312" w:cs="仿宋"/>
                <w:bCs/>
                <w:color w:val="000000" w:themeColor="text1"/>
                <w:szCs w:val="21"/>
                <w:highlight w:val="none"/>
                <w14:textFill>
                  <w14:solidFill>
                    <w14:schemeClr w14:val="tx1"/>
                  </w14:solidFill>
                </w14:textFill>
              </w:rPr>
              <w:t>质量评估报告</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等</w:t>
            </w:r>
            <w:r>
              <w:rPr>
                <w:rFonts w:hint="eastAsia" w:ascii="Times New Roman" w:hAnsi="Times New Roman" w:eastAsia="仿宋_GB2312" w:cs="仿宋"/>
                <w:bCs/>
                <w:color w:val="000000" w:themeColor="text1"/>
                <w:szCs w:val="21"/>
                <w:highlight w:val="none"/>
                <w14:textFill>
                  <w14:solidFill>
                    <w14:schemeClr w14:val="tx1"/>
                  </w14:solidFill>
                </w14:textFill>
              </w:rPr>
              <w:t>的</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，每一份按右表列明金额支付违约金。</w:t>
            </w:r>
          </w:p>
        </w:tc>
        <w:tc>
          <w:tcPr>
            <w:tcW w:w="1001" w:type="dxa"/>
            <w:gridSpan w:val="2"/>
            <w:noWrap w:val="0"/>
            <w:vAlign w:val="center"/>
          </w:tcPr>
          <w:p>
            <w:pPr>
              <w:widowControl/>
              <w:jc w:val="center"/>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2500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5000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7500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7</w:t>
            </w:r>
            <w:r>
              <w:rPr>
                <w:rFonts w:hint="eastAsia" w:ascii="Times New Roman" w:hAnsi="Times New Roman" w:eastAsia="仿宋_GB2312" w:cs="仿宋"/>
                <w:color w:val="000000" w:themeColor="text1"/>
                <w:szCs w:val="21"/>
                <w:highlight w:val="none"/>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4</w:t>
            </w:r>
          </w:p>
        </w:tc>
        <w:tc>
          <w:tcPr>
            <w:tcW w:w="3618" w:type="dxa"/>
            <w:noWrap w:val="0"/>
            <w:vAlign w:val="center"/>
          </w:tcPr>
          <w:p>
            <w:pPr>
              <w:spacing w:line="300" w:lineRule="exact"/>
              <w:rPr>
                <w:rFonts w:hint="eastAsia" w:ascii="Times New Roman" w:hAnsi="Times New Roman" w:eastAsia="仿宋_GB2312" w:cs="仿宋"/>
                <w:bCs/>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监理人应在开工前组织施工图纸会审，</w:t>
            </w:r>
            <w:r>
              <w:rPr>
                <w:rFonts w:hint="eastAsia" w:ascii="Times New Roman" w:hAnsi="Times New Roman" w:eastAsia="仿宋_GB2312" w:cs="仿宋"/>
                <w:bCs/>
                <w:color w:val="000000" w:themeColor="text1"/>
                <w:szCs w:val="21"/>
                <w:highlight w:val="none"/>
                <w14:textFill>
                  <w14:solidFill>
                    <w14:schemeClr w14:val="tx1"/>
                  </w14:solidFill>
                </w14:textFill>
              </w:rPr>
              <w:t>施工过程中对施工图纸的错误及时提出意见，并根据现场的实际施工情况，每月向</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发包人</w:t>
            </w:r>
            <w:r>
              <w:rPr>
                <w:rFonts w:hint="eastAsia" w:ascii="Times New Roman" w:hAnsi="Times New Roman" w:eastAsia="仿宋_GB2312" w:cs="仿宋"/>
                <w:bCs/>
                <w:color w:val="000000" w:themeColor="text1"/>
                <w:szCs w:val="21"/>
                <w:highlight w:val="none"/>
                <w14:textFill>
                  <w14:solidFill>
                    <w14:schemeClr w14:val="tx1"/>
                  </w14:solidFill>
                </w14:textFill>
              </w:rPr>
              <w:t>上报施工图纸存在</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的</w:t>
            </w:r>
            <w:r>
              <w:rPr>
                <w:rFonts w:hint="eastAsia" w:ascii="Times New Roman" w:hAnsi="Times New Roman" w:eastAsia="仿宋_GB2312" w:cs="仿宋"/>
                <w:bCs/>
                <w:color w:val="000000" w:themeColor="text1"/>
                <w:szCs w:val="21"/>
                <w:highlight w:val="none"/>
                <w14:textFill>
                  <w14:solidFill>
                    <w14:schemeClr w14:val="tx1"/>
                  </w14:solidFill>
                </w14:textFill>
              </w:rPr>
              <w:t>问题</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及</w:t>
            </w:r>
            <w:r>
              <w:rPr>
                <w:rFonts w:hint="eastAsia" w:ascii="Times New Roman" w:hAnsi="Times New Roman" w:eastAsia="仿宋_GB2312" w:cs="仿宋"/>
                <w:bCs/>
                <w:color w:val="000000" w:themeColor="text1"/>
                <w:szCs w:val="21"/>
                <w:highlight w:val="none"/>
                <w14:textFill>
                  <w14:solidFill>
                    <w14:schemeClr w14:val="tx1"/>
                  </w14:solidFill>
                </w14:textFill>
              </w:rPr>
              <w:t>修改情况。未尽监理职责，</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没有组织施工图纸会审、或</w:t>
            </w:r>
            <w:r>
              <w:rPr>
                <w:rFonts w:hint="eastAsia" w:ascii="Times New Roman" w:hAnsi="Times New Roman" w:eastAsia="仿宋_GB2312" w:cs="仿宋"/>
                <w:bCs/>
                <w:color w:val="000000" w:themeColor="text1"/>
                <w:szCs w:val="21"/>
                <w:highlight w:val="none"/>
                <w14:textFill>
                  <w14:solidFill>
                    <w14:schemeClr w14:val="tx1"/>
                  </w14:solidFill>
                </w14:textFill>
              </w:rPr>
              <w:t>对施工图纸出现重大错误未发现或未提出意见的，每</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次按右表列明金额支付违约金。</w:t>
            </w:r>
          </w:p>
        </w:tc>
        <w:tc>
          <w:tcPr>
            <w:tcW w:w="1001" w:type="dxa"/>
            <w:gridSpan w:val="2"/>
            <w:noWrap w:val="0"/>
            <w:vAlign w:val="center"/>
          </w:tcPr>
          <w:p>
            <w:pPr>
              <w:widowControl/>
              <w:jc w:val="center"/>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5000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15000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20000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7</w:t>
            </w:r>
            <w:r>
              <w:rPr>
                <w:rFonts w:hint="eastAsia" w:ascii="Times New Roman" w:hAnsi="Times New Roman" w:eastAsia="仿宋_GB2312" w:cs="仿宋"/>
                <w:color w:val="000000" w:themeColor="text1"/>
                <w:szCs w:val="21"/>
                <w:highlight w:val="none"/>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5</w:t>
            </w:r>
          </w:p>
        </w:tc>
        <w:tc>
          <w:tcPr>
            <w:tcW w:w="3618" w:type="dxa"/>
            <w:noWrap w:val="0"/>
            <w:vAlign w:val="center"/>
          </w:tcPr>
          <w:p>
            <w:pPr>
              <w:spacing w:line="300" w:lineRule="exact"/>
              <w:rPr>
                <w:rFonts w:hint="eastAsia" w:ascii="Times New Roman" w:hAnsi="Times New Roman" w:eastAsia="仿宋_GB2312" w:cs="仿宋"/>
                <w:bCs/>
                <w:color w:val="000000" w:themeColor="text1"/>
                <w:szCs w:val="21"/>
                <w:highlight w:val="none"/>
                <w14:textFill>
                  <w14:solidFill>
                    <w14:schemeClr w14:val="tx1"/>
                  </w14:solidFill>
                </w14:textFill>
              </w:rPr>
            </w:pP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未按合同约定</w:t>
            </w:r>
            <w:r>
              <w:rPr>
                <w:rFonts w:hint="eastAsia" w:ascii="Times New Roman" w:hAnsi="Times New Roman" w:eastAsia="仿宋_GB2312" w:cs="仿宋"/>
                <w:bCs/>
                <w:color w:val="000000" w:themeColor="text1"/>
                <w:szCs w:val="21"/>
                <w:highlight w:val="none"/>
                <w14:textFill>
                  <w14:solidFill>
                    <w14:schemeClr w14:val="tx1"/>
                  </w14:solidFill>
                </w14:textFill>
              </w:rPr>
              <w:t>审查</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施工单位</w:t>
            </w:r>
            <w:r>
              <w:rPr>
                <w:rFonts w:hint="eastAsia" w:ascii="Times New Roman" w:hAnsi="Times New Roman" w:eastAsia="仿宋_GB2312" w:cs="仿宋"/>
                <w:bCs/>
                <w:color w:val="000000" w:themeColor="text1"/>
                <w:szCs w:val="21"/>
                <w:highlight w:val="none"/>
                <w14:textFill>
                  <w14:solidFill>
                    <w14:schemeClr w14:val="tx1"/>
                  </w14:solidFill>
                </w14:textFill>
              </w:rPr>
              <w:t>报送的施工组织设计</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、施工实施方案等</w:t>
            </w:r>
            <w:r>
              <w:rPr>
                <w:rFonts w:hint="eastAsia" w:ascii="Times New Roman" w:hAnsi="Times New Roman" w:eastAsia="仿宋_GB2312" w:cs="仿宋"/>
                <w:bCs/>
                <w:color w:val="000000" w:themeColor="text1"/>
                <w:szCs w:val="21"/>
                <w:highlight w:val="none"/>
                <w14:textFill>
                  <w14:solidFill>
                    <w14:schemeClr w14:val="tx1"/>
                  </w14:solidFill>
                </w14:textFill>
              </w:rPr>
              <w:t>或经监理人审核批准后的施工组织设计</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、施工实施</w:t>
            </w:r>
            <w:r>
              <w:rPr>
                <w:rFonts w:hint="eastAsia" w:ascii="Times New Roman" w:hAnsi="Times New Roman" w:eastAsia="仿宋_GB2312" w:cs="仿宋"/>
                <w:bCs/>
                <w:color w:val="000000" w:themeColor="text1"/>
                <w:szCs w:val="21"/>
                <w:highlight w:val="none"/>
                <w14:textFill>
                  <w14:solidFill>
                    <w14:schemeClr w14:val="tx1"/>
                  </w14:solidFill>
                </w14:textFill>
              </w:rPr>
              <w:t>方案</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等</w:t>
            </w:r>
            <w:r>
              <w:rPr>
                <w:rFonts w:hint="eastAsia" w:ascii="Times New Roman" w:hAnsi="Times New Roman" w:eastAsia="仿宋_GB2312" w:cs="仿宋"/>
                <w:bCs/>
                <w:color w:val="000000" w:themeColor="text1"/>
                <w:szCs w:val="21"/>
                <w:highlight w:val="none"/>
                <w14:textFill>
                  <w14:solidFill>
                    <w14:schemeClr w14:val="tx1"/>
                  </w14:solidFill>
                </w14:textFill>
              </w:rPr>
              <w:t>不合理</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的</w:t>
            </w:r>
            <w:r>
              <w:rPr>
                <w:rFonts w:hint="eastAsia" w:ascii="Times New Roman" w:hAnsi="Times New Roman" w:eastAsia="仿宋_GB2312" w:cs="仿宋"/>
                <w:bCs/>
                <w:color w:val="000000" w:themeColor="text1"/>
                <w:szCs w:val="21"/>
                <w:highlight w:val="none"/>
                <w14:textFill>
                  <w14:solidFill>
                    <w14:schemeClr w14:val="tx1"/>
                  </w14:solidFill>
                </w14:textFill>
              </w:rPr>
              <w:t>，每</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发现一次，按右表列明金额支付违约金。</w:t>
            </w:r>
          </w:p>
        </w:tc>
        <w:tc>
          <w:tcPr>
            <w:tcW w:w="1001" w:type="dxa"/>
            <w:gridSpan w:val="2"/>
            <w:noWrap w:val="0"/>
            <w:vAlign w:val="center"/>
          </w:tcPr>
          <w:p>
            <w:pPr>
              <w:widowControl/>
              <w:jc w:val="center"/>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1500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3000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4500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6000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7</w:t>
            </w:r>
            <w:r>
              <w:rPr>
                <w:rFonts w:hint="eastAsia" w:ascii="Times New Roman" w:hAnsi="Times New Roman" w:eastAsia="仿宋_GB2312" w:cs="仿宋"/>
                <w:color w:val="000000" w:themeColor="text1"/>
                <w:szCs w:val="21"/>
                <w:highlight w:val="none"/>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6</w:t>
            </w:r>
          </w:p>
        </w:tc>
        <w:tc>
          <w:tcPr>
            <w:tcW w:w="3618" w:type="dxa"/>
            <w:noWrap w:val="0"/>
            <w:vAlign w:val="center"/>
          </w:tcPr>
          <w:p>
            <w:pPr>
              <w:spacing w:line="300" w:lineRule="exact"/>
              <w:rPr>
                <w:rFonts w:hint="eastAsia" w:ascii="Times New Roman" w:hAnsi="Times New Roman" w:eastAsia="仿宋_GB2312" w:cs="仿宋"/>
                <w:bCs/>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bCs/>
                <w:color w:val="000000" w:themeColor="text1"/>
                <w:szCs w:val="21"/>
                <w:highlight w:val="none"/>
                <w14:textFill>
                  <w14:solidFill>
                    <w14:schemeClr w14:val="tx1"/>
                  </w14:solidFill>
                </w14:textFill>
              </w:rPr>
              <w:t>现场监理工程师应使用自备仪器独立测量、复核</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施工单位</w:t>
            </w:r>
            <w:r>
              <w:rPr>
                <w:rFonts w:hint="eastAsia" w:ascii="Times New Roman" w:hAnsi="Times New Roman" w:eastAsia="仿宋_GB2312" w:cs="仿宋"/>
                <w:bCs/>
                <w:color w:val="000000" w:themeColor="text1"/>
                <w:szCs w:val="21"/>
                <w:highlight w:val="none"/>
                <w14:textFill>
                  <w14:solidFill>
                    <w14:schemeClr w14:val="tx1"/>
                  </w14:solidFill>
                </w14:textFill>
              </w:rPr>
              <w:t>报送的控制桩的校核成果、控制桩的保护措施以及平面控制网、高程控制网和临时水准点的测量成果，保证测量精度。如果测量精度存在错误，监理人在复核过程中未能发现的，每次</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按右表列明金额支付违约金。</w:t>
            </w:r>
          </w:p>
        </w:tc>
        <w:tc>
          <w:tcPr>
            <w:tcW w:w="1001" w:type="dxa"/>
            <w:gridSpan w:val="2"/>
            <w:noWrap w:val="0"/>
            <w:vAlign w:val="center"/>
          </w:tcPr>
          <w:p>
            <w:pPr>
              <w:widowControl/>
              <w:jc w:val="center"/>
              <w:rPr>
                <w:rFonts w:hint="eastAsia" w:ascii="Times New Roman" w:hAnsi="Times New Roman" w:eastAsia="仿宋_GB2312" w:cs="仿宋_GB2312"/>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1500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3000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4500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6000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7.7</w:t>
            </w:r>
          </w:p>
        </w:tc>
        <w:tc>
          <w:tcPr>
            <w:tcW w:w="3618" w:type="dxa"/>
            <w:noWrap w:val="0"/>
            <w:vAlign w:val="center"/>
          </w:tcPr>
          <w:p>
            <w:pPr>
              <w:spacing w:line="300" w:lineRule="exact"/>
              <w:rPr>
                <w:rFonts w:hint="eastAsia" w:ascii="Times New Roman" w:hAnsi="Times New Roman" w:eastAsia="仿宋_GB2312" w:cs="仿宋"/>
                <w:bCs/>
                <w:color w:val="000000" w:themeColor="text1"/>
                <w:szCs w:val="21"/>
                <w:highlight w:val="none"/>
                <w14:textFill>
                  <w14:solidFill>
                    <w14:schemeClr w14:val="tx1"/>
                  </w14:solidFill>
                </w14:textFill>
              </w:rPr>
            </w:pPr>
            <w:r>
              <w:rPr>
                <w:rFonts w:hint="eastAsia" w:ascii="Times New Roman" w:hAnsi="Times New Roman" w:eastAsia="仿宋_GB2312" w:cs="仿宋"/>
                <w:bCs/>
                <w:color w:val="000000" w:themeColor="text1"/>
                <w:szCs w:val="21"/>
                <w:highlight w:val="none"/>
                <w14:textFill>
                  <w14:solidFill>
                    <w14:schemeClr w14:val="tx1"/>
                  </w14:solidFill>
                </w14:textFill>
              </w:rPr>
              <w:t>仪器及设备等未按投标文件承诺的数量、规格、时间进场的，每件每日</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按右表列明金额支付违约金。</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500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1500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7.8</w:t>
            </w:r>
          </w:p>
        </w:tc>
        <w:tc>
          <w:tcPr>
            <w:tcW w:w="3618" w:type="dxa"/>
            <w:noWrap w:val="0"/>
            <w:vAlign w:val="center"/>
          </w:tcPr>
          <w:p>
            <w:pPr>
              <w:spacing w:line="300" w:lineRule="exact"/>
              <w:rPr>
                <w:rFonts w:hint="eastAsia" w:ascii="Times New Roman" w:hAnsi="Times New Roman" w:eastAsia="仿宋_GB2312" w:cs="仿宋"/>
                <w:bCs/>
                <w:color w:val="000000" w:themeColor="text1"/>
                <w:szCs w:val="21"/>
                <w:highlight w:val="none"/>
                <w14:textFill>
                  <w14:solidFill>
                    <w14:schemeClr w14:val="tx1"/>
                  </w14:solidFill>
                </w14:textFill>
              </w:rPr>
            </w:pPr>
            <w:r>
              <w:rPr>
                <w:rFonts w:hint="eastAsia" w:ascii="Times New Roman" w:hAnsi="Times New Roman" w:eastAsia="仿宋_GB2312" w:cs="仿宋"/>
                <w:bCs/>
                <w:color w:val="000000" w:themeColor="text1"/>
                <w:szCs w:val="21"/>
                <w:highlight w:val="none"/>
                <w14:textFill>
                  <w14:solidFill>
                    <w14:schemeClr w14:val="tx1"/>
                  </w14:solidFill>
                </w14:textFill>
              </w:rPr>
              <w:t>仪器及设备等在监理责任期间，不能保持良好运作性能的，应及时更换，否则每件每日</w:t>
            </w:r>
            <w:r>
              <w:rPr>
                <w:rFonts w:hint="eastAsia" w:ascii="Times New Roman" w:hAnsi="Times New Roman" w:eastAsia="仿宋_GB2312" w:cs="仿宋"/>
                <w:bCs/>
                <w:color w:val="000000" w:themeColor="text1"/>
                <w:szCs w:val="21"/>
                <w:highlight w:val="none"/>
                <w:lang w:eastAsia="zh-CN"/>
                <w14:textFill>
                  <w14:solidFill>
                    <w14:schemeClr w14:val="tx1"/>
                  </w14:solidFill>
                </w14:textFill>
              </w:rPr>
              <w:t>按右表列明金额支付违约金。</w:t>
            </w:r>
          </w:p>
        </w:tc>
        <w:tc>
          <w:tcPr>
            <w:tcW w:w="1001" w:type="dxa"/>
            <w:gridSpan w:val="2"/>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500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1500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2000</w:t>
            </w:r>
            <w:r>
              <w:rPr>
                <w:rFonts w:hint="eastAsia" w:ascii="宋体" w:hAnsi="宋体" w:eastAsia="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7</w:t>
            </w:r>
            <w:r>
              <w:rPr>
                <w:rFonts w:hint="eastAsia" w:ascii="Times New Roman" w:hAnsi="Times New Roman" w:eastAsia="仿宋_GB2312" w:cs="仿宋"/>
                <w:color w:val="000000" w:themeColor="text1"/>
                <w:szCs w:val="21"/>
                <w:highlight w:val="none"/>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9</w:t>
            </w:r>
          </w:p>
        </w:tc>
        <w:tc>
          <w:tcPr>
            <w:tcW w:w="3618" w:type="dxa"/>
            <w:noWrap w:val="0"/>
            <w:vAlign w:val="center"/>
          </w:tcPr>
          <w:p>
            <w:pPr>
              <w:spacing w:line="300" w:lineRule="exact"/>
              <w:rPr>
                <w:rFonts w:hint="eastAsia" w:ascii="Times New Roman" w:hAnsi="Times New Roman" w:eastAsia="仿宋_GB2312" w:cs="仿宋"/>
                <w:bCs/>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在其职责范围内对应当作出决定的事项故意拖延决定，或不作出明确处理意见的</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每违约一次，按右边列明金额支付违约金一次。</w:t>
            </w:r>
          </w:p>
        </w:tc>
        <w:tc>
          <w:tcPr>
            <w:tcW w:w="1001" w:type="dxa"/>
            <w:gridSpan w:val="2"/>
            <w:noWrap w:val="0"/>
            <w:vAlign w:val="center"/>
          </w:tcPr>
          <w:p>
            <w:pPr>
              <w:widowControl/>
              <w:jc w:val="center"/>
              <w:rPr>
                <w:highlight w:val="none"/>
              </w:rPr>
            </w:pPr>
            <w:r>
              <w:rPr>
                <w:rFonts w:hint="eastAsia" w:ascii="宋体" w:hAnsi="宋体" w:cs="宋体"/>
                <w:b/>
                <w:bCs/>
                <w:color w:val="000000" w:themeColor="text1"/>
                <w:kern w:val="0"/>
                <w:sz w:val="20"/>
                <w:highlight w:val="none"/>
                <w14:textFill>
                  <w14:solidFill>
                    <w14:schemeClr w14:val="tx1"/>
                  </w14:solidFill>
                </w14:textFill>
              </w:rPr>
              <w:t>5000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327" w:type="dxa"/>
            <w:noWrap w:val="0"/>
            <w:vAlign w:val="center"/>
          </w:tcPr>
          <w:p>
            <w:pPr>
              <w:widowControl/>
              <w:jc w:val="center"/>
              <w:rPr>
                <w:highlight w:val="none"/>
              </w:rPr>
            </w:pPr>
            <w:r>
              <w:rPr>
                <w:rFonts w:hint="eastAsia" w:ascii="宋体" w:hAnsi="宋体" w:cs="宋体"/>
                <w:b/>
                <w:bCs/>
                <w:color w:val="000000" w:themeColor="text1"/>
                <w:kern w:val="0"/>
                <w:sz w:val="20"/>
                <w:highlight w:val="none"/>
                <w14:textFill>
                  <w14:solidFill>
                    <w14:schemeClr w14:val="tx1"/>
                  </w14:solidFill>
                </w14:textFill>
              </w:rPr>
              <w:t>10000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245" w:type="dxa"/>
            <w:noWrap w:val="0"/>
            <w:vAlign w:val="center"/>
          </w:tcPr>
          <w:p>
            <w:pPr>
              <w:widowControl/>
              <w:jc w:val="center"/>
              <w:rPr>
                <w:highlight w:val="none"/>
              </w:rPr>
            </w:pPr>
            <w:r>
              <w:rPr>
                <w:rFonts w:hint="eastAsia" w:ascii="宋体" w:hAnsi="宋体" w:cs="宋体"/>
                <w:b/>
                <w:bCs/>
                <w:color w:val="000000" w:themeColor="text1"/>
                <w:kern w:val="0"/>
                <w:sz w:val="20"/>
                <w:highlight w:val="none"/>
                <w14:textFill>
                  <w14:solidFill>
                    <w14:schemeClr w14:val="tx1"/>
                  </w14:solidFill>
                </w14:textFill>
              </w:rPr>
              <w:t>15000</w:t>
            </w:r>
            <w:r>
              <w:rPr>
                <w:rFonts w:hint="eastAsia" w:ascii="宋体" w:hAnsi="宋体" w:cs="宋体"/>
                <w:b/>
                <w:bCs/>
                <w:color w:val="000000" w:themeColor="text1"/>
                <w:kern w:val="0"/>
                <w:sz w:val="20"/>
                <w:highlight w:val="none"/>
                <w:lang w:eastAsia="zh-CN"/>
                <w14:textFill>
                  <w14:solidFill>
                    <w14:schemeClr w14:val="tx1"/>
                  </w14:solidFill>
                </w14:textFill>
              </w:rPr>
              <w:t>元</w:t>
            </w:r>
          </w:p>
        </w:tc>
        <w:tc>
          <w:tcPr>
            <w:tcW w:w="1192" w:type="dxa"/>
            <w:noWrap w:val="0"/>
            <w:vAlign w:val="center"/>
          </w:tcPr>
          <w:p>
            <w:pPr>
              <w:widowControl/>
              <w:jc w:val="center"/>
              <w:rPr>
                <w:highlight w:val="none"/>
              </w:rPr>
            </w:pPr>
            <w:r>
              <w:rPr>
                <w:rFonts w:hint="eastAsia" w:ascii="宋体" w:hAnsi="宋体" w:cs="宋体"/>
                <w:b/>
                <w:bCs/>
                <w:color w:val="000000" w:themeColor="text1"/>
                <w:kern w:val="0"/>
                <w:sz w:val="20"/>
                <w:highlight w:val="none"/>
                <w14:textFill>
                  <w14:solidFill>
                    <w14:schemeClr w14:val="tx1"/>
                  </w14:solidFill>
                </w14:textFill>
              </w:rPr>
              <w:t>20000</w:t>
            </w:r>
            <w:r>
              <w:rPr>
                <w:rFonts w:hint="eastAsia" w:ascii="宋体" w:hAnsi="宋体" w:cs="宋体"/>
                <w:b/>
                <w:bCs/>
                <w:color w:val="000000" w:themeColor="text1"/>
                <w:kern w:val="0"/>
                <w:sz w:val="20"/>
                <w:highlight w:val="no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7.10</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将</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本合同监理服务工作</w:t>
            </w:r>
            <w:r>
              <w:rPr>
                <w:rFonts w:hint="eastAsia" w:ascii="Times New Roman" w:hAnsi="Times New Roman" w:eastAsia="仿宋_GB2312" w:cs="仿宋"/>
                <w:color w:val="000000" w:themeColor="text1"/>
                <w:szCs w:val="21"/>
                <w:highlight w:val="none"/>
                <w14:textFill>
                  <w14:solidFill>
                    <w14:schemeClr w14:val="tx1"/>
                  </w14:solidFill>
                </w14:textFill>
              </w:rPr>
              <w:t>转包或未经</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发包</w:t>
            </w:r>
            <w:r>
              <w:rPr>
                <w:rFonts w:hint="eastAsia" w:ascii="Times New Roman" w:hAnsi="Times New Roman" w:eastAsia="仿宋_GB2312" w:cs="仿宋"/>
                <w:color w:val="000000" w:themeColor="text1"/>
                <w:szCs w:val="21"/>
                <w:highlight w:val="none"/>
                <w14:textFill>
                  <w14:solidFill>
                    <w14:schemeClr w14:val="tx1"/>
                  </w14:solidFill>
                </w14:textFill>
              </w:rPr>
              <w:t>人同意进行分包的</w:t>
            </w:r>
          </w:p>
        </w:tc>
        <w:tc>
          <w:tcPr>
            <w:tcW w:w="4765" w:type="dxa"/>
            <w:gridSpan w:val="5"/>
            <w:noWrap w:val="0"/>
            <w:vAlign w:val="center"/>
          </w:tcPr>
          <w:p>
            <w:pPr>
              <w:spacing w:line="300" w:lineRule="exact"/>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应按发包人要求限期整改，逾期未整改的，发包人有权单方解除合同并要求监理人按签约合同价3%支付违约金。因此造成的一切行政、民事、刑事责任均由监理人承担。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blHeader/>
        </w:trPr>
        <w:tc>
          <w:tcPr>
            <w:tcW w:w="688" w:type="dxa"/>
            <w:noWrap w:val="0"/>
            <w:vAlign w:val="center"/>
          </w:tcPr>
          <w:p>
            <w:pPr>
              <w:spacing w:line="300" w:lineRule="exact"/>
              <w:jc w:val="center"/>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7.11</w:t>
            </w:r>
          </w:p>
        </w:tc>
        <w:tc>
          <w:tcPr>
            <w:tcW w:w="3618" w:type="dxa"/>
            <w:noWrap w:val="0"/>
            <w:vAlign w:val="center"/>
          </w:tcPr>
          <w:p>
            <w:pPr>
              <w:spacing w:line="300" w:lineRule="exact"/>
              <w:rPr>
                <w:rFonts w:hint="default" w:ascii="Times New Roman" w:hAnsi="Times New Roman" w:eastAsia="仿宋_GB2312"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仿宋"/>
                <w:color w:val="000000" w:themeColor="text1"/>
                <w:szCs w:val="21"/>
                <w:highlight w:val="none"/>
                <w:lang w:eastAsia="zh-CN"/>
                <w14:textFill>
                  <w14:solidFill>
                    <w14:schemeClr w14:val="tx1"/>
                  </w14:solidFill>
                </w14:textFill>
              </w:rPr>
              <w:t>未按合同约定及</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发包人的</w:t>
            </w:r>
            <w:r>
              <w:rPr>
                <w:rFonts w:hint="eastAsia" w:ascii="Times New Roman" w:hAnsi="Times New Roman" w:eastAsia="仿宋_GB2312" w:cs="仿宋"/>
                <w:color w:val="000000" w:themeColor="text1"/>
                <w:szCs w:val="21"/>
                <w:highlight w:val="none"/>
                <w14:textFill>
                  <w14:solidFill>
                    <w14:schemeClr w14:val="tx1"/>
                  </w14:solidFill>
                </w14:textFill>
              </w:rPr>
              <w:t>相关</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制度执行</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，如发包人的</w:t>
            </w:r>
            <w:r>
              <w:rPr>
                <w:rFonts w:hint="eastAsia" w:ascii="Times New Roman" w:hAnsi="Times New Roman" w:eastAsia="仿宋_GB2312" w:cs="仿宋"/>
                <w:color w:val="000000" w:themeColor="text1"/>
                <w:szCs w:val="21"/>
                <w:highlight w:val="none"/>
                <w14:textFill>
                  <w14:solidFill>
                    <w14:schemeClr w14:val="tx1"/>
                  </w14:solidFill>
                </w14:textFill>
              </w:rPr>
              <w:t>相关</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制度</w:t>
            </w:r>
            <w:r>
              <w:rPr>
                <w:rFonts w:hint="eastAsia" w:ascii="Times New Roman" w:hAnsi="Times New Roman" w:eastAsia="仿宋_GB2312" w:cs="仿宋"/>
                <w:color w:val="000000" w:themeColor="text1"/>
                <w:szCs w:val="21"/>
                <w:highlight w:val="none"/>
                <w14:textFill>
                  <w14:solidFill>
                    <w14:schemeClr w14:val="tx1"/>
                  </w14:solidFill>
                </w14:textFill>
              </w:rPr>
              <w:t>有更新，按最新</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制度</w:t>
            </w:r>
            <w:r>
              <w:rPr>
                <w:rFonts w:hint="eastAsia" w:ascii="Times New Roman" w:hAnsi="Times New Roman" w:eastAsia="仿宋_GB2312" w:cs="仿宋"/>
                <w:color w:val="000000" w:themeColor="text1"/>
                <w:szCs w:val="21"/>
                <w:highlight w:val="none"/>
                <w14:textFill>
                  <w14:solidFill>
                    <w14:schemeClr w14:val="tx1"/>
                  </w14:solidFill>
                </w14:textFill>
              </w:rPr>
              <w:t>执行</w:t>
            </w: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要求落实独立办公场所的、使用施工单位提供的办公场所及宿舍的，每违约一次，按右边列明金额支付违约金一次，</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且监理人需在发包人要求的期限内完成整改，逾期未完成整改的，按前述标准的二倍承担违约责任。</w:t>
            </w:r>
          </w:p>
        </w:tc>
        <w:tc>
          <w:tcPr>
            <w:tcW w:w="1001" w:type="dxa"/>
            <w:gridSpan w:val="2"/>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10000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元</w:t>
            </w:r>
          </w:p>
        </w:tc>
        <w:tc>
          <w:tcPr>
            <w:tcW w:w="1327"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c>
          <w:tcPr>
            <w:tcW w:w="1245"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300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00元</w:t>
            </w:r>
          </w:p>
        </w:tc>
        <w:tc>
          <w:tcPr>
            <w:tcW w:w="1192" w:type="dxa"/>
            <w:noWrap w:val="0"/>
            <w:vAlign w:val="center"/>
          </w:tcPr>
          <w:p>
            <w:pPr>
              <w:widowControl/>
              <w:jc w:val="center"/>
              <w:rPr>
                <w:highlight w:val="none"/>
              </w:rPr>
            </w:pPr>
            <w:r>
              <w:rPr>
                <w:rFonts w:hint="eastAsia" w:ascii="宋体" w:hAnsi="宋体" w:cs="宋体"/>
                <w:b/>
                <w:bCs/>
                <w:color w:val="000000" w:themeColor="text1"/>
                <w:kern w:val="0"/>
                <w:sz w:val="20"/>
                <w:highlight w:val="none"/>
                <w:lang w:val="en-US" w:eastAsia="zh-CN"/>
                <w14:textFill>
                  <w14:solidFill>
                    <w14:schemeClr w14:val="tx1"/>
                  </w14:solidFill>
                </w14:textFill>
              </w:rPr>
              <w:t>50</w:t>
            </w:r>
            <w:r>
              <w:rPr>
                <w:rFonts w:hint="eastAsia" w:ascii="宋体" w:hAnsi="宋体" w:eastAsia="宋体" w:cs="宋体"/>
                <w:b/>
                <w:bCs/>
                <w:color w:val="000000" w:themeColor="text1"/>
                <w:kern w:val="0"/>
                <w:sz w:val="20"/>
                <w:highlight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688" w:type="dxa"/>
            <w:noWrap w:val="0"/>
            <w:vAlign w:val="center"/>
          </w:tcPr>
          <w:p>
            <w:pPr>
              <w:spacing w:line="360" w:lineRule="auto"/>
              <w:ind w:firstLine="240" w:firstLineChars="100"/>
              <w:rPr>
                <w:rFonts w:hint="eastAsia" w:ascii="Times New Roman" w:hAnsi="Times New Roman" w:eastAsia="仿宋_GB2312" w:cs="仿宋_GB2312"/>
                <w:b/>
                <w:bCs/>
                <w:color w:val="000000" w:themeColor="text1"/>
                <w:sz w:val="24"/>
                <w:highlight w:val="none"/>
                <w:lang w:eastAsia="zh-CN"/>
                <w14:textFill>
                  <w14:solidFill>
                    <w14:schemeClr w14:val="tx1"/>
                  </w14:solidFill>
                </w14:textFill>
              </w:rPr>
            </w:pPr>
            <w:r>
              <w:rPr>
                <w:rFonts w:hint="eastAsia" w:ascii="Times New Roman" w:hAnsi="Times New Roman" w:eastAsia="仿宋_GB2312" w:cs="仿宋_GB2312"/>
                <w:b/>
                <w:bCs/>
                <w:color w:val="000000" w:themeColor="text1"/>
                <w:sz w:val="24"/>
                <w:highlight w:val="none"/>
                <w:lang w:val="en-US" w:eastAsia="zh-CN"/>
                <w14:textFill>
                  <w14:solidFill>
                    <w14:schemeClr w14:val="tx1"/>
                  </w14:solidFill>
                </w14:textFill>
              </w:rPr>
              <w:t>8</w:t>
            </w:r>
          </w:p>
        </w:tc>
        <w:tc>
          <w:tcPr>
            <w:tcW w:w="8383" w:type="dxa"/>
            <w:gridSpan w:val="6"/>
            <w:noWrap w:val="0"/>
            <w:vAlign w:val="center"/>
          </w:tcPr>
          <w:p>
            <w:pPr>
              <w:spacing w:line="360" w:lineRule="auto"/>
              <w:rPr>
                <w:rFonts w:hint="eastAsia" w:ascii="Times New Roman" w:hAnsi="Times New Roman" w:eastAsia="仿宋_GB2312" w:cs="仿宋_GB2312"/>
                <w:b/>
                <w:bCs/>
                <w:color w:val="000000" w:themeColor="text1"/>
                <w:sz w:val="24"/>
                <w:highlight w:val="none"/>
                <w14:textFill>
                  <w14:solidFill>
                    <w14:schemeClr w14:val="tx1"/>
                  </w14:solidFill>
                </w14:textFill>
              </w:rPr>
            </w:pPr>
            <w:r>
              <w:rPr>
                <w:rFonts w:hint="eastAsia" w:ascii="Times New Roman" w:hAnsi="Times New Roman" w:eastAsia="仿宋_GB2312" w:cs="仿宋_GB2312"/>
                <w:b/>
                <w:bCs/>
                <w:color w:val="000000" w:themeColor="text1"/>
                <w:sz w:val="24"/>
                <w:highlight w:val="none"/>
                <w14:textFill>
                  <w14:solidFill>
                    <w14:schemeClr w14:val="tx1"/>
                  </w14:solidFill>
                </w14:textFill>
              </w:rPr>
              <w:t>发生事故的，按以下标准承担违约责任：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8</w:t>
            </w:r>
            <w:r>
              <w:rPr>
                <w:rFonts w:ascii="Times New Roman" w:hAnsi="Times New Roman" w:eastAsia="仿宋_GB2312" w:cs="仿宋"/>
                <w:color w:val="000000" w:themeColor="text1"/>
                <w:szCs w:val="21"/>
                <w:highlight w:val="none"/>
                <w14:textFill>
                  <w14:solidFill>
                    <w14:schemeClr w14:val="tx1"/>
                  </w14:solidFill>
                </w14:textFill>
              </w:rPr>
              <w:t>.1</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发生一般事故的</w:t>
            </w:r>
          </w:p>
        </w:tc>
        <w:tc>
          <w:tcPr>
            <w:tcW w:w="4765" w:type="dxa"/>
            <w:gridSpan w:val="5"/>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应承担违约金人民币</w:t>
            </w:r>
            <w:r>
              <w:rPr>
                <w:rFonts w:hint="eastAsia" w:ascii="Times New Roman" w:hAnsi="Times New Roman" w:eastAsia="仿宋_GB2312" w:cs="仿宋"/>
                <w:color w:val="000000" w:themeColor="text1"/>
                <w:szCs w:val="21"/>
                <w:highlight w:val="none"/>
                <w:u w:val="single"/>
                <w:lang w:eastAsia="zh-CN"/>
                <w14:textFill>
                  <w14:solidFill>
                    <w14:schemeClr w14:val="tx1"/>
                  </w14:solidFill>
                </w14:textFill>
              </w:rPr>
              <w:t xml:space="preserve"> </w:t>
            </w:r>
            <w:r>
              <w:rPr>
                <w:rFonts w:hint="eastAsia" w:ascii="Times New Roman" w:hAnsi="Times New Roman" w:eastAsia="仿宋_GB2312" w:cs="仿宋"/>
                <w:color w:val="000000" w:themeColor="text1"/>
                <w:szCs w:val="21"/>
                <w:highlight w:val="none"/>
                <w:u w:val="single"/>
                <w:lang w:val="en-US" w:eastAsia="zh-CN"/>
                <w14:textFill>
                  <w14:solidFill>
                    <w14:schemeClr w14:val="tx1"/>
                  </w14:solidFill>
                </w14:textFill>
              </w:rPr>
              <w:t xml:space="preserve"> 10万  </w:t>
            </w:r>
            <w:r>
              <w:rPr>
                <w:rFonts w:hint="eastAsia" w:ascii="Times New Roman" w:hAnsi="Times New Roman" w:eastAsia="仿宋_GB2312" w:cs="仿宋"/>
                <w:color w:val="000000" w:themeColor="text1"/>
                <w:szCs w:val="21"/>
                <w:highlight w:val="none"/>
                <w14:textFill>
                  <w14:solidFill>
                    <w14:schemeClr w14:val="tx1"/>
                  </w14:solidFill>
                </w14:textFill>
              </w:rPr>
              <w:t>元/起。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8</w:t>
            </w:r>
            <w:r>
              <w:rPr>
                <w:rFonts w:ascii="Times New Roman" w:hAnsi="Times New Roman" w:eastAsia="仿宋_GB2312" w:cs="仿宋"/>
                <w:color w:val="000000" w:themeColor="text1"/>
                <w:szCs w:val="21"/>
                <w:highlight w:val="none"/>
                <w14:textFill>
                  <w14:solidFill>
                    <w14:schemeClr w14:val="tx1"/>
                  </w14:solidFill>
                </w14:textFill>
              </w:rPr>
              <w:t>.2</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发生较大事故的</w:t>
            </w:r>
          </w:p>
        </w:tc>
        <w:tc>
          <w:tcPr>
            <w:tcW w:w="4765" w:type="dxa"/>
            <w:gridSpan w:val="5"/>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应承担违约金人民币</w:t>
            </w:r>
            <w:r>
              <w:rPr>
                <w:rFonts w:hint="eastAsia" w:ascii="Times New Roman" w:hAnsi="Times New Roman" w:eastAsia="仿宋_GB2312" w:cs="仿宋"/>
                <w:color w:val="000000" w:themeColor="text1"/>
                <w:szCs w:val="21"/>
                <w:highlight w:val="none"/>
                <w:u w:val="single"/>
                <w:lang w:val="en-US" w:eastAsia="zh-CN"/>
                <w14:textFill>
                  <w14:solidFill>
                    <w14:schemeClr w14:val="tx1"/>
                  </w14:solidFill>
                </w14:textFill>
              </w:rPr>
              <w:t xml:space="preserve">   20万  </w:t>
            </w:r>
            <w:r>
              <w:rPr>
                <w:rFonts w:hint="eastAsia" w:ascii="Times New Roman" w:hAnsi="Times New Roman" w:eastAsia="仿宋_GB2312" w:cs="仿宋"/>
                <w:color w:val="000000" w:themeColor="text1"/>
                <w:szCs w:val="21"/>
                <w:highlight w:val="none"/>
                <w14:textFill>
                  <w14:solidFill>
                    <w14:schemeClr w14:val="tx1"/>
                  </w14:solidFill>
                </w14:textFill>
              </w:rPr>
              <w:t>元/起。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8</w:t>
            </w:r>
            <w:r>
              <w:rPr>
                <w:rFonts w:ascii="Times New Roman" w:hAnsi="Times New Roman" w:eastAsia="仿宋_GB2312" w:cs="仿宋"/>
                <w:color w:val="000000" w:themeColor="text1"/>
                <w:szCs w:val="21"/>
                <w:highlight w:val="none"/>
                <w14:textFill>
                  <w14:solidFill>
                    <w14:schemeClr w14:val="tx1"/>
                  </w14:solidFill>
                </w14:textFill>
              </w:rPr>
              <w:t>.3</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发生重大事故的</w:t>
            </w:r>
          </w:p>
        </w:tc>
        <w:tc>
          <w:tcPr>
            <w:tcW w:w="4765" w:type="dxa"/>
            <w:gridSpan w:val="5"/>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应承担违约金人民币</w:t>
            </w:r>
            <w:r>
              <w:rPr>
                <w:rFonts w:hint="eastAsia" w:ascii="Times New Roman" w:hAnsi="Times New Roman" w:eastAsia="仿宋_GB2312" w:cs="仿宋"/>
                <w:color w:val="000000" w:themeColor="text1"/>
                <w:szCs w:val="21"/>
                <w:highlight w:val="none"/>
                <w:u w:val="single"/>
                <w:lang w:val="en-US" w:eastAsia="zh-CN"/>
                <w14:textFill>
                  <w14:solidFill>
                    <w14:schemeClr w14:val="tx1"/>
                  </w14:solidFill>
                </w14:textFill>
              </w:rPr>
              <w:t xml:space="preserve">    30万    </w:t>
            </w:r>
            <w:r>
              <w:rPr>
                <w:rFonts w:hint="eastAsia" w:ascii="Times New Roman" w:hAnsi="Times New Roman" w:eastAsia="仿宋_GB2312" w:cs="仿宋"/>
                <w:color w:val="000000" w:themeColor="text1"/>
                <w:szCs w:val="21"/>
                <w:highlight w:val="none"/>
                <w14:textFill>
                  <w14:solidFill>
                    <w14:schemeClr w14:val="tx1"/>
                  </w14:solidFill>
                </w14:textFill>
              </w:rPr>
              <w:t>元/起。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lang w:val="en-US" w:eastAsia="zh-CN"/>
                <w14:textFill>
                  <w14:solidFill>
                    <w14:schemeClr w14:val="tx1"/>
                  </w14:solidFill>
                </w14:textFill>
              </w:rPr>
              <w:t>8</w:t>
            </w:r>
            <w:r>
              <w:rPr>
                <w:rFonts w:ascii="Times New Roman" w:hAnsi="Times New Roman" w:eastAsia="仿宋_GB2312" w:cs="仿宋"/>
                <w:color w:val="000000" w:themeColor="text1"/>
                <w:szCs w:val="21"/>
                <w:highlight w:val="none"/>
                <w14:textFill>
                  <w14:solidFill>
                    <w14:schemeClr w14:val="tx1"/>
                  </w14:solidFill>
                </w14:textFill>
              </w:rPr>
              <w:t>.4</w:t>
            </w:r>
          </w:p>
        </w:tc>
        <w:tc>
          <w:tcPr>
            <w:tcW w:w="3618" w:type="dxa"/>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发生特别重大事故的</w:t>
            </w:r>
          </w:p>
        </w:tc>
        <w:tc>
          <w:tcPr>
            <w:tcW w:w="4765" w:type="dxa"/>
            <w:gridSpan w:val="5"/>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应承担违约金人民币</w:t>
            </w:r>
            <w:r>
              <w:rPr>
                <w:rFonts w:hint="eastAsia" w:ascii="Times New Roman" w:hAnsi="Times New Roman" w:eastAsia="仿宋_GB2312" w:cs="仿宋"/>
                <w:color w:val="000000" w:themeColor="text1"/>
                <w:szCs w:val="21"/>
                <w:highlight w:val="none"/>
                <w:u w:val="single"/>
                <w:lang w:val="en-US" w:eastAsia="zh-CN"/>
                <w14:textFill>
                  <w14:solidFill>
                    <w14:schemeClr w14:val="tx1"/>
                  </w14:solidFill>
                </w14:textFill>
              </w:rPr>
              <w:t xml:space="preserve">    50万     </w:t>
            </w:r>
            <w:r>
              <w:rPr>
                <w:rFonts w:hint="eastAsia" w:ascii="Times New Roman" w:hAnsi="Times New Roman" w:eastAsia="仿宋_GB2312" w:cs="仿宋"/>
                <w:color w:val="000000" w:themeColor="text1"/>
                <w:szCs w:val="21"/>
                <w:highlight w:val="none"/>
                <w14:textFill>
                  <w14:solidFill>
                    <w14:schemeClr w14:val="tx1"/>
                  </w14:solidFill>
                </w14:textFill>
              </w:rPr>
              <w:t>元/起。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p>
        </w:tc>
        <w:tc>
          <w:tcPr>
            <w:tcW w:w="8383" w:type="dxa"/>
            <w:gridSpan w:val="6"/>
            <w:noWrap w:val="0"/>
            <w:vAlign w:val="center"/>
          </w:tcPr>
          <w:p>
            <w:pPr>
              <w:spacing w:after="120" w:line="300" w:lineRule="exact"/>
              <w:rPr>
                <w:rFonts w:ascii="Times New Roman" w:hAnsi="Times New Roman" w:eastAsia="仿宋_GB2312" w:cs="仿宋"/>
                <w:b/>
                <w:bCs/>
                <w:color w:val="000000" w:themeColor="text1"/>
                <w:szCs w:val="21"/>
                <w:highlight w:val="none"/>
                <w14:textFill>
                  <w14:solidFill>
                    <w14:schemeClr w14:val="tx1"/>
                  </w14:solidFill>
                </w14:textFill>
              </w:rPr>
            </w:pPr>
            <w:r>
              <w:rPr>
                <w:rFonts w:hint="eastAsia" w:ascii="Times New Roman" w:hAnsi="Times New Roman" w:eastAsia="仿宋_GB2312" w:cs="仿宋"/>
                <w:b/>
                <w:bCs/>
                <w:color w:val="000000" w:themeColor="text1"/>
                <w:szCs w:val="21"/>
                <w:highlight w:val="none"/>
                <w14:textFill>
                  <w14:solidFill>
                    <w14:schemeClr w14:val="tx1"/>
                  </w14:solidFill>
                </w14:textFill>
              </w:rPr>
              <w:t>注：</w:t>
            </w:r>
          </w:p>
          <w:p>
            <w:pPr>
              <w:numPr>
                <w:ilvl w:val="0"/>
                <w:numId w:val="15"/>
              </w:numPr>
              <w:spacing w:after="156" w:line="300" w:lineRule="exact"/>
              <w:ind w:firstLine="420"/>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特别重大事故，是指造成30人以上死亡，或者100人以上重伤（</w:t>
            </w:r>
            <w:r>
              <w:rPr>
                <w:rFonts w:hint="eastAsia" w:ascii="Times New Roman" w:hAnsi="Times New Roman" w:eastAsia="仿宋_GB2312" w:cs="仿宋"/>
                <w:color w:val="000000" w:themeColor="text1"/>
                <w:szCs w:val="21"/>
                <w:highlight w:val="none"/>
                <w:lang w:eastAsia="zh-CN"/>
                <w14:textFill>
                  <w14:solidFill>
                    <w14:schemeClr w14:val="tx1"/>
                  </w14:solidFill>
                </w14:textFill>
              </w:rPr>
              <w:t>安全事故中的“重伤”</w:t>
            </w:r>
            <w:r>
              <w:rPr>
                <w:rFonts w:hint="eastAsia" w:ascii="Times New Roman" w:hAnsi="Times New Roman" w:eastAsia="仿宋_GB2312" w:cs="仿宋"/>
                <w:color w:val="000000" w:themeColor="text1"/>
                <w:szCs w:val="21"/>
                <w:highlight w:val="none"/>
                <w14:textFill>
                  <w14:solidFill>
                    <w14:schemeClr w14:val="tx1"/>
                  </w14:solidFill>
                </w14:textFill>
              </w:rPr>
              <w:t>包括急性工业中毒，下同），或者1亿元以上直接经济损失的事故；</w:t>
            </w:r>
          </w:p>
          <w:p>
            <w:pPr>
              <w:numPr>
                <w:ilvl w:val="0"/>
                <w:numId w:val="15"/>
              </w:numPr>
              <w:spacing w:after="156" w:line="300" w:lineRule="exact"/>
              <w:ind w:firstLine="420"/>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重大事故，是指造成10人以上30人以下死亡，或者50人以上100人以下重伤，或者5000万元以上1亿元以下直接经济损失的事故；</w:t>
            </w:r>
          </w:p>
          <w:p>
            <w:pPr>
              <w:numPr>
                <w:ilvl w:val="0"/>
                <w:numId w:val="15"/>
              </w:numPr>
              <w:spacing w:after="156" w:line="300" w:lineRule="exact"/>
              <w:ind w:firstLine="420"/>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较大事故，是指造成3人以上10人以下死亡，或者10人以上50人以下重伤，或者1000万元以上5000万元以下直接经济损失的事故；</w:t>
            </w:r>
          </w:p>
          <w:p>
            <w:pPr>
              <w:numPr>
                <w:ilvl w:val="0"/>
                <w:numId w:val="15"/>
              </w:numPr>
              <w:spacing w:after="156" w:line="300" w:lineRule="exact"/>
              <w:ind w:firstLine="420"/>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一般事故，是指造成3人以下死亡，或者10人以下重伤，或者1000万元以下直接经济损失的事故。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60" w:lineRule="auto"/>
              <w:jc w:val="center"/>
              <w:rPr>
                <w:rFonts w:hint="eastAsia" w:ascii="Times New Roman" w:hAnsi="Times New Roman" w:eastAsia="仿宋_GB2312" w:cs="仿宋"/>
                <w:color w:val="000000" w:themeColor="text1"/>
                <w:szCs w:val="21"/>
                <w:highlight w:val="none"/>
                <w:lang w:eastAsia="zh-CN"/>
                <w14:textFill>
                  <w14:solidFill>
                    <w14:schemeClr w14:val="tx1"/>
                  </w14:solidFill>
                </w14:textFill>
              </w:rPr>
            </w:pPr>
            <w:r>
              <w:rPr>
                <w:rFonts w:hint="eastAsia" w:ascii="Times New Roman" w:hAnsi="Times New Roman" w:eastAsia="仿宋_GB2312" w:cs="仿宋"/>
                <w:b/>
                <w:bCs/>
                <w:color w:val="000000" w:themeColor="text1"/>
                <w:sz w:val="24"/>
                <w:highlight w:val="none"/>
                <w:lang w:val="en-US" w:eastAsia="zh-CN"/>
                <w14:textFill>
                  <w14:solidFill>
                    <w14:schemeClr w14:val="tx1"/>
                  </w14:solidFill>
                </w14:textFill>
              </w:rPr>
              <w:t>9</w:t>
            </w:r>
          </w:p>
        </w:tc>
        <w:tc>
          <w:tcPr>
            <w:tcW w:w="8383" w:type="dxa"/>
            <w:gridSpan w:val="6"/>
            <w:noWrap w:val="0"/>
            <w:vAlign w:val="center"/>
          </w:tcPr>
          <w:p>
            <w:pPr>
              <w:spacing w:line="360" w:lineRule="auto"/>
              <w:jc w:val="lef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仿宋" w:hAnsi="仿宋" w:eastAsia="仿宋" w:cs="仿宋"/>
                <w:sz w:val="21"/>
                <w:szCs w:val="21"/>
                <w:highlight w:val="none"/>
                <w:lang w:eastAsia="zh-CN"/>
              </w:rPr>
              <w:t>本合同其他违约情形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bCs/>
                <w:color w:val="000000" w:themeColor="text1"/>
                <w:szCs w:val="21"/>
                <w:highlight w:val="none"/>
                <w:lang w:val="en-US" w:eastAsia="zh-CN"/>
                <w14:textFill>
                  <w14:solidFill>
                    <w14:schemeClr w14:val="tx1"/>
                  </w14:solidFill>
                </w14:textFill>
              </w:rPr>
              <w:t>9</w:t>
            </w:r>
            <w:r>
              <w:rPr>
                <w:rFonts w:hint="eastAsia" w:ascii="Times New Roman" w:hAnsi="Times New Roman" w:eastAsia="仿宋_GB2312" w:cs="仿宋"/>
                <w:bCs/>
                <w:color w:val="000000" w:themeColor="text1"/>
                <w:szCs w:val="21"/>
                <w:highlight w:val="none"/>
                <w14:textFill>
                  <w14:solidFill>
                    <w14:schemeClr w14:val="tx1"/>
                  </w14:solidFill>
                </w14:textFill>
              </w:rPr>
              <w:t>.1</w:t>
            </w:r>
          </w:p>
        </w:tc>
        <w:tc>
          <w:tcPr>
            <w:tcW w:w="4191" w:type="dxa"/>
            <w:gridSpan w:val="2"/>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仿宋" w:hAnsi="仿宋" w:eastAsia="仿宋" w:cs="仿宋"/>
                <w:kern w:val="0"/>
                <w:szCs w:val="21"/>
                <w:highlight w:val="none"/>
                <w:lang w:val="en-US" w:eastAsia="zh-CN"/>
              </w:rPr>
              <w:t>监理人</w:t>
            </w:r>
            <w:r>
              <w:rPr>
                <w:rFonts w:hint="eastAsia" w:ascii="仿宋" w:hAnsi="仿宋" w:eastAsia="仿宋" w:cs="仿宋"/>
                <w:kern w:val="0"/>
                <w:szCs w:val="21"/>
                <w:highlight w:val="none"/>
                <w:lang w:eastAsia="zh-CN"/>
              </w:rPr>
              <w:t>存在其他违约情形的。</w:t>
            </w:r>
          </w:p>
        </w:tc>
        <w:tc>
          <w:tcPr>
            <w:tcW w:w="4192" w:type="dxa"/>
            <w:gridSpan w:val="4"/>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仿宋" w:hAnsi="仿宋" w:eastAsia="仿宋" w:cs="仿宋"/>
                <w:kern w:val="0"/>
                <w:szCs w:val="21"/>
                <w:highlight w:val="none"/>
              </w:rPr>
              <w:t>发包人有权要求</w:t>
            </w:r>
            <w:r>
              <w:rPr>
                <w:rFonts w:hint="eastAsia" w:ascii="仿宋" w:hAnsi="仿宋" w:eastAsia="仿宋" w:cs="仿宋"/>
                <w:kern w:val="0"/>
                <w:szCs w:val="21"/>
                <w:highlight w:val="none"/>
                <w:lang w:val="en-US" w:eastAsia="zh-CN"/>
              </w:rPr>
              <w:t>监理</w:t>
            </w:r>
            <w:r>
              <w:rPr>
                <w:rFonts w:hint="eastAsia" w:ascii="仿宋" w:hAnsi="仿宋" w:eastAsia="仿宋" w:cs="仿宋"/>
                <w:kern w:val="0"/>
                <w:szCs w:val="21"/>
                <w:highlight w:val="none"/>
              </w:rPr>
              <w:t>人限期整改，若逾期未完成整改的，按每次500-20000元向发包人支付违约金，同一问题累计被要求整改3次的，发包人有权解除合同并要求</w:t>
            </w:r>
            <w:r>
              <w:rPr>
                <w:rFonts w:hint="eastAsia" w:ascii="仿宋" w:hAnsi="仿宋" w:eastAsia="仿宋" w:cs="仿宋"/>
                <w:kern w:val="0"/>
                <w:szCs w:val="21"/>
                <w:highlight w:val="none"/>
                <w:lang w:val="en-US" w:eastAsia="zh-CN"/>
              </w:rPr>
              <w:t>监理</w:t>
            </w:r>
            <w:r>
              <w:rPr>
                <w:rFonts w:hint="eastAsia" w:ascii="仿宋" w:hAnsi="仿宋" w:eastAsia="仿宋" w:cs="仿宋"/>
                <w:kern w:val="0"/>
                <w:szCs w:val="21"/>
                <w:highlight w:val="none"/>
              </w:rPr>
              <w:t>人赔偿因此产生的一切损失（包括另行委托</w:t>
            </w:r>
            <w:r>
              <w:rPr>
                <w:rFonts w:hint="eastAsia" w:ascii="仿宋" w:hAnsi="仿宋" w:eastAsia="仿宋" w:cs="仿宋"/>
                <w:kern w:val="0"/>
                <w:szCs w:val="21"/>
                <w:highlight w:val="none"/>
                <w:lang w:eastAsia="zh-CN"/>
              </w:rPr>
              <w:t>相关方</w:t>
            </w:r>
            <w:r>
              <w:rPr>
                <w:rFonts w:hint="eastAsia" w:ascii="仿宋" w:hAnsi="仿宋" w:eastAsia="仿宋" w:cs="仿宋"/>
                <w:kern w:val="0"/>
                <w:szCs w:val="21"/>
                <w:highlight w:val="none"/>
              </w:rPr>
              <w:t>履行本合同未完成部分所产生的差价损失）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noWrap w:val="0"/>
            <w:vAlign w:val="center"/>
          </w:tcPr>
          <w:p>
            <w:pPr>
              <w:spacing w:line="300" w:lineRule="exact"/>
              <w:jc w:val="center"/>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bCs/>
                <w:color w:val="000000" w:themeColor="text1"/>
                <w:szCs w:val="21"/>
                <w:highlight w:val="none"/>
                <w:lang w:val="en-US" w:eastAsia="zh-CN"/>
                <w14:textFill>
                  <w14:solidFill>
                    <w14:schemeClr w14:val="tx1"/>
                  </w14:solidFill>
                </w14:textFill>
              </w:rPr>
              <w:t>9</w:t>
            </w:r>
            <w:r>
              <w:rPr>
                <w:rFonts w:hint="eastAsia" w:ascii="Times New Roman" w:hAnsi="Times New Roman" w:eastAsia="仿宋_GB2312" w:cs="仿宋"/>
                <w:bCs/>
                <w:color w:val="000000" w:themeColor="text1"/>
                <w:szCs w:val="21"/>
                <w:highlight w:val="none"/>
                <w14:textFill>
                  <w14:solidFill>
                    <w14:schemeClr w14:val="tx1"/>
                  </w14:solidFill>
                </w14:textFill>
              </w:rPr>
              <w:t>.2</w:t>
            </w:r>
          </w:p>
        </w:tc>
        <w:tc>
          <w:tcPr>
            <w:tcW w:w="8383" w:type="dxa"/>
            <w:gridSpan w:val="6"/>
            <w:noWrap w:val="0"/>
            <w:vAlign w:val="center"/>
          </w:tcPr>
          <w:p>
            <w:pPr>
              <w:spacing w:line="300" w:lineRule="exact"/>
              <w:rPr>
                <w:rFonts w:hint="eastAsia" w:ascii="Times New Roman" w:hAnsi="Times New Roman" w:eastAsia="仿宋_GB2312" w:cs="仿宋"/>
                <w:color w:val="000000" w:themeColor="text1"/>
                <w:szCs w:val="21"/>
                <w:highlight w:val="none"/>
                <w14:textFill>
                  <w14:solidFill>
                    <w14:schemeClr w14:val="tx1"/>
                  </w14:solidFill>
                </w14:textFill>
              </w:rPr>
            </w:pPr>
            <w:r>
              <w:rPr>
                <w:rFonts w:hint="eastAsia" w:ascii="仿宋" w:hAnsi="仿宋" w:eastAsia="仿宋" w:cs="仿宋"/>
                <w:kern w:val="0"/>
                <w:szCs w:val="21"/>
                <w:highlight w:val="none"/>
              </w:rPr>
              <w:t>因乙方原因导致本项目工程出现人员死亡，或出现较大事故以上级别的事故（含本数）的。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6" w:hRule="atLeast"/>
          <w:tblHeader/>
        </w:trPr>
        <w:tc>
          <w:tcPr>
            <w:tcW w:w="9071" w:type="dxa"/>
            <w:gridSpan w:val="7"/>
            <w:noWrap w:val="0"/>
            <w:vAlign w:val="center"/>
          </w:tcPr>
          <w:p>
            <w:pPr>
              <w:spacing w:line="300" w:lineRule="exact"/>
              <w:rPr>
                <w:rFonts w:hint="eastAsia" w:ascii="Times New Roman" w:hAnsi="Times New Roman" w:eastAsia="仿宋_GB2312" w:cs="仿宋"/>
                <w:b/>
                <w:color w:val="000000" w:themeColor="text1"/>
                <w:szCs w:val="21"/>
                <w:highlight w:val="none"/>
                <w14:textFill>
                  <w14:solidFill>
                    <w14:schemeClr w14:val="tx1"/>
                  </w14:solidFill>
                </w14:textFill>
              </w:rPr>
            </w:pPr>
            <w:r>
              <w:rPr>
                <w:rFonts w:hint="eastAsia" w:ascii="Times New Roman" w:hAnsi="Times New Roman" w:eastAsia="仿宋_GB2312" w:cs="仿宋"/>
                <w:b/>
                <w:color w:val="000000" w:themeColor="text1"/>
                <w:szCs w:val="21"/>
                <w:highlight w:val="none"/>
                <w14:textFill>
                  <w14:solidFill>
                    <w14:schemeClr w14:val="tx1"/>
                  </w14:solidFill>
                </w14:textFill>
              </w:rPr>
              <w:t>注:</w:t>
            </w:r>
          </w:p>
          <w:p>
            <w:pPr>
              <w:widowControl w:val="0"/>
              <w:tabs>
                <w:tab w:val="left" w:pos="847"/>
              </w:tabs>
              <w:adjustRightInd/>
              <w:snapToGrid/>
              <w:spacing w:after="156" w:afterLines="0" w:line="240" w:lineRule="auto"/>
              <w:ind w:firstLine="504"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注：</w:t>
            </w:r>
          </w:p>
          <w:p>
            <w:pPr>
              <w:widowControl w:val="0"/>
              <w:tabs>
                <w:tab w:val="left" w:pos="847"/>
              </w:tabs>
              <w:adjustRightInd/>
              <w:snapToGrid/>
              <w:spacing w:after="156" w:afterLines="0" w:line="240" w:lineRule="auto"/>
              <w:ind w:firstLine="504"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1</w:t>
            </w:r>
            <w:r>
              <w:rPr>
                <w:rFonts w:ascii="仿宋" w:hAnsi="仿宋" w:eastAsia="仿宋" w:cs="仿宋"/>
                <w:sz w:val="21"/>
                <w:szCs w:val="21"/>
                <w:highlight w:val="none"/>
              </w:rPr>
              <w:t>.</w:t>
            </w:r>
            <w:r>
              <w:rPr>
                <w:rFonts w:hint="eastAsia" w:ascii="仿宋" w:hAnsi="仿宋" w:eastAsia="仿宋" w:cs="仿宋"/>
                <w:sz w:val="21"/>
                <w:szCs w:val="21"/>
                <w:highlight w:val="none"/>
              </w:rPr>
              <w:t>违约处罚按</w:t>
            </w:r>
            <w:r>
              <w:rPr>
                <w:rFonts w:hint="eastAsia" w:ascii="仿宋" w:hAnsi="仿宋" w:eastAsia="仿宋" w:cs="仿宋"/>
                <w:sz w:val="21"/>
                <w:szCs w:val="21"/>
                <w:highlight w:val="none"/>
                <w:lang w:eastAsia="zh-CN"/>
              </w:rPr>
              <w:t>本合同及</w:t>
            </w:r>
            <w:r>
              <w:rPr>
                <w:rFonts w:hint="eastAsia" w:ascii="仿宋" w:hAnsi="仿宋" w:eastAsia="仿宋" w:cs="仿宋"/>
                <w:sz w:val="21"/>
                <w:szCs w:val="21"/>
                <w:highlight w:val="none"/>
                <w:lang w:val="en-US" w:eastAsia="zh-CN"/>
              </w:rPr>
              <w:t>发包人相关管理制度</w:t>
            </w:r>
            <w:r>
              <w:rPr>
                <w:rFonts w:hint="eastAsia" w:ascii="仿宋" w:hAnsi="仿宋" w:eastAsia="仿宋" w:cs="仿宋"/>
                <w:sz w:val="21"/>
                <w:szCs w:val="21"/>
                <w:highlight w:val="none"/>
              </w:rPr>
              <w:t>执行</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如</w:t>
            </w:r>
            <w:r>
              <w:rPr>
                <w:rFonts w:hint="eastAsia" w:ascii="仿宋" w:hAnsi="仿宋" w:eastAsia="仿宋" w:cs="仿宋"/>
                <w:sz w:val="21"/>
                <w:szCs w:val="21"/>
                <w:highlight w:val="none"/>
                <w:lang w:eastAsia="zh-CN"/>
              </w:rPr>
              <w:t>发包人制度</w:t>
            </w:r>
            <w:r>
              <w:rPr>
                <w:rFonts w:hint="eastAsia" w:ascii="仿宋" w:hAnsi="仿宋" w:eastAsia="仿宋" w:cs="仿宋"/>
                <w:sz w:val="21"/>
                <w:szCs w:val="21"/>
                <w:highlight w:val="none"/>
              </w:rPr>
              <w:t>有更新，按发包人的最新制度执行。发包人根据</w:t>
            </w:r>
            <w:r>
              <w:rPr>
                <w:rFonts w:hint="eastAsia" w:ascii="仿宋" w:hAnsi="仿宋" w:eastAsia="仿宋" w:cs="仿宋"/>
                <w:sz w:val="21"/>
                <w:szCs w:val="21"/>
                <w:highlight w:val="none"/>
                <w:lang w:val="en-US" w:eastAsia="zh-CN"/>
              </w:rPr>
              <w:t>监理</w:t>
            </w:r>
            <w:r>
              <w:rPr>
                <w:rFonts w:hint="eastAsia" w:ascii="仿宋" w:hAnsi="仿宋" w:eastAsia="仿宋" w:cs="仿宋"/>
                <w:sz w:val="21"/>
                <w:szCs w:val="21"/>
                <w:highlight w:val="none"/>
              </w:rPr>
              <w:t>人的违约情形发出《违约处理通知书》，《违约处理通知书》一经送达</w:t>
            </w:r>
            <w:r>
              <w:rPr>
                <w:rFonts w:hint="eastAsia" w:ascii="仿宋" w:hAnsi="仿宋" w:eastAsia="仿宋" w:cs="仿宋"/>
                <w:sz w:val="21"/>
                <w:szCs w:val="21"/>
                <w:highlight w:val="none"/>
                <w:lang w:val="en-US" w:eastAsia="zh-CN"/>
              </w:rPr>
              <w:t>监理</w:t>
            </w:r>
            <w:r>
              <w:rPr>
                <w:rFonts w:hint="eastAsia" w:ascii="仿宋" w:hAnsi="仿宋" w:eastAsia="仿宋" w:cs="仿宋"/>
                <w:sz w:val="21"/>
                <w:szCs w:val="21"/>
                <w:highlight w:val="none"/>
              </w:rPr>
              <w:t>人立即生效。</w:t>
            </w:r>
            <w:r>
              <w:rPr>
                <w:rFonts w:hint="eastAsia" w:ascii="仿宋" w:hAnsi="仿宋" w:eastAsia="仿宋" w:cs="仿宋"/>
                <w:sz w:val="21"/>
                <w:szCs w:val="21"/>
                <w:highlight w:val="none"/>
                <w:lang w:val="en-US" w:eastAsia="zh-CN"/>
              </w:rPr>
              <w:t>监理</w:t>
            </w:r>
            <w:r>
              <w:rPr>
                <w:rFonts w:hint="eastAsia" w:ascii="仿宋" w:hAnsi="仿宋" w:eastAsia="仿宋" w:cs="仿宋"/>
                <w:sz w:val="21"/>
                <w:szCs w:val="21"/>
                <w:highlight w:val="none"/>
              </w:rPr>
              <w:t>人如有足够证据证明不应由其承担违约责任的，应在收到《违约处理通知书》后7天内以书面形式向发包人提出异议并附上有关证据；发包人在收到</w:t>
            </w:r>
            <w:r>
              <w:rPr>
                <w:rFonts w:hint="eastAsia" w:ascii="仿宋" w:hAnsi="仿宋" w:eastAsia="仿宋" w:cs="仿宋"/>
                <w:sz w:val="21"/>
                <w:szCs w:val="21"/>
                <w:highlight w:val="none"/>
                <w:lang w:val="en-US" w:eastAsia="zh-CN"/>
              </w:rPr>
              <w:t>监理</w:t>
            </w:r>
            <w:r>
              <w:rPr>
                <w:rFonts w:hint="eastAsia" w:ascii="仿宋" w:hAnsi="仿宋" w:eastAsia="仿宋" w:cs="仿宋"/>
                <w:sz w:val="21"/>
                <w:szCs w:val="21"/>
                <w:highlight w:val="none"/>
              </w:rPr>
              <w:t>人的异议后30天内审核完毕并以书面形式将复核结果通知</w:t>
            </w:r>
            <w:r>
              <w:rPr>
                <w:rFonts w:hint="eastAsia" w:ascii="仿宋" w:hAnsi="仿宋" w:eastAsia="仿宋" w:cs="仿宋"/>
                <w:sz w:val="21"/>
                <w:szCs w:val="21"/>
                <w:highlight w:val="none"/>
                <w:lang w:val="en-US" w:eastAsia="zh-CN"/>
              </w:rPr>
              <w:t>监理</w:t>
            </w:r>
            <w:r>
              <w:rPr>
                <w:rFonts w:hint="eastAsia" w:ascii="仿宋" w:hAnsi="仿宋" w:eastAsia="仿宋" w:cs="仿宋"/>
                <w:sz w:val="21"/>
                <w:szCs w:val="21"/>
                <w:highlight w:val="none"/>
              </w:rPr>
              <w:t>人。</w:t>
            </w:r>
            <w:r>
              <w:rPr>
                <w:rFonts w:hint="eastAsia" w:ascii="仿宋" w:hAnsi="仿宋" w:eastAsia="仿宋" w:cs="仿宋"/>
                <w:sz w:val="21"/>
                <w:szCs w:val="21"/>
                <w:highlight w:val="none"/>
                <w:lang w:val="en-US" w:eastAsia="zh-CN"/>
              </w:rPr>
              <w:t>监理</w:t>
            </w:r>
            <w:r>
              <w:rPr>
                <w:rFonts w:hint="eastAsia" w:ascii="仿宋" w:hAnsi="仿宋" w:eastAsia="仿宋" w:cs="仿宋"/>
                <w:sz w:val="21"/>
                <w:szCs w:val="21"/>
                <w:highlight w:val="none"/>
              </w:rPr>
              <w:t>人若未按前述内容提出异议的，视为认可发包人的违约处理。</w:t>
            </w:r>
          </w:p>
          <w:p>
            <w:pPr>
              <w:widowControl w:val="0"/>
              <w:tabs>
                <w:tab w:val="left" w:pos="847"/>
              </w:tabs>
              <w:adjustRightInd/>
              <w:snapToGrid/>
              <w:spacing w:after="156" w:afterLines="0" w:line="240" w:lineRule="auto"/>
              <w:ind w:firstLine="504" w:firstLineChars="0"/>
              <w:jc w:val="left"/>
              <w:rPr>
                <w:rFonts w:ascii="仿宋" w:hAnsi="仿宋" w:eastAsia="仿宋" w:cs="仿宋"/>
                <w:sz w:val="21"/>
                <w:szCs w:val="21"/>
                <w:highlight w:val="none"/>
              </w:rPr>
            </w:pPr>
            <w:r>
              <w:rPr>
                <w:rFonts w:ascii="仿宋" w:hAnsi="仿宋" w:eastAsia="仿宋" w:cs="仿宋"/>
                <w:sz w:val="21"/>
                <w:szCs w:val="21"/>
                <w:highlight w:val="none"/>
              </w:rPr>
              <w:t>2.</w:t>
            </w:r>
            <w:r>
              <w:rPr>
                <w:rFonts w:hint="eastAsia" w:ascii="仿宋" w:hAnsi="仿宋" w:eastAsia="仿宋" w:cs="仿宋"/>
                <w:sz w:val="21"/>
                <w:szCs w:val="21"/>
                <w:highlight w:val="none"/>
                <w:lang w:val="en-US" w:eastAsia="zh-CN"/>
              </w:rPr>
              <w:t>监理</w:t>
            </w:r>
            <w:r>
              <w:rPr>
                <w:rFonts w:hint="eastAsia" w:ascii="仿宋" w:hAnsi="仿宋" w:eastAsia="仿宋" w:cs="仿宋"/>
                <w:sz w:val="21"/>
                <w:szCs w:val="21"/>
                <w:highlight w:val="none"/>
              </w:rPr>
              <w:t>人应在收到《违约处理通知书》或复核结果后15个工作日内以支票、银行转账等方式向发包人缴纳违约金、赔偿金；逾期缴纳的，发包人有权暂停支付合同价款，或在应付工程款或履约保证金予以扣除。</w:t>
            </w:r>
          </w:p>
          <w:p>
            <w:pPr>
              <w:widowControl w:val="0"/>
              <w:tabs>
                <w:tab w:val="left" w:pos="847"/>
              </w:tabs>
              <w:adjustRightInd/>
              <w:snapToGrid/>
              <w:spacing w:after="156" w:afterLines="0" w:line="240" w:lineRule="auto"/>
              <w:ind w:firstLine="504" w:firstLineChars="0"/>
              <w:jc w:val="left"/>
              <w:rPr>
                <w:rFonts w:hint="eastAsia" w:ascii="仿宋" w:hAnsi="仿宋" w:eastAsia="仿宋" w:cs="仿宋"/>
                <w:sz w:val="21"/>
                <w:szCs w:val="21"/>
                <w:highlight w:val="none"/>
              </w:rPr>
            </w:pPr>
            <w:r>
              <w:rPr>
                <w:rFonts w:ascii="仿宋" w:hAnsi="仿宋" w:eastAsia="仿宋" w:cs="仿宋"/>
                <w:sz w:val="21"/>
                <w:szCs w:val="21"/>
                <w:highlight w:val="none"/>
              </w:rPr>
              <w:t>3.</w:t>
            </w:r>
            <w:r>
              <w:rPr>
                <w:rFonts w:hint="eastAsia" w:ascii="仿宋" w:hAnsi="仿宋" w:eastAsia="仿宋" w:cs="仿宋"/>
                <w:sz w:val="21"/>
                <w:szCs w:val="21"/>
                <w:highlight w:val="none"/>
                <w:lang w:val="en-US" w:eastAsia="zh-CN"/>
              </w:rPr>
              <w:t>若违约金不足以弥补因监理人违约给发包人造成的损失的，发包人有权要求监理人进一步赔偿损失（包括直接经济损失和包人</w:t>
            </w:r>
            <w:r>
              <w:rPr>
                <w:rFonts w:hint="eastAsia" w:ascii="仿宋" w:hAnsi="仿宋" w:eastAsia="仿宋" w:cs="仿宋"/>
                <w:sz w:val="21"/>
                <w:szCs w:val="21"/>
                <w:highlight w:val="none"/>
              </w:rPr>
              <w:t>因此产生的律师费、诉讼费、财产保全费、担保费、保险费、鉴定费、评估费、差旅费等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最高不超过监理酬金总额</w:t>
            </w:r>
            <w:r>
              <w:rPr>
                <w:rFonts w:hint="eastAsia" w:ascii="仿宋" w:hAnsi="仿宋" w:eastAsia="仿宋" w:cs="仿宋"/>
                <w:sz w:val="21"/>
                <w:szCs w:val="21"/>
                <w:highlight w:val="none"/>
              </w:rPr>
              <w:t>。</w:t>
            </w:r>
          </w:p>
          <w:p>
            <w:pPr>
              <w:widowControl w:val="0"/>
              <w:tabs>
                <w:tab w:val="left" w:pos="847"/>
              </w:tabs>
              <w:adjustRightInd/>
              <w:snapToGrid/>
              <w:spacing w:after="156" w:afterLines="0" w:line="240" w:lineRule="auto"/>
              <w:ind w:firstLine="504"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4.表中所涉的违约责任，不免除</w:t>
            </w:r>
            <w:r>
              <w:rPr>
                <w:rFonts w:hint="eastAsia" w:ascii="仿宋" w:hAnsi="仿宋" w:eastAsia="仿宋" w:cs="仿宋"/>
                <w:sz w:val="21"/>
                <w:szCs w:val="21"/>
                <w:highlight w:val="none"/>
                <w:lang w:val="en-US" w:eastAsia="zh-CN"/>
              </w:rPr>
              <w:t>监理</w:t>
            </w:r>
            <w:r>
              <w:rPr>
                <w:rFonts w:hint="eastAsia" w:ascii="仿宋" w:hAnsi="仿宋" w:eastAsia="仿宋" w:cs="仿宋"/>
                <w:sz w:val="21"/>
                <w:szCs w:val="21"/>
                <w:highlight w:val="none"/>
              </w:rPr>
              <w:t>人应按发包人要求限期整改之义务。</w:t>
            </w:r>
          </w:p>
          <w:p>
            <w:pPr>
              <w:widowControl w:val="0"/>
              <w:tabs>
                <w:tab w:val="left" w:pos="847"/>
              </w:tabs>
              <w:adjustRightInd/>
              <w:snapToGrid/>
              <w:spacing w:after="156" w:afterLines="0" w:line="240" w:lineRule="auto"/>
              <w:ind w:firstLine="504"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5.监理人若被通报批评累计达三次以上的，</w:t>
            </w:r>
            <w:r>
              <w:rPr>
                <w:rFonts w:hint="eastAsia" w:ascii="仿宋" w:hAnsi="仿宋" w:eastAsia="仿宋" w:cs="仿宋"/>
                <w:sz w:val="21"/>
                <w:szCs w:val="21"/>
                <w:highlight w:val="none"/>
                <w:lang w:eastAsia="zh-CN"/>
              </w:rPr>
              <w:t>发包人</w:t>
            </w:r>
            <w:r>
              <w:rPr>
                <w:rFonts w:hint="eastAsia" w:ascii="仿宋" w:hAnsi="仿宋" w:eastAsia="仿宋" w:cs="仿宋"/>
                <w:sz w:val="21"/>
                <w:szCs w:val="21"/>
                <w:highlight w:val="none"/>
              </w:rPr>
              <w:t>有权将监理人的履约行为上报行政主管部门，且监理人在一年内不得参与</w:t>
            </w:r>
            <w:r>
              <w:rPr>
                <w:rFonts w:hint="eastAsia" w:ascii="仿宋" w:hAnsi="仿宋" w:eastAsia="仿宋" w:cs="仿宋"/>
                <w:sz w:val="21"/>
                <w:szCs w:val="21"/>
                <w:highlight w:val="none"/>
                <w:lang w:eastAsia="zh-CN"/>
              </w:rPr>
              <w:t>发包人</w:t>
            </w:r>
            <w:r>
              <w:rPr>
                <w:rFonts w:hint="eastAsia" w:ascii="仿宋" w:hAnsi="仿宋" w:eastAsia="仿宋" w:cs="仿宋"/>
                <w:sz w:val="21"/>
                <w:szCs w:val="21"/>
                <w:highlight w:val="none"/>
              </w:rPr>
              <w:t>项目的投标。拒绝投标时限，自</w:t>
            </w:r>
            <w:r>
              <w:rPr>
                <w:rFonts w:hint="eastAsia" w:ascii="仿宋" w:hAnsi="仿宋" w:eastAsia="仿宋" w:cs="仿宋"/>
                <w:sz w:val="21"/>
                <w:szCs w:val="21"/>
                <w:highlight w:val="none"/>
                <w:lang w:eastAsia="zh-CN"/>
              </w:rPr>
              <w:t>发包人</w:t>
            </w:r>
            <w:r>
              <w:rPr>
                <w:rFonts w:hint="eastAsia" w:ascii="仿宋" w:hAnsi="仿宋" w:eastAsia="仿宋" w:cs="仿宋"/>
                <w:sz w:val="21"/>
                <w:szCs w:val="21"/>
                <w:highlight w:val="none"/>
              </w:rPr>
              <w:t>发出通知之日起计</w:t>
            </w:r>
            <w:r>
              <w:rPr>
                <w:rFonts w:hint="eastAsia" w:ascii="仿宋" w:hAnsi="仿宋" w:eastAsia="仿宋" w:cs="仿宋"/>
                <w:sz w:val="21"/>
                <w:szCs w:val="21"/>
                <w:highlight w:val="none"/>
                <w:lang w:eastAsia="zh-CN"/>
              </w:rPr>
              <w:t>。</w:t>
            </w:r>
          </w:p>
          <w:p>
            <w:pPr>
              <w:widowControl w:val="0"/>
              <w:tabs>
                <w:tab w:val="left" w:pos="847"/>
              </w:tabs>
              <w:adjustRightInd/>
              <w:snapToGrid/>
              <w:spacing w:after="156" w:afterLines="0" w:line="240" w:lineRule="auto"/>
              <w:ind w:firstLine="504"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w:t>
            </w:r>
            <w:r>
              <w:rPr>
                <w:rFonts w:hint="eastAsia" w:ascii="仿宋" w:hAnsi="仿宋" w:eastAsia="仿宋" w:cs="仿宋"/>
                <w:sz w:val="21"/>
                <w:szCs w:val="21"/>
                <w:highlight w:val="none"/>
                <w:lang w:eastAsia="zh-CN"/>
              </w:rPr>
              <w:t>表中</w:t>
            </w:r>
            <w:r>
              <w:rPr>
                <w:rFonts w:hint="eastAsia" w:ascii="仿宋" w:hAnsi="仿宋" w:eastAsia="仿宋" w:cs="仿宋"/>
                <w:sz w:val="21"/>
                <w:szCs w:val="21"/>
                <w:highlight w:val="none"/>
              </w:rPr>
              <w:t>所称的“以上”包括本数，“以下”不包括本数。</w:t>
            </w:r>
          </w:p>
          <w:p>
            <w:pPr>
              <w:pStyle w:val="23"/>
              <w:numPr>
                <w:ilvl w:val="0"/>
                <w:numId w:val="0"/>
              </w:numPr>
              <w:rPr>
                <w:rFonts w:hint="default" w:eastAsia="仿宋_GB2312"/>
                <w:highlight w:val="none"/>
                <w:lang w:val="en-US" w:eastAsia="zh-CN"/>
              </w:rPr>
            </w:pPr>
          </w:p>
        </w:tc>
      </w:tr>
    </w:tbl>
    <w:p>
      <w:pPr>
        <w:pStyle w:val="3"/>
        <w:rPr>
          <w:rFonts w:hint="eastAsia" w:ascii="Times New Roman" w:hAnsi="Times New Roman" w:eastAsia="仿宋" w:cs="仿宋"/>
          <w:color w:val="000000" w:themeColor="text1"/>
          <w:highlight w:val="none"/>
          <w14:textFill>
            <w14:solidFill>
              <w14:schemeClr w14:val="tx1"/>
            </w14:solidFill>
          </w14:textFill>
        </w:rPr>
      </w:pPr>
    </w:p>
    <w:p>
      <w:pPr>
        <w:pStyle w:val="3"/>
        <w:rPr>
          <w:rFonts w:hint="eastAsia" w:ascii="Times New Roman" w:hAnsi="Times New Roman" w:eastAsia="仿宋" w:cs="仿宋"/>
          <w:color w:val="000000" w:themeColor="text1"/>
          <w:highlight w:val="none"/>
          <w14:textFill>
            <w14:solidFill>
              <w14:schemeClr w14:val="tx1"/>
            </w14:solidFill>
          </w14:textFill>
        </w:rPr>
      </w:pPr>
    </w:p>
    <w:p>
      <w:pPr>
        <w:pStyle w:val="3"/>
        <w:rPr>
          <w:rFonts w:hint="eastAsia" w:ascii="Times New Roman" w:hAnsi="Times New Roman" w:eastAsia="仿宋" w:cs="仿宋"/>
          <w:color w:val="000000" w:themeColor="text1"/>
          <w:highlight w:val="none"/>
          <w14:textFill>
            <w14:solidFill>
              <w14:schemeClr w14:val="tx1"/>
            </w14:solidFill>
          </w14:textFill>
        </w:rPr>
      </w:pPr>
    </w:p>
    <w:p>
      <w:pPr>
        <w:pStyle w:val="3"/>
        <w:rPr>
          <w:rFonts w:hint="eastAsia" w:ascii="Times New Roman" w:hAnsi="Times New Roman" w:eastAsia="仿宋" w:cs="仿宋"/>
          <w:color w:val="000000" w:themeColor="text1"/>
          <w:highlight w:val="none"/>
          <w14:textFill>
            <w14:solidFill>
              <w14:schemeClr w14:val="tx1"/>
            </w14:solidFill>
          </w14:textFill>
        </w:rPr>
      </w:pPr>
    </w:p>
    <w:p>
      <w:pPr>
        <w:pStyle w:val="3"/>
        <w:rPr>
          <w:rFonts w:hint="eastAsia" w:ascii="Times New Roman" w:hAnsi="Times New Roman" w:eastAsia="仿宋" w:cs="仿宋"/>
          <w:color w:val="000000" w:themeColor="text1"/>
          <w:highlight w:val="none"/>
          <w14:textFill>
            <w14:solidFill>
              <w14:schemeClr w14:val="tx1"/>
            </w14:solidFill>
          </w14:textFill>
        </w:rPr>
      </w:pPr>
    </w:p>
    <w:p>
      <w:pPr>
        <w:pStyle w:val="3"/>
        <w:rPr>
          <w:rFonts w:hint="eastAsia" w:ascii="Times New Roman" w:hAnsi="Times New Roman" w:eastAsia="仿宋" w:cs="仿宋"/>
          <w:color w:val="000000" w:themeColor="text1"/>
          <w:highlight w:val="none"/>
          <w14:textFill>
            <w14:solidFill>
              <w14:schemeClr w14:val="tx1"/>
            </w14:solidFill>
          </w14:textFill>
        </w:rPr>
      </w:pPr>
    </w:p>
    <w:p>
      <w:pPr>
        <w:pStyle w:val="3"/>
        <w:rPr>
          <w:rFonts w:hint="eastAsia" w:ascii="Times New Roman" w:hAnsi="Times New Roman" w:eastAsia="仿宋" w:cs="仿宋"/>
          <w:color w:val="000000" w:themeColor="text1"/>
          <w:highlight w:val="none"/>
          <w14:textFill>
            <w14:solidFill>
              <w14:schemeClr w14:val="tx1"/>
            </w14:solidFill>
          </w14:textFill>
        </w:rPr>
      </w:pPr>
    </w:p>
    <w:p>
      <w:pPr>
        <w:pStyle w:val="3"/>
        <w:rPr>
          <w:rFonts w:hint="eastAsia" w:ascii="Times New Roman" w:hAnsi="Times New Roman" w:eastAsia="仿宋" w:cs="仿宋"/>
          <w:color w:val="000000" w:themeColor="text1"/>
          <w:highlight w:val="none"/>
          <w14:textFill>
            <w14:solidFill>
              <w14:schemeClr w14:val="tx1"/>
            </w14:solidFill>
          </w14:textFill>
        </w:rPr>
      </w:pPr>
    </w:p>
    <w:p>
      <w:pPr>
        <w:rPr>
          <w:rFonts w:hint="eastAsia" w:ascii="Times New Roman" w:hAnsi="Times New Roman" w:eastAsia="仿宋" w:cs="仿宋"/>
          <w:color w:val="000000" w:themeColor="text1"/>
          <w:highlight w:val="none"/>
          <w14:textFill>
            <w14:solidFill>
              <w14:schemeClr w14:val="tx1"/>
            </w14:solidFill>
          </w14:textFill>
        </w:rPr>
      </w:pPr>
      <w:r>
        <w:rPr>
          <w:rFonts w:hint="eastAsia" w:ascii="Times New Roman" w:hAnsi="Times New Roman" w:eastAsia="仿宋" w:cs="仿宋"/>
          <w:color w:val="000000" w:themeColor="text1"/>
          <w:highlight w:val="none"/>
          <w14:textFill>
            <w14:solidFill>
              <w14:schemeClr w14:val="tx1"/>
            </w14:solidFill>
          </w14:textFill>
        </w:rPr>
        <w:br w:type="page"/>
      </w:r>
    </w:p>
    <w:p>
      <w:pPr>
        <w:widowControl/>
        <w:spacing w:line="360" w:lineRule="auto"/>
        <w:jc w:val="left"/>
        <w:outlineLvl w:val="1"/>
        <w:rPr>
          <w:rFonts w:hint="eastAsia" w:ascii="Times New Roman" w:hAnsi="Times New Roman" w:eastAsia="仿宋" w:cs="仿宋"/>
          <w:b/>
          <w:bCs/>
          <w:color w:val="000000" w:themeColor="text1"/>
          <w:sz w:val="28"/>
          <w:szCs w:val="28"/>
          <w:highlight w:val="none"/>
          <w14:textFill>
            <w14:solidFill>
              <w14:schemeClr w14:val="tx1"/>
            </w14:solidFill>
          </w14:textFill>
        </w:rPr>
      </w:pPr>
      <w:bookmarkStart w:id="307" w:name="_Toc139531266"/>
      <w:bookmarkStart w:id="308" w:name="_Toc1006152080"/>
      <w:bookmarkStart w:id="309" w:name="_Toc1675384795"/>
      <w:r>
        <w:rPr>
          <w:rFonts w:hint="eastAsia" w:ascii="黑体" w:hAnsi="黑体" w:eastAsia="黑体" w:cs="黑体"/>
          <w:b/>
          <w:bCs/>
          <w:color w:val="000000" w:themeColor="text1"/>
          <w:sz w:val="28"/>
          <w:szCs w:val="28"/>
          <w:highlight w:val="none"/>
          <w14:textFill>
            <w14:solidFill>
              <w14:schemeClr w14:val="tx1"/>
            </w14:solidFill>
          </w14:textFill>
        </w:rPr>
        <w:t>附件</w:t>
      </w: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4</w:t>
      </w:r>
      <w:bookmarkEnd w:id="307"/>
      <w:bookmarkEnd w:id="308"/>
      <w:bookmarkEnd w:id="309"/>
    </w:p>
    <w:p>
      <w:pPr>
        <w:ind w:firstLine="0" w:firstLineChars="0"/>
        <w:jc w:val="center"/>
        <w:rPr>
          <w:rFonts w:hint="eastAsia" w:ascii="仿宋" w:hAnsi="仿宋" w:eastAsia="仿宋" w:cs="仿宋"/>
          <w:b/>
          <w:bCs/>
          <w:kern w:val="2"/>
          <w:sz w:val="44"/>
          <w:szCs w:val="44"/>
          <w:highlight w:val="none"/>
          <w:lang w:val="en-US" w:eastAsia="zh-CN"/>
        </w:rPr>
      </w:pPr>
      <w:r>
        <w:rPr>
          <w:rFonts w:hint="eastAsia" w:ascii="仿宋" w:hAnsi="仿宋" w:eastAsia="仿宋" w:cs="仿宋"/>
          <w:b/>
          <w:bCs/>
          <w:kern w:val="2"/>
          <w:sz w:val="44"/>
          <w:szCs w:val="44"/>
          <w:highlight w:val="none"/>
          <w:lang w:val="en-US" w:eastAsia="zh-CN"/>
        </w:rPr>
        <w:t>安全责任书</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为在</w:t>
      </w:r>
      <w:r>
        <w:rPr>
          <w:rFonts w:hint="eastAsia" w:ascii="国标仿宋" w:hAnsi="国标仿宋" w:eastAsia="国标仿宋" w:cs="国标仿宋"/>
          <w:bCs/>
          <w:color w:val="000000" w:themeColor="text1"/>
          <w:sz w:val="22"/>
          <w:szCs w:val="22"/>
          <w:highlight w:val="none"/>
          <w:u w:val="single"/>
          <w14:textFill>
            <w14:solidFill>
              <w14:schemeClr w14:val="tx1"/>
            </w14:solidFill>
          </w14:textFill>
        </w:rPr>
        <w:t xml:space="preserve">                  </w:t>
      </w:r>
      <w:r>
        <w:rPr>
          <w:rFonts w:hint="eastAsia" w:ascii="国标仿宋" w:hAnsi="国标仿宋" w:eastAsia="国标仿宋" w:cs="国标仿宋"/>
          <w:bCs/>
          <w:color w:val="000000" w:themeColor="text1"/>
          <w:sz w:val="22"/>
          <w:szCs w:val="22"/>
          <w:highlight w:val="none"/>
          <w14:textFill>
            <w14:solidFill>
              <w14:schemeClr w14:val="tx1"/>
            </w14:solidFill>
          </w14:textFill>
        </w:rPr>
        <w:t>项目（以下简称“本项目”）实施过程中创造安全、高效的环境，切实落实项目安全管理工作，本项目</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发包</w:t>
      </w:r>
      <w:r>
        <w:rPr>
          <w:rFonts w:hint="eastAsia" w:ascii="国标仿宋" w:hAnsi="国标仿宋" w:eastAsia="国标仿宋" w:cs="国标仿宋"/>
          <w:bCs/>
          <w:color w:val="000000" w:themeColor="text1"/>
          <w:sz w:val="22"/>
          <w:szCs w:val="22"/>
          <w:highlight w:val="none"/>
          <w14:textFill>
            <w14:solidFill>
              <w14:schemeClr w14:val="tx1"/>
            </w14:solidFill>
          </w14:textFill>
        </w:rPr>
        <w:t>人</w:t>
      </w:r>
      <w:r>
        <w:rPr>
          <w:rFonts w:hint="eastAsia" w:ascii="国标仿宋" w:hAnsi="国标仿宋" w:eastAsia="国标仿宋" w:cs="国标仿宋"/>
          <w:bCs/>
          <w:color w:val="000000" w:themeColor="text1"/>
          <w:sz w:val="22"/>
          <w:szCs w:val="22"/>
          <w:highlight w:val="none"/>
          <w:u w:val="single"/>
          <w14:textFill>
            <w14:solidFill>
              <w14:schemeClr w14:val="tx1"/>
            </w14:solidFill>
          </w14:textFill>
        </w:rPr>
        <w:t xml:space="preserve">            </w:t>
      </w:r>
      <w:r>
        <w:rPr>
          <w:rFonts w:hint="eastAsia" w:ascii="国标仿宋" w:hAnsi="国标仿宋" w:eastAsia="国标仿宋" w:cs="国标仿宋"/>
          <w:bCs/>
          <w:color w:val="000000" w:themeColor="text1"/>
          <w:sz w:val="22"/>
          <w:szCs w:val="22"/>
          <w:highlight w:val="none"/>
          <w14:textFill>
            <w14:solidFill>
              <w14:schemeClr w14:val="tx1"/>
            </w14:solidFill>
          </w14:textFill>
        </w:rPr>
        <w:t>（以下简称“甲方”）与监理人</w:t>
      </w:r>
      <w:r>
        <w:rPr>
          <w:rFonts w:hint="eastAsia" w:ascii="国标仿宋" w:hAnsi="国标仿宋" w:eastAsia="国标仿宋" w:cs="国标仿宋"/>
          <w:bCs/>
          <w:color w:val="000000" w:themeColor="text1"/>
          <w:sz w:val="22"/>
          <w:szCs w:val="22"/>
          <w:highlight w:val="none"/>
          <w:u w:val="single"/>
          <w14:textFill>
            <w14:solidFill>
              <w14:schemeClr w14:val="tx1"/>
            </w14:solidFill>
          </w14:textFill>
        </w:rPr>
        <w:t xml:space="preserve">                   </w:t>
      </w:r>
      <w:r>
        <w:rPr>
          <w:rFonts w:hint="eastAsia" w:ascii="国标仿宋" w:hAnsi="国标仿宋" w:eastAsia="国标仿宋" w:cs="国标仿宋"/>
          <w:bCs/>
          <w:color w:val="000000" w:themeColor="text1"/>
          <w:sz w:val="22"/>
          <w:szCs w:val="22"/>
          <w:highlight w:val="none"/>
          <w14:textFill>
            <w14:solidFill>
              <w14:schemeClr w14:val="tx1"/>
            </w14:solidFill>
          </w14:textFill>
        </w:rPr>
        <w:t>（以下简称“乙方”）特此签订本安全责任书。</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一、甲方职责</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1.严格遵守《城市道路施工作业交通组织规范》《道路作业交通安全标志》等标准、规范和国家有关安全的法律法规，认真执行本项目</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监理合同中有关安全的要求。</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2.按照“安全第一，预防为主”和坚持“管项目必须管安全”的原则，开展安全</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管理，做到</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与安全工作同时计划、布置、检查、总结和评比。</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3.重要的安全设施必须坚持与</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工程“三同时”的原则，即：同时设计、审批，同时</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，同时验收、投入使用。</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4.定期召开安全调度会，及时传达中央及地方有关安全精神。</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5.组织对乙方监理工作进行安全检查，监督乙方及时处理、发现</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过程中存在或可能存在的各种安全隐患。</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二、乙方职责</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1.严格遵守《城市道路施工作业交通组织规范》《道路作业交通安全标志》等标准、规范和国家有关安全的法律法规、相关规范等有关安全的规定，认真执行本项目</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监理合同中有关安全的要求，督促</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单位做好</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期间的交通疏导组织（含</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施工警示标志、交通标志的规范设置和</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围蔽措施），及时对</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单位未落实好安全要求的行为提出意见并落实整改。</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2.坚持“安全第一，预防为主”和坚持“管项目必须管安全”的原则，加强安全宣传教育，增强全员安全检测意识，建立健全各项安全管理机构和安全管理制度，配备专人负责安全检查工作，有组织、有领导的开展</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监理活动。各级领导、工程技术人员、管理人员和具体操作人员，必须熟悉和遵守本条款的各项规定，做到</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与安全工作同时计划、布置、检查、总结和评比。</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3.建立健全安全责任制。从派往项目的总监理工程师到监理机构各成员的安全管理系统必须做到纵向到底，一环不漏；各职能部门、人员的安全责任制做到横向到边，人人有责。项目总监理工程师是安全的第一责任人。乙方应指派专人负责监理机构各成员的安全及预防事故的发生。</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4.乙方在任何时候都应采取各种合理的预防措施，防止其员工发生任何违法、违禁、暴力或妨碍治安的行为。</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5.乙方参与本项目的工作人员，必须接受安全技术教育，熟知和遵守本工种的各项安全技术操作规程，定期进行安全技术考核，合格者方准上岗操作；乙方应检查</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单位派出的特殊工种人员是否持证上岗，督促</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单位对特殊工种人员做好岗前的技术培训、安全培训，定期对</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单位安全要求落实情况进行考核、评估，及时对</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单位的安全生产管理提出意见并落实整改情况。</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现场如出现特种作业无证操作现象时，乙方及总监理工程师必须承担管理责任。</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6.乙方应督促</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单位专门妥善保管本项目的易燃易爆材料并配备合适、足够的消防设施；严格要求所有检测人员都应熟悉消防设备的性能和使用方法；乙方不得将任何种类的爆炸物给予或以其他方式转让给任何其他人，或允许、容忍上述同样行为。</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7.乙方应严格要求其工作人员及项目的操作人员必须按规定穿戴劳动防护用品上岗。总监理工程师、安全管理人员应随时检查劳动防护用品的穿戴情况，严禁不按规定穿戴劳动防护用品的人员上岗。</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8.应定期检查本项目中所有机具设备和高空作业的设备，并如实签字确认；在检查中若发现相关机具、设备处于不完好状态，或存在不合格的机具、设备和劳动防护用品的，应严禁使用。</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9.项目采用新技术、新工艺、新设备、新材料时，必须制定相应的安全技术措施，并落实好现场的安全标志牌。</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国标仿宋" w:hAnsi="国标仿宋" w:eastAsia="国标仿宋" w:cs="国标仿宋"/>
          <w:bCs/>
          <w:color w:val="000000" w:themeColor="text1"/>
          <w:sz w:val="22"/>
          <w:szCs w:val="22"/>
          <w:highlight w:val="none"/>
          <w14:textFill>
            <w14:solidFill>
              <w14:schemeClr w14:val="tx1"/>
            </w14:solidFill>
          </w14:textFill>
        </w:rPr>
      </w:pPr>
      <w:r>
        <w:rPr>
          <w:rFonts w:hint="eastAsia" w:ascii="国标仿宋" w:hAnsi="国标仿宋" w:eastAsia="国标仿宋" w:cs="国标仿宋"/>
          <w:bCs/>
          <w:color w:val="000000" w:themeColor="text1"/>
          <w:sz w:val="22"/>
          <w:szCs w:val="22"/>
          <w:highlight w:val="none"/>
          <w14:textFill>
            <w14:solidFill>
              <w14:schemeClr w14:val="tx1"/>
            </w14:solidFill>
          </w14:textFill>
        </w:rPr>
        <w:t>10.乙方必须按照本项目的项目特点，组织制定本项目实施中的安全事故应急救援预案、审核</w:t>
      </w:r>
      <w:r>
        <w:rPr>
          <w:rFonts w:hint="eastAsia" w:ascii="国标仿宋" w:hAnsi="国标仿宋" w:eastAsia="国标仿宋" w:cs="国标仿宋"/>
          <w:bCs/>
          <w:color w:val="000000" w:themeColor="text1"/>
          <w:sz w:val="22"/>
          <w:szCs w:val="22"/>
          <w:highlight w:val="none"/>
          <w:lang w:eastAsia="zh-CN"/>
          <w14:textFill>
            <w14:solidFill>
              <w14:schemeClr w14:val="tx1"/>
            </w14:solidFill>
          </w14:textFill>
        </w:rPr>
        <w:t>施工</w:t>
      </w:r>
      <w:r>
        <w:rPr>
          <w:rFonts w:hint="eastAsia" w:ascii="国标仿宋" w:hAnsi="国标仿宋" w:eastAsia="国标仿宋" w:cs="国标仿宋"/>
          <w:bCs/>
          <w:color w:val="000000" w:themeColor="text1"/>
          <w:sz w:val="22"/>
          <w:szCs w:val="22"/>
          <w:highlight w:val="none"/>
          <w14:textFill>
            <w14:solidFill>
              <w14:schemeClr w14:val="tx1"/>
            </w14:solidFill>
          </w14:textFill>
        </w:rPr>
        <w:t>单位的应急预案；如果发生安全事故，应按照《国务院关于特大安全事故行政责任追究的规定》以及其它有关规定，及时上报有关部门，并坚持“三不放过”的原则，严肃处理相关责任人。</w:t>
      </w:r>
    </w:p>
    <w:p>
      <w:pPr>
        <w:keepNext/>
        <w:keepLines/>
        <w:pageBreakBefore w:val="0"/>
        <w:widowControl w:val="0"/>
        <w:kinsoku/>
        <w:wordWrap/>
        <w:overflowPunct/>
        <w:topLinePunct w:val="0"/>
        <w:autoSpaceDE/>
        <w:autoSpaceDN/>
        <w:bidi w:val="0"/>
        <w:adjustRightInd/>
        <w:snapToGrid/>
        <w:spacing w:before="0" w:after="0" w:line="400" w:lineRule="exact"/>
        <w:ind w:firstLine="420"/>
        <w:textAlignment w:val="auto"/>
        <w:outlineLvl w:val="9"/>
        <w:rPr>
          <w:rFonts w:hint="eastAsia" w:ascii="国标仿宋" w:hAnsi="国标仿宋" w:eastAsia="国标仿宋" w:cs="国标仿宋"/>
          <w:b w:val="0"/>
          <w:bCs/>
          <w:color w:val="000000" w:themeColor="text1"/>
          <w:sz w:val="22"/>
          <w:szCs w:val="22"/>
          <w:highlight w:val="none"/>
          <w14:textFill>
            <w14:solidFill>
              <w14:schemeClr w14:val="tx1"/>
            </w14:solidFill>
          </w14:textFill>
        </w:rPr>
      </w:pPr>
      <w:r>
        <w:rPr>
          <w:rFonts w:hint="eastAsia" w:ascii="国标仿宋" w:hAnsi="国标仿宋" w:eastAsia="国标仿宋" w:cs="国标仿宋"/>
          <w:b w:val="0"/>
          <w:bCs/>
          <w:color w:val="000000" w:themeColor="text1"/>
          <w:sz w:val="22"/>
          <w:szCs w:val="22"/>
          <w:highlight w:val="none"/>
          <w14:textFill>
            <w14:solidFill>
              <w14:schemeClr w14:val="tx1"/>
            </w14:solidFill>
          </w14:textFill>
        </w:rPr>
        <w:t>三、其它</w:t>
      </w:r>
    </w:p>
    <w:p>
      <w:pPr>
        <w:keepNext/>
        <w:keepLines/>
        <w:pageBreakBefore w:val="0"/>
        <w:widowControl w:val="0"/>
        <w:kinsoku/>
        <w:wordWrap/>
        <w:overflowPunct/>
        <w:topLinePunct w:val="0"/>
        <w:autoSpaceDE/>
        <w:autoSpaceDN/>
        <w:bidi w:val="0"/>
        <w:adjustRightInd/>
        <w:snapToGrid/>
        <w:spacing w:before="0" w:after="0" w:line="400" w:lineRule="exact"/>
        <w:ind w:firstLine="420"/>
        <w:textAlignment w:val="auto"/>
        <w:outlineLvl w:val="9"/>
        <w:rPr>
          <w:rFonts w:hint="eastAsia" w:ascii="国标仿宋" w:hAnsi="国标仿宋" w:eastAsia="国标仿宋" w:cs="国标仿宋"/>
          <w:b w:val="0"/>
          <w:bCs/>
          <w:color w:val="000000" w:themeColor="text1"/>
          <w:sz w:val="22"/>
          <w:szCs w:val="22"/>
          <w:highlight w:val="none"/>
          <w:u w:val="single"/>
          <w14:textFill>
            <w14:solidFill>
              <w14:schemeClr w14:val="tx1"/>
            </w14:solidFill>
          </w14:textFill>
        </w:rPr>
      </w:pPr>
      <w:r>
        <w:rPr>
          <w:rFonts w:hint="eastAsia" w:ascii="国标仿宋" w:hAnsi="国标仿宋" w:eastAsia="国标仿宋" w:cs="国标仿宋"/>
          <w:b w:val="0"/>
          <w:bCs/>
          <w:color w:val="000000" w:themeColor="text1"/>
          <w:sz w:val="22"/>
          <w:szCs w:val="22"/>
          <w:highlight w:val="none"/>
          <w14:textFill>
            <w14:solidFill>
              <w14:schemeClr w14:val="tx1"/>
            </w14:solidFill>
          </w14:textFill>
        </w:rPr>
        <w:t>由双方法定代表人或其授权的代理人签署</w:t>
      </w:r>
      <w:r>
        <w:rPr>
          <w:rFonts w:hint="eastAsia" w:ascii="国标仿宋" w:hAnsi="国标仿宋" w:eastAsia="国标仿宋" w:cs="国标仿宋"/>
          <w:b w:val="0"/>
          <w:bCs/>
          <w:color w:val="000000" w:themeColor="text1"/>
          <w:sz w:val="22"/>
          <w:szCs w:val="22"/>
          <w:highlight w:val="none"/>
          <w:lang w:eastAsia="zh-CN"/>
          <w14:textFill>
            <w14:solidFill>
              <w14:schemeClr w14:val="tx1"/>
            </w14:solidFill>
          </w14:textFill>
        </w:rPr>
        <w:t>并</w:t>
      </w:r>
      <w:r>
        <w:rPr>
          <w:rFonts w:hint="eastAsia" w:ascii="国标仿宋" w:hAnsi="国标仿宋" w:eastAsia="国标仿宋" w:cs="国标仿宋"/>
          <w:b w:val="0"/>
          <w:bCs/>
          <w:color w:val="000000" w:themeColor="text1"/>
          <w:sz w:val="22"/>
          <w:szCs w:val="22"/>
          <w:highlight w:val="none"/>
          <w14:textFill>
            <w14:solidFill>
              <w14:schemeClr w14:val="tx1"/>
            </w14:solidFill>
          </w14:textFill>
        </w:rPr>
        <w:t>加盖</w:t>
      </w:r>
      <w:r>
        <w:rPr>
          <w:rFonts w:hint="eastAsia" w:ascii="国标仿宋" w:hAnsi="国标仿宋" w:eastAsia="国标仿宋" w:cs="国标仿宋"/>
          <w:b w:val="0"/>
          <w:bCs/>
          <w:color w:val="000000" w:themeColor="text1"/>
          <w:sz w:val="22"/>
          <w:szCs w:val="22"/>
          <w:highlight w:val="none"/>
          <w:lang w:eastAsia="zh-CN"/>
          <w14:textFill>
            <w14:solidFill>
              <w14:schemeClr w14:val="tx1"/>
            </w14:solidFill>
          </w14:textFill>
        </w:rPr>
        <w:t>双方</w:t>
      </w:r>
      <w:r>
        <w:rPr>
          <w:rFonts w:hint="eastAsia" w:ascii="国标仿宋" w:hAnsi="国标仿宋" w:eastAsia="国标仿宋" w:cs="国标仿宋"/>
          <w:b w:val="0"/>
          <w:bCs/>
          <w:color w:val="000000" w:themeColor="text1"/>
          <w:sz w:val="22"/>
          <w:szCs w:val="22"/>
          <w:highlight w:val="none"/>
          <w14:textFill>
            <w14:solidFill>
              <w14:schemeClr w14:val="tx1"/>
            </w14:solidFill>
          </w14:textFill>
        </w:rPr>
        <w:t>公章后生效，本项目完成验收后失效。</w:t>
      </w:r>
    </w:p>
    <w:p>
      <w:pPr>
        <w:pStyle w:val="2"/>
        <w:pageBreakBefore w:val="0"/>
        <w:widowControl w:val="0"/>
        <w:kinsoku/>
        <w:wordWrap/>
        <w:overflowPunct/>
        <w:topLinePunct w:val="0"/>
        <w:autoSpaceDE/>
        <w:autoSpaceDN/>
        <w:bidi w:val="0"/>
        <w:adjustRightInd/>
        <w:snapToGrid/>
        <w:spacing w:before="0" w:after="0" w:line="440" w:lineRule="exact"/>
        <w:ind w:firstLine="420"/>
        <w:textAlignment w:val="auto"/>
        <w:rPr>
          <w:rFonts w:hint="eastAsia" w:asciiTheme="minorEastAsia" w:hAnsiTheme="minorEastAsia" w:eastAsiaTheme="minorEastAsia" w:cstheme="minorEastAsia"/>
          <w:b w:val="0"/>
          <w:bCs/>
          <w:color w:val="000000" w:themeColor="text1"/>
          <w:sz w:val="22"/>
          <w:szCs w:val="22"/>
          <w:highlight w:val="none"/>
          <w:u w:val="single"/>
          <w14:textFill>
            <w14:solidFill>
              <w14:schemeClr w14:val="tx1"/>
            </w14:solidFill>
          </w14:textFill>
        </w:rPr>
      </w:pPr>
    </w:p>
    <w:tbl>
      <w:tblPr>
        <w:tblStyle w:val="19"/>
        <w:tblW w:w="9256" w:type="dxa"/>
        <w:jc w:val="center"/>
        <w:tblLayout w:type="autofit"/>
        <w:tblCellMar>
          <w:top w:w="0" w:type="dxa"/>
          <w:left w:w="108" w:type="dxa"/>
          <w:bottom w:w="0" w:type="dxa"/>
          <w:right w:w="108" w:type="dxa"/>
        </w:tblCellMar>
      </w:tblPr>
      <w:tblGrid>
        <w:gridCol w:w="4621"/>
        <w:gridCol w:w="4635"/>
      </w:tblGrid>
      <w:tr>
        <w:tblPrEx>
          <w:tblCellMar>
            <w:top w:w="0" w:type="dxa"/>
            <w:left w:w="108" w:type="dxa"/>
            <w:bottom w:w="0" w:type="dxa"/>
            <w:right w:w="108" w:type="dxa"/>
          </w:tblCellMar>
        </w:tblPrEx>
        <w:trPr>
          <w:trHeight w:val="1439" w:hRule="atLeast"/>
          <w:jc w:val="center"/>
        </w:trPr>
        <w:tc>
          <w:tcPr>
            <w:tcW w:w="4621" w:type="dxa"/>
            <w:noWrap w:val="0"/>
            <w:vAlign w:val="top"/>
          </w:tcPr>
          <w:p>
            <w:pPr>
              <w:pStyle w:val="18"/>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国标仿宋" w:hAnsi="国标仿宋" w:eastAsia="国标仿宋" w:cs="国标仿宋"/>
                <w:color w:val="000000" w:themeColor="text1"/>
                <w:sz w:val="22"/>
                <w:szCs w:val="22"/>
                <w:highlight w:val="none"/>
                <w14:textFill>
                  <w14:solidFill>
                    <w14:schemeClr w14:val="tx1"/>
                  </w14:solidFill>
                </w14:textFill>
              </w:rPr>
            </w:pPr>
            <w:r>
              <w:rPr>
                <w:rFonts w:hint="eastAsia" w:ascii="国标仿宋" w:hAnsi="国标仿宋" w:eastAsia="国标仿宋" w:cs="国标仿宋"/>
                <w:color w:val="000000" w:themeColor="text1"/>
                <w:sz w:val="22"/>
                <w:szCs w:val="22"/>
                <w:highlight w:val="none"/>
                <w14:textFill>
                  <w14:solidFill>
                    <w14:schemeClr w14:val="tx1"/>
                  </w14:solidFill>
                </w14:textFill>
              </w:rPr>
              <w:t>甲方：</w:t>
            </w:r>
          </w:p>
          <w:p>
            <w:pPr>
              <w:pStyle w:val="18"/>
              <w:pageBreakBefore w:val="0"/>
              <w:widowControl w:val="0"/>
              <w:kinsoku/>
              <w:wordWrap/>
              <w:overflowPunct/>
              <w:topLinePunct w:val="0"/>
              <w:autoSpaceDE/>
              <w:autoSpaceDN/>
              <w:bidi w:val="0"/>
              <w:adjustRightInd/>
              <w:snapToGrid/>
              <w:spacing w:line="440" w:lineRule="exact"/>
              <w:ind w:left="0" w:leftChars="0" w:firstLine="2640" w:firstLineChars="1200"/>
              <w:textAlignment w:val="auto"/>
              <w:rPr>
                <w:rFonts w:hint="eastAsia" w:ascii="国标仿宋" w:hAnsi="国标仿宋" w:eastAsia="国标仿宋" w:cs="国标仿宋"/>
                <w:color w:val="000000" w:themeColor="text1"/>
                <w:sz w:val="22"/>
                <w:szCs w:val="22"/>
                <w:highlight w:val="none"/>
                <w14:textFill>
                  <w14:solidFill>
                    <w14:schemeClr w14:val="tx1"/>
                  </w14:solidFill>
                </w14:textFill>
              </w:rPr>
            </w:pPr>
            <w:r>
              <w:rPr>
                <w:rFonts w:hint="eastAsia" w:ascii="国标仿宋" w:hAnsi="国标仿宋" w:eastAsia="国标仿宋" w:cs="国标仿宋"/>
                <w:color w:val="000000" w:themeColor="text1"/>
                <w:sz w:val="22"/>
                <w:szCs w:val="22"/>
                <w:highlight w:val="none"/>
                <w14:textFill>
                  <w14:solidFill>
                    <w14:schemeClr w14:val="tx1"/>
                  </w14:solidFill>
                </w14:textFill>
              </w:rPr>
              <w:t>（盖章）</w:t>
            </w:r>
          </w:p>
        </w:tc>
        <w:tc>
          <w:tcPr>
            <w:tcW w:w="4635" w:type="dxa"/>
            <w:noWrap w:val="0"/>
            <w:vAlign w:val="top"/>
          </w:tcPr>
          <w:p>
            <w:pPr>
              <w:pStyle w:val="18"/>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国标仿宋" w:hAnsi="国标仿宋" w:eastAsia="国标仿宋" w:cs="国标仿宋"/>
                <w:color w:val="000000" w:themeColor="text1"/>
                <w:sz w:val="22"/>
                <w:szCs w:val="22"/>
                <w:highlight w:val="none"/>
                <w14:textFill>
                  <w14:solidFill>
                    <w14:schemeClr w14:val="tx1"/>
                  </w14:solidFill>
                </w14:textFill>
              </w:rPr>
            </w:pPr>
            <w:r>
              <w:rPr>
                <w:rFonts w:hint="eastAsia" w:ascii="国标仿宋" w:hAnsi="国标仿宋" w:eastAsia="国标仿宋" w:cs="国标仿宋"/>
                <w:color w:val="000000" w:themeColor="text1"/>
                <w:sz w:val="22"/>
                <w:szCs w:val="22"/>
                <w:highlight w:val="none"/>
                <w14:textFill>
                  <w14:solidFill>
                    <w14:schemeClr w14:val="tx1"/>
                  </w14:solidFill>
                </w14:textFill>
              </w:rPr>
              <w:t>乙方：</w:t>
            </w:r>
          </w:p>
          <w:p>
            <w:pPr>
              <w:pStyle w:val="18"/>
              <w:pageBreakBefore w:val="0"/>
              <w:widowControl w:val="0"/>
              <w:kinsoku/>
              <w:wordWrap/>
              <w:overflowPunct/>
              <w:topLinePunct w:val="0"/>
              <w:autoSpaceDE/>
              <w:autoSpaceDN/>
              <w:bidi w:val="0"/>
              <w:adjustRightInd/>
              <w:snapToGrid/>
              <w:spacing w:line="440" w:lineRule="exact"/>
              <w:ind w:left="0" w:leftChars="0" w:firstLine="3080" w:firstLineChars="1400"/>
              <w:textAlignment w:val="auto"/>
              <w:rPr>
                <w:rFonts w:hint="eastAsia" w:ascii="国标仿宋" w:hAnsi="国标仿宋" w:eastAsia="国标仿宋" w:cs="国标仿宋"/>
                <w:color w:val="000000" w:themeColor="text1"/>
                <w:sz w:val="22"/>
                <w:szCs w:val="22"/>
                <w:highlight w:val="none"/>
                <w14:textFill>
                  <w14:solidFill>
                    <w14:schemeClr w14:val="tx1"/>
                  </w14:solidFill>
                </w14:textFill>
              </w:rPr>
            </w:pPr>
            <w:r>
              <w:rPr>
                <w:rFonts w:hint="eastAsia" w:ascii="国标仿宋" w:hAnsi="国标仿宋" w:eastAsia="国标仿宋" w:cs="国标仿宋"/>
                <w:color w:val="000000" w:themeColor="text1"/>
                <w:sz w:val="22"/>
                <w:szCs w:val="22"/>
                <w:highlight w:val="none"/>
                <w14:textFill>
                  <w14:solidFill>
                    <w14:schemeClr w14:val="tx1"/>
                  </w14:solidFill>
                </w14:textFill>
              </w:rPr>
              <w:t>（盖章）</w:t>
            </w:r>
          </w:p>
        </w:tc>
      </w:tr>
      <w:tr>
        <w:tblPrEx>
          <w:tblCellMar>
            <w:top w:w="0" w:type="dxa"/>
            <w:left w:w="108" w:type="dxa"/>
            <w:bottom w:w="0" w:type="dxa"/>
            <w:right w:w="108" w:type="dxa"/>
          </w:tblCellMar>
        </w:tblPrEx>
        <w:trPr>
          <w:trHeight w:val="1608" w:hRule="atLeast"/>
          <w:jc w:val="center"/>
        </w:trPr>
        <w:tc>
          <w:tcPr>
            <w:tcW w:w="4621" w:type="dxa"/>
            <w:noWrap w:val="0"/>
            <w:vAlign w:val="top"/>
          </w:tcPr>
          <w:p>
            <w:pPr>
              <w:pStyle w:val="18"/>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国标仿宋" w:hAnsi="国标仿宋" w:eastAsia="国标仿宋" w:cs="国标仿宋"/>
                <w:color w:val="000000" w:themeColor="text1"/>
                <w:sz w:val="22"/>
                <w:szCs w:val="22"/>
                <w:highlight w:val="none"/>
                <w14:textFill>
                  <w14:solidFill>
                    <w14:schemeClr w14:val="tx1"/>
                  </w14:solidFill>
                </w14:textFill>
              </w:rPr>
            </w:pPr>
            <w:r>
              <w:rPr>
                <w:rFonts w:hint="eastAsia" w:ascii="国标仿宋" w:hAnsi="国标仿宋" w:eastAsia="国标仿宋" w:cs="国标仿宋"/>
                <w:color w:val="000000" w:themeColor="text1"/>
                <w:sz w:val="22"/>
                <w:szCs w:val="22"/>
                <w:highlight w:val="none"/>
                <w14:textFill>
                  <w14:solidFill>
                    <w14:schemeClr w14:val="tx1"/>
                  </w14:solidFill>
                </w14:textFill>
              </w:rPr>
              <w:t>法定代表人：</w:t>
            </w:r>
          </w:p>
          <w:p>
            <w:pPr>
              <w:pStyle w:val="18"/>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国标仿宋" w:hAnsi="国标仿宋" w:eastAsia="国标仿宋" w:cs="国标仿宋"/>
                <w:color w:val="000000" w:themeColor="text1"/>
                <w:sz w:val="22"/>
                <w:szCs w:val="22"/>
                <w:highlight w:val="none"/>
                <w14:textFill>
                  <w14:solidFill>
                    <w14:schemeClr w14:val="tx1"/>
                  </w14:solidFill>
                </w14:textFill>
              </w:rPr>
            </w:pPr>
            <w:r>
              <w:rPr>
                <w:rFonts w:hint="eastAsia" w:ascii="国标仿宋" w:hAnsi="国标仿宋" w:eastAsia="国标仿宋" w:cs="国标仿宋"/>
                <w:color w:val="000000" w:themeColor="text1"/>
                <w:sz w:val="22"/>
                <w:szCs w:val="22"/>
                <w:highlight w:val="none"/>
                <w14:textFill>
                  <w14:solidFill>
                    <w14:schemeClr w14:val="tx1"/>
                  </w14:solidFill>
                </w14:textFill>
              </w:rPr>
              <w:t>（或授权代理人）</w:t>
            </w:r>
          </w:p>
        </w:tc>
        <w:tc>
          <w:tcPr>
            <w:tcW w:w="4635" w:type="dxa"/>
            <w:noWrap w:val="0"/>
            <w:vAlign w:val="top"/>
          </w:tcPr>
          <w:p>
            <w:pPr>
              <w:pStyle w:val="18"/>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国标仿宋" w:hAnsi="国标仿宋" w:eastAsia="国标仿宋" w:cs="国标仿宋"/>
                <w:color w:val="000000" w:themeColor="text1"/>
                <w:sz w:val="22"/>
                <w:szCs w:val="22"/>
                <w:highlight w:val="none"/>
                <w14:textFill>
                  <w14:solidFill>
                    <w14:schemeClr w14:val="tx1"/>
                  </w14:solidFill>
                </w14:textFill>
              </w:rPr>
            </w:pPr>
            <w:r>
              <w:rPr>
                <w:rFonts w:hint="eastAsia" w:ascii="国标仿宋" w:hAnsi="国标仿宋" w:eastAsia="国标仿宋" w:cs="国标仿宋"/>
                <w:color w:val="000000" w:themeColor="text1"/>
                <w:sz w:val="22"/>
                <w:szCs w:val="22"/>
                <w:highlight w:val="none"/>
                <w14:textFill>
                  <w14:solidFill>
                    <w14:schemeClr w14:val="tx1"/>
                  </w14:solidFill>
                </w14:textFill>
              </w:rPr>
              <w:t>法定代表人：</w:t>
            </w:r>
          </w:p>
          <w:p>
            <w:pPr>
              <w:pStyle w:val="18"/>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国标仿宋" w:hAnsi="国标仿宋" w:eastAsia="国标仿宋" w:cs="国标仿宋"/>
                <w:color w:val="000000" w:themeColor="text1"/>
                <w:sz w:val="22"/>
                <w:szCs w:val="22"/>
                <w:highlight w:val="none"/>
                <w14:textFill>
                  <w14:solidFill>
                    <w14:schemeClr w14:val="tx1"/>
                  </w14:solidFill>
                </w14:textFill>
              </w:rPr>
            </w:pPr>
            <w:r>
              <w:rPr>
                <w:rFonts w:hint="eastAsia" w:ascii="国标仿宋" w:hAnsi="国标仿宋" w:eastAsia="国标仿宋" w:cs="国标仿宋"/>
                <w:color w:val="000000" w:themeColor="text1"/>
                <w:sz w:val="22"/>
                <w:szCs w:val="22"/>
                <w:highlight w:val="none"/>
                <w14:textFill>
                  <w14:solidFill>
                    <w14:schemeClr w14:val="tx1"/>
                  </w14:solidFill>
                </w14:textFill>
              </w:rPr>
              <w:t>（或授权代理人）</w:t>
            </w:r>
          </w:p>
        </w:tc>
      </w:tr>
    </w:tbl>
    <w:p>
      <w:pPr>
        <w:pStyle w:val="30"/>
        <w:jc w:val="center"/>
        <w:rPr>
          <w:rFonts w:hint="eastAsia" w:ascii="Times New Roman" w:hAnsi="Times New Roman" w:eastAsia="仿宋" w:cs="仿宋"/>
          <w:color w:val="000000" w:themeColor="text1"/>
          <w:sz w:val="22"/>
          <w:szCs w:val="22"/>
          <w:highlight w:val="none"/>
          <w14:textFill>
            <w14:solidFill>
              <w14:schemeClr w14:val="tx1"/>
            </w14:solidFill>
          </w14:textFill>
        </w:rPr>
      </w:pPr>
    </w:p>
    <w:p>
      <w:pPr>
        <w:pStyle w:val="30"/>
        <w:jc w:val="center"/>
        <w:rPr>
          <w:rFonts w:hint="eastAsia" w:ascii="Times New Roman" w:hAnsi="Times New Roman" w:eastAsia="仿宋" w:cs="仿宋"/>
          <w:color w:val="000000" w:themeColor="text1"/>
          <w:highlight w:val="none"/>
          <w14:textFill>
            <w14:solidFill>
              <w14:schemeClr w14:val="tx1"/>
            </w14:solidFill>
          </w14:textFill>
        </w:rPr>
      </w:pPr>
    </w:p>
    <w:p>
      <w:pPr>
        <w:widowControl/>
        <w:spacing w:line="360" w:lineRule="auto"/>
        <w:jc w:val="left"/>
        <w:outlineLvl w:val="1"/>
        <w:rPr>
          <w:rFonts w:hint="eastAsia" w:ascii="黑体" w:hAnsi="黑体" w:eastAsia="黑体" w:cs="黑体"/>
          <w:b/>
          <w:bCs/>
          <w:color w:val="000000" w:themeColor="text1"/>
          <w:sz w:val="28"/>
          <w:szCs w:val="28"/>
          <w:highlight w:val="none"/>
          <w:lang w:val="en-US" w:eastAsia="zh-CN"/>
          <w14:textFill>
            <w14:solidFill>
              <w14:schemeClr w14:val="tx1"/>
            </w14:solidFill>
          </w14:textFill>
        </w:rPr>
      </w:pPr>
      <w:bookmarkStart w:id="310" w:name="_Toc1856500031"/>
      <w:bookmarkStart w:id="311" w:name="_Toc1337468188"/>
      <w:bookmarkStart w:id="312" w:name="_Toc1375176397"/>
      <w:r>
        <w:rPr>
          <w:rFonts w:hint="eastAsia" w:ascii="黑体" w:hAnsi="黑体" w:eastAsia="黑体" w:cs="黑体"/>
          <w:b/>
          <w:bCs/>
          <w:color w:val="000000" w:themeColor="text1"/>
          <w:sz w:val="28"/>
          <w:szCs w:val="28"/>
          <w:highlight w:val="none"/>
          <w14:textFill>
            <w14:solidFill>
              <w14:schemeClr w14:val="tx1"/>
            </w14:solidFill>
          </w14:textFill>
        </w:rPr>
        <w:t>附件</w:t>
      </w: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5</w:t>
      </w:r>
    </w:p>
    <w:p>
      <w:pPr>
        <w:ind w:firstLine="0" w:firstLineChars="0"/>
        <w:jc w:val="center"/>
        <w:rPr>
          <w:rFonts w:hint="eastAsia" w:ascii="仿宋" w:hAnsi="仿宋" w:eastAsia="仿宋" w:cs="仿宋"/>
          <w:b/>
          <w:bCs/>
          <w:kern w:val="2"/>
          <w:sz w:val="44"/>
          <w:szCs w:val="44"/>
          <w:highlight w:val="none"/>
          <w:lang w:val="en-US" w:eastAsia="zh-CN"/>
        </w:rPr>
      </w:pPr>
      <w:r>
        <w:rPr>
          <w:rFonts w:hint="eastAsia" w:ascii="仿宋" w:hAnsi="仿宋" w:eastAsia="仿宋" w:cs="仿宋"/>
          <w:b/>
          <w:bCs/>
          <w:kern w:val="2"/>
          <w:sz w:val="44"/>
          <w:szCs w:val="44"/>
          <w:highlight w:val="none"/>
          <w:lang w:val="en-US" w:eastAsia="zh-CN"/>
        </w:rPr>
        <w:t>中标通知书/委托书/中选通知书</w:t>
      </w:r>
      <w:bookmarkEnd w:id="310"/>
      <w:bookmarkEnd w:id="311"/>
      <w:bookmarkEnd w:id="312"/>
    </w:p>
    <w:p>
      <w:pPr>
        <w:widowControl/>
        <w:jc w:val="left"/>
        <w:rPr>
          <w:rFonts w:hint="eastAsia" w:ascii="Times New Roman" w:hAnsi="Times New Roman" w:eastAsia="仿宋" w:cs="仿宋"/>
          <w:b/>
          <w:bCs/>
          <w:color w:val="000000" w:themeColor="text1"/>
          <w:sz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br w:type="page"/>
      </w:r>
    </w:p>
    <w:p>
      <w:pPr>
        <w:widowControl/>
        <w:spacing w:line="360" w:lineRule="auto"/>
        <w:jc w:val="left"/>
        <w:outlineLvl w:val="1"/>
        <w:rPr>
          <w:rFonts w:hint="eastAsia" w:ascii="黑体" w:hAnsi="黑体" w:eastAsia="黑体" w:cs="黑体"/>
          <w:b/>
          <w:bCs/>
          <w:color w:val="000000" w:themeColor="text1"/>
          <w:sz w:val="28"/>
          <w:szCs w:val="28"/>
          <w:highlight w:val="none"/>
          <w:lang w:val="en-US" w:eastAsia="zh-CN"/>
          <w14:textFill>
            <w14:solidFill>
              <w14:schemeClr w14:val="tx1"/>
            </w14:solidFill>
          </w14:textFill>
        </w:rPr>
      </w:pPr>
      <w:bookmarkStart w:id="313" w:name="_Toc788939250"/>
      <w:bookmarkStart w:id="314" w:name="_Toc42064689"/>
      <w:bookmarkStart w:id="315" w:name="_Toc2085473569"/>
      <w:r>
        <w:rPr>
          <w:rFonts w:hint="eastAsia" w:ascii="黑体" w:hAnsi="黑体" w:eastAsia="黑体" w:cs="黑体"/>
          <w:b/>
          <w:bCs/>
          <w:color w:val="000000" w:themeColor="text1"/>
          <w:sz w:val="28"/>
          <w:szCs w:val="28"/>
          <w:highlight w:val="none"/>
          <w14:textFill>
            <w14:solidFill>
              <w14:schemeClr w14:val="tx1"/>
            </w14:solidFill>
          </w14:textFill>
        </w:rPr>
        <w:t>附件</w:t>
      </w: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6</w:t>
      </w:r>
    </w:p>
    <w:p>
      <w:pPr>
        <w:ind w:firstLine="0" w:firstLineChars="0"/>
        <w:jc w:val="center"/>
        <w:rPr>
          <w:rFonts w:hint="eastAsia" w:ascii="仿宋" w:hAnsi="仿宋" w:eastAsia="仿宋" w:cs="仿宋"/>
          <w:b/>
          <w:bCs/>
          <w:kern w:val="2"/>
          <w:sz w:val="44"/>
          <w:szCs w:val="44"/>
          <w:highlight w:val="none"/>
          <w:lang w:val="en-US" w:eastAsia="zh-CN"/>
        </w:rPr>
      </w:pPr>
      <w:r>
        <w:rPr>
          <w:rFonts w:hint="eastAsia" w:ascii="仿宋" w:hAnsi="仿宋" w:eastAsia="仿宋" w:cs="仿宋"/>
          <w:b/>
          <w:bCs/>
          <w:kern w:val="2"/>
          <w:sz w:val="44"/>
          <w:szCs w:val="44"/>
          <w:highlight w:val="none"/>
          <w:lang w:val="en-US" w:eastAsia="zh-CN"/>
        </w:rPr>
        <w:t>监理人资格资料、主要人员表、主要设备表</w:t>
      </w:r>
      <w:bookmarkEnd w:id="313"/>
      <w:bookmarkEnd w:id="314"/>
      <w:bookmarkEnd w:id="315"/>
    </w:p>
    <w:p>
      <w:pPr>
        <w:widowControl/>
        <w:spacing w:line="240" w:lineRule="auto"/>
        <w:jc w:val="left"/>
        <w:outlineLvl w:val="9"/>
        <w:rPr>
          <w:rFonts w:hint="eastAsia" w:ascii="国标仿宋" w:hAnsi="国标仿宋" w:eastAsia="国标仿宋" w:cs="国标仿宋"/>
          <w:b/>
          <w:bCs/>
          <w:color w:val="000000" w:themeColor="text1"/>
          <w:sz w:val="18"/>
          <w:szCs w:val="18"/>
          <w:highlight w:val="none"/>
          <w14:textFill>
            <w14:solidFill>
              <w14:schemeClr w14:val="tx1"/>
            </w14:solidFill>
          </w14:textFill>
        </w:rPr>
      </w:pPr>
      <w:bookmarkStart w:id="316" w:name="_Toc722130224"/>
      <w:bookmarkStart w:id="317" w:name="_Toc442015369"/>
      <w:r>
        <w:rPr>
          <w:rFonts w:hint="eastAsia" w:ascii="国标仿宋" w:hAnsi="国标仿宋" w:eastAsia="国标仿宋" w:cs="国标仿宋"/>
          <w:b/>
          <w:bCs/>
          <w:color w:val="000000" w:themeColor="text1"/>
          <w:sz w:val="18"/>
          <w:szCs w:val="18"/>
          <w:highlight w:val="none"/>
          <w14:textFill>
            <w14:solidFill>
              <w14:schemeClr w14:val="tx1"/>
            </w14:solidFill>
          </w14:textFill>
        </w:rPr>
        <w:br w:type="page"/>
      </w:r>
    </w:p>
    <w:bookmarkEnd w:id="316"/>
    <w:bookmarkEnd w:id="317"/>
    <w:p>
      <w:pPr>
        <w:widowControl/>
        <w:spacing w:line="360" w:lineRule="auto"/>
        <w:jc w:val="left"/>
        <w:outlineLvl w:val="1"/>
        <w:rPr>
          <w:rFonts w:hint="eastAsia" w:ascii="黑体" w:hAnsi="黑体" w:eastAsia="黑体" w:cs="黑体"/>
          <w:b/>
          <w:bCs/>
          <w:color w:val="000000" w:themeColor="text1"/>
          <w:sz w:val="28"/>
          <w:szCs w:val="28"/>
          <w:highlight w:val="none"/>
          <w:lang w:val="en-US" w:eastAsia="zh-CN"/>
          <w14:textFill>
            <w14:solidFill>
              <w14:schemeClr w14:val="tx1"/>
            </w14:solidFill>
          </w14:textFill>
        </w:rPr>
      </w:pPr>
      <w:bookmarkStart w:id="318" w:name="_Toc1713376763"/>
      <w:bookmarkStart w:id="319" w:name="_Toc225724530"/>
      <w:bookmarkStart w:id="320" w:name="_Toc164368293"/>
      <w:r>
        <w:rPr>
          <w:rFonts w:hint="eastAsia" w:ascii="黑体" w:hAnsi="黑体" w:eastAsia="黑体" w:cs="黑体"/>
          <w:b/>
          <w:bCs/>
          <w:color w:val="000000" w:themeColor="text1"/>
          <w:sz w:val="28"/>
          <w:szCs w:val="28"/>
          <w:highlight w:val="none"/>
          <w14:textFill>
            <w14:solidFill>
              <w14:schemeClr w14:val="tx1"/>
            </w14:solidFill>
          </w14:textFill>
        </w:rPr>
        <w:t>附件</w:t>
      </w: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7</w:t>
      </w:r>
    </w:p>
    <w:p>
      <w:pPr>
        <w:ind w:firstLine="0" w:firstLineChars="0"/>
        <w:jc w:val="center"/>
        <w:rPr>
          <w:rFonts w:hint="eastAsia" w:ascii="仿宋" w:hAnsi="仿宋" w:eastAsia="仿宋" w:cs="仿宋"/>
          <w:b/>
          <w:bCs/>
          <w:kern w:val="2"/>
          <w:sz w:val="44"/>
          <w:szCs w:val="44"/>
          <w:highlight w:val="none"/>
          <w:lang w:val="en-US" w:eastAsia="zh-CN"/>
        </w:rPr>
      </w:pPr>
      <w:r>
        <w:rPr>
          <w:rFonts w:hint="eastAsia" w:ascii="仿宋" w:hAnsi="仿宋" w:eastAsia="仿宋" w:cs="仿宋"/>
          <w:b/>
          <w:bCs/>
          <w:kern w:val="2"/>
          <w:sz w:val="44"/>
          <w:szCs w:val="44"/>
          <w:highlight w:val="none"/>
          <w:lang w:val="en-US" w:eastAsia="zh-CN"/>
        </w:rPr>
        <w:t>报价费用清单</w:t>
      </w:r>
      <w:bookmarkEnd w:id="318"/>
      <w:bookmarkEnd w:id="319"/>
      <w:bookmarkEnd w:id="320"/>
    </w:p>
    <w:p>
      <w:pPr>
        <w:widowControl/>
        <w:jc w:val="left"/>
        <w:rPr>
          <w:rFonts w:hint="eastAsia" w:ascii="Times New Roman" w:hAnsi="Times New Roman" w:eastAsia="仿宋" w:cs="仿宋"/>
          <w:b/>
          <w:bCs/>
          <w:color w:val="000000" w:themeColor="text1"/>
          <w:sz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br w:type="page"/>
      </w:r>
    </w:p>
    <w:p>
      <w:pPr>
        <w:widowControl/>
        <w:spacing w:line="360" w:lineRule="auto"/>
        <w:jc w:val="left"/>
        <w:outlineLvl w:val="1"/>
        <w:rPr>
          <w:rFonts w:hint="eastAsia" w:ascii="Times New Roman" w:hAnsi="Times New Roman" w:eastAsia="仿宋" w:cs="仿宋"/>
          <w:b/>
          <w:bCs/>
          <w:color w:val="000000" w:themeColor="text1"/>
          <w:sz w:val="28"/>
          <w:szCs w:val="28"/>
          <w:highlight w:val="none"/>
          <w14:textFill>
            <w14:solidFill>
              <w14:schemeClr w14:val="tx1"/>
            </w14:solidFill>
          </w14:textFill>
        </w:rPr>
        <w:sectPr>
          <w:footerReference r:id="rId5" w:type="default"/>
          <w:pgSz w:w="11906" w:h="16838"/>
          <w:pgMar w:top="1440" w:right="1800" w:bottom="1440" w:left="1800" w:header="851" w:footer="992" w:gutter="0"/>
          <w:pgNumType w:fmt="decimal"/>
          <w:cols w:space="720" w:num="1"/>
          <w:docGrid w:type="lines" w:linePitch="312" w:charSpace="0"/>
        </w:sectPr>
      </w:pPr>
      <w:bookmarkStart w:id="321" w:name="_Toc206818396"/>
      <w:bookmarkStart w:id="322" w:name="_Toc2022784983"/>
    </w:p>
    <w:p>
      <w:pPr>
        <w:widowControl/>
        <w:jc w:val="left"/>
        <w:outlineLvl w:val="1"/>
        <w:rPr>
          <w:rFonts w:hint="eastAsia" w:ascii="黑体" w:hAnsi="黑体" w:eastAsia="黑体" w:cs="黑体"/>
          <w:b/>
          <w:bCs/>
          <w:color w:val="000000" w:themeColor="text1"/>
          <w:sz w:val="28"/>
          <w:szCs w:val="28"/>
          <w:highlight w:val="none"/>
          <w:lang w:val="en-US" w:eastAsia="zh-CN"/>
          <w14:textFill>
            <w14:solidFill>
              <w14:schemeClr w14:val="tx1"/>
            </w14:solidFill>
          </w14:textFill>
        </w:rPr>
      </w:pPr>
      <w:bookmarkStart w:id="323" w:name="_Toc1732664753"/>
      <w:r>
        <w:rPr>
          <w:rFonts w:hint="eastAsia" w:ascii="黑体" w:hAnsi="黑体" w:eastAsia="黑体" w:cs="黑体"/>
          <w:b/>
          <w:bCs/>
          <w:color w:val="000000" w:themeColor="text1"/>
          <w:sz w:val="28"/>
          <w:szCs w:val="28"/>
          <w:highlight w:val="none"/>
          <w14:textFill>
            <w14:solidFill>
              <w14:schemeClr w14:val="tx1"/>
            </w14:solidFill>
          </w14:textFill>
        </w:rPr>
        <w:t>附件</w:t>
      </w: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8</w:t>
      </w:r>
    </w:p>
    <w:p>
      <w:pPr>
        <w:ind w:firstLine="0" w:firstLineChars="0"/>
        <w:jc w:val="center"/>
        <w:rPr>
          <w:rFonts w:hint="eastAsia" w:ascii="仿宋" w:hAnsi="仿宋" w:eastAsia="仿宋" w:cs="仿宋"/>
          <w:b/>
          <w:bCs/>
          <w:color w:val="auto"/>
          <w:sz w:val="44"/>
          <w:szCs w:val="44"/>
          <w:highlight w:val="none"/>
        </w:rPr>
      </w:pPr>
      <w:r>
        <w:rPr>
          <w:rFonts w:hint="eastAsia" w:ascii="仿宋" w:hAnsi="仿宋" w:eastAsia="仿宋" w:cs="仿宋"/>
          <w:b/>
          <w:bCs/>
          <w:kern w:val="2"/>
          <w:sz w:val="44"/>
          <w:szCs w:val="44"/>
          <w:highlight w:val="none"/>
          <w:lang w:val="en-US" w:eastAsia="zh-CN"/>
        </w:rPr>
        <w:t>招标/采购需求</w:t>
      </w:r>
      <w:bookmarkEnd w:id="323"/>
    </w:p>
    <w:p>
      <w:pPr>
        <w:widowControl/>
        <w:spacing w:line="360" w:lineRule="auto"/>
        <w:jc w:val="left"/>
        <w:outlineLvl w:val="1"/>
        <w:rPr>
          <w:rFonts w:hint="eastAsia" w:ascii="Times New Roman" w:hAnsi="Times New Roman" w:eastAsia="仿宋" w:cs="仿宋"/>
          <w:b/>
          <w:bCs/>
          <w:color w:val="000000" w:themeColor="text1"/>
          <w:sz w:val="28"/>
          <w:szCs w:val="28"/>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widowControl/>
        <w:spacing w:line="360" w:lineRule="auto"/>
        <w:jc w:val="left"/>
        <w:outlineLvl w:val="1"/>
        <w:rPr>
          <w:rFonts w:hint="eastAsia" w:ascii="黑体" w:hAnsi="黑体" w:eastAsia="黑体" w:cs="黑体"/>
          <w:b/>
          <w:bCs/>
          <w:color w:val="000000" w:themeColor="text1"/>
          <w:sz w:val="28"/>
          <w:szCs w:val="28"/>
          <w:highlight w:val="none"/>
          <w:lang w:val="en-US" w:eastAsia="zh-CN"/>
          <w14:textFill>
            <w14:solidFill>
              <w14:schemeClr w14:val="tx1"/>
            </w14:solidFill>
          </w14:textFill>
        </w:rPr>
      </w:pPr>
      <w:bookmarkStart w:id="324" w:name="_Toc1652592347"/>
      <w:r>
        <w:rPr>
          <w:rFonts w:hint="eastAsia" w:ascii="黑体" w:hAnsi="黑体" w:eastAsia="黑体" w:cs="黑体"/>
          <w:b/>
          <w:bCs/>
          <w:color w:val="000000" w:themeColor="text1"/>
          <w:sz w:val="28"/>
          <w:szCs w:val="28"/>
          <w:highlight w:val="none"/>
          <w14:textFill>
            <w14:solidFill>
              <w14:schemeClr w14:val="tx1"/>
            </w14:solidFill>
          </w14:textFill>
        </w:rPr>
        <w:t>附件</w:t>
      </w: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9</w:t>
      </w:r>
    </w:p>
    <w:p>
      <w:pPr>
        <w:ind w:firstLine="0" w:firstLineChars="0"/>
        <w:jc w:val="center"/>
        <w:rPr>
          <w:rFonts w:hint="eastAsia" w:ascii="仿宋" w:hAnsi="仿宋" w:eastAsia="仿宋" w:cs="仿宋"/>
          <w:b/>
          <w:bCs/>
          <w:kern w:val="2"/>
          <w:sz w:val="44"/>
          <w:szCs w:val="44"/>
          <w:highlight w:val="none"/>
          <w:lang w:val="en-US" w:eastAsia="zh-CN"/>
        </w:rPr>
      </w:pPr>
      <w:r>
        <w:rPr>
          <w:rFonts w:hint="eastAsia" w:ascii="仿宋" w:hAnsi="仿宋" w:eastAsia="仿宋" w:cs="仿宋"/>
          <w:b/>
          <w:bCs/>
          <w:kern w:val="2"/>
          <w:sz w:val="44"/>
          <w:szCs w:val="44"/>
          <w:highlight w:val="none"/>
          <w:lang w:val="en-US" w:eastAsia="zh-CN"/>
        </w:rPr>
        <w:t>招标（采购）文件（如有，另卷）</w:t>
      </w:r>
      <w:bookmarkEnd w:id="321"/>
      <w:bookmarkEnd w:id="322"/>
      <w:bookmarkEnd w:id="324"/>
    </w:p>
    <w:p>
      <w:pPr>
        <w:widowControl/>
        <w:jc w:val="left"/>
        <w:rPr>
          <w:rFonts w:hint="eastAsia" w:ascii="Times New Roman" w:hAnsi="Times New Roman" w:eastAsia="仿宋" w:cs="仿宋"/>
          <w:b/>
          <w:bCs/>
          <w:color w:val="000000" w:themeColor="text1"/>
          <w:sz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br w:type="page"/>
      </w:r>
    </w:p>
    <w:p>
      <w:pPr>
        <w:widowControl/>
        <w:spacing w:line="360" w:lineRule="auto"/>
        <w:jc w:val="left"/>
        <w:outlineLvl w:val="1"/>
        <w:rPr>
          <w:rFonts w:hint="eastAsia" w:ascii="黑体" w:hAnsi="黑体" w:eastAsia="黑体" w:cs="黑体"/>
          <w:b/>
          <w:bCs/>
          <w:color w:val="000000" w:themeColor="text1"/>
          <w:sz w:val="28"/>
          <w:szCs w:val="28"/>
          <w:highlight w:val="none"/>
          <w:lang w:val="en-US" w:eastAsia="zh-CN"/>
          <w14:textFill>
            <w14:solidFill>
              <w14:schemeClr w14:val="tx1"/>
            </w14:solidFill>
          </w14:textFill>
        </w:rPr>
      </w:pPr>
      <w:bookmarkStart w:id="325" w:name="_Toc1869793197"/>
      <w:bookmarkStart w:id="326" w:name="_Toc1348545260"/>
      <w:bookmarkStart w:id="327" w:name="_Toc333351985"/>
      <w:r>
        <w:rPr>
          <w:rFonts w:hint="eastAsia" w:ascii="黑体" w:hAnsi="黑体" w:eastAsia="黑体" w:cs="黑体"/>
          <w:b/>
          <w:bCs/>
          <w:color w:val="000000" w:themeColor="text1"/>
          <w:sz w:val="28"/>
          <w:szCs w:val="28"/>
          <w:highlight w:val="none"/>
          <w14:textFill>
            <w14:solidFill>
              <w14:schemeClr w14:val="tx1"/>
            </w14:solidFill>
          </w14:textFill>
        </w:rPr>
        <w:t>附件1</w:t>
      </w: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0</w:t>
      </w:r>
    </w:p>
    <w:p>
      <w:pPr>
        <w:ind w:firstLine="0" w:firstLineChars="0"/>
        <w:jc w:val="center"/>
        <w:rPr>
          <w:rFonts w:hint="eastAsia" w:ascii="仿宋" w:hAnsi="仿宋" w:eastAsia="仿宋" w:cs="仿宋"/>
          <w:b/>
          <w:bCs/>
          <w:kern w:val="2"/>
          <w:sz w:val="44"/>
          <w:szCs w:val="44"/>
          <w:highlight w:val="none"/>
          <w:lang w:val="en-US" w:eastAsia="zh-CN"/>
        </w:rPr>
      </w:pPr>
      <w:r>
        <w:rPr>
          <w:rFonts w:hint="eastAsia" w:ascii="仿宋" w:hAnsi="仿宋" w:eastAsia="仿宋" w:cs="仿宋"/>
          <w:b/>
          <w:bCs/>
          <w:kern w:val="2"/>
          <w:sz w:val="44"/>
          <w:szCs w:val="44"/>
          <w:highlight w:val="none"/>
          <w:lang w:val="en-US" w:eastAsia="zh-CN"/>
        </w:rPr>
        <w:t>投标（采购）文件（如有，另册）</w:t>
      </w:r>
      <w:bookmarkEnd w:id="325"/>
      <w:bookmarkEnd w:id="326"/>
      <w:bookmarkEnd w:id="327"/>
    </w:p>
    <w:p>
      <w:pPr>
        <w:widowControl/>
        <w:jc w:val="left"/>
        <w:rPr>
          <w:rFonts w:hint="eastAsia" w:ascii="Times New Roman" w:hAnsi="Times New Roman" w:eastAsia="仿宋" w:cs="仿宋"/>
          <w:b/>
          <w:bCs/>
          <w:color w:val="000000" w:themeColor="text1"/>
          <w:sz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br w:type="page"/>
      </w:r>
    </w:p>
    <w:p>
      <w:pPr>
        <w:spacing w:line="360" w:lineRule="auto"/>
        <w:outlineLvl w:val="1"/>
        <w:rPr>
          <w:rFonts w:hint="eastAsia" w:ascii="Times New Roman" w:hAnsi="Times New Roman" w:eastAsia="仿宋" w:cs="仿宋"/>
          <w:b/>
          <w:bCs/>
          <w:color w:val="000000" w:themeColor="text1"/>
          <w:sz w:val="28"/>
          <w:szCs w:val="28"/>
          <w:highlight w:val="none"/>
          <w:lang w:val="en-US" w:eastAsia="zh-CN"/>
          <w14:textFill>
            <w14:solidFill>
              <w14:schemeClr w14:val="tx1"/>
            </w14:solidFill>
          </w14:textFill>
        </w:rPr>
      </w:pPr>
      <w:bookmarkStart w:id="328" w:name="_Toc1155220080"/>
      <w:bookmarkStart w:id="329" w:name="_Toc1966452439"/>
      <w:bookmarkStart w:id="330" w:name="_Toc631809700"/>
      <w:r>
        <w:rPr>
          <w:rFonts w:hint="eastAsia" w:ascii="Times New Roman" w:hAnsi="Times New Roman" w:eastAsia="仿宋" w:cs="仿宋"/>
          <w:b/>
          <w:bCs/>
          <w:color w:val="000000" w:themeColor="text1"/>
          <w:sz w:val="28"/>
          <w:szCs w:val="28"/>
          <w:highlight w:val="none"/>
          <w14:textFill>
            <w14:solidFill>
              <w14:schemeClr w14:val="tx1"/>
            </w14:solidFill>
          </w14:textFill>
        </w:rPr>
        <w:t>附件1</w:t>
      </w:r>
      <w:r>
        <w:rPr>
          <w:rFonts w:hint="eastAsia" w:ascii="Times New Roman" w:hAnsi="Times New Roman" w:eastAsia="仿宋" w:cs="仿宋"/>
          <w:b/>
          <w:bCs/>
          <w:color w:val="000000" w:themeColor="text1"/>
          <w:sz w:val="28"/>
          <w:szCs w:val="28"/>
          <w:highlight w:val="none"/>
          <w:lang w:val="en-US" w:eastAsia="zh-CN"/>
          <w14:textFill>
            <w14:solidFill>
              <w14:schemeClr w14:val="tx1"/>
            </w14:solidFill>
          </w14:textFill>
        </w:rPr>
        <w:t>1</w:t>
      </w:r>
    </w:p>
    <w:p>
      <w:pPr>
        <w:ind w:firstLine="0" w:firstLineChars="0"/>
        <w:jc w:val="center"/>
        <w:rPr>
          <w:rFonts w:hint="eastAsia" w:ascii="仿宋" w:hAnsi="仿宋" w:eastAsia="仿宋" w:cs="仿宋"/>
          <w:b/>
          <w:bCs/>
          <w:kern w:val="2"/>
          <w:sz w:val="44"/>
          <w:szCs w:val="44"/>
          <w:highlight w:val="none"/>
          <w:lang w:val="en-US" w:eastAsia="zh-CN"/>
        </w:rPr>
      </w:pPr>
      <w:r>
        <w:rPr>
          <w:rFonts w:hint="eastAsia" w:ascii="仿宋" w:hAnsi="仿宋" w:eastAsia="仿宋" w:cs="仿宋"/>
          <w:b/>
          <w:bCs/>
          <w:kern w:val="2"/>
          <w:sz w:val="44"/>
          <w:szCs w:val="44"/>
          <w:highlight w:val="none"/>
          <w:lang w:val="en-US" w:eastAsia="zh-CN"/>
        </w:rPr>
        <w:t>投标承诺书（如有）</w:t>
      </w:r>
      <w:bookmarkEnd w:id="328"/>
      <w:bookmarkEnd w:id="329"/>
      <w:bookmarkEnd w:id="330"/>
    </w:p>
    <w:p>
      <w:pPr>
        <w:rPr>
          <w:rFonts w:hint="eastAsia" w:ascii="Times New Roman" w:hAnsi="Times New Roman" w:eastAsia="仿宋" w:cs="仿宋"/>
          <w:b/>
          <w:bCs/>
          <w:color w:val="000000" w:themeColor="text1"/>
          <w:sz w:val="28"/>
          <w:szCs w:val="28"/>
          <w:highlight w:val="none"/>
          <w14:textFill>
            <w14:solidFill>
              <w14:schemeClr w14:val="tx1"/>
            </w14:solidFill>
          </w14:textFill>
        </w:rPr>
      </w:pPr>
      <w:r>
        <w:rPr>
          <w:rFonts w:hint="eastAsia" w:ascii="Times New Roman" w:hAnsi="Times New Roman" w:eastAsia="仿宋" w:cs="仿宋"/>
          <w:b/>
          <w:bCs/>
          <w:color w:val="000000" w:themeColor="text1"/>
          <w:sz w:val="28"/>
          <w:szCs w:val="28"/>
          <w:highlight w:val="none"/>
          <w14:textFill>
            <w14:solidFill>
              <w14:schemeClr w14:val="tx1"/>
            </w14:solidFill>
          </w14:textFill>
        </w:rPr>
        <w:br w:type="page"/>
      </w:r>
    </w:p>
    <w:p>
      <w:pPr>
        <w:widowControl/>
        <w:spacing w:line="360" w:lineRule="auto"/>
        <w:jc w:val="left"/>
        <w:outlineLvl w:val="1"/>
        <w:rPr>
          <w:rFonts w:hint="eastAsia" w:ascii="黑体" w:hAnsi="黑体" w:eastAsia="黑体" w:cs="黑体"/>
          <w:b/>
          <w:bCs/>
          <w:color w:val="000000" w:themeColor="text1"/>
          <w:sz w:val="28"/>
          <w:szCs w:val="28"/>
          <w:highlight w:val="none"/>
          <w:lang w:val="en-US" w:eastAsia="zh-CN"/>
          <w14:textFill>
            <w14:solidFill>
              <w14:schemeClr w14:val="tx1"/>
            </w14:solidFill>
          </w14:textFill>
        </w:rPr>
      </w:pPr>
      <w:r>
        <w:rPr>
          <w:rFonts w:hint="eastAsia" w:ascii="黑体" w:hAnsi="黑体" w:eastAsia="黑体" w:cs="黑体"/>
          <w:b/>
          <w:bCs/>
          <w:color w:val="000000" w:themeColor="text1"/>
          <w:sz w:val="28"/>
          <w:szCs w:val="28"/>
          <w:highlight w:val="none"/>
          <w:lang w:eastAsia="zh-CN"/>
          <w14:textFill>
            <w14:solidFill>
              <w14:schemeClr w14:val="tx1"/>
            </w14:solidFill>
          </w14:textFill>
        </w:rPr>
        <w:t>附件</w:t>
      </w: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12</w:t>
      </w:r>
    </w:p>
    <w:p>
      <w:pPr>
        <w:ind w:firstLine="0" w:firstLineChars="0"/>
        <w:jc w:val="center"/>
        <w:rPr>
          <w:rFonts w:hint="eastAsia" w:ascii="仿宋" w:hAnsi="仿宋" w:eastAsia="仿宋" w:cs="仿宋"/>
          <w:b/>
          <w:bCs/>
          <w:kern w:val="2"/>
          <w:sz w:val="44"/>
          <w:szCs w:val="44"/>
          <w:highlight w:val="none"/>
          <w:lang w:val="en-US" w:eastAsia="zh-CN"/>
        </w:rPr>
      </w:pPr>
      <w:r>
        <w:rPr>
          <w:rFonts w:hint="eastAsia" w:ascii="仿宋" w:hAnsi="仿宋" w:eastAsia="仿宋" w:cs="仿宋"/>
          <w:b/>
          <w:bCs/>
          <w:kern w:val="2"/>
          <w:sz w:val="44"/>
          <w:szCs w:val="44"/>
          <w:highlight w:val="none"/>
          <w:lang w:val="en-US" w:eastAsia="zh-CN"/>
        </w:rPr>
        <w:t>履约考核办法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一、阶段性考核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（一）</w:t>
      </w:r>
      <w:r>
        <w:rPr>
          <w:rFonts w:hint="eastAsia" w:ascii="仿宋" w:hAnsi="仿宋" w:eastAsia="仿宋" w:cs="仿宋"/>
          <w:kern w:val="0"/>
          <w:sz w:val="24"/>
          <w:szCs w:val="24"/>
          <w:highlight w:val="none"/>
        </w:rPr>
        <w:t>阶段</w:t>
      </w:r>
      <w:r>
        <w:rPr>
          <w:rFonts w:hint="eastAsia" w:ascii="仿宋" w:hAnsi="仿宋" w:eastAsia="仿宋" w:cs="仿宋"/>
          <w:kern w:val="0"/>
          <w:sz w:val="24"/>
          <w:szCs w:val="24"/>
          <w:highlight w:val="none"/>
          <w:lang w:eastAsia="zh-CN"/>
        </w:rPr>
        <w:t>性</w:t>
      </w:r>
      <w:r>
        <w:rPr>
          <w:rFonts w:hint="eastAsia" w:ascii="仿宋" w:hAnsi="仿宋" w:eastAsia="仿宋" w:cs="仿宋"/>
          <w:kern w:val="0"/>
          <w:sz w:val="24"/>
          <w:szCs w:val="24"/>
          <w:highlight w:val="none"/>
        </w:rPr>
        <w:t>考核，指发包人根据相关规定及合同约定，对承包人某一阶段工作情况进行的考核，并按合同约定将</w:t>
      </w:r>
      <w:r>
        <w:rPr>
          <w:rFonts w:hint="eastAsia" w:ascii="仿宋" w:hAnsi="仿宋" w:eastAsia="仿宋" w:cs="仿宋"/>
          <w:kern w:val="0"/>
          <w:sz w:val="24"/>
          <w:szCs w:val="24"/>
          <w:highlight w:val="none"/>
          <w:lang w:eastAsia="zh-CN"/>
        </w:rPr>
        <w:t>阶段性</w:t>
      </w:r>
      <w:r>
        <w:rPr>
          <w:rFonts w:hint="eastAsia" w:ascii="仿宋" w:hAnsi="仿宋" w:eastAsia="仿宋" w:cs="仿宋"/>
          <w:kern w:val="0"/>
          <w:sz w:val="24"/>
          <w:szCs w:val="24"/>
          <w:highlight w:val="none"/>
        </w:rPr>
        <w:t>考核结果作为该阶段计量及支付的依据。阶段性考核的阶段范围由发包人根据实际情况确定。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二</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阶段性考核标准：</w:t>
      </w:r>
      <w:r>
        <w:rPr>
          <w:rFonts w:hint="eastAsia" w:ascii="仿宋" w:hAnsi="仿宋" w:eastAsia="仿宋" w:cs="仿宋"/>
          <w:kern w:val="0"/>
          <w:sz w:val="24"/>
          <w:szCs w:val="24"/>
          <w:highlight w:val="none"/>
          <w:u w:val="single"/>
          <w:lang w:val="en-US" w:eastAsia="zh-CN"/>
        </w:rPr>
        <w:t>附件13《</w:t>
      </w:r>
      <w:r>
        <w:rPr>
          <w:rFonts w:hint="eastAsia" w:ascii="仿宋" w:hAnsi="仿宋" w:eastAsia="仿宋" w:cs="仿宋"/>
          <w:kern w:val="0"/>
          <w:sz w:val="24"/>
          <w:szCs w:val="24"/>
          <w:highlight w:val="none"/>
          <w:u w:val="single"/>
        </w:rPr>
        <w:t>阶段性考核表</w:t>
      </w:r>
      <w:r>
        <w:rPr>
          <w:rFonts w:hint="eastAsia" w:ascii="仿宋" w:hAnsi="仿宋" w:eastAsia="仿宋" w:cs="仿宋"/>
          <w:kern w:val="0"/>
          <w:sz w:val="24"/>
          <w:szCs w:val="24"/>
          <w:highlight w:val="none"/>
          <w:u w:val="single"/>
          <w:lang w:val="en-US" w:eastAsia="zh-CN"/>
        </w:rPr>
        <w:t>》</w:t>
      </w:r>
      <w:r>
        <w:rPr>
          <w:rFonts w:hint="eastAsia" w:ascii="仿宋" w:hAnsi="仿宋" w:eastAsia="仿宋" w:cs="仿宋"/>
          <w:kern w:val="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三</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阶段性考核流程：</w:t>
      </w:r>
      <w:r>
        <w:rPr>
          <w:rFonts w:hint="eastAsia" w:ascii="仿宋" w:hAnsi="仿宋" w:eastAsia="仿宋" w:cs="仿宋"/>
          <w:kern w:val="0"/>
          <w:sz w:val="24"/>
          <w:szCs w:val="24"/>
          <w:highlight w:val="none"/>
          <w:u w:val="single"/>
          <w:lang w:val="en-US" w:eastAsia="zh-CN"/>
        </w:rPr>
        <w:t>按发包人要求</w:t>
      </w:r>
      <w:r>
        <w:rPr>
          <w:rFonts w:hint="eastAsia" w:ascii="仿宋" w:hAnsi="仿宋" w:eastAsia="仿宋" w:cs="仿宋"/>
          <w:kern w:val="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四</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阶段性考核频率：</w:t>
      </w:r>
      <w:r>
        <w:rPr>
          <w:rFonts w:hint="eastAsia" w:ascii="仿宋" w:hAnsi="仿宋" w:eastAsia="仿宋" w:cs="仿宋"/>
          <w:kern w:val="0"/>
          <w:sz w:val="24"/>
          <w:szCs w:val="24"/>
          <w:highlight w:val="none"/>
          <w:u w:val="single"/>
          <w:lang w:val="en-US" w:eastAsia="zh-CN"/>
        </w:rPr>
        <w:t>按发包人要求</w:t>
      </w:r>
      <w:r>
        <w:rPr>
          <w:rFonts w:hint="eastAsia" w:ascii="仿宋" w:hAnsi="仿宋" w:eastAsia="仿宋" w:cs="仿宋"/>
          <w:kern w:val="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五</w:t>
      </w:r>
      <w:r>
        <w:rPr>
          <w:rFonts w:hint="eastAsia" w:ascii="仿宋" w:hAnsi="仿宋" w:eastAsia="仿宋" w:cs="仿宋"/>
          <w:kern w:val="0"/>
          <w:sz w:val="24"/>
          <w:szCs w:val="24"/>
          <w:highlight w:val="none"/>
        </w:rPr>
        <w:t>）阶段性考核总体情况占</w:t>
      </w:r>
      <w:r>
        <w:rPr>
          <w:rFonts w:hint="eastAsia" w:ascii="仿宋" w:hAnsi="仿宋" w:eastAsia="仿宋" w:cs="仿宋"/>
          <w:kern w:val="0"/>
          <w:sz w:val="24"/>
          <w:szCs w:val="24"/>
          <w:highlight w:val="none"/>
          <w:lang w:eastAsia="zh-CN"/>
        </w:rPr>
        <w:t>合同服务评价得分</w:t>
      </w:r>
      <w:r>
        <w:rPr>
          <w:rFonts w:hint="eastAsia" w:ascii="仿宋" w:hAnsi="仿宋" w:eastAsia="仿宋" w:cs="仿宋"/>
          <w:kern w:val="0"/>
          <w:sz w:val="24"/>
          <w:szCs w:val="24"/>
          <w:highlight w:val="none"/>
        </w:rPr>
        <w:t>的</w:t>
      </w:r>
      <w:r>
        <w:rPr>
          <w:rFonts w:hint="eastAsia" w:ascii="仿宋" w:hAnsi="仿宋" w:eastAsia="仿宋" w:cs="仿宋"/>
          <w:kern w:val="0"/>
          <w:sz w:val="24"/>
          <w:szCs w:val="24"/>
          <w:highlight w:val="none"/>
          <w:u w:val="single"/>
        </w:rPr>
        <w:t>80%</w:t>
      </w:r>
      <w:r>
        <w:rPr>
          <w:rFonts w:hint="eastAsia" w:ascii="仿宋" w:hAnsi="仿宋" w:eastAsia="仿宋" w:cs="仿宋"/>
          <w:kern w:val="0"/>
          <w:sz w:val="24"/>
          <w:szCs w:val="24"/>
          <w:highlight w:val="none"/>
        </w:rPr>
        <w:t>，由合同履行期内历次阶段性考核总分加权平均后得出分值，即阶段性考核总体得分=（阶段性考核1分数+阶段性考核2分数+...+阶段性考核N分数）/N；</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六</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承包人</w:t>
      </w:r>
      <w:r>
        <w:rPr>
          <w:rFonts w:hint="eastAsia" w:ascii="仿宋" w:hAnsi="仿宋" w:eastAsia="仿宋" w:cs="仿宋"/>
          <w:kern w:val="0"/>
          <w:sz w:val="24"/>
          <w:szCs w:val="24"/>
          <w:highlight w:val="none"/>
        </w:rPr>
        <w:t>认为阶段性考核存在以下情形的，可在阶段性考核评价初步核定意见送达后5个工作日内，向</w:t>
      </w:r>
      <w:r>
        <w:rPr>
          <w:rFonts w:hint="eastAsia" w:ascii="仿宋" w:hAnsi="仿宋" w:eastAsia="仿宋" w:cs="仿宋"/>
          <w:kern w:val="0"/>
          <w:sz w:val="24"/>
          <w:szCs w:val="24"/>
          <w:highlight w:val="none"/>
          <w:lang w:eastAsia="zh-CN"/>
        </w:rPr>
        <w:t>发包人</w:t>
      </w:r>
      <w:r>
        <w:rPr>
          <w:rFonts w:hint="eastAsia" w:ascii="仿宋" w:hAnsi="仿宋" w:eastAsia="仿宋" w:cs="仿宋"/>
          <w:kern w:val="0"/>
          <w:sz w:val="24"/>
          <w:szCs w:val="24"/>
          <w:highlight w:val="none"/>
        </w:rPr>
        <w:t>提出异议申诉。超过5个工作日的，不予受理。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1</w:t>
      </w:r>
      <w:r>
        <w:rPr>
          <w:rFonts w:hint="eastAsia" w:ascii="仿宋" w:hAnsi="仿宋" w:eastAsia="仿宋" w:cs="仿宋"/>
          <w:kern w:val="0"/>
          <w:sz w:val="24"/>
          <w:szCs w:val="24"/>
          <w:highlight w:val="none"/>
        </w:rPr>
        <w:t>）存在错误或者不符合客观事实的；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2</w:t>
      </w:r>
      <w:r>
        <w:rPr>
          <w:rFonts w:hint="eastAsia" w:ascii="仿宋" w:hAnsi="仿宋" w:eastAsia="仿宋" w:cs="仿宋"/>
          <w:kern w:val="0"/>
          <w:sz w:val="24"/>
          <w:szCs w:val="24"/>
          <w:highlight w:val="none"/>
        </w:rPr>
        <w:t>）合同内未约定相关责任义务的；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3</w:t>
      </w:r>
      <w:r>
        <w:rPr>
          <w:rFonts w:hint="eastAsia" w:ascii="仿宋" w:hAnsi="仿宋" w:eastAsia="仿宋" w:cs="仿宋"/>
          <w:kern w:val="0"/>
          <w:sz w:val="24"/>
          <w:szCs w:val="24"/>
          <w:highlight w:val="none"/>
        </w:rPr>
        <w:t>）非合同相对方原因导致合同义务发生变更的；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4</w:t>
      </w:r>
      <w:r>
        <w:rPr>
          <w:rFonts w:hint="eastAsia" w:ascii="仿宋" w:hAnsi="仿宋" w:eastAsia="仿宋" w:cs="仿宋"/>
          <w:kern w:val="0"/>
          <w:sz w:val="24"/>
          <w:szCs w:val="24"/>
          <w:highlight w:val="none"/>
        </w:rPr>
        <w:t>）违反法律、法规和合同其他情形的。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七</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承包人</w:t>
      </w:r>
      <w:r>
        <w:rPr>
          <w:rFonts w:hint="eastAsia" w:ascii="仿宋" w:hAnsi="仿宋" w:eastAsia="仿宋" w:cs="仿宋"/>
          <w:kern w:val="0"/>
          <w:sz w:val="24"/>
          <w:szCs w:val="24"/>
          <w:highlight w:val="none"/>
        </w:rPr>
        <w:t>应安排项目负责人办理异议申诉事务。在办理异议申诉时，应提交加盖公章的</w:t>
      </w:r>
      <w:r>
        <w:rPr>
          <w:rFonts w:hint="eastAsia" w:ascii="仿宋" w:hAnsi="仿宋" w:eastAsia="仿宋" w:cs="仿宋"/>
          <w:kern w:val="0"/>
          <w:sz w:val="24"/>
          <w:szCs w:val="24"/>
          <w:highlight w:val="none"/>
          <w:lang w:eastAsia="zh-CN"/>
        </w:rPr>
        <w:t>附件</w:t>
      </w:r>
      <w:r>
        <w:rPr>
          <w:rFonts w:hint="eastAsia" w:ascii="仿宋" w:hAnsi="仿宋" w:eastAsia="仿宋" w:cs="仿宋"/>
          <w:kern w:val="0"/>
          <w:sz w:val="24"/>
          <w:szCs w:val="24"/>
          <w:highlight w:val="none"/>
          <w:lang w:val="en-US" w:eastAsia="zh-CN"/>
        </w:rPr>
        <w:t>14</w:t>
      </w:r>
      <w:r>
        <w:rPr>
          <w:rFonts w:hint="eastAsia" w:ascii="仿宋" w:hAnsi="仿宋" w:eastAsia="仿宋" w:cs="仿宋"/>
          <w:kern w:val="0"/>
          <w:sz w:val="24"/>
          <w:szCs w:val="24"/>
          <w:highlight w:val="none"/>
        </w:rPr>
        <w:t>《异议申诉书》。《异议申诉书》应包含异议申诉事项的基本事实、相关请求及主张、有效线索及相关证明材料等。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二、部门管理评价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（一）部门管理评价，</w:t>
      </w:r>
      <w:r>
        <w:rPr>
          <w:rFonts w:hint="eastAsia" w:ascii="仿宋" w:hAnsi="仿宋" w:eastAsia="仿宋" w:cs="仿宋"/>
          <w:kern w:val="0"/>
          <w:sz w:val="24"/>
          <w:szCs w:val="24"/>
          <w:highlight w:val="none"/>
        </w:rPr>
        <w:t>指发包人根据相关规定及合同约定，对承包人</w:t>
      </w:r>
      <w:r>
        <w:rPr>
          <w:rFonts w:hint="eastAsia" w:ascii="仿宋" w:hAnsi="仿宋" w:eastAsia="仿宋" w:cs="仿宋"/>
          <w:kern w:val="0"/>
          <w:sz w:val="24"/>
          <w:szCs w:val="24"/>
          <w:highlight w:val="none"/>
          <w:lang w:eastAsia="zh-CN"/>
        </w:rPr>
        <w:t>完整合同服务期间内</w:t>
      </w:r>
      <w:r>
        <w:rPr>
          <w:rFonts w:hint="eastAsia" w:ascii="仿宋" w:hAnsi="仿宋" w:eastAsia="仿宋" w:cs="仿宋"/>
          <w:kern w:val="0"/>
          <w:sz w:val="24"/>
          <w:szCs w:val="24"/>
          <w:highlight w:val="none"/>
        </w:rPr>
        <w:t>工作情况进行</w:t>
      </w:r>
      <w:r>
        <w:rPr>
          <w:rFonts w:hint="eastAsia" w:ascii="仿宋" w:hAnsi="仿宋" w:eastAsia="仿宋" w:cs="仿宋"/>
          <w:kern w:val="0"/>
          <w:sz w:val="24"/>
          <w:szCs w:val="24"/>
          <w:highlight w:val="none"/>
          <w:lang w:eastAsia="zh-CN"/>
        </w:rPr>
        <w:t>评价</w:t>
      </w:r>
      <w:r>
        <w:rPr>
          <w:rFonts w:hint="eastAsia" w:ascii="仿宋" w:hAnsi="仿宋" w:eastAsia="仿宋" w:cs="仿宋"/>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二</w:t>
      </w:r>
      <w:r>
        <w:rPr>
          <w:rFonts w:hint="eastAsia" w:ascii="仿宋" w:hAnsi="仿宋" w:eastAsia="仿宋" w:cs="仿宋"/>
          <w:kern w:val="0"/>
          <w:sz w:val="24"/>
          <w:szCs w:val="24"/>
          <w:highlight w:val="none"/>
        </w:rPr>
        <w:t>）部门管理评价情况占</w:t>
      </w:r>
      <w:r>
        <w:rPr>
          <w:rFonts w:hint="eastAsia" w:ascii="仿宋" w:hAnsi="仿宋" w:eastAsia="仿宋" w:cs="仿宋"/>
          <w:kern w:val="0"/>
          <w:sz w:val="24"/>
          <w:szCs w:val="24"/>
          <w:highlight w:val="none"/>
          <w:lang w:eastAsia="zh-CN"/>
        </w:rPr>
        <w:t>合同服务评价得分</w:t>
      </w:r>
      <w:r>
        <w:rPr>
          <w:rFonts w:hint="eastAsia" w:ascii="仿宋" w:hAnsi="仿宋" w:eastAsia="仿宋" w:cs="仿宋"/>
          <w:kern w:val="0"/>
          <w:sz w:val="24"/>
          <w:szCs w:val="24"/>
          <w:highlight w:val="none"/>
        </w:rPr>
        <w:t>的</w:t>
      </w:r>
      <w:r>
        <w:rPr>
          <w:rFonts w:hint="eastAsia" w:ascii="仿宋" w:hAnsi="仿宋" w:eastAsia="仿宋" w:cs="仿宋"/>
          <w:kern w:val="0"/>
          <w:sz w:val="24"/>
          <w:szCs w:val="24"/>
          <w:highlight w:val="none"/>
          <w:u w:val="single"/>
        </w:rPr>
        <w:t>20%</w:t>
      </w:r>
      <w:r>
        <w:rPr>
          <w:rFonts w:hint="eastAsia" w:ascii="仿宋" w:hAnsi="仿宋" w:eastAsia="仿宋" w:cs="仿宋"/>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三</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部门管理评价标准：由发包人对承包人整个合同期内的</w:t>
      </w:r>
      <w:r>
        <w:rPr>
          <w:rFonts w:hint="eastAsia" w:ascii="仿宋" w:hAnsi="仿宋" w:eastAsia="仿宋" w:cs="仿宋"/>
          <w:kern w:val="0"/>
          <w:sz w:val="24"/>
          <w:szCs w:val="24"/>
          <w:highlight w:val="none"/>
        </w:rPr>
        <w:t>服务态度</w:t>
      </w:r>
      <w:r>
        <w:rPr>
          <w:rFonts w:hint="eastAsia" w:ascii="仿宋" w:hAnsi="仿宋" w:eastAsia="仿宋" w:cs="仿宋"/>
          <w:kern w:val="0"/>
          <w:sz w:val="24"/>
          <w:szCs w:val="24"/>
          <w:highlight w:val="none"/>
          <w:lang w:eastAsia="zh-CN"/>
        </w:rPr>
        <w:t>、服务质量、应急处置、廉洁情况、保密情况进行评分，</w:t>
      </w:r>
      <w:r>
        <w:rPr>
          <w:rFonts w:hint="eastAsia" w:ascii="仿宋" w:hAnsi="仿宋" w:eastAsia="仿宋" w:cs="仿宋"/>
          <w:kern w:val="0"/>
          <w:sz w:val="24"/>
          <w:szCs w:val="24"/>
          <w:highlight w:val="none"/>
        </w:rPr>
        <w:t>分为“好”“较好”“一般”“及格”“不及格”五个等级</w:t>
      </w:r>
      <w:r>
        <w:rPr>
          <w:rFonts w:hint="eastAsia" w:ascii="仿宋" w:hAnsi="仿宋" w:eastAsia="仿宋" w:cs="仿宋"/>
          <w:kern w:val="0"/>
          <w:sz w:val="24"/>
          <w:szCs w:val="24"/>
          <w:highlight w:val="none"/>
          <w:lang w:eastAsia="zh-CN"/>
        </w:rPr>
        <w:t>，主要包含资源投入、高层参与、工作热情、解决态度、尊重配合、沟通协调、进度控制、成果质量、执行要求、提交资料、响应速度、处理效果、处置态度、廉洁情况、保密情况</w:t>
      </w:r>
      <w:r>
        <w:rPr>
          <w:rFonts w:hint="eastAsia" w:ascii="仿宋" w:hAnsi="仿宋" w:eastAsia="仿宋" w:cs="仿宋"/>
          <w:kern w:val="0"/>
          <w:sz w:val="24"/>
          <w:szCs w:val="24"/>
          <w:highlight w:val="none"/>
          <w:lang w:val="en-US" w:eastAsia="zh-CN"/>
        </w:rPr>
        <w:t>15个方面。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四</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部门管理评价流程：</w:t>
      </w:r>
      <w:r>
        <w:rPr>
          <w:rFonts w:hint="eastAsia" w:ascii="仿宋" w:hAnsi="仿宋" w:eastAsia="仿宋" w:cs="仿宋"/>
          <w:kern w:val="0"/>
          <w:sz w:val="24"/>
          <w:szCs w:val="24"/>
          <w:highlight w:val="none"/>
          <w:u w:val="single"/>
          <w:lang w:val="en-US" w:eastAsia="zh-CN"/>
        </w:rPr>
        <w:t>按发包人要求</w:t>
      </w:r>
      <w:r>
        <w:rPr>
          <w:rFonts w:hint="eastAsia" w:ascii="仿宋" w:hAnsi="仿宋" w:eastAsia="仿宋" w:cs="仿宋"/>
          <w:kern w:val="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五</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阶段性考核频率：</w:t>
      </w:r>
      <w:r>
        <w:rPr>
          <w:rFonts w:hint="eastAsia" w:ascii="仿宋" w:hAnsi="仿宋" w:eastAsia="仿宋" w:cs="仿宋"/>
          <w:kern w:val="0"/>
          <w:sz w:val="24"/>
          <w:szCs w:val="24"/>
          <w:highlight w:val="none"/>
          <w:u w:val="single"/>
        </w:rPr>
        <w:t>项目验收后</w:t>
      </w:r>
      <w:r>
        <w:rPr>
          <w:rFonts w:hint="eastAsia" w:ascii="仿宋" w:hAnsi="仿宋" w:eastAsia="仿宋" w:cs="仿宋"/>
          <w:kern w:val="0"/>
          <w:sz w:val="24"/>
          <w:szCs w:val="24"/>
          <w:highlight w:val="none"/>
          <w:u w:val="single"/>
          <w:lang w:eastAsia="zh-CN"/>
        </w:rPr>
        <w:t>由发包人</w:t>
      </w:r>
      <w:r>
        <w:rPr>
          <w:rFonts w:hint="eastAsia" w:ascii="仿宋" w:hAnsi="仿宋" w:eastAsia="仿宋" w:cs="仿宋"/>
          <w:kern w:val="0"/>
          <w:sz w:val="24"/>
          <w:szCs w:val="24"/>
          <w:highlight w:val="none"/>
          <w:u w:val="single"/>
        </w:rPr>
        <w:t>组织实施</w:t>
      </w:r>
      <w:r>
        <w:rPr>
          <w:rFonts w:hint="eastAsia" w:ascii="仿宋" w:hAnsi="仿宋" w:eastAsia="仿宋" w:cs="仿宋"/>
          <w:kern w:val="0"/>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三、</w:t>
      </w:r>
      <w:r>
        <w:rPr>
          <w:rFonts w:hint="eastAsia" w:ascii="仿宋" w:hAnsi="仿宋" w:eastAsia="仿宋" w:cs="仿宋"/>
          <w:b/>
          <w:bCs/>
          <w:kern w:val="0"/>
          <w:sz w:val="24"/>
          <w:szCs w:val="24"/>
          <w:highlight w:val="none"/>
        </w:rPr>
        <w:t>合同服务评价</w:t>
      </w:r>
      <w:r>
        <w:rPr>
          <w:rFonts w:hint="eastAsia" w:ascii="仿宋" w:hAnsi="仿宋" w:eastAsia="仿宋" w:cs="仿宋"/>
          <w:b/>
          <w:bCs/>
          <w:kern w:val="0"/>
          <w:sz w:val="24"/>
          <w:szCs w:val="24"/>
          <w:highlight w:val="none"/>
          <w:lang w:eastAsia="zh-CN"/>
        </w:rPr>
        <w:t>得分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发包人根据相关规定及合同约定，</w:t>
      </w:r>
      <w:r>
        <w:rPr>
          <w:rFonts w:hint="eastAsia" w:ascii="仿宋" w:hAnsi="仿宋" w:eastAsia="仿宋" w:cs="仿宋"/>
          <w:kern w:val="0"/>
          <w:sz w:val="24"/>
          <w:szCs w:val="24"/>
          <w:highlight w:val="none"/>
          <w:lang w:eastAsia="zh-CN"/>
        </w:rPr>
        <w:t>由阶段性考核结果和部门管理评价结果加权得出的分值，综合反映承包人在</w:t>
      </w:r>
      <w:r>
        <w:rPr>
          <w:rFonts w:hint="eastAsia" w:ascii="仿宋" w:hAnsi="仿宋" w:eastAsia="仿宋" w:cs="仿宋"/>
          <w:kern w:val="0"/>
          <w:sz w:val="24"/>
          <w:szCs w:val="24"/>
          <w:highlight w:val="none"/>
        </w:rPr>
        <w:t>完整合同服务期间内</w:t>
      </w:r>
      <w:r>
        <w:rPr>
          <w:rFonts w:hint="eastAsia" w:ascii="仿宋" w:hAnsi="仿宋" w:eastAsia="仿宋" w:cs="仿宋"/>
          <w:kern w:val="0"/>
          <w:sz w:val="24"/>
          <w:szCs w:val="24"/>
          <w:highlight w:val="none"/>
          <w:lang w:eastAsia="zh-CN"/>
        </w:rPr>
        <w:t>的</w:t>
      </w:r>
      <w:r>
        <w:rPr>
          <w:rFonts w:hint="eastAsia" w:ascii="仿宋" w:hAnsi="仿宋" w:eastAsia="仿宋" w:cs="仿宋"/>
          <w:kern w:val="0"/>
          <w:sz w:val="24"/>
          <w:szCs w:val="24"/>
          <w:highlight w:val="none"/>
        </w:rPr>
        <w:t>工作情况</w:t>
      </w:r>
      <w:r>
        <w:rPr>
          <w:rFonts w:hint="eastAsia" w:ascii="仿宋" w:hAnsi="仿宋" w:eastAsia="仿宋" w:cs="仿宋"/>
          <w:kern w:val="0"/>
          <w:sz w:val="24"/>
          <w:szCs w:val="24"/>
          <w:highlight w:val="none"/>
          <w:lang w:eastAsia="zh-CN"/>
        </w:rPr>
        <w:t>，是履约考核结果的体现</w:t>
      </w:r>
      <w:r>
        <w:rPr>
          <w:rFonts w:hint="eastAsia" w:ascii="仿宋" w:hAnsi="仿宋" w:eastAsia="仿宋" w:cs="仿宋"/>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（一）</w:t>
      </w:r>
      <w:r>
        <w:rPr>
          <w:rFonts w:hint="eastAsia" w:ascii="仿宋" w:hAnsi="仿宋" w:eastAsia="仿宋" w:cs="仿宋"/>
          <w:kern w:val="0"/>
          <w:sz w:val="24"/>
          <w:szCs w:val="24"/>
          <w:highlight w:val="none"/>
        </w:rPr>
        <w:t>合同服务评价得分由阶段性考核得分和部门管理评价得分加权得出。合同服务评价分值组成如下：合同服务评价得分=</w:t>
      </w:r>
      <w:r>
        <w:rPr>
          <w:rFonts w:hint="eastAsia" w:ascii="仿宋" w:hAnsi="仿宋" w:eastAsia="仿宋" w:cs="仿宋"/>
          <w:kern w:val="0"/>
          <w:sz w:val="24"/>
          <w:szCs w:val="24"/>
          <w:highlight w:val="none"/>
          <w:u w:val="single"/>
        </w:rPr>
        <w:t>阶段性考核总体得分×0.8+部门管理评价得分×0.2</w:t>
      </w:r>
      <w:r>
        <w:rPr>
          <w:rFonts w:hint="eastAsia" w:ascii="仿宋" w:hAnsi="仿宋" w:eastAsia="仿宋" w:cs="仿宋"/>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二</w:t>
      </w:r>
      <w:r>
        <w:rPr>
          <w:rFonts w:hint="eastAsia" w:ascii="仿宋" w:hAnsi="仿宋" w:eastAsia="仿宋" w:cs="仿宋"/>
          <w:kern w:val="0"/>
          <w:sz w:val="24"/>
          <w:szCs w:val="24"/>
          <w:highlight w:val="none"/>
        </w:rPr>
        <w:t>）履约考核评价结论应根据合同服务评价得分情况，按照以下规则给予评定</w:t>
      </w:r>
      <w:r>
        <w:rPr>
          <w:rFonts w:hint="eastAsia" w:ascii="仿宋" w:hAnsi="仿宋" w:eastAsia="仿宋" w:cs="仿宋"/>
          <w:kern w:val="0"/>
          <w:sz w:val="24"/>
          <w:szCs w:val="24"/>
          <w:highlight w:val="none"/>
          <w:lang w:eastAsia="zh-CN"/>
        </w:rPr>
        <w:t>合同服务评价评级。</w:t>
      </w:r>
      <w:r>
        <w:rPr>
          <w:rFonts w:hint="eastAsia" w:ascii="仿宋" w:hAnsi="仿宋" w:eastAsia="仿宋" w:cs="仿宋"/>
          <w:kern w:val="0"/>
          <w:sz w:val="24"/>
          <w:szCs w:val="24"/>
          <w:highlight w:val="none"/>
          <w:lang w:val="en-US" w:eastAsia="zh-CN"/>
        </w:rPr>
        <w:t>合同服务评价</w:t>
      </w:r>
      <w:r>
        <w:rPr>
          <w:rFonts w:hint="eastAsia" w:ascii="仿宋" w:hAnsi="仿宋" w:eastAsia="仿宋" w:cs="仿宋"/>
          <w:kern w:val="0"/>
          <w:sz w:val="24"/>
          <w:szCs w:val="24"/>
          <w:highlight w:val="none"/>
          <w:lang w:eastAsia="zh-CN"/>
        </w:rPr>
        <w:t>得分</w:t>
      </w:r>
      <w:r>
        <w:rPr>
          <w:rFonts w:hint="eastAsia" w:ascii="仿宋" w:hAnsi="仿宋" w:eastAsia="仿宋" w:cs="仿宋"/>
          <w:kern w:val="0"/>
          <w:sz w:val="24"/>
          <w:szCs w:val="24"/>
          <w:highlight w:val="none"/>
        </w:rPr>
        <w:t>在90分及以上的，给予“优”结论；</w:t>
      </w:r>
      <w:r>
        <w:rPr>
          <w:rFonts w:hint="eastAsia" w:ascii="仿宋" w:hAnsi="仿宋" w:eastAsia="仿宋" w:cs="仿宋"/>
          <w:kern w:val="0"/>
          <w:sz w:val="24"/>
          <w:szCs w:val="24"/>
          <w:highlight w:val="none"/>
          <w:lang w:val="en-US" w:eastAsia="zh-CN"/>
        </w:rPr>
        <w:t>合同服务评价</w:t>
      </w:r>
      <w:r>
        <w:rPr>
          <w:rFonts w:hint="eastAsia" w:ascii="仿宋" w:hAnsi="仿宋" w:eastAsia="仿宋" w:cs="仿宋"/>
          <w:kern w:val="0"/>
          <w:sz w:val="24"/>
          <w:szCs w:val="24"/>
          <w:highlight w:val="none"/>
        </w:rPr>
        <w:t>得分在80分至90分的，给予“良”结论；</w:t>
      </w:r>
      <w:r>
        <w:rPr>
          <w:rFonts w:hint="eastAsia" w:ascii="仿宋" w:hAnsi="仿宋" w:eastAsia="仿宋" w:cs="仿宋"/>
          <w:kern w:val="0"/>
          <w:sz w:val="24"/>
          <w:szCs w:val="24"/>
          <w:highlight w:val="none"/>
          <w:lang w:val="en-US" w:eastAsia="zh-CN"/>
        </w:rPr>
        <w:t>合同服务评价</w:t>
      </w:r>
      <w:r>
        <w:rPr>
          <w:rFonts w:hint="eastAsia" w:ascii="仿宋" w:hAnsi="仿宋" w:eastAsia="仿宋" w:cs="仿宋"/>
          <w:kern w:val="0"/>
          <w:sz w:val="24"/>
          <w:szCs w:val="24"/>
          <w:highlight w:val="none"/>
        </w:rPr>
        <w:t>得分在60分至80分的，给予“中”结论</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合同服务评价</w:t>
      </w:r>
      <w:r>
        <w:rPr>
          <w:rFonts w:hint="eastAsia" w:ascii="仿宋" w:hAnsi="仿宋" w:eastAsia="仿宋" w:cs="仿宋"/>
          <w:kern w:val="0"/>
          <w:sz w:val="24"/>
          <w:szCs w:val="24"/>
          <w:highlight w:val="none"/>
        </w:rPr>
        <w:t>得分在60分以下的，给予“差”结论。以上区间内的小数含本数。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三</w:t>
      </w:r>
      <w:r>
        <w:rPr>
          <w:rFonts w:hint="eastAsia" w:ascii="仿宋" w:hAnsi="仿宋" w:eastAsia="仿宋" w:cs="仿宋"/>
          <w:kern w:val="0"/>
          <w:sz w:val="24"/>
          <w:szCs w:val="24"/>
          <w:highlight w:val="none"/>
        </w:rPr>
        <w:t>）</w:t>
      </w:r>
      <w:r>
        <w:rPr>
          <w:rFonts w:hint="default" w:ascii="仿宋" w:hAnsi="仿宋" w:eastAsia="仿宋" w:cs="仿宋"/>
          <w:kern w:val="0"/>
          <w:sz w:val="24"/>
          <w:szCs w:val="24"/>
          <w:highlight w:val="none"/>
        </w:rPr>
        <w:t>有下列情形之一的，</w:t>
      </w:r>
      <w:r>
        <w:rPr>
          <w:rFonts w:hint="eastAsia" w:ascii="仿宋" w:hAnsi="仿宋" w:eastAsia="仿宋" w:cs="仿宋"/>
          <w:kern w:val="0"/>
          <w:sz w:val="24"/>
          <w:szCs w:val="24"/>
          <w:highlight w:val="none"/>
          <w:lang w:eastAsia="zh-CN"/>
        </w:rPr>
        <w:t>合同服务评价评级</w:t>
      </w:r>
      <w:r>
        <w:rPr>
          <w:rFonts w:hint="default" w:ascii="仿宋" w:hAnsi="仿宋" w:eastAsia="仿宋" w:cs="仿宋"/>
          <w:kern w:val="0"/>
          <w:sz w:val="24"/>
          <w:szCs w:val="24"/>
          <w:highlight w:val="none"/>
        </w:rPr>
        <w:t>不得评为“优”或“优秀”等级。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1</w:t>
      </w:r>
      <w:r>
        <w:rPr>
          <w:rFonts w:hint="default" w:ascii="仿宋" w:hAnsi="仿宋" w:eastAsia="仿宋" w:cs="仿宋"/>
          <w:kern w:val="0"/>
          <w:sz w:val="24"/>
          <w:szCs w:val="24"/>
          <w:highlight w:val="none"/>
        </w:rPr>
        <w:t>）经认定使用假冒伪劣材料、产品或偷工减料的；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2</w:t>
      </w:r>
      <w:r>
        <w:rPr>
          <w:rFonts w:hint="default" w:ascii="仿宋" w:hAnsi="仿宋" w:eastAsia="仿宋" w:cs="仿宋"/>
          <w:kern w:val="0"/>
          <w:sz w:val="24"/>
          <w:szCs w:val="24"/>
          <w:highlight w:val="none"/>
        </w:rPr>
        <w:t>）因自身原因造成工程发生一般质量或安全事故；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3</w:t>
      </w:r>
      <w:r>
        <w:rPr>
          <w:rFonts w:hint="default" w:ascii="仿宋" w:hAnsi="仿宋" w:eastAsia="仿宋" w:cs="仿宋"/>
          <w:kern w:val="0"/>
          <w:sz w:val="24"/>
          <w:szCs w:val="24"/>
          <w:highlight w:val="none"/>
        </w:rPr>
        <w:t>）因自身原因引发群体性上访事件的；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4</w:t>
      </w:r>
      <w:r>
        <w:rPr>
          <w:rFonts w:hint="default" w:ascii="仿宋" w:hAnsi="仿宋" w:eastAsia="仿宋" w:cs="仿宋"/>
          <w:kern w:val="0"/>
          <w:sz w:val="24"/>
          <w:szCs w:val="24"/>
          <w:highlight w:val="none"/>
        </w:rPr>
        <w:t>）招标文件或合同文件中列明的其他情形。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四</w:t>
      </w:r>
      <w:r>
        <w:rPr>
          <w:rFonts w:hint="eastAsia" w:ascii="仿宋" w:hAnsi="仿宋" w:eastAsia="仿宋" w:cs="仿宋"/>
          <w:kern w:val="0"/>
          <w:sz w:val="24"/>
          <w:szCs w:val="24"/>
          <w:highlight w:val="none"/>
        </w:rPr>
        <w:t>）</w:t>
      </w:r>
      <w:r>
        <w:rPr>
          <w:rFonts w:hint="default" w:ascii="仿宋" w:hAnsi="仿宋" w:eastAsia="仿宋" w:cs="仿宋"/>
          <w:kern w:val="0"/>
          <w:sz w:val="24"/>
          <w:szCs w:val="24"/>
          <w:highlight w:val="none"/>
        </w:rPr>
        <w:t>有下列情形之一的，</w:t>
      </w:r>
      <w:r>
        <w:rPr>
          <w:rFonts w:hint="eastAsia" w:ascii="仿宋" w:hAnsi="仿宋" w:eastAsia="仿宋" w:cs="仿宋"/>
          <w:kern w:val="0"/>
          <w:sz w:val="24"/>
          <w:szCs w:val="24"/>
          <w:highlight w:val="none"/>
          <w:lang w:eastAsia="zh-CN"/>
        </w:rPr>
        <w:t>合同服务评价评级</w:t>
      </w:r>
      <w:r>
        <w:rPr>
          <w:rFonts w:hint="default" w:ascii="仿宋" w:hAnsi="仿宋" w:eastAsia="仿宋" w:cs="仿宋"/>
          <w:kern w:val="0"/>
          <w:sz w:val="24"/>
          <w:szCs w:val="24"/>
          <w:highlight w:val="none"/>
        </w:rPr>
        <w:t>给予“差”或“不合格”等级。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1</w:t>
      </w:r>
      <w:r>
        <w:rPr>
          <w:rFonts w:hint="default" w:ascii="仿宋" w:hAnsi="仿宋" w:eastAsia="仿宋" w:cs="仿宋"/>
          <w:kern w:val="0"/>
          <w:sz w:val="24"/>
          <w:szCs w:val="24"/>
          <w:highlight w:val="none"/>
        </w:rPr>
        <w:t>）经认定使用假冒伪劣材料、产品或偷工减料的，情节恶劣或情形严重的；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2</w:t>
      </w:r>
      <w:r>
        <w:rPr>
          <w:rFonts w:hint="default" w:ascii="仿宋" w:hAnsi="仿宋" w:eastAsia="仿宋" w:cs="仿宋"/>
          <w:kern w:val="0"/>
          <w:sz w:val="24"/>
          <w:szCs w:val="24"/>
          <w:highlight w:val="none"/>
        </w:rPr>
        <w:t>）因自身原因造成工程发生较大及以上质量或安全事故的；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3</w:t>
      </w:r>
      <w:r>
        <w:rPr>
          <w:rFonts w:hint="default" w:ascii="仿宋" w:hAnsi="仿宋" w:eastAsia="仿宋" w:cs="仿宋"/>
          <w:kern w:val="0"/>
          <w:sz w:val="24"/>
          <w:szCs w:val="24"/>
          <w:highlight w:val="none"/>
        </w:rPr>
        <w:t>）因自身原因引发群体性上访事件的，造成较大社会负面影响的；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4</w:t>
      </w:r>
      <w:r>
        <w:rPr>
          <w:rFonts w:hint="default" w:ascii="仿宋" w:hAnsi="仿宋" w:eastAsia="仿宋" w:cs="仿宋"/>
          <w:kern w:val="0"/>
          <w:sz w:val="24"/>
          <w:szCs w:val="24"/>
          <w:highlight w:val="none"/>
        </w:rPr>
        <w:t>）因伪造数据、材料造成严重不良影响的；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5</w:t>
      </w:r>
      <w:r>
        <w:rPr>
          <w:rFonts w:hint="default" w:ascii="仿宋" w:hAnsi="仿宋" w:eastAsia="仿宋" w:cs="仿宋"/>
          <w:kern w:val="0"/>
          <w:sz w:val="24"/>
          <w:szCs w:val="24"/>
          <w:highlight w:val="none"/>
        </w:rPr>
        <w:t>）因廉政问题造成严重不良影响的；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6</w:t>
      </w:r>
      <w:r>
        <w:rPr>
          <w:rFonts w:hint="default" w:ascii="仿宋" w:hAnsi="仿宋" w:eastAsia="仿宋" w:cs="仿宋"/>
          <w:kern w:val="0"/>
          <w:sz w:val="24"/>
          <w:szCs w:val="24"/>
          <w:highlight w:val="none"/>
        </w:rPr>
        <w:t>）因违反保密协议造成严重不良影响的；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7</w:t>
      </w:r>
      <w:r>
        <w:rPr>
          <w:rFonts w:hint="default" w:ascii="仿宋" w:hAnsi="仿宋" w:eastAsia="仿宋" w:cs="仿宋"/>
          <w:kern w:val="0"/>
          <w:sz w:val="24"/>
          <w:szCs w:val="24"/>
          <w:highlight w:val="none"/>
        </w:rPr>
        <w:t>）无正当理由不履行合同造成严重不良影响的；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8</w:t>
      </w:r>
      <w:r>
        <w:rPr>
          <w:rFonts w:hint="default" w:ascii="仿宋" w:hAnsi="仿宋" w:eastAsia="仿宋" w:cs="仿宋"/>
          <w:kern w:val="0"/>
          <w:sz w:val="24"/>
          <w:szCs w:val="24"/>
          <w:highlight w:val="none"/>
        </w:rPr>
        <w:t>）其他造成严重后果或恶劣影响或对公共安全造成严重威胁行为的；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9</w:t>
      </w:r>
      <w:r>
        <w:rPr>
          <w:rFonts w:hint="default" w:ascii="仿宋" w:hAnsi="仿宋" w:eastAsia="仿宋" w:cs="仿宋"/>
          <w:kern w:val="0"/>
          <w:sz w:val="24"/>
          <w:szCs w:val="24"/>
          <w:highlight w:val="none"/>
        </w:rPr>
        <w:t>）招标文件或合同文件中列明的其他情形。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四、履约考核与支付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（一）发包人对承包人进行</w:t>
      </w:r>
      <w:r>
        <w:rPr>
          <w:rFonts w:hint="eastAsia" w:ascii="仿宋" w:hAnsi="仿宋" w:eastAsia="仿宋" w:cs="仿宋"/>
          <w:kern w:val="0"/>
          <w:sz w:val="24"/>
          <w:szCs w:val="24"/>
          <w:highlight w:val="none"/>
          <w:lang w:eastAsia="zh-CN"/>
        </w:rPr>
        <w:t>阶段性</w:t>
      </w:r>
      <w:r>
        <w:rPr>
          <w:rFonts w:hint="eastAsia" w:ascii="仿宋" w:hAnsi="仿宋" w:eastAsia="仿宋" w:cs="仿宋"/>
          <w:kern w:val="0"/>
          <w:sz w:val="24"/>
          <w:szCs w:val="24"/>
          <w:highlight w:val="none"/>
        </w:rPr>
        <w:t>考核</w:t>
      </w:r>
      <w:r>
        <w:rPr>
          <w:rFonts w:hint="eastAsia" w:ascii="仿宋" w:hAnsi="仿宋" w:eastAsia="仿宋" w:cs="仿宋"/>
          <w:kern w:val="0"/>
          <w:sz w:val="24"/>
          <w:szCs w:val="24"/>
          <w:highlight w:val="none"/>
          <w:lang w:eastAsia="zh-CN"/>
        </w:rPr>
        <w:t>并</w:t>
      </w:r>
      <w:r>
        <w:rPr>
          <w:rFonts w:hint="eastAsia" w:ascii="仿宋" w:hAnsi="仿宋" w:eastAsia="仿宋" w:cs="仿宋"/>
          <w:kern w:val="0"/>
          <w:sz w:val="24"/>
          <w:szCs w:val="24"/>
          <w:highlight w:val="none"/>
        </w:rPr>
        <w:t>具体按以下比例进行支付：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）阶段性考核得分在90分及以上的，可支付申请合同款的100%；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）阶段性考核得分在90分以下的，支付合同款=申请合同款－（90－阶段性考核得分）×</w:t>
      </w:r>
      <w:r>
        <w:rPr>
          <w:rFonts w:hint="eastAsia" w:ascii="仿宋" w:hAnsi="仿宋" w:eastAsia="仿宋" w:cs="仿宋"/>
          <w:kern w:val="0"/>
          <w:sz w:val="24"/>
          <w:szCs w:val="24"/>
          <w:highlight w:val="none"/>
          <w:lang w:eastAsia="zh-CN"/>
        </w:rPr>
        <w:t>扣除金额</w:t>
      </w:r>
      <w:r>
        <w:rPr>
          <w:rFonts w:hint="eastAsia" w:ascii="仿宋" w:hAnsi="仿宋" w:eastAsia="仿宋" w:cs="仿宋"/>
          <w:kern w:val="0"/>
          <w:sz w:val="24"/>
          <w:szCs w:val="24"/>
          <w:highlight w:val="none"/>
        </w:rPr>
        <w:t>，直至扣完合同价的10%；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扣除金额对照表《计算参考表》根据不同项目年度合同价应按内插法计算。</w:t>
      </w:r>
    </w:p>
    <w:p>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表</w:t>
      </w:r>
      <w:r>
        <w:rPr>
          <w:rFonts w:hint="eastAsia" w:ascii="仿宋" w:hAnsi="仿宋" w:eastAsia="仿宋" w:cs="仿宋"/>
          <w:b w:val="0"/>
          <w:bCs w:val="0"/>
          <w:kern w:val="0"/>
          <w:sz w:val="24"/>
          <w:szCs w:val="24"/>
          <w:highlight w:val="none"/>
          <w:lang w:val="en-US" w:eastAsia="zh-CN"/>
        </w:rPr>
        <w:t xml:space="preserve"> </w:t>
      </w:r>
      <w:r>
        <w:rPr>
          <w:rFonts w:hint="eastAsia" w:ascii="仿宋" w:hAnsi="仿宋" w:eastAsia="仿宋" w:cs="仿宋"/>
          <w:b w:val="0"/>
          <w:bCs w:val="0"/>
          <w:color w:val="auto"/>
          <w:kern w:val="0"/>
          <w:sz w:val="24"/>
          <w:szCs w:val="24"/>
          <w:highlight w:val="none"/>
          <w:lang w:val="en-US" w:eastAsia="zh-CN"/>
        </w:rPr>
        <w:t>计算参考表</w:t>
      </w:r>
    </w:p>
    <w:tbl>
      <w:tblPr>
        <w:tblStyle w:val="20"/>
        <w:tblW w:w="909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4475"/>
        <w:gridCol w:w="35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1"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b/>
                <w:bCs/>
                <w:color w:val="000000"/>
                <w:kern w:val="2"/>
                <w:sz w:val="21"/>
                <w:szCs w:val="21"/>
                <w:highlight w:val="none"/>
                <w:vertAlign w:val="baseline"/>
                <w:lang w:val="en-US" w:eastAsia="zh-CN"/>
              </w:rPr>
            </w:pPr>
            <w:r>
              <w:rPr>
                <w:rFonts w:hint="eastAsia" w:ascii="国标仿宋" w:hAnsi="国标仿宋" w:eastAsia="国标仿宋" w:cs="国标仿宋"/>
                <w:b/>
                <w:bCs/>
                <w:color w:val="000000"/>
                <w:kern w:val="2"/>
                <w:sz w:val="21"/>
                <w:szCs w:val="21"/>
                <w:highlight w:val="none"/>
                <w:lang w:val="en-US" w:eastAsia="zh-CN"/>
              </w:rPr>
              <w:t>序号</w:t>
            </w:r>
          </w:p>
        </w:tc>
        <w:tc>
          <w:tcPr>
            <w:tcW w:w="4475"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b/>
                <w:bCs/>
                <w:color w:val="000000"/>
                <w:kern w:val="2"/>
                <w:sz w:val="21"/>
                <w:szCs w:val="21"/>
                <w:highlight w:val="none"/>
                <w:vertAlign w:val="baseline"/>
                <w:lang w:val="en-US" w:eastAsia="zh-CN" w:bidi="ar-SA"/>
              </w:rPr>
            </w:pPr>
            <w:r>
              <w:rPr>
                <w:rFonts w:hint="eastAsia" w:ascii="国标仿宋" w:hAnsi="国标仿宋" w:eastAsia="国标仿宋" w:cs="国标仿宋"/>
                <w:b/>
                <w:bCs/>
                <w:color w:val="000000"/>
                <w:kern w:val="2"/>
                <w:sz w:val="21"/>
                <w:szCs w:val="21"/>
                <w:highlight w:val="none"/>
                <w:lang w:val="en-US" w:eastAsia="zh-CN"/>
              </w:rPr>
              <w:t>项目合同价</w:t>
            </w:r>
          </w:p>
        </w:tc>
        <w:tc>
          <w:tcPr>
            <w:tcW w:w="3562"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b/>
                <w:bCs/>
                <w:color w:val="000000"/>
                <w:kern w:val="2"/>
                <w:sz w:val="21"/>
                <w:szCs w:val="21"/>
                <w:highlight w:val="none"/>
                <w:vertAlign w:val="baseline"/>
                <w:lang w:val="en-US" w:eastAsia="zh-CN" w:bidi="ar-SA"/>
              </w:rPr>
            </w:pPr>
            <w:r>
              <w:rPr>
                <w:rFonts w:hint="eastAsia" w:ascii="国标仿宋" w:hAnsi="国标仿宋" w:eastAsia="国标仿宋" w:cs="国标仿宋"/>
                <w:b/>
                <w:bCs/>
                <w:color w:val="000000"/>
                <w:kern w:val="2"/>
                <w:sz w:val="21"/>
                <w:szCs w:val="21"/>
                <w:highlight w:val="none"/>
                <w:vertAlign w:val="baseline"/>
                <w:lang w:val="en-US" w:eastAsia="zh-CN"/>
              </w:rPr>
              <w:t>扣除金额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61"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kern w:val="2"/>
                <w:sz w:val="21"/>
                <w:szCs w:val="21"/>
                <w:highlight w:val="none"/>
                <w:vertAlign w:val="baseline"/>
                <w:lang w:val="en-US" w:eastAsia="zh-CN"/>
              </w:rPr>
            </w:pPr>
            <w:r>
              <w:rPr>
                <w:rFonts w:hint="eastAsia" w:ascii="国标仿宋" w:hAnsi="国标仿宋" w:eastAsia="国标仿宋" w:cs="国标仿宋"/>
                <w:color w:val="000000"/>
                <w:sz w:val="21"/>
                <w:szCs w:val="21"/>
                <w:highlight w:val="none"/>
                <w:vertAlign w:val="baseline"/>
                <w:lang w:val="en-US" w:eastAsia="zh-CN"/>
              </w:rPr>
              <w:t>1</w:t>
            </w:r>
          </w:p>
        </w:tc>
        <w:tc>
          <w:tcPr>
            <w:tcW w:w="4475"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kern w:val="2"/>
                <w:sz w:val="21"/>
                <w:szCs w:val="21"/>
                <w:highlight w:val="none"/>
                <w:vertAlign w:val="baseline"/>
                <w:lang w:val="en-US" w:eastAsia="zh-CN" w:bidi="ar-SA"/>
              </w:rPr>
            </w:pPr>
            <w:r>
              <w:rPr>
                <w:rFonts w:hint="eastAsia" w:ascii="国标仿宋" w:hAnsi="国标仿宋" w:eastAsia="国标仿宋" w:cs="国标仿宋"/>
                <w:color w:val="000000"/>
                <w:sz w:val="21"/>
                <w:szCs w:val="21"/>
                <w:highlight w:val="none"/>
                <w:vertAlign w:val="baseline"/>
                <w:lang w:val="en-US" w:eastAsia="zh-CN"/>
              </w:rPr>
              <w:t>10</w:t>
            </w:r>
            <w:r>
              <w:rPr>
                <w:rFonts w:hint="eastAsia" w:ascii="国标仿宋" w:hAnsi="国标仿宋" w:eastAsia="国标仿宋" w:cs="国标仿宋"/>
                <w:color w:val="000000"/>
                <w:kern w:val="2"/>
                <w:sz w:val="21"/>
                <w:szCs w:val="21"/>
                <w:highlight w:val="none"/>
                <w:vertAlign w:val="baseline"/>
                <w:lang w:val="en-US" w:eastAsia="zh-CN"/>
              </w:rPr>
              <w:t>万元及以下</w:t>
            </w:r>
          </w:p>
        </w:tc>
        <w:tc>
          <w:tcPr>
            <w:tcW w:w="3562"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kern w:val="2"/>
                <w:sz w:val="21"/>
                <w:szCs w:val="21"/>
                <w:highlight w:val="none"/>
                <w:vertAlign w:val="baseline"/>
                <w:lang w:val="en-US" w:eastAsia="zh-CN" w:bidi="ar-SA"/>
              </w:rPr>
            </w:pPr>
            <w:r>
              <w:rPr>
                <w:rFonts w:hint="eastAsia" w:ascii="国标仿宋" w:hAnsi="国标仿宋" w:eastAsia="国标仿宋" w:cs="国标仿宋"/>
                <w:color w:val="000000"/>
                <w:sz w:val="21"/>
                <w:szCs w:val="21"/>
                <w:highlight w:val="none"/>
                <w:vertAlign w:val="baseline"/>
                <w:lang w:val="en-US" w:eastAsia="zh-CN"/>
              </w:rPr>
              <w:t>500</w:t>
            </w:r>
            <w:r>
              <w:rPr>
                <w:rFonts w:hint="eastAsia" w:ascii="国标仿宋" w:hAnsi="国标仿宋" w:eastAsia="国标仿宋" w:cs="国标仿宋"/>
                <w:color w:val="000000"/>
                <w:sz w:val="21"/>
                <w:szCs w:val="21"/>
                <w:highlight w:val="none"/>
                <w:vertAlign w:val="baseline"/>
                <w:lang w:val="en-US" w:eastAsia="zh-CN" w:bidi="ar-SA"/>
              </w:rPr>
              <w:t>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061"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sz w:val="21"/>
                <w:szCs w:val="21"/>
                <w:highlight w:val="none"/>
                <w:vertAlign w:val="baseline"/>
                <w:lang w:val="en-US" w:eastAsia="zh-CN"/>
              </w:rPr>
            </w:pPr>
            <w:r>
              <w:rPr>
                <w:rFonts w:hint="eastAsia" w:ascii="国标仿宋" w:hAnsi="国标仿宋" w:eastAsia="国标仿宋" w:cs="国标仿宋"/>
                <w:color w:val="000000"/>
                <w:sz w:val="21"/>
                <w:szCs w:val="21"/>
                <w:highlight w:val="none"/>
                <w:vertAlign w:val="baseline"/>
                <w:lang w:val="en-US" w:eastAsia="zh-CN"/>
              </w:rPr>
              <w:t>2</w:t>
            </w:r>
          </w:p>
        </w:tc>
        <w:tc>
          <w:tcPr>
            <w:tcW w:w="4475"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kern w:val="2"/>
                <w:sz w:val="21"/>
                <w:szCs w:val="21"/>
                <w:highlight w:val="none"/>
                <w:vertAlign w:val="baseline"/>
                <w:lang w:val="en-US" w:eastAsia="zh-CN" w:bidi="ar-SA"/>
              </w:rPr>
            </w:pPr>
            <w:r>
              <w:rPr>
                <w:rFonts w:hint="eastAsia" w:ascii="国标仿宋" w:hAnsi="国标仿宋" w:eastAsia="国标仿宋" w:cs="国标仿宋"/>
                <w:color w:val="000000"/>
                <w:sz w:val="21"/>
                <w:szCs w:val="21"/>
                <w:highlight w:val="none"/>
                <w:vertAlign w:val="baseline"/>
                <w:lang w:val="en-US" w:eastAsia="zh-CN"/>
              </w:rPr>
              <w:t>50</w:t>
            </w:r>
            <w:r>
              <w:rPr>
                <w:rFonts w:hint="eastAsia" w:ascii="国标仿宋" w:hAnsi="国标仿宋" w:eastAsia="国标仿宋" w:cs="国标仿宋"/>
                <w:color w:val="000000"/>
                <w:kern w:val="2"/>
                <w:sz w:val="21"/>
                <w:szCs w:val="21"/>
                <w:highlight w:val="none"/>
                <w:vertAlign w:val="baseline"/>
                <w:lang w:val="en-US" w:eastAsia="zh-CN"/>
              </w:rPr>
              <w:t>万元</w:t>
            </w:r>
          </w:p>
        </w:tc>
        <w:tc>
          <w:tcPr>
            <w:tcW w:w="3562"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sz w:val="21"/>
                <w:szCs w:val="21"/>
                <w:highlight w:val="none"/>
                <w:vertAlign w:val="baseline"/>
                <w:lang w:val="en-US" w:eastAsia="zh-CN"/>
              </w:rPr>
            </w:pPr>
            <w:r>
              <w:rPr>
                <w:rFonts w:hint="eastAsia" w:ascii="国标仿宋" w:hAnsi="国标仿宋" w:eastAsia="国标仿宋" w:cs="国标仿宋"/>
                <w:color w:val="000000"/>
                <w:sz w:val="21"/>
                <w:szCs w:val="21"/>
                <w:highlight w:val="none"/>
                <w:vertAlign w:val="baseline"/>
                <w:lang w:val="en-US" w:eastAsia="zh-CN"/>
              </w:rPr>
              <w:t>1000</w:t>
            </w:r>
            <w:r>
              <w:rPr>
                <w:rFonts w:hint="eastAsia" w:ascii="国标仿宋" w:hAnsi="国标仿宋" w:eastAsia="国标仿宋" w:cs="国标仿宋"/>
                <w:color w:val="000000"/>
                <w:sz w:val="21"/>
                <w:szCs w:val="21"/>
                <w:highlight w:val="none"/>
                <w:vertAlign w:val="baseline"/>
                <w:lang w:val="en-US" w:eastAsia="zh-CN" w:bidi="ar-SA"/>
              </w:rPr>
              <w:t>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61"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sz w:val="21"/>
                <w:szCs w:val="21"/>
                <w:highlight w:val="none"/>
                <w:vertAlign w:val="baseline"/>
                <w:lang w:val="en-US" w:eastAsia="zh-CN"/>
              </w:rPr>
            </w:pPr>
            <w:r>
              <w:rPr>
                <w:rFonts w:hint="eastAsia" w:ascii="国标仿宋" w:hAnsi="国标仿宋" w:eastAsia="国标仿宋" w:cs="国标仿宋"/>
                <w:color w:val="000000"/>
                <w:sz w:val="21"/>
                <w:szCs w:val="21"/>
                <w:highlight w:val="none"/>
                <w:vertAlign w:val="baseline"/>
                <w:lang w:val="en-US" w:eastAsia="zh-CN"/>
              </w:rPr>
              <w:t>3</w:t>
            </w:r>
          </w:p>
        </w:tc>
        <w:tc>
          <w:tcPr>
            <w:tcW w:w="4475"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kern w:val="2"/>
                <w:sz w:val="21"/>
                <w:szCs w:val="21"/>
                <w:highlight w:val="none"/>
                <w:vertAlign w:val="baseline"/>
                <w:lang w:val="en-US" w:eastAsia="zh-CN" w:bidi="ar-SA"/>
              </w:rPr>
            </w:pPr>
            <w:r>
              <w:rPr>
                <w:rFonts w:hint="eastAsia" w:ascii="国标仿宋" w:hAnsi="国标仿宋" w:eastAsia="国标仿宋" w:cs="国标仿宋"/>
                <w:color w:val="000000"/>
                <w:sz w:val="21"/>
                <w:szCs w:val="21"/>
                <w:highlight w:val="none"/>
                <w:vertAlign w:val="baseline"/>
                <w:lang w:val="en-US" w:eastAsia="zh-CN"/>
              </w:rPr>
              <w:t>100</w:t>
            </w:r>
            <w:r>
              <w:rPr>
                <w:rFonts w:hint="eastAsia" w:ascii="国标仿宋" w:hAnsi="国标仿宋" w:eastAsia="国标仿宋" w:cs="国标仿宋"/>
                <w:color w:val="000000"/>
                <w:kern w:val="2"/>
                <w:sz w:val="21"/>
                <w:szCs w:val="21"/>
                <w:highlight w:val="none"/>
                <w:vertAlign w:val="baseline"/>
                <w:lang w:val="en-US" w:eastAsia="zh-CN"/>
              </w:rPr>
              <w:t>万元</w:t>
            </w:r>
          </w:p>
        </w:tc>
        <w:tc>
          <w:tcPr>
            <w:tcW w:w="3562"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sz w:val="21"/>
                <w:szCs w:val="21"/>
                <w:highlight w:val="none"/>
                <w:vertAlign w:val="baseline"/>
                <w:lang w:val="en-US" w:eastAsia="zh-CN"/>
              </w:rPr>
            </w:pPr>
            <w:r>
              <w:rPr>
                <w:rFonts w:hint="eastAsia" w:ascii="国标仿宋" w:hAnsi="国标仿宋" w:eastAsia="国标仿宋" w:cs="国标仿宋"/>
                <w:color w:val="000000"/>
                <w:sz w:val="21"/>
                <w:szCs w:val="21"/>
                <w:highlight w:val="none"/>
                <w:vertAlign w:val="baseline"/>
                <w:lang w:val="en-US" w:eastAsia="zh-CN"/>
              </w:rPr>
              <w:t>1500</w:t>
            </w:r>
            <w:r>
              <w:rPr>
                <w:rFonts w:hint="eastAsia" w:ascii="国标仿宋" w:hAnsi="国标仿宋" w:eastAsia="国标仿宋" w:cs="国标仿宋"/>
                <w:color w:val="000000"/>
                <w:sz w:val="21"/>
                <w:szCs w:val="21"/>
                <w:highlight w:val="none"/>
                <w:vertAlign w:val="baseline"/>
                <w:lang w:val="en-US" w:eastAsia="zh-CN" w:bidi="ar-SA"/>
              </w:rPr>
              <w:t>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61"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sz w:val="21"/>
                <w:szCs w:val="21"/>
                <w:highlight w:val="none"/>
                <w:vertAlign w:val="baseline"/>
                <w:lang w:val="en-US" w:eastAsia="zh-CN"/>
              </w:rPr>
            </w:pPr>
            <w:r>
              <w:rPr>
                <w:rFonts w:hint="eastAsia" w:ascii="国标仿宋" w:hAnsi="国标仿宋" w:eastAsia="国标仿宋" w:cs="国标仿宋"/>
                <w:color w:val="000000"/>
                <w:sz w:val="21"/>
                <w:szCs w:val="21"/>
                <w:highlight w:val="none"/>
                <w:vertAlign w:val="baseline"/>
                <w:lang w:val="en-US" w:eastAsia="zh-CN"/>
              </w:rPr>
              <w:t>4</w:t>
            </w:r>
          </w:p>
        </w:tc>
        <w:tc>
          <w:tcPr>
            <w:tcW w:w="4475"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kern w:val="2"/>
                <w:sz w:val="21"/>
                <w:szCs w:val="21"/>
                <w:highlight w:val="none"/>
                <w:vertAlign w:val="baseline"/>
                <w:lang w:val="en-US" w:eastAsia="zh-CN" w:bidi="ar-SA"/>
              </w:rPr>
            </w:pPr>
            <w:r>
              <w:rPr>
                <w:rFonts w:hint="eastAsia" w:ascii="国标仿宋" w:hAnsi="国标仿宋" w:eastAsia="国标仿宋" w:cs="国标仿宋"/>
                <w:color w:val="000000"/>
                <w:sz w:val="21"/>
                <w:szCs w:val="21"/>
                <w:highlight w:val="none"/>
                <w:vertAlign w:val="baseline"/>
                <w:lang w:val="en-US" w:eastAsia="zh-CN"/>
              </w:rPr>
              <w:t>500</w:t>
            </w:r>
            <w:r>
              <w:rPr>
                <w:rFonts w:hint="eastAsia" w:ascii="国标仿宋" w:hAnsi="国标仿宋" w:eastAsia="国标仿宋" w:cs="国标仿宋"/>
                <w:color w:val="000000"/>
                <w:kern w:val="2"/>
                <w:sz w:val="21"/>
                <w:szCs w:val="21"/>
                <w:highlight w:val="none"/>
                <w:vertAlign w:val="baseline"/>
                <w:lang w:val="en-US" w:eastAsia="zh-CN"/>
              </w:rPr>
              <w:t>万元</w:t>
            </w:r>
          </w:p>
        </w:tc>
        <w:tc>
          <w:tcPr>
            <w:tcW w:w="3562"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sz w:val="21"/>
                <w:szCs w:val="21"/>
                <w:highlight w:val="none"/>
                <w:vertAlign w:val="baseline"/>
                <w:lang w:val="en-US" w:eastAsia="zh-CN"/>
              </w:rPr>
            </w:pPr>
            <w:r>
              <w:rPr>
                <w:rFonts w:hint="eastAsia" w:ascii="国标仿宋" w:hAnsi="国标仿宋" w:eastAsia="国标仿宋" w:cs="国标仿宋"/>
                <w:color w:val="000000"/>
                <w:sz w:val="21"/>
                <w:szCs w:val="21"/>
                <w:highlight w:val="none"/>
                <w:vertAlign w:val="baseline"/>
                <w:lang w:val="en-US" w:eastAsia="zh-CN"/>
              </w:rPr>
              <w:t>4500</w:t>
            </w:r>
            <w:r>
              <w:rPr>
                <w:rFonts w:hint="eastAsia" w:ascii="国标仿宋" w:hAnsi="国标仿宋" w:eastAsia="国标仿宋" w:cs="国标仿宋"/>
                <w:color w:val="000000"/>
                <w:sz w:val="21"/>
                <w:szCs w:val="21"/>
                <w:highlight w:val="none"/>
                <w:vertAlign w:val="baseline"/>
                <w:lang w:val="en-US" w:eastAsia="zh-CN" w:bidi="ar-SA"/>
              </w:rPr>
              <w:t>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61"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sz w:val="21"/>
                <w:szCs w:val="21"/>
                <w:highlight w:val="none"/>
                <w:vertAlign w:val="baseline"/>
                <w:lang w:val="en-US" w:eastAsia="zh-CN"/>
              </w:rPr>
            </w:pPr>
            <w:r>
              <w:rPr>
                <w:rFonts w:hint="eastAsia" w:ascii="国标仿宋" w:hAnsi="国标仿宋" w:eastAsia="国标仿宋" w:cs="国标仿宋"/>
                <w:color w:val="000000"/>
                <w:sz w:val="21"/>
                <w:szCs w:val="21"/>
                <w:highlight w:val="none"/>
                <w:vertAlign w:val="baseline"/>
                <w:lang w:val="en-US" w:eastAsia="zh-CN"/>
              </w:rPr>
              <w:t>5</w:t>
            </w:r>
          </w:p>
        </w:tc>
        <w:tc>
          <w:tcPr>
            <w:tcW w:w="4475"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kern w:val="2"/>
                <w:sz w:val="21"/>
                <w:szCs w:val="21"/>
                <w:highlight w:val="none"/>
                <w:vertAlign w:val="baseline"/>
                <w:lang w:val="en-US" w:eastAsia="zh-CN" w:bidi="ar-SA"/>
              </w:rPr>
            </w:pPr>
            <w:r>
              <w:rPr>
                <w:rFonts w:hint="eastAsia" w:ascii="国标仿宋" w:hAnsi="国标仿宋" w:eastAsia="国标仿宋" w:cs="国标仿宋"/>
                <w:color w:val="000000"/>
                <w:sz w:val="21"/>
                <w:szCs w:val="21"/>
                <w:highlight w:val="none"/>
                <w:vertAlign w:val="baseline"/>
                <w:lang w:val="en-US" w:eastAsia="zh-CN"/>
              </w:rPr>
              <w:t>1000万元</w:t>
            </w:r>
          </w:p>
        </w:tc>
        <w:tc>
          <w:tcPr>
            <w:tcW w:w="3562"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sz w:val="21"/>
                <w:szCs w:val="21"/>
                <w:highlight w:val="none"/>
                <w:vertAlign w:val="baseline"/>
                <w:lang w:val="en-US" w:eastAsia="zh-CN"/>
              </w:rPr>
            </w:pPr>
            <w:r>
              <w:rPr>
                <w:rFonts w:hint="eastAsia" w:ascii="国标仿宋" w:hAnsi="国标仿宋" w:eastAsia="国标仿宋" w:cs="国标仿宋"/>
                <w:color w:val="000000"/>
                <w:sz w:val="21"/>
                <w:szCs w:val="21"/>
                <w:highlight w:val="none"/>
                <w:vertAlign w:val="baseline"/>
                <w:lang w:val="en-US" w:eastAsia="zh-CN"/>
              </w:rPr>
              <w:t>8250</w:t>
            </w:r>
            <w:r>
              <w:rPr>
                <w:rFonts w:hint="eastAsia" w:ascii="国标仿宋" w:hAnsi="国标仿宋" w:eastAsia="国标仿宋" w:cs="国标仿宋"/>
                <w:color w:val="000000"/>
                <w:sz w:val="21"/>
                <w:szCs w:val="21"/>
                <w:highlight w:val="none"/>
                <w:vertAlign w:val="baseline"/>
                <w:lang w:val="en-US" w:eastAsia="zh-CN" w:bidi="ar-SA"/>
              </w:rPr>
              <w:t>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61"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sz w:val="21"/>
                <w:szCs w:val="21"/>
                <w:highlight w:val="none"/>
                <w:vertAlign w:val="baseline"/>
                <w:lang w:val="en-US" w:eastAsia="zh-CN"/>
              </w:rPr>
            </w:pPr>
            <w:r>
              <w:rPr>
                <w:rFonts w:hint="eastAsia" w:ascii="国标仿宋" w:hAnsi="国标仿宋" w:eastAsia="国标仿宋" w:cs="国标仿宋"/>
                <w:color w:val="000000"/>
                <w:sz w:val="21"/>
                <w:szCs w:val="21"/>
                <w:highlight w:val="none"/>
                <w:vertAlign w:val="baseline"/>
                <w:lang w:val="en-US" w:eastAsia="zh-CN"/>
              </w:rPr>
              <w:t>6</w:t>
            </w:r>
          </w:p>
        </w:tc>
        <w:tc>
          <w:tcPr>
            <w:tcW w:w="4475"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kern w:val="2"/>
                <w:sz w:val="21"/>
                <w:szCs w:val="21"/>
                <w:highlight w:val="none"/>
                <w:vertAlign w:val="baseline"/>
                <w:lang w:val="en-US" w:eastAsia="zh-CN" w:bidi="ar-SA"/>
              </w:rPr>
            </w:pPr>
            <w:r>
              <w:rPr>
                <w:rFonts w:hint="eastAsia" w:ascii="国标仿宋" w:hAnsi="国标仿宋" w:eastAsia="国标仿宋" w:cs="国标仿宋"/>
                <w:color w:val="000000"/>
                <w:sz w:val="21"/>
                <w:szCs w:val="21"/>
                <w:highlight w:val="none"/>
                <w:vertAlign w:val="baseline"/>
                <w:lang w:val="en-US" w:eastAsia="zh-CN"/>
              </w:rPr>
              <w:t>5000</w:t>
            </w:r>
            <w:r>
              <w:rPr>
                <w:rFonts w:hint="eastAsia" w:ascii="国标仿宋" w:hAnsi="国标仿宋" w:eastAsia="国标仿宋" w:cs="国标仿宋"/>
                <w:color w:val="000000"/>
                <w:kern w:val="2"/>
                <w:sz w:val="21"/>
                <w:szCs w:val="21"/>
                <w:highlight w:val="none"/>
                <w:vertAlign w:val="baseline"/>
                <w:lang w:val="en-US" w:eastAsia="zh-CN"/>
              </w:rPr>
              <w:t>万元</w:t>
            </w:r>
          </w:p>
        </w:tc>
        <w:tc>
          <w:tcPr>
            <w:tcW w:w="3562"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sz w:val="21"/>
                <w:szCs w:val="21"/>
                <w:highlight w:val="none"/>
                <w:vertAlign w:val="baseline"/>
                <w:lang w:val="en-US" w:eastAsia="zh-CN"/>
              </w:rPr>
            </w:pPr>
            <w:r>
              <w:rPr>
                <w:rFonts w:hint="eastAsia" w:ascii="国标仿宋" w:hAnsi="国标仿宋" w:eastAsia="国标仿宋" w:cs="国标仿宋"/>
                <w:color w:val="000000"/>
                <w:sz w:val="21"/>
                <w:szCs w:val="21"/>
                <w:highlight w:val="none"/>
                <w:vertAlign w:val="baseline"/>
                <w:lang w:val="en-US" w:eastAsia="zh-CN"/>
              </w:rPr>
              <w:t>28250</w:t>
            </w:r>
            <w:r>
              <w:rPr>
                <w:rFonts w:hint="eastAsia" w:ascii="国标仿宋" w:hAnsi="国标仿宋" w:eastAsia="国标仿宋" w:cs="国标仿宋"/>
                <w:color w:val="000000"/>
                <w:sz w:val="21"/>
                <w:szCs w:val="21"/>
                <w:highlight w:val="none"/>
                <w:vertAlign w:val="baseline"/>
                <w:lang w:val="en-US" w:eastAsia="zh-CN" w:bidi="ar-SA"/>
              </w:rPr>
              <w:t>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1"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sz w:val="21"/>
                <w:szCs w:val="21"/>
                <w:highlight w:val="none"/>
                <w:vertAlign w:val="baseline"/>
                <w:lang w:val="en-US" w:eastAsia="zh-CN"/>
              </w:rPr>
            </w:pPr>
            <w:r>
              <w:rPr>
                <w:rFonts w:hint="eastAsia" w:ascii="国标仿宋" w:hAnsi="国标仿宋" w:eastAsia="国标仿宋" w:cs="国标仿宋"/>
                <w:color w:val="000000"/>
                <w:sz w:val="21"/>
                <w:szCs w:val="21"/>
                <w:highlight w:val="none"/>
                <w:vertAlign w:val="baseline"/>
                <w:lang w:val="en-US" w:eastAsia="zh-CN"/>
              </w:rPr>
              <w:t>7</w:t>
            </w:r>
          </w:p>
        </w:tc>
        <w:tc>
          <w:tcPr>
            <w:tcW w:w="4475"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kern w:val="2"/>
                <w:sz w:val="21"/>
                <w:szCs w:val="21"/>
                <w:highlight w:val="none"/>
                <w:vertAlign w:val="baseline"/>
                <w:lang w:val="en-US" w:eastAsia="zh-CN" w:bidi="ar-SA"/>
              </w:rPr>
            </w:pPr>
            <w:r>
              <w:rPr>
                <w:rFonts w:hint="eastAsia" w:ascii="国标仿宋" w:hAnsi="国标仿宋" w:eastAsia="国标仿宋" w:cs="国标仿宋"/>
                <w:color w:val="000000"/>
                <w:sz w:val="21"/>
                <w:szCs w:val="21"/>
                <w:highlight w:val="none"/>
                <w:vertAlign w:val="baseline"/>
                <w:lang w:val="en-US" w:eastAsia="zh-CN"/>
              </w:rPr>
              <w:t>1</w:t>
            </w:r>
            <w:r>
              <w:rPr>
                <w:rFonts w:hint="eastAsia" w:ascii="国标仿宋" w:hAnsi="国标仿宋" w:eastAsia="国标仿宋" w:cs="国标仿宋"/>
                <w:color w:val="000000"/>
                <w:kern w:val="2"/>
                <w:sz w:val="21"/>
                <w:szCs w:val="21"/>
                <w:highlight w:val="none"/>
                <w:vertAlign w:val="baseline"/>
                <w:lang w:val="en-US" w:eastAsia="zh-CN"/>
              </w:rPr>
              <w:t>亿元及以上</w:t>
            </w:r>
          </w:p>
        </w:tc>
        <w:tc>
          <w:tcPr>
            <w:tcW w:w="3562" w:type="dxa"/>
            <w:tcBorders>
              <w:tl2br w:val="nil"/>
              <w:tr2bl w:val="nil"/>
            </w:tcBorders>
            <w:noWrap w:val="0"/>
            <w:vAlign w:val="top"/>
          </w:tcPr>
          <w:p>
            <w:pPr>
              <w:autoSpaceDE w:val="0"/>
              <w:autoSpaceDN w:val="0"/>
              <w:adjustRightInd w:val="0"/>
              <w:spacing w:line="440" w:lineRule="exact"/>
              <w:jc w:val="center"/>
              <w:rPr>
                <w:rFonts w:hint="eastAsia" w:ascii="国标仿宋" w:hAnsi="国标仿宋" w:eastAsia="国标仿宋" w:cs="国标仿宋"/>
                <w:color w:val="000000"/>
                <w:sz w:val="21"/>
                <w:szCs w:val="21"/>
                <w:highlight w:val="none"/>
                <w:vertAlign w:val="baseline"/>
                <w:lang w:val="en-US" w:eastAsia="zh-CN"/>
              </w:rPr>
            </w:pPr>
            <w:r>
              <w:rPr>
                <w:rFonts w:hint="eastAsia" w:ascii="国标仿宋" w:hAnsi="国标仿宋" w:eastAsia="国标仿宋" w:cs="国标仿宋"/>
                <w:color w:val="000000"/>
                <w:sz w:val="21"/>
                <w:szCs w:val="21"/>
                <w:highlight w:val="none"/>
                <w:vertAlign w:val="baseline"/>
                <w:lang w:val="en-US" w:eastAsia="zh-CN"/>
              </w:rPr>
              <w:t>40750</w:t>
            </w:r>
            <w:r>
              <w:rPr>
                <w:rFonts w:hint="eastAsia" w:ascii="国标仿宋" w:hAnsi="国标仿宋" w:eastAsia="国标仿宋" w:cs="国标仿宋"/>
                <w:color w:val="000000"/>
                <w:sz w:val="21"/>
                <w:szCs w:val="21"/>
                <w:highlight w:val="none"/>
                <w:vertAlign w:val="baseline"/>
                <w:lang w:val="en-US" w:eastAsia="zh-CN" w:bidi="ar-SA"/>
              </w:rPr>
              <w:t>元</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阶段性考核扣款累计达到合同价30%的，</w:t>
      </w:r>
      <w:r>
        <w:rPr>
          <w:rFonts w:hint="eastAsia" w:ascii="仿宋" w:hAnsi="仿宋" w:eastAsia="仿宋" w:cs="仿宋"/>
          <w:kern w:val="0"/>
          <w:sz w:val="24"/>
          <w:szCs w:val="24"/>
          <w:highlight w:val="none"/>
          <w:lang w:eastAsia="zh-CN"/>
        </w:rPr>
        <w:t>发包人有权</w:t>
      </w:r>
      <w:r>
        <w:rPr>
          <w:rFonts w:hint="eastAsia" w:ascii="仿宋" w:hAnsi="仿宋" w:eastAsia="仿宋" w:cs="仿宋"/>
          <w:kern w:val="0"/>
          <w:sz w:val="24"/>
          <w:szCs w:val="24"/>
          <w:highlight w:val="none"/>
        </w:rPr>
        <w:t>解除合同</w:t>
      </w:r>
      <w:r>
        <w:rPr>
          <w:rFonts w:hint="eastAsia" w:ascii="仿宋" w:hAnsi="仿宋" w:eastAsia="仿宋" w:cs="仿宋"/>
          <w:kern w:val="0"/>
          <w:sz w:val="24"/>
          <w:szCs w:val="24"/>
          <w:highlight w:val="none"/>
          <w:lang w:eastAsia="zh-CN"/>
        </w:rPr>
        <w:t>并将相关情况报送上级主管部门</w:t>
      </w:r>
      <w:r>
        <w:rPr>
          <w:rFonts w:hint="eastAsia" w:ascii="仿宋" w:hAnsi="仿宋" w:eastAsia="仿宋" w:cs="仿宋"/>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kern w:val="0"/>
          <w:sz w:val="24"/>
          <w:szCs w:val="24"/>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二</w:t>
      </w:r>
      <w:r>
        <w:rPr>
          <w:rFonts w:hint="eastAsia" w:ascii="仿宋" w:hAnsi="仿宋" w:eastAsia="仿宋" w:cs="仿宋"/>
          <w:kern w:val="0"/>
          <w:sz w:val="24"/>
          <w:szCs w:val="24"/>
          <w:highlight w:val="none"/>
        </w:rPr>
        <w:t>）合同服务评价得分在</w:t>
      </w:r>
      <w:r>
        <w:rPr>
          <w:rFonts w:hint="eastAsia" w:ascii="仿宋" w:hAnsi="仿宋" w:eastAsia="仿宋" w:cs="仿宋"/>
          <w:kern w:val="0"/>
          <w:sz w:val="24"/>
          <w:szCs w:val="24"/>
          <w:highlight w:val="none"/>
          <w:lang w:val="en-US" w:eastAsia="zh-CN"/>
        </w:rPr>
        <w:t>80</w:t>
      </w:r>
      <w:r>
        <w:rPr>
          <w:rFonts w:hint="eastAsia" w:ascii="仿宋" w:hAnsi="仿宋" w:eastAsia="仿宋" w:cs="仿宋"/>
          <w:kern w:val="0"/>
          <w:sz w:val="24"/>
          <w:szCs w:val="24"/>
          <w:highlight w:val="none"/>
        </w:rPr>
        <w:t>分或以上的，可支付全部结算</w:t>
      </w:r>
      <w:r>
        <w:rPr>
          <w:rFonts w:hint="eastAsia" w:ascii="仿宋" w:hAnsi="仿宋" w:eastAsia="仿宋" w:cs="仿宋"/>
          <w:kern w:val="0"/>
          <w:sz w:val="24"/>
          <w:szCs w:val="24"/>
          <w:highlight w:val="none"/>
          <w:lang w:eastAsia="zh-CN"/>
        </w:rPr>
        <w:t>尾款（即</w:t>
      </w:r>
      <w:r>
        <w:rPr>
          <w:rFonts w:hint="eastAsia" w:ascii="仿宋" w:hAnsi="仿宋" w:eastAsia="仿宋" w:cs="仿宋"/>
          <w:kern w:val="0"/>
          <w:sz w:val="24"/>
          <w:szCs w:val="24"/>
          <w:highlight w:val="none"/>
          <w:u w:val="single"/>
          <w:lang w:val="en-US" w:eastAsia="zh-CN"/>
        </w:rPr>
        <w:t>支付结算尾款=最终结算价×95%-预付款及进度款</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。合同服务评价得分在</w:t>
      </w:r>
      <w:r>
        <w:rPr>
          <w:rFonts w:hint="eastAsia" w:ascii="仿宋" w:hAnsi="仿宋" w:eastAsia="仿宋" w:cs="仿宋"/>
          <w:kern w:val="0"/>
          <w:sz w:val="24"/>
          <w:szCs w:val="24"/>
          <w:highlight w:val="none"/>
          <w:lang w:val="en-US" w:eastAsia="zh-CN"/>
        </w:rPr>
        <w:t>80</w:t>
      </w:r>
      <w:r>
        <w:rPr>
          <w:rFonts w:hint="eastAsia" w:ascii="仿宋" w:hAnsi="仿宋" w:eastAsia="仿宋" w:cs="仿宋"/>
          <w:kern w:val="0"/>
          <w:sz w:val="24"/>
          <w:szCs w:val="24"/>
          <w:highlight w:val="none"/>
        </w:rPr>
        <w:t>分以下的，则</w:t>
      </w:r>
      <w:r>
        <w:rPr>
          <w:rFonts w:hint="eastAsia" w:ascii="仿宋" w:hAnsi="仿宋" w:eastAsia="仿宋" w:cs="仿宋"/>
          <w:kern w:val="0"/>
          <w:sz w:val="24"/>
          <w:szCs w:val="24"/>
          <w:highlight w:val="none"/>
          <w:u w:val="single"/>
          <w:lang w:val="en-US" w:eastAsia="zh-CN"/>
        </w:rPr>
        <w:t>支付结算尾款=最终结算价×95%-预付款及进度款-</w:t>
      </w:r>
      <w:r>
        <w:rPr>
          <w:rFonts w:hint="eastAsia" w:ascii="仿宋" w:hAnsi="仿宋" w:eastAsia="仿宋" w:cs="仿宋"/>
          <w:kern w:val="0"/>
          <w:sz w:val="24"/>
          <w:szCs w:val="24"/>
          <w:highlight w:val="none"/>
          <w:u w:val="single"/>
        </w:rPr>
        <w:t>（</w:t>
      </w:r>
      <w:r>
        <w:rPr>
          <w:rFonts w:hint="eastAsia" w:ascii="仿宋" w:hAnsi="仿宋" w:eastAsia="仿宋" w:cs="仿宋"/>
          <w:kern w:val="0"/>
          <w:sz w:val="24"/>
          <w:szCs w:val="24"/>
          <w:highlight w:val="none"/>
          <w:u w:val="single"/>
          <w:lang w:val="en-US" w:eastAsia="zh-CN"/>
        </w:rPr>
        <w:t>80</w:t>
      </w:r>
      <w:r>
        <w:rPr>
          <w:rFonts w:hint="eastAsia" w:ascii="仿宋" w:hAnsi="仿宋" w:eastAsia="仿宋" w:cs="仿宋"/>
          <w:kern w:val="0"/>
          <w:sz w:val="24"/>
          <w:szCs w:val="24"/>
          <w:highlight w:val="none"/>
          <w:u w:val="single"/>
        </w:rPr>
        <w:t>－合同服务评价得分）×</w:t>
      </w:r>
      <w:r>
        <w:rPr>
          <w:rFonts w:hint="eastAsia" w:ascii="仿宋" w:hAnsi="仿宋" w:eastAsia="仿宋" w:cs="仿宋"/>
          <w:kern w:val="0"/>
          <w:sz w:val="24"/>
          <w:szCs w:val="24"/>
          <w:highlight w:val="none"/>
          <w:u w:val="single"/>
          <w:lang w:eastAsia="zh-CN"/>
        </w:rPr>
        <w:t>扣除金额。</w:t>
      </w:r>
    </w:p>
    <w:p>
      <w:pPr>
        <w:widowControl/>
        <w:spacing w:line="360" w:lineRule="auto"/>
        <w:jc w:val="left"/>
        <w:outlineLvl w:val="1"/>
        <w:rPr>
          <w:rFonts w:hint="eastAsia" w:ascii="黑体" w:hAnsi="黑体" w:eastAsia="黑体" w:cs="黑体"/>
          <w:b/>
          <w:bCs/>
          <w:color w:val="000000" w:themeColor="text1"/>
          <w:sz w:val="28"/>
          <w:szCs w:val="28"/>
          <w:highlight w:val="none"/>
          <w:lang w:val="en-US" w:eastAsia="zh-CN"/>
          <w14:textFill>
            <w14:solidFill>
              <w14:schemeClr w14:val="tx1"/>
            </w14:solidFill>
          </w14:textFill>
        </w:rPr>
      </w:pP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附件13</w:t>
      </w:r>
    </w:p>
    <w:p>
      <w:pPr>
        <w:keepNext w:val="0"/>
        <w:keepLines w:val="0"/>
        <w:pageBreakBefore w:val="0"/>
        <w:widowControl/>
        <w:numPr>
          <w:ilvl w:val="-1"/>
          <w:numId w:val="0"/>
        </w:numPr>
        <w:suppressAutoHyphens/>
        <w:kinsoku/>
        <w:wordWrap/>
        <w:overflowPunct/>
        <w:topLinePunct w:val="0"/>
        <w:autoSpaceDE/>
        <w:autoSpaceDN/>
        <w:bidi w:val="0"/>
        <w:adjustRightInd/>
        <w:snapToGrid/>
        <w:spacing w:line="240" w:lineRule="auto"/>
        <w:jc w:val="center"/>
        <w:textAlignment w:val="auto"/>
        <w:rPr>
          <w:rFonts w:hint="default" w:ascii="仿宋" w:hAnsi="仿宋" w:eastAsia="仿宋" w:cs="仿宋"/>
          <w:b/>
          <w:bCs/>
          <w:kern w:val="2"/>
          <w:sz w:val="44"/>
          <w:szCs w:val="44"/>
          <w:highlight w:val="none"/>
          <w:lang w:val="en-US" w:eastAsia="zh-CN"/>
        </w:rPr>
      </w:pPr>
      <w:r>
        <w:rPr>
          <w:rFonts w:hint="default" w:ascii="仿宋" w:hAnsi="仿宋" w:eastAsia="仿宋" w:cs="仿宋"/>
          <w:b/>
          <w:bCs/>
          <w:kern w:val="2"/>
          <w:sz w:val="44"/>
          <w:szCs w:val="44"/>
          <w:highlight w:val="none"/>
          <w:lang w:val="en-US" w:eastAsia="zh-CN"/>
        </w:rPr>
        <w:t>阶段性考核表</w:t>
      </w:r>
    </w:p>
    <w:tbl>
      <w:tblPr>
        <w:tblStyle w:val="20"/>
        <w:tblpPr w:leftFromText="180" w:rightFromText="180" w:vertAnchor="text" w:horzAnchor="page" w:tblpX="518" w:tblpY="1015"/>
        <w:tblOverlap w:val="never"/>
        <w:tblW w:w="15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31"/>
        <w:gridCol w:w="1365"/>
        <w:gridCol w:w="693"/>
        <w:gridCol w:w="3316"/>
        <w:gridCol w:w="1972"/>
        <w:gridCol w:w="3193"/>
        <w:gridCol w:w="84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gridSpan w:val="2"/>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项目名称</w:t>
            </w:r>
          </w:p>
        </w:tc>
        <w:tc>
          <w:tcPr>
            <w:tcW w:w="13425" w:type="dxa"/>
            <w:gridSpan w:val="7"/>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61" w:type="dxa"/>
            <w:gridSpan w:val="2"/>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合同编号</w:t>
            </w:r>
          </w:p>
        </w:tc>
        <w:tc>
          <w:tcPr>
            <w:tcW w:w="5374"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p>
        </w:tc>
        <w:tc>
          <w:tcPr>
            <w:tcW w:w="1972"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单位名称</w:t>
            </w:r>
          </w:p>
        </w:tc>
        <w:tc>
          <w:tcPr>
            <w:tcW w:w="6079"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gridSpan w:val="2"/>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考核时间</w:t>
            </w:r>
          </w:p>
        </w:tc>
        <w:tc>
          <w:tcPr>
            <w:tcW w:w="5374"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p>
        </w:tc>
        <w:tc>
          <w:tcPr>
            <w:tcW w:w="1972"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考核阶段</w:t>
            </w:r>
          </w:p>
        </w:tc>
        <w:tc>
          <w:tcPr>
            <w:tcW w:w="6079"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序号</w:t>
            </w:r>
          </w:p>
        </w:tc>
        <w:tc>
          <w:tcPr>
            <w:tcW w:w="1231"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一级指标</w:t>
            </w:r>
          </w:p>
        </w:tc>
        <w:tc>
          <w:tcPr>
            <w:tcW w:w="1365"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二级指标</w:t>
            </w:r>
          </w:p>
        </w:tc>
        <w:tc>
          <w:tcPr>
            <w:tcW w:w="693"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分值</w:t>
            </w:r>
          </w:p>
        </w:tc>
        <w:tc>
          <w:tcPr>
            <w:tcW w:w="8481"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评分标准</w:t>
            </w:r>
          </w:p>
        </w:tc>
        <w:tc>
          <w:tcPr>
            <w:tcW w:w="846"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得分</w:t>
            </w:r>
          </w:p>
        </w:tc>
        <w:tc>
          <w:tcPr>
            <w:tcW w:w="204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231" w:type="dxa"/>
            <w:vMerge w:val="restart"/>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主要服务</w:t>
            </w:r>
          </w:p>
        </w:tc>
        <w:tc>
          <w:tcPr>
            <w:tcW w:w="1365"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现场管理</w:t>
            </w:r>
          </w:p>
        </w:tc>
        <w:tc>
          <w:tcPr>
            <w:tcW w:w="693"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w:t>
            </w:r>
          </w:p>
        </w:tc>
        <w:tc>
          <w:tcPr>
            <w:tcW w:w="8481"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1.未对隐蔽工程或关键工序实施旁站监督的，每次扣0.3分。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2.发包人针对同一问题在一个月内开出两份整改的，每次扣0.5分。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3.在接到抢险通知或预警后，未及时反馈抢险现场信息或巡查情况，每次扣1分。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4.未及时落实、跟进发包人下派的任务，每件事项扣0.8分。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5.未严格执行养护质量、检测质量相关验收标准，每次扣0.5分。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6.未按要求跟进各养护单位落实专项排查方案及计划的，每次扣0.4分。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7.未严格把控养护、检测工程量验收的，每次扣1.5分。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8.因抢险现场信息不及时反馈或现场监督管理不到位等主观因素导致现场情况恶化，每次扣1-3分。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9.因抢险现场监管不到位造成财产或人员伤亡，监理人受连带责任，每次扣2-5分。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10.未落实跟进发包人发出的整改通知，每项扣1.5分。</w:t>
            </w:r>
          </w:p>
        </w:tc>
        <w:tc>
          <w:tcPr>
            <w:tcW w:w="846"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204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231" w:type="dxa"/>
            <w:vMerge w:val="continue"/>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1365"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安全管理</w:t>
            </w:r>
          </w:p>
        </w:tc>
        <w:tc>
          <w:tcPr>
            <w:tcW w:w="693"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8481"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未定期对养护</w:t>
            </w:r>
            <w:r>
              <w:rPr>
                <w:rFonts w:hint="eastAsia" w:ascii="宋体" w:hAnsi="宋体" w:eastAsia="宋体" w:cs="宋体"/>
                <w:sz w:val="20"/>
                <w:szCs w:val="20"/>
                <w:lang w:eastAsia="zh-CN"/>
              </w:rPr>
              <w:t>基地及</w:t>
            </w:r>
            <w:r>
              <w:rPr>
                <w:rFonts w:hint="eastAsia" w:ascii="宋体" w:hAnsi="宋体" w:eastAsia="宋体" w:cs="宋体"/>
                <w:sz w:val="20"/>
                <w:szCs w:val="20"/>
              </w:rPr>
              <w:t>工程</w:t>
            </w:r>
            <w:r>
              <w:rPr>
                <w:rFonts w:hint="eastAsia" w:ascii="宋体" w:hAnsi="宋体" w:eastAsia="宋体" w:cs="宋体"/>
                <w:sz w:val="20"/>
                <w:szCs w:val="20"/>
                <w:lang w:eastAsia="zh-CN"/>
              </w:rPr>
              <w:t>、检测现场</w:t>
            </w:r>
            <w:r>
              <w:rPr>
                <w:rFonts w:hint="eastAsia" w:ascii="宋体" w:hAnsi="宋体" w:eastAsia="宋体" w:cs="宋体"/>
                <w:sz w:val="20"/>
                <w:szCs w:val="20"/>
              </w:rPr>
              <w:t>进行安全生产检查的</w:t>
            </w:r>
            <w:r>
              <w:rPr>
                <w:rFonts w:hint="eastAsia" w:ascii="宋体" w:hAnsi="宋体" w:eastAsia="宋体" w:cs="宋体"/>
                <w:sz w:val="20"/>
                <w:szCs w:val="20"/>
                <w:lang w:eastAsia="zh-CN"/>
              </w:rPr>
              <w:t>或被发包人检查处安全生产问题</w:t>
            </w:r>
            <w:r>
              <w:rPr>
                <w:rFonts w:hint="eastAsia" w:ascii="宋体" w:hAnsi="宋体" w:eastAsia="宋体" w:cs="宋体"/>
                <w:sz w:val="20"/>
                <w:szCs w:val="20"/>
              </w:rPr>
              <w:t>，每次</w:t>
            </w:r>
            <w:r>
              <w:rPr>
                <w:rFonts w:hint="eastAsia" w:ascii="宋体" w:hAnsi="宋体" w:eastAsia="宋体" w:cs="宋体"/>
                <w:sz w:val="20"/>
                <w:szCs w:val="20"/>
                <w:lang w:eastAsia="zh-CN"/>
              </w:rPr>
              <w:t>扣</w:t>
            </w:r>
            <w:r>
              <w:rPr>
                <w:rFonts w:hint="eastAsia" w:ascii="宋体" w:hAnsi="宋体" w:eastAsia="宋体" w:cs="宋体"/>
                <w:sz w:val="20"/>
                <w:szCs w:val="20"/>
                <w:lang w:val="en-US" w:eastAsia="zh-CN"/>
              </w:rPr>
              <w:t>1分。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r>
              <w:rPr>
                <w:rFonts w:hint="eastAsia" w:ascii="宋体" w:hAnsi="宋体" w:eastAsia="宋体" w:cs="宋体"/>
                <w:sz w:val="20"/>
                <w:szCs w:val="20"/>
              </w:rPr>
              <w:t>养护单位在作业过程，</w:t>
            </w:r>
            <w:r>
              <w:rPr>
                <w:rFonts w:hint="eastAsia" w:ascii="宋体" w:hAnsi="宋体" w:eastAsia="宋体" w:cs="宋体"/>
                <w:sz w:val="20"/>
                <w:szCs w:val="20"/>
                <w:lang w:eastAsia="zh-CN"/>
              </w:rPr>
              <w:t>因</w:t>
            </w:r>
            <w:r>
              <w:rPr>
                <w:rFonts w:hint="eastAsia" w:ascii="宋体" w:hAnsi="宋体" w:eastAsia="宋体" w:cs="宋体"/>
                <w:sz w:val="20"/>
                <w:szCs w:val="20"/>
              </w:rPr>
              <w:t>监理单位监管不足，</w:t>
            </w:r>
            <w:r>
              <w:rPr>
                <w:rFonts w:hint="eastAsia" w:ascii="宋体" w:hAnsi="宋体" w:eastAsia="宋体" w:cs="宋体"/>
                <w:sz w:val="20"/>
                <w:szCs w:val="20"/>
                <w:highlight w:val="none"/>
                <w:shd w:val="clear" w:color="auto" w:fill="auto"/>
              </w:rPr>
              <w:t>造成安全事故</w:t>
            </w:r>
            <w:r>
              <w:rPr>
                <w:rFonts w:hint="eastAsia" w:ascii="宋体" w:hAnsi="宋体" w:eastAsia="宋体" w:cs="宋体"/>
                <w:sz w:val="20"/>
                <w:szCs w:val="20"/>
                <w:highlight w:val="none"/>
                <w:shd w:val="clear" w:color="auto" w:fill="auto"/>
                <w:lang w:eastAsia="zh-CN"/>
              </w:rPr>
              <w:t>等不良影响的</w:t>
            </w:r>
            <w:r>
              <w:rPr>
                <w:rFonts w:hint="eastAsia" w:ascii="宋体" w:hAnsi="宋体" w:eastAsia="宋体" w:cs="宋体"/>
                <w:sz w:val="20"/>
                <w:szCs w:val="20"/>
                <w:highlight w:val="none"/>
                <w:shd w:val="clear" w:color="auto" w:fill="auto"/>
              </w:rPr>
              <w:t>，</w:t>
            </w:r>
            <w:r>
              <w:rPr>
                <w:rFonts w:hint="eastAsia" w:ascii="宋体" w:hAnsi="宋体" w:eastAsia="宋体" w:cs="宋体"/>
                <w:sz w:val="20"/>
                <w:szCs w:val="20"/>
              </w:rPr>
              <w:t>每次</w:t>
            </w:r>
            <w:r>
              <w:rPr>
                <w:rFonts w:hint="eastAsia" w:ascii="宋体" w:hAnsi="宋体" w:eastAsia="宋体" w:cs="宋体"/>
                <w:sz w:val="20"/>
                <w:szCs w:val="20"/>
                <w:lang w:eastAsia="zh-CN"/>
              </w:rPr>
              <w:t>扣</w:t>
            </w:r>
            <w:r>
              <w:rPr>
                <w:rFonts w:hint="eastAsia" w:ascii="宋体" w:hAnsi="宋体" w:eastAsia="宋体" w:cs="宋体"/>
                <w:sz w:val="20"/>
                <w:szCs w:val="20"/>
                <w:lang w:val="en-US" w:eastAsia="zh-CN"/>
              </w:rPr>
              <w:t>2分。</w:t>
            </w:r>
          </w:p>
        </w:tc>
        <w:tc>
          <w:tcPr>
            <w:tcW w:w="846"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204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231" w:type="dxa"/>
            <w:vMerge w:val="continue"/>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1365"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投资进度管理</w:t>
            </w:r>
          </w:p>
        </w:tc>
        <w:tc>
          <w:tcPr>
            <w:tcW w:w="693"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8481"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1.养护项目达不到投资控制目标的，养护单位超、减合同工程量，每次扣0.5分。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2.因监理人未及时监督等原因，工程项目进度不满足计划、约定要求的，每延期一周扣0.5分。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3.监理人未及时组织工作会议、记录例会内容，每次扣0.5分。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4.未对养护单位上报的养护月报进行审核，并及时反馈进度情况，每次扣0.5分。</w:t>
            </w:r>
          </w:p>
        </w:tc>
        <w:tc>
          <w:tcPr>
            <w:tcW w:w="846"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204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231" w:type="dxa"/>
            <w:vMerge w:val="continue"/>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1365"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档案管理</w:t>
            </w:r>
          </w:p>
        </w:tc>
        <w:tc>
          <w:tcPr>
            <w:tcW w:w="693"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8481"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1.资料台账缺乏人员签字、存在代签的，每处扣0.1分，不超过1分。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2.提交台账资料内容敷衍了事，格式混乱，内容不完整，每次扣0.4分。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3.未建立健全每日巡查记录，每次扣0.2分。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4.未及时收集及审核、处理养护单位的资料的，每次扣0.5分。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5.未建立并落实值班制度的，每次扣0.3分。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6.未建立和落实周、月、季巡查计划，每次扣0.2-0.5分。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7.未及时对养护单位、检测单位每月上报的计量清单进行审核（未及时发现计量数据出现误差或重复计量、伪造计量数据）的，每次扣1分。</w:t>
            </w:r>
          </w:p>
        </w:tc>
        <w:tc>
          <w:tcPr>
            <w:tcW w:w="846"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204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231" w:type="dxa"/>
            <w:vMerge w:val="continue"/>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1365"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人员管理</w:t>
            </w:r>
          </w:p>
        </w:tc>
        <w:tc>
          <w:tcPr>
            <w:tcW w:w="693"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8481"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1.人员未按要求出席招标人会议、学习等活动的，每人每次扣0.5分。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2.被行政主管部门、监督机构查处人员不在岗，每次扣1分。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3.人员未批准更换的，经提醒未及时办理变更手续，每人每次扣0.5分。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4.应急响应时，未按要求组建应急抢险队伍的，每次扣1分。</w:t>
            </w:r>
          </w:p>
        </w:tc>
        <w:tc>
          <w:tcPr>
            <w:tcW w:w="846"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204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231" w:type="dxa"/>
            <w:vMerge w:val="continue"/>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1365"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车辆设备管理</w:t>
            </w:r>
          </w:p>
        </w:tc>
        <w:tc>
          <w:tcPr>
            <w:tcW w:w="693"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8481"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1.巡查投入设备不满足合同约定的规格的，每次扣0.3分。</w:t>
            </w:r>
          </w:p>
        </w:tc>
        <w:tc>
          <w:tcPr>
            <w:tcW w:w="846"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204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231"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监督检查</w:t>
            </w:r>
          </w:p>
        </w:tc>
        <w:tc>
          <w:tcPr>
            <w:tcW w:w="1365"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693"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8481"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1.现场检查时，项目总监未经同意不到现场，每次扣1分。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2.现场检查时，除项目总监外，合同约定的专业监理工程师未经同意不到现场的，每人每次扣0.3分。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3.现场检查时，其余合同约定人员未经同意不到场的，每人每次扣0.1分。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4.现场检查时，资料台账提供不完整，且经提醒后仍无法提供的，每次扣0.5分。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5.现场检查时，人员态度不积极、不重视、不配合的，每次扣0.5分。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6.对监督检查发现问题未按时整改或整改不到位的，每次扣0.5分。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7.对监督检查发现问题拒不整改的，每次扣5分。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8.监督检查发现本表包含的问题，按本表设置扣分的原则加分、扣分，同一项事项不重复加分、扣分。</w:t>
            </w:r>
          </w:p>
        </w:tc>
        <w:tc>
          <w:tcPr>
            <w:tcW w:w="846"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204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73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231"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投诉</w:t>
            </w:r>
            <w:r>
              <w:rPr>
                <w:rFonts w:hint="eastAsia" w:ascii="宋体" w:hAnsi="宋体" w:eastAsia="宋体" w:cs="宋体"/>
                <w:sz w:val="20"/>
                <w:szCs w:val="20"/>
                <w:lang w:eastAsia="zh-CN"/>
              </w:rPr>
              <w:t>处置</w:t>
            </w:r>
          </w:p>
        </w:tc>
        <w:tc>
          <w:tcPr>
            <w:tcW w:w="1365"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693"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8481"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1.因自身不良情况造成投诉的，且未在规定时间内或规定要求处置的每项扣1分，2.同一事项重复投诉的，每项扣1分。</w:t>
            </w:r>
          </w:p>
        </w:tc>
        <w:tc>
          <w:tcPr>
            <w:tcW w:w="846"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204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231"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舆情处置</w:t>
            </w:r>
          </w:p>
        </w:tc>
        <w:tc>
          <w:tcPr>
            <w:tcW w:w="1365"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693"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8481"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1.因自身不良情况造成媒体曝光的，每次扣1分。</w:t>
            </w:r>
          </w:p>
        </w:tc>
        <w:tc>
          <w:tcPr>
            <w:tcW w:w="846"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204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1231"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信访维稳</w:t>
            </w:r>
          </w:p>
        </w:tc>
        <w:tc>
          <w:tcPr>
            <w:tcW w:w="1365"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693"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8481"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1.因自身不良情况造成信访的且影响严重的，每次扣1分。</w:t>
            </w:r>
          </w:p>
        </w:tc>
        <w:tc>
          <w:tcPr>
            <w:tcW w:w="846"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204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1231"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eastAsia="zh-CN"/>
              </w:rPr>
              <w:t>支付申请</w:t>
            </w:r>
          </w:p>
        </w:tc>
        <w:tc>
          <w:tcPr>
            <w:tcW w:w="1365"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693"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8481"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1.因自身请款资料原因造成支付申请退回的，每次扣0.5分。</w:t>
            </w:r>
          </w:p>
        </w:tc>
        <w:tc>
          <w:tcPr>
            <w:tcW w:w="846"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c>
          <w:tcPr>
            <w:tcW w:w="204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1231"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加减分</w:t>
            </w:r>
          </w:p>
        </w:tc>
        <w:tc>
          <w:tcPr>
            <w:tcW w:w="1365"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0"/>
                <w:szCs w:val="20"/>
                <w:lang w:val="en-US" w:eastAsia="zh-CN"/>
              </w:rPr>
            </w:pPr>
          </w:p>
        </w:tc>
        <w:tc>
          <w:tcPr>
            <w:tcW w:w="693"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8481" w:type="dxa"/>
            <w:gridSpan w:val="3"/>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1.受到媒体或上级表扬，每次加4分。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2.及时阻止一般或以上安全事故的发生，每次加2分。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3.其他情况，视问题的严重程度，每次扣0.1-1分，情节特别严重的，加扣1-2分。</w:t>
            </w:r>
          </w:p>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4.擅自开展委托业务的，每次扣3分。</w:t>
            </w:r>
          </w:p>
        </w:tc>
        <w:tc>
          <w:tcPr>
            <w:tcW w:w="846"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0"/>
                <w:szCs w:val="20"/>
                <w:lang w:val="en-US" w:eastAsia="zh-CN"/>
              </w:rPr>
            </w:pPr>
          </w:p>
        </w:tc>
        <w:tc>
          <w:tcPr>
            <w:tcW w:w="2040" w:type="dxa"/>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61" w:type="dxa"/>
            <w:gridSpan w:val="2"/>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val="en-US" w:eastAsia="zh-CN"/>
              </w:rPr>
              <w:t>考核人员</w:t>
            </w:r>
          </w:p>
        </w:tc>
        <w:tc>
          <w:tcPr>
            <w:tcW w:w="13425" w:type="dxa"/>
            <w:gridSpan w:val="7"/>
            <w:noWrap w:val="0"/>
            <w:vAlign w:val="center"/>
          </w:tcPr>
          <w:p>
            <w:pPr>
              <w:pStyle w:val="37"/>
              <w:keepNext w:val="0"/>
              <w:keepLines w:val="0"/>
              <w:pageBreakBefore w:val="0"/>
              <w:widowControl w:val="0"/>
              <w:numPr>
                <w:ilvl w:val="0"/>
                <w:numId w:val="0"/>
              </w:numPr>
              <w:suppressAutoHyphens/>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0"/>
                <w:szCs w:val="20"/>
                <w:lang w:val="en-US" w:eastAsia="zh-CN"/>
              </w:rPr>
            </w:pPr>
          </w:p>
        </w:tc>
      </w:tr>
    </w:tbl>
    <w:p>
      <w:pPr>
        <w:pStyle w:val="23"/>
        <w:rPr>
          <w:rFonts w:hint="default"/>
          <w:lang w:val="en-US" w:eastAsia="zh-CN"/>
        </w:rPr>
      </w:pPr>
    </w:p>
    <w:p>
      <w:pPr>
        <w:widowControl/>
        <w:spacing w:line="360" w:lineRule="auto"/>
        <w:jc w:val="left"/>
        <w:rPr>
          <w:rFonts w:hint="eastAsia" w:ascii="Times New Roman" w:hAnsi="Times New Roman" w:eastAsia="仿宋" w:cs="仿宋"/>
          <w:b/>
          <w:bCs/>
          <w:color w:val="000000" w:themeColor="text1"/>
          <w:sz w:val="24"/>
          <w:highlight w:val="none"/>
          <w14:textFill>
            <w14:solidFill>
              <w14:schemeClr w14:val="tx1"/>
            </w14:solidFill>
          </w14:textFill>
        </w:rPr>
        <w:sectPr>
          <w:pgSz w:w="16838" w:h="11906" w:orient="landscape"/>
          <w:pgMar w:top="1803" w:right="1440" w:bottom="1803" w:left="1440" w:header="851" w:footer="992" w:gutter="0"/>
          <w:pgNumType w:fmt="decimal"/>
          <w:cols w:space="0" w:num="1"/>
          <w:rtlGutter w:val="0"/>
          <w:docGrid w:type="lines" w:linePitch="319" w:charSpace="0"/>
        </w:sectPr>
      </w:pPr>
    </w:p>
    <w:p>
      <w:pPr>
        <w:keepNext w:val="0"/>
        <w:keepLines w:val="0"/>
        <w:pageBreakBefore w:val="0"/>
        <w:widowControl/>
        <w:numPr>
          <w:ilvl w:val="-1"/>
          <w:numId w:val="0"/>
        </w:numPr>
        <w:suppressAutoHyphens/>
        <w:kinsoku/>
        <w:wordWrap/>
        <w:overflowPunct/>
        <w:topLinePunct w:val="0"/>
        <w:autoSpaceDE/>
        <w:autoSpaceDN/>
        <w:bidi w:val="0"/>
        <w:adjustRightInd/>
        <w:snapToGrid/>
        <w:spacing w:line="240" w:lineRule="auto"/>
        <w:jc w:val="left"/>
        <w:textAlignment w:val="auto"/>
        <w:rPr>
          <w:rFonts w:hint="default"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附件14</w:t>
      </w:r>
    </w:p>
    <w:p>
      <w:pPr>
        <w:keepNext w:val="0"/>
        <w:keepLines w:val="0"/>
        <w:pageBreakBefore w:val="0"/>
        <w:widowControl/>
        <w:numPr>
          <w:ilvl w:val="-1"/>
          <w:numId w:val="0"/>
        </w:numPr>
        <w:suppressAutoHyphens/>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方正小标宋简体" w:cs="Times New Roman"/>
          <w:sz w:val="44"/>
          <w:szCs w:val="44"/>
          <w:highlight w:val="none"/>
          <w:lang w:val="en-US" w:eastAsia="zh-CN"/>
        </w:rPr>
        <w:t>异议申诉书</w:t>
      </w:r>
      <w:r>
        <w:rPr>
          <w:rFonts w:hint="eastAsia" w:ascii="Times New Roman" w:hAnsi="Times New Roman" w:eastAsia="仿宋_GB2312" w:cs="Times New Roman"/>
          <w:sz w:val="32"/>
          <w:szCs w:val="32"/>
          <w:highlight w:val="none"/>
          <w:lang w:val="en-US" w:eastAsia="zh-CN"/>
        </w:rPr>
        <w:t>（样式）</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0" w:firstLineChars="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广州市道路事务中心：</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lang w:val="en-US" w:eastAsia="zh-CN"/>
        </w:rPr>
        <w:t>日，贵中心组织开展</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lang w:val="en-US" w:eastAsia="zh-CN"/>
        </w:rPr>
        <w:t>项目</w:t>
      </w:r>
      <w:r>
        <w:rPr>
          <w:rFonts w:hint="eastAsia" w:ascii="Times New Roman" w:hAnsi="Times New Roman" w:eastAsia="仿宋_GB2312" w:cs="Times New Roman"/>
          <w:sz w:val="32"/>
          <w:szCs w:val="32"/>
          <w:highlight w:val="none"/>
          <w:u w:val="none"/>
          <w:lang w:val="en-US" w:eastAsia="zh-CN"/>
        </w:rPr>
        <w:t>（合同编号：</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none"/>
          <w:lang w:val="en-US" w:eastAsia="zh-CN"/>
        </w:rPr>
        <w:t xml:space="preserve">）的 </w:t>
      </w:r>
      <w:r>
        <w:rPr>
          <w:rFonts w:hint="eastAsia" w:ascii="Times New Roman" w:hAnsi="Times New Roman" w:eastAsia="仿宋_GB2312" w:cs="Times New Roman"/>
          <w:sz w:val="32"/>
          <w:szCs w:val="32"/>
          <w:highlight w:val="none"/>
          <w:u w:val="none"/>
          <w:lang w:val="en-US" w:eastAsia="zh-CN"/>
        </w:rPr>
        <w:sym w:font="Wingdings 2" w:char="00A3"/>
      </w:r>
      <w:r>
        <w:rPr>
          <w:rFonts w:hint="eastAsia" w:ascii="Times New Roman" w:hAnsi="Times New Roman" w:eastAsia="仿宋_GB2312" w:cs="Times New Roman"/>
          <w:sz w:val="32"/>
          <w:szCs w:val="32"/>
          <w:highlight w:val="none"/>
          <w:u w:val="none"/>
          <w:lang w:val="en-US" w:eastAsia="zh-CN"/>
        </w:rPr>
        <w:t xml:space="preserve">日常检查 </w:t>
      </w:r>
      <w:r>
        <w:rPr>
          <w:rFonts w:hint="eastAsia" w:ascii="Times New Roman" w:hAnsi="Times New Roman" w:eastAsia="仿宋_GB2312" w:cs="Times New Roman"/>
          <w:sz w:val="32"/>
          <w:szCs w:val="32"/>
          <w:highlight w:val="none"/>
          <w:u w:val="none"/>
          <w:lang w:val="en-US" w:eastAsia="zh-CN"/>
        </w:rPr>
        <w:sym w:font="Wingdings 2" w:char="00A3"/>
      </w:r>
      <w:r>
        <w:rPr>
          <w:rFonts w:hint="eastAsia" w:ascii="Times New Roman" w:hAnsi="Times New Roman" w:eastAsia="仿宋_GB2312" w:cs="Times New Roman"/>
          <w:sz w:val="32"/>
          <w:szCs w:val="32"/>
          <w:highlight w:val="none"/>
          <w:u w:val="none"/>
          <w:lang w:val="en-US" w:eastAsia="zh-CN"/>
        </w:rPr>
        <w:t xml:space="preserve">专项检查 </w:t>
      </w:r>
      <w:r>
        <w:rPr>
          <w:rFonts w:hint="eastAsia" w:ascii="Times New Roman" w:hAnsi="Times New Roman" w:eastAsia="仿宋_GB2312" w:cs="Times New Roman"/>
          <w:sz w:val="32"/>
          <w:szCs w:val="32"/>
          <w:highlight w:val="none"/>
          <w:u w:val="none"/>
          <w:lang w:val="en-US" w:eastAsia="zh-CN"/>
        </w:rPr>
        <w:sym w:font="Wingdings 2" w:char="00A3"/>
      </w:r>
      <w:r>
        <w:rPr>
          <w:rFonts w:hint="eastAsia" w:ascii="Times New Roman" w:hAnsi="Times New Roman" w:eastAsia="仿宋_GB2312" w:cs="Times New Roman"/>
          <w:sz w:val="32"/>
          <w:szCs w:val="32"/>
          <w:highlight w:val="none"/>
          <w:u w:val="none"/>
          <w:lang w:val="en-US" w:eastAsia="zh-CN"/>
        </w:rPr>
        <w:t xml:space="preserve">监督检查 </w:t>
      </w:r>
      <w:r>
        <w:rPr>
          <w:rFonts w:hint="eastAsia" w:ascii="Times New Roman" w:hAnsi="Times New Roman" w:eastAsia="仿宋_GB2312" w:cs="Times New Roman"/>
          <w:sz w:val="32"/>
          <w:szCs w:val="32"/>
          <w:highlight w:val="none"/>
          <w:u w:val="none"/>
          <w:lang w:val="en-US" w:eastAsia="zh-CN"/>
        </w:rPr>
        <w:sym w:font="Wingdings 2" w:char="00A3"/>
      </w:r>
      <w:r>
        <w:rPr>
          <w:rFonts w:hint="eastAsia" w:ascii="Times New Roman" w:hAnsi="Times New Roman" w:eastAsia="仿宋_GB2312" w:cs="Times New Roman"/>
          <w:sz w:val="32"/>
          <w:szCs w:val="32"/>
          <w:highlight w:val="none"/>
          <w:u w:val="none"/>
          <w:lang w:val="en-US" w:eastAsia="zh-CN"/>
        </w:rPr>
        <w:t>阶段性</w:t>
      </w:r>
      <w:r>
        <w:rPr>
          <w:rFonts w:hint="default" w:ascii="Times New Roman" w:hAnsi="Times New Roman" w:eastAsia="仿宋_GB2312" w:cs="Times New Roman"/>
          <w:sz w:val="32"/>
          <w:szCs w:val="32"/>
          <w:highlight w:val="none"/>
          <w:lang w:val="en-US" w:eastAsia="zh-CN"/>
        </w:rPr>
        <w:t>考核</w:t>
      </w:r>
      <w:r>
        <w:rPr>
          <w:rFonts w:hint="eastAsia" w:ascii="Times New Roman" w:hAnsi="Times New Roman" w:eastAsia="仿宋_GB2312" w:cs="Times New Roman"/>
          <w:sz w:val="32"/>
          <w:szCs w:val="32"/>
          <w:highlight w:val="none"/>
          <w:lang w:val="en-US" w:eastAsia="zh-CN"/>
        </w:rPr>
        <w:t>，因对贵中心的</w:t>
      </w:r>
      <w:r>
        <w:rPr>
          <w:rFonts w:hint="eastAsia" w:ascii="Times New Roman" w:hAnsi="Times New Roman" w:eastAsia="仿宋_GB2312" w:cs="Times New Roman"/>
          <w:sz w:val="32"/>
          <w:szCs w:val="32"/>
          <w:highlight w:val="none"/>
          <w:lang w:val="en-US" w:eastAsia="zh-CN"/>
        </w:rPr>
        <w:sym w:font="Wingdings 2" w:char="00A3"/>
      </w:r>
      <w:r>
        <w:rPr>
          <w:rFonts w:hint="eastAsia" w:ascii="Times New Roman" w:hAnsi="Times New Roman" w:eastAsia="仿宋_GB2312" w:cs="Times New Roman"/>
          <w:sz w:val="32"/>
          <w:szCs w:val="32"/>
          <w:highlight w:val="none"/>
          <w:lang w:val="en-US" w:eastAsia="zh-CN"/>
        </w:rPr>
        <w:t xml:space="preserve">违约情形 </w:t>
      </w:r>
      <w:r>
        <w:rPr>
          <w:rFonts w:hint="eastAsia" w:ascii="Times New Roman" w:hAnsi="Times New Roman" w:eastAsia="仿宋_GB2312" w:cs="Times New Roman"/>
          <w:sz w:val="32"/>
          <w:szCs w:val="32"/>
          <w:highlight w:val="none"/>
          <w:lang w:val="en-US" w:eastAsia="zh-CN"/>
        </w:rPr>
        <w:sym w:font="Wingdings 2" w:char="00A3"/>
      </w:r>
      <w:r>
        <w:rPr>
          <w:rFonts w:hint="eastAsia" w:ascii="Times New Roman" w:hAnsi="Times New Roman" w:eastAsia="仿宋_GB2312" w:cs="Times New Roman"/>
          <w:sz w:val="32"/>
          <w:szCs w:val="32"/>
          <w:highlight w:val="none"/>
          <w:lang w:val="en-US" w:eastAsia="zh-CN"/>
        </w:rPr>
        <w:t>考核评价结果认定</w:t>
      </w:r>
      <w:r>
        <w:rPr>
          <w:rFonts w:hint="default" w:ascii="Times New Roman" w:hAnsi="Times New Roman" w:eastAsia="仿宋_GB2312" w:cs="Times New Roman"/>
          <w:sz w:val="32"/>
          <w:szCs w:val="32"/>
          <w:highlight w:val="none"/>
          <w:lang w:val="en-US" w:eastAsia="zh-CN"/>
        </w:rPr>
        <w:t>存在</w:t>
      </w:r>
      <w:r>
        <w:rPr>
          <w:rFonts w:hint="eastAsia" w:ascii="Times New Roman" w:hAnsi="Times New Roman" w:eastAsia="仿宋_GB2312" w:cs="Times New Roman"/>
          <w:sz w:val="32"/>
          <w:szCs w:val="32"/>
          <w:highlight w:val="none"/>
          <w:lang w:val="en-US" w:eastAsia="zh-CN"/>
        </w:rPr>
        <w:t>异议，特此向贵中心提出异议申述。具体如下：</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问题一：</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none"/>
          <w:lang w:val="en-US" w:eastAsia="zh-CN"/>
        </w:rPr>
        <w:t>，依据详见附件1；</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问题二：</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none"/>
          <w:lang w:val="en-US" w:eastAsia="zh-CN"/>
        </w:rPr>
        <w:t>，依据详见附件2；</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问题三：</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none"/>
          <w:lang w:val="en-US" w:eastAsia="zh-CN"/>
        </w:rPr>
        <w:t>，依据详见附件3；</w:t>
      </w:r>
    </w:p>
    <w:p>
      <w:pPr>
        <w:keepNext w:val="0"/>
        <w:keepLines w:val="0"/>
        <w:pageBreakBefore w:val="0"/>
        <w:widowControl w:val="0"/>
        <w:numPr>
          <w:ilvl w:val="0"/>
          <w:numId w:val="0"/>
        </w:numPr>
        <w:suppressAutoHyphens/>
        <w:kinsoku/>
        <w:wordWrap w:val="0"/>
        <w:overflowPunct/>
        <w:topLinePunct w:val="0"/>
        <w:autoSpaceDE/>
        <w:autoSpaceDN/>
        <w:bidi w:val="0"/>
        <w:adjustRightInd/>
        <w:snapToGrid/>
        <w:spacing w:line="560" w:lineRule="exact"/>
        <w:ind w:firstLine="320" w:firstLineChars="100"/>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p>
    <w:p>
      <w:pPr>
        <w:keepNext w:val="0"/>
        <w:keepLines w:val="0"/>
        <w:pageBreakBefore w:val="0"/>
        <w:widowControl w:val="0"/>
        <w:numPr>
          <w:ilvl w:val="0"/>
          <w:numId w:val="0"/>
        </w:numPr>
        <w:suppressAutoHyphens/>
        <w:kinsoku/>
        <w:wordWrap w:val="0"/>
        <w:overflowPunct/>
        <w:topLinePunct w:val="0"/>
        <w:autoSpaceDE/>
        <w:autoSpaceDN/>
        <w:bidi w:val="0"/>
        <w:adjustRightInd/>
        <w:snapToGrid/>
        <w:spacing w:line="560" w:lineRule="exact"/>
        <w:ind w:firstLine="320" w:firstLineChars="1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附件：1.问题一依据</w:t>
      </w:r>
    </w:p>
    <w:p>
      <w:pPr>
        <w:keepNext w:val="0"/>
        <w:keepLines w:val="0"/>
        <w:pageBreakBefore w:val="0"/>
        <w:widowControl w:val="0"/>
        <w:numPr>
          <w:ilvl w:val="0"/>
          <w:numId w:val="0"/>
        </w:numPr>
        <w:suppressAutoHyphens/>
        <w:kinsoku/>
        <w:wordWrap w:val="0"/>
        <w:overflowPunct/>
        <w:topLinePunct w:val="0"/>
        <w:autoSpaceDE/>
        <w:autoSpaceDN/>
        <w:bidi w:val="0"/>
        <w:adjustRightInd/>
        <w:snapToGrid/>
        <w:spacing w:line="560" w:lineRule="exact"/>
        <w:ind w:firstLine="320" w:firstLineChars="1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2.问题二依据</w:t>
      </w:r>
    </w:p>
    <w:p>
      <w:pPr>
        <w:keepNext w:val="0"/>
        <w:keepLines w:val="0"/>
        <w:pageBreakBefore w:val="0"/>
        <w:widowControl w:val="0"/>
        <w:numPr>
          <w:ilvl w:val="0"/>
          <w:numId w:val="0"/>
        </w:numPr>
        <w:suppressAutoHyphens/>
        <w:kinsoku/>
        <w:wordWrap w:val="0"/>
        <w:overflowPunct/>
        <w:topLinePunct w:val="0"/>
        <w:autoSpaceDE/>
        <w:autoSpaceDN/>
        <w:bidi w:val="0"/>
        <w:adjustRightInd/>
        <w:snapToGrid/>
        <w:spacing w:line="560" w:lineRule="exact"/>
        <w:ind w:firstLine="320" w:firstLineChars="100"/>
        <w:jc w:val="both"/>
        <w:textAlignment w:val="auto"/>
        <w:rPr>
          <w:rFonts w:hint="eastAsia" w:ascii="Times New Roman" w:hAnsi="Times New Roman" w:cs="Times New Roman"/>
          <w:highlight w:val="none"/>
          <w:lang w:val="en-US" w:eastAsia="zh-CN"/>
        </w:rPr>
      </w:pPr>
      <w:r>
        <w:rPr>
          <w:rFonts w:hint="eastAsia" w:ascii="Times New Roman" w:hAnsi="Times New Roman" w:eastAsia="仿宋_GB2312" w:cs="Times New Roman"/>
          <w:sz w:val="32"/>
          <w:szCs w:val="32"/>
          <w:highlight w:val="none"/>
          <w:lang w:val="en-US" w:eastAsia="zh-CN"/>
        </w:rPr>
        <w:t xml:space="preserve">      3.问题三依据</w:t>
      </w:r>
    </w:p>
    <w:p>
      <w:pPr>
        <w:keepNext w:val="0"/>
        <w:keepLines w:val="0"/>
        <w:pageBreakBefore w:val="0"/>
        <w:widowControl w:val="0"/>
        <w:numPr>
          <w:ilvl w:val="0"/>
          <w:numId w:val="0"/>
        </w:numPr>
        <w:suppressAutoHyphens/>
        <w:kinsoku/>
        <w:wordWrap w:val="0"/>
        <w:overflowPunct/>
        <w:topLinePunct w:val="0"/>
        <w:autoSpaceDE/>
        <w:autoSpaceDN/>
        <w:bidi w:val="0"/>
        <w:adjustRightInd/>
        <w:snapToGrid/>
        <w:spacing w:line="560" w:lineRule="exact"/>
        <w:ind w:firstLine="0" w:firstLineChars="0"/>
        <w:jc w:val="righ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（异议申请人）</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none"/>
          <w:lang w:eastAsia="zh-CN"/>
        </w:rPr>
        <w:t>日</w:t>
      </w:r>
    </w:p>
    <w:p>
      <w:pPr>
        <w:pStyle w:val="23"/>
        <w:wordWrap/>
        <w:jc w:val="both"/>
        <w:rPr>
          <w:rFonts w:hint="eastAsia" w:ascii="Times New Roman" w:hAnsi="Times New Roman" w:eastAsia="仿宋_GB2312" w:cs="Times New Roman"/>
          <w:color w:val="auto"/>
          <w:kern w:val="2"/>
          <w:sz w:val="32"/>
          <w:szCs w:val="32"/>
          <w:highlight w:val="none"/>
          <w:lang w:val="en-US" w:eastAsia="zh-CN" w:bidi="ar-SA"/>
        </w:rPr>
      </w:pPr>
    </w:p>
    <w:p>
      <w:pPr>
        <w:pStyle w:val="23"/>
        <w:wordWrap/>
        <w:jc w:val="both"/>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（联系人：张三，联系电话：85××××××）</w:t>
      </w:r>
    </w:p>
    <w:p>
      <w:pPr>
        <w:autoSpaceDE/>
        <w:autoSpaceDN/>
        <w:adjustRightInd/>
        <w:spacing w:line="240" w:lineRule="auto"/>
        <w:rPr>
          <w:rFonts w:hint="eastAsia" w:ascii="黑体" w:hAnsi="黑体" w:eastAsia="黑体" w:cs="黑体"/>
          <w:kern w:val="2"/>
          <w:sz w:val="30"/>
          <w:szCs w:val="30"/>
          <w:highlight w:val="none"/>
          <w:lang w:eastAsia="zh-CN"/>
        </w:rPr>
      </w:pPr>
    </w:p>
    <w:p>
      <w:pPr>
        <w:autoSpaceDE/>
        <w:autoSpaceDN/>
        <w:adjustRightInd/>
        <w:spacing w:line="240" w:lineRule="auto"/>
        <w:rPr>
          <w:rFonts w:hint="eastAsia" w:ascii="黑体" w:hAnsi="黑体" w:eastAsia="黑体" w:cs="黑体"/>
          <w:kern w:val="2"/>
          <w:sz w:val="30"/>
          <w:szCs w:val="30"/>
          <w:highlight w:val="none"/>
          <w:lang w:eastAsia="zh-CN"/>
        </w:rPr>
      </w:pPr>
    </w:p>
    <w:p>
      <w:pPr>
        <w:widowControl/>
        <w:spacing w:line="360" w:lineRule="auto"/>
        <w:jc w:val="left"/>
        <w:rPr>
          <w:rFonts w:hint="eastAsia" w:ascii="Times New Roman" w:hAnsi="Times New Roman" w:eastAsia="仿宋" w:cs="仿宋"/>
          <w:b/>
          <w:bCs/>
          <w:color w:val="000000" w:themeColor="text1"/>
          <w:sz w:val="24"/>
          <w:highlight w:val="none"/>
          <w14:textFill>
            <w14:solidFill>
              <w14:schemeClr w14:val="tx1"/>
            </w14:solidFill>
          </w14:textFill>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Arial Unicode MS">
    <w:altName w:val="DejaVu Sans"/>
    <w:panose1 w:val="020B0604020202020204"/>
    <w:charset w:val="00"/>
    <w:family w:val="swiss"/>
    <w:pitch w:val="default"/>
    <w:sig w:usb0="00000000" w:usb1="00000000" w:usb2="0000003F" w:usb3="00000000" w:csb0="003F01FF" w:csb1="00000000"/>
  </w:font>
  <w:font w:name="方正黑体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国标仿宋">
    <w:panose1 w:val="02000500000000000000"/>
    <w:charset w:val="86"/>
    <w:family w:val="auto"/>
    <w:pitch w:val="default"/>
    <w:sig w:usb0="A00002BF" w:usb1="38C77CFA" w:usb2="00000016" w:usb3="00000000" w:csb0="00060007"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ind w:right="360"/>
                            <w:jc w:val="cente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AI9MG0zgEAAKcDAAAO&#10;AAAAAAAAAAEAIAAAADQBAABkcnMvZTJvRG9jLnhtbFBLBQYAAAAABgAGAFkBAAB0BQAAAAA=&#10;">
              <v:fill on="f" focussize="0,0"/>
              <v:stroke on="f"/>
              <v:imagedata o:title=""/>
              <o:lock v:ext="edit" aspectratio="f"/>
              <v:textbox inset="0mm,0mm,0mm,0mm" style="mso-fit-shape-to-text:t;">
                <w:txbxContent>
                  <w:p>
                    <w:pPr>
                      <w:pStyle w:val="12"/>
                      <w:ind w:right="360"/>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lang w:val="en-US" w:eastAsia="zh-CN"/>
                            </w:rPr>
                            <w:t>14</w:t>
                          </w:r>
                          <w:r>
                            <w:rPr>
                              <w:rFonts w:hint="eastAsia"/>
                            </w:rPr>
                            <w:fldChar w:fldCharType="end"/>
                          </w:r>
                        </w:p>
                      </w:txbxContent>
                    </wps:txbx>
                    <wps:bodyPr wrap="none" lIns="0" tIns="0" rIns="0" bIns="0" upright="1">
                      <a:spAutoFit/>
                    </wps:bodyPr>
                  </wps:wsp>
                </a:graphicData>
              </a:graphic>
            </wp:anchor>
          </w:drawing>
        </mc:Choice>
        <mc:Fallback>
          <w:pict>
            <v:shape id="文本框 307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olfcjywEAAJwDAAAOAAAA&#10;AAAAAAEAIAAAADQBAABkcnMvZTJvRG9jLnhtbFBLBQYAAAAABgAGAFkBAABxBQ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lang w:val="en-US" w:eastAsia="zh-CN"/>
                      </w:rPr>
                      <w:t>14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89</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OqXm5zwAAAAUBAAAPAAAAAAAAAAEAIAAAADgAAABkcnMvZG93bnJldi54bWxQSwECFAAUAAAA&#10;CACHTuJAcZ/CM+EBAADMAwAADgAAAAAAAAABACAAAAA0AQAAZHJzL2Uyb0RvYy54bWxQSwUGAAAA&#10;AAYABgBZAQAAhw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89</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ind w:right="360"/>
                            <w:jc w:val="cente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OqXm5zwAAAAUBAAAPAAAAAAAAAAEAIAAAADgAAABkcnMvZG93bnJldi54bWxQSwECFAAUAAAA&#10;CACHTuJAF9Nx6eEBAADMAwAADgAAAAAAAAABACAAAAA0AQAAZHJzL2Uyb0RvYy54bWxQSwUGAAAA&#10;AAYABgBZAQAAhwUAAAAA&#10;">
              <v:fill on="f" focussize="0,0"/>
              <v:stroke on="f"/>
              <v:imagedata o:title=""/>
              <o:lock v:ext="edit" aspectratio="f"/>
              <v:textbox inset="0mm,0mm,0mm,0mm" style="mso-fit-shape-to-text:t;">
                <w:txbxContent>
                  <w:p>
                    <w:pPr>
                      <w:pStyle w:val="12"/>
                      <w:ind w:right="360"/>
                      <w:jc w:val="cente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C2BB3"/>
    <w:multiLevelType w:val="singleLevel"/>
    <w:tmpl w:val="BFDC2BB3"/>
    <w:lvl w:ilvl="0" w:tentative="0">
      <w:start w:val="1"/>
      <w:numFmt w:val="upperLetter"/>
      <w:suff w:val="space"/>
      <w:lvlText w:val="%1."/>
      <w:lvlJc w:val="left"/>
    </w:lvl>
  </w:abstractNum>
  <w:abstractNum w:abstractNumId="1">
    <w:nsid w:val="BFEEF1E0"/>
    <w:multiLevelType w:val="singleLevel"/>
    <w:tmpl w:val="BFEEF1E0"/>
    <w:lvl w:ilvl="0" w:tentative="0">
      <w:start w:val="1"/>
      <w:numFmt w:val="upperLetter"/>
      <w:suff w:val="space"/>
      <w:lvlText w:val="%1."/>
      <w:lvlJc w:val="left"/>
    </w:lvl>
  </w:abstractNum>
  <w:abstractNum w:abstractNumId="2">
    <w:nsid w:val="D8AFCF16"/>
    <w:multiLevelType w:val="singleLevel"/>
    <w:tmpl w:val="D8AFCF16"/>
    <w:lvl w:ilvl="0" w:tentative="0">
      <w:start w:val="1"/>
      <w:numFmt w:val="decimal"/>
      <w:lvlText w:val="%1."/>
      <w:lvlJc w:val="left"/>
      <w:pPr>
        <w:tabs>
          <w:tab w:val="left" w:pos="312"/>
        </w:tabs>
      </w:pPr>
    </w:lvl>
  </w:abstractNum>
  <w:abstractNum w:abstractNumId="3">
    <w:nsid w:val="DAD7DAD9"/>
    <w:multiLevelType w:val="singleLevel"/>
    <w:tmpl w:val="DAD7DAD9"/>
    <w:lvl w:ilvl="0" w:tentative="0">
      <w:start w:val="1"/>
      <w:numFmt w:val="upperLetter"/>
      <w:suff w:val="space"/>
      <w:lvlText w:val="%1."/>
      <w:lvlJc w:val="left"/>
    </w:lvl>
  </w:abstractNum>
  <w:abstractNum w:abstractNumId="4">
    <w:nsid w:val="E3FF352E"/>
    <w:multiLevelType w:val="singleLevel"/>
    <w:tmpl w:val="E3FF352E"/>
    <w:lvl w:ilvl="0" w:tentative="0">
      <w:start w:val="1"/>
      <w:numFmt w:val="upperLetter"/>
      <w:suff w:val="space"/>
      <w:lvlText w:val="%1."/>
      <w:lvlJc w:val="left"/>
    </w:lvl>
  </w:abstractNum>
  <w:abstractNum w:abstractNumId="5">
    <w:nsid w:val="E56F8684"/>
    <w:multiLevelType w:val="singleLevel"/>
    <w:tmpl w:val="E56F8684"/>
    <w:lvl w:ilvl="0" w:tentative="0">
      <w:start w:val="1"/>
      <w:numFmt w:val="upperLetter"/>
      <w:suff w:val="space"/>
      <w:lvlText w:val="%1."/>
      <w:lvlJc w:val="left"/>
    </w:lvl>
  </w:abstractNum>
  <w:abstractNum w:abstractNumId="6">
    <w:nsid w:val="FBBDF507"/>
    <w:multiLevelType w:val="singleLevel"/>
    <w:tmpl w:val="FBBDF507"/>
    <w:lvl w:ilvl="0" w:tentative="0">
      <w:start w:val="2"/>
      <w:numFmt w:val="upperLetter"/>
      <w:suff w:val="space"/>
      <w:lvlText w:val="%1."/>
      <w:lvlJc w:val="left"/>
    </w:lvl>
  </w:abstractNum>
  <w:abstractNum w:abstractNumId="7">
    <w:nsid w:val="FBEF0A4A"/>
    <w:multiLevelType w:val="singleLevel"/>
    <w:tmpl w:val="FBEF0A4A"/>
    <w:lvl w:ilvl="0" w:tentative="0">
      <w:start w:val="1"/>
      <w:numFmt w:val="upperLetter"/>
      <w:suff w:val="space"/>
      <w:lvlText w:val="%1."/>
      <w:lvlJc w:val="left"/>
    </w:lvl>
  </w:abstractNum>
  <w:abstractNum w:abstractNumId="8">
    <w:nsid w:val="FD7680FD"/>
    <w:multiLevelType w:val="singleLevel"/>
    <w:tmpl w:val="FD7680FD"/>
    <w:lvl w:ilvl="0" w:tentative="0">
      <w:start w:val="1"/>
      <w:numFmt w:val="upperLetter"/>
      <w:suff w:val="space"/>
      <w:lvlText w:val="%1."/>
      <w:lvlJc w:val="left"/>
    </w:lvl>
  </w:abstractNum>
  <w:abstractNum w:abstractNumId="9">
    <w:nsid w:val="FF8B2A31"/>
    <w:multiLevelType w:val="singleLevel"/>
    <w:tmpl w:val="FF8B2A31"/>
    <w:lvl w:ilvl="0" w:tentative="0">
      <w:start w:val="1"/>
      <w:numFmt w:val="upperLetter"/>
      <w:suff w:val="space"/>
      <w:lvlText w:val="%1."/>
      <w:lvlJc w:val="left"/>
    </w:lvl>
  </w:abstractNum>
  <w:abstractNum w:abstractNumId="10">
    <w:nsid w:val="FFFEEABC"/>
    <w:multiLevelType w:val="singleLevel"/>
    <w:tmpl w:val="FFFEEABC"/>
    <w:lvl w:ilvl="0" w:tentative="0">
      <w:start w:val="1"/>
      <w:numFmt w:val="decimal"/>
      <w:suff w:val="nothing"/>
      <w:lvlText w:val="（%1）"/>
      <w:lvlJc w:val="left"/>
    </w:lvl>
  </w:abstractNum>
  <w:abstractNum w:abstractNumId="11">
    <w:nsid w:val="01E967D5"/>
    <w:multiLevelType w:val="multilevel"/>
    <w:tmpl w:val="01E967D5"/>
    <w:lvl w:ilvl="0" w:tentative="0">
      <w:start w:val="1"/>
      <w:numFmt w:val="chineseCountingThousand"/>
      <w:pStyle w:val="32"/>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6D13EBD"/>
    <w:multiLevelType w:val="multilevel"/>
    <w:tmpl w:val="06D13EBD"/>
    <w:lvl w:ilvl="0" w:tentative="0">
      <w:start w:val="1"/>
      <w:numFmt w:val="decimal"/>
      <w:pStyle w:val="31"/>
      <w:lvlText w:val="表%1"/>
      <w:lvlJc w:val="left"/>
      <w:pPr>
        <w:tabs>
          <w:tab w:val="left" w:pos="840"/>
        </w:tabs>
        <w:ind w:left="840" w:hanging="84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DF606E1"/>
    <w:multiLevelType w:val="singleLevel"/>
    <w:tmpl w:val="6DF606E1"/>
    <w:lvl w:ilvl="0" w:tentative="0">
      <w:start w:val="2"/>
      <w:numFmt w:val="decimal"/>
      <w:suff w:val="nothing"/>
      <w:lvlText w:val="（%1）"/>
      <w:lvlJc w:val="left"/>
    </w:lvl>
  </w:abstractNum>
  <w:abstractNum w:abstractNumId="14">
    <w:nsid w:val="7EF7C286"/>
    <w:multiLevelType w:val="singleLevel"/>
    <w:tmpl w:val="7EF7C286"/>
    <w:lvl w:ilvl="0" w:tentative="0">
      <w:start w:val="1"/>
      <w:numFmt w:val="upperLetter"/>
      <w:suff w:val="space"/>
      <w:lvlText w:val="%1."/>
      <w:lvlJc w:val="left"/>
    </w:lvl>
  </w:abstractNum>
  <w:num w:numId="1">
    <w:abstractNumId w:val="12"/>
  </w:num>
  <w:num w:numId="2">
    <w:abstractNumId w:val="11"/>
  </w:num>
  <w:num w:numId="3">
    <w:abstractNumId w:val="13"/>
  </w:num>
  <w:num w:numId="4">
    <w:abstractNumId w:val="7"/>
  </w:num>
  <w:num w:numId="5">
    <w:abstractNumId w:val="4"/>
  </w:num>
  <w:num w:numId="6">
    <w:abstractNumId w:val="14"/>
  </w:num>
  <w:num w:numId="7">
    <w:abstractNumId w:val="1"/>
  </w:num>
  <w:num w:numId="8">
    <w:abstractNumId w:val="10"/>
  </w:num>
  <w:num w:numId="9">
    <w:abstractNumId w:val="9"/>
  </w:num>
  <w:num w:numId="10">
    <w:abstractNumId w:val="6"/>
  </w:num>
  <w:num w:numId="11">
    <w:abstractNumId w:val="3"/>
  </w:num>
  <w:num w:numId="12">
    <w:abstractNumId w:val="8"/>
  </w:num>
  <w:num w:numId="13">
    <w:abstractNumId w:val="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YjA0NDc4Nzg1NTVlNzNhMjU2NDEzNTI0ZDA1MjQifQ=="/>
  </w:docVars>
  <w:rsids>
    <w:rsidRoot w:val="00172A27"/>
    <w:rsid w:val="00000F3D"/>
    <w:rsid w:val="00003643"/>
    <w:rsid w:val="00006495"/>
    <w:rsid w:val="00017F51"/>
    <w:rsid w:val="000277C9"/>
    <w:rsid w:val="00032F5D"/>
    <w:rsid w:val="0004285D"/>
    <w:rsid w:val="00054838"/>
    <w:rsid w:val="000803CB"/>
    <w:rsid w:val="00082414"/>
    <w:rsid w:val="000E2E2E"/>
    <w:rsid w:val="0011120E"/>
    <w:rsid w:val="00114E96"/>
    <w:rsid w:val="0016485F"/>
    <w:rsid w:val="0017373D"/>
    <w:rsid w:val="00197A56"/>
    <w:rsid w:val="00197EE0"/>
    <w:rsid w:val="001C45BD"/>
    <w:rsid w:val="002701EA"/>
    <w:rsid w:val="002711E6"/>
    <w:rsid w:val="00272323"/>
    <w:rsid w:val="002742F7"/>
    <w:rsid w:val="00274979"/>
    <w:rsid w:val="00285157"/>
    <w:rsid w:val="002B5858"/>
    <w:rsid w:val="00306FB2"/>
    <w:rsid w:val="003112C4"/>
    <w:rsid w:val="003A6BA2"/>
    <w:rsid w:val="003B647C"/>
    <w:rsid w:val="003C77C8"/>
    <w:rsid w:val="003F212C"/>
    <w:rsid w:val="004078C8"/>
    <w:rsid w:val="0041726D"/>
    <w:rsid w:val="004264B9"/>
    <w:rsid w:val="004B50ED"/>
    <w:rsid w:val="004B6682"/>
    <w:rsid w:val="005654CD"/>
    <w:rsid w:val="005C2A36"/>
    <w:rsid w:val="005C5FE8"/>
    <w:rsid w:val="005E08B6"/>
    <w:rsid w:val="005E5B9E"/>
    <w:rsid w:val="00632C7D"/>
    <w:rsid w:val="00656008"/>
    <w:rsid w:val="00662D66"/>
    <w:rsid w:val="00677232"/>
    <w:rsid w:val="00677A6D"/>
    <w:rsid w:val="006F7873"/>
    <w:rsid w:val="00700A46"/>
    <w:rsid w:val="007236E9"/>
    <w:rsid w:val="0076517C"/>
    <w:rsid w:val="00767DBE"/>
    <w:rsid w:val="00793C47"/>
    <w:rsid w:val="007C1DC0"/>
    <w:rsid w:val="007D4BF7"/>
    <w:rsid w:val="00807804"/>
    <w:rsid w:val="0082325B"/>
    <w:rsid w:val="008A0FCE"/>
    <w:rsid w:val="008A55FB"/>
    <w:rsid w:val="008C1BDA"/>
    <w:rsid w:val="008D38F4"/>
    <w:rsid w:val="008E3FF7"/>
    <w:rsid w:val="00911CC8"/>
    <w:rsid w:val="009258D0"/>
    <w:rsid w:val="00927D3E"/>
    <w:rsid w:val="00986C43"/>
    <w:rsid w:val="009C1A18"/>
    <w:rsid w:val="009D7098"/>
    <w:rsid w:val="00A04211"/>
    <w:rsid w:val="00A23A7B"/>
    <w:rsid w:val="00A34DD4"/>
    <w:rsid w:val="00A5598C"/>
    <w:rsid w:val="00A60722"/>
    <w:rsid w:val="00AA37AA"/>
    <w:rsid w:val="00AB4021"/>
    <w:rsid w:val="00AE2B1C"/>
    <w:rsid w:val="00AE30CD"/>
    <w:rsid w:val="00B16321"/>
    <w:rsid w:val="00B32861"/>
    <w:rsid w:val="00B75E33"/>
    <w:rsid w:val="00B802EA"/>
    <w:rsid w:val="00BA3F6A"/>
    <w:rsid w:val="00BC768A"/>
    <w:rsid w:val="00BF3905"/>
    <w:rsid w:val="00C235CB"/>
    <w:rsid w:val="00C44C0C"/>
    <w:rsid w:val="00C8129E"/>
    <w:rsid w:val="00D05A55"/>
    <w:rsid w:val="00D24479"/>
    <w:rsid w:val="00D26335"/>
    <w:rsid w:val="00D41509"/>
    <w:rsid w:val="00D761E0"/>
    <w:rsid w:val="00D7739B"/>
    <w:rsid w:val="00DA7158"/>
    <w:rsid w:val="00DCBE2C"/>
    <w:rsid w:val="00DD1A53"/>
    <w:rsid w:val="00E23E76"/>
    <w:rsid w:val="00E3196D"/>
    <w:rsid w:val="00E624CB"/>
    <w:rsid w:val="00E62BE6"/>
    <w:rsid w:val="00E76B2C"/>
    <w:rsid w:val="00EE0568"/>
    <w:rsid w:val="00F05CBB"/>
    <w:rsid w:val="00F16C35"/>
    <w:rsid w:val="00F22417"/>
    <w:rsid w:val="00F47757"/>
    <w:rsid w:val="00F66DA5"/>
    <w:rsid w:val="00F6713F"/>
    <w:rsid w:val="00FC3E11"/>
    <w:rsid w:val="01BB2BF5"/>
    <w:rsid w:val="01DB5BD2"/>
    <w:rsid w:val="025B0834"/>
    <w:rsid w:val="037C0C17"/>
    <w:rsid w:val="0461750E"/>
    <w:rsid w:val="07374874"/>
    <w:rsid w:val="07773A42"/>
    <w:rsid w:val="097DD424"/>
    <w:rsid w:val="09FC16A6"/>
    <w:rsid w:val="0AEC7059"/>
    <w:rsid w:val="0F1B3582"/>
    <w:rsid w:val="0F5EA4F3"/>
    <w:rsid w:val="0F700671"/>
    <w:rsid w:val="0F766474"/>
    <w:rsid w:val="0FFBFA1E"/>
    <w:rsid w:val="10D01FB8"/>
    <w:rsid w:val="10F21ABE"/>
    <w:rsid w:val="116FFFE8"/>
    <w:rsid w:val="118D7DCE"/>
    <w:rsid w:val="12AB64C0"/>
    <w:rsid w:val="14622BEA"/>
    <w:rsid w:val="14873F1A"/>
    <w:rsid w:val="15FF43B5"/>
    <w:rsid w:val="161FFA09"/>
    <w:rsid w:val="16EB9F20"/>
    <w:rsid w:val="17824E6A"/>
    <w:rsid w:val="17BD08B0"/>
    <w:rsid w:val="19FB451C"/>
    <w:rsid w:val="19FF26D7"/>
    <w:rsid w:val="1B807125"/>
    <w:rsid w:val="1BFF83CF"/>
    <w:rsid w:val="1D7FC78E"/>
    <w:rsid w:val="1E5B707A"/>
    <w:rsid w:val="1F7D2C93"/>
    <w:rsid w:val="1F7FD3EF"/>
    <w:rsid w:val="1F974BE8"/>
    <w:rsid w:val="1FFF88F0"/>
    <w:rsid w:val="21CC7147"/>
    <w:rsid w:val="221E7707"/>
    <w:rsid w:val="23FB45F5"/>
    <w:rsid w:val="245A279B"/>
    <w:rsid w:val="2578240B"/>
    <w:rsid w:val="258172F0"/>
    <w:rsid w:val="27FF9BD4"/>
    <w:rsid w:val="2885D685"/>
    <w:rsid w:val="29127734"/>
    <w:rsid w:val="2A920342"/>
    <w:rsid w:val="2ABFF041"/>
    <w:rsid w:val="2CEE0EA3"/>
    <w:rsid w:val="2DFE2F4F"/>
    <w:rsid w:val="2EF93415"/>
    <w:rsid w:val="2F257B30"/>
    <w:rsid w:val="2F4E0D21"/>
    <w:rsid w:val="2FADFA73"/>
    <w:rsid w:val="2FEF3503"/>
    <w:rsid w:val="2FF9FF9C"/>
    <w:rsid w:val="2FFD6751"/>
    <w:rsid w:val="2FFD78D0"/>
    <w:rsid w:val="2FFE8858"/>
    <w:rsid w:val="2FFFF362"/>
    <w:rsid w:val="3114526A"/>
    <w:rsid w:val="320703F3"/>
    <w:rsid w:val="33B76ABD"/>
    <w:rsid w:val="33FB7AF3"/>
    <w:rsid w:val="340D5618"/>
    <w:rsid w:val="34F7A2B2"/>
    <w:rsid w:val="353D3B99"/>
    <w:rsid w:val="357B125F"/>
    <w:rsid w:val="35EF66ED"/>
    <w:rsid w:val="35FF1787"/>
    <w:rsid w:val="36671127"/>
    <w:rsid w:val="36FAAC5F"/>
    <w:rsid w:val="37A96737"/>
    <w:rsid w:val="37B627A2"/>
    <w:rsid w:val="37EE8714"/>
    <w:rsid w:val="3A9FCD40"/>
    <w:rsid w:val="3AD73E23"/>
    <w:rsid w:val="3AF34BBC"/>
    <w:rsid w:val="3AFB11B8"/>
    <w:rsid w:val="3AFF9DE3"/>
    <w:rsid w:val="3B5E6556"/>
    <w:rsid w:val="3B67864F"/>
    <w:rsid w:val="3B7B8CDA"/>
    <w:rsid w:val="3BAD7A5E"/>
    <w:rsid w:val="3BEDC083"/>
    <w:rsid w:val="3BEFE32B"/>
    <w:rsid w:val="3BFB234A"/>
    <w:rsid w:val="3BFE42C5"/>
    <w:rsid w:val="3C977C42"/>
    <w:rsid w:val="3CFDE394"/>
    <w:rsid w:val="3D1FD358"/>
    <w:rsid w:val="3DD3FF6F"/>
    <w:rsid w:val="3E064E16"/>
    <w:rsid w:val="3E7F6CF3"/>
    <w:rsid w:val="3E8D25F3"/>
    <w:rsid w:val="3E9A48EA"/>
    <w:rsid w:val="3E9F8E2C"/>
    <w:rsid w:val="3ED13641"/>
    <w:rsid w:val="3EDFAC9B"/>
    <w:rsid w:val="3EEF5D9C"/>
    <w:rsid w:val="3F35BF8E"/>
    <w:rsid w:val="3F4F1242"/>
    <w:rsid w:val="3F5BAD44"/>
    <w:rsid w:val="3F6DA78A"/>
    <w:rsid w:val="3F7E5D43"/>
    <w:rsid w:val="3FB376D1"/>
    <w:rsid w:val="3FBF37AB"/>
    <w:rsid w:val="3FCB7E71"/>
    <w:rsid w:val="3FE7C30F"/>
    <w:rsid w:val="3FF67795"/>
    <w:rsid w:val="3FF94022"/>
    <w:rsid w:val="3FFAF04F"/>
    <w:rsid w:val="3FFF34A5"/>
    <w:rsid w:val="3FFF7A3D"/>
    <w:rsid w:val="3FFFBD3B"/>
    <w:rsid w:val="3FFFEE54"/>
    <w:rsid w:val="408B559B"/>
    <w:rsid w:val="414032B3"/>
    <w:rsid w:val="425D156E"/>
    <w:rsid w:val="44BF0058"/>
    <w:rsid w:val="46F6E469"/>
    <w:rsid w:val="47644354"/>
    <w:rsid w:val="476FE8CA"/>
    <w:rsid w:val="47BE09D6"/>
    <w:rsid w:val="48074B4D"/>
    <w:rsid w:val="49475C94"/>
    <w:rsid w:val="4BCD176C"/>
    <w:rsid w:val="4C3F6F77"/>
    <w:rsid w:val="4C6FF6AB"/>
    <w:rsid w:val="4C9254F6"/>
    <w:rsid w:val="4D7C38C6"/>
    <w:rsid w:val="4DA92860"/>
    <w:rsid w:val="4DDBACC0"/>
    <w:rsid w:val="4DEBC8DE"/>
    <w:rsid w:val="4DFE3824"/>
    <w:rsid w:val="4EEC59C7"/>
    <w:rsid w:val="4F0051E4"/>
    <w:rsid w:val="4F5F3E51"/>
    <w:rsid w:val="4F7D982C"/>
    <w:rsid w:val="4F7F10FE"/>
    <w:rsid w:val="4F7F51A5"/>
    <w:rsid w:val="4FFF4D48"/>
    <w:rsid w:val="5177E90E"/>
    <w:rsid w:val="51D16927"/>
    <w:rsid w:val="529B1CC0"/>
    <w:rsid w:val="52CB0008"/>
    <w:rsid w:val="52DE212C"/>
    <w:rsid w:val="52FB2345"/>
    <w:rsid w:val="537F6233"/>
    <w:rsid w:val="53CD4F78"/>
    <w:rsid w:val="5434226E"/>
    <w:rsid w:val="54A2097F"/>
    <w:rsid w:val="54FE7647"/>
    <w:rsid w:val="56277581"/>
    <w:rsid w:val="56E37C51"/>
    <w:rsid w:val="56EE32F9"/>
    <w:rsid w:val="572AA087"/>
    <w:rsid w:val="577B59DB"/>
    <w:rsid w:val="57FEEA74"/>
    <w:rsid w:val="584D4A0B"/>
    <w:rsid w:val="587479EF"/>
    <w:rsid w:val="59EE16B3"/>
    <w:rsid w:val="5AB79994"/>
    <w:rsid w:val="5B7D7F9D"/>
    <w:rsid w:val="5C2645E4"/>
    <w:rsid w:val="5C32732E"/>
    <w:rsid w:val="5CDFF972"/>
    <w:rsid w:val="5D557760"/>
    <w:rsid w:val="5DED5478"/>
    <w:rsid w:val="5E8C76AB"/>
    <w:rsid w:val="5E9216BF"/>
    <w:rsid w:val="5ECDA720"/>
    <w:rsid w:val="5EFEC6E3"/>
    <w:rsid w:val="5EFF512B"/>
    <w:rsid w:val="5F3273DA"/>
    <w:rsid w:val="5F3DEC5E"/>
    <w:rsid w:val="5F77D576"/>
    <w:rsid w:val="5F7B2BE8"/>
    <w:rsid w:val="5F7B5C09"/>
    <w:rsid w:val="5F7FD899"/>
    <w:rsid w:val="5F9EBAE3"/>
    <w:rsid w:val="5FA73FEE"/>
    <w:rsid w:val="5FAAAD38"/>
    <w:rsid w:val="5FBD52AF"/>
    <w:rsid w:val="5FDF90D5"/>
    <w:rsid w:val="5FED1808"/>
    <w:rsid w:val="5FFF4E0B"/>
    <w:rsid w:val="5FFF6E0F"/>
    <w:rsid w:val="607FF42F"/>
    <w:rsid w:val="614BB0E7"/>
    <w:rsid w:val="62A136A3"/>
    <w:rsid w:val="62ED876A"/>
    <w:rsid w:val="633F6D2A"/>
    <w:rsid w:val="63B7B27D"/>
    <w:rsid w:val="649C5490"/>
    <w:rsid w:val="64A0543D"/>
    <w:rsid w:val="65830AA1"/>
    <w:rsid w:val="65972C72"/>
    <w:rsid w:val="65EFCD3F"/>
    <w:rsid w:val="665F80D3"/>
    <w:rsid w:val="66AE734B"/>
    <w:rsid w:val="66FFC72C"/>
    <w:rsid w:val="677EE447"/>
    <w:rsid w:val="67FF3028"/>
    <w:rsid w:val="695B1A06"/>
    <w:rsid w:val="69ADAA2D"/>
    <w:rsid w:val="69BF30DD"/>
    <w:rsid w:val="6A49360E"/>
    <w:rsid w:val="6A6C5CB8"/>
    <w:rsid w:val="6AE663F4"/>
    <w:rsid w:val="6BBF9BDB"/>
    <w:rsid w:val="6BF9886B"/>
    <w:rsid w:val="6BFCB90A"/>
    <w:rsid w:val="6BFFFA95"/>
    <w:rsid w:val="6D7F5597"/>
    <w:rsid w:val="6DBFC7BE"/>
    <w:rsid w:val="6DD41571"/>
    <w:rsid w:val="6E13AEAE"/>
    <w:rsid w:val="6E3FFB85"/>
    <w:rsid w:val="6F081AF4"/>
    <w:rsid w:val="6F732E7C"/>
    <w:rsid w:val="6F753FB5"/>
    <w:rsid w:val="6F7C93DF"/>
    <w:rsid w:val="6FCA7738"/>
    <w:rsid w:val="6FD5AECE"/>
    <w:rsid w:val="6FEB7872"/>
    <w:rsid w:val="6FEFC93B"/>
    <w:rsid w:val="6FFAFD6F"/>
    <w:rsid w:val="6FFE06EC"/>
    <w:rsid w:val="6FFF4B13"/>
    <w:rsid w:val="6FFFC41B"/>
    <w:rsid w:val="70AF210A"/>
    <w:rsid w:val="71115774"/>
    <w:rsid w:val="71F7C62F"/>
    <w:rsid w:val="71F9FAFB"/>
    <w:rsid w:val="71FFCD39"/>
    <w:rsid w:val="723FCAE6"/>
    <w:rsid w:val="72509003"/>
    <w:rsid w:val="72C517E6"/>
    <w:rsid w:val="72DDAF73"/>
    <w:rsid w:val="72EE88E0"/>
    <w:rsid w:val="72F52937"/>
    <w:rsid w:val="73014033"/>
    <w:rsid w:val="7364382A"/>
    <w:rsid w:val="736D3EC9"/>
    <w:rsid w:val="737D4C9F"/>
    <w:rsid w:val="739C66B9"/>
    <w:rsid w:val="73EF038F"/>
    <w:rsid w:val="73F3AEC2"/>
    <w:rsid w:val="743715AA"/>
    <w:rsid w:val="748F41EC"/>
    <w:rsid w:val="74F36D6A"/>
    <w:rsid w:val="7535A671"/>
    <w:rsid w:val="75DFFDAA"/>
    <w:rsid w:val="75F36B04"/>
    <w:rsid w:val="76BF62F8"/>
    <w:rsid w:val="76E32623"/>
    <w:rsid w:val="76EF2910"/>
    <w:rsid w:val="76F5DFA8"/>
    <w:rsid w:val="76F9D4BA"/>
    <w:rsid w:val="76FB6F58"/>
    <w:rsid w:val="77053C73"/>
    <w:rsid w:val="771E52C3"/>
    <w:rsid w:val="776F7B9B"/>
    <w:rsid w:val="77704EAA"/>
    <w:rsid w:val="777E740F"/>
    <w:rsid w:val="777E958C"/>
    <w:rsid w:val="777FD75C"/>
    <w:rsid w:val="7799F722"/>
    <w:rsid w:val="77B7A429"/>
    <w:rsid w:val="77B7E96D"/>
    <w:rsid w:val="77BE398C"/>
    <w:rsid w:val="77E920CB"/>
    <w:rsid w:val="77EB65DB"/>
    <w:rsid w:val="77EE4220"/>
    <w:rsid w:val="77EF148D"/>
    <w:rsid w:val="77FD1B34"/>
    <w:rsid w:val="78CE79E5"/>
    <w:rsid w:val="79AD881F"/>
    <w:rsid w:val="79FEEC14"/>
    <w:rsid w:val="79FFD1D5"/>
    <w:rsid w:val="7A294651"/>
    <w:rsid w:val="7A43C58D"/>
    <w:rsid w:val="7A5E33BF"/>
    <w:rsid w:val="7AB3ECBF"/>
    <w:rsid w:val="7AB6BB4C"/>
    <w:rsid w:val="7ABB4BA2"/>
    <w:rsid w:val="7AF1DD3A"/>
    <w:rsid w:val="7AFF5E73"/>
    <w:rsid w:val="7AFF752C"/>
    <w:rsid w:val="7B645F82"/>
    <w:rsid w:val="7B7973DA"/>
    <w:rsid w:val="7B7F27C8"/>
    <w:rsid w:val="7BB73B0B"/>
    <w:rsid w:val="7BBEFD74"/>
    <w:rsid w:val="7BD1F59A"/>
    <w:rsid w:val="7BEF369E"/>
    <w:rsid w:val="7BF51C61"/>
    <w:rsid w:val="7BF5388D"/>
    <w:rsid w:val="7BFBCD74"/>
    <w:rsid w:val="7BFCD058"/>
    <w:rsid w:val="7BFEF6DE"/>
    <w:rsid w:val="7BFF5099"/>
    <w:rsid w:val="7C025659"/>
    <w:rsid w:val="7CB70393"/>
    <w:rsid w:val="7CEC5958"/>
    <w:rsid w:val="7CFF5F4E"/>
    <w:rsid w:val="7D047F3A"/>
    <w:rsid w:val="7D2FC21C"/>
    <w:rsid w:val="7D3F6B0E"/>
    <w:rsid w:val="7D5D7300"/>
    <w:rsid w:val="7D5E5A6C"/>
    <w:rsid w:val="7D5F072F"/>
    <w:rsid w:val="7DCE0611"/>
    <w:rsid w:val="7DDCE2E0"/>
    <w:rsid w:val="7DEF6D4E"/>
    <w:rsid w:val="7DFD5C76"/>
    <w:rsid w:val="7DFD7097"/>
    <w:rsid w:val="7DFDB4D3"/>
    <w:rsid w:val="7DFEE228"/>
    <w:rsid w:val="7DFF2657"/>
    <w:rsid w:val="7E6F2936"/>
    <w:rsid w:val="7E7E9735"/>
    <w:rsid w:val="7EFB9194"/>
    <w:rsid w:val="7EFF7EFC"/>
    <w:rsid w:val="7F2FC9EC"/>
    <w:rsid w:val="7F3D0AA7"/>
    <w:rsid w:val="7F562079"/>
    <w:rsid w:val="7F5BED43"/>
    <w:rsid w:val="7F675087"/>
    <w:rsid w:val="7F6BE8F5"/>
    <w:rsid w:val="7F7978A5"/>
    <w:rsid w:val="7F7A79C2"/>
    <w:rsid w:val="7F7C9FA6"/>
    <w:rsid w:val="7F7E168D"/>
    <w:rsid w:val="7F936E55"/>
    <w:rsid w:val="7F93E4B8"/>
    <w:rsid w:val="7F9C636E"/>
    <w:rsid w:val="7FAC2CFC"/>
    <w:rsid w:val="7FAFEE66"/>
    <w:rsid w:val="7FB1AE86"/>
    <w:rsid w:val="7FB7E0E8"/>
    <w:rsid w:val="7FBB5C29"/>
    <w:rsid w:val="7FC60537"/>
    <w:rsid w:val="7FCE4CA6"/>
    <w:rsid w:val="7FD96F06"/>
    <w:rsid w:val="7FE76E64"/>
    <w:rsid w:val="7FE96B1C"/>
    <w:rsid w:val="7FEA6D40"/>
    <w:rsid w:val="7FF185D2"/>
    <w:rsid w:val="7FF260C0"/>
    <w:rsid w:val="7FF65846"/>
    <w:rsid w:val="7FF69F86"/>
    <w:rsid w:val="7FF72FA9"/>
    <w:rsid w:val="7FF7520F"/>
    <w:rsid w:val="7FF78CAE"/>
    <w:rsid w:val="7FF79155"/>
    <w:rsid w:val="7FF799E6"/>
    <w:rsid w:val="7FF9D10B"/>
    <w:rsid w:val="7FFA51B3"/>
    <w:rsid w:val="7FFE22EC"/>
    <w:rsid w:val="7FFF4D85"/>
    <w:rsid w:val="7FFF578C"/>
    <w:rsid w:val="7FFFAF69"/>
    <w:rsid w:val="7FFFB8AE"/>
    <w:rsid w:val="7FFFDDE2"/>
    <w:rsid w:val="863B1215"/>
    <w:rsid w:val="86FBD010"/>
    <w:rsid w:val="8FBE4858"/>
    <w:rsid w:val="8FFFB8F4"/>
    <w:rsid w:val="93D5290E"/>
    <w:rsid w:val="97EAF6A3"/>
    <w:rsid w:val="97FF4E2E"/>
    <w:rsid w:val="99B2F470"/>
    <w:rsid w:val="9B3FBE98"/>
    <w:rsid w:val="9B5749CA"/>
    <w:rsid w:val="9B7DDE41"/>
    <w:rsid w:val="9DCF547B"/>
    <w:rsid w:val="9DDBAD53"/>
    <w:rsid w:val="9F3D93E6"/>
    <w:rsid w:val="9F6FC28D"/>
    <w:rsid w:val="9FBDA47C"/>
    <w:rsid w:val="9FBFFFDF"/>
    <w:rsid w:val="9FFCABF3"/>
    <w:rsid w:val="9FFF6814"/>
    <w:rsid w:val="A2D7BBAD"/>
    <w:rsid w:val="A7FF9C4E"/>
    <w:rsid w:val="A9F73530"/>
    <w:rsid w:val="AA6B86BD"/>
    <w:rsid w:val="AADF585B"/>
    <w:rsid w:val="ABBBFA2E"/>
    <w:rsid w:val="AD27BD12"/>
    <w:rsid w:val="ADFFFE72"/>
    <w:rsid w:val="AEFE55A8"/>
    <w:rsid w:val="AFB367BB"/>
    <w:rsid w:val="AFCEA96E"/>
    <w:rsid w:val="AFDDAC1C"/>
    <w:rsid w:val="AFEF08EA"/>
    <w:rsid w:val="AFF7D275"/>
    <w:rsid w:val="AFFD0C29"/>
    <w:rsid w:val="B3BC2924"/>
    <w:rsid w:val="B3FFBAFF"/>
    <w:rsid w:val="B4F74F6D"/>
    <w:rsid w:val="B5564804"/>
    <w:rsid w:val="B5BCF149"/>
    <w:rsid w:val="B6F7A5AC"/>
    <w:rsid w:val="B7753DB5"/>
    <w:rsid w:val="B77A178E"/>
    <w:rsid w:val="B77B6900"/>
    <w:rsid w:val="B7BD2DDC"/>
    <w:rsid w:val="B7F6AA64"/>
    <w:rsid w:val="B7F700F9"/>
    <w:rsid w:val="B9CF1832"/>
    <w:rsid w:val="BAEE2CFB"/>
    <w:rsid w:val="BB9FF62F"/>
    <w:rsid w:val="BBE51864"/>
    <w:rsid w:val="BBE7EDDC"/>
    <w:rsid w:val="BCEFCB39"/>
    <w:rsid w:val="BCFE9946"/>
    <w:rsid w:val="BDBD0215"/>
    <w:rsid w:val="BDFC361D"/>
    <w:rsid w:val="BEFB046C"/>
    <w:rsid w:val="BF2DE90C"/>
    <w:rsid w:val="BF476B48"/>
    <w:rsid w:val="BF74FF08"/>
    <w:rsid w:val="BF7906C5"/>
    <w:rsid w:val="BF7BB48D"/>
    <w:rsid w:val="BF7FFB55"/>
    <w:rsid w:val="BF8F9C54"/>
    <w:rsid w:val="BFA74525"/>
    <w:rsid w:val="BFBF4CCB"/>
    <w:rsid w:val="BFD58D41"/>
    <w:rsid w:val="BFDB50F0"/>
    <w:rsid w:val="BFDF655F"/>
    <w:rsid w:val="BFEBE68F"/>
    <w:rsid w:val="BFF573F4"/>
    <w:rsid w:val="BFF6B140"/>
    <w:rsid w:val="BFFBA0DF"/>
    <w:rsid w:val="BFFE56A3"/>
    <w:rsid w:val="BFFF1843"/>
    <w:rsid w:val="C73FB5B9"/>
    <w:rsid w:val="C7F7A9C6"/>
    <w:rsid w:val="C7FF5A7B"/>
    <w:rsid w:val="C7FF7152"/>
    <w:rsid w:val="CBED2FA8"/>
    <w:rsid w:val="CBF53ABA"/>
    <w:rsid w:val="CCBE076D"/>
    <w:rsid w:val="CD9F819F"/>
    <w:rsid w:val="CDDB4A5E"/>
    <w:rsid w:val="CF7EEE58"/>
    <w:rsid w:val="CF9C55AF"/>
    <w:rsid w:val="CFEC6774"/>
    <w:rsid w:val="CFF5F435"/>
    <w:rsid w:val="CFF66275"/>
    <w:rsid w:val="CFFD5CD5"/>
    <w:rsid w:val="D3EDAE03"/>
    <w:rsid w:val="D3FFEADF"/>
    <w:rsid w:val="D4BBC4C6"/>
    <w:rsid w:val="D5FF23B3"/>
    <w:rsid w:val="D67D229E"/>
    <w:rsid w:val="D6BFAD19"/>
    <w:rsid w:val="D73F9F47"/>
    <w:rsid w:val="D7AB251E"/>
    <w:rsid w:val="D9173546"/>
    <w:rsid w:val="D9EB3E8C"/>
    <w:rsid w:val="DBCED641"/>
    <w:rsid w:val="DBDEBE46"/>
    <w:rsid w:val="DBEA1AE2"/>
    <w:rsid w:val="DBEE7D22"/>
    <w:rsid w:val="DCFBC8E7"/>
    <w:rsid w:val="DD6E37B8"/>
    <w:rsid w:val="DD9DA489"/>
    <w:rsid w:val="DDBF17CA"/>
    <w:rsid w:val="DDFF50CA"/>
    <w:rsid w:val="DEA6C10F"/>
    <w:rsid w:val="DEAFD27F"/>
    <w:rsid w:val="DEBF0394"/>
    <w:rsid w:val="DEC7884C"/>
    <w:rsid w:val="DEDB1B7F"/>
    <w:rsid w:val="DEEB7539"/>
    <w:rsid w:val="DEFB8BDE"/>
    <w:rsid w:val="DEFF130D"/>
    <w:rsid w:val="DF2E193E"/>
    <w:rsid w:val="DF7EEB11"/>
    <w:rsid w:val="DFA24642"/>
    <w:rsid w:val="DFCB524A"/>
    <w:rsid w:val="DFDD13BB"/>
    <w:rsid w:val="DFF059BC"/>
    <w:rsid w:val="DFF7F382"/>
    <w:rsid w:val="DFFAA3E1"/>
    <w:rsid w:val="DFFADBEF"/>
    <w:rsid w:val="E3336DED"/>
    <w:rsid w:val="E3FD67C4"/>
    <w:rsid w:val="E50787FA"/>
    <w:rsid w:val="E7FBC2D5"/>
    <w:rsid w:val="E7FE9B49"/>
    <w:rsid w:val="E7FFCCB9"/>
    <w:rsid w:val="E8AFFEA0"/>
    <w:rsid w:val="E9BF86EF"/>
    <w:rsid w:val="E9F3453D"/>
    <w:rsid w:val="EABF511B"/>
    <w:rsid w:val="EB5FA744"/>
    <w:rsid w:val="EB822A76"/>
    <w:rsid w:val="EBFF5FD4"/>
    <w:rsid w:val="ECA7B078"/>
    <w:rsid w:val="ECACB06D"/>
    <w:rsid w:val="ECFBDBD8"/>
    <w:rsid w:val="ED7CD373"/>
    <w:rsid w:val="EE7FD3A9"/>
    <w:rsid w:val="EF7FC62E"/>
    <w:rsid w:val="EFA292B7"/>
    <w:rsid w:val="EFAB2959"/>
    <w:rsid w:val="EFB33EF0"/>
    <w:rsid w:val="EFD78226"/>
    <w:rsid w:val="EFDB546D"/>
    <w:rsid w:val="EFDBB3FA"/>
    <w:rsid w:val="EFDBF13E"/>
    <w:rsid w:val="EFDCB2E7"/>
    <w:rsid w:val="EFDF254C"/>
    <w:rsid w:val="EFDF56B2"/>
    <w:rsid w:val="EFFF10B6"/>
    <w:rsid w:val="F0B15A8A"/>
    <w:rsid w:val="F19B3630"/>
    <w:rsid w:val="F2C3493C"/>
    <w:rsid w:val="F2FF6FB6"/>
    <w:rsid w:val="F3C844BD"/>
    <w:rsid w:val="F4FC6995"/>
    <w:rsid w:val="F57F190D"/>
    <w:rsid w:val="F5F79A92"/>
    <w:rsid w:val="F5FEF42F"/>
    <w:rsid w:val="F5FF24A2"/>
    <w:rsid w:val="F6631CA0"/>
    <w:rsid w:val="F6DF4097"/>
    <w:rsid w:val="F6FBE8FC"/>
    <w:rsid w:val="F6FD75DE"/>
    <w:rsid w:val="F6FFF4E6"/>
    <w:rsid w:val="F747D319"/>
    <w:rsid w:val="F75E8208"/>
    <w:rsid w:val="F75F8321"/>
    <w:rsid w:val="F76B1F82"/>
    <w:rsid w:val="F77EFD30"/>
    <w:rsid w:val="F77F2D9A"/>
    <w:rsid w:val="F77F5CBE"/>
    <w:rsid w:val="F77F6BBD"/>
    <w:rsid w:val="F79FE267"/>
    <w:rsid w:val="F7B7537D"/>
    <w:rsid w:val="F7BE1EC4"/>
    <w:rsid w:val="F7BE55F3"/>
    <w:rsid w:val="F7BFECDF"/>
    <w:rsid w:val="F7BFF357"/>
    <w:rsid w:val="F7CF72F5"/>
    <w:rsid w:val="F7D49DC0"/>
    <w:rsid w:val="F7D4CEA8"/>
    <w:rsid w:val="F7DB2157"/>
    <w:rsid w:val="F7DFA782"/>
    <w:rsid w:val="F7FB25BB"/>
    <w:rsid w:val="F7FD8EB7"/>
    <w:rsid w:val="F7FFA902"/>
    <w:rsid w:val="F8F7E157"/>
    <w:rsid w:val="F96F0C99"/>
    <w:rsid w:val="F9E740A5"/>
    <w:rsid w:val="F9FD45A1"/>
    <w:rsid w:val="FB6BE01E"/>
    <w:rsid w:val="FB7B133A"/>
    <w:rsid w:val="FBDCDC75"/>
    <w:rsid w:val="FBF6272A"/>
    <w:rsid w:val="FBF75ED0"/>
    <w:rsid w:val="FBFBAAC5"/>
    <w:rsid w:val="FC045314"/>
    <w:rsid w:val="FD74595D"/>
    <w:rsid w:val="FD7732F2"/>
    <w:rsid w:val="FD7AAF61"/>
    <w:rsid w:val="FDCBC338"/>
    <w:rsid w:val="FDDDF211"/>
    <w:rsid w:val="FDE33444"/>
    <w:rsid w:val="FDEA695A"/>
    <w:rsid w:val="FDEC3CC6"/>
    <w:rsid w:val="FDF3B37B"/>
    <w:rsid w:val="FDF69A5D"/>
    <w:rsid w:val="FDFFBC7A"/>
    <w:rsid w:val="FE5F1BA7"/>
    <w:rsid w:val="FE6FF92C"/>
    <w:rsid w:val="FE7D6C78"/>
    <w:rsid w:val="FE7E6E32"/>
    <w:rsid w:val="FE979F2F"/>
    <w:rsid w:val="FE9A5C9F"/>
    <w:rsid w:val="FEDDF2AF"/>
    <w:rsid w:val="FEF9A47F"/>
    <w:rsid w:val="FEFDC757"/>
    <w:rsid w:val="FEFDFF56"/>
    <w:rsid w:val="FF1516A2"/>
    <w:rsid w:val="FF1F7EE9"/>
    <w:rsid w:val="FF3FC0B9"/>
    <w:rsid w:val="FF4B96CC"/>
    <w:rsid w:val="FF4F6748"/>
    <w:rsid w:val="FF5F318C"/>
    <w:rsid w:val="FF78CDBC"/>
    <w:rsid w:val="FF7CEBE6"/>
    <w:rsid w:val="FF7D8728"/>
    <w:rsid w:val="FF7E6D50"/>
    <w:rsid w:val="FF7FD7FF"/>
    <w:rsid w:val="FF89387D"/>
    <w:rsid w:val="FFB87662"/>
    <w:rsid w:val="FFB9CF95"/>
    <w:rsid w:val="FFBAAF0E"/>
    <w:rsid w:val="FFD55997"/>
    <w:rsid w:val="FFD7E403"/>
    <w:rsid w:val="FFDB0EB8"/>
    <w:rsid w:val="FFDE2B25"/>
    <w:rsid w:val="FFDEC14B"/>
    <w:rsid w:val="FFE541B0"/>
    <w:rsid w:val="FFF1F77A"/>
    <w:rsid w:val="FFF3CAE9"/>
    <w:rsid w:val="FFF7DF48"/>
    <w:rsid w:val="FFFB308F"/>
    <w:rsid w:val="FFFD165C"/>
    <w:rsid w:val="FFFD35DD"/>
    <w:rsid w:val="FFFD9CCB"/>
    <w:rsid w:val="FFFDABB6"/>
    <w:rsid w:val="FFFE2C05"/>
    <w:rsid w:val="FFFE7C99"/>
    <w:rsid w:val="FFFE8F3B"/>
    <w:rsid w:val="FFFEBDA8"/>
    <w:rsid w:val="FFFEE46C"/>
    <w:rsid w:val="FFFF43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link w:val="24"/>
    <w:unhideWhenUsed/>
    <w:qFormat/>
    <w:uiPriority w:val="9"/>
    <w:pPr>
      <w:keepNext/>
      <w:keepLines/>
      <w:spacing w:before="260" w:after="260" w:line="416" w:lineRule="auto"/>
      <w:outlineLvl w:val="1"/>
    </w:pPr>
    <w:rPr>
      <w:rFonts w:ascii="等线 Light" w:hAnsi="等线 Light" w:eastAsia="等线 Light" w:cs="等线 Light"/>
      <w:b/>
      <w:bCs/>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spacing w:line="360" w:lineRule="auto"/>
      <w:ind w:left="181" w:firstLine="420"/>
    </w:pPr>
    <w:rPr>
      <w:rFonts w:ascii="Times New Roman" w:hAnsi="Times New Roman"/>
      <w:szCs w:val="20"/>
    </w:rPr>
  </w:style>
  <w:style w:type="paragraph" w:styleId="4">
    <w:name w:val="annotation text"/>
    <w:basedOn w:val="1"/>
    <w:link w:val="25"/>
    <w:unhideWhenUsed/>
    <w:qFormat/>
    <w:uiPriority w:val="99"/>
    <w:pPr>
      <w:jc w:val="left"/>
    </w:pPr>
  </w:style>
  <w:style w:type="paragraph" w:styleId="5">
    <w:name w:val="Body Text"/>
    <w:basedOn w:val="1"/>
    <w:qFormat/>
    <w:uiPriority w:val="0"/>
    <w:pPr>
      <w:spacing w:after="120" w:afterLines="0"/>
    </w:pPr>
  </w:style>
  <w:style w:type="paragraph" w:styleId="6">
    <w:name w:val="Body Text Indent"/>
    <w:basedOn w:val="1"/>
    <w:next w:val="7"/>
    <w:qFormat/>
    <w:uiPriority w:val="0"/>
    <w:pPr>
      <w:ind w:firstLine="560" w:firstLineChars="200"/>
    </w:pPr>
    <w:rPr>
      <w:rFonts w:eastAsia="仿宋_GB2312"/>
      <w:sz w:val="28"/>
    </w:rPr>
  </w:style>
  <w:style w:type="paragraph" w:styleId="7">
    <w:name w:val="envelope return"/>
    <w:basedOn w:val="1"/>
    <w:qFormat/>
    <w:uiPriority w:val="0"/>
    <w:pPr>
      <w:snapToGrid w:val="0"/>
    </w:pPr>
    <w:rPr>
      <w:rFonts w:ascii="Arial" w:hAnsi="Arial"/>
    </w:rPr>
  </w:style>
  <w:style w:type="paragraph" w:styleId="8">
    <w:name w:val="toc 3"/>
    <w:basedOn w:val="1"/>
    <w:next w:val="1"/>
    <w:unhideWhenUsed/>
    <w:qFormat/>
    <w:uiPriority w:val="39"/>
    <w:pPr>
      <w:ind w:left="840" w:leftChars="400"/>
    </w:pPr>
  </w:style>
  <w:style w:type="paragraph" w:styleId="9">
    <w:name w:val="Plain Text"/>
    <w:basedOn w:val="1"/>
    <w:qFormat/>
    <w:uiPriority w:val="0"/>
    <w:rPr>
      <w:rFonts w:ascii="宋体" w:hAnsi="Courier New" w:cs="Courier New"/>
    </w:rPr>
  </w:style>
  <w:style w:type="paragraph" w:styleId="10">
    <w:name w:val="Date"/>
    <w:basedOn w:val="1"/>
    <w:next w:val="1"/>
    <w:link w:val="26"/>
    <w:unhideWhenUsed/>
    <w:qFormat/>
    <w:uiPriority w:val="99"/>
    <w:pPr>
      <w:ind w:left="100" w:leftChars="2500"/>
    </w:pPr>
  </w:style>
  <w:style w:type="paragraph" w:styleId="11">
    <w:name w:val="Balloon Text"/>
    <w:basedOn w:val="1"/>
    <w:link w:val="27"/>
    <w:unhideWhenUsed/>
    <w:qFormat/>
    <w:uiPriority w:val="99"/>
    <w:rPr>
      <w:rFonts w:ascii="宋体"/>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rPr>
  </w:style>
  <w:style w:type="paragraph" w:styleId="17">
    <w:name w:val="annotation subject"/>
    <w:basedOn w:val="4"/>
    <w:next w:val="4"/>
    <w:link w:val="29"/>
    <w:unhideWhenUsed/>
    <w:qFormat/>
    <w:uiPriority w:val="99"/>
    <w:rPr>
      <w:b/>
      <w:bCs/>
    </w:rPr>
  </w:style>
  <w:style w:type="paragraph" w:styleId="18">
    <w:name w:val="Body Text First Indent 2"/>
    <w:basedOn w:val="6"/>
    <w:unhideWhenUsed/>
    <w:qFormat/>
    <w:uiPriority w:val="99"/>
    <w:pPr>
      <w:spacing w:after="120" w:line="360" w:lineRule="auto"/>
      <w:ind w:left="420" w:leftChars="200" w:firstLine="420"/>
    </w:pPr>
    <w:rPr>
      <w:rFonts w:ascii="Calibri" w:hAnsi="Calibri" w:eastAsia="宋体"/>
      <w:sz w:val="21"/>
      <w:szCs w:val="24"/>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unhideWhenUsed/>
    <w:qFormat/>
    <w:uiPriority w:val="99"/>
    <w:rPr>
      <w:sz w:val="21"/>
      <w:szCs w:val="21"/>
    </w:rPr>
  </w:style>
  <w:style w:type="paragraph" w:customStyle="1" w:styleId="23">
    <w:name w:val="UserStyle_0"/>
    <w:qFormat/>
    <w:uiPriority w:val="0"/>
    <w:pPr>
      <w:textAlignment w:val="baseline"/>
    </w:pPr>
    <w:rPr>
      <w:rFonts w:ascii="黑体" w:hAnsi="Times New Roman" w:eastAsia="黑体" w:cs="Times New Roman"/>
      <w:color w:val="000000"/>
      <w:sz w:val="24"/>
      <w:szCs w:val="24"/>
      <w:lang w:val="en-US" w:eastAsia="zh-CN" w:bidi="ar-SA"/>
    </w:rPr>
  </w:style>
  <w:style w:type="character" w:customStyle="1" w:styleId="24">
    <w:name w:val="标题 2 字符"/>
    <w:basedOn w:val="21"/>
    <w:link w:val="2"/>
    <w:semiHidden/>
    <w:qFormat/>
    <w:uiPriority w:val="9"/>
    <w:rPr>
      <w:rFonts w:ascii="等线 Light" w:hAnsi="等线 Light" w:eastAsia="等线 Light" w:cs="等线 Light"/>
      <w:b/>
      <w:bCs/>
      <w:sz w:val="32"/>
      <w:szCs w:val="32"/>
    </w:rPr>
  </w:style>
  <w:style w:type="character" w:customStyle="1" w:styleId="25">
    <w:name w:val="批注文字 字符"/>
    <w:basedOn w:val="21"/>
    <w:link w:val="4"/>
    <w:semiHidden/>
    <w:qFormat/>
    <w:uiPriority w:val="99"/>
    <w:rPr>
      <w:rFonts w:ascii="Calibri" w:hAnsi="Calibri" w:eastAsia="宋体" w:cs="Times New Roman"/>
      <w:szCs w:val="24"/>
    </w:rPr>
  </w:style>
  <w:style w:type="character" w:customStyle="1" w:styleId="26">
    <w:name w:val="日期 字符"/>
    <w:basedOn w:val="21"/>
    <w:link w:val="10"/>
    <w:semiHidden/>
    <w:qFormat/>
    <w:uiPriority w:val="99"/>
    <w:rPr>
      <w:rFonts w:ascii="Calibri" w:hAnsi="Calibri" w:eastAsia="宋体" w:cs="Times New Roman"/>
      <w:szCs w:val="24"/>
    </w:rPr>
  </w:style>
  <w:style w:type="character" w:customStyle="1" w:styleId="27">
    <w:name w:val="批注框文本 字符"/>
    <w:basedOn w:val="21"/>
    <w:link w:val="11"/>
    <w:semiHidden/>
    <w:qFormat/>
    <w:uiPriority w:val="99"/>
    <w:rPr>
      <w:rFonts w:ascii="宋体" w:hAnsi="Calibri" w:eastAsia="宋体" w:cs="Times New Roman"/>
      <w:sz w:val="18"/>
      <w:szCs w:val="18"/>
    </w:rPr>
  </w:style>
  <w:style w:type="character" w:customStyle="1" w:styleId="28">
    <w:name w:val="页脚 字符"/>
    <w:basedOn w:val="21"/>
    <w:link w:val="12"/>
    <w:qFormat/>
    <w:uiPriority w:val="99"/>
    <w:rPr>
      <w:rFonts w:ascii="Calibri" w:hAnsi="Calibri" w:eastAsia="宋体" w:cs="Times New Roman"/>
      <w:kern w:val="2"/>
      <w:sz w:val="18"/>
      <w:szCs w:val="18"/>
    </w:rPr>
  </w:style>
  <w:style w:type="character" w:customStyle="1" w:styleId="29">
    <w:name w:val="批注主题 字符"/>
    <w:basedOn w:val="25"/>
    <w:link w:val="17"/>
    <w:semiHidden/>
    <w:qFormat/>
    <w:uiPriority w:val="99"/>
    <w:rPr>
      <w:rFonts w:ascii="Calibri" w:hAnsi="Calibri" w:eastAsia="宋体" w:cs="Times New Roman"/>
      <w:b/>
      <w:bCs/>
      <w:szCs w:val="24"/>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文一"/>
    <w:basedOn w:val="1"/>
    <w:qFormat/>
    <w:uiPriority w:val="0"/>
    <w:pPr>
      <w:numPr>
        <w:ilvl w:val="0"/>
        <w:numId w:val="1"/>
      </w:numPr>
      <w:topLinePunct/>
      <w:adjustRightInd w:val="0"/>
      <w:snapToGrid w:val="0"/>
      <w:spacing w:line="360" w:lineRule="auto"/>
    </w:pPr>
    <w:rPr>
      <w:spacing w:val="4"/>
      <w:kern w:val="0"/>
    </w:rPr>
  </w:style>
  <w:style w:type="paragraph" w:customStyle="1" w:styleId="32">
    <w:name w:val="附件标题1"/>
    <w:next w:val="1"/>
    <w:qFormat/>
    <w:uiPriority w:val="0"/>
    <w:pPr>
      <w:numPr>
        <w:ilvl w:val="0"/>
        <w:numId w:val="2"/>
      </w:numPr>
      <w:tabs>
        <w:tab w:val="left" w:pos="567"/>
      </w:tabs>
      <w:adjustRightInd w:val="0"/>
      <w:snapToGrid w:val="0"/>
      <w:spacing w:afterLines="50" w:line="312" w:lineRule="auto"/>
    </w:pPr>
    <w:rPr>
      <w:rFonts w:ascii="黑体" w:hAnsi="黑体" w:eastAsia="黑体" w:cs="等线"/>
      <w:b/>
      <w:kern w:val="2"/>
      <w:sz w:val="24"/>
      <w:szCs w:val="24"/>
      <w:lang w:val="en-US" w:eastAsia="zh-CN" w:bidi="ar-SA"/>
    </w:rPr>
  </w:style>
  <w:style w:type="paragraph" w:customStyle="1" w:styleId="33">
    <w:name w:val="WPSOffice手动目录 1"/>
    <w:qFormat/>
    <w:uiPriority w:val="0"/>
    <w:pPr>
      <w:ind w:leftChars="0"/>
    </w:pPr>
    <w:rPr>
      <w:rFonts w:ascii="Calibri" w:hAnsi="Calibri" w:eastAsia="宋体" w:cs="Times New Roman"/>
      <w:sz w:val="20"/>
      <w:szCs w:val="20"/>
    </w:rPr>
  </w:style>
  <w:style w:type="paragraph" w:customStyle="1" w:styleId="34">
    <w:name w:val="WPSOffice手动目录 2"/>
    <w:qFormat/>
    <w:uiPriority w:val="0"/>
    <w:pPr>
      <w:ind w:leftChars="200"/>
    </w:pPr>
    <w:rPr>
      <w:rFonts w:ascii="Calibri" w:hAnsi="Calibri" w:eastAsia="宋体" w:cs="Times New Roman"/>
      <w:sz w:val="20"/>
      <w:szCs w:val="20"/>
    </w:rPr>
  </w:style>
  <w:style w:type="paragraph" w:customStyle="1" w:styleId="35">
    <w:name w:val="WPSOffice手动目录 3"/>
    <w:qFormat/>
    <w:uiPriority w:val="0"/>
    <w:pPr>
      <w:ind w:leftChars="400"/>
    </w:pPr>
    <w:rPr>
      <w:rFonts w:ascii="Calibri" w:hAnsi="Calibri" w:eastAsia="宋体" w:cs="Times New Roman"/>
      <w:sz w:val="20"/>
      <w:szCs w:val="20"/>
    </w:rPr>
  </w:style>
  <w:style w:type="paragraph" w:styleId="36">
    <w:name w:val="List Paragraph"/>
    <w:basedOn w:val="1"/>
    <w:qFormat/>
    <w:uiPriority w:val="99"/>
    <w:pPr>
      <w:ind w:firstLine="420" w:firstLineChars="200"/>
    </w:pPr>
  </w:style>
  <w:style w:type="paragraph" w:customStyle="1" w:styleId="37">
    <w:name w:val="样式1"/>
    <w:basedOn w:val="1"/>
    <w:qFormat/>
    <w:uiPriority w:val="0"/>
    <w:pPr>
      <w:widowControl/>
      <w:jc w:val="center"/>
    </w:pPr>
    <w:rPr>
      <w:rFonts w:ascii="Times New Roman" w:hAnsi="Times New Roman"/>
      <w:sz w:val="24"/>
    </w:rPr>
  </w:style>
  <w:style w:type="paragraph" w:customStyle="1" w:styleId="38">
    <w:name w:val="标题一二三"/>
    <w:basedOn w:val="1"/>
    <w:qFormat/>
    <w:uiPriority w:val="0"/>
    <w:pPr>
      <w:widowControl/>
      <w:spacing w:before="30" w:beforeLines="30" w:after="30" w:afterLines="30" w:line="440" w:lineRule="exact"/>
      <w:ind w:firstLine="0" w:firstLineChars="0"/>
      <w:jc w:val="left"/>
    </w:pPr>
    <w:rPr>
      <w:rFonts w:hint="eastAsia" w:ascii="仿宋" w:hAnsi="仿宋" w:eastAsia="仿宋" w:cs="仿宋"/>
      <w:b/>
      <w:bCs/>
      <w:kern w:val="0"/>
      <w:szCs w:val="21"/>
    </w:rPr>
  </w:style>
  <w:style w:type="paragraph" w:customStyle="1" w:styleId="39">
    <w:name w:val="标题1.1"/>
    <w:basedOn w:val="1"/>
    <w:link w:val="40"/>
    <w:qFormat/>
    <w:uiPriority w:val="0"/>
    <w:pPr>
      <w:widowControl/>
      <w:spacing w:before="50" w:beforeLines="50" w:after="50" w:afterLines="50"/>
      <w:ind w:firstLine="420" w:firstLineChars="200"/>
      <w:jc w:val="left"/>
    </w:pPr>
    <w:rPr>
      <w:rFonts w:hint="eastAsia" w:ascii="仿宋" w:hAnsi="仿宋" w:eastAsia="仿宋" w:cs="仿宋"/>
      <w:b/>
      <w:bCs/>
      <w:kern w:val="0"/>
      <w:szCs w:val="21"/>
    </w:rPr>
  </w:style>
  <w:style w:type="character" w:customStyle="1" w:styleId="40">
    <w:name w:val="标题1.1 Char"/>
    <w:link w:val="39"/>
    <w:qFormat/>
    <w:uiPriority w:val="0"/>
    <w:rPr>
      <w:rFonts w:hint="eastAsia" w:ascii="仿宋" w:hAnsi="仿宋" w:eastAsia="仿宋" w:cs="仿宋"/>
      <w:b/>
      <w:bCs/>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18298</Words>
  <Characters>18929</Characters>
  <Lines>163</Lines>
  <Paragraphs>45</Paragraphs>
  <TotalTime>32</TotalTime>
  <ScaleCrop>false</ScaleCrop>
  <LinksUpToDate>false</LinksUpToDate>
  <CharactersWithSpaces>20759</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2022-11-19T04:02:00Z</dcterms:created>
  <dc:creator>Sam Z</dc:creator>
  <cp:lastModifiedBy>丁子豪</cp:lastModifiedBy>
  <cp:lastPrinted>2025-01-27T22:25:00Z</cp:lastPrinted>
  <dcterms:modified xsi:type="dcterms:W3CDTF">2025-05-13T17:23:13Z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AECE3B0B252EECC9B23D4867991B9671</vt:lpwstr>
  </property>
  <property fmtid="{D5CDD505-2E9C-101B-9397-08002B2CF9AE}" pid="4" name="KSOTemplateDocerSaveRecord">
    <vt:lpwstr>eyJoZGlkIjoiOWVkZjA2MTIzZmM4YTFlODY3ZDcwMDczNjhmZmIxNzAifQ==</vt:lpwstr>
  </property>
</Properties>
</file>