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698B3">
      <w:pPr>
        <w:spacing w:line="269" w:lineRule="auto"/>
        <w:jc w:val="center"/>
        <w:rPr>
          <w:rFonts w:hint="eastAsia" w:ascii="仿宋" w:hAnsi="仿宋" w:eastAsia="仿宋"/>
          <w:b/>
          <w:color w:val="auto"/>
          <w:sz w:val="52"/>
          <w:szCs w:val="52"/>
          <w:highlight w:val="none"/>
        </w:rPr>
      </w:pPr>
      <w:r>
        <w:rPr>
          <w:rFonts w:hint="eastAsia" w:ascii="仿宋" w:hAnsi="仿宋" w:eastAsia="仿宋"/>
          <w:b/>
          <w:color w:val="auto"/>
          <w:sz w:val="52"/>
          <w:szCs w:val="52"/>
          <w:highlight w:val="none"/>
        </w:rPr>
        <w:t>广州番禺万博西片区大石防洪设施改建项目勘察设计</w:t>
      </w:r>
    </w:p>
    <w:p w14:paraId="3E79EA14">
      <w:pPr>
        <w:spacing w:line="269" w:lineRule="auto"/>
        <w:rPr>
          <w:color w:val="auto"/>
          <w:highlight w:val="none"/>
        </w:rPr>
      </w:pPr>
    </w:p>
    <w:p w14:paraId="431A1303">
      <w:pPr>
        <w:spacing w:line="269" w:lineRule="auto"/>
        <w:rPr>
          <w:color w:val="auto"/>
          <w:highlight w:val="none"/>
        </w:rPr>
      </w:pPr>
    </w:p>
    <w:p w14:paraId="52671FC9">
      <w:pPr>
        <w:spacing w:line="270" w:lineRule="auto"/>
        <w:rPr>
          <w:color w:val="auto"/>
          <w:highlight w:val="none"/>
        </w:rPr>
      </w:pPr>
    </w:p>
    <w:p w14:paraId="68F19BF4">
      <w:pPr>
        <w:pStyle w:val="6"/>
        <w:rPr>
          <w:rFonts w:ascii="Arial"/>
          <w:color w:val="auto"/>
          <w:sz w:val="21"/>
          <w:highlight w:val="none"/>
        </w:rPr>
      </w:pPr>
    </w:p>
    <w:p w14:paraId="5B9D0409">
      <w:pPr>
        <w:pStyle w:val="8"/>
        <w:rPr>
          <w:rFonts w:ascii="Arial"/>
          <w:color w:val="auto"/>
          <w:highlight w:val="none"/>
        </w:rPr>
      </w:pPr>
    </w:p>
    <w:p w14:paraId="09F6809C">
      <w:pPr>
        <w:pStyle w:val="9"/>
        <w:ind w:firstLine="420"/>
        <w:rPr>
          <w:color w:val="auto"/>
          <w:sz w:val="21"/>
          <w:highlight w:val="none"/>
        </w:rPr>
      </w:pPr>
    </w:p>
    <w:p w14:paraId="76D6F8D4">
      <w:pPr>
        <w:rPr>
          <w:color w:val="auto"/>
          <w:highlight w:val="none"/>
        </w:rPr>
      </w:pPr>
    </w:p>
    <w:p w14:paraId="1E872BE2">
      <w:pPr>
        <w:spacing w:line="270" w:lineRule="auto"/>
        <w:rPr>
          <w:color w:val="auto"/>
          <w:highlight w:val="none"/>
        </w:rPr>
      </w:pPr>
    </w:p>
    <w:p w14:paraId="2E692D85">
      <w:pPr>
        <w:spacing w:before="140" w:line="226" w:lineRule="auto"/>
        <w:jc w:val="center"/>
        <w:rPr>
          <w:rFonts w:hint="eastAsia" w:ascii="黑体" w:hAnsi="黑体" w:eastAsia="黑体"/>
          <w:color w:val="auto"/>
          <w:sz w:val="84"/>
          <w:szCs w:val="84"/>
          <w:highlight w:val="none"/>
          <w:lang w:val="en-US" w:eastAsia="zh-CN"/>
        </w:rPr>
      </w:pPr>
      <w:r>
        <w:rPr>
          <w:rFonts w:ascii="黑体" w:hAnsi="黑体" w:eastAsia="黑体"/>
          <w:color w:val="auto"/>
          <w:sz w:val="84"/>
          <w:szCs w:val="84"/>
          <w:highlight w:val="none"/>
        </w:rPr>
        <w:t>招标</w:t>
      </w:r>
      <w:r>
        <w:rPr>
          <w:rFonts w:hint="eastAsia" w:ascii="黑体" w:hAnsi="黑体" w:eastAsia="黑体"/>
          <w:color w:val="auto"/>
          <w:sz w:val="84"/>
          <w:szCs w:val="84"/>
          <w:highlight w:val="none"/>
          <w:lang w:val="en-US" w:eastAsia="zh-CN"/>
        </w:rPr>
        <w:t>公告</w:t>
      </w:r>
    </w:p>
    <w:p w14:paraId="2C1B79F3">
      <w:pPr>
        <w:spacing w:line="250" w:lineRule="auto"/>
        <w:ind w:left="-105" w:leftChars="-50" w:right="-105" w:rightChars="-50"/>
        <w:rPr>
          <w:color w:val="auto"/>
          <w:highlight w:val="none"/>
        </w:rPr>
      </w:pPr>
    </w:p>
    <w:p w14:paraId="0BBC77FE">
      <w:pPr>
        <w:spacing w:line="250" w:lineRule="auto"/>
        <w:rPr>
          <w:color w:val="auto"/>
          <w:highlight w:val="none"/>
        </w:rPr>
      </w:pPr>
    </w:p>
    <w:p w14:paraId="729F0F57">
      <w:pPr>
        <w:spacing w:line="250" w:lineRule="auto"/>
        <w:rPr>
          <w:color w:val="auto"/>
          <w:highlight w:val="none"/>
        </w:rPr>
      </w:pPr>
    </w:p>
    <w:p w14:paraId="30C3223E">
      <w:pPr>
        <w:spacing w:line="250" w:lineRule="auto"/>
        <w:rPr>
          <w:color w:val="auto"/>
          <w:highlight w:val="none"/>
        </w:rPr>
      </w:pPr>
    </w:p>
    <w:p w14:paraId="0B886B37">
      <w:pPr>
        <w:spacing w:line="250" w:lineRule="auto"/>
        <w:rPr>
          <w:color w:val="auto"/>
          <w:highlight w:val="none"/>
        </w:rPr>
      </w:pPr>
    </w:p>
    <w:p w14:paraId="49C5B86D">
      <w:pPr>
        <w:spacing w:line="250" w:lineRule="auto"/>
        <w:rPr>
          <w:color w:val="auto"/>
          <w:highlight w:val="none"/>
        </w:rPr>
      </w:pPr>
    </w:p>
    <w:p w14:paraId="2F24028F">
      <w:pPr>
        <w:spacing w:line="250" w:lineRule="auto"/>
        <w:rPr>
          <w:color w:val="auto"/>
          <w:highlight w:val="none"/>
        </w:rPr>
      </w:pPr>
    </w:p>
    <w:p w14:paraId="662C9500">
      <w:pPr>
        <w:spacing w:line="250" w:lineRule="auto"/>
        <w:rPr>
          <w:color w:val="auto"/>
          <w:highlight w:val="none"/>
        </w:rPr>
      </w:pPr>
    </w:p>
    <w:p w14:paraId="125DB93D">
      <w:pPr>
        <w:spacing w:line="250" w:lineRule="auto"/>
        <w:rPr>
          <w:color w:val="auto"/>
          <w:highlight w:val="none"/>
        </w:rPr>
      </w:pPr>
    </w:p>
    <w:p w14:paraId="2A0689D4">
      <w:pPr>
        <w:spacing w:line="250" w:lineRule="auto"/>
        <w:rPr>
          <w:color w:val="auto"/>
          <w:highlight w:val="none"/>
        </w:rPr>
      </w:pPr>
    </w:p>
    <w:p w14:paraId="6FB74CE0">
      <w:pPr>
        <w:spacing w:line="250" w:lineRule="auto"/>
        <w:rPr>
          <w:color w:val="auto"/>
          <w:highlight w:val="none"/>
        </w:rPr>
      </w:pPr>
    </w:p>
    <w:p w14:paraId="523180B7">
      <w:pPr>
        <w:spacing w:line="250" w:lineRule="auto"/>
        <w:rPr>
          <w:color w:val="auto"/>
          <w:highlight w:val="none"/>
        </w:rPr>
      </w:pPr>
    </w:p>
    <w:p w14:paraId="7EDE1D75">
      <w:pPr>
        <w:spacing w:line="250" w:lineRule="auto"/>
        <w:rPr>
          <w:color w:val="auto"/>
          <w:highlight w:val="none"/>
        </w:rPr>
      </w:pPr>
    </w:p>
    <w:p w14:paraId="29267719">
      <w:pPr>
        <w:spacing w:line="250" w:lineRule="auto"/>
        <w:rPr>
          <w:color w:val="auto"/>
          <w:highlight w:val="none"/>
        </w:rPr>
      </w:pPr>
    </w:p>
    <w:p w14:paraId="47C9692E">
      <w:pPr>
        <w:spacing w:line="250" w:lineRule="auto"/>
        <w:rPr>
          <w:color w:val="auto"/>
          <w:highlight w:val="none"/>
        </w:rPr>
      </w:pPr>
    </w:p>
    <w:p w14:paraId="25D0EF86">
      <w:pPr>
        <w:spacing w:line="250" w:lineRule="auto"/>
        <w:rPr>
          <w:color w:val="auto"/>
          <w:highlight w:val="none"/>
        </w:rPr>
      </w:pPr>
    </w:p>
    <w:p w14:paraId="3E63FD8C">
      <w:pPr>
        <w:spacing w:line="250" w:lineRule="auto"/>
        <w:rPr>
          <w:color w:val="auto"/>
          <w:highlight w:val="none"/>
        </w:rPr>
      </w:pPr>
    </w:p>
    <w:p w14:paraId="7452B5A3">
      <w:pPr>
        <w:spacing w:line="250" w:lineRule="auto"/>
        <w:rPr>
          <w:color w:val="auto"/>
          <w:highlight w:val="none"/>
        </w:rPr>
      </w:pPr>
    </w:p>
    <w:p w14:paraId="4668B7A4">
      <w:pPr>
        <w:spacing w:line="250" w:lineRule="auto"/>
        <w:rPr>
          <w:color w:val="auto"/>
          <w:highlight w:val="none"/>
        </w:rPr>
      </w:pPr>
    </w:p>
    <w:p w14:paraId="1F90AC99">
      <w:pPr>
        <w:spacing w:line="250" w:lineRule="auto"/>
        <w:rPr>
          <w:rFonts w:eastAsia="宋体"/>
          <w:color w:val="auto"/>
          <w:highlight w:val="none"/>
        </w:rPr>
      </w:pPr>
      <w:r>
        <w:rPr>
          <w:rFonts w:hint="eastAsia" w:eastAsia="宋体"/>
          <w:color w:val="auto"/>
          <w:highlight w:val="none"/>
        </w:rPr>
        <w:t xml:space="preserve"> </w:t>
      </w:r>
    </w:p>
    <w:p w14:paraId="45B49E48">
      <w:pPr>
        <w:spacing w:before="88" w:line="468" w:lineRule="auto"/>
        <w:jc w:val="center"/>
        <w:rPr>
          <w:rFonts w:hint="eastAsia" w:ascii="黑体" w:hAnsi="黑体" w:eastAsia="黑体"/>
          <w:b/>
          <w:bCs/>
          <w:color w:val="auto"/>
          <w:spacing w:val="-4"/>
          <w:sz w:val="27"/>
          <w:szCs w:val="27"/>
          <w:highlight w:val="none"/>
        </w:rPr>
      </w:pPr>
      <w:r>
        <w:rPr>
          <w:rFonts w:ascii="黑体" w:hAnsi="黑体" w:eastAsia="黑体"/>
          <w:b/>
          <w:bCs/>
          <w:color w:val="auto"/>
          <w:spacing w:val="-4"/>
          <w:sz w:val="27"/>
          <w:szCs w:val="27"/>
          <w:highlight w:val="none"/>
        </w:rPr>
        <w:t>招</w:t>
      </w:r>
      <w:r>
        <w:rPr>
          <w:rFonts w:hint="eastAsia" w:ascii="黑体" w:hAnsi="黑体" w:eastAsia="黑体"/>
          <w:b/>
          <w:bCs/>
          <w:color w:val="auto"/>
          <w:spacing w:val="-4"/>
          <w:sz w:val="27"/>
          <w:szCs w:val="27"/>
          <w:highlight w:val="none"/>
        </w:rPr>
        <w:t>标人：</w:t>
      </w:r>
      <w:r>
        <w:rPr>
          <w:rFonts w:hint="eastAsia" w:ascii="黑体" w:hAnsi="黑体" w:eastAsia="黑体"/>
          <w:b/>
          <w:bCs/>
          <w:color w:val="auto"/>
          <w:spacing w:val="-4"/>
          <w:sz w:val="27"/>
          <w:szCs w:val="27"/>
          <w:highlight w:val="none"/>
          <w:u w:val="single"/>
        </w:rPr>
        <w:t>广州市番禺区人民政府大石街道办事处(盖单位章)</w:t>
      </w:r>
    </w:p>
    <w:p w14:paraId="7149ED4B">
      <w:pPr>
        <w:spacing w:before="88" w:line="468" w:lineRule="auto"/>
        <w:jc w:val="center"/>
        <w:rPr>
          <w:rFonts w:hint="eastAsia" w:ascii="黑体" w:hAnsi="黑体" w:eastAsia="黑体"/>
          <w:b/>
          <w:bCs/>
          <w:color w:val="auto"/>
          <w:spacing w:val="-4"/>
          <w:sz w:val="27"/>
          <w:szCs w:val="27"/>
          <w:highlight w:val="none"/>
          <w:u w:val="single"/>
        </w:rPr>
      </w:pPr>
      <w:r>
        <w:rPr>
          <w:rFonts w:hint="eastAsia" w:ascii="黑体" w:hAnsi="黑体" w:eastAsia="黑体"/>
          <w:b/>
          <w:bCs/>
          <w:color w:val="auto"/>
          <w:spacing w:val="-4"/>
          <w:sz w:val="27"/>
          <w:szCs w:val="27"/>
          <w:highlight w:val="none"/>
        </w:rPr>
        <w:t>招标代理：</w:t>
      </w:r>
      <w:r>
        <w:rPr>
          <w:rFonts w:hint="eastAsia" w:ascii="黑体" w:hAnsi="黑体" w:eastAsia="黑体"/>
          <w:b/>
          <w:bCs/>
          <w:color w:val="auto"/>
          <w:spacing w:val="-4"/>
          <w:sz w:val="27"/>
          <w:szCs w:val="27"/>
          <w:highlight w:val="none"/>
          <w:u w:val="single"/>
        </w:rPr>
        <w:t>广州桥润招采造价咨询有限公司</w:t>
      </w:r>
    </w:p>
    <w:p w14:paraId="6735322C">
      <w:pPr>
        <w:jc w:val="center"/>
        <w:rPr>
          <w:rFonts w:ascii="黑体" w:hAnsi="黑体" w:eastAsia="黑体"/>
          <w:color w:val="auto"/>
          <w:spacing w:val="3"/>
          <w:sz w:val="27"/>
          <w:szCs w:val="27"/>
          <w:highlight w:val="none"/>
        </w:rPr>
        <w:sectPr>
          <w:pgSz w:w="11906" w:h="16838"/>
          <w:pgMar w:top="1440" w:right="1800" w:bottom="1440" w:left="1800" w:header="851" w:footer="992" w:gutter="0"/>
          <w:cols w:space="425" w:num="1"/>
          <w:docGrid w:type="lines" w:linePitch="312" w:charSpace="0"/>
        </w:sectPr>
      </w:pPr>
      <w:r>
        <w:rPr>
          <w:rFonts w:hint="eastAsia" w:ascii="黑体" w:hAnsi="黑体" w:eastAsia="黑体"/>
          <w:color w:val="auto"/>
          <w:sz w:val="27"/>
          <w:szCs w:val="27"/>
          <w:highlight w:val="none"/>
          <w:u w:val="single"/>
        </w:rPr>
        <w:t>2025</w:t>
      </w:r>
      <w:r>
        <w:rPr>
          <w:rFonts w:ascii="黑体" w:hAnsi="黑体" w:eastAsia="黑体"/>
          <w:color w:val="auto"/>
          <w:spacing w:val="6"/>
          <w:sz w:val="27"/>
          <w:szCs w:val="27"/>
          <w:highlight w:val="none"/>
        </w:rPr>
        <w:t>年</w:t>
      </w:r>
      <w:r>
        <w:rPr>
          <w:rFonts w:hint="eastAsia" w:ascii="黑体" w:hAnsi="黑体" w:eastAsia="黑体"/>
          <w:color w:val="auto"/>
          <w:spacing w:val="6"/>
          <w:sz w:val="27"/>
          <w:szCs w:val="27"/>
          <w:highlight w:val="none"/>
          <w:u w:val="single"/>
          <w:lang w:val="en-US" w:eastAsia="zh-CN"/>
        </w:rPr>
        <w:t>6</w:t>
      </w:r>
      <w:r>
        <w:rPr>
          <w:rFonts w:ascii="黑体" w:hAnsi="黑体" w:eastAsia="黑体"/>
          <w:color w:val="auto"/>
          <w:spacing w:val="3"/>
          <w:sz w:val="27"/>
          <w:szCs w:val="27"/>
          <w:highlight w:val="none"/>
        </w:rPr>
        <w:t>月</w:t>
      </w:r>
    </w:p>
    <w:p w14:paraId="3F492B50">
      <w:pPr>
        <w:pStyle w:val="10"/>
        <w:rPr>
          <w:rFonts w:hint="eastAsia" w:ascii="宋体" w:hAnsi="宋体"/>
          <w:color w:val="auto"/>
          <w:spacing w:val="24"/>
          <w:szCs w:val="44"/>
          <w:highlight w:val="none"/>
        </w:rPr>
      </w:pPr>
      <w:bookmarkStart w:id="0" w:name="_Toc3097"/>
      <w:bookmarkStart w:id="1" w:name="_Toc10294"/>
      <w:bookmarkStart w:id="2" w:name="_Toc183207161"/>
      <w:bookmarkStart w:id="3" w:name="_Toc7900"/>
      <w:r>
        <w:rPr>
          <w:rFonts w:ascii="宋体" w:hAnsi="宋体"/>
          <w:color w:val="auto"/>
          <w:spacing w:val="24"/>
          <w:szCs w:val="44"/>
          <w:highlight w:val="none"/>
        </w:rPr>
        <w:t>第</w:t>
      </w:r>
      <w:r>
        <w:rPr>
          <w:rFonts w:ascii="宋体" w:hAnsi="宋体"/>
          <w:color w:val="auto"/>
          <w:spacing w:val="22"/>
          <w:szCs w:val="44"/>
          <w:highlight w:val="none"/>
        </w:rPr>
        <w:t>一章</w:t>
      </w:r>
      <w:r>
        <w:rPr>
          <w:rFonts w:hint="eastAsia" w:ascii="宋体" w:hAnsi="宋体"/>
          <w:color w:val="auto"/>
          <w:spacing w:val="22"/>
          <w:szCs w:val="44"/>
          <w:highlight w:val="none"/>
        </w:rPr>
        <w:t xml:space="preserve"> </w:t>
      </w:r>
      <w:r>
        <w:rPr>
          <w:rFonts w:ascii="宋体" w:hAnsi="宋体"/>
          <w:color w:val="auto"/>
          <w:spacing w:val="22"/>
          <w:szCs w:val="44"/>
          <w:highlight w:val="none"/>
        </w:rPr>
        <w:t>招标公告</w:t>
      </w:r>
      <w:bookmarkEnd w:id="0"/>
      <w:bookmarkEnd w:id="1"/>
      <w:bookmarkEnd w:id="2"/>
      <w:bookmarkEnd w:id="3"/>
    </w:p>
    <w:p w14:paraId="77560A31">
      <w:pPr>
        <w:jc w:val="center"/>
        <w:rPr>
          <w:rFonts w:hint="eastAsia" w:ascii="宋体" w:hAnsi="宋体" w:eastAsia="宋体"/>
          <w:b/>
          <w:bCs/>
          <w:color w:val="auto"/>
          <w:spacing w:val="18"/>
          <w:sz w:val="32"/>
          <w:szCs w:val="32"/>
          <w:highlight w:val="none"/>
        </w:rPr>
      </w:pPr>
      <w:r>
        <w:rPr>
          <w:rFonts w:hint="eastAsia" w:ascii="宋体" w:hAnsi="宋体" w:eastAsia="宋体"/>
          <w:b/>
          <w:bCs/>
          <w:color w:val="auto"/>
          <w:spacing w:val="18"/>
          <w:sz w:val="32"/>
          <w:szCs w:val="32"/>
          <w:highlight w:val="none"/>
        </w:rPr>
        <w:t>广州番禺万博西片区大石防洪设施改建项目勘察设计</w:t>
      </w:r>
    </w:p>
    <w:p w14:paraId="38E85E1B">
      <w:pPr>
        <w:jc w:val="center"/>
        <w:rPr>
          <w:rFonts w:hint="eastAsia" w:ascii="宋体" w:hAnsi="宋体" w:eastAsia="宋体"/>
          <w:b/>
          <w:bCs/>
          <w:color w:val="auto"/>
          <w:spacing w:val="18"/>
          <w:sz w:val="32"/>
          <w:szCs w:val="32"/>
          <w:highlight w:val="none"/>
        </w:rPr>
      </w:pPr>
      <w:r>
        <w:rPr>
          <w:rFonts w:hint="eastAsia" w:ascii="宋体" w:hAnsi="宋体" w:eastAsia="宋体"/>
          <w:b/>
          <w:bCs/>
          <w:color w:val="auto"/>
          <w:spacing w:val="18"/>
          <w:sz w:val="32"/>
          <w:szCs w:val="32"/>
          <w:highlight w:val="none"/>
        </w:rPr>
        <w:t>招标公告</w:t>
      </w:r>
    </w:p>
    <w:p w14:paraId="10F705A5">
      <w:pPr>
        <w:spacing w:line="318" w:lineRule="auto"/>
        <w:rPr>
          <w:color w:val="auto"/>
          <w:highlight w:val="none"/>
        </w:rPr>
      </w:pPr>
    </w:p>
    <w:p w14:paraId="5901FE3D">
      <w:pPr>
        <w:pStyle w:val="12"/>
        <w:spacing w:before="0" w:after="0"/>
        <w:outlineLvl w:val="9"/>
        <w:rPr>
          <w:rFonts w:hint="eastAsia"/>
          <w:color w:val="auto"/>
          <w:highlight w:val="none"/>
        </w:rPr>
      </w:pPr>
      <w:bookmarkStart w:id="4" w:name="_Toc32678"/>
      <w:bookmarkStart w:id="5" w:name="_Toc29913"/>
      <w:bookmarkStart w:id="6" w:name="_Toc30951"/>
      <w:bookmarkStart w:id="7" w:name="_Toc17602"/>
      <w:bookmarkStart w:id="8" w:name="_Toc32250"/>
      <w:r>
        <w:rPr>
          <w:rFonts w:hint="eastAsia"/>
          <w:color w:val="auto"/>
          <w:highlight w:val="none"/>
        </w:rPr>
        <w:t>1. 招标条件</w:t>
      </w:r>
      <w:bookmarkEnd w:id="4"/>
      <w:bookmarkEnd w:id="5"/>
      <w:bookmarkEnd w:id="6"/>
      <w:bookmarkEnd w:id="7"/>
      <w:bookmarkEnd w:id="8"/>
    </w:p>
    <w:p w14:paraId="4811E822">
      <w:pPr>
        <w:spacing w:before="68" w:line="356" w:lineRule="auto"/>
        <w:ind w:left="9" w:right="74" w:firstLine="419"/>
        <w:rPr>
          <w:rFonts w:hint="eastAsia" w:ascii="宋体" w:hAnsi="宋体" w:eastAsia="宋体"/>
          <w:color w:val="auto"/>
          <w:spacing w:val="1"/>
          <w:highlight w:val="none"/>
        </w:rPr>
      </w:pPr>
      <w:r>
        <w:rPr>
          <w:rFonts w:hint="eastAsia" w:ascii="宋体" w:hAnsi="宋体" w:eastAsia="宋体"/>
          <w:color w:val="auto"/>
          <w:spacing w:val="1"/>
          <w:highlight w:val="none"/>
        </w:rPr>
        <w:t>本招标项目</w:t>
      </w:r>
      <w:r>
        <w:rPr>
          <w:rFonts w:hint="eastAsia" w:ascii="宋体" w:hAnsi="宋体" w:eastAsia="宋体"/>
          <w:color w:val="auto"/>
          <w:spacing w:val="1"/>
          <w:highlight w:val="none"/>
          <w:u w:val="single"/>
        </w:rPr>
        <w:t xml:space="preserve"> 广州番禺万博西片区大石防洪设施改建项目勘察设计  </w:t>
      </w:r>
      <w:r>
        <w:rPr>
          <w:rFonts w:hint="eastAsia" w:ascii="宋体" w:hAnsi="宋体" w:eastAsia="宋体"/>
          <w:color w:val="auto"/>
          <w:highlight w:val="none"/>
        </w:rPr>
        <w:t>已由</w:t>
      </w:r>
      <w:r>
        <w:rPr>
          <w:rFonts w:hint="eastAsia" w:ascii="宋体" w:hAnsi="宋体" w:eastAsia="宋体"/>
          <w:color w:val="auto"/>
          <w:highlight w:val="none"/>
          <w:u w:val="single"/>
        </w:rPr>
        <w:t xml:space="preserve"> 广州市番禺区发展和改革局  </w:t>
      </w:r>
      <w:r>
        <w:rPr>
          <w:rFonts w:hint="eastAsia" w:ascii="宋体" w:hAnsi="宋体" w:eastAsia="宋体"/>
          <w:color w:val="auto"/>
          <w:spacing w:val="-2"/>
          <w:highlight w:val="none"/>
        </w:rPr>
        <w:t>以</w:t>
      </w:r>
      <w:r>
        <w:rPr>
          <w:rFonts w:hint="eastAsia" w:ascii="宋体" w:hAnsi="宋体" w:eastAsia="宋体"/>
          <w:color w:val="auto"/>
          <w:spacing w:val="-2"/>
          <w:highlight w:val="none"/>
          <w:u w:val="single"/>
        </w:rPr>
        <w:t xml:space="preserve"> 穗番发改投批</w:t>
      </w:r>
      <w:r>
        <w:rPr>
          <w:rFonts w:hint="eastAsia" w:ascii="宋体" w:hAnsi="宋体" w:eastAsia="宋体"/>
          <w:color w:val="auto"/>
          <w:spacing w:val="-2"/>
          <w:highlight w:val="none"/>
          <w:u w:val="single"/>
          <w:lang w:eastAsia="zh-CN"/>
        </w:rPr>
        <w:t>【</w:t>
      </w:r>
      <w:r>
        <w:rPr>
          <w:rFonts w:hint="eastAsia" w:ascii="宋体" w:hAnsi="宋体" w:eastAsia="宋体"/>
          <w:color w:val="auto"/>
          <w:spacing w:val="-2"/>
          <w:highlight w:val="none"/>
          <w:u w:val="single"/>
        </w:rPr>
        <w:t xml:space="preserve">2025】35号 </w:t>
      </w:r>
      <w:r>
        <w:rPr>
          <w:rFonts w:hint="eastAsia" w:ascii="宋体" w:hAnsi="宋体" w:eastAsia="宋体"/>
          <w:color w:val="auto"/>
          <w:spacing w:val="-2"/>
          <w:highlight w:val="none"/>
        </w:rPr>
        <w:t xml:space="preserve"> </w:t>
      </w:r>
      <w:r>
        <w:rPr>
          <w:rFonts w:hint="eastAsia" w:ascii="宋体" w:hAnsi="宋体" w:eastAsia="宋体"/>
          <w:color w:val="auto"/>
          <w:spacing w:val="-1"/>
          <w:highlight w:val="none"/>
        </w:rPr>
        <w:t>批准建设，项目业主为</w:t>
      </w:r>
      <w:r>
        <w:rPr>
          <w:rFonts w:hint="eastAsia" w:eastAsia="宋体"/>
          <w:bCs/>
          <w:color w:val="auto"/>
          <w:szCs w:val="32"/>
          <w:highlight w:val="none"/>
          <w:u w:val="single"/>
        </w:rPr>
        <w:t>广州市番禺区人民政府大石街道办事处</w:t>
      </w:r>
      <w:r>
        <w:rPr>
          <w:rFonts w:hint="eastAsia" w:ascii="宋体" w:hAnsi="宋体" w:eastAsia="宋体"/>
          <w:color w:val="auto"/>
          <w:spacing w:val="-1"/>
          <w:highlight w:val="none"/>
        </w:rPr>
        <w:t>，建设资金来</w:t>
      </w:r>
      <w:r>
        <w:rPr>
          <w:rFonts w:hint="eastAsia" w:ascii="宋体" w:hAnsi="宋体" w:eastAsia="宋体"/>
          <w:color w:val="auto"/>
          <w:spacing w:val="1"/>
          <w:highlight w:val="none"/>
        </w:rPr>
        <w:t>自</w:t>
      </w:r>
      <w:r>
        <w:rPr>
          <w:rFonts w:hint="eastAsia" w:ascii="宋体" w:hAnsi="宋体" w:eastAsia="宋体"/>
          <w:color w:val="auto"/>
          <w:spacing w:val="1"/>
          <w:highlight w:val="none"/>
          <w:u w:val="single"/>
        </w:rPr>
        <w:t>财政资金</w:t>
      </w:r>
      <w:r>
        <w:rPr>
          <w:rFonts w:hint="eastAsia" w:ascii="宋体" w:hAnsi="宋体" w:eastAsia="宋体"/>
          <w:color w:val="auto"/>
          <w:spacing w:val="1"/>
          <w:highlight w:val="none"/>
        </w:rPr>
        <w:t>，出资</w:t>
      </w:r>
      <w:r>
        <w:rPr>
          <w:rFonts w:hint="eastAsia" w:ascii="宋体" w:hAnsi="宋体" w:eastAsia="宋体"/>
          <w:color w:val="auto"/>
          <w:highlight w:val="none"/>
        </w:rPr>
        <w:t>比例为</w:t>
      </w:r>
      <w:r>
        <w:rPr>
          <w:rFonts w:hint="eastAsia" w:ascii="宋体" w:hAnsi="宋体" w:eastAsia="宋体"/>
          <w:color w:val="auto"/>
          <w:highlight w:val="none"/>
          <w:u w:val="single"/>
        </w:rPr>
        <w:t>100%</w:t>
      </w:r>
      <w:r>
        <w:rPr>
          <w:rFonts w:hint="eastAsia" w:ascii="宋体" w:hAnsi="宋体" w:eastAsia="宋体"/>
          <w:color w:val="auto"/>
          <w:highlight w:val="none"/>
        </w:rPr>
        <w:t>，招标人为</w:t>
      </w:r>
      <w:r>
        <w:rPr>
          <w:rFonts w:hint="eastAsia" w:eastAsia="宋体"/>
          <w:bCs/>
          <w:color w:val="auto"/>
          <w:szCs w:val="32"/>
          <w:highlight w:val="none"/>
          <w:u w:val="single"/>
        </w:rPr>
        <w:t>广州市番禺区人民政府大石街道办事处</w:t>
      </w:r>
      <w:r>
        <w:rPr>
          <w:rFonts w:hint="eastAsia" w:ascii="宋体" w:hAnsi="宋体" w:eastAsia="宋体"/>
          <w:color w:val="auto"/>
          <w:highlight w:val="none"/>
        </w:rPr>
        <w:t>。项目已具备招标</w:t>
      </w:r>
      <w:r>
        <w:rPr>
          <w:rFonts w:hint="eastAsia" w:ascii="宋体" w:hAnsi="宋体" w:eastAsia="宋体"/>
          <w:color w:val="auto"/>
          <w:spacing w:val="-4"/>
          <w:highlight w:val="none"/>
        </w:rPr>
        <w:t>条</w:t>
      </w:r>
      <w:r>
        <w:rPr>
          <w:rFonts w:hint="eastAsia" w:ascii="宋体" w:hAnsi="宋体" w:eastAsia="宋体"/>
          <w:color w:val="auto"/>
          <w:spacing w:val="-2"/>
          <w:highlight w:val="none"/>
        </w:rPr>
        <w:t>件，现对该项目的勘察设计进行公开招标。</w:t>
      </w:r>
    </w:p>
    <w:p w14:paraId="7285E3C5">
      <w:pPr>
        <w:pStyle w:val="12"/>
        <w:spacing w:before="0" w:after="0"/>
        <w:outlineLvl w:val="9"/>
        <w:rPr>
          <w:rFonts w:hint="eastAsia"/>
          <w:color w:val="auto"/>
          <w:highlight w:val="none"/>
        </w:rPr>
      </w:pPr>
      <w:bookmarkStart w:id="9" w:name="_Toc29432"/>
      <w:bookmarkStart w:id="10" w:name="_Toc23400"/>
      <w:bookmarkStart w:id="11" w:name="_Toc22955"/>
      <w:bookmarkStart w:id="12" w:name="_Toc27861"/>
      <w:bookmarkStart w:id="13" w:name="_Toc4860"/>
      <w:r>
        <w:rPr>
          <w:rFonts w:hint="eastAsia"/>
          <w:color w:val="auto"/>
          <w:highlight w:val="none"/>
        </w:rPr>
        <w:t>2. 项目概况与招标范围</w:t>
      </w:r>
      <w:bookmarkEnd w:id="9"/>
      <w:bookmarkEnd w:id="10"/>
      <w:bookmarkEnd w:id="11"/>
      <w:bookmarkEnd w:id="12"/>
      <w:bookmarkEnd w:id="13"/>
    </w:p>
    <w:p w14:paraId="54F0D74F">
      <w:pPr>
        <w:spacing w:line="360" w:lineRule="auto"/>
        <w:rPr>
          <w:rFonts w:hint="eastAsia" w:ascii="宋体" w:hAnsi="宋体" w:eastAsia="宋体"/>
          <w:color w:val="auto"/>
          <w:highlight w:val="none"/>
        </w:rPr>
      </w:pPr>
      <w:r>
        <w:rPr>
          <w:rFonts w:hint="eastAsia" w:ascii="宋体" w:hAnsi="宋体" w:eastAsia="宋体"/>
          <w:color w:val="auto"/>
          <w:highlight w:val="none"/>
        </w:rPr>
        <w:t>2.1 工程名称：</w:t>
      </w:r>
      <w:r>
        <w:rPr>
          <w:rFonts w:hint="eastAsia" w:ascii="宋体" w:hAnsi="宋体" w:eastAsia="宋体"/>
          <w:color w:val="auto"/>
          <w:spacing w:val="1"/>
          <w:highlight w:val="none"/>
          <w:u w:val="single"/>
        </w:rPr>
        <w:t>广州番禺万博西片区大石防洪设施改建项目勘察设计</w:t>
      </w:r>
    </w:p>
    <w:p w14:paraId="6E594EEE">
      <w:pPr>
        <w:spacing w:line="360" w:lineRule="auto"/>
        <w:rPr>
          <w:rFonts w:hint="eastAsia" w:ascii="宋体" w:hAnsi="宋体" w:eastAsia="宋体"/>
          <w:color w:val="auto"/>
          <w:highlight w:val="none"/>
        </w:rPr>
      </w:pPr>
      <w:r>
        <w:rPr>
          <w:rFonts w:hint="eastAsia" w:ascii="宋体" w:hAnsi="宋体" w:eastAsia="宋体"/>
          <w:color w:val="auto"/>
          <w:highlight w:val="none"/>
        </w:rPr>
        <w:t>2.2 建设地点：</w:t>
      </w:r>
      <w:r>
        <w:rPr>
          <w:rFonts w:hint="eastAsia" w:ascii="宋体" w:hAnsi="宋体" w:eastAsia="宋体"/>
          <w:color w:val="auto"/>
          <w:spacing w:val="1"/>
          <w:highlight w:val="none"/>
          <w:u w:val="single"/>
        </w:rPr>
        <w:t>广州番禺万博西片区</w:t>
      </w:r>
    </w:p>
    <w:p w14:paraId="261245BE">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2.3 建设规模：</w:t>
      </w:r>
    </w:p>
    <w:p w14:paraId="467670C3">
      <w:pPr>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rPr>
        <w:t>本工程估算总投资</w:t>
      </w:r>
      <w:r>
        <w:rPr>
          <w:rFonts w:hint="eastAsia" w:ascii="宋体" w:hAnsi="宋体" w:eastAsia="宋体"/>
          <w:color w:val="auto"/>
          <w:highlight w:val="none"/>
          <w:u w:val="single"/>
          <w:lang w:eastAsia="zh-CN"/>
        </w:rPr>
        <w:t>12016.13</w:t>
      </w:r>
      <w:r>
        <w:rPr>
          <w:rFonts w:hint="eastAsia" w:ascii="宋体" w:hAnsi="宋体" w:eastAsia="宋体"/>
          <w:color w:val="auto"/>
          <w:highlight w:val="none"/>
          <w:u w:val="single"/>
        </w:rPr>
        <w:t>万元。</w:t>
      </w:r>
      <w:r>
        <w:rPr>
          <w:rFonts w:hint="eastAsia" w:ascii="宋体" w:hAnsi="宋体" w:eastAsia="宋体"/>
          <w:color w:val="auto"/>
          <w:spacing w:val="1"/>
          <w:highlight w:val="none"/>
          <w:u w:val="single"/>
        </w:rPr>
        <w:t>广州番禺万博西片区</w:t>
      </w:r>
      <w:r>
        <w:rPr>
          <w:rFonts w:hint="eastAsia" w:ascii="宋体" w:hAnsi="宋体" w:eastAsia="宋体"/>
          <w:color w:val="auto"/>
          <w:highlight w:val="none"/>
          <w:u w:val="single"/>
        </w:rPr>
        <w:t>位于广州市番禺区大石街，建设规模如下：</w:t>
      </w:r>
    </w:p>
    <w:p w14:paraId="28BEFB44">
      <w:pPr>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rPr>
        <w:t>本工程主要建设内容包含防洪设施改建、堤防提升加固、巡河通道改造、泵站电房配电改造等。</w:t>
      </w:r>
    </w:p>
    <w:p w14:paraId="255183FC">
      <w:pPr>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rPr>
        <w:t>项目拟对涌口水闸涌等12条河涌进行防洪设施改造建设，总长度8961.80m。其中涌口水闸涌617m,大山东涌2042m,大山西涌 182m,新大兴涌 20m，狮子涌 359m，大维支涌 800m，诜村横闸涌 1190m,大维涌541m，会江支涌 1622m，会江涌 492m，深涌 600m，官坑涌496.80m。根据《水利水电工程等级划分及洪水标准》(SL252-2017)、《堤防工程|设计规范》(GB50286-2013)，工程防洪标准为20年一</w:t>
      </w:r>
      <w:r>
        <w:rPr>
          <w:rFonts w:hint="eastAsia" w:ascii="宋体" w:hAnsi="宋体" w:eastAsia="宋体"/>
          <w:color w:val="auto"/>
          <w:highlight w:val="none"/>
          <w:u w:val="single"/>
          <w:lang w:val="en-US" w:eastAsia="zh-CN"/>
        </w:rPr>
        <w:t>遇</w:t>
      </w:r>
      <w:r>
        <w:rPr>
          <w:rFonts w:hint="eastAsia" w:ascii="宋体" w:hAnsi="宋体" w:eastAsia="宋体"/>
          <w:color w:val="auto"/>
          <w:highlight w:val="none"/>
          <w:u w:val="single"/>
        </w:rPr>
        <w:t>，堤防工程级别为4级，主要建筑物级别为4级，次要建筑物及临时建筑物级别为5级。</w:t>
      </w:r>
    </w:p>
    <w:p w14:paraId="59CE3983">
      <w:pPr>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rPr>
        <w:t>配电设施改造部分拟对大山东涌水闸电房、大山西(大石水利所)电房、会江泵站(三眼水闸)电房进行配电改造。其中:大山东涌水闸电房配电改造工程初步拟从长锦F11 大为商贸开关房引入一路电源至大山东涌水闸电房高压室，敷设电缆560米，配套户内电缆头及电缆中间头等;大山西(大石水利所)电房配电改造工程初步拟从大石所开关房(最终以供电部门批出为准)引入一路电源至大山西泵站电房，新建开关柜1套，敷设电缆长度为 960米，配套户内电缆头及电缆中间头、SF6 负荷开关柜(全绝缘柜)1座等:会江泵站(三眼水闸)电房配电改造工程初步拟从大石净水厂开关房(最终以供电部门批出为准)引入一路电源至会江泵站(三眼水闸)电房，设电缆长度为1570 米，配套真空断路器5套、直流屏1套、户内电缆头及电缆中间头等。</w:t>
      </w:r>
    </w:p>
    <w:p w14:paraId="742FD685">
      <w:pPr>
        <w:spacing w:line="360" w:lineRule="auto"/>
        <w:rPr>
          <w:rFonts w:hint="eastAsia" w:ascii="宋体" w:hAnsi="宋体" w:eastAsia="宋体"/>
          <w:color w:val="auto"/>
          <w:highlight w:val="none"/>
        </w:rPr>
      </w:pPr>
      <w:r>
        <w:rPr>
          <w:rFonts w:hint="eastAsia" w:ascii="宋体" w:hAnsi="宋体" w:eastAsia="宋体"/>
          <w:color w:val="auto"/>
          <w:highlight w:val="none"/>
        </w:rPr>
        <w:t>2.4 勘察设计服务期限：</w:t>
      </w:r>
    </w:p>
    <w:p w14:paraId="6267A735">
      <w:pPr>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rPr>
        <w:t>设计工期：中标人应在勘察设计合同签订后60日历天内完成初步设计，初步设计审查批准后45日历天内完成施工图设计，施工图设计文件经审查发现问题后20日历天内完成补充、修改，施工图设计文件补充完善后10日历天通过最终审查。</w:t>
      </w:r>
    </w:p>
    <w:p w14:paraId="520AB3E6">
      <w:pPr>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rPr>
        <w:t>勘察工期：承包人提交勘察成果文件的工期必须满足设计工期要求。</w:t>
      </w:r>
    </w:p>
    <w:p w14:paraId="216AD881">
      <w:pPr>
        <w:pStyle w:val="13"/>
        <w:ind w:firstLine="0" w:firstLineChars="0"/>
        <w:rPr>
          <w:rFonts w:hint="eastAsia" w:ascii="宋体" w:hAnsi="宋体"/>
          <w:color w:val="auto"/>
          <w:sz w:val="21"/>
          <w:szCs w:val="21"/>
          <w:highlight w:val="none"/>
        </w:rPr>
      </w:pPr>
      <w:r>
        <w:rPr>
          <w:rFonts w:hint="eastAsia" w:ascii="宋体" w:hAnsi="宋体"/>
          <w:color w:val="auto"/>
          <w:sz w:val="21"/>
          <w:szCs w:val="21"/>
          <w:highlight w:val="none"/>
        </w:rPr>
        <w:t>2.5 招标范围：</w:t>
      </w:r>
    </w:p>
    <w:p w14:paraId="6A510A6A">
      <w:pPr>
        <w:shd w:val="clear" w:color="auto" w:fill="FFFFFF"/>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主要工作内容包括：完成项目的初步设计及概算编制、招标设计及预算编制、施工图设计及工程施工期间设计服务及相应阶段的工程勘测（不包含各专题）；并协助建设单位办理相关前期报建手续、现场指导与服务、协助编制竣工图。</w:t>
      </w:r>
    </w:p>
    <w:p w14:paraId="6513801C">
      <w:pPr>
        <w:shd w:val="clear" w:color="auto" w:fill="FFFFFF"/>
        <w:spacing w:line="360" w:lineRule="auto"/>
        <w:rPr>
          <w:rFonts w:hint="eastAsia" w:ascii="宋体" w:hAnsi="宋体" w:eastAsia="宋体"/>
          <w:color w:val="auto"/>
          <w:highlight w:val="none"/>
        </w:rPr>
      </w:pPr>
      <w:r>
        <w:rPr>
          <w:rFonts w:hint="eastAsia" w:ascii="宋体" w:hAnsi="宋体" w:eastAsia="宋体"/>
          <w:color w:val="auto"/>
          <w:highlight w:val="none"/>
        </w:rPr>
        <w:t>2.6 前期服务机构名称（可行性研究报告）：</w:t>
      </w:r>
      <w:r>
        <w:rPr>
          <w:rFonts w:hint="eastAsia" w:ascii="宋体" w:hAnsi="宋体" w:eastAsia="宋体"/>
          <w:color w:val="auto"/>
          <w:highlight w:val="none"/>
          <w:u w:val="single"/>
        </w:rPr>
        <w:t>广东省国际工程咨询有限公司</w:t>
      </w:r>
      <w:r>
        <w:rPr>
          <w:rFonts w:hint="eastAsia" w:ascii="宋体" w:hAnsi="宋体" w:eastAsia="宋体"/>
          <w:color w:val="auto"/>
          <w:highlight w:val="none"/>
        </w:rPr>
        <w:t>。</w:t>
      </w:r>
    </w:p>
    <w:p w14:paraId="2EEFC589">
      <w:pPr>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注：如果前期服务机构参加本次投标，应将本公告发布前最终完成的工作成果（含电子文件）在投标人获取招标文件的同时提供给所有投标人参考，否则前期参与的服务机构中标无效。</w:t>
      </w:r>
    </w:p>
    <w:p w14:paraId="3DDE24FE">
      <w:pPr>
        <w:pStyle w:val="12"/>
        <w:spacing w:before="0" w:after="0"/>
        <w:outlineLvl w:val="9"/>
        <w:rPr>
          <w:rFonts w:hint="eastAsia"/>
          <w:color w:val="auto"/>
          <w:highlight w:val="none"/>
        </w:rPr>
      </w:pPr>
      <w:bookmarkStart w:id="14" w:name="_Toc13441"/>
      <w:bookmarkStart w:id="15" w:name="_Toc13470"/>
      <w:bookmarkStart w:id="16" w:name="_Toc13982"/>
      <w:bookmarkStart w:id="17" w:name="_Toc6474"/>
      <w:bookmarkStart w:id="18" w:name="_Toc19035"/>
      <w:r>
        <w:rPr>
          <w:rFonts w:hint="eastAsia"/>
          <w:color w:val="auto"/>
          <w:highlight w:val="none"/>
        </w:rPr>
        <w:t>3. 投标人资格要求</w:t>
      </w:r>
      <w:bookmarkEnd w:id="14"/>
      <w:bookmarkEnd w:id="15"/>
      <w:bookmarkEnd w:id="16"/>
      <w:bookmarkEnd w:id="17"/>
      <w:bookmarkEnd w:id="18"/>
    </w:p>
    <w:p w14:paraId="7CB44F9D">
      <w:pPr>
        <w:spacing w:line="360" w:lineRule="auto"/>
        <w:ind w:left="718" w:hanging="718" w:hangingChars="342"/>
        <w:rPr>
          <w:rFonts w:hint="eastAsia" w:ascii="宋体" w:hAnsi="宋体" w:eastAsia="宋体"/>
          <w:color w:val="auto"/>
          <w:highlight w:val="none"/>
        </w:rPr>
      </w:pPr>
      <w:r>
        <w:rPr>
          <w:rFonts w:hint="eastAsia" w:ascii="宋体" w:hAnsi="宋体" w:eastAsia="宋体"/>
          <w:color w:val="auto"/>
          <w:highlight w:val="none"/>
        </w:rPr>
        <w:t>3.1  投标人参加投标的意思表达清楚，投标人代表被授权有效。</w:t>
      </w:r>
    </w:p>
    <w:p w14:paraId="36C0808F">
      <w:pPr>
        <w:spacing w:line="360" w:lineRule="auto"/>
        <w:ind w:left="718" w:hanging="718" w:hangingChars="342"/>
        <w:rPr>
          <w:rFonts w:hint="eastAsia" w:ascii="宋体" w:hAnsi="宋体" w:eastAsia="宋体"/>
          <w:color w:val="auto"/>
          <w:highlight w:val="none"/>
        </w:rPr>
      </w:pPr>
      <w:r>
        <w:rPr>
          <w:rFonts w:hint="eastAsia" w:ascii="宋体" w:hAnsi="宋体" w:eastAsia="宋体"/>
          <w:color w:val="auto"/>
          <w:highlight w:val="none"/>
        </w:rPr>
        <w:t>3.2  投标人是法人或其他组织，按国家法律经营。</w:t>
      </w:r>
    </w:p>
    <w:p w14:paraId="05BCBA8B">
      <w:pPr>
        <w:spacing w:line="360" w:lineRule="auto"/>
        <w:ind w:left="718" w:hanging="718" w:hangingChars="342"/>
        <w:rPr>
          <w:rFonts w:hint="eastAsia" w:ascii="宋体" w:hAnsi="宋体" w:eastAsia="宋体"/>
          <w:color w:val="auto"/>
          <w:highlight w:val="none"/>
        </w:rPr>
      </w:pPr>
      <w:r>
        <w:rPr>
          <w:rFonts w:hint="eastAsia" w:ascii="宋体" w:hAnsi="宋体" w:eastAsia="宋体"/>
          <w:color w:val="auto"/>
          <w:highlight w:val="none"/>
        </w:rPr>
        <w:t>3.3  投标人须同时具备建设行政主管部门颁发的</w:t>
      </w:r>
      <w:r>
        <w:rPr>
          <w:rFonts w:hint="eastAsia" w:ascii="宋体" w:hAnsi="宋体" w:eastAsia="宋体"/>
          <w:color w:val="auto"/>
          <w:highlight w:val="none"/>
          <w:u w:val="single"/>
        </w:rPr>
        <w:t>①和②</w:t>
      </w:r>
      <w:r>
        <w:rPr>
          <w:rFonts w:hint="eastAsia" w:ascii="宋体" w:hAnsi="宋体" w:eastAsia="宋体"/>
          <w:color w:val="auto"/>
          <w:highlight w:val="none"/>
        </w:rPr>
        <w:t>资质：</w:t>
      </w:r>
    </w:p>
    <w:p w14:paraId="499EDAD3">
      <w:pPr>
        <w:topLinePunct/>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rPr>
        <w:t>①工程勘察综合资质，或同时具备工程勘察（岩土工程）专业乙级（或以上）资质和工程勘察（工程测量）专业乙级（或以上）资质，或同时具备工程勘察岩土工程（勘察）专业乙级（或以上）资质和工程勘察（工程测量）专业乙级（或以上）资质；</w:t>
      </w:r>
    </w:p>
    <w:p w14:paraId="5312DA4B">
      <w:pPr>
        <w:topLinePunct/>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rPr>
        <w:t>②工程设计综合类资质，或水利行业设计丙级（或以上）资质，或水利行业设计（河道整治</w:t>
      </w:r>
      <w:r>
        <w:rPr>
          <w:rFonts w:hint="eastAsia" w:ascii="宋体" w:hAnsi="宋体" w:eastAsia="宋体" w:cs="宋体"/>
          <w:color w:val="auto"/>
          <w:sz w:val="21"/>
          <w:szCs w:val="21"/>
          <w:highlight w:val="none"/>
          <w:u w:val="single"/>
          <w:lang w:val="en-US" w:eastAsia="zh-CN"/>
        </w:rPr>
        <w:t>或</w:t>
      </w:r>
      <w:r>
        <w:rPr>
          <w:rFonts w:hint="eastAsia" w:ascii="宋体" w:hAnsi="宋体" w:eastAsia="宋体" w:cs="宋体"/>
          <w:color w:val="auto"/>
          <w:sz w:val="21"/>
          <w:szCs w:val="21"/>
          <w:highlight w:val="none"/>
          <w:u w:val="single"/>
          <w:lang w:eastAsia="zh-CN"/>
        </w:rPr>
        <w:t>城市防洪</w:t>
      </w:r>
      <w:r>
        <w:rPr>
          <w:rFonts w:hint="eastAsia" w:ascii="宋体" w:hAnsi="宋体" w:eastAsia="宋体"/>
          <w:color w:val="auto"/>
          <w:highlight w:val="none"/>
          <w:u w:val="single"/>
        </w:rPr>
        <w:t>）专业丙级</w:t>
      </w:r>
      <w:r>
        <w:rPr>
          <w:rFonts w:hint="eastAsia" w:ascii="宋体" w:hAnsi="宋体" w:eastAsia="宋体"/>
          <w:color w:val="auto"/>
          <w:highlight w:val="none"/>
        </w:rPr>
        <w:t>资质或以上资质。</w:t>
      </w:r>
    </w:p>
    <w:p w14:paraId="6083A6E3">
      <w:pPr>
        <w:topLinePunct/>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14:paraId="5F23F0D6">
      <w:pPr>
        <w:topLinePunct/>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3.4  投标人</w:t>
      </w:r>
      <w:r>
        <w:rPr>
          <w:rFonts w:hint="eastAsia" w:ascii="宋体" w:hAnsi="宋体"/>
          <w:color w:val="auto"/>
          <w:highlight w:val="none"/>
          <w:u w:val="single"/>
        </w:rPr>
        <w:t>（如联合体投标，指联合体各方）</w:t>
      </w:r>
      <w:r>
        <w:rPr>
          <w:rFonts w:hint="eastAsia" w:ascii="宋体" w:hAnsi="宋体" w:eastAsia="宋体"/>
          <w:color w:val="auto"/>
          <w:highlight w:val="none"/>
        </w:rPr>
        <w:t>已在广州交易集团有限公司（广州公共资源交易中心）办理企业信息登记，本项目负责人是本企业在广州交易集团有限公司（广州公共资源交易中心）企业信息登记中的在册人员。</w:t>
      </w:r>
    </w:p>
    <w:p w14:paraId="41B785C2">
      <w:pPr>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3.5  </w:t>
      </w:r>
      <w:bookmarkStart w:id="51" w:name="_GoBack"/>
      <w:r>
        <w:rPr>
          <w:rFonts w:hint="eastAsia" w:ascii="宋体" w:hAnsi="宋体" w:eastAsia="宋体"/>
          <w:color w:val="auto"/>
          <w:highlight w:val="none"/>
        </w:rPr>
        <w:t>投标人</w:t>
      </w:r>
      <w:r>
        <w:rPr>
          <w:rFonts w:hint="eastAsia" w:ascii="宋体" w:hAnsi="宋体" w:eastAsia="宋体" w:cs="宋体"/>
          <w:color w:val="auto"/>
          <w:sz w:val="21"/>
          <w:szCs w:val="21"/>
          <w:highlight w:val="none"/>
        </w:rPr>
        <w:t>（如联合体投标，由联合体牵头方委派）</w:t>
      </w:r>
      <w:r>
        <w:rPr>
          <w:rFonts w:hint="eastAsia" w:ascii="宋体" w:hAnsi="宋体" w:eastAsia="宋体"/>
          <w:color w:val="auto"/>
          <w:highlight w:val="none"/>
        </w:rPr>
        <w:t>委派的项目负责人</w:t>
      </w:r>
      <w:r>
        <w:rPr>
          <w:rFonts w:hint="eastAsia" w:ascii="宋体" w:hAnsi="宋体" w:eastAsia="宋体" w:cs="宋体"/>
          <w:color w:val="auto"/>
          <w:sz w:val="21"/>
          <w:szCs w:val="21"/>
          <w:highlight w:val="none"/>
        </w:rPr>
        <w:t>须具备</w:t>
      </w:r>
      <w:r>
        <w:rPr>
          <w:rFonts w:hint="eastAsia" w:ascii="宋体" w:hAnsi="宋体" w:eastAsia="宋体" w:cs="宋体"/>
          <w:color w:val="auto"/>
          <w:sz w:val="21"/>
          <w:szCs w:val="21"/>
          <w:highlight w:val="none"/>
          <w:u w:val="single"/>
        </w:rPr>
        <w:t>注册土木工程师（水利水电工程）</w:t>
      </w:r>
      <w:r>
        <w:rPr>
          <w:rFonts w:hint="eastAsia" w:ascii="宋体" w:hAnsi="宋体" w:eastAsia="宋体" w:cs="宋体"/>
          <w:color w:val="auto"/>
          <w:sz w:val="21"/>
          <w:szCs w:val="21"/>
          <w:highlight w:val="none"/>
          <w:u w:val="none"/>
        </w:rPr>
        <w:t>资格</w:t>
      </w:r>
      <w:r>
        <w:rPr>
          <w:rFonts w:hint="eastAsia" w:ascii="宋体" w:hAnsi="宋体" w:eastAsia="宋体" w:cs="宋体"/>
          <w:color w:val="auto"/>
          <w:sz w:val="21"/>
          <w:szCs w:val="21"/>
          <w:highlight w:val="none"/>
        </w:rPr>
        <w:t>且注册于本单位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olor w:val="auto"/>
          <w:highlight w:val="none"/>
          <w:u w:val="single"/>
        </w:rPr>
        <w:t>水利工程相关专业</w:t>
      </w:r>
      <w:r>
        <w:rPr>
          <w:rFonts w:hint="eastAsia" w:ascii="宋体" w:hAnsi="宋体" w:eastAsia="宋体"/>
          <w:color w:val="auto"/>
          <w:highlight w:val="none"/>
          <w:u w:val="single"/>
          <w:lang w:val="en-US" w:eastAsia="zh-CN"/>
        </w:rPr>
        <w:t>高</w:t>
      </w:r>
      <w:r>
        <w:rPr>
          <w:rFonts w:hint="eastAsia" w:ascii="宋体" w:hAnsi="宋体" w:eastAsia="宋体"/>
          <w:color w:val="auto"/>
          <w:highlight w:val="none"/>
          <w:u w:val="single"/>
        </w:rPr>
        <w:t>级（或以上）工程师职称</w:t>
      </w:r>
      <w:r>
        <w:rPr>
          <w:rFonts w:hint="eastAsia" w:ascii="宋体" w:hAnsi="宋体" w:eastAsia="宋体"/>
          <w:color w:val="auto"/>
          <w:highlight w:val="none"/>
        </w:rPr>
        <w:t>资格或以上。</w:t>
      </w:r>
      <w:r>
        <w:rPr>
          <w:rFonts w:ascii="宋体" w:hAnsi="宋体" w:eastAsia="宋体"/>
          <w:color w:val="auto"/>
          <w:spacing w:val="-5"/>
          <w:highlight w:val="none"/>
        </w:rPr>
        <w:t>须提供相关职称证和投标人为其缴纳在本投标单位购买的近</w:t>
      </w:r>
      <w:r>
        <w:rPr>
          <w:rFonts w:hint="eastAsia" w:ascii="宋体" w:hAnsi="宋体" w:eastAsia="宋体"/>
          <w:color w:val="auto"/>
          <w:spacing w:val="-5"/>
          <w:highlight w:val="none"/>
        </w:rPr>
        <w:t>一</w:t>
      </w:r>
      <w:r>
        <w:rPr>
          <w:rFonts w:ascii="宋体" w:hAnsi="宋体" w:eastAsia="宋体"/>
          <w:color w:val="auto"/>
          <w:spacing w:val="-5"/>
          <w:highlight w:val="none"/>
        </w:rPr>
        <w:t>个月</w:t>
      </w:r>
      <w:r>
        <w:rPr>
          <w:rFonts w:hint="eastAsia" w:ascii="宋体" w:hAnsi="宋体" w:eastAsia="宋体"/>
          <w:color w:val="auto"/>
          <w:spacing w:val="-5"/>
          <w:highlight w:val="none"/>
        </w:rPr>
        <w:t>（2025年</w:t>
      </w:r>
      <w:r>
        <w:rPr>
          <w:rFonts w:hint="eastAsia" w:ascii="宋体" w:hAnsi="宋体" w:eastAsia="宋体"/>
          <w:color w:val="auto"/>
          <w:spacing w:val="-5"/>
          <w:highlight w:val="none"/>
          <w:lang w:val="en-US" w:eastAsia="zh-CN"/>
        </w:rPr>
        <w:t>5</w:t>
      </w:r>
      <w:r>
        <w:rPr>
          <w:rFonts w:hint="eastAsia" w:ascii="宋体" w:hAnsi="宋体" w:eastAsia="宋体"/>
          <w:color w:val="auto"/>
          <w:spacing w:val="-5"/>
          <w:highlight w:val="none"/>
        </w:rPr>
        <w:t>月）</w:t>
      </w:r>
      <w:r>
        <w:rPr>
          <w:rFonts w:ascii="宋体" w:hAnsi="宋体" w:eastAsia="宋体"/>
          <w:color w:val="auto"/>
          <w:spacing w:val="-5"/>
          <w:highlight w:val="none"/>
        </w:rPr>
        <w:t>有效的社保证明材料</w:t>
      </w:r>
      <w:r>
        <w:rPr>
          <w:rFonts w:hint="eastAsia" w:ascii="宋体" w:hAnsi="宋体" w:eastAsia="宋体"/>
          <w:color w:val="auto"/>
          <w:highlight w:val="none"/>
        </w:rPr>
        <w:t>。</w:t>
      </w:r>
      <w:bookmarkEnd w:id="51"/>
    </w:p>
    <w:p w14:paraId="53964256">
      <w:pPr>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注：若拟委派的项目负责人为香港专业人士，则须已在广东省住房和城乡建设主管部门备案且备案的业务范围相当于</w:t>
      </w:r>
      <w:r>
        <w:rPr>
          <w:rFonts w:hint="eastAsia" w:ascii="宋体" w:hAnsi="宋体" w:eastAsia="宋体"/>
          <w:color w:val="auto"/>
          <w:highlight w:val="none"/>
          <w:u w:val="single"/>
        </w:rPr>
        <w:t>满足本项目招标文件要求</w:t>
      </w:r>
      <w:r>
        <w:rPr>
          <w:rFonts w:hint="eastAsia" w:ascii="宋体" w:hAnsi="宋体" w:eastAsia="宋体"/>
          <w:color w:val="auto"/>
          <w:highlight w:val="none"/>
        </w:rPr>
        <w:t>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0A149547">
      <w:pPr>
        <w:spacing w:line="360" w:lineRule="auto"/>
        <w:ind w:left="0" w:leftChars="0" w:firstLine="420" w:firstLineChars="200"/>
        <w:outlineLvl w:val="9"/>
        <w:rPr>
          <w:rFonts w:hint="eastAsia" w:ascii="宋体" w:hAnsi="宋体" w:eastAsia="宋体" w:cs="宋体"/>
          <w:b w:val="0"/>
          <w:bCs/>
          <w:color w:val="auto"/>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highlight w:val="none"/>
          <w:u w:val="single"/>
        </w:rPr>
        <w:t>关于联合体投标：本项目接受联合体投标</w:t>
      </w:r>
      <w:r>
        <w:rPr>
          <w:rFonts w:hint="eastAsia" w:ascii="宋体" w:hAnsi="宋体" w:eastAsia="宋体" w:cs="宋体"/>
          <w:strike w:val="0"/>
          <w:color w:val="auto"/>
          <w:highlight w:val="none"/>
          <w:u w:val="single"/>
        </w:rPr>
        <w:t>，联合体单位不超过</w:t>
      </w:r>
      <w:r>
        <w:rPr>
          <w:rFonts w:hint="eastAsia" w:ascii="宋体" w:hAnsi="宋体" w:eastAsia="宋体" w:cs="宋体"/>
          <w:strike w:val="0"/>
          <w:color w:val="auto"/>
          <w:highlight w:val="none"/>
          <w:u w:val="single"/>
          <w:lang w:val="en-US" w:eastAsia="zh-CN"/>
        </w:rPr>
        <w:t>2</w:t>
      </w:r>
      <w:r>
        <w:rPr>
          <w:rFonts w:hint="eastAsia" w:ascii="宋体" w:hAnsi="宋体" w:eastAsia="宋体" w:cs="宋体"/>
          <w:strike w:val="0"/>
          <w:color w:val="auto"/>
          <w:highlight w:val="none"/>
          <w:u w:val="single"/>
        </w:rPr>
        <w:t>家</w:t>
      </w:r>
      <w:r>
        <w:rPr>
          <w:rFonts w:hint="eastAsia" w:ascii="宋体" w:hAnsi="宋体" w:eastAsia="宋体" w:cs="宋体"/>
          <w:color w:val="auto"/>
          <w:highlight w:val="none"/>
          <w:u w:val="single"/>
        </w:rPr>
        <w:t>。如投标人组成联合体，</w:t>
      </w:r>
      <w:r>
        <w:rPr>
          <w:rFonts w:hint="eastAsia" w:ascii="宋体" w:hAnsi="宋体" w:eastAsia="宋体" w:cs="宋体"/>
          <w:b w:val="0"/>
          <w:bCs/>
          <w:color w:val="auto"/>
          <w:highlight w:val="none"/>
          <w:u w:val="single"/>
        </w:rPr>
        <w:t>须以承担设计任务的单位为联合体牵头人，并签定联合体协议书。投标人拟任本工程项目负责人须为联合体牵头人正式员工，联合体各方不得再以自己名义或组成新的联合体参加本项目投标。</w:t>
      </w:r>
    </w:p>
    <w:p w14:paraId="5485EFB6">
      <w:pPr>
        <w:spacing w:line="360" w:lineRule="auto"/>
        <w:ind w:left="0" w:leftChars="0" w:firstLine="420" w:firstLineChars="200"/>
        <w:outlineLvl w:val="9"/>
        <w:rPr>
          <w:rFonts w:hint="eastAsia" w:ascii="宋体" w:hAnsi="宋体" w:eastAsia="宋体" w:cs="宋体"/>
          <w:b w:val="0"/>
          <w:bCs/>
          <w:color w:val="auto"/>
          <w:highlight w:val="none"/>
          <w:u w:val="single"/>
          <w:lang w:eastAsia="zh-CN"/>
        </w:rPr>
      </w:pPr>
      <w:r>
        <w:rPr>
          <w:rFonts w:hint="eastAsia" w:ascii="宋体" w:hAnsi="宋体" w:eastAsia="宋体" w:cs="宋体"/>
          <w:b w:val="0"/>
          <w:bCs/>
          <w:color w:val="auto"/>
          <w:highlight w:val="none"/>
          <w:u w:val="single"/>
        </w:rPr>
        <w:t>注：（1）联合体应签订一份联合体协议书，明确约定联合体各方拟承担的工作和责任，且有执行本项目所承担工程的充足经验和能力，并将该联合体协议书（原件扫描件）随投标文件一并提交</w:t>
      </w:r>
      <w:r>
        <w:rPr>
          <w:rFonts w:hint="eastAsia" w:ascii="宋体" w:hAnsi="宋体" w:eastAsia="宋体" w:cs="宋体"/>
          <w:b w:val="0"/>
          <w:bCs/>
          <w:color w:val="auto"/>
          <w:highlight w:val="none"/>
          <w:u w:val="single"/>
          <w:lang w:eastAsia="zh-CN"/>
        </w:rPr>
        <w:t>。</w:t>
      </w:r>
    </w:p>
    <w:p w14:paraId="29A0CFD0">
      <w:pPr>
        <w:spacing w:line="360" w:lineRule="auto"/>
        <w:ind w:firstLine="420" w:firstLineChars="200"/>
        <w:rPr>
          <w:rFonts w:hint="eastAsia" w:ascii="宋体" w:hAnsi="宋体" w:eastAsia="宋体" w:cs="宋体"/>
          <w:b w:val="0"/>
          <w:bCs/>
          <w:color w:val="auto"/>
          <w:highlight w:val="none"/>
          <w:u w:val="single"/>
          <w:lang w:eastAsia="zh-CN"/>
        </w:rPr>
      </w:pPr>
      <w:r>
        <w:rPr>
          <w:rFonts w:hint="eastAsia" w:ascii="宋体" w:hAnsi="宋体" w:eastAsia="宋体" w:cs="宋体"/>
          <w:b w:val="0"/>
          <w:bCs/>
          <w:color w:val="auto"/>
          <w:highlight w:val="none"/>
          <w:u w:val="single"/>
        </w:rPr>
        <w:t>（2）联合体各方不得再以自己的名义单独投标，也不得同时参加两个或两个以上的联合体投标，出现上述情况者，其投标申请和与此有关的联合体的投标将被拒绝</w:t>
      </w:r>
      <w:r>
        <w:rPr>
          <w:rFonts w:hint="eastAsia" w:ascii="宋体" w:hAnsi="宋体" w:eastAsia="宋体" w:cs="宋体"/>
          <w:b w:val="0"/>
          <w:bCs/>
          <w:color w:val="auto"/>
          <w:highlight w:val="none"/>
          <w:u w:val="single"/>
          <w:lang w:eastAsia="zh-CN"/>
        </w:rPr>
        <w:t>。</w:t>
      </w:r>
    </w:p>
    <w:p w14:paraId="15374942">
      <w:pPr>
        <w:spacing w:line="360" w:lineRule="auto"/>
        <w:ind w:left="0" w:leftChars="0" w:firstLine="420" w:firstLineChars="200"/>
        <w:outlineLvl w:val="9"/>
        <w:rPr>
          <w:rFonts w:hint="eastAsia" w:ascii="宋体" w:hAnsi="宋体" w:eastAsia="宋体" w:cs="宋体"/>
          <w:b w:val="0"/>
          <w:bCs/>
          <w:color w:val="auto"/>
          <w:highlight w:val="none"/>
          <w:u w:val="single"/>
          <w:lang w:eastAsia="zh-CN"/>
        </w:rPr>
      </w:pPr>
      <w:r>
        <w:rPr>
          <w:rFonts w:hint="eastAsia" w:ascii="宋体" w:hAnsi="宋体" w:eastAsia="宋体" w:cs="宋体"/>
          <w:b w:val="0"/>
          <w:bCs/>
          <w:color w:val="auto"/>
          <w:highlight w:val="none"/>
          <w:u w:val="single"/>
        </w:rPr>
        <w:t>（3）联合体双方具备规定的相应资格条件。由同一专业的单位组成的联合体，按照资质等级较低的单位确定资质等级</w:t>
      </w:r>
      <w:r>
        <w:rPr>
          <w:rFonts w:hint="eastAsia" w:ascii="宋体" w:hAnsi="宋体" w:eastAsia="宋体" w:cs="宋体"/>
          <w:b w:val="0"/>
          <w:bCs/>
          <w:color w:val="auto"/>
          <w:highlight w:val="none"/>
          <w:u w:val="single"/>
          <w:lang w:eastAsia="zh-CN"/>
        </w:rPr>
        <w:t>。</w:t>
      </w:r>
    </w:p>
    <w:p w14:paraId="072DC070">
      <w:pPr>
        <w:spacing w:line="360" w:lineRule="auto"/>
        <w:ind w:left="657" w:leftChars="0" w:hanging="657" w:hangingChars="313"/>
        <w:rPr>
          <w:rFonts w:hint="default" w:ascii="宋体" w:hAnsi="宋体" w:eastAsia="宋体" w:cs="宋体"/>
          <w:color w:val="auto"/>
          <w:sz w:val="21"/>
          <w:szCs w:val="21"/>
          <w:highlight w:val="none"/>
          <w:lang w:val="en-US" w:eastAsia="zh-CN"/>
        </w:rPr>
      </w:pPr>
      <w:bookmarkStart w:id="19" w:name="_Toc28948"/>
      <w:bookmarkStart w:id="20" w:name="_Toc26086"/>
      <w:bookmarkStart w:id="21" w:name="_Toc26793"/>
      <w:bookmarkStart w:id="22" w:name="_Toc25583"/>
      <w:bookmarkStart w:id="23" w:name="_Toc10241"/>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7 </w:t>
      </w:r>
      <w:r>
        <w:rPr>
          <w:rFonts w:hint="default" w:ascii="宋体" w:hAnsi="宋体" w:eastAsia="宋体" w:cs="宋体"/>
          <w:color w:val="auto"/>
          <w:sz w:val="21"/>
          <w:szCs w:val="21"/>
          <w:highlight w:val="none"/>
          <w:lang w:val="en-US" w:eastAsia="zh-CN"/>
        </w:rPr>
        <w:t>投标人未被列入“在一定期限内依法取消参加依法必须进行招标的项目的投标资格”，具体名单以递交投标文件截止时间“信用广州”公布的“黑名单”为准。</w:t>
      </w:r>
    </w:p>
    <w:p w14:paraId="04029D54">
      <w:pPr>
        <w:spacing w:line="360" w:lineRule="auto"/>
        <w:ind w:left="714" w:leftChars="299" w:hanging="86" w:hangingChars="41"/>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注：《全国失信惩戒措施清单基础清单》（2024版）</w:t>
      </w:r>
      <w:r>
        <w:rPr>
          <w:rFonts w:hint="eastAsia" w:ascii="宋体" w:hAnsi="宋体" w:eastAsia="宋体" w:cs="宋体"/>
          <w:color w:val="auto"/>
          <w:sz w:val="21"/>
          <w:szCs w:val="21"/>
          <w:highlight w:val="none"/>
          <w:lang w:val="en-US" w:eastAsia="zh-CN"/>
        </w:rPr>
        <w:t>。</w:t>
      </w:r>
    </w:p>
    <w:p w14:paraId="4DA94831">
      <w:pPr>
        <w:pStyle w:val="12"/>
        <w:spacing w:before="0" w:after="0"/>
        <w:outlineLvl w:val="9"/>
        <w:rPr>
          <w:rFonts w:hint="eastAsia"/>
          <w:color w:val="auto"/>
          <w:highlight w:val="none"/>
        </w:rPr>
      </w:pPr>
      <w:r>
        <w:rPr>
          <w:rFonts w:hint="eastAsia"/>
          <w:color w:val="auto"/>
          <w:highlight w:val="none"/>
        </w:rPr>
        <w:t>4. 技术成果经济补偿</w:t>
      </w:r>
      <w:bookmarkEnd w:id="19"/>
      <w:bookmarkEnd w:id="20"/>
      <w:bookmarkEnd w:id="21"/>
      <w:bookmarkEnd w:id="22"/>
      <w:bookmarkEnd w:id="23"/>
    </w:p>
    <w:p w14:paraId="0A74ABFC">
      <w:pPr>
        <w:spacing w:line="400" w:lineRule="exact"/>
        <w:ind w:left="429"/>
        <w:rPr>
          <w:rFonts w:hint="eastAsia" w:ascii="宋体" w:hAnsi="宋体" w:eastAsia="宋体"/>
          <w:color w:val="auto"/>
          <w:spacing w:val="2"/>
          <w:highlight w:val="none"/>
        </w:rPr>
      </w:pPr>
      <w:r>
        <w:rPr>
          <w:rFonts w:hint="eastAsia" w:ascii="宋体" w:hAnsi="宋体" w:eastAsia="宋体"/>
          <w:color w:val="auto"/>
          <w:spacing w:val="2"/>
          <w:highlight w:val="none"/>
        </w:rPr>
        <w:t>本次招标对未中标人投标文件中的技术成果</w:t>
      </w:r>
      <w:r>
        <w:rPr>
          <w:rFonts w:hint="eastAsia" w:ascii="宋体" w:hAnsi="宋体" w:eastAsia="宋体"/>
          <w:color w:val="auto"/>
          <w:spacing w:val="2"/>
          <w:highlight w:val="none"/>
          <w:u w:val="single"/>
        </w:rPr>
        <w:t>不给予</w:t>
      </w:r>
      <w:r>
        <w:rPr>
          <w:rFonts w:hint="eastAsia" w:ascii="宋体" w:hAnsi="宋体" w:eastAsia="宋体"/>
          <w:color w:val="auto"/>
          <w:spacing w:val="1"/>
          <w:highlight w:val="none"/>
        </w:rPr>
        <w:t>经济补偿。</w:t>
      </w:r>
    </w:p>
    <w:p w14:paraId="47AF3443">
      <w:pPr>
        <w:spacing w:line="400" w:lineRule="exact"/>
        <w:ind w:left="718" w:hanging="718" w:hangingChars="342"/>
        <w:rPr>
          <w:rFonts w:hint="eastAsia" w:ascii="宋体" w:hAnsi="宋体" w:eastAsia="宋体"/>
          <w:color w:val="auto"/>
          <w:highlight w:val="none"/>
        </w:rPr>
      </w:pPr>
      <w:r>
        <w:rPr>
          <w:rFonts w:hint="eastAsia" w:ascii="宋体" w:hAnsi="宋体" w:eastAsia="宋体"/>
          <w:color w:val="auto"/>
          <w:highlight w:val="none"/>
        </w:rPr>
        <w:t>未中标单位经济补偿及补偿金额</w:t>
      </w:r>
    </w:p>
    <w:p w14:paraId="469B4739">
      <w:pPr>
        <w:spacing w:line="400" w:lineRule="exact"/>
        <w:ind w:left="429"/>
        <w:rPr>
          <w:rFonts w:hint="eastAsia" w:ascii="宋体" w:hAnsi="宋体" w:eastAsia="宋体"/>
          <w:color w:val="auto"/>
          <w:spacing w:val="-5"/>
          <w:highlight w:val="none"/>
        </w:rPr>
      </w:pPr>
      <w:r>
        <w:rPr>
          <w:rFonts w:hint="eastAsia" w:ascii="宋体" w:hAnsi="宋体" w:eastAsia="宋体"/>
          <w:color w:val="auto"/>
          <w:spacing w:val="-5"/>
          <w:highlight w:val="none"/>
        </w:rPr>
        <w:t>招标人将按如下标准支付经济补偿费：</w:t>
      </w:r>
      <w:r>
        <w:rPr>
          <w:rFonts w:hint="eastAsia" w:ascii="宋体" w:hAnsi="宋体" w:eastAsia="宋体"/>
          <w:color w:val="auto"/>
          <w:spacing w:val="-5"/>
          <w:highlight w:val="none"/>
          <w:u w:val="single"/>
        </w:rPr>
        <w:t>/</w:t>
      </w:r>
      <w:r>
        <w:rPr>
          <w:rFonts w:hint="eastAsia" w:ascii="宋体" w:hAnsi="宋体" w:eastAsia="宋体"/>
          <w:color w:val="auto"/>
          <w:spacing w:val="-5"/>
          <w:highlight w:val="none"/>
        </w:rPr>
        <w:t>。</w:t>
      </w:r>
    </w:p>
    <w:p w14:paraId="383E74CD">
      <w:pPr>
        <w:pStyle w:val="12"/>
        <w:spacing w:before="0" w:after="0"/>
        <w:outlineLvl w:val="9"/>
        <w:rPr>
          <w:rFonts w:hint="eastAsia"/>
          <w:color w:val="auto"/>
          <w:highlight w:val="none"/>
        </w:rPr>
      </w:pPr>
      <w:bookmarkStart w:id="24" w:name="_Toc26631"/>
      <w:bookmarkStart w:id="25" w:name="_Toc9312"/>
      <w:bookmarkStart w:id="26" w:name="_Toc29809"/>
      <w:bookmarkStart w:id="27" w:name="_Toc14668"/>
      <w:bookmarkStart w:id="28" w:name="_Toc5228"/>
      <w:r>
        <w:rPr>
          <w:rFonts w:hint="eastAsia"/>
          <w:color w:val="auto"/>
          <w:highlight w:val="none"/>
        </w:rPr>
        <w:t>5. 招标文件的获取</w:t>
      </w:r>
      <w:bookmarkEnd w:id="24"/>
      <w:bookmarkEnd w:id="25"/>
      <w:bookmarkEnd w:id="26"/>
      <w:bookmarkEnd w:id="27"/>
      <w:bookmarkEnd w:id="28"/>
    </w:p>
    <w:p w14:paraId="3F6DD7AB">
      <w:pPr>
        <w:kinsoku/>
        <w:topLinePunct/>
        <w:autoSpaceDE/>
        <w:autoSpaceDN/>
        <w:spacing w:line="400" w:lineRule="exact"/>
        <w:ind w:firstLine="411" w:firstLineChars="198"/>
        <w:rPr>
          <w:rFonts w:hint="eastAsia" w:ascii="宋体" w:hAnsi="宋体" w:eastAsia="宋体"/>
          <w:color w:val="auto"/>
          <w:spacing w:val="-1"/>
          <w:highlight w:val="none"/>
        </w:rPr>
      </w:pPr>
      <w:r>
        <w:rPr>
          <w:rFonts w:hint="eastAsia" w:ascii="宋体" w:hAnsi="宋体" w:eastAsia="宋体"/>
          <w:color w:val="auto"/>
          <w:spacing w:val="-1"/>
          <w:highlight w:val="none"/>
        </w:rPr>
        <w:t xml:space="preserve">5.1  </w:t>
      </w:r>
      <w:r>
        <w:rPr>
          <w:rFonts w:hint="eastAsia" w:ascii="宋体" w:hAnsi="宋体" w:eastAsia="宋体"/>
          <w:color w:val="auto"/>
          <w:highlight w:val="none"/>
        </w:rPr>
        <w:t>发布招标公告</w:t>
      </w:r>
      <w:r>
        <w:rPr>
          <w:rFonts w:hint="eastAsia" w:ascii="宋体" w:hAnsi="宋体"/>
          <w:color w:val="auto"/>
          <w:highlight w:val="none"/>
        </w:rPr>
        <w:t>的</w:t>
      </w:r>
      <w:r>
        <w:rPr>
          <w:rFonts w:hint="eastAsia" w:ascii="宋体" w:hAnsi="宋体" w:eastAsia="宋体"/>
          <w:color w:val="auto"/>
          <w:highlight w:val="none"/>
        </w:rPr>
        <w:t>时间：</w:t>
      </w:r>
      <w:r>
        <w:rPr>
          <w:rFonts w:hint="eastAsia" w:ascii="宋体" w:hAnsi="宋体"/>
          <w:color w:val="auto"/>
          <w:highlight w:val="none"/>
          <w:u w:val="single"/>
        </w:rPr>
        <w:t xml:space="preserve"> </w:t>
      </w:r>
      <w:r>
        <w:rPr>
          <w:rFonts w:hint="eastAsia" w:ascii="宋体" w:hAnsi="宋体" w:eastAsiaTheme="minorEastAsia"/>
          <w:color w:val="auto"/>
          <w:highlight w:val="none"/>
          <w:u w:val="single"/>
        </w:rPr>
        <w:t>2025</w:t>
      </w:r>
      <w:r>
        <w:rPr>
          <w:rFonts w:hint="eastAsia" w:ascii="宋体" w:hAnsi="宋体"/>
          <w:color w:val="auto"/>
          <w:highlight w:val="none"/>
          <w:u w:val="single"/>
        </w:rPr>
        <w:t xml:space="preserve"> </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日至</w:t>
      </w:r>
      <w:r>
        <w:rPr>
          <w:rFonts w:hint="eastAsia" w:ascii="宋体" w:hAnsi="宋体" w:eastAsiaTheme="minorEastAsia"/>
          <w:color w:val="auto"/>
          <w:highlight w:val="none"/>
          <w:u w:val="single"/>
        </w:rPr>
        <w:t>2025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 xml:space="preserve">日 </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分（北京时间，下同），凡有意参加投标者，请登录广州交易集团有限公司（广州公共资源交易中心）网站下载电子招标文件。</w:t>
      </w:r>
    </w:p>
    <w:p w14:paraId="2F065DE3">
      <w:pPr>
        <w:kinsoku/>
        <w:topLinePunct/>
        <w:autoSpaceDE/>
        <w:autoSpaceDN/>
        <w:spacing w:line="400" w:lineRule="exact"/>
        <w:ind w:left="420" w:leftChars="200"/>
        <w:rPr>
          <w:rFonts w:hint="eastAsia" w:ascii="宋体" w:hAnsi="宋体" w:eastAsia="宋体"/>
          <w:color w:val="auto"/>
          <w:highlight w:val="none"/>
        </w:rPr>
      </w:pPr>
      <w:r>
        <w:rPr>
          <w:rFonts w:hint="eastAsia" w:ascii="宋体" w:hAnsi="宋体" w:eastAsia="宋体"/>
          <w:color w:val="auto"/>
          <w:highlight w:val="none"/>
        </w:rPr>
        <w:t>注：发布招标公告的时间为招标公告发出之日起至递交投标文件截止时间止。</w:t>
      </w:r>
    </w:p>
    <w:p w14:paraId="1CA5D2E2">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5.2 本项目招标文件随招标公告一并在广州交易集团有限公司（广州公共资源交易中心）网站交易平台发布。招标文件一经在交易平台发布，视为发出给投标人，招标文件由投标人自行在交易平台下载。</w:t>
      </w:r>
    </w:p>
    <w:p w14:paraId="6C603C04">
      <w:pPr>
        <w:pStyle w:val="12"/>
        <w:spacing w:before="0" w:after="0"/>
        <w:outlineLvl w:val="9"/>
        <w:rPr>
          <w:rFonts w:hint="eastAsia"/>
          <w:color w:val="auto"/>
          <w:highlight w:val="none"/>
        </w:rPr>
      </w:pPr>
      <w:bookmarkStart w:id="29" w:name="_Toc25595"/>
      <w:bookmarkStart w:id="30" w:name="_Toc19023"/>
      <w:bookmarkStart w:id="31" w:name="_Toc20569"/>
      <w:bookmarkStart w:id="32" w:name="_Toc8908"/>
      <w:bookmarkStart w:id="33" w:name="_Toc13565"/>
      <w:r>
        <w:rPr>
          <w:rFonts w:hint="eastAsia"/>
          <w:color w:val="auto"/>
          <w:highlight w:val="none"/>
        </w:rPr>
        <w:t>6. 投标文件的递交</w:t>
      </w:r>
      <w:bookmarkEnd w:id="29"/>
      <w:bookmarkEnd w:id="30"/>
      <w:bookmarkEnd w:id="31"/>
      <w:bookmarkEnd w:id="32"/>
      <w:bookmarkEnd w:id="33"/>
    </w:p>
    <w:p w14:paraId="0E41E7C8">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6.1投标截止时间为</w:t>
      </w:r>
      <w:r>
        <w:rPr>
          <w:rFonts w:hint="eastAsia" w:ascii="宋体" w:hAnsi="宋体" w:eastAsiaTheme="minorEastAsia"/>
          <w:color w:val="auto"/>
          <w:highlight w:val="none"/>
          <w:u w:val="single"/>
        </w:rPr>
        <w:t>2025</w:t>
      </w:r>
      <w:r>
        <w:rPr>
          <w:rFonts w:hint="eastAsia" w:ascii="宋体" w:hAnsi="宋体"/>
          <w:color w:val="auto"/>
          <w:highlight w:val="none"/>
          <w:u w:val="single"/>
        </w:rPr>
        <w:t xml:space="preserve"> </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分，</w:t>
      </w:r>
      <w:r>
        <w:rPr>
          <w:rFonts w:hint="eastAsia" w:ascii="宋体" w:hAnsi="宋体"/>
          <w:color w:val="auto"/>
          <w:highlight w:val="none"/>
        </w:rPr>
        <w:t>投标人</w:t>
      </w:r>
      <w:r>
        <w:rPr>
          <w:rFonts w:hint="eastAsia" w:ascii="宋体" w:hAnsi="宋体" w:eastAsia="宋体"/>
          <w:color w:val="auto"/>
          <w:highlight w:val="none"/>
        </w:rPr>
        <w:t>应在截止时间前</w:t>
      </w:r>
      <w:r>
        <w:rPr>
          <w:rFonts w:hint="eastAsia" w:ascii="宋体" w:hAnsi="宋体"/>
          <w:color w:val="auto"/>
          <w:highlight w:val="none"/>
        </w:rPr>
        <w:t>通过</w:t>
      </w:r>
      <w:r>
        <w:rPr>
          <w:rFonts w:hint="eastAsia" w:ascii="宋体" w:hAnsi="宋体" w:eastAsia="宋体"/>
          <w:color w:val="auto"/>
          <w:highlight w:val="none"/>
        </w:rPr>
        <w:t>广州交易集团有限公司（广州公共资源交易中心）网站</w:t>
      </w:r>
      <w:r>
        <w:rPr>
          <w:rFonts w:hint="eastAsia" w:ascii="宋体" w:hAnsi="宋体"/>
          <w:color w:val="auto"/>
          <w:highlight w:val="none"/>
        </w:rPr>
        <w:t>交易平台递交电子投标文件。</w:t>
      </w:r>
      <w:r>
        <w:rPr>
          <w:rFonts w:hint="eastAsia" w:ascii="宋体" w:hAnsi="宋体" w:eastAsia="宋体"/>
          <w:color w:val="auto"/>
          <w:highlight w:val="none"/>
        </w:rPr>
        <w:t>投标人</w:t>
      </w:r>
      <w:r>
        <w:rPr>
          <w:rFonts w:hint="eastAsia" w:ascii="宋体" w:hAnsi="宋体"/>
          <w:color w:val="auto"/>
          <w:highlight w:val="none"/>
        </w:rPr>
        <w:t>完成电子投标文件上传</w:t>
      </w:r>
      <w:r>
        <w:rPr>
          <w:rFonts w:hint="eastAsia" w:ascii="宋体" w:hAnsi="宋体" w:eastAsia="宋体"/>
          <w:color w:val="auto"/>
          <w:highlight w:val="none"/>
        </w:rPr>
        <w:t>后</w:t>
      </w:r>
      <w:r>
        <w:rPr>
          <w:rFonts w:hint="eastAsia" w:ascii="宋体" w:hAnsi="宋体"/>
          <w:color w:val="auto"/>
          <w:highlight w:val="none"/>
        </w:rPr>
        <w:t>，</w:t>
      </w:r>
      <w:r>
        <w:rPr>
          <w:rFonts w:hint="eastAsia" w:ascii="宋体" w:hAnsi="宋体" w:eastAsia="宋体"/>
          <w:color w:val="auto"/>
          <w:highlight w:val="none"/>
        </w:rPr>
        <w:t>交易平台即时向投标人发出递交</w:t>
      </w:r>
      <w:r>
        <w:rPr>
          <w:rFonts w:hint="eastAsia" w:ascii="宋体" w:hAnsi="宋体"/>
          <w:color w:val="auto"/>
          <w:highlight w:val="none"/>
        </w:rPr>
        <w:t>回执</w:t>
      </w:r>
      <w:r>
        <w:rPr>
          <w:rFonts w:hint="eastAsia" w:ascii="宋体" w:hAnsi="宋体" w:eastAsia="宋体"/>
          <w:color w:val="auto"/>
          <w:highlight w:val="none"/>
        </w:rPr>
        <w:t>通知</w:t>
      </w:r>
      <w:r>
        <w:rPr>
          <w:rFonts w:hint="eastAsia" w:ascii="宋体" w:hAnsi="宋体"/>
          <w:color w:val="auto"/>
          <w:highlight w:val="none"/>
        </w:rPr>
        <w:t>。递交时间以递交回执通知载明的传输完成时间为准。</w:t>
      </w:r>
    </w:p>
    <w:p w14:paraId="29BA627A">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在投标截止时间后半小时内，投标人通过广州交易集团有限公司（广州公共资源交易中心）网站对已递交的电子投标文件进行解密。</w:t>
      </w:r>
    </w:p>
    <w:p w14:paraId="24A259D0">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6.2</w:t>
      </w:r>
      <w:r>
        <w:rPr>
          <w:rFonts w:hint="eastAsia" w:ascii="宋体" w:hAnsi="宋体"/>
          <w:color w:val="auto"/>
          <w:highlight w:val="none"/>
        </w:rPr>
        <w:t>投标人应在递交投标文件截止时间前，登录</w:t>
      </w:r>
      <w:r>
        <w:rPr>
          <w:rFonts w:hint="eastAsia" w:ascii="宋体" w:hAnsi="宋体" w:eastAsia="宋体"/>
          <w:color w:val="auto"/>
          <w:highlight w:val="none"/>
        </w:rPr>
        <w:t>广州交易集团有限公司（广州公共资源交易中心）</w:t>
      </w:r>
      <w:r>
        <w:rPr>
          <w:rFonts w:hint="eastAsia" w:ascii="宋体" w:hAnsi="宋体"/>
          <w:color w:val="auto"/>
          <w:highlight w:val="none"/>
        </w:rPr>
        <w:t>网站交易平台办理网上投标登记手续；按照</w:t>
      </w:r>
      <w:r>
        <w:rPr>
          <w:rFonts w:hint="eastAsia" w:ascii="宋体" w:hAnsi="宋体" w:eastAsia="宋体"/>
          <w:color w:val="auto"/>
          <w:highlight w:val="none"/>
        </w:rPr>
        <w:t>广州交易集团有限公司（广州公共资源交易中心）网站</w:t>
      </w:r>
      <w:r>
        <w:rPr>
          <w:rFonts w:hint="eastAsia" w:ascii="宋体" w:hAnsi="宋体"/>
          <w:color w:val="auto"/>
          <w:highlight w:val="none"/>
        </w:rPr>
        <w:t>关于全流程电子化项目的相关指南进行操作。</w:t>
      </w:r>
    </w:p>
    <w:p w14:paraId="479D2A8B">
      <w:pPr>
        <w:kinsoku/>
        <w:topLinePunct/>
        <w:autoSpaceDE/>
        <w:autoSpaceDN/>
        <w:spacing w:line="400" w:lineRule="exact"/>
        <w:ind w:left="420" w:leftChars="200"/>
        <w:rPr>
          <w:rFonts w:hint="eastAsia" w:ascii="宋体" w:hAnsi="宋体" w:eastAsia="宋体"/>
          <w:color w:val="auto"/>
          <w:highlight w:val="none"/>
        </w:rPr>
      </w:pPr>
      <w:r>
        <w:rPr>
          <w:rFonts w:hint="eastAsia" w:ascii="宋体" w:hAnsi="宋体" w:eastAsia="宋体"/>
          <w:color w:val="auto"/>
          <w:highlight w:val="none"/>
        </w:rPr>
        <w:t>6.3开标开始时间：</w:t>
      </w:r>
      <w:r>
        <w:rPr>
          <w:rFonts w:hint="eastAsia" w:ascii="宋体" w:hAnsi="宋体" w:eastAsiaTheme="minorEastAsia"/>
          <w:color w:val="auto"/>
          <w:highlight w:val="none"/>
          <w:u w:val="single"/>
        </w:rPr>
        <w:t>2025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 xml:space="preserve">分。    </w:t>
      </w:r>
    </w:p>
    <w:p w14:paraId="7368E327">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6.4递交投标文件截止时间与开标时间是否有变化，请密切留意招标答疑中的相关信息。递交投标文件截止时间后，开标时间因故推迟的，相关评标信息仍以原递交投标文件截止时间的信息为准。</w:t>
      </w:r>
    </w:p>
    <w:p w14:paraId="2271C7A1">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6.5 逾期送达的电子投标文件，广州交易集团有限公司（广州公共资源交易中心）网站交易平台将予以拒收。</w:t>
      </w:r>
    </w:p>
    <w:p w14:paraId="75DD1EF3">
      <w:pPr>
        <w:kinsoku/>
        <w:topLinePunct/>
        <w:autoSpaceDE/>
        <w:autoSpaceDN/>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749EC3B3">
      <w:pPr>
        <w:pStyle w:val="2"/>
        <w:spacing w:line="360" w:lineRule="auto"/>
        <w:rPr>
          <w:rFonts w:hint="eastAsia" w:ascii="宋体" w:hAnsi="宋体" w:eastAsia="宋体"/>
          <w:color w:val="auto"/>
          <w:highlight w:val="none"/>
          <w:u w:val="single"/>
        </w:rPr>
      </w:pPr>
      <w:r>
        <w:rPr>
          <w:rFonts w:hint="eastAsia" w:ascii="宋体" w:hAnsi="宋体" w:eastAsia="宋体"/>
          <w:bCs w:val="0"/>
          <w:color w:val="auto"/>
          <w:sz w:val="28"/>
          <w:szCs w:val="24"/>
          <w:highlight w:val="none"/>
          <w:u w:val="single"/>
        </w:rPr>
        <w:t>7.费用</w:t>
      </w:r>
    </w:p>
    <w:p w14:paraId="54CBDD14">
      <w:pPr>
        <w:kinsoku/>
        <w:topLinePunct/>
        <w:autoSpaceDE/>
        <w:autoSpaceDN/>
        <w:adjustRightInd/>
        <w:spacing w:line="360" w:lineRule="auto"/>
        <w:ind w:firstLine="420" w:firstLineChars="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7.1  财政投资项目应实行限额设计，设计的建设内容和建设标准不得超过可行性研究报告批复的范围，编制设计概算不得超过经批准的可行性研究报告总投资。政府固定资产投资应当坚持估算控制概算，概算控制预算，预算控制决算的原则。</w:t>
      </w:r>
    </w:p>
    <w:p w14:paraId="0C13336F">
      <w:pPr>
        <w:kinsoku/>
        <w:topLinePunct/>
        <w:autoSpaceDE/>
        <w:autoSpaceDN/>
        <w:adjustRightInd/>
        <w:spacing w:line="360" w:lineRule="auto"/>
        <w:ind w:firstLine="420" w:firstLineChars="200"/>
        <w:textAlignment w:val="auto"/>
        <w:rPr>
          <w:rFonts w:hint="eastAsia" w:ascii="宋体" w:hAnsi="宋体" w:eastAsia="宋体" w:cs="宋体"/>
          <w:b w:val="0"/>
          <w:bCs w:val="0"/>
          <w:color w:val="auto"/>
          <w:highlight w:val="none"/>
          <w:u w:val="single"/>
          <w:lang w:val="en-US" w:eastAsia="zh-CN"/>
        </w:rPr>
      </w:pPr>
      <w:r>
        <w:rPr>
          <w:rFonts w:hint="eastAsia" w:ascii="宋体" w:hAnsi="宋体" w:eastAsia="宋体" w:cs="宋体"/>
          <w:b w:val="0"/>
          <w:bCs w:val="0"/>
          <w:color w:val="auto"/>
          <w:highlight w:val="none"/>
          <w:u w:val="single"/>
          <w:lang w:val="en-US" w:eastAsia="zh-CN"/>
        </w:rPr>
        <w:t>7.2  最高投标限价为</w:t>
      </w:r>
      <w:r>
        <w:rPr>
          <w:rFonts w:hint="eastAsia" w:ascii="宋体" w:hAnsi="宋体" w:eastAsia="宋体"/>
          <w:color w:val="auto"/>
          <w:highlight w:val="none"/>
          <w:u w:val="single"/>
          <w:lang w:val="en-US" w:eastAsia="zh-CN"/>
        </w:rPr>
        <w:t>593.3</w:t>
      </w:r>
      <w:r>
        <w:rPr>
          <w:rFonts w:hint="eastAsia" w:ascii="宋体" w:hAnsi="宋体" w:eastAsia="宋体" w:cs="宋体"/>
          <w:b w:val="0"/>
          <w:bCs w:val="0"/>
          <w:color w:val="auto"/>
          <w:highlight w:val="none"/>
          <w:u w:val="single"/>
          <w:lang w:val="en-US" w:eastAsia="zh-CN"/>
        </w:rPr>
        <w:t>万元，其中：</w:t>
      </w:r>
    </w:p>
    <w:p w14:paraId="73A0A405">
      <w:pPr>
        <w:kinsoku/>
        <w:topLinePunct/>
        <w:autoSpaceDE/>
        <w:autoSpaceDN/>
        <w:adjustRightInd/>
        <w:spacing w:line="360" w:lineRule="auto"/>
        <w:ind w:firstLine="420" w:firstLineChars="200"/>
        <w:textAlignment w:val="auto"/>
        <w:rPr>
          <w:rFonts w:hint="eastAsia" w:ascii="宋体" w:hAnsi="宋体" w:eastAsia="宋体" w:cs="宋体"/>
          <w:b w:val="0"/>
          <w:bCs w:val="0"/>
          <w:color w:val="auto"/>
          <w:highlight w:val="none"/>
          <w:u w:val="single"/>
          <w:lang w:val="en-US" w:eastAsia="zh-CN"/>
        </w:rPr>
      </w:pPr>
      <w:r>
        <w:rPr>
          <w:rFonts w:hint="eastAsia" w:ascii="宋体" w:hAnsi="宋体" w:eastAsia="宋体" w:cs="宋体"/>
          <w:b w:val="0"/>
          <w:bCs w:val="0"/>
          <w:color w:val="auto"/>
          <w:highlight w:val="none"/>
          <w:u w:val="single"/>
          <w:lang w:val="en-US" w:eastAsia="zh-CN"/>
        </w:rPr>
        <w:t>工程勘察费最高投标限价为</w:t>
      </w:r>
      <w:r>
        <w:rPr>
          <w:rFonts w:hint="eastAsia" w:ascii="宋体" w:hAnsi="宋体" w:eastAsia="宋体"/>
          <w:color w:val="auto"/>
          <w:highlight w:val="none"/>
          <w:u w:val="single"/>
        </w:rPr>
        <w:t>318.7</w:t>
      </w:r>
      <w:r>
        <w:rPr>
          <w:rFonts w:hint="eastAsia" w:ascii="宋体" w:hAnsi="宋体" w:eastAsia="宋体" w:cs="宋体"/>
          <w:b w:val="0"/>
          <w:bCs w:val="0"/>
          <w:color w:val="auto"/>
          <w:highlight w:val="none"/>
          <w:u w:val="single"/>
          <w:lang w:val="en-US" w:eastAsia="zh-CN"/>
        </w:rPr>
        <w:t>万元；</w:t>
      </w:r>
    </w:p>
    <w:p w14:paraId="56BEA050">
      <w:pPr>
        <w:pStyle w:val="3"/>
        <w:rPr>
          <w:rFonts w:hint="eastAsia"/>
          <w:highlight w:val="none"/>
        </w:rPr>
      </w:pPr>
      <w:r>
        <w:rPr>
          <w:rFonts w:hint="eastAsia" w:ascii="宋体" w:hAnsi="宋体" w:eastAsia="宋体" w:cs="宋体"/>
          <w:b w:val="0"/>
          <w:bCs w:val="0"/>
          <w:color w:val="auto"/>
          <w:highlight w:val="none"/>
          <w:u w:val="single"/>
          <w:lang w:val="en-US" w:eastAsia="zh-CN"/>
        </w:rPr>
        <w:t>工程设计费最高投标限价为</w:t>
      </w:r>
      <w:r>
        <w:rPr>
          <w:rFonts w:hint="eastAsia" w:eastAsia="宋体" w:cs="Times New Roman"/>
          <w:b w:val="0"/>
          <w:color w:val="auto"/>
          <w:sz w:val="21"/>
          <w:szCs w:val="21"/>
          <w:highlight w:val="none"/>
          <w:u w:val="single"/>
          <w:lang w:val="en-US" w:eastAsia="zh-CN" w:bidi="ar-SA"/>
        </w:rPr>
        <w:t>274.6</w:t>
      </w:r>
      <w:r>
        <w:rPr>
          <w:rFonts w:hint="eastAsia" w:ascii="宋体" w:hAnsi="宋体" w:eastAsia="宋体" w:cs="宋体"/>
          <w:b w:val="0"/>
          <w:bCs w:val="0"/>
          <w:color w:val="auto"/>
          <w:highlight w:val="none"/>
          <w:u w:val="single"/>
          <w:lang w:val="en-US" w:eastAsia="zh-CN"/>
        </w:rPr>
        <w:t>万元。</w:t>
      </w:r>
    </w:p>
    <w:p w14:paraId="4A63AEED">
      <w:pPr>
        <w:pStyle w:val="12"/>
        <w:spacing w:before="0" w:after="0"/>
        <w:outlineLvl w:val="9"/>
        <w:rPr>
          <w:rFonts w:hint="eastAsia"/>
          <w:color w:val="auto"/>
          <w:highlight w:val="none"/>
        </w:rPr>
      </w:pPr>
      <w:r>
        <w:rPr>
          <w:rFonts w:hint="eastAsia"/>
          <w:color w:val="auto"/>
          <w:highlight w:val="none"/>
          <w:lang w:val="en-US" w:eastAsia="zh-CN"/>
        </w:rPr>
        <w:t>8</w:t>
      </w:r>
      <w:r>
        <w:rPr>
          <w:rFonts w:hint="eastAsia"/>
          <w:color w:val="auto"/>
          <w:highlight w:val="none"/>
        </w:rPr>
        <w:t>. 发布公告的媒介</w:t>
      </w:r>
    </w:p>
    <w:p w14:paraId="3C5CB9C0">
      <w:pPr>
        <w:kinsoku/>
        <w:wordWrap w:val="0"/>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本公告在广州交易集团有限公司（广州公共资源交易中心）网（网址：http://www.gzggzy.cn）、广东省招标投标监管网（网址： http://zbtb.gd.gov.cn/login）、中国招标投标公共服务平台（网址：</w:t>
      </w:r>
      <w:r>
        <w:rPr>
          <w:rFonts w:hint="eastAsia"/>
          <w:highlight w:val="none"/>
        </w:rPr>
        <w:fldChar w:fldCharType="begin"/>
      </w:r>
      <w:r>
        <w:rPr>
          <w:highlight w:val="none"/>
        </w:rPr>
        <w:instrText xml:space="preserve"> HYPERLINK "http://www.cebpubservice.com/）发布，本公告的修改、补充，在广州公共资源交易中心网站发布。" </w:instrText>
      </w:r>
      <w:r>
        <w:rPr>
          <w:rFonts w:hint="eastAsia"/>
          <w:highlight w:val="none"/>
        </w:rPr>
        <w:fldChar w:fldCharType="separate"/>
      </w:r>
      <w:r>
        <w:rPr>
          <w:rFonts w:hint="eastAsia" w:ascii="宋体" w:hAnsi="宋体" w:eastAsia="宋体"/>
          <w:color w:val="auto"/>
          <w:highlight w:val="none"/>
        </w:rPr>
        <w:t>http://www.cebpubservice.com/）等法定媒体发布，本公告的修改、补充，在广州交易集团有限公司（广州公共资源交易中心）网站发布。</w:t>
      </w:r>
      <w:r>
        <w:rPr>
          <w:rFonts w:hint="eastAsia" w:ascii="宋体" w:hAnsi="宋体" w:eastAsia="宋体"/>
          <w:color w:val="auto"/>
          <w:highlight w:val="none"/>
        </w:rPr>
        <w:fldChar w:fldCharType="end"/>
      </w:r>
    </w:p>
    <w:p w14:paraId="20E20D75">
      <w:pPr>
        <w:pStyle w:val="12"/>
        <w:spacing w:before="0" w:after="0"/>
        <w:outlineLvl w:val="9"/>
        <w:rPr>
          <w:rFonts w:hint="eastAsia"/>
          <w:color w:val="auto"/>
          <w:highlight w:val="none"/>
        </w:rPr>
      </w:pPr>
      <w:bookmarkStart w:id="34" w:name="_Toc21787632"/>
      <w:bookmarkStart w:id="35" w:name="_Toc17336"/>
      <w:bookmarkStart w:id="36" w:name="_Toc8339"/>
      <w:bookmarkStart w:id="37" w:name="_Toc8443"/>
      <w:bookmarkStart w:id="38" w:name="_Toc29364"/>
      <w:bookmarkStart w:id="39" w:name="_Toc17357"/>
      <w:r>
        <w:rPr>
          <w:rFonts w:hint="eastAsia"/>
          <w:color w:val="auto"/>
          <w:highlight w:val="none"/>
          <w:lang w:val="en-US" w:eastAsia="zh-CN"/>
        </w:rPr>
        <w:t>9</w:t>
      </w:r>
      <w:r>
        <w:rPr>
          <w:rFonts w:hint="eastAsia"/>
          <w:color w:val="auto"/>
          <w:highlight w:val="none"/>
        </w:rPr>
        <w:t>. 资格审查方式</w:t>
      </w:r>
      <w:bookmarkEnd w:id="34"/>
      <w:bookmarkEnd w:id="35"/>
      <w:bookmarkEnd w:id="36"/>
      <w:bookmarkEnd w:id="37"/>
      <w:bookmarkEnd w:id="38"/>
      <w:bookmarkEnd w:id="39"/>
    </w:p>
    <w:p w14:paraId="1E3E87C9">
      <w:pPr>
        <w:kinsoku/>
        <w:topLinePunct/>
        <w:autoSpaceDE/>
        <w:autoSpaceDN/>
        <w:spacing w:line="400" w:lineRule="exact"/>
        <w:ind w:firstLine="420" w:firstLineChars="200"/>
        <w:rPr>
          <w:rFonts w:hint="eastAsia" w:ascii="宋体" w:hAnsi="宋体" w:eastAsia="宋体"/>
          <w:color w:val="auto"/>
          <w:highlight w:val="none"/>
        </w:rPr>
      </w:pPr>
      <w:bookmarkStart w:id="40" w:name="_Toc12248"/>
      <w:bookmarkStart w:id="41" w:name="_Toc279"/>
      <w:bookmarkStart w:id="42" w:name="_Toc6681"/>
      <w:r>
        <w:rPr>
          <w:rFonts w:hint="eastAsia" w:ascii="宋体" w:hAnsi="宋体" w:eastAsia="宋体"/>
          <w:color w:val="auto"/>
          <w:highlight w:val="none"/>
        </w:rPr>
        <w:t>8.1本工程采用资格后审方式，由评标委员会负责资格审查。</w:t>
      </w:r>
      <w:bookmarkEnd w:id="40"/>
      <w:bookmarkEnd w:id="41"/>
      <w:bookmarkEnd w:id="42"/>
    </w:p>
    <w:p w14:paraId="337BF966">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8.2资格审查结果将在广州交易集团有限公司（广州公共资源交易中心）网站和广东省招标投标监管网公示，公示时间不得少于3日，最后一天应为工作日。</w:t>
      </w:r>
    </w:p>
    <w:p w14:paraId="1342A92F">
      <w:pPr>
        <w:pStyle w:val="12"/>
        <w:spacing w:before="0" w:after="0"/>
        <w:outlineLvl w:val="9"/>
        <w:rPr>
          <w:rFonts w:hint="eastAsia"/>
          <w:color w:val="auto"/>
          <w:highlight w:val="none"/>
        </w:rPr>
      </w:pPr>
      <w:bookmarkStart w:id="43" w:name="_Toc5540"/>
      <w:bookmarkStart w:id="44" w:name="_Toc217"/>
      <w:bookmarkStart w:id="45" w:name="_Toc24417"/>
      <w:bookmarkStart w:id="46" w:name="_Toc10143"/>
      <w:bookmarkStart w:id="47" w:name="_Toc24569"/>
      <w:bookmarkStart w:id="48" w:name="_Toc21787635"/>
      <w:r>
        <w:rPr>
          <w:rFonts w:hint="eastAsia"/>
          <w:color w:val="auto"/>
          <w:highlight w:val="none"/>
          <w:lang w:val="en-US" w:eastAsia="zh-CN"/>
        </w:rPr>
        <w:t>10</w:t>
      </w:r>
      <w:r>
        <w:rPr>
          <w:rFonts w:hint="eastAsia"/>
          <w:color w:val="auto"/>
          <w:highlight w:val="none"/>
        </w:rPr>
        <w:t>. 疑问、异议、投诉处理</w:t>
      </w:r>
      <w:bookmarkEnd w:id="43"/>
      <w:bookmarkEnd w:id="44"/>
      <w:bookmarkEnd w:id="45"/>
      <w:bookmarkEnd w:id="46"/>
      <w:bookmarkEnd w:id="47"/>
      <w:bookmarkEnd w:id="48"/>
    </w:p>
    <w:p w14:paraId="7B59DC2F">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lang w:val="en-US" w:eastAsia="zh-CN"/>
        </w:rPr>
        <w:t>10</w:t>
      </w:r>
      <w:r>
        <w:rPr>
          <w:rFonts w:ascii="宋体" w:hAnsi="宋体" w:eastAsia="宋体"/>
          <w:color w:val="auto"/>
          <w:highlight w:val="none"/>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3163CC06">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lang w:val="en-US" w:eastAsia="zh-CN"/>
        </w:rPr>
        <w:t>10</w:t>
      </w:r>
      <w:r>
        <w:rPr>
          <w:rFonts w:ascii="宋体" w:hAnsi="宋体" w:eastAsia="宋体"/>
          <w:color w:val="auto"/>
          <w:highlight w:val="none"/>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7FBB29D7">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lang w:val="en-US" w:eastAsia="zh-CN"/>
        </w:rPr>
        <w:t>10</w:t>
      </w:r>
      <w:r>
        <w:rPr>
          <w:rFonts w:ascii="宋体" w:hAnsi="宋体" w:eastAsia="宋体"/>
          <w:color w:val="auto"/>
          <w:highlight w:val="none"/>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4791E015">
      <w:pPr>
        <w:kinsoku/>
        <w:topLinePunct/>
        <w:autoSpaceDE/>
        <w:autoSpaceDN/>
        <w:spacing w:line="400" w:lineRule="exact"/>
        <w:ind w:firstLine="420" w:firstLineChars="200"/>
        <w:rPr>
          <w:rFonts w:hint="eastAsia" w:ascii="宋体" w:hAnsi="宋体" w:eastAsia="宋体"/>
          <w:color w:val="auto"/>
          <w:highlight w:val="none"/>
        </w:rPr>
      </w:pPr>
      <w:r>
        <w:rPr>
          <w:rFonts w:ascii="宋体" w:hAnsi="宋体" w:eastAsia="宋体"/>
          <w:color w:val="auto"/>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0E0F1E22">
      <w:pPr>
        <w:kinsoku/>
        <w:topLinePunct/>
        <w:autoSpaceDE/>
        <w:autoSpaceDN/>
        <w:spacing w:line="400" w:lineRule="exact"/>
        <w:ind w:firstLine="420" w:firstLineChars="200"/>
        <w:rPr>
          <w:rFonts w:hint="eastAsia" w:ascii="宋体" w:hAnsi="宋体" w:eastAsia="宋体"/>
          <w:color w:val="auto"/>
          <w:highlight w:val="none"/>
        </w:rPr>
      </w:pPr>
      <w:r>
        <w:rPr>
          <w:rFonts w:ascii="宋体" w:hAnsi="宋体" w:eastAsia="宋体"/>
          <w:color w:val="auto"/>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2FEB229">
      <w:pPr>
        <w:kinsoku/>
        <w:topLinePunct/>
        <w:autoSpaceDE/>
        <w:autoSpaceDN/>
        <w:spacing w:before="120" w:after="120" w:line="400" w:lineRule="exact"/>
        <w:rPr>
          <w:rFonts w:hint="eastAsia" w:ascii="宋体" w:hAnsi="宋体" w:eastAsia="宋体"/>
          <w:b/>
          <w:color w:val="auto"/>
          <w:sz w:val="28"/>
          <w:szCs w:val="24"/>
          <w:highlight w:val="none"/>
        </w:rPr>
      </w:pPr>
      <w:r>
        <w:rPr>
          <w:rFonts w:hint="eastAsia" w:ascii="宋体" w:hAnsi="宋体" w:eastAsia="宋体"/>
          <w:b/>
          <w:color w:val="auto"/>
          <w:sz w:val="28"/>
          <w:szCs w:val="24"/>
          <w:highlight w:val="none"/>
        </w:rPr>
        <w:t>1</w:t>
      </w:r>
      <w:r>
        <w:rPr>
          <w:rFonts w:hint="eastAsia" w:ascii="宋体" w:hAnsi="宋体" w:eastAsia="宋体"/>
          <w:b/>
          <w:color w:val="auto"/>
          <w:sz w:val="28"/>
          <w:szCs w:val="24"/>
          <w:highlight w:val="none"/>
          <w:lang w:val="en-US" w:eastAsia="zh-CN"/>
        </w:rPr>
        <w:t>1</w:t>
      </w:r>
      <w:r>
        <w:rPr>
          <w:rFonts w:hint="eastAsia" w:ascii="宋体" w:hAnsi="宋体" w:eastAsia="宋体"/>
          <w:b/>
          <w:color w:val="auto"/>
          <w:sz w:val="28"/>
          <w:szCs w:val="24"/>
          <w:highlight w:val="none"/>
        </w:rPr>
        <w:t xml:space="preserve">. </w:t>
      </w:r>
      <w:r>
        <w:rPr>
          <w:rFonts w:hint="eastAsia" w:ascii="宋体" w:hAnsi="宋体" w:eastAsia="宋体"/>
          <w:color w:val="auto"/>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007433F">
      <w:pPr>
        <w:pStyle w:val="12"/>
        <w:spacing w:before="0" w:after="0"/>
        <w:outlineLvl w:val="9"/>
        <w:rPr>
          <w:rFonts w:hint="eastAsia"/>
          <w:color w:val="auto"/>
          <w:highlight w:val="none"/>
        </w:rPr>
      </w:pPr>
      <w:bookmarkStart w:id="49" w:name="_Toc18047"/>
      <w:bookmarkStart w:id="50" w:name="_Toc1700"/>
      <w:r>
        <w:rPr>
          <w:rFonts w:hint="eastAsia"/>
          <w:color w:val="auto"/>
          <w:highlight w:val="none"/>
        </w:rPr>
        <w:t>1</w:t>
      </w:r>
      <w:r>
        <w:rPr>
          <w:rFonts w:hint="eastAsia"/>
          <w:color w:val="auto"/>
          <w:highlight w:val="none"/>
          <w:lang w:val="en-US" w:eastAsia="zh-CN"/>
        </w:rPr>
        <w:t>2</w:t>
      </w:r>
      <w:r>
        <w:rPr>
          <w:rFonts w:hint="eastAsia"/>
          <w:color w:val="auto"/>
          <w:highlight w:val="none"/>
        </w:rPr>
        <w:t>. 联系方式</w:t>
      </w:r>
      <w:bookmarkEnd w:id="49"/>
      <w:bookmarkEnd w:id="50"/>
    </w:p>
    <w:p w14:paraId="044192F2">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招标单位：</w:t>
      </w:r>
      <w:r>
        <w:rPr>
          <w:rFonts w:hint="eastAsia" w:eastAsia="宋体"/>
          <w:bCs/>
          <w:color w:val="auto"/>
          <w:szCs w:val="32"/>
          <w:highlight w:val="none"/>
          <w:u w:val="single"/>
        </w:rPr>
        <w:t>广州市番禺区人民政府大石街道办事处</w:t>
      </w:r>
    </w:p>
    <w:p w14:paraId="076E7AA7">
      <w:pPr>
        <w:kinsoku/>
        <w:topLinePunct/>
        <w:autoSpaceDE/>
        <w:autoSpaceDN/>
        <w:spacing w:line="400" w:lineRule="exact"/>
        <w:ind w:firstLine="420" w:firstLineChars="200"/>
        <w:rPr>
          <w:rFonts w:hint="eastAsia" w:ascii="宋体" w:hAnsi="宋体" w:eastAsia="宋体"/>
          <w:color w:val="auto"/>
          <w:highlight w:val="none"/>
          <w:u w:val="single"/>
        </w:rPr>
      </w:pPr>
      <w:r>
        <w:rPr>
          <w:rFonts w:hint="eastAsia" w:ascii="宋体" w:hAnsi="宋体" w:eastAsia="宋体"/>
          <w:color w:val="auto"/>
          <w:highlight w:val="none"/>
        </w:rPr>
        <w:t>联系人：</w:t>
      </w:r>
      <w:r>
        <w:rPr>
          <w:rFonts w:hint="eastAsia" w:ascii="宋体" w:hAnsi="宋体" w:eastAsia="宋体"/>
          <w:color w:val="auto"/>
          <w:highlight w:val="none"/>
          <w:u w:val="single"/>
        </w:rPr>
        <w:t>陈工</w:t>
      </w:r>
      <w:r>
        <w:rPr>
          <w:rFonts w:hint="eastAsia" w:ascii="宋体" w:hAnsi="宋体" w:eastAsia="宋体"/>
          <w:color w:val="auto"/>
          <w:highlight w:val="none"/>
        </w:rPr>
        <w:t xml:space="preserve">          联系电话：</w:t>
      </w:r>
      <w:r>
        <w:rPr>
          <w:rFonts w:hint="eastAsia" w:ascii="宋体" w:hAnsi="宋体" w:eastAsia="宋体"/>
          <w:color w:val="auto"/>
          <w:highlight w:val="none"/>
          <w:u w:val="single"/>
        </w:rPr>
        <w:t>020-31564595</w:t>
      </w:r>
    </w:p>
    <w:p w14:paraId="77E608DB">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项目建设管理单位：</w:t>
      </w:r>
      <w:r>
        <w:rPr>
          <w:rFonts w:hint="eastAsia" w:ascii="宋体" w:hAnsi="宋体" w:eastAsia="宋体"/>
          <w:color w:val="auto"/>
          <w:highlight w:val="none"/>
          <w:u w:val="single"/>
        </w:rPr>
        <w:t>/</w:t>
      </w:r>
    </w:p>
    <w:p w14:paraId="53F36914">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u w:val="single"/>
        </w:rPr>
        <w:t>/</w:t>
      </w:r>
      <w:r>
        <w:rPr>
          <w:rFonts w:hint="eastAsia" w:ascii="宋体" w:hAnsi="宋体" w:eastAsia="宋体"/>
          <w:color w:val="auto"/>
          <w:highlight w:val="none"/>
        </w:rPr>
        <w:t xml:space="preserve">           联系电话：</w:t>
      </w:r>
      <w:r>
        <w:rPr>
          <w:rFonts w:hint="eastAsia" w:ascii="宋体" w:hAnsi="宋体" w:eastAsia="宋体"/>
          <w:color w:val="auto"/>
          <w:highlight w:val="none"/>
          <w:u w:val="single"/>
        </w:rPr>
        <w:t>/</w:t>
      </w:r>
    </w:p>
    <w:p w14:paraId="0969F46F">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招标代理机构：</w:t>
      </w:r>
      <w:r>
        <w:rPr>
          <w:rFonts w:hint="eastAsia" w:eastAsia="宋体"/>
          <w:bCs/>
          <w:color w:val="auto"/>
          <w:szCs w:val="32"/>
          <w:highlight w:val="none"/>
          <w:u w:val="single"/>
        </w:rPr>
        <w:t>广州桥润招采造价咨询有限公司</w:t>
      </w:r>
      <w:r>
        <w:rPr>
          <w:rFonts w:hint="eastAsia"/>
          <w:bCs/>
          <w:color w:val="auto"/>
          <w:szCs w:val="32"/>
          <w:highlight w:val="none"/>
          <w:u w:val="single"/>
        </w:rPr>
        <w:t xml:space="preserve"> </w:t>
      </w:r>
    </w:p>
    <w:p w14:paraId="764A48E4">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u w:val="single"/>
        </w:rPr>
        <w:t xml:space="preserve">彭工 </w:t>
      </w:r>
      <w:r>
        <w:rPr>
          <w:rFonts w:hint="eastAsia" w:ascii="宋体" w:hAnsi="宋体" w:eastAsia="宋体"/>
          <w:color w:val="auto"/>
          <w:highlight w:val="none"/>
        </w:rPr>
        <w:t xml:space="preserve">            联系电话：</w:t>
      </w:r>
      <w:r>
        <w:rPr>
          <w:rFonts w:hint="eastAsia" w:ascii="宋体" w:hAnsi="宋体" w:eastAsia="宋体"/>
          <w:color w:val="auto"/>
          <w:highlight w:val="none"/>
          <w:u w:val="single"/>
        </w:rPr>
        <w:t xml:space="preserve"> 020-84880027 </w:t>
      </w:r>
    </w:p>
    <w:p w14:paraId="73B21D55">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招标监督机构：</w:t>
      </w:r>
      <w:r>
        <w:rPr>
          <w:rFonts w:hint="eastAsia" w:eastAsia="宋体"/>
          <w:bCs/>
          <w:color w:val="auto"/>
          <w:szCs w:val="32"/>
          <w:highlight w:val="none"/>
          <w:u w:val="single"/>
        </w:rPr>
        <w:t>广州市番禺区建设工程招标管理办公室</w:t>
      </w:r>
    </w:p>
    <w:p w14:paraId="213B632A">
      <w:pPr>
        <w:kinsoku/>
        <w:topLinePunct/>
        <w:autoSpaceDE/>
        <w:autoSpaceDN/>
        <w:spacing w:line="40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监督电话：</w:t>
      </w:r>
      <w:r>
        <w:rPr>
          <w:rFonts w:hint="eastAsia" w:ascii="宋体" w:hAnsi="宋体" w:eastAsia="宋体"/>
          <w:color w:val="auto"/>
          <w:highlight w:val="none"/>
          <w:u w:val="single"/>
        </w:rPr>
        <w:t>020-84892221</w:t>
      </w:r>
    </w:p>
    <w:p w14:paraId="4957FD97">
      <w:pPr>
        <w:tabs>
          <w:tab w:val="left" w:pos="5747"/>
        </w:tabs>
        <w:spacing w:before="68" w:line="220" w:lineRule="auto"/>
        <w:ind w:left="5003"/>
        <w:rPr>
          <w:rFonts w:hint="eastAsia" w:ascii="宋体" w:hAnsi="宋体" w:eastAsia="宋体"/>
          <w:color w:val="auto"/>
          <w:highlight w:val="none"/>
          <w:u w:val="single"/>
        </w:rPr>
      </w:pPr>
    </w:p>
    <w:p w14:paraId="714EB895">
      <w:pPr>
        <w:tabs>
          <w:tab w:val="left" w:pos="5747"/>
        </w:tabs>
        <w:spacing w:before="68" w:line="220" w:lineRule="auto"/>
        <w:ind w:left="5003"/>
        <w:rPr>
          <w:rFonts w:hint="eastAsia" w:ascii="宋体" w:hAnsi="宋体" w:eastAsia="宋体"/>
          <w:color w:val="auto"/>
          <w:highlight w:val="none"/>
          <w:u w:val="single"/>
        </w:rPr>
      </w:pPr>
    </w:p>
    <w:p w14:paraId="05EA77CB">
      <w:pPr>
        <w:jc w:val="center"/>
        <w:rPr>
          <w:rFonts w:ascii="黑体" w:hAnsi="黑体" w:eastAsia="黑体"/>
          <w:color w:val="auto"/>
          <w:spacing w:val="3"/>
          <w:sz w:val="27"/>
          <w:szCs w:val="27"/>
          <w:highlight w:val="none"/>
        </w:rPr>
      </w:pPr>
      <w:r>
        <w:rPr>
          <w:rFonts w:hint="eastAsia" w:ascii="宋体" w:hAnsi="宋体" w:eastAsia="宋体"/>
          <w:color w:val="auto"/>
          <w:highlight w:val="none"/>
          <w:u w:val="single"/>
        </w:rPr>
        <w:t>2025</w:t>
      </w:r>
      <w:r>
        <w:rPr>
          <w:rFonts w:hint="eastAsia" w:ascii="宋体" w:hAnsi="宋体" w:eastAsia="宋体"/>
          <w:color w:val="auto"/>
          <w:spacing w:val="3"/>
          <w:highlight w:val="none"/>
        </w:rPr>
        <w:t>年</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月</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961C5"/>
    <w:rsid w:val="057C377D"/>
    <w:rsid w:val="0B452184"/>
    <w:rsid w:val="1AAC6BC6"/>
    <w:rsid w:val="1C1961C5"/>
    <w:rsid w:val="1D40788B"/>
    <w:rsid w:val="281F201A"/>
    <w:rsid w:val="2935235E"/>
    <w:rsid w:val="2B8A2869"/>
    <w:rsid w:val="2EF42664"/>
    <w:rsid w:val="335664E4"/>
    <w:rsid w:val="3E406425"/>
    <w:rsid w:val="467351D9"/>
    <w:rsid w:val="49C83E68"/>
    <w:rsid w:val="51833E60"/>
    <w:rsid w:val="51DD22DD"/>
    <w:rsid w:val="54F2448F"/>
    <w:rsid w:val="5709655B"/>
    <w:rsid w:val="62FA69AD"/>
    <w:rsid w:val="6E2D3A9A"/>
    <w:rsid w:val="72DB18FF"/>
    <w:rsid w:val="7B3E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snapToGrid w:val="0"/>
    </w:pPr>
    <w:rPr>
      <w:rFonts w:ascii="Arial" w:hAnsi="Arial" w:eastAsia="Arial" w:cs="Times New Roman"/>
      <w:color w:val="000000"/>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te Heading"/>
    <w:basedOn w:val="1"/>
    <w:next w:val="1"/>
    <w:qFormat/>
    <w:uiPriority w:val="0"/>
    <w:pPr>
      <w:snapToGrid w:val="0"/>
      <w:spacing w:line="320" w:lineRule="exact"/>
      <w:ind w:firstLine="413" w:firstLineChars="200"/>
    </w:pPr>
    <w:rPr>
      <w:rFonts w:ascii="宋体" w:hAnsi="宋体"/>
      <w:b/>
      <w:color w:val="000000"/>
    </w:rPr>
  </w:style>
  <w:style w:type="paragraph" w:customStyle="1" w:styleId="6">
    <w:name w:val="正文首行缩进1"/>
    <w:basedOn w:val="7"/>
    <w:qFormat/>
    <w:uiPriority w:val="0"/>
    <w:pPr>
      <w:ind w:firstLine="420"/>
    </w:pPr>
    <w:rPr>
      <w:rFonts w:ascii="Times New Roman" w:hAnsi="Times New Roman" w:eastAsia="楷体_GB2312"/>
      <w:sz w:val="20"/>
      <w:szCs w:val="20"/>
    </w:rPr>
  </w:style>
  <w:style w:type="paragraph" w:customStyle="1" w:styleId="7">
    <w:name w:val="正文文本1"/>
    <w:basedOn w:val="1"/>
    <w:qFormat/>
    <w:uiPriority w:val="0"/>
    <w:pPr>
      <w:spacing w:after="120"/>
    </w:pPr>
  </w:style>
  <w:style w:type="paragraph" w:customStyle="1" w:styleId="8">
    <w:name w:val="正文首行缩进 21"/>
    <w:basedOn w:val="1"/>
    <w:qFormat/>
    <w:uiPriority w:val="0"/>
    <w:pPr>
      <w:widowControl w:val="0"/>
      <w:spacing w:after="120"/>
      <w:ind w:left="420" w:leftChars="200" w:firstLine="420" w:firstLineChars="200"/>
      <w:jc w:val="both"/>
    </w:pPr>
    <w:rPr>
      <w:rFonts w:ascii="Calibri" w:hAnsi="Calibri" w:eastAsia="宋体"/>
      <w:kern w:val="2"/>
      <w:szCs w:val="24"/>
    </w:rPr>
  </w:style>
  <w:style w:type="paragraph" w:customStyle="1" w:styleId="9">
    <w:name w:val="样式 正文首行缩进 2 + Arial"/>
    <w:basedOn w:val="1"/>
    <w:qFormat/>
    <w:uiPriority w:val="0"/>
    <w:pPr>
      <w:spacing w:before="100" w:beforeAutospacing="1" w:after="120" w:line="320" w:lineRule="atLeast"/>
      <w:ind w:firstLine="200" w:firstLineChars="200"/>
    </w:pPr>
    <w:rPr>
      <w:sz w:val="24"/>
      <w:szCs w:val="24"/>
    </w:rPr>
  </w:style>
  <w:style w:type="paragraph" w:customStyle="1" w:styleId="10">
    <w:name w:val="标题 21"/>
    <w:basedOn w:val="11"/>
    <w:qFormat/>
    <w:uiPriority w:val="0"/>
    <w:pPr>
      <w:spacing w:before="120" w:after="120" w:line="240" w:lineRule="auto"/>
      <w:outlineLvl w:val="1"/>
    </w:pPr>
    <w:rPr>
      <w:rFonts w:ascii="黑体" w:hAnsi="黑体"/>
      <w:b w:val="0"/>
      <w:szCs w:val="30"/>
    </w:rPr>
  </w:style>
  <w:style w:type="paragraph" w:customStyle="1" w:styleId="11">
    <w:name w:val="标题 11"/>
    <w:basedOn w:val="1"/>
    <w:qFormat/>
    <w:uiPriority w:val="0"/>
    <w:pPr>
      <w:keepNext/>
      <w:keepLines/>
      <w:spacing w:before="340" w:after="330" w:line="578" w:lineRule="auto"/>
      <w:jc w:val="center"/>
      <w:outlineLvl w:val="0"/>
    </w:pPr>
    <w:rPr>
      <w:rFonts w:eastAsia="宋体"/>
      <w:b/>
      <w:bCs/>
      <w:kern w:val="44"/>
      <w:sz w:val="44"/>
      <w:szCs w:val="44"/>
    </w:rPr>
  </w:style>
  <w:style w:type="paragraph" w:customStyle="1" w:styleId="12">
    <w:name w:val="标题 31"/>
    <w:basedOn w:val="1"/>
    <w:qFormat/>
    <w:uiPriority w:val="0"/>
    <w:pPr>
      <w:spacing w:before="50" w:after="50"/>
      <w:outlineLvl w:val="2"/>
    </w:pPr>
    <w:rPr>
      <w:rFonts w:ascii="宋体" w:hAnsi="宋体" w:eastAsia="宋体"/>
      <w:b/>
      <w:sz w:val="28"/>
      <w:szCs w:val="24"/>
    </w:rPr>
  </w:style>
  <w:style w:type="paragraph" w:customStyle="1" w:styleId="13">
    <w:name w:val="0正文"/>
    <w:basedOn w:val="1"/>
    <w:qFormat/>
    <w:uiPriority w:val="0"/>
    <w:pPr>
      <w:spacing w:line="520" w:lineRule="atLeast"/>
      <w:ind w:firstLine="480" w:firstLineChars="200"/>
    </w:pPr>
    <w:rPr>
      <w:rFonts w:ascii="Times New Roman" w:hAnsi="Times New Roman" w:eastAsia="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4938</Words>
  <Characters>5291</Characters>
  <Lines>0</Lines>
  <Paragraphs>0</Paragraphs>
  <TotalTime>38</TotalTime>
  <ScaleCrop>false</ScaleCrop>
  <LinksUpToDate>false</LinksUpToDate>
  <CharactersWithSpaces>5457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2025-02-25T01:21:00Z</dcterms:created>
  <dc:creator>chris</dc:creator>
  <cp:lastModifiedBy>chris</cp:lastModifiedBy>
  <cp:lastPrinted>2025-05-19T02:48:00Z</cp:lastPrinted>
  <dcterms:modified xsi:type="dcterms:W3CDTF">2025-06-04T08:24:58Z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48750A10F3F14CA3B2C2ECC8E76C8484_13</vt:lpwstr>
  </property>
  <property fmtid="{D5CDD505-2E9C-101B-9397-08002B2CF9AE}" pid="4" name="KSOTemplateDocerSaveRecord">
    <vt:lpwstr>eyJoZGlkIjoiODk3YzNiMjQ0NTFlNzg0NTU3NjMwYWEzMGVmZDExYTciLCJ1c2VySWQiOiIyMzY1Mzc3MzkifQ==</vt:lpwstr>
  </property>
</Properties>
</file>